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A7CD" w14:textId="6E3AD89E" w:rsidR="00BF66D6" w:rsidRPr="00F00085" w:rsidRDefault="00BF66D6" w:rsidP="00F00085">
      <w:pPr>
        <w:pStyle w:val="Title"/>
        <w:spacing w:before="130" w:line="260" w:lineRule="exact"/>
        <w:ind w:firstLine="539"/>
        <w:rPr>
          <w:b/>
          <w:bCs/>
          <w:sz w:val="24"/>
          <w:szCs w:val="24"/>
          <w:lang w:eastAsia="lv-LV"/>
        </w:rPr>
      </w:pPr>
      <w:r w:rsidRPr="009C3335">
        <w:rPr>
          <w:b/>
          <w:bCs/>
          <w:sz w:val="24"/>
          <w:szCs w:val="24"/>
          <w:lang w:eastAsia="lv-LV"/>
        </w:rPr>
        <w:t>Likumprojekta “Grozījumi Pievienotās vērtības nodokļa likumā” sākotnējās ietekmes novērtējuma ziņojums (anotācija)</w:t>
      </w:r>
    </w:p>
    <w:p w14:paraId="00F83DD7" w14:textId="03DEA7D2" w:rsidR="00446CC3" w:rsidRPr="009C3335" w:rsidRDefault="00446CC3" w:rsidP="00BD5588">
      <w:pPr>
        <w:pStyle w:val="Title"/>
        <w:spacing w:before="130" w:line="260" w:lineRule="exact"/>
        <w:ind w:firstLine="539"/>
        <w:jc w:val="both"/>
        <w:rPr>
          <w:sz w:val="24"/>
          <w:szCs w:val="24"/>
        </w:rPr>
      </w:pPr>
    </w:p>
    <w:p w14:paraId="56114D73" w14:textId="77777777" w:rsidR="002A3FAE" w:rsidRDefault="002A3FAE" w:rsidP="00C4494C">
      <w:pPr>
        <w:jc w:val="center"/>
        <w:rPr>
          <w:b/>
          <w:iCs/>
          <w:lang w:eastAsia="en-US"/>
        </w:rPr>
        <w:sectPr w:rsidR="002A3FAE" w:rsidSect="005C435D">
          <w:headerReference w:type="default" r:id="rId8"/>
          <w:footerReference w:type="default" r:id="rId9"/>
          <w:footerReference w:type="first" r:id="rId10"/>
          <w:type w:val="continuous"/>
          <w:pgSz w:w="11906" w:h="16838"/>
          <w:pgMar w:top="851" w:right="1800" w:bottom="568" w:left="1800" w:header="708" w:footer="454" w:gutter="0"/>
          <w:cols w:space="708"/>
          <w:titlePg/>
          <w:docGrid w:linePitch="360"/>
        </w:sect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2118"/>
        <w:gridCol w:w="7076"/>
      </w:tblGrid>
      <w:tr w:rsidR="00BD5588" w:rsidRPr="009A6CAD" w14:paraId="45CE2879" w14:textId="77777777" w:rsidTr="00227499">
        <w:trPr>
          <w:cantSplit/>
          <w:trHeight w:val="260"/>
        </w:trPr>
        <w:tc>
          <w:tcPr>
            <w:tcW w:w="9194" w:type="dxa"/>
            <w:gridSpan w:val="2"/>
            <w:shd w:val="clear" w:color="auto" w:fill="FFFFFF"/>
            <w:vAlign w:val="center"/>
            <w:hideMark/>
          </w:tcPr>
          <w:p w14:paraId="61564627" w14:textId="427322F8" w:rsidR="00C4494C" w:rsidRPr="009C3335" w:rsidRDefault="00BD5588" w:rsidP="00C4494C">
            <w:pPr>
              <w:jc w:val="center"/>
              <w:rPr>
                <w:b/>
                <w:iCs/>
                <w:lang w:eastAsia="en-US"/>
              </w:rPr>
            </w:pPr>
            <w:r w:rsidRPr="009C3335">
              <w:rPr>
                <w:b/>
                <w:iCs/>
                <w:lang w:eastAsia="en-US"/>
              </w:rPr>
              <w:t>Tiesību akta projekta anotācijas kopsavilkums</w:t>
            </w:r>
          </w:p>
        </w:tc>
      </w:tr>
      <w:tr w:rsidR="00F33A55" w:rsidRPr="009A6CAD" w14:paraId="27F11016" w14:textId="77777777" w:rsidTr="007501F4">
        <w:trPr>
          <w:cantSplit/>
          <w:trHeight w:val="2123"/>
        </w:trPr>
        <w:tc>
          <w:tcPr>
            <w:tcW w:w="2118" w:type="dxa"/>
            <w:shd w:val="clear" w:color="auto" w:fill="FFFFFF"/>
            <w:hideMark/>
          </w:tcPr>
          <w:p w14:paraId="10F38FCA" w14:textId="05C5BBD5" w:rsidR="00BA46AA" w:rsidRPr="009C3335" w:rsidRDefault="00BD5588" w:rsidP="00122EEB">
            <w:pPr>
              <w:rPr>
                <w:iCs/>
                <w:lang w:eastAsia="en-US"/>
              </w:rPr>
            </w:pPr>
            <w:r w:rsidRPr="009C3335">
              <w:rPr>
                <w:iCs/>
                <w:lang w:eastAsia="en-US"/>
              </w:rPr>
              <w:t>Mērķis, risinājums un projekta spēkā stāšanās laiks (500 zīmes bez atstarpēm)</w:t>
            </w:r>
          </w:p>
        </w:tc>
        <w:tc>
          <w:tcPr>
            <w:tcW w:w="7075" w:type="dxa"/>
            <w:shd w:val="clear" w:color="auto" w:fill="FFFFFF"/>
            <w:hideMark/>
          </w:tcPr>
          <w:p w14:paraId="31191B62" w14:textId="53F9F513" w:rsidR="00661435" w:rsidRDefault="003877D2" w:rsidP="007501F4">
            <w:pPr>
              <w:ind w:left="124" w:right="109"/>
              <w:jc w:val="both"/>
            </w:pPr>
            <w:r w:rsidRPr="009C3335">
              <w:rPr>
                <w:iCs/>
                <w:lang w:eastAsia="en-US"/>
              </w:rPr>
              <w:t xml:space="preserve">Likumprojekta </w:t>
            </w:r>
            <w:r w:rsidR="0063563A" w:rsidRPr="001F1905">
              <w:rPr>
                <w:iCs/>
                <w:lang w:eastAsia="en-US"/>
              </w:rPr>
              <w:t xml:space="preserve">mērķis </w:t>
            </w:r>
            <w:r w:rsidR="00E91443" w:rsidRPr="001F1905">
              <w:rPr>
                <w:iCs/>
                <w:lang w:eastAsia="en-US"/>
              </w:rPr>
              <w:t>ir</w:t>
            </w:r>
            <w:r w:rsidR="00E91443">
              <w:rPr>
                <w:iCs/>
                <w:lang w:eastAsia="en-US"/>
              </w:rPr>
              <w:t xml:space="preserve"> izpildīt saistības pret Eiropas Savienību</w:t>
            </w:r>
            <w:r w:rsidR="00EF3395">
              <w:rPr>
                <w:iCs/>
                <w:lang w:eastAsia="en-US"/>
              </w:rPr>
              <w:t xml:space="preserve"> (</w:t>
            </w:r>
            <w:r w:rsidR="00EF3395">
              <w:t>turpmāk – ES)</w:t>
            </w:r>
            <w:r w:rsidR="00E91443">
              <w:rPr>
                <w:iCs/>
                <w:lang w:eastAsia="en-US"/>
              </w:rPr>
              <w:t xml:space="preserve">, </w:t>
            </w:r>
            <w:r w:rsidR="00AD2A90">
              <w:rPr>
                <w:iCs/>
                <w:lang w:eastAsia="en-US"/>
              </w:rPr>
              <w:t xml:space="preserve">ieviešot atbilstošos ES tiesību aktus, kā arī </w:t>
            </w:r>
            <w:r w:rsidR="00980180">
              <w:rPr>
                <w:iCs/>
                <w:lang w:eastAsia="en-US"/>
              </w:rPr>
              <w:t xml:space="preserve">precizēt </w:t>
            </w:r>
            <w:r w:rsidR="00EF3395">
              <w:rPr>
                <w:iCs/>
                <w:lang w:eastAsia="en-US"/>
              </w:rPr>
              <w:t xml:space="preserve">pievienotās vērtības nodokļa (turpmāk – </w:t>
            </w:r>
            <w:r w:rsidR="00AD2A90" w:rsidRPr="000733F4">
              <w:rPr>
                <w:iCs/>
                <w:lang w:eastAsia="en-US"/>
              </w:rPr>
              <w:t>PVN</w:t>
            </w:r>
            <w:r w:rsidR="00EF3395">
              <w:rPr>
                <w:iCs/>
                <w:lang w:eastAsia="en-US"/>
              </w:rPr>
              <w:t>)</w:t>
            </w:r>
            <w:r w:rsidR="00AD2A90" w:rsidRPr="000733F4">
              <w:rPr>
                <w:iCs/>
                <w:lang w:eastAsia="en-US"/>
              </w:rPr>
              <w:t xml:space="preserve"> </w:t>
            </w:r>
            <w:r w:rsidR="00AD2A90">
              <w:rPr>
                <w:iCs/>
                <w:lang w:eastAsia="en-US"/>
              </w:rPr>
              <w:t xml:space="preserve">piemērošanu atsevišķos darījumos, tai skaitā, lai regulējums būtu atbilstošs </w:t>
            </w:r>
            <w:r w:rsidR="00EF3395">
              <w:rPr>
                <w:iCs/>
                <w:lang w:eastAsia="en-US"/>
              </w:rPr>
              <w:t>ES</w:t>
            </w:r>
            <w:r w:rsidR="00AD2A90">
              <w:rPr>
                <w:iCs/>
                <w:lang w:eastAsia="en-US"/>
              </w:rPr>
              <w:t xml:space="preserve"> Tiesas interpretācijai</w:t>
            </w:r>
            <w:r w:rsidR="00E91443" w:rsidRPr="00AD2A90">
              <w:t xml:space="preserve">. </w:t>
            </w:r>
            <w:r w:rsidR="00661435">
              <w:t>Tāpat ar likumprojektu ir precizēt</w:t>
            </w:r>
            <w:r w:rsidR="007501F4">
              <w:t>i</w:t>
            </w:r>
            <w:r w:rsidR="00661435">
              <w:t xml:space="preserve"> atsevišķas normas</w:t>
            </w:r>
            <w:r w:rsidR="00EF3395">
              <w:t xml:space="preserve"> attiecībā uz  PVN atbrīvojumiem</w:t>
            </w:r>
            <w:r w:rsidR="002A440A">
              <w:t>.</w:t>
            </w:r>
          </w:p>
          <w:p w14:paraId="5767A16B" w14:textId="2A2AAF77" w:rsidR="00980180" w:rsidRPr="00CB284F" w:rsidRDefault="00980180" w:rsidP="00661435">
            <w:pPr>
              <w:ind w:left="124" w:right="109"/>
              <w:jc w:val="both"/>
            </w:pPr>
            <w:r>
              <w:t>Likumprojekts stājas spēkā 2020.gada 1.janvārī.</w:t>
            </w:r>
          </w:p>
        </w:tc>
      </w:tr>
    </w:tbl>
    <w:p w14:paraId="1D3E2D75" w14:textId="35790AF2" w:rsidR="002A3FAE" w:rsidRDefault="002A3FAE" w:rsidP="0016477B">
      <w:pPr>
        <w:rPr>
          <w:b/>
          <w:bCs/>
        </w:rPr>
        <w:sectPr w:rsidR="002A3FAE" w:rsidSect="00CB284F">
          <w:type w:val="continuous"/>
          <w:pgSz w:w="11906" w:h="16838"/>
          <w:pgMar w:top="851" w:right="1800" w:bottom="568" w:left="1800" w:header="708" w:footer="708" w:gutter="0"/>
          <w:cols w:space="708"/>
          <w:titlePg/>
          <w:docGrid w:linePitch="360"/>
        </w:sectPr>
      </w:pPr>
    </w:p>
    <w:tbl>
      <w:tblPr>
        <w:tblpPr w:leftFromText="180" w:rightFromText="180" w:vertAnchor="text" w:horzAnchor="margin" w:tblpY="106"/>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1795"/>
        <w:gridCol w:w="7182"/>
      </w:tblGrid>
      <w:tr w:rsidR="0016477B" w:rsidRPr="009A6CAD" w14:paraId="0216C17F" w14:textId="77777777" w:rsidTr="0016477B">
        <w:trPr>
          <w:cantSplit/>
        </w:trPr>
        <w:tc>
          <w:tcPr>
            <w:tcW w:w="5000" w:type="pct"/>
            <w:gridSpan w:val="3"/>
          </w:tcPr>
          <w:p w14:paraId="70E4517B" w14:textId="77777777" w:rsidR="0016477B" w:rsidRPr="00201A82" w:rsidRDefault="0016477B" w:rsidP="0016477B">
            <w:pPr>
              <w:jc w:val="center"/>
            </w:pPr>
            <w:r w:rsidRPr="000C5394">
              <w:rPr>
                <w:b/>
                <w:bCs/>
              </w:rPr>
              <w:t>I. Tiesību akta projekta izstrādes nepieciešamība</w:t>
            </w:r>
          </w:p>
        </w:tc>
      </w:tr>
      <w:tr w:rsidR="0016477B" w:rsidRPr="009A6CAD" w14:paraId="76BBD08F" w14:textId="77777777" w:rsidTr="0016477B">
        <w:trPr>
          <w:cantSplit/>
        </w:trPr>
        <w:tc>
          <w:tcPr>
            <w:tcW w:w="130" w:type="pct"/>
            <w:hideMark/>
          </w:tcPr>
          <w:p w14:paraId="3E09DAB6" w14:textId="77777777" w:rsidR="0016477B" w:rsidRPr="000C5394" w:rsidRDefault="0016477B" w:rsidP="0016477B">
            <w:pPr>
              <w:jc w:val="both"/>
            </w:pPr>
            <w:r w:rsidRPr="000C5394">
              <w:t>1.</w:t>
            </w:r>
          </w:p>
        </w:tc>
        <w:tc>
          <w:tcPr>
            <w:tcW w:w="974" w:type="pct"/>
            <w:hideMark/>
          </w:tcPr>
          <w:p w14:paraId="1B184D17" w14:textId="77777777" w:rsidR="0016477B" w:rsidRDefault="0016477B" w:rsidP="0016477B">
            <w:pPr>
              <w:jc w:val="both"/>
            </w:pPr>
            <w:r>
              <w:t>P</w:t>
            </w:r>
            <w:r w:rsidRPr="000C5394">
              <w:t>amatojums</w:t>
            </w:r>
          </w:p>
          <w:p w14:paraId="0E523517" w14:textId="77777777" w:rsidR="0016477B" w:rsidRDefault="0016477B" w:rsidP="0016477B">
            <w:pPr>
              <w:jc w:val="both"/>
            </w:pPr>
          </w:p>
          <w:p w14:paraId="02CB5CA5" w14:textId="77777777" w:rsidR="0016477B" w:rsidRDefault="0016477B" w:rsidP="0016477B">
            <w:pPr>
              <w:jc w:val="both"/>
            </w:pPr>
          </w:p>
          <w:p w14:paraId="4EADDCA3" w14:textId="77777777" w:rsidR="0016477B" w:rsidRDefault="0016477B" w:rsidP="0016477B">
            <w:pPr>
              <w:jc w:val="both"/>
            </w:pPr>
          </w:p>
          <w:p w14:paraId="7EF649FB" w14:textId="77777777" w:rsidR="0016477B" w:rsidRDefault="0016477B" w:rsidP="0016477B">
            <w:pPr>
              <w:jc w:val="both"/>
            </w:pPr>
          </w:p>
          <w:p w14:paraId="49812130" w14:textId="77777777" w:rsidR="0016477B" w:rsidRPr="000C5394" w:rsidRDefault="0016477B" w:rsidP="0016477B">
            <w:pPr>
              <w:jc w:val="both"/>
            </w:pPr>
          </w:p>
        </w:tc>
        <w:tc>
          <w:tcPr>
            <w:tcW w:w="3896" w:type="pct"/>
            <w:hideMark/>
          </w:tcPr>
          <w:p w14:paraId="79E303C7" w14:textId="025FD0B8" w:rsidR="0016477B" w:rsidRDefault="0016477B" w:rsidP="00412936">
            <w:pPr>
              <w:ind w:right="109"/>
              <w:jc w:val="both"/>
            </w:pPr>
            <w:r w:rsidRPr="00201A82">
              <w:t>Li</w:t>
            </w:r>
            <w:r>
              <w:t>kumprojekts</w:t>
            </w:r>
            <w:r w:rsidR="00412936">
              <w:t xml:space="preserve"> “Grozījumi Pievienotās vērtības nodokļa likumā” (turpmāk – likumprojekts)</w:t>
            </w:r>
            <w:r>
              <w:t xml:space="preserve"> ir izstrādāts, lai:</w:t>
            </w:r>
          </w:p>
          <w:p w14:paraId="1514E53A" w14:textId="634270A3" w:rsidR="0016477B" w:rsidRDefault="0016477B" w:rsidP="0016477B">
            <w:pPr>
              <w:pStyle w:val="ListParagraph"/>
              <w:numPr>
                <w:ilvl w:val="0"/>
                <w:numId w:val="5"/>
              </w:numPr>
              <w:ind w:left="58" w:right="109" w:firstLine="302"/>
              <w:jc w:val="both"/>
            </w:pPr>
            <w:r w:rsidRPr="00726538">
              <w:t>pārņemtu Padomes 2018.gada 4.decembra direktīv</w:t>
            </w:r>
            <w:r w:rsidR="00F83B45">
              <w:t>u</w:t>
            </w:r>
            <w:r w:rsidRPr="00726538">
              <w:t xml:space="preserve"> (ES) 2018/1910, ar ko groza Direktīvu 2006/112/EK attiecībā uz atsevišķu pievienotās vērtības nodokļa sistēmas noteikumu saskaņošanu un vienkāršošanu tirdzniecībā starp dalībvalstīm (t</w:t>
            </w:r>
            <w:r w:rsidR="004F5DC3">
              <w:t>urpmāk – Direktīva  2018/1910)</w:t>
            </w:r>
            <w:r w:rsidRPr="00726538">
              <w:t>, kas stājas spēkā 2020.gada 1.janvārī;</w:t>
            </w:r>
          </w:p>
          <w:p w14:paraId="3408B5E4" w14:textId="0E22AD0F" w:rsidR="0016477B" w:rsidRDefault="009D2E8C" w:rsidP="00412936">
            <w:pPr>
              <w:pStyle w:val="ListParagraph"/>
              <w:numPr>
                <w:ilvl w:val="0"/>
                <w:numId w:val="5"/>
              </w:numPr>
              <w:ind w:left="58" w:right="109" w:firstLine="302"/>
              <w:jc w:val="both"/>
            </w:pPr>
            <w:r>
              <w:t>pārņemtu</w:t>
            </w:r>
            <w:r w:rsidR="0016477B" w:rsidRPr="006047CD">
              <w:t xml:space="preserve"> Padomes 2019.gada 18.februāra direktīv</w:t>
            </w:r>
            <w:r w:rsidR="00F83B45">
              <w:t>u</w:t>
            </w:r>
            <w:r w:rsidR="0016477B" w:rsidRPr="006047CD">
              <w:t xml:space="preserve"> (ES) 2019/475, ar ko groza Direktīvas 2006/112/EK un 2008/118/EK attiecībā uz Itālijas pašvaldības Campione d'Italia un Lugāno ezera Itālijas ūdeņu iekļaušanu Savienības muitas teritorijā un Direktīvas 2008/118/EK teritoriālajā piemērošanā</w:t>
            </w:r>
            <w:r w:rsidR="008C379F">
              <w:t xml:space="preserve"> (turpmāk – Direktīva_2019/475)</w:t>
            </w:r>
            <w:r>
              <w:t>,</w:t>
            </w:r>
            <w:r w:rsidR="00F83B45">
              <w:t xml:space="preserve"> </w:t>
            </w:r>
            <w:r w:rsidR="00F83B45" w:rsidRPr="00F83B45">
              <w:t>kas stājas spēkā 2020.gada 1.janvārī</w:t>
            </w:r>
            <w:r w:rsidR="00F83B45">
              <w:t>;</w:t>
            </w:r>
          </w:p>
          <w:p w14:paraId="72764C1C" w14:textId="51A01D48" w:rsidR="00412936" w:rsidRDefault="00412936" w:rsidP="001A7495">
            <w:pPr>
              <w:pStyle w:val="ListParagraph"/>
              <w:numPr>
                <w:ilvl w:val="0"/>
                <w:numId w:val="5"/>
              </w:numPr>
              <w:ind w:left="58" w:right="109" w:firstLine="302"/>
              <w:jc w:val="both"/>
            </w:pPr>
            <w:r>
              <w:t xml:space="preserve">precizētu </w:t>
            </w:r>
            <w:r w:rsidR="004F5DC3">
              <w:t>PVN</w:t>
            </w:r>
            <w:r>
              <w:t xml:space="preserve"> atbrīvojumu zobu tehniķu sniegtajiem pakalpojumiem</w:t>
            </w:r>
            <w:r w:rsidR="009D2E8C">
              <w:t xml:space="preserve"> atbilstoši </w:t>
            </w:r>
            <w:r w:rsidR="00EF3395">
              <w:t>ES</w:t>
            </w:r>
            <w:r w:rsidR="009D2E8C">
              <w:t xml:space="preserve"> Tiesas spriedumam lietā C-401/05</w:t>
            </w:r>
            <w:r w:rsidR="00EF3395">
              <w:t xml:space="preserve"> un medicīnas pakalpojumiem</w:t>
            </w:r>
            <w:r w:rsidR="001A7495">
              <w:t>;</w:t>
            </w:r>
            <w:r>
              <w:t xml:space="preserve"> </w:t>
            </w:r>
          </w:p>
          <w:p w14:paraId="7BEC84FB" w14:textId="45571132" w:rsidR="0080131E" w:rsidRDefault="00706415" w:rsidP="001A7495">
            <w:pPr>
              <w:pStyle w:val="ListParagraph"/>
              <w:numPr>
                <w:ilvl w:val="0"/>
                <w:numId w:val="5"/>
              </w:numPr>
              <w:ind w:left="58" w:right="109" w:firstLine="302"/>
              <w:jc w:val="both"/>
            </w:pPr>
            <w:r>
              <w:t xml:space="preserve">papildinātu </w:t>
            </w:r>
            <w:r w:rsidR="006C32B1">
              <w:t>priekšnodokļa korekcijas regulējumu</w:t>
            </w:r>
            <w:r w:rsidR="00627B78">
              <w:t xml:space="preserve"> par ieguldīju</w:t>
            </w:r>
            <w:r w:rsidR="0080131E">
              <w:t>miem komercsabiedrības kapitālā;</w:t>
            </w:r>
          </w:p>
          <w:p w14:paraId="69233C4D" w14:textId="77777777" w:rsidR="006C32B1" w:rsidRDefault="00032BD5" w:rsidP="00032BD5">
            <w:pPr>
              <w:pStyle w:val="ListParagraph"/>
              <w:numPr>
                <w:ilvl w:val="0"/>
                <w:numId w:val="5"/>
              </w:numPr>
              <w:ind w:left="58" w:right="109" w:firstLine="302"/>
              <w:jc w:val="both"/>
            </w:pPr>
            <w:r>
              <w:t>skaidrotu PVN rēķinu glabāšanas noteikumus;</w:t>
            </w:r>
          </w:p>
          <w:p w14:paraId="0C13B629" w14:textId="6220461E" w:rsidR="00980180" w:rsidRDefault="00385BC3" w:rsidP="006612AC">
            <w:pPr>
              <w:pStyle w:val="ListParagraph"/>
              <w:numPr>
                <w:ilvl w:val="0"/>
                <w:numId w:val="5"/>
              </w:numPr>
              <w:ind w:left="58" w:right="109" w:firstLine="302"/>
              <w:jc w:val="both"/>
            </w:pPr>
            <w:r>
              <w:t>precizētu norm</w:t>
            </w:r>
            <w:r w:rsidR="001B6A20">
              <w:t>as, lai noteiktu, ka veicams bezskaidras naudas norēķins, ja tiek piemērota</w:t>
            </w:r>
            <w:r>
              <w:t xml:space="preserve"> apgrieztās jeb reversās PVN maksāšanas kārtība kokmateriālu</w:t>
            </w:r>
            <w:r w:rsidR="001B6A20">
              <w:t xml:space="preserve"> </w:t>
            </w:r>
            <w:r>
              <w:t>piegādēm un ar to saistītajiem pakalpojumiem</w:t>
            </w:r>
            <w:r w:rsidR="001B6A20">
              <w:t xml:space="preserve"> un metāllūžņu piegādēm un ar to saistītiem pakalpojumiem</w:t>
            </w:r>
            <w:r w:rsidR="00980180">
              <w:t>;</w:t>
            </w:r>
          </w:p>
          <w:p w14:paraId="5DAAA654" w14:textId="5C55CE10" w:rsidR="00032BD5" w:rsidRPr="00726538" w:rsidRDefault="00EF3395" w:rsidP="006612AC">
            <w:pPr>
              <w:pStyle w:val="ListParagraph"/>
              <w:numPr>
                <w:ilvl w:val="0"/>
                <w:numId w:val="5"/>
              </w:numPr>
              <w:ind w:left="58" w:right="109" w:firstLine="302"/>
              <w:jc w:val="both"/>
            </w:pPr>
            <w:r>
              <w:t>novērstu atsevišķas neprecizitātes likuma tekstā</w:t>
            </w:r>
            <w:r w:rsidR="007501F4">
              <w:t>.</w:t>
            </w:r>
          </w:p>
        </w:tc>
      </w:tr>
      <w:tr w:rsidR="0016477B" w:rsidRPr="009A6CAD" w14:paraId="66C12D17" w14:textId="77777777" w:rsidTr="0016477B">
        <w:trPr>
          <w:cantSplit/>
        </w:trPr>
        <w:tc>
          <w:tcPr>
            <w:tcW w:w="130" w:type="pct"/>
            <w:hideMark/>
          </w:tcPr>
          <w:p w14:paraId="1E3CFB4F" w14:textId="77777777" w:rsidR="0016477B" w:rsidRPr="00FA1FB9" w:rsidRDefault="0016477B" w:rsidP="0016477B">
            <w:r>
              <w:t xml:space="preserve"> 2</w:t>
            </w:r>
            <w:r w:rsidRPr="00FA1FB9">
              <w:t>.</w:t>
            </w:r>
          </w:p>
        </w:tc>
        <w:tc>
          <w:tcPr>
            <w:tcW w:w="974" w:type="pct"/>
            <w:hideMark/>
          </w:tcPr>
          <w:p w14:paraId="2481B4D5" w14:textId="77777777" w:rsidR="0016477B" w:rsidRDefault="0016477B" w:rsidP="0016477B">
            <w:r w:rsidRPr="00FA1FB9">
              <w:t>Pašreizējā situācija un problēmas, kuru risināšanai tiesību akta projekts izstrādāts, tiesiskā regulējuma mērķis un būtība</w:t>
            </w:r>
          </w:p>
          <w:p w14:paraId="1F030C86" w14:textId="77777777" w:rsidR="0016477B" w:rsidRPr="00B42FA3" w:rsidRDefault="0016477B" w:rsidP="0016477B"/>
          <w:p w14:paraId="53042C8C" w14:textId="77777777" w:rsidR="0016477B" w:rsidRPr="00B42FA3" w:rsidRDefault="0016477B" w:rsidP="0016477B"/>
          <w:p w14:paraId="622DD5B8" w14:textId="77777777" w:rsidR="0016477B" w:rsidRPr="00B42FA3" w:rsidRDefault="0016477B" w:rsidP="0016477B"/>
          <w:p w14:paraId="136CCC0A" w14:textId="77777777" w:rsidR="0016477B" w:rsidRPr="00B42FA3" w:rsidRDefault="0016477B" w:rsidP="0016477B"/>
          <w:p w14:paraId="4FDC4717" w14:textId="77777777" w:rsidR="0016477B" w:rsidRPr="00B42FA3" w:rsidRDefault="0016477B" w:rsidP="0016477B"/>
          <w:p w14:paraId="50A024AE" w14:textId="77777777" w:rsidR="0016477B" w:rsidRPr="00B42FA3" w:rsidRDefault="0016477B" w:rsidP="0016477B"/>
          <w:p w14:paraId="2AAC138F" w14:textId="77777777" w:rsidR="0016477B" w:rsidRPr="00B42FA3" w:rsidRDefault="0016477B" w:rsidP="0016477B"/>
          <w:p w14:paraId="26772174" w14:textId="77777777" w:rsidR="0016477B" w:rsidRPr="00B42FA3" w:rsidRDefault="0016477B" w:rsidP="0016477B"/>
          <w:p w14:paraId="434B2413" w14:textId="77777777" w:rsidR="0016477B" w:rsidRPr="00B42FA3" w:rsidRDefault="0016477B" w:rsidP="0016477B"/>
          <w:p w14:paraId="34B3CAF0" w14:textId="77777777" w:rsidR="0016477B" w:rsidRPr="00B42FA3" w:rsidRDefault="0016477B" w:rsidP="0016477B"/>
          <w:p w14:paraId="707D3173" w14:textId="77777777" w:rsidR="0016477B" w:rsidRPr="00B42FA3" w:rsidRDefault="0016477B" w:rsidP="0016477B"/>
          <w:p w14:paraId="0DDF07EF" w14:textId="77777777" w:rsidR="0016477B" w:rsidRPr="00B42FA3" w:rsidRDefault="0016477B" w:rsidP="0016477B"/>
          <w:p w14:paraId="404018BE" w14:textId="77777777" w:rsidR="0016477B" w:rsidRPr="00B42FA3" w:rsidRDefault="0016477B" w:rsidP="0016477B"/>
          <w:p w14:paraId="7601FE59" w14:textId="77777777" w:rsidR="0016477B" w:rsidRPr="00B42FA3" w:rsidRDefault="0016477B" w:rsidP="0016477B"/>
          <w:p w14:paraId="4587878E" w14:textId="77777777" w:rsidR="0016477B" w:rsidRPr="00B42FA3" w:rsidRDefault="0016477B" w:rsidP="0016477B"/>
          <w:p w14:paraId="7B6829B9" w14:textId="77777777" w:rsidR="0016477B" w:rsidRPr="00B42FA3" w:rsidRDefault="0016477B" w:rsidP="0016477B"/>
          <w:p w14:paraId="6615A7EC" w14:textId="77777777" w:rsidR="0016477B" w:rsidRPr="00B42FA3" w:rsidRDefault="0016477B" w:rsidP="0016477B"/>
          <w:p w14:paraId="67D8038A" w14:textId="77777777" w:rsidR="0016477B" w:rsidRPr="00B42FA3" w:rsidRDefault="0016477B" w:rsidP="0016477B"/>
          <w:p w14:paraId="650CBA2B" w14:textId="77777777" w:rsidR="0016477B" w:rsidRPr="00B42FA3" w:rsidRDefault="0016477B" w:rsidP="0016477B"/>
          <w:p w14:paraId="344EF92F" w14:textId="77777777" w:rsidR="0016477B" w:rsidRPr="00B42FA3" w:rsidRDefault="0016477B" w:rsidP="0016477B"/>
          <w:p w14:paraId="54BA59B0" w14:textId="77777777" w:rsidR="0016477B" w:rsidRPr="00B42FA3" w:rsidRDefault="0016477B" w:rsidP="0016477B"/>
          <w:p w14:paraId="0C0F9812" w14:textId="77777777" w:rsidR="0016477B" w:rsidRPr="00B42FA3" w:rsidRDefault="0016477B" w:rsidP="0016477B"/>
          <w:p w14:paraId="4D49A9EE" w14:textId="77777777" w:rsidR="0016477B" w:rsidRPr="00B42FA3" w:rsidRDefault="0016477B" w:rsidP="0016477B"/>
          <w:p w14:paraId="1E08DC91" w14:textId="77777777" w:rsidR="0016477B" w:rsidRPr="00B42FA3" w:rsidRDefault="0016477B" w:rsidP="0016477B"/>
          <w:p w14:paraId="550256A1" w14:textId="77777777" w:rsidR="0016477B" w:rsidRPr="00B42FA3" w:rsidRDefault="0016477B" w:rsidP="0016477B"/>
          <w:p w14:paraId="55C241EB" w14:textId="77777777" w:rsidR="0016477B" w:rsidRPr="00B42FA3" w:rsidRDefault="0016477B" w:rsidP="0016477B"/>
          <w:p w14:paraId="1867AFA3" w14:textId="77777777" w:rsidR="0016477B" w:rsidRPr="00B42FA3" w:rsidRDefault="0016477B" w:rsidP="0016477B"/>
          <w:p w14:paraId="5CC9BCD5" w14:textId="77777777" w:rsidR="0016477B" w:rsidRPr="00B42FA3" w:rsidRDefault="0016477B" w:rsidP="0016477B"/>
          <w:p w14:paraId="425E0F32" w14:textId="77777777" w:rsidR="0016477B" w:rsidRPr="00B42FA3" w:rsidRDefault="0016477B" w:rsidP="0016477B"/>
          <w:p w14:paraId="2D79C682" w14:textId="77777777" w:rsidR="0016477B" w:rsidRPr="00B42FA3" w:rsidRDefault="0016477B" w:rsidP="0016477B"/>
          <w:p w14:paraId="33C13ECC" w14:textId="77777777" w:rsidR="0016477B" w:rsidRPr="00B42FA3" w:rsidRDefault="0016477B" w:rsidP="0016477B"/>
          <w:p w14:paraId="1792DC39" w14:textId="77777777" w:rsidR="0016477B" w:rsidRPr="00B42FA3" w:rsidRDefault="0016477B" w:rsidP="0016477B"/>
          <w:p w14:paraId="78172E73" w14:textId="77777777" w:rsidR="0016477B" w:rsidRPr="00B42FA3" w:rsidRDefault="0016477B" w:rsidP="0016477B"/>
          <w:p w14:paraId="2C5DF760" w14:textId="77777777" w:rsidR="0016477B" w:rsidRPr="00B42FA3" w:rsidRDefault="0016477B" w:rsidP="0016477B"/>
          <w:p w14:paraId="2BE7F29F" w14:textId="77777777" w:rsidR="0016477B" w:rsidRPr="00B42FA3" w:rsidRDefault="0016477B" w:rsidP="0016477B"/>
          <w:p w14:paraId="7C5381F1" w14:textId="77777777" w:rsidR="0016477B" w:rsidRPr="00B42FA3" w:rsidRDefault="0016477B" w:rsidP="0016477B"/>
          <w:p w14:paraId="2AAD05FE" w14:textId="77777777" w:rsidR="0016477B" w:rsidRPr="00B42FA3" w:rsidRDefault="0016477B" w:rsidP="0016477B"/>
          <w:p w14:paraId="4ACBBC76" w14:textId="77777777" w:rsidR="0016477B" w:rsidRPr="00B42FA3" w:rsidRDefault="0016477B" w:rsidP="0016477B"/>
          <w:p w14:paraId="0509D6E2" w14:textId="77777777" w:rsidR="0016477B" w:rsidRPr="00B42FA3" w:rsidRDefault="0016477B" w:rsidP="0016477B"/>
          <w:p w14:paraId="658551AC" w14:textId="77777777" w:rsidR="0016477B" w:rsidRDefault="0016477B" w:rsidP="0016477B"/>
          <w:p w14:paraId="469B2ED1" w14:textId="77777777" w:rsidR="0016477B" w:rsidRPr="00B42FA3" w:rsidRDefault="0016477B" w:rsidP="0016477B"/>
          <w:p w14:paraId="4A5FE104" w14:textId="77777777" w:rsidR="0016477B" w:rsidRPr="00B42FA3" w:rsidRDefault="0016477B" w:rsidP="0016477B"/>
          <w:p w14:paraId="5B482F2B" w14:textId="77777777" w:rsidR="0016477B" w:rsidRPr="00B42FA3" w:rsidRDefault="0016477B" w:rsidP="0016477B"/>
          <w:p w14:paraId="7B4660DB" w14:textId="77777777" w:rsidR="0016477B" w:rsidRPr="00B42FA3" w:rsidRDefault="0016477B" w:rsidP="0016477B">
            <w:pPr>
              <w:jc w:val="right"/>
            </w:pPr>
          </w:p>
        </w:tc>
        <w:tc>
          <w:tcPr>
            <w:tcW w:w="3896" w:type="pct"/>
            <w:hideMark/>
          </w:tcPr>
          <w:p w14:paraId="7520A32B" w14:textId="096BD46D" w:rsidR="00B42593" w:rsidRDefault="00B42593" w:rsidP="0016477B">
            <w:pPr>
              <w:ind w:left="58" w:right="115" w:firstLine="341"/>
              <w:jc w:val="both"/>
            </w:pPr>
            <w:r w:rsidRPr="009C3335">
              <w:rPr>
                <w:iCs/>
                <w:lang w:eastAsia="en-US"/>
              </w:rPr>
              <w:lastRenderedPageBreak/>
              <w:t xml:space="preserve">Likumprojekta </w:t>
            </w:r>
            <w:r w:rsidRPr="001F1905">
              <w:rPr>
                <w:iCs/>
                <w:lang w:eastAsia="en-US"/>
              </w:rPr>
              <w:t>mērķis ir</w:t>
            </w:r>
            <w:r>
              <w:rPr>
                <w:iCs/>
                <w:lang w:eastAsia="en-US"/>
              </w:rPr>
              <w:t xml:space="preserve"> izpildīt saistības pret ES, ieviešot atbilstošos ES tiesību aktus, kā arī precizēt PVN</w:t>
            </w:r>
            <w:r w:rsidRPr="000733F4">
              <w:rPr>
                <w:iCs/>
                <w:lang w:eastAsia="en-US"/>
              </w:rPr>
              <w:t xml:space="preserve"> </w:t>
            </w:r>
            <w:r>
              <w:rPr>
                <w:iCs/>
                <w:lang w:eastAsia="en-US"/>
              </w:rPr>
              <w:t>piemērošanu atsevišķos darījumos, tai skaitā, lai regulējums būtu atbilstošs ES Tiesas interpretācijai</w:t>
            </w:r>
            <w:r w:rsidRPr="00AD2A90">
              <w:t>.</w:t>
            </w:r>
          </w:p>
          <w:p w14:paraId="419D5E7B" w14:textId="77777777" w:rsidR="007456ED" w:rsidRDefault="0016477B" w:rsidP="0016477B">
            <w:pPr>
              <w:ind w:left="58" w:right="115" w:firstLine="341"/>
              <w:jc w:val="both"/>
            </w:pPr>
            <w:r>
              <w:t>1</w:t>
            </w:r>
            <w:r w:rsidRPr="002F0075">
              <w:t xml:space="preserve">. </w:t>
            </w:r>
            <w:r w:rsidRPr="00726538">
              <w:t>Direktīva</w:t>
            </w:r>
            <w:r>
              <w:t>s</w:t>
            </w:r>
            <w:r w:rsidRPr="00726538">
              <w:t xml:space="preserve"> 2018/1910</w:t>
            </w:r>
            <w:r>
              <w:t xml:space="preserve"> mērķis ir uzlabot PVN režīma darbību pārrobežu darījumos. Tā paredz tādus vienkāršošanas pasākumus pārrobežu darījumos, kuru mērķis ir samazināt administratīvo slogu </w:t>
            </w:r>
            <w:r w:rsidR="007456ED">
              <w:t>PVN</w:t>
            </w:r>
          </w:p>
          <w:p w14:paraId="55FEA266" w14:textId="59C6FB23" w:rsidR="0016477B" w:rsidRDefault="0016477B" w:rsidP="0016477B">
            <w:pPr>
              <w:ind w:left="58" w:right="115" w:firstLine="341"/>
              <w:jc w:val="both"/>
            </w:pPr>
            <w:r>
              <w:t xml:space="preserve"> maksātājiem un panākt juridisko noteiktību. Saskaņā ar Direktīvu 2008/1910 tiek ieviesti trīs vienkāršošanas pasākumi</w:t>
            </w:r>
            <w:r w:rsidR="00022CC2">
              <w:t xml:space="preserve"> PVN piemērošanā </w:t>
            </w:r>
            <w:r>
              <w:t>: PVN reģistrācijas numura lietošana pārrobežu darījumos,</w:t>
            </w:r>
            <w:r w:rsidRPr="00335412">
              <w:t xml:space="preserve"> preču piegāde uz noliktavu </w:t>
            </w:r>
            <w:r w:rsidR="00022CC2">
              <w:t xml:space="preserve">citā dalībvalstī </w:t>
            </w:r>
            <w:r w:rsidRPr="00335412">
              <w:t>(</w:t>
            </w:r>
            <w:r w:rsidR="001A7495">
              <w:rPr>
                <w:i/>
              </w:rPr>
              <w:t>call-</w:t>
            </w:r>
            <w:r w:rsidRPr="00335412">
              <w:rPr>
                <w:i/>
              </w:rPr>
              <w:t>off stock</w:t>
            </w:r>
            <w:r w:rsidRPr="00335412">
              <w:t xml:space="preserve">), </w:t>
            </w:r>
            <w:r w:rsidR="00022CC2">
              <w:t xml:space="preserve">PVN piemērošana darījumu </w:t>
            </w:r>
            <w:r w:rsidRPr="00335412">
              <w:t>ķēd</w:t>
            </w:r>
            <w:r w:rsidR="00022CC2">
              <w:t>ē</w:t>
            </w:r>
            <w:r>
              <w:t>.</w:t>
            </w:r>
            <w:r w:rsidRPr="00726538">
              <w:t xml:space="preserve"> Direktīva 2018/1910</w:t>
            </w:r>
            <w:r>
              <w:t xml:space="preserve"> ir jāpārņem ar 2020.gada 1.janvāri. </w:t>
            </w:r>
          </w:p>
          <w:p w14:paraId="24A9122D" w14:textId="50170D7B" w:rsidR="0016477B" w:rsidRPr="000756BA" w:rsidRDefault="0016477B" w:rsidP="0016477B">
            <w:pPr>
              <w:autoSpaceDE w:val="0"/>
              <w:autoSpaceDN w:val="0"/>
              <w:adjustRightInd w:val="0"/>
              <w:ind w:right="132" w:firstLine="581"/>
              <w:jc w:val="both"/>
              <w:rPr>
                <w:b/>
              </w:rPr>
            </w:pPr>
            <w:r w:rsidRPr="000756BA">
              <w:rPr>
                <w:b/>
              </w:rPr>
              <w:t xml:space="preserve">Preču piegāde uz noliktavu </w:t>
            </w:r>
            <w:r w:rsidR="00022CC2">
              <w:rPr>
                <w:b/>
              </w:rPr>
              <w:t xml:space="preserve">citā dalībvalstī </w:t>
            </w:r>
          </w:p>
          <w:p w14:paraId="0283C285" w14:textId="123C5BAA" w:rsidR="0006078E" w:rsidRDefault="0016477B" w:rsidP="0006078E">
            <w:pPr>
              <w:autoSpaceDE w:val="0"/>
              <w:autoSpaceDN w:val="0"/>
              <w:adjustRightInd w:val="0"/>
              <w:ind w:left="58" w:right="109" w:firstLine="523"/>
              <w:jc w:val="both"/>
            </w:pPr>
            <w:r w:rsidRPr="00B54107">
              <w:t xml:space="preserve">Saskaņā ar pašreiz spēkā esošajiem </w:t>
            </w:r>
            <w:r w:rsidR="00022CC2">
              <w:t xml:space="preserve">ES </w:t>
            </w:r>
            <w:r w:rsidRPr="00B54107">
              <w:t xml:space="preserve">PVN noteikumiem </w:t>
            </w:r>
            <w:r>
              <w:t>PVN maksātājs</w:t>
            </w:r>
            <w:r w:rsidRPr="00B54107">
              <w:t>, kurš savas preces pārvieto uz citu dalībvalsti</w:t>
            </w:r>
            <w:r>
              <w:t xml:space="preserve"> novietošanai </w:t>
            </w:r>
            <w:r>
              <w:lastRenderedPageBreak/>
              <w:t>noliktavā</w:t>
            </w:r>
            <w:r w:rsidRPr="00B54107">
              <w:t>, ir veicis preču piegādi, kas atbrīvota no PVN nosūtītāj</w:t>
            </w:r>
            <w:r w:rsidR="00022CC2">
              <w:t>a</w:t>
            </w:r>
            <w:r w:rsidRPr="00B54107">
              <w:t xml:space="preserve"> dalībvalstī. Preču ierašanās </w:t>
            </w:r>
            <w:r>
              <w:t xml:space="preserve">citā dalībvalstī </w:t>
            </w:r>
            <w:r w:rsidRPr="00B54107">
              <w:t xml:space="preserve">nozīmē iegādi </w:t>
            </w:r>
            <w:r w:rsidR="00A308C4">
              <w:t>ES</w:t>
            </w:r>
            <w:r w:rsidR="004F5DC3">
              <w:t xml:space="preserve"> teritorijā</w:t>
            </w:r>
            <w:r w:rsidRPr="00B54107">
              <w:t xml:space="preserve">, ko veicis preces nosūtījušais </w:t>
            </w:r>
            <w:r>
              <w:t>PVN maksātājs</w:t>
            </w:r>
            <w:r w:rsidRPr="00B54107">
              <w:t xml:space="preserve"> un uz kuru attiecas PVN </w:t>
            </w:r>
            <w:r w:rsidR="004F5DC3">
              <w:t xml:space="preserve">saistības </w:t>
            </w:r>
            <w:r w:rsidRPr="00B54107">
              <w:t xml:space="preserve">šajā otrajā dalībvalstī. Uzņēmumam, kurš ir pārvietojis preces, ir jābūt </w:t>
            </w:r>
            <w:r>
              <w:t>reģistrētam</w:t>
            </w:r>
            <w:r w:rsidRPr="00B54107">
              <w:t xml:space="preserve"> PVN nolūkā galamērķa dalībvalstī, lai savā PVN deklarācijā varētu deklarēt preču iegādi </w:t>
            </w:r>
            <w:r w:rsidR="00A308C4">
              <w:t xml:space="preserve">ES </w:t>
            </w:r>
            <w:r w:rsidR="004F5DC3">
              <w:t>teritorijā</w:t>
            </w:r>
            <w:r w:rsidRPr="00B54107">
              <w:t>. Kad preces tiek izvestas no noliktavas un piegādātas pircējam, notiek otra piegāde, kuras vieta ir tā dalībvalsts, kurā atrodas noliktava.</w:t>
            </w:r>
            <w:r w:rsidR="0006078E">
              <w:t xml:space="preserve"> </w:t>
            </w:r>
            <w:r w:rsidR="0006078E" w:rsidRPr="00BF6D8C">
              <w:t xml:space="preserve">Tomēr vairākās ES dalībvalstīs (tai skaitā arī Latvijā) šim darījumam </w:t>
            </w:r>
            <w:r w:rsidR="0006078E">
              <w:t>ieviesa</w:t>
            </w:r>
            <w:r w:rsidR="0006078E" w:rsidRPr="00A756F4">
              <w:t xml:space="preserve"> vienkāršošanas pasākums, kas paredzēja iespēju preču piegādātām nereģistrēties PVN nolūkā galamērķa dalībvalstī, lai deklarētu veikto preču iegādi ES teritorijā. Latvijā līdzīgs regulējums </w:t>
            </w:r>
            <w:r w:rsidR="003039AC">
              <w:t>ir</w:t>
            </w:r>
            <w:r w:rsidR="003039AC" w:rsidRPr="00A756F4">
              <w:t xml:space="preserve"> </w:t>
            </w:r>
            <w:r w:rsidR="0006078E" w:rsidRPr="00A756F4">
              <w:t xml:space="preserve">noteikts </w:t>
            </w:r>
            <w:r w:rsidR="00FA2651">
              <w:t>Pievienotās vērtības nodokļa likum</w:t>
            </w:r>
            <w:r w:rsidR="00591465">
              <w:t>a</w:t>
            </w:r>
            <w:r w:rsidR="00FA2651">
              <w:t xml:space="preserve"> (turpmāk – likums) </w:t>
            </w:r>
            <w:r w:rsidR="0006078E" w:rsidRPr="00A756F4">
              <w:t xml:space="preserve">61.panta ceturtajā daļā, kas paredz, ka </w:t>
            </w:r>
            <w:r w:rsidR="0006078E" w:rsidRPr="00BF6D8C">
              <w:t>citas dalībvalsts reģistrēts PVN maksātājs ir tiesīgs nereģistrēties Valsts ieņēmumu dienesta (turpmāk – VID) PVN maksātāju reģistrā, ja tas piegādā ražošanas preču krājumus vai vairumtirdzniecības preču krājumus reģistrētam PVN maksātājam un saskaņā ar līgumu, kas noslēgts starp šīm personām, īpašumtiesības uz minētajām precēm reģistrētam PVN maksātājam, kurš ir preču saņēmējs, pāriet tikai preču tālākpārdošanas vai izmantošanas brīdī.</w:t>
            </w:r>
            <w:r w:rsidR="0006078E">
              <w:rPr>
                <w:rFonts w:ascii="Arial" w:hAnsi="Arial" w:cs="Arial"/>
              </w:rPr>
              <w:t xml:space="preserve"> </w:t>
            </w:r>
          </w:p>
          <w:p w14:paraId="11E25723" w14:textId="1BB91C3F" w:rsidR="00790184" w:rsidRDefault="0016477B" w:rsidP="005C435D">
            <w:pPr>
              <w:autoSpaceDE w:val="0"/>
              <w:autoSpaceDN w:val="0"/>
              <w:adjustRightInd w:val="0"/>
              <w:ind w:left="58" w:right="109" w:firstLine="523"/>
              <w:jc w:val="both"/>
            </w:pPr>
            <w:r w:rsidRPr="00B54107">
              <w:t xml:space="preserve"> Lai</w:t>
            </w:r>
            <w:r>
              <w:t xml:space="preserve"> vienkāršotu PVN iekasēšanas procedūras un</w:t>
            </w:r>
            <w:r w:rsidRPr="00B54107">
              <w:t xml:space="preserve"> novērstu </w:t>
            </w:r>
            <w:r>
              <w:t xml:space="preserve">praktiskās </w:t>
            </w:r>
            <w:r w:rsidRPr="00B54107">
              <w:t>grūtības,</w:t>
            </w:r>
            <w:r w:rsidR="0006078E">
              <w:t xml:space="preserve">  ko radīja atšķirīgs regulējums ES dalībvalstīs, </w:t>
            </w:r>
            <w:r w:rsidRPr="00B54107">
              <w:t xml:space="preserve"> </w:t>
            </w:r>
            <w:r>
              <w:t xml:space="preserve">ar Direktīvu 2018/1910 tiek noteikts, ka preču piegāde uz noliktavu nozīmē vienu vienīgu piegādi nosūtītāja valstī un preču iegādi Kopienas iekšienē tajā dalībvalstī, kurā atrodas noliktava. Rezultātā preču piegādātājam nebūs pienākuma obligāti reģistrēties citas dalībvalsts PVN maksātāju reģistrā, lai varētu deklarēt preču iegādi ES teritorijā. Ņemot vērā minēto, </w:t>
            </w:r>
            <w:r w:rsidR="00FA2651">
              <w:t>likums</w:t>
            </w:r>
            <w:r>
              <w:t xml:space="preserve"> ir papildināms ar </w:t>
            </w:r>
            <w:r w:rsidR="00A308C4">
              <w:t xml:space="preserve">jaunu </w:t>
            </w:r>
            <w:r w:rsidRPr="00E63D24">
              <w:t>pantu</w:t>
            </w:r>
            <w:r w:rsidRPr="00FC26A9">
              <w:t>, kurā ir atrunāti</w:t>
            </w:r>
            <w:r>
              <w:rPr>
                <w:vertAlign w:val="superscript"/>
              </w:rPr>
              <w:t xml:space="preserve"> </w:t>
            </w:r>
            <w:r>
              <w:t>nosacījumi preču piegādei uz noliktavu citā dalībvalstī. Ja neizpildās preču piegāde</w:t>
            </w:r>
            <w:r w:rsidR="00A308C4">
              <w:t>s</w:t>
            </w:r>
            <w:r>
              <w:t xml:space="preserve"> uz noliktavu citā dalībvalstī nosacījumi, darījums tiek pārkvalificēts par </w:t>
            </w:r>
            <w:r w:rsidR="00A308C4">
              <w:t>preču piegādi ES teritorijā ar visām no tā izrietošajām PVN piemērošanas sekām</w:t>
            </w:r>
            <w:r w:rsidR="0071533F">
              <w:t xml:space="preserve"> </w:t>
            </w:r>
            <w:r w:rsidR="0070692E">
              <w:t>(t</w:t>
            </w:r>
            <w:r w:rsidR="0071533F">
              <w:t>as ir</w:t>
            </w:r>
            <w:r w:rsidR="0070692E">
              <w:t>,</w:t>
            </w:r>
            <w:r w:rsidR="0071533F">
              <w:t xml:space="preserve"> preču piegādātājam ir jāreģistrējas citas dalībvalsts PVN maksātāju reģistrā un jādeklarē tur preču iegāde Eiropas Savienības teritorijā un turpmākā iekšējā preču</w:t>
            </w:r>
            <w:r>
              <w:t xml:space="preserve"> </w:t>
            </w:r>
            <w:r w:rsidR="0071533F">
              <w:t>piegāde</w:t>
            </w:r>
            <w:r w:rsidR="0070692E">
              <w:t>)</w:t>
            </w:r>
            <w:r w:rsidR="0071533F">
              <w:t xml:space="preserve">. </w:t>
            </w:r>
            <w:r w:rsidR="00A308C4">
              <w:t>Tāpat</w:t>
            </w:r>
            <w:r>
              <w:t xml:space="preserve"> likums tiek papildināts ar regulējumu, kas nosaka darījuma brīdi minētajā </w:t>
            </w:r>
            <w:r w:rsidR="00A308C4">
              <w:t>darījumā</w:t>
            </w:r>
            <w:r>
              <w:t>. Papildus minētajam likumprojektā ir iekļautas normas, kas preču piegādes uz noliktavu gadījumā</w:t>
            </w:r>
            <w:r w:rsidR="004F5DC3">
              <w:t>,</w:t>
            </w:r>
            <w:r>
              <w:t xml:space="preserve"> nosaka darījuma vietu preču piegādes uz noliktavu </w:t>
            </w:r>
            <w:r w:rsidR="00A308C4">
              <w:t xml:space="preserve">citā dalībvalstī </w:t>
            </w:r>
            <w:r>
              <w:t xml:space="preserve">ietvaros veiktajai preču piegādei un preču iegādei </w:t>
            </w:r>
            <w:r w:rsidR="00A308C4">
              <w:t>ES</w:t>
            </w:r>
            <w:r>
              <w:t xml:space="preserve"> teritorijā, kā arī </w:t>
            </w:r>
            <w:r w:rsidR="00A308C4">
              <w:t xml:space="preserve">precizēti nosacījumi </w:t>
            </w:r>
            <w:r>
              <w:t xml:space="preserve">reģistrācijai </w:t>
            </w:r>
            <w:r w:rsidR="0006078E">
              <w:t>VID</w:t>
            </w:r>
            <w:r>
              <w:t xml:space="preserve"> PVN maksātāju reģistrā citas dalībvalsts </w:t>
            </w:r>
            <w:r w:rsidR="00D87C75">
              <w:t xml:space="preserve">PVN </w:t>
            </w:r>
            <w:r>
              <w:t xml:space="preserve">maksātājam, veicot preču piegādi no citas dalībvalsts uz noliktavu iekšzemē. </w:t>
            </w:r>
            <w:r w:rsidR="00790184">
              <w:t>Pēc analoģijas ar gadījumiem, kad iekšzemes reģistrēts PVN maksātājs veic preču piegādi uz noliktavu citā dalībvalstī, notiek arī citas dalībvalsts reģistrēta PVN maksātāja preču piegāde uz noliktavu iekšzemē. Citas dalībvalsts reģistrētam PVN maksātājam</w:t>
            </w:r>
            <w:r w:rsidR="0070692E">
              <w:t>, veicot šādu darījumu,</w:t>
            </w:r>
            <w:r w:rsidR="00790184">
              <w:t xml:space="preserve"> ir tiesības nereģistrēties VID PVN maksātāju reģistrā, ja izpildās attiecīgie nosacījumiem veicamajai preču piegādei uz noliktavu iekšzemē. Tomēr brīdī, kad attiecīgie nosacījumi </w:t>
            </w:r>
            <w:r w:rsidR="0098578D">
              <w:t xml:space="preserve">vairs </w:t>
            </w:r>
            <w:r w:rsidR="00790184">
              <w:t xml:space="preserve">neizpildās (piemēram, ievestās preces uzglabātas noliktavā ilgāk par 12 mēnešiem vai tās ir gājušas bojā), veiktā preču ievešana uz noliktavu iekšzemē tiek pārkvalificēta par parastu preču piegādi un preču iegādi Eiropas Savienības teritorijā. </w:t>
            </w:r>
            <w:r w:rsidR="0098578D">
              <w:t>Tādā gadījumā citas dalībvalsts reģistrētam PVN maksātājam ir jāreģistrējas VID PVN maksātāju reģistrā un jādeklarē veiktā preču iegāde Eiropas Savienības teritorijā.</w:t>
            </w:r>
          </w:p>
          <w:p w14:paraId="1B9F0859" w14:textId="1D4597EE" w:rsidR="00D73212" w:rsidRDefault="0016477B" w:rsidP="005C435D">
            <w:pPr>
              <w:autoSpaceDE w:val="0"/>
              <w:autoSpaceDN w:val="0"/>
              <w:adjustRightInd w:val="0"/>
              <w:ind w:left="58" w:right="109" w:firstLine="523"/>
              <w:jc w:val="both"/>
            </w:pPr>
            <w:r>
              <w:lastRenderedPageBreak/>
              <w:t xml:space="preserve">Iesaistoties preču piegādē uz noliktavu citā dalībvalstī, gan preču piegādātājam, gan preču saņēmējam ir jāuztur </w:t>
            </w:r>
            <w:r w:rsidR="00A308C4">
              <w:t xml:space="preserve">īpašs </w:t>
            </w:r>
            <w:r>
              <w:t>preču reģistrs, kurā tiek fiksēta preču pārvietošana no vienas dalībvalsts uz citu dalībvalsti. Minētā reģistra aizpildīšanas nosacīju</w:t>
            </w:r>
            <w:r w:rsidR="004F5DC3">
              <w:t>mi</w:t>
            </w:r>
            <w:r>
              <w:t xml:space="preserve"> ir </w:t>
            </w:r>
            <w:r w:rsidR="004F5DC3">
              <w:t>atrunāti</w:t>
            </w:r>
            <w:r>
              <w:t xml:space="preserve"> Padomes </w:t>
            </w:r>
            <w:r w:rsidRPr="0006078E">
              <w:t>2018. gada 4. decembra Īstenošanas Regulā (ES) 2018/1912</w:t>
            </w:r>
            <w:r w:rsidRPr="00335DD7">
              <w:t xml:space="preserve">, </w:t>
            </w:r>
            <w:r w:rsidRPr="0006078E">
              <w:t>ar ko attiecībā uz dažiem atbrīvojumiem darījumiem Kopienas iekšienē groza Īstenošanas regulu (ES) Nr. 282/2011</w:t>
            </w:r>
            <w:r w:rsidR="00A308C4">
              <w:t>.</w:t>
            </w:r>
          </w:p>
          <w:p w14:paraId="39461FD7" w14:textId="0604727D" w:rsidR="00790184" w:rsidRDefault="0008116A" w:rsidP="000D06F6">
            <w:pPr>
              <w:autoSpaceDE w:val="0"/>
              <w:autoSpaceDN w:val="0"/>
              <w:adjustRightInd w:val="0"/>
              <w:ind w:left="58" w:right="109" w:firstLine="523"/>
              <w:jc w:val="both"/>
            </w:pPr>
            <w:r>
              <w:t>Preču piegāde uz noliktavu citā dalībvalstī PVN deklarācijas pielikumā pārskats  par preču piegādēm un sniegtajiem pakalpojumiem Eiropas Savienības teritorijā tik</w:t>
            </w:r>
            <w:r w:rsidR="005B77BF">
              <w:t xml:space="preserve"> atspoguļota divas reizes: pirm</w:t>
            </w:r>
            <w:r>
              <w:t xml:space="preserve">o reizi brīdī, kad preces tiek transportētas uz citu dalībvalsti, neuzrādot darījuma vērtību, un otro reizi – brīdī, kad preces no noliktavas tiek piegādātas pircējam, deklarējot darījuma vērtību. Sīkāki noteikumi par minētā pārskatu aizpildīšanu tiks atrunāti </w:t>
            </w:r>
            <w:r w:rsidR="0071533F">
              <w:t xml:space="preserve"> Ministru kabineta 2013.gada 15.janvāra noteikumos Nr.40 “Noteikumi par pievienotās vērtības nodokļa deklarācijām”.</w:t>
            </w:r>
          </w:p>
          <w:p w14:paraId="5F30A69F" w14:textId="77777777" w:rsidR="0016477B" w:rsidRPr="000756BA" w:rsidRDefault="0016477B" w:rsidP="0016477B">
            <w:pPr>
              <w:autoSpaceDE w:val="0"/>
              <w:autoSpaceDN w:val="0"/>
              <w:adjustRightInd w:val="0"/>
              <w:ind w:left="157" w:right="132" w:firstLine="424"/>
              <w:jc w:val="both"/>
              <w:rPr>
                <w:b/>
              </w:rPr>
            </w:pPr>
            <w:r w:rsidRPr="000756BA">
              <w:rPr>
                <w:b/>
              </w:rPr>
              <w:t>PVN reģistrācijas numur</w:t>
            </w:r>
            <w:r>
              <w:rPr>
                <w:b/>
              </w:rPr>
              <w:t>a lietošana</w:t>
            </w:r>
          </w:p>
          <w:p w14:paraId="05671B19" w14:textId="6C2A4411" w:rsidR="003937EE" w:rsidRPr="00766236" w:rsidRDefault="0016477B" w:rsidP="00766236">
            <w:pPr>
              <w:autoSpaceDE w:val="0"/>
              <w:autoSpaceDN w:val="0"/>
              <w:adjustRightInd w:val="0"/>
              <w:ind w:left="58" w:right="132" w:firstLine="567"/>
              <w:jc w:val="both"/>
            </w:pPr>
            <w:r>
              <w:t xml:space="preserve">Atbilstoši pašreizējai situācijai, kas balstās uz </w:t>
            </w:r>
            <w:r w:rsidR="00695466">
              <w:t>ES</w:t>
            </w:r>
            <w:r>
              <w:t xml:space="preserve"> Tiesas interpretāciju, PVN reģistrācijas numurs ir tikai formāla prasība PVN atbrīvojuma piemērošanai. Derīga PVN numura neesamība neliedz piemērot </w:t>
            </w:r>
            <w:r w:rsidR="00695466">
              <w:t xml:space="preserve">PVN </w:t>
            </w:r>
            <w:r>
              <w:t>atbrīvojumu</w:t>
            </w:r>
            <w:r w:rsidR="00695466">
              <w:t xml:space="preserve"> (proti, PVN 0 procentu likmi)</w:t>
            </w:r>
            <w:r>
              <w:t xml:space="preserve">, bet dalībvalstis </w:t>
            </w:r>
            <w:r w:rsidR="004F5DC3">
              <w:t xml:space="preserve">šo pārkāpumu </w:t>
            </w:r>
            <w:r>
              <w:t>var uzlikt tikai administratīvus sodus. Direktīva 2018/1910 paredz noteikt, ka atbrīvojumu</w:t>
            </w:r>
            <w:r w:rsidR="004F5DC3">
              <w:t xml:space="preserve"> par veiktu preču piegādi </w:t>
            </w:r>
            <w:r w:rsidR="003937EE">
              <w:t>ES</w:t>
            </w:r>
            <w:r w:rsidR="004F5DC3">
              <w:t xml:space="preserve"> teritorijā</w:t>
            </w:r>
            <w:r>
              <w:t xml:space="preserve"> var piemērot tikai gadījumā, ja preču saņēmējam citā dalībvalstī ir derīgs PVN reģistrācijas numurs. Tāpat PVN atbrīvojuma piemērošanai ir ieviests nosacījums, ka preču pircējam ir jābūt norādītam kopsavilkuma paziņojumā (Latvijā pārskats par preču piegādēm un sniegtajiem pakalpojumiem Eiropas Savienības teritorijā), ko aizpilda preču piegādātājs. Latvijā nosacījums par citas dalībvalsts preču saņēmēja derīgu PVN reģistrācijas numuru jau ir iestrādāts likum</w:t>
            </w:r>
            <w:r w:rsidR="003937EE">
              <w:t>ā</w:t>
            </w:r>
            <w:r>
              <w:t xml:space="preserve">. Līdz ar to likumā ir jāpārņem tikai nosacījums par preču saņēmēja uzrādīšanu kopsavilkuma paziņojumā. </w:t>
            </w:r>
          </w:p>
          <w:p w14:paraId="6D99D572" w14:textId="26FAFA75" w:rsidR="0016477B" w:rsidRPr="000756BA" w:rsidRDefault="0055429A" w:rsidP="00227499">
            <w:pPr>
              <w:autoSpaceDE w:val="0"/>
              <w:autoSpaceDN w:val="0"/>
              <w:adjustRightInd w:val="0"/>
              <w:ind w:left="58" w:right="132" w:firstLine="424"/>
              <w:jc w:val="both"/>
              <w:rPr>
                <w:b/>
              </w:rPr>
            </w:pPr>
            <w:r>
              <w:rPr>
                <w:b/>
              </w:rPr>
              <w:t>Darījumu ķēde</w:t>
            </w:r>
          </w:p>
          <w:p w14:paraId="419E7A70" w14:textId="588780DB" w:rsidR="0016477B" w:rsidRPr="005B77BF" w:rsidRDefault="0055429A" w:rsidP="00227499">
            <w:pPr>
              <w:autoSpaceDE w:val="0"/>
              <w:autoSpaceDN w:val="0"/>
              <w:adjustRightInd w:val="0"/>
              <w:ind w:left="58" w:right="132" w:firstLine="424"/>
              <w:jc w:val="both"/>
            </w:pPr>
            <w:r>
              <w:t>Direktīvas 2018/1910 6.apsvērumā ir noteikts, ka darījumu ķēde</w:t>
            </w:r>
            <w:r w:rsidR="0016477B" w:rsidRPr="0005129F">
              <w:t xml:space="preserve"> </w:t>
            </w:r>
            <w:r w:rsidR="0016477B">
              <w:t>ir</w:t>
            </w:r>
            <w:r w:rsidR="0016477B" w:rsidRPr="0005129F">
              <w:t xml:space="preserve"> vienu un to pašu preču secīgas piegādes, ja uz piegādājamajām precēm attiecas viena Kopienas iekšējā transportēšana starp divām dalībvalstīm. </w:t>
            </w:r>
            <w:r w:rsidR="0016477B">
              <w:t xml:space="preserve">Atbilstoši </w:t>
            </w:r>
            <w:r w:rsidR="00662A0F">
              <w:t xml:space="preserve">ES </w:t>
            </w:r>
            <w:r w:rsidR="0016477B">
              <w:t>Tiesas judikatūrai preču transportēšana</w:t>
            </w:r>
            <w:r w:rsidR="0016477B" w:rsidRPr="0005129F">
              <w:t xml:space="preserve"> ir attiecinām</w:t>
            </w:r>
            <w:r w:rsidR="0016477B">
              <w:t>a tikai</w:t>
            </w:r>
            <w:r w:rsidR="0016477B" w:rsidRPr="0005129F">
              <w:t xml:space="preserve"> </w:t>
            </w:r>
            <w:r w:rsidR="0016477B">
              <w:t>uz vienu piegādi darījumu ķēdes ietvaros. Tādējādi arī PVN atbrīvojumu (PVN 0</w:t>
            </w:r>
            <w:r w:rsidR="0070692E">
              <w:t xml:space="preserve"> procentu </w:t>
            </w:r>
            <w:r w:rsidR="0016477B">
              <w:t xml:space="preserve">likmi) preču piegādei </w:t>
            </w:r>
            <w:r w:rsidR="001D5719">
              <w:t>ES</w:t>
            </w:r>
            <w:r w:rsidR="0016477B">
              <w:t xml:space="preserve"> teritorijā ir tiesības piemērot tikai vienam ķēdes posmam. Lai </w:t>
            </w:r>
            <w:r w:rsidR="0016477B" w:rsidRPr="0005129F">
              <w:t>palielinātu juridisko noteiktību</w:t>
            </w:r>
            <w:r w:rsidR="0016477B">
              <w:t>,</w:t>
            </w:r>
            <w:r w:rsidR="0016477B" w:rsidRPr="0005129F">
              <w:t xml:space="preserve"> </w:t>
            </w:r>
            <w:r w:rsidR="0016477B">
              <w:t xml:space="preserve">Direktīvā 2018/1910 ir </w:t>
            </w:r>
            <w:r>
              <w:t>noteikts</w:t>
            </w:r>
            <w:r w:rsidR="0016477B" w:rsidRPr="0005129F">
              <w:t>, kuram darījum</w:t>
            </w:r>
            <w:r>
              <w:t>u</w:t>
            </w:r>
            <w:r w:rsidR="0016477B" w:rsidRPr="0005129F">
              <w:t xml:space="preserve"> </w:t>
            </w:r>
            <w:r>
              <w:t xml:space="preserve"> ķēdes posmam </w:t>
            </w:r>
            <w:r w:rsidR="0016477B">
              <w:t>ir piemērojams</w:t>
            </w:r>
            <w:r w:rsidR="0016477B" w:rsidRPr="0005129F">
              <w:t xml:space="preserve"> </w:t>
            </w:r>
            <w:r w:rsidR="0016477B">
              <w:t xml:space="preserve">PVN </w:t>
            </w:r>
            <w:r w:rsidR="0016477B" w:rsidRPr="0005129F">
              <w:t>atbrīvojums par preču piegād</w:t>
            </w:r>
            <w:r w:rsidR="0016477B">
              <w:t>i</w:t>
            </w:r>
            <w:r w:rsidR="0016477B" w:rsidRPr="0005129F">
              <w:t xml:space="preserve"> </w:t>
            </w:r>
            <w:r>
              <w:t>Eiropas Savienības teritorijā</w:t>
            </w:r>
            <w:r w:rsidR="0016477B" w:rsidRPr="0005129F">
              <w:t>.</w:t>
            </w:r>
            <w:r w:rsidR="0016477B">
              <w:t xml:space="preserve"> At</w:t>
            </w:r>
            <w:r>
              <w:t>bilstoši vispārējam nosacījumam</w:t>
            </w:r>
            <w:r w:rsidR="0016477B">
              <w:t xml:space="preserve"> PVN atbrīvojums ir piemērojams tikai </w:t>
            </w:r>
            <w:r>
              <w:t>darījumu ķēdes starpnieka</w:t>
            </w:r>
            <w:r w:rsidR="00FA2651">
              <w:t>m</w:t>
            </w:r>
            <w:r w:rsidR="0016477B">
              <w:t xml:space="preserve"> veiktajai preču piegādei. Savukārt gadījumos, kad </w:t>
            </w:r>
            <w:r>
              <w:t>darījumu ķēdes starpnieks</w:t>
            </w:r>
            <w:r w:rsidR="0016477B">
              <w:t xml:space="preserve"> preču piegādātājam ir paziņojis savu PVN reģistrācijas numuru dalībvalstī</w:t>
            </w:r>
            <w:r>
              <w:t>,</w:t>
            </w:r>
            <w:r w:rsidR="0016477B">
              <w:t xml:space="preserve"> no kuras preces tiek nosūtītas vai transportētas, PVN atbrīvojums </w:t>
            </w:r>
            <w:r w:rsidR="001D5719">
              <w:t>piemēr</w:t>
            </w:r>
            <w:r w:rsidR="00445247">
              <w:t>o</w:t>
            </w:r>
            <w:r w:rsidR="001D5719">
              <w:t xml:space="preserve">jams </w:t>
            </w:r>
            <w:r>
              <w:t>darījumu ķēdes starpnieka</w:t>
            </w:r>
            <w:r w:rsidR="0016477B">
              <w:t xml:space="preserve"> veiktajai preču piegādei. </w:t>
            </w:r>
            <w:r w:rsidR="005B77BF">
              <w:t xml:space="preserve">Faktiski </w:t>
            </w:r>
            <w:r w:rsidR="0070692E">
              <w:t xml:space="preserve">PVN </w:t>
            </w:r>
            <w:r w:rsidR="005B77BF">
              <w:t xml:space="preserve">0 procentu likmes piemērošana kādam darījumu ķēdes posmam, ir atkarīga no darījumu ķēdes starpnieka izvēles, tas ir, kādu PVN reģistrācijas numuru tas paziņos preču piegādātājam. </w:t>
            </w:r>
            <w:r w:rsidR="0016477B">
              <w:t>Ņemot vērā minēto</w:t>
            </w:r>
            <w:r>
              <w:t>,</w:t>
            </w:r>
            <w:r w:rsidR="0016477B">
              <w:t xml:space="preserve"> likums ir papildināts ar </w:t>
            </w:r>
            <w:r w:rsidR="001D5719">
              <w:t>jaunu</w:t>
            </w:r>
            <w:r w:rsidR="0016477B">
              <w:t xml:space="preserve"> pantu, kas nosaka PVN 0 procentu likmes piemērošan</w:t>
            </w:r>
            <w:r>
              <w:t>as nosacījumus</w:t>
            </w:r>
            <w:r w:rsidR="0016477B">
              <w:t xml:space="preserve"> darījumu ķēdē.</w:t>
            </w:r>
            <w:r w:rsidR="005B77BF">
              <w:t xml:space="preserve"> </w:t>
            </w:r>
            <w:r w:rsidR="005B77BF" w:rsidRPr="005B77BF">
              <w:t xml:space="preserve">Minētais regulējums </w:t>
            </w:r>
            <w:r w:rsidR="005B77BF" w:rsidRPr="005B77BF">
              <w:rPr>
                <w:color w:val="000000"/>
              </w:rPr>
              <w:t xml:space="preserve"> neietekmē </w:t>
            </w:r>
            <w:r w:rsidR="005B77BF" w:rsidRPr="005B77BF">
              <w:t>tā saucamajos “trijstūrveida” darījumos</w:t>
            </w:r>
            <w:r w:rsidR="005B77BF" w:rsidRPr="005B77BF">
              <w:rPr>
                <w:color w:val="000000"/>
              </w:rPr>
              <w:t xml:space="preserve"> paredzēto vienkāršošanu PVN </w:t>
            </w:r>
            <w:r w:rsidR="005B77BF" w:rsidRPr="005B77BF">
              <w:rPr>
                <w:color w:val="000000"/>
              </w:rPr>
              <w:lastRenderedPageBreak/>
              <w:t>piemērošanā</w:t>
            </w:r>
            <w:r w:rsidR="0070692E">
              <w:rPr>
                <w:color w:val="000000"/>
              </w:rPr>
              <w:t>, tādējādi darījuma ķēdes ietvaros var tik piemēroti arī PVN regulējums</w:t>
            </w:r>
            <w:r w:rsidR="002524F3">
              <w:rPr>
                <w:color w:val="000000"/>
              </w:rPr>
              <w:t>, kas attiecas uz</w:t>
            </w:r>
            <w:r w:rsidR="0070692E">
              <w:rPr>
                <w:color w:val="000000"/>
              </w:rPr>
              <w:t xml:space="preserve"> “</w:t>
            </w:r>
            <w:r w:rsidR="0070692E" w:rsidRPr="005B77BF">
              <w:t>trijstūrveida” darījum</w:t>
            </w:r>
            <w:r w:rsidR="0070692E">
              <w:t>iem</w:t>
            </w:r>
            <w:r w:rsidR="005B77BF" w:rsidRPr="005B77BF">
              <w:rPr>
                <w:color w:val="000000"/>
              </w:rPr>
              <w:t>.</w:t>
            </w:r>
          </w:p>
          <w:p w14:paraId="0DA862E8" w14:textId="4F22DE1C" w:rsidR="00032750" w:rsidRPr="00686B9F" w:rsidRDefault="00032750" w:rsidP="00227499">
            <w:pPr>
              <w:autoSpaceDE w:val="0"/>
              <w:autoSpaceDN w:val="0"/>
              <w:adjustRightInd w:val="0"/>
              <w:ind w:left="58" w:right="132" w:firstLine="523"/>
              <w:jc w:val="both"/>
            </w:pPr>
            <w:r w:rsidRPr="00686B9F">
              <w:t xml:space="preserve">2. </w:t>
            </w:r>
            <w:r w:rsidR="008C379F" w:rsidRPr="00686B9F">
              <w:t>Direktīva</w:t>
            </w:r>
            <w:r w:rsidR="00A528E9">
              <w:t xml:space="preserve"> </w:t>
            </w:r>
            <w:r w:rsidR="008C379F" w:rsidRPr="00686B9F">
              <w:t xml:space="preserve">2019/475 ir pieņemta pamatojoties uz to, ka Itālija vēlas turpināt šajā direktīvā minēto teritoriju izslēgšanu no </w:t>
            </w:r>
            <w:r w:rsidR="009C3C05">
              <w:t xml:space="preserve">Padomes </w:t>
            </w:r>
            <w:r w:rsidR="008C379F" w:rsidRPr="00686B9F">
              <w:t>Direktīvas 2006/112/EK</w:t>
            </w:r>
            <w:r w:rsidR="009C3C05">
              <w:t xml:space="preserve"> par kopējo pievienotās vērtības nodokļa sistēmu (turpmāk – Direktīva 2006/112/EK)</w:t>
            </w:r>
            <w:r w:rsidR="008C379F" w:rsidRPr="00686B9F">
              <w:t xml:space="preserve"> teritoriālās piemērošanas, jo tas ir b</w:t>
            </w:r>
            <w:r w:rsidR="006318FB" w:rsidRPr="00686B9F">
              <w:t>ūtiski</w:t>
            </w:r>
            <w:r w:rsidR="008C379F" w:rsidRPr="00686B9F">
              <w:t xml:space="preserve">, lai saglabātu vienlīdzīgus konkurences apstākļus starp ekonomikas dalībniekiem, kas veic uzņēmējdarbību Šveicē un Itālijas pašvaldībā </w:t>
            </w:r>
            <w:r w:rsidR="008C379F" w:rsidRPr="00686B9F">
              <w:rPr>
                <w:i/>
              </w:rPr>
              <w:t xml:space="preserve">Campione d'Italia, </w:t>
            </w:r>
            <w:r w:rsidR="008C379F" w:rsidRPr="00686B9F">
              <w:t>izmantojot vietējo netiešo nodokļu režīm</w:t>
            </w:r>
            <w:r w:rsidR="00103FFF" w:rsidRPr="00686B9F">
              <w:t>a piemērošanu atbilstīgi Šveices PVN sistēmai.</w:t>
            </w:r>
            <w:r w:rsidR="006318FB" w:rsidRPr="00686B9F">
              <w:t xml:space="preserve"> Direktīvas 2019/475 nosacījumi stājas spēkā 2020.gada 1.janvārī. Lai transponētu Direktīvas 2019/475 nosacījumus likumā, ir nepieciešams izdarīt grozījumus, </w:t>
            </w:r>
            <w:r w:rsidR="0055429A" w:rsidRPr="00686B9F">
              <w:t>precizējot</w:t>
            </w:r>
            <w:r w:rsidR="006318FB" w:rsidRPr="00686B9F">
              <w:t xml:space="preserve"> </w:t>
            </w:r>
            <w:r w:rsidR="00AE43C5">
              <w:t>terminu “</w:t>
            </w:r>
            <w:r w:rsidR="006318FB" w:rsidRPr="00686B9F">
              <w:t>treš</w:t>
            </w:r>
            <w:r w:rsidR="00AE43C5">
              <w:t>ās</w:t>
            </w:r>
            <w:r w:rsidR="006318FB" w:rsidRPr="00686B9F">
              <w:t xml:space="preserve"> teritorij</w:t>
            </w:r>
            <w:r w:rsidR="00AE43C5">
              <w:t>as”</w:t>
            </w:r>
            <w:r w:rsidR="006318FB" w:rsidRPr="00686B9F">
              <w:t>.</w:t>
            </w:r>
          </w:p>
          <w:p w14:paraId="67BC1A34" w14:textId="6645A20D" w:rsidR="00445247" w:rsidRDefault="00032750" w:rsidP="00227499">
            <w:pPr>
              <w:autoSpaceDE w:val="0"/>
              <w:autoSpaceDN w:val="0"/>
              <w:adjustRightInd w:val="0"/>
              <w:ind w:left="58" w:right="132" w:firstLine="523"/>
              <w:jc w:val="both"/>
            </w:pPr>
            <w:r w:rsidRPr="00032750">
              <w:t>3.</w:t>
            </w:r>
            <w:r>
              <w:t xml:space="preserve"> </w:t>
            </w:r>
            <w:r w:rsidR="00E71E96">
              <w:t xml:space="preserve">Direktīvas 2006/112/EK 132.panta 1.punkta “e” apakšpunktā ir paredzēts PVN atbrīvojums pakalpojumiem, ko sniedz zobu tehniķi, darbojoties savā profesijā, kā arī zobārstu un zobu tehniķu piegādātajām zobu protēzēm. Minētais regulējums ir pārņemts </w:t>
            </w:r>
            <w:r>
              <w:t>likuma 52.panta pirmās daļas 7</w:t>
            </w:r>
            <w:r w:rsidR="0068635C">
              <w:t>.punktā</w:t>
            </w:r>
            <w:r w:rsidR="00903FFA">
              <w:t xml:space="preserve">, kurā </w:t>
            </w:r>
            <w:r w:rsidR="0068635C">
              <w:t>ir noteikts</w:t>
            </w:r>
            <w:r w:rsidR="00903FFA">
              <w:t>, ka no</w:t>
            </w:r>
            <w:r w:rsidR="0068635C">
              <w:t xml:space="preserve"> PVN </w:t>
            </w:r>
            <w:r w:rsidR="00903FFA">
              <w:t>atbrīvo</w:t>
            </w:r>
            <w:r w:rsidR="0068635C">
              <w:t xml:space="preserve"> zobu tehniķu sniegtajiem pakalpojumiem pacientam. Savukārt Ministru kabineta 2013.gada 3.janvāra noteikumu Nr.17 “Pievienotās vērtības nodokļa likuma normu piemērošanas kārtība un atsevišķās prasības pievienotās vērtības nodokļa maksāšanai un administrēšanai” </w:t>
            </w:r>
            <w:r w:rsidR="00AD5539">
              <w:t xml:space="preserve">(turpmāk – MK noteikumi Nr.17) </w:t>
            </w:r>
            <w:r w:rsidR="00E71E96">
              <w:t xml:space="preserve">23.punktā ir noteikts, ka PVN atbrīvojums nav piemērojams gadījumos, ja zobu tehniķi izgatavo un piegādā protezēšanai zobu protēzes citām ārstniecības iestādēm. Atbilstoši </w:t>
            </w:r>
            <w:r w:rsidR="006C0FCB">
              <w:t>ES</w:t>
            </w:r>
            <w:r w:rsidR="00E71E96">
              <w:t xml:space="preserve"> Tiesas spriedumā lietā C-401/05 paustajām atziņām no PVN ir atbr</w:t>
            </w:r>
            <w:r w:rsidR="00AD5539">
              <w:t xml:space="preserve">īvoti pakalpojumi, ko sniedz zobu tehniķi, darbojoties savā profesijā un zobu tehniķu un zobārstu </w:t>
            </w:r>
            <w:r w:rsidR="0055429A">
              <w:t>veiktajām zobu protēžu piegādēm</w:t>
            </w:r>
            <w:r w:rsidR="00AD5539">
              <w:t xml:space="preserve"> neatkarīgi no šo preču vai pakalpojumu saņēmēja statusa. Tādējādi ir nepieciešams precizēt likumā noteikto atbrīvojumu, paredzot, ka zobu tehniķu sniegtie pakalpojumi un piegādātās protēzes ir atbrīvojumi no PVN ne tikai gadījumos, kad tie tiek sniegti pacientam, bet arī tad, ja tie tiek sniegti citām personām. </w:t>
            </w:r>
            <w:r w:rsidR="0055429A">
              <w:t>Papildus</w:t>
            </w:r>
            <w:r w:rsidR="00AD5539">
              <w:t xml:space="preserve"> ir nepieciešams </w:t>
            </w:r>
            <w:r w:rsidR="0055429A">
              <w:t>veikt grozījumu</w:t>
            </w:r>
            <w:r w:rsidR="005D0BD1">
              <w:t xml:space="preserve"> MK noteikumos</w:t>
            </w:r>
            <w:r w:rsidR="00AD5539">
              <w:t xml:space="preserve"> Nr.17</w:t>
            </w:r>
            <w:r w:rsidR="0014204D">
              <w:t xml:space="preserve">, </w:t>
            </w:r>
            <w:r w:rsidR="005D0BD1">
              <w:t>svītro</w:t>
            </w:r>
            <w:r w:rsidR="0014204D">
              <w:t>jot</w:t>
            </w:r>
            <w:r w:rsidR="005D0BD1">
              <w:t xml:space="preserve"> </w:t>
            </w:r>
            <w:r w:rsidR="00AD5539">
              <w:t>23.punktu.</w:t>
            </w:r>
          </w:p>
          <w:p w14:paraId="588412CA" w14:textId="46C3AB7A" w:rsidR="003039AC" w:rsidRDefault="00445247" w:rsidP="00227499">
            <w:pPr>
              <w:autoSpaceDE w:val="0"/>
              <w:autoSpaceDN w:val="0"/>
              <w:adjustRightInd w:val="0"/>
              <w:ind w:left="58" w:right="132" w:firstLine="523"/>
              <w:jc w:val="both"/>
            </w:pPr>
            <w:r>
              <w:t>Tāpat likuma 52.panta pirmās daļas 3.punkt</w:t>
            </w:r>
            <w:r w:rsidR="003039AC">
              <w:t>a</w:t>
            </w:r>
            <w:r>
              <w:t xml:space="preserve"> </w:t>
            </w:r>
            <w:r w:rsidR="003039AC">
              <w:t xml:space="preserve">“a” apakšpunktā </w:t>
            </w:r>
            <w:r>
              <w:t>veikt</w:t>
            </w:r>
            <w:r w:rsidR="003039AC">
              <w:t>s</w:t>
            </w:r>
            <w:r>
              <w:t xml:space="preserve"> grozījum</w:t>
            </w:r>
            <w:r w:rsidR="003039AC">
              <w:t>s</w:t>
            </w:r>
            <w:r>
              <w:t xml:space="preserve">, lai precizētu </w:t>
            </w:r>
            <w:r w:rsidR="002524F3">
              <w:t>atbrīvojuma no PVN</w:t>
            </w:r>
            <w:r>
              <w:t xml:space="preserve"> medicīnas pakalpojum</w:t>
            </w:r>
            <w:r w:rsidR="002524F3">
              <w:t>iem tvērumu</w:t>
            </w:r>
            <w:r w:rsidR="005C101C">
              <w:t>. Izslēdzot no likuma apakšpunkta vārdu “pacients”, tiek paplašināta</w:t>
            </w:r>
            <w:r w:rsidR="002524F3">
              <w:t xml:space="preserve"> normas piemērošan</w:t>
            </w:r>
            <w:r w:rsidR="00580E9D">
              <w:t>a</w:t>
            </w:r>
            <w:r w:rsidR="005C101C">
              <w:t xml:space="preserve">, attiecinot normu arī uz </w:t>
            </w:r>
            <w:r w:rsidR="002524F3">
              <w:t xml:space="preserve"> </w:t>
            </w:r>
            <w:r>
              <w:t xml:space="preserve">tādiem medicīnas pakalpojumiem, kurus sniedz </w:t>
            </w:r>
            <w:r w:rsidR="002524F3">
              <w:t>ārstniecības</w:t>
            </w:r>
            <w:r w:rsidRPr="00445247">
              <w:t xml:space="preserve"> </w:t>
            </w:r>
            <w:r>
              <w:t xml:space="preserve">iestāde </w:t>
            </w:r>
            <w:r w:rsidR="002524F3">
              <w:t xml:space="preserve">citas ārstniecības iestādes pacientam sadarbības </w:t>
            </w:r>
            <w:r>
              <w:t xml:space="preserve">līguma ietvaros, kas </w:t>
            </w:r>
            <w:r w:rsidRPr="00445247">
              <w:t xml:space="preserve">ir noslēgts starp </w:t>
            </w:r>
            <w:r w:rsidR="002524F3">
              <w:t xml:space="preserve">šādām </w:t>
            </w:r>
            <w:r w:rsidRPr="00445247">
              <w:t>ārstniecības iestādēm.</w:t>
            </w:r>
            <w:r>
              <w:t xml:space="preserve"> </w:t>
            </w:r>
            <w:r w:rsidR="003B2704">
              <w:t xml:space="preserve">Šāds grozījums ir saistīts ar to, ka arī ārstniecības iestādes, līdzīgi kā citās nozarēs darbojošies uzņēmumi, meklē dažādus biznesa modeļus un savstarpējas sadarbības iespējas, lai </w:t>
            </w:r>
            <w:r w:rsidR="004846F6">
              <w:t>padarītu efektīvāku</w:t>
            </w:r>
            <w:r w:rsidR="003B2704">
              <w:t xml:space="preserve"> savu darbu</w:t>
            </w:r>
            <w:r w:rsidR="002524F3">
              <w:t>, samazinātu izmaksas</w:t>
            </w:r>
            <w:r w:rsidR="003B2704">
              <w:t xml:space="preserve"> un vienlaicīgi nodrošinātu kvalitatīvu pakalpojumu pacientam. Arī a</w:t>
            </w:r>
            <w:r w:rsidR="00A40E89">
              <w:t>tbilstoši ES judikatūrai</w:t>
            </w:r>
            <w:r w:rsidR="00580E9D">
              <w:t xml:space="preserve"> (ES</w:t>
            </w:r>
            <w:r w:rsidR="007456ED">
              <w:t xml:space="preserve"> Tiesas </w:t>
            </w:r>
            <w:r w:rsidR="00580E9D">
              <w:t>spriedums lietā C-366/12)</w:t>
            </w:r>
            <w:r w:rsidR="00A40E89">
              <w:t xml:space="preserve"> šāda atbrīvojuma </w:t>
            </w:r>
            <w:r w:rsidR="00732BE7">
              <w:t xml:space="preserve">mērķis ir medicīnas pakalpojumu izmaksu samazinājums un to pieejamība indivīdam. </w:t>
            </w:r>
            <w:r w:rsidRPr="009142AD">
              <w:t>Papildus nepieciešams veikt grozījumus MK noteikumos Nr.17</w:t>
            </w:r>
            <w:r w:rsidR="003039AC" w:rsidRPr="009142AD">
              <w:t xml:space="preserve">, </w:t>
            </w:r>
            <w:r w:rsidR="00732BE7" w:rsidRPr="009142AD">
              <w:t>lai</w:t>
            </w:r>
            <w:r w:rsidR="003039AC" w:rsidRPr="009142AD">
              <w:t xml:space="preserve"> </w:t>
            </w:r>
            <w:r w:rsidR="00192784" w:rsidRPr="009142AD">
              <w:t xml:space="preserve">noteiktu kārtību, kādā </w:t>
            </w:r>
            <w:r w:rsidR="003039AC" w:rsidRPr="009142AD">
              <w:t xml:space="preserve">likuma 52.panta pirmās daļas 3.punkta “a” apakšpunktā </w:t>
            </w:r>
            <w:r w:rsidR="00DE7EBF" w:rsidRPr="009142AD">
              <w:t>minēt</w:t>
            </w:r>
            <w:r w:rsidR="00192784" w:rsidRPr="009142AD">
              <w:t>ais</w:t>
            </w:r>
            <w:r w:rsidR="00DE7EBF" w:rsidRPr="009142AD">
              <w:t xml:space="preserve"> </w:t>
            </w:r>
            <w:r w:rsidR="00192784" w:rsidRPr="009142AD">
              <w:t>atbrīvojums no PVN ir piemērojams</w:t>
            </w:r>
            <w:r w:rsidR="005C101C" w:rsidRPr="009142AD">
              <w:t>, ja</w:t>
            </w:r>
            <w:r w:rsidR="00192784" w:rsidRPr="009142AD">
              <w:t xml:space="preserve"> pacients medicīnas pakalpojumu saņem citā ārstniecības iestādē, ar kuru ārstniecības iestādei ir sadarbības līgums</w:t>
            </w:r>
            <w:r w:rsidR="005C101C" w:rsidRPr="009142AD">
              <w:t xml:space="preserve"> šī pakalpojuma sniegšanai</w:t>
            </w:r>
            <w:r w:rsidR="00DE7EBF" w:rsidRPr="009142AD">
              <w:t xml:space="preserve"> </w:t>
            </w:r>
            <w:r w:rsidR="001411BA" w:rsidRPr="009142AD">
              <w:t>.</w:t>
            </w:r>
          </w:p>
          <w:p w14:paraId="0DF087B0" w14:textId="1294260A" w:rsidR="00823674" w:rsidRDefault="00823674" w:rsidP="00227499">
            <w:pPr>
              <w:autoSpaceDE w:val="0"/>
              <w:autoSpaceDN w:val="0"/>
              <w:adjustRightInd w:val="0"/>
              <w:ind w:left="58" w:right="132" w:firstLine="523"/>
              <w:jc w:val="both"/>
            </w:pPr>
            <w:r>
              <w:lastRenderedPageBreak/>
              <w:t xml:space="preserve">4. </w:t>
            </w:r>
            <w:r w:rsidR="00706415">
              <w:t>Likuma 103.pantā ir atrunāta priekšnodokļa korekcijas kārtība par ieguldījumiem komercsabiedrības kapitālā. Gadījumos, ja reģistrēts PVN maksātājs veic mantisko ieguldījumu citas personas pamatkapitālā un šo ieguldījumu nav paredzēts izmantot ar PVN apliekamajiem darījumiem, ir jāveic priekšnodokļa korekcija, lai aprēķinātu valsts budžetā atmaksājamā atskaitītā priekšnodokļa daļu. Likuma 103.panta otrajā daļā ir noteikta kārtība, kā aprēķina atmaksājamā priekšnodokļa daļu pamatlīdzekļiem un</w:t>
            </w:r>
            <w:r w:rsidR="0055429A">
              <w:t xml:space="preserve"> citam mantiskajam ieguldījumam</w:t>
            </w:r>
            <w:r w:rsidR="00706415">
              <w:t>. Savukārt likumā nav atrunāta atmaksājamā priekšnodokļa daļa gadījumos, kad ieguldījums ir nemateriālais ieguldījums (piemēram, datorprogrammas, licences). Tā kā nemateriāl</w:t>
            </w:r>
            <w:r w:rsidR="002257D6">
              <w:t>ajiem</w:t>
            </w:r>
            <w:r w:rsidR="00706415">
              <w:t xml:space="preserve"> ieguldījum</w:t>
            </w:r>
            <w:r w:rsidR="002257D6">
              <w:t>iem</w:t>
            </w:r>
            <w:r w:rsidR="00706415">
              <w:t xml:space="preserve"> grāmatvedībā</w:t>
            </w:r>
            <w:r w:rsidR="002257D6">
              <w:t xml:space="preserve"> arī</w:t>
            </w:r>
            <w:r w:rsidR="00706415">
              <w:t xml:space="preserve"> tiek rēķināts nolietojums, ir nepieciešams </w:t>
            </w:r>
            <w:r w:rsidR="0055429A">
              <w:t xml:space="preserve">papildināt likuma 103.panta otrās daļas 1.punktu un </w:t>
            </w:r>
            <w:r w:rsidR="00706415">
              <w:t>noteikt, ka atmaksājamā priekšnodokļa daļa nemateriālajiem ieguldījumiem</w:t>
            </w:r>
            <w:r w:rsidR="0055429A">
              <w:t xml:space="preserve"> </w:t>
            </w:r>
            <w:r w:rsidR="00706415">
              <w:t>pēc analoģijas ar pamatlīdzekļiem ir grāmatvedībā uzskaitītā atlikusī vērtība.</w:t>
            </w:r>
          </w:p>
          <w:p w14:paraId="0A1626D5" w14:textId="10C54C91" w:rsidR="00706415" w:rsidRDefault="00706415" w:rsidP="00706415">
            <w:pPr>
              <w:autoSpaceDE w:val="0"/>
              <w:autoSpaceDN w:val="0"/>
              <w:adjustRightInd w:val="0"/>
              <w:ind w:left="58" w:right="132" w:firstLine="523"/>
              <w:jc w:val="both"/>
            </w:pPr>
            <w:r>
              <w:t xml:space="preserve">5. Likumā nav noteikts īpašs regulējums attiecībā uz PVN rēķinu glabāšanas formu. Galvenais pienākums </w:t>
            </w:r>
            <w:r w:rsidR="00D87C75">
              <w:t xml:space="preserve">reģistrētam </w:t>
            </w:r>
            <w:r>
              <w:t>PVN maksātājam ir nodrošināt PVN rēķina izcelsmes autentiskumu, nemainīgu saturu un salasāmību no PVN rēķina izrakstīšanas brīža līdz glabāšanas termiņa beigām. Direktīvā 2006/112/EK ir paredzēta izvēles iespēja dalībvalstīm attiecībā uz noteikumiem, kas paredz PVN rēķinu glabāšanas formu. Saeimā 2017.gada 9.novembrī pieņemtajos grozījumos likumā “Par grāmatvedību” tika noteikta kārtība</w:t>
            </w:r>
            <w:r w:rsidR="001A5B85">
              <w:t xml:space="preserve">, kā </w:t>
            </w:r>
            <w:r>
              <w:t xml:space="preserve"> papīra attaisnojuma dokumentu</w:t>
            </w:r>
            <w:r w:rsidR="001A5B85">
              <w:t xml:space="preserve"> pārvērst</w:t>
            </w:r>
            <w:r>
              <w:t xml:space="preserve"> </w:t>
            </w:r>
            <w:r w:rsidR="004462FA">
              <w:t xml:space="preserve">elektroniskajā formā </w:t>
            </w:r>
            <w:r>
              <w:t xml:space="preserve">glabāšanai elektroniskajā </w:t>
            </w:r>
            <w:r w:rsidR="004462FA">
              <w:t>vidē</w:t>
            </w:r>
            <w:r>
              <w:t>. Tā kā PVN rēķins</w:t>
            </w:r>
            <w:r w:rsidR="004462FA">
              <w:t>, ja tas satur arī visus likumā “Par grāmatvedību” noteiktos obligātos dokumenta rekvizītus un informāciju par saimniecisko darījumu, var tikt izmantots kā</w:t>
            </w:r>
            <w:r>
              <w:t xml:space="preserve"> grāmatvedības attaisnojuma dokuments, skaidrības labad likuma 133.pantā ir nepieciešams iekļaut atsauci, ka likumā “Par grāmatvedību” esošais regulējums par papīra attaisnojuma dokumentu glabāšanu elektroniskajā formā ir attiecināms arī uz PVN rēķiniem. </w:t>
            </w:r>
          </w:p>
          <w:p w14:paraId="4FD77471" w14:textId="04F8596E" w:rsidR="00CB3472" w:rsidRPr="00CB3472" w:rsidRDefault="00706415" w:rsidP="00227499">
            <w:pPr>
              <w:autoSpaceDE w:val="0"/>
              <w:autoSpaceDN w:val="0"/>
              <w:adjustRightInd w:val="0"/>
              <w:ind w:left="58" w:right="132" w:firstLine="523"/>
              <w:jc w:val="both"/>
            </w:pPr>
            <w:r>
              <w:t>6</w:t>
            </w:r>
            <w:r w:rsidR="00CB3472">
              <w:t xml:space="preserve">. </w:t>
            </w:r>
            <w:r w:rsidR="005B5CD8">
              <w:t>A</w:t>
            </w:r>
            <w:r w:rsidR="00CB3472">
              <w:t>ttiecībā uz apgrieztās jeb reversās PVN maksāšanas kārtības piemērošanu kokmateriālu piegādēm un ar to saistītajiem pakalpojumiem</w:t>
            </w:r>
            <w:r w:rsidR="005B5CD8">
              <w:t xml:space="preserve"> un metāllūžņu piegādēm un ar to saistītiem pakalpojumiem</w:t>
            </w:r>
            <w:r w:rsidR="00304B0B">
              <w:t xml:space="preserve"> </w:t>
            </w:r>
            <w:r w:rsidR="0005388A">
              <w:t xml:space="preserve">ir nepieciešams noteikt, ka </w:t>
            </w:r>
            <w:r w:rsidR="00CB3472">
              <w:t>samaksa par tiem veicama</w:t>
            </w:r>
            <w:r w:rsidR="00C441C5">
              <w:t>,</w:t>
            </w:r>
            <w:r w:rsidR="00CB3472">
              <w:t xml:space="preserve"> izmantojot bezskaidras naudas norēķinus. Š</w:t>
            </w:r>
            <w:r w:rsidR="00C441C5">
              <w:t>ādi</w:t>
            </w:r>
            <w:r w:rsidR="00CB3472">
              <w:t xml:space="preserve"> groz</w:t>
            </w:r>
            <w:r w:rsidR="00C441C5">
              <w:t>ījumi</w:t>
            </w:r>
            <w:r w:rsidR="00CB3472">
              <w:t xml:space="preserve"> nepiecieša</w:t>
            </w:r>
            <w:r w:rsidR="00C441C5">
              <w:t>mi</w:t>
            </w:r>
            <w:r w:rsidR="00CB3472">
              <w:t xml:space="preserve">, lai vienādotu prasības </w:t>
            </w:r>
            <w:r w:rsidR="0005388A">
              <w:t xml:space="preserve">attiecībā uz </w:t>
            </w:r>
            <w:r w:rsidR="0055429A">
              <w:t>norēķinu kārtību</w:t>
            </w:r>
            <w:r w:rsidR="00CB3472">
              <w:t xml:space="preserve"> </w:t>
            </w:r>
            <w:r w:rsidR="0005388A">
              <w:t xml:space="preserve">visos </w:t>
            </w:r>
            <w:r w:rsidR="00CB3472">
              <w:t>apgrieztās jeb reversās PVN maksāšanas kārtības piemērošan</w:t>
            </w:r>
            <w:r w:rsidR="0055429A">
              <w:t xml:space="preserve">as </w:t>
            </w:r>
            <w:r w:rsidR="0005388A">
              <w:t>gadījumos, kā arī lai efektīvāk sasniegtu šajās jomās izvirzīto PVN krāpniecības apkarošanas mērķi</w:t>
            </w:r>
            <w:r w:rsidR="0055429A">
              <w:t>.</w:t>
            </w:r>
            <w:r w:rsidR="00CB3472">
              <w:t xml:space="preserve"> </w:t>
            </w:r>
          </w:p>
          <w:p w14:paraId="77CBF69F" w14:textId="223ED262" w:rsidR="0007735B" w:rsidRPr="001A0BFE" w:rsidRDefault="002A440A" w:rsidP="009C3C05">
            <w:pPr>
              <w:autoSpaceDE w:val="0"/>
              <w:autoSpaceDN w:val="0"/>
              <w:adjustRightInd w:val="0"/>
              <w:ind w:left="58" w:right="132" w:firstLine="523"/>
              <w:jc w:val="both"/>
            </w:pPr>
            <w:r>
              <w:t>7</w:t>
            </w:r>
            <w:r w:rsidR="009C3C05">
              <w:t xml:space="preserve">. Likumprojektā ir veikti arī atsevišķi tehniski precizējumi, piemēram, likuma 53.panta otrajā daļā ir veikts gramatisks labojums, aizstājot vārdu “importam” ar vārdu “importu”. </w:t>
            </w:r>
          </w:p>
        </w:tc>
      </w:tr>
      <w:tr w:rsidR="0016477B" w:rsidRPr="009A6CAD" w14:paraId="37154C7E" w14:textId="77777777" w:rsidTr="0016477B">
        <w:trPr>
          <w:cantSplit/>
        </w:trPr>
        <w:tc>
          <w:tcPr>
            <w:tcW w:w="130" w:type="pct"/>
            <w:hideMark/>
          </w:tcPr>
          <w:p w14:paraId="1BEBCAF6" w14:textId="77777777" w:rsidR="0016477B" w:rsidRPr="00C80EE9" w:rsidRDefault="0016477B" w:rsidP="0016477B">
            <w:pPr>
              <w:jc w:val="center"/>
            </w:pPr>
            <w:r w:rsidRPr="00C80EE9">
              <w:lastRenderedPageBreak/>
              <w:t>3.</w:t>
            </w:r>
          </w:p>
        </w:tc>
        <w:tc>
          <w:tcPr>
            <w:tcW w:w="974" w:type="pct"/>
            <w:hideMark/>
          </w:tcPr>
          <w:p w14:paraId="3FD5FFA8" w14:textId="77777777" w:rsidR="0016477B" w:rsidRPr="00C80EE9" w:rsidRDefault="0016477B" w:rsidP="0016477B">
            <w:r w:rsidRPr="00C80EE9">
              <w:t>Projekta izstrādē iesaistītās institūcijas un publiskas personas kapitālsabiedrības</w:t>
            </w:r>
          </w:p>
        </w:tc>
        <w:tc>
          <w:tcPr>
            <w:tcW w:w="3896" w:type="pct"/>
            <w:hideMark/>
          </w:tcPr>
          <w:p w14:paraId="0FBDA407" w14:textId="77777777" w:rsidR="0016477B" w:rsidRPr="00C80EE9" w:rsidRDefault="0016477B" w:rsidP="0016477B">
            <w:r w:rsidRPr="00C80EE9">
              <w:t>Projekta izstrādē ir iesaistīt</w:t>
            </w:r>
            <w:r>
              <w:t>a</w:t>
            </w:r>
            <w:r w:rsidRPr="00C80EE9">
              <w:t xml:space="preserve"> Finanšu ministrija</w:t>
            </w:r>
            <w:r>
              <w:t xml:space="preserve"> un VID.</w:t>
            </w:r>
          </w:p>
          <w:p w14:paraId="794A6BC5" w14:textId="77777777" w:rsidR="0016477B" w:rsidRPr="00C80EE9" w:rsidRDefault="0016477B" w:rsidP="0016477B"/>
        </w:tc>
      </w:tr>
      <w:tr w:rsidR="0016477B" w:rsidRPr="009A6CAD" w14:paraId="4732932E" w14:textId="77777777" w:rsidTr="0016477B">
        <w:trPr>
          <w:cantSplit/>
        </w:trPr>
        <w:tc>
          <w:tcPr>
            <w:tcW w:w="130" w:type="pct"/>
            <w:hideMark/>
          </w:tcPr>
          <w:p w14:paraId="47245537" w14:textId="77777777" w:rsidR="0016477B" w:rsidRPr="00C80EE9" w:rsidRDefault="0016477B" w:rsidP="0016477B">
            <w:pPr>
              <w:jc w:val="center"/>
            </w:pPr>
            <w:r w:rsidRPr="00C80EE9">
              <w:t>4.</w:t>
            </w:r>
          </w:p>
        </w:tc>
        <w:tc>
          <w:tcPr>
            <w:tcW w:w="974" w:type="pct"/>
            <w:hideMark/>
          </w:tcPr>
          <w:p w14:paraId="57E5F7D8" w14:textId="77777777" w:rsidR="0016477B" w:rsidRPr="00C80EE9" w:rsidRDefault="0016477B" w:rsidP="0016477B">
            <w:r w:rsidRPr="00C80EE9">
              <w:t>Cita informācija</w:t>
            </w:r>
          </w:p>
        </w:tc>
        <w:tc>
          <w:tcPr>
            <w:tcW w:w="3896" w:type="pct"/>
            <w:hideMark/>
          </w:tcPr>
          <w:p w14:paraId="2C6203A5" w14:textId="37F0A149" w:rsidR="0016477B" w:rsidRPr="00C80EE9" w:rsidRDefault="00706415" w:rsidP="00706415">
            <w:r>
              <w:t>Nav</w:t>
            </w:r>
          </w:p>
        </w:tc>
      </w:tr>
    </w:tbl>
    <w:p w14:paraId="2EA7828D" w14:textId="2F2B929C" w:rsidR="00706415" w:rsidRDefault="00706415" w:rsidP="00227499"/>
    <w:tbl>
      <w:tblPr>
        <w:tblpPr w:leftFromText="180" w:rightFromText="180" w:vertAnchor="text" w:horzAnchor="margin" w:tblpY="119"/>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1795"/>
        <w:gridCol w:w="7182"/>
      </w:tblGrid>
      <w:tr w:rsidR="00706415" w:rsidRPr="009A6CAD" w14:paraId="7D67EFB9" w14:textId="77777777" w:rsidTr="00706415">
        <w:trPr>
          <w:cantSplit/>
        </w:trPr>
        <w:tc>
          <w:tcPr>
            <w:tcW w:w="5000" w:type="pct"/>
            <w:gridSpan w:val="3"/>
            <w:vAlign w:val="center"/>
            <w:hideMark/>
          </w:tcPr>
          <w:p w14:paraId="22284190" w14:textId="77777777" w:rsidR="00706415" w:rsidRPr="00C80EE9" w:rsidRDefault="00706415" w:rsidP="00706415">
            <w:pPr>
              <w:rPr>
                <w:b/>
                <w:bCs/>
              </w:rPr>
            </w:pPr>
            <w:r w:rsidRPr="00C80EE9">
              <w:rPr>
                <w:b/>
                <w:bCs/>
              </w:rPr>
              <w:t>II. Tiesību akta projekta ietekme uz sabiedrību, tautsaimniecības attīstību un administratīvo slogu</w:t>
            </w:r>
          </w:p>
        </w:tc>
      </w:tr>
      <w:tr w:rsidR="00706415" w:rsidRPr="009A6CAD" w14:paraId="4100E6C0" w14:textId="77777777" w:rsidTr="00706415">
        <w:trPr>
          <w:cantSplit/>
        </w:trPr>
        <w:tc>
          <w:tcPr>
            <w:tcW w:w="130" w:type="pct"/>
            <w:hideMark/>
          </w:tcPr>
          <w:p w14:paraId="1764982D" w14:textId="77777777" w:rsidR="00706415" w:rsidRPr="00C80EE9" w:rsidRDefault="00706415" w:rsidP="00706415">
            <w:pPr>
              <w:jc w:val="center"/>
            </w:pPr>
            <w:r w:rsidRPr="00C80EE9">
              <w:lastRenderedPageBreak/>
              <w:t>1.</w:t>
            </w:r>
          </w:p>
        </w:tc>
        <w:tc>
          <w:tcPr>
            <w:tcW w:w="974" w:type="pct"/>
            <w:hideMark/>
          </w:tcPr>
          <w:p w14:paraId="092EB584" w14:textId="77777777" w:rsidR="00706415" w:rsidRPr="00C80EE9" w:rsidRDefault="00706415" w:rsidP="00706415">
            <w:r w:rsidRPr="00C80EE9">
              <w:t>Sabiedrības mērķgrupas, kuras tiesiskais regulējums ietekmē vai varētu ietekmēt</w:t>
            </w:r>
          </w:p>
        </w:tc>
        <w:tc>
          <w:tcPr>
            <w:tcW w:w="3896" w:type="pct"/>
            <w:hideMark/>
          </w:tcPr>
          <w:p w14:paraId="5FF64126" w14:textId="77777777" w:rsidR="00706415" w:rsidRDefault="00706415" w:rsidP="00706415">
            <w:pPr>
              <w:ind w:left="58"/>
              <w:jc w:val="both"/>
            </w:pPr>
            <w:r w:rsidRPr="00C80EE9">
              <w:t>Likumprojekta tiesiskais regulējums skar:</w:t>
            </w:r>
          </w:p>
          <w:p w14:paraId="052E317D" w14:textId="53013C28" w:rsidR="00706415" w:rsidRDefault="00706415" w:rsidP="006C2113">
            <w:pPr>
              <w:pStyle w:val="ListParagraph"/>
              <w:numPr>
                <w:ilvl w:val="0"/>
                <w:numId w:val="9"/>
              </w:numPr>
              <w:ind w:right="186"/>
              <w:jc w:val="both"/>
            </w:pPr>
            <w:r w:rsidRPr="005F1BC7">
              <w:t xml:space="preserve">reģistrētus PVN maksātājus, kuri </w:t>
            </w:r>
            <w:r>
              <w:t xml:space="preserve">iesaistās preču piegādes darījumos </w:t>
            </w:r>
            <w:r w:rsidR="00497AEC">
              <w:t>ES</w:t>
            </w:r>
            <w:r>
              <w:t xml:space="preserve"> teritorijā;</w:t>
            </w:r>
          </w:p>
          <w:p w14:paraId="582D445A" w14:textId="716DAC3C" w:rsidR="00706415" w:rsidRDefault="006C2113" w:rsidP="006C2113">
            <w:pPr>
              <w:pStyle w:val="ListParagraph"/>
              <w:numPr>
                <w:ilvl w:val="0"/>
                <w:numId w:val="9"/>
              </w:numPr>
              <w:ind w:right="186"/>
              <w:jc w:val="both"/>
            </w:pPr>
            <w:r>
              <w:t>c</w:t>
            </w:r>
            <w:r w:rsidR="00706415">
              <w:t xml:space="preserve">itas dalībvalsts reģistrētus PVN maksātājus, kas iekšzemē veic preču iegādes </w:t>
            </w:r>
            <w:r w:rsidR="00497AEC">
              <w:t>ES</w:t>
            </w:r>
            <w:r w:rsidR="00706415">
              <w:t xml:space="preserve"> teritorijā;</w:t>
            </w:r>
          </w:p>
          <w:p w14:paraId="66B96A62" w14:textId="5187E24B" w:rsidR="006C2113" w:rsidRDefault="006C2113" w:rsidP="006C2113">
            <w:pPr>
              <w:pStyle w:val="ListParagraph"/>
              <w:numPr>
                <w:ilvl w:val="0"/>
                <w:numId w:val="9"/>
              </w:numPr>
              <w:ind w:right="186"/>
              <w:jc w:val="both"/>
            </w:pPr>
            <w:r>
              <w:t>zobu tehniķus</w:t>
            </w:r>
            <w:r w:rsidR="00497AEC">
              <w:t xml:space="preserve"> un medicīnas pakalpojumu sniedzējus</w:t>
            </w:r>
            <w:r>
              <w:t>;</w:t>
            </w:r>
          </w:p>
          <w:p w14:paraId="1CC6FD4F" w14:textId="19611E00" w:rsidR="0013157C" w:rsidRDefault="0013157C" w:rsidP="006C2113">
            <w:pPr>
              <w:pStyle w:val="ListParagraph"/>
              <w:numPr>
                <w:ilvl w:val="0"/>
                <w:numId w:val="9"/>
              </w:numPr>
              <w:ind w:right="186"/>
              <w:jc w:val="both"/>
            </w:pPr>
            <w:r>
              <w:t>reģistrēti PVN maksātāji, kam jāpiemēro apgrieztā jeb reversā PVN maksāšanas kārtība kokmateriālu piegādēm un ar to saistītajiem pakalpojumiem un metāllūžņu piegādēm un</w:t>
            </w:r>
            <w:r w:rsidR="007501F4">
              <w:t xml:space="preserve"> ar to saistītiem pakalpojumiem.</w:t>
            </w:r>
          </w:p>
          <w:p w14:paraId="5BA41686" w14:textId="6CEA3D1D" w:rsidR="00706415" w:rsidRPr="00C80EE9" w:rsidRDefault="00706415" w:rsidP="00CF6F36">
            <w:pPr>
              <w:pStyle w:val="ListParagraph"/>
              <w:ind w:left="58" w:right="186" w:firstLine="393"/>
              <w:jc w:val="both"/>
            </w:pPr>
            <w:r>
              <w:t xml:space="preserve">Pēc </w:t>
            </w:r>
            <w:r w:rsidRPr="00C80EE9">
              <w:t xml:space="preserve">VID </w:t>
            </w:r>
            <w:r w:rsidRPr="00E750C8">
              <w:t>datiem 201</w:t>
            </w:r>
            <w:r>
              <w:t>9</w:t>
            </w:r>
            <w:r w:rsidRPr="00E750C8">
              <w:t>.gada 1.</w:t>
            </w:r>
            <w:r w:rsidR="00CF6F36">
              <w:t>august</w:t>
            </w:r>
            <w:r>
              <w:t>ā</w:t>
            </w:r>
            <w:r w:rsidRPr="00DF2FAB">
              <w:t xml:space="preserve"> reģistrētu PVN maksātāju skaits ir </w:t>
            </w:r>
            <w:r w:rsidR="00CF6F36">
              <w:t>82 263.</w:t>
            </w:r>
          </w:p>
        </w:tc>
      </w:tr>
      <w:tr w:rsidR="00706415" w:rsidRPr="009A6CAD" w14:paraId="0B37CF3C" w14:textId="77777777" w:rsidTr="00706415">
        <w:trPr>
          <w:cantSplit/>
        </w:trPr>
        <w:tc>
          <w:tcPr>
            <w:tcW w:w="130" w:type="pct"/>
            <w:hideMark/>
          </w:tcPr>
          <w:p w14:paraId="5AA125F2" w14:textId="77777777" w:rsidR="00706415" w:rsidRPr="00345DB4" w:rsidRDefault="00706415" w:rsidP="00706415">
            <w:pPr>
              <w:jc w:val="center"/>
            </w:pPr>
            <w:r w:rsidRPr="00345DB4">
              <w:t>2.</w:t>
            </w:r>
          </w:p>
        </w:tc>
        <w:tc>
          <w:tcPr>
            <w:tcW w:w="974" w:type="pct"/>
            <w:hideMark/>
          </w:tcPr>
          <w:p w14:paraId="733998B7" w14:textId="77777777" w:rsidR="00706415" w:rsidRPr="00345DB4" w:rsidRDefault="00706415" w:rsidP="00706415">
            <w:r w:rsidRPr="00345DB4">
              <w:t>Tiesiskā regulējuma ietekme uz tautsaimniecību un administratīvo slogu</w:t>
            </w:r>
          </w:p>
        </w:tc>
        <w:tc>
          <w:tcPr>
            <w:tcW w:w="3896" w:type="pct"/>
            <w:hideMark/>
          </w:tcPr>
          <w:p w14:paraId="03A4A297" w14:textId="374DD2C3" w:rsidR="00706415" w:rsidRDefault="00706415" w:rsidP="00766236">
            <w:pPr>
              <w:ind w:left="58" w:right="115" w:firstLine="425"/>
              <w:jc w:val="both"/>
            </w:pPr>
            <w:r w:rsidRPr="007634F8">
              <w:t>Likumprojekta ieviešana kopumā pozitīvi ietekmēs uzņēmējdarbības vidi</w:t>
            </w:r>
            <w:r>
              <w:t>. Ieviešot Direktīvā 2018/1910 noteiktos vienkāršošanas pasākumus</w:t>
            </w:r>
            <w:r w:rsidR="005A63DA">
              <w:t>,</w:t>
            </w:r>
            <w:bookmarkStart w:id="0" w:name="_GoBack"/>
            <w:bookmarkEnd w:id="0"/>
            <w:r>
              <w:t xml:space="preserve"> pārrobežu darījumos tiks samazināts administratīvais slogs </w:t>
            </w:r>
            <w:r w:rsidR="00D87C75">
              <w:t xml:space="preserve">reģistrētiem </w:t>
            </w:r>
            <w:r>
              <w:t>PVN maksātājiem un panākta juridiskā noteiktība PVN piemērošanā.</w:t>
            </w:r>
          </w:p>
          <w:p w14:paraId="5DFE22F1" w14:textId="6D8A968C" w:rsidR="00706415" w:rsidRDefault="00706415" w:rsidP="00766236">
            <w:pPr>
              <w:ind w:left="58" w:right="115" w:firstLine="425"/>
              <w:jc w:val="both"/>
            </w:pPr>
            <w:r w:rsidRPr="008559F3">
              <w:t>Veicot preču piegādi uz noliktavu citā dalībvalstī, reģistrētam PVN maksātājam nebūs pienākuma reģistrēties citas dalībvalsts PVN maksātāju reģistrā</w:t>
            </w:r>
            <w:r>
              <w:t>, lai deklarētu veikto preču iegādi citā dalībvalstī un turpmāko piegādi citas dalībvalsts PVN maksātājam</w:t>
            </w:r>
            <w:r w:rsidRPr="008559F3">
              <w:t xml:space="preserve">. </w:t>
            </w:r>
            <w:r>
              <w:t xml:space="preserve">Arī citas dalībvalsts reģistrētiem PVN maksātājiem, veicot preču piegādi uz noliktavu Latvijā, būs tiesības nereģistrēties VID PVN maksātāju reģistrā. Tādā veidā </w:t>
            </w:r>
            <w:r w:rsidR="00D87C75">
              <w:t xml:space="preserve">reģistrētiem </w:t>
            </w:r>
            <w:r>
              <w:t xml:space="preserve">PVN maksātājiem, veicot preču piegādi uz noliktavu, tiek samazināts administratīvais slogs, jo tie tiek atbrīvoti no PVN saistību izpildes citā dalībvalstī. </w:t>
            </w:r>
          </w:p>
          <w:p w14:paraId="798F5835" w14:textId="0341DCCD" w:rsidR="006C2113" w:rsidRPr="00345DB4" w:rsidRDefault="00706415" w:rsidP="00766236">
            <w:pPr>
              <w:ind w:left="58" w:right="109" w:firstLine="425"/>
              <w:jc w:val="both"/>
            </w:pPr>
            <w:r>
              <w:t>Ieviešot Direktīvas 2018/1910 regulējumu par PVN atbrīvojuma (PVN 0 procentu likmes) piemērošanu darījumu ķēde, tiek panākta juridiskā noteiktībā, kuram tieši ķēdes posmam ir piemērojams minētais atbrīvojums. Tas samazinās administratīvo slogu</w:t>
            </w:r>
            <w:r w:rsidR="00D87C75">
              <w:t xml:space="preserve"> reģistrētiem</w:t>
            </w:r>
            <w:r>
              <w:t xml:space="preserve"> PVN maksātājiem, izvērtējot pareizu PVN piemērošanu darījumu ķēdes ietvaros veiktajiem darījumiem. </w:t>
            </w:r>
          </w:p>
        </w:tc>
      </w:tr>
      <w:tr w:rsidR="00706415" w:rsidRPr="009A6CAD" w14:paraId="1C6DD746" w14:textId="77777777" w:rsidTr="00706415">
        <w:trPr>
          <w:cantSplit/>
        </w:trPr>
        <w:tc>
          <w:tcPr>
            <w:tcW w:w="130" w:type="pct"/>
            <w:hideMark/>
          </w:tcPr>
          <w:p w14:paraId="7715EC83" w14:textId="77777777" w:rsidR="00706415" w:rsidRPr="00345DB4" w:rsidRDefault="00706415" w:rsidP="00706415">
            <w:pPr>
              <w:jc w:val="center"/>
            </w:pPr>
            <w:r w:rsidRPr="00345DB4">
              <w:t>3.</w:t>
            </w:r>
          </w:p>
        </w:tc>
        <w:tc>
          <w:tcPr>
            <w:tcW w:w="974" w:type="pct"/>
            <w:hideMark/>
          </w:tcPr>
          <w:p w14:paraId="1F1F54E1" w14:textId="77777777" w:rsidR="00706415" w:rsidRPr="00345DB4" w:rsidRDefault="00706415" w:rsidP="00706415">
            <w:r w:rsidRPr="00345DB4">
              <w:t>Administratīvo izmaksu monetārs novērtējums</w:t>
            </w:r>
          </w:p>
        </w:tc>
        <w:tc>
          <w:tcPr>
            <w:tcW w:w="3896" w:type="pct"/>
            <w:hideMark/>
          </w:tcPr>
          <w:p w14:paraId="1007F5D0" w14:textId="77777777" w:rsidR="00706415" w:rsidRPr="005935D8" w:rsidRDefault="00706415" w:rsidP="00706415">
            <w:pPr>
              <w:ind w:left="58" w:right="109"/>
              <w:jc w:val="both"/>
            </w:pPr>
            <w:r w:rsidRPr="00524B6E">
              <w:t>Likumprojekt</w:t>
            </w:r>
            <w:r>
              <w:t xml:space="preserve">a </w:t>
            </w:r>
            <w:r w:rsidRPr="00181D11">
              <w:t>administratīvo izmaksu monetāru aprēķinu nav iespējams veikt.</w:t>
            </w:r>
            <w:r>
              <w:t xml:space="preserve"> Attiecībā uz grozījumiem par vienkāršošanas pasākumiem pārrobežu darījumos var secināt, ka administratīvo izmaksu novērtējumam kopumā ir jābūt pozitīvam, jo tiek vienkāršota PVN piemērošana atsevišķās situācijās un panākta juridiskā noteiktība.</w:t>
            </w:r>
          </w:p>
        </w:tc>
      </w:tr>
      <w:tr w:rsidR="00706415" w:rsidRPr="009A6CAD" w14:paraId="79E9CEB0" w14:textId="77777777" w:rsidTr="00706415">
        <w:trPr>
          <w:cantSplit/>
        </w:trPr>
        <w:tc>
          <w:tcPr>
            <w:tcW w:w="130" w:type="pct"/>
            <w:hideMark/>
          </w:tcPr>
          <w:p w14:paraId="3CE86070" w14:textId="77777777" w:rsidR="00706415" w:rsidRPr="005935D8" w:rsidRDefault="00706415" w:rsidP="00706415">
            <w:pPr>
              <w:jc w:val="center"/>
            </w:pPr>
            <w:r w:rsidRPr="005935D8">
              <w:t>4.</w:t>
            </w:r>
          </w:p>
        </w:tc>
        <w:tc>
          <w:tcPr>
            <w:tcW w:w="974" w:type="pct"/>
            <w:hideMark/>
          </w:tcPr>
          <w:p w14:paraId="39C87185" w14:textId="77777777" w:rsidR="00706415" w:rsidRPr="005935D8" w:rsidRDefault="00706415" w:rsidP="00706415">
            <w:r w:rsidRPr="005935D8">
              <w:t>Atbilstības izmaksu monetārs novērtējums</w:t>
            </w:r>
          </w:p>
        </w:tc>
        <w:tc>
          <w:tcPr>
            <w:tcW w:w="3896" w:type="pct"/>
            <w:hideMark/>
          </w:tcPr>
          <w:p w14:paraId="59B7C412" w14:textId="77777777" w:rsidR="00706415" w:rsidRPr="005935D8" w:rsidRDefault="00706415" w:rsidP="00706415">
            <w:r>
              <w:t>Nav</w:t>
            </w:r>
          </w:p>
        </w:tc>
      </w:tr>
      <w:tr w:rsidR="00706415" w:rsidRPr="009A6CAD" w14:paraId="69787E41" w14:textId="77777777" w:rsidTr="00706415">
        <w:trPr>
          <w:cantSplit/>
        </w:trPr>
        <w:tc>
          <w:tcPr>
            <w:tcW w:w="130" w:type="pct"/>
            <w:hideMark/>
          </w:tcPr>
          <w:p w14:paraId="19AB2236" w14:textId="77777777" w:rsidR="00706415" w:rsidRPr="005935D8" w:rsidRDefault="00706415" w:rsidP="00706415">
            <w:pPr>
              <w:jc w:val="center"/>
            </w:pPr>
            <w:r w:rsidRPr="005935D8">
              <w:t>5.</w:t>
            </w:r>
          </w:p>
        </w:tc>
        <w:tc>
          <w:tcPr>
            <w:tcW w:w="974" w:type="pct"/>
            <w:hideMark/>
          </w:tcPr>
          <w:p w14:paraId="554C3739" w14:textId="77777777" w:rsidR="00706415" w:rsidRPr="005935D8" w:rsidRDefault="00706415" w:rsidP="00706415">
            <w:r w:rsidRPr="005935D8">
              <w:t>Cita informācija</w:t>
            </w:r>
          </w:p>
        </w:tc>
        <w:tc>
          <w:tcPr>
            <w:tcW w:w="3896" w:type="pct"/>
            <w:hideMark/>
          </w:tcPr>
          <w:p w14:paraId="67EF7C17" w14:textId="77777777" w:rsidR="00706415" w:rsidRPr="005935D8" w:rsidRDefault="00706415" w:rsidP="00706415">
            <w:r w:rsidRPr="005935D8">
              <w:t>Nav</w:t>
            </w:r>
          </w:p>
        </w:tc>
      </w:tr>
    </w:tbl>
    <w:p w14:paraId="5DCD40CA" w14:textId="0BA79E6F" w:rsidR="00726538" w:rsidRDefault="00726538" w:rsidP="00DE2739">
      <w:pPr>
        <w:jc w:val="both"/>
        <w:sectPr w:rsidR="00726538" w:rsidSect="001609A9">
          <w:type w:val="continuous"/>
          <w:pgSz w:w="11906" w:h="16838"/>
          <w:pgMar w:top="1077" w:right="1797" w:bottom="567" w:left="1797" w:header="709" w:footer="454" w:gutter="0"/>
          <w:cols w:space="708"/>
          <w:titlePg/>
          <w:docGrid w:linePitch="360"/>
        </w:sectPr>
      </w:pPr>
    </w:p>
    <w:p w14:paraId="079476ED" w14:textId="77777777" w:rsidR="000D06F6" w:rsidRDefault="000D06F6" w:rsidP="004F5DC3">
      <w:pPr>
        <w:jc w:val="center"/>
        <w:rPr>
          <w:b/>
          <w:bCs/>
          <w:lang w:eastAsia="en-US"/>
        </w:rPr>
        <w:sectPr w:rsidR="000D06F6" w:rsidSect="001609A9">
          <w:type w:val="continuous"/>
          <w:pgSz w:w="11906" w:h="16838"/>
          <w:pgMar w:top="1077" w:right="1797" w:bottom="567" w:left="1797" w:header="709" w:footer="709" w:gutter="0"/>
          <w:cols w:space="708"/>
          <w:titlePg/>
          <w:docGrid w:linePitch="360"/>
        </w:sectPr>
      </w:pPr>
    </w:p>
    <w:tbl>
      <w:tblPr>
        <w:tblW w:w="555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24"/>
        <w:gridCol w:w="994"/>
        <w:gridCol w:w="994"/>
        <w:gridCol w:w="885"/>
        <w:gridCol w:w="992"/>
        <w:gridCol w:w="1032"/>
        <w:gridCol w:w="1099"/>
        <w:gridCol w:w="1097"/>
      </w:tblGrid>
      <w:tr w:rsidR="00C41052" w:rsidRPr="009A6CAD" w14:paraId="2F641479" w14:textId="77777777" w:rsidTr="00C41052">
        <w:trPr>
          <w:cantSplit/>
        </w:trPr>
        <w:tc>
          <w:tcPr>
            <w:tcW w:w="5000" w:type="pct"/>
            <w:gridSpan w:val="8"/>
            <w:shd w:val="clear" w:color="auto" w:fill="auto"/>
            <w:vAlign w:val="center"/>
            <w:hideMark/>
          </w:tcPr>
          <w:p w14:paraId="0E6AB9BC" w14:textId="3F4CFD0B" w:rsidR="00C41052" w:rsidRPr="005935D8" w:rsidRDefault="00C41052" w:rsidP="004F5DC3">
            <w:pPr>
              <w:jc w:val="center"/>
              <w:rPr>
                <w:b/>
                <w:bCs/>
                <w:lang w:eastAsia="en-US"/>
              </w:rPr>
            </w:pPr>
            <w:r w:rsidRPr="005935D8">
              <w:rPr>
                <w:b/>
                <w:bCs/>
                <w:lang w:eastAsia="en-US"/>
              </w:rPr>
              <w:lastRenderedPageBreak/>
              <w:t>III. Tiesību akta projekta ietekme uz valsts budžetu un pašvaldību budžetiem</w:t>
            </w:r>
          </w:p>
        </w:tc>
      </w:tr>
      <w:tr w:rsidR="00C41052" w:rsidRPr="009A6CAD" w14:paraId="06A190E0" w14:textId="77777777" w:rsidTr="00C41052">
        <w:trPr>
          <w:cantSplit/>
        </w:trPr>
        <w:tc>
          <w:tcPr>
            <w:tcW w:w="1153" w:type="pct"/>
            <w:vMerge w:val="restart"/>
            <w:shd w:val="clear" w:color="auto" w:fill="FFFFFF"/>
            <w:vAlign w:val="center"/>
          </w:tcPr>
          <w:p w14:paraId="2D72421F" w14:textId="77777777" w:rsidR="00C41052" w:rsidRPr="005935D8" w:rsidRDefault="00C41052" w:rsidP="004F5DC3">
            <w:pPr>
              <w:jc w:val="center"/>
              <w:rPr>
                <w:bCs/>
                <w:lang w:eastAsia="en-US"/>
              </w:rPr>
            </w:pPr>
            <w:r w:rsidRPr="005935D8">
              <w:rPr>
                <w:bCs/>
                <w:lang w:eastAsia="en-US"/>
              </w:rPr>
              <w:t>Rādītāji</w:t>
            </w:r>
          </w:p>
        </w:tc>
        <w:tc>
          <w:tcPr>
            <w:tcW w:w="1078" w:type="pct"/>
            <w:gridSpan w:val="2"/>
            <w:vMerge w:val="restart"/>
            <w:shd w:val="clear" w:color="auto" w:fill="FFFFFF"/>
            <w:vAlign w:val="center"/>
            <w:hideMark/>
          </w:tcPr>
          <w:p w14:paraId="135F62C6" w14:textId="4D35E7DF" w:rsidR="00C41052" w:rsidRPr="005935D8" w:rsidRDefault="00746E52" w:rsidP="004F5DC3">
            <w:pPr>
              <w:jc w:val="center"/>
              <w:rPr>
                <w:bCs/>
                <w:lang w:eastAsia="en-US"/>
              </w:rPr>
            </w:pPr>
            <w:r>
              <w:rPr>
                <w:bCs/>
                <w:lang w:eastAsia="en-US"/>
              </w:rPr>
              <w:t>2019</w:t>
            </w:r>
          </w:p>
        </w:tc>
        <w:tc>
          <w:tcPr>
            <w:tcW w:w="2769" w:type="pct"/>
            <w:gridSpan w:val="5"/>
            <w:shd w:val="clear" w:color="auto" w:fill="FFFFFF"/>
            <w:vAlign w:val="center"/>
            <w:hideMark/>
          </w:tcPr>
          <w:p w14:paraId="4D5D12A8" w14:textId="77777777" w:rsidR="00C41052" w:rsidRPr="005935D8" w:rsidRDefault="00C41052" w:rsidP="004F5DC3">
            <w:pPr>
              <w:jc w:val="center"/>
              <w:rPr>
                <w:lang w:eastAsia="en-US"/>
              </w:rPr>
            </w:pPr>
            <w:r w:rsidRPr="005935D8">
              <w:rPr>
                <w:lang w:eastAsia="en-US"/>
              </w:rPr>
              <w:t>Turpmākie trīs gadi (</w:t>
            </w:r>
            <w:r w:rsidRPr="005935D8">
              <w:rPr>
                <w:i/>
                <w:iCs/>
                <w:lang w:eastAsia="en-US"/>
              </w:rPr>
              <w:t>euro</w:t>
            </w:r>
            <w:r w:rsidRPr="005935D8">
              <w:rPr>
                <w:lang w:eastAsia="en-US"/>
              </w:rPr>
              <w:t>)</w:t>
            </w:r>
          </w:p>
        </w:tc>
      </w:tr>
      <w:tr w:rsidR="00C41052" w:rsidRPr="009A6CAD" w14:paraId="1276AE4E" w14:textId="77777777" w:rsidTr="00C41052">
        <w:trPr>
          <w:cantSplit/>
        </w:trPr>
        <w:tc>
          <w:tcPr>
            <w:tcW w:w="1153" w:type="pct"/>
            <w:vMerge/>
            <w:shd w:val="clear" w:color="auto" w:fill="auto"/>
            <w:vAlign w:val="center"/>
            <w:hideMark/>
          </w:tcPr>
          <w:p w14:paraId="7F3F8CAE" w14:textId="77777777" w:rsidR="00C41052" w:rsidRPr="00B452AE" w:rsidRDefault="00C41052" w:rsidP="004F5DC3">
            <w:pPr>
              <w:jc w:val="center"/>
              <w:rPr>
                <w:bCs/>
                <w:lang w:eastAsia="en-US"/>
              </w:rPr>
            </w:pPr>
          </w:p>
        </w:tc>
        <w:tc>
          <w:tcPr>
            <w:tcW w:w="1078" w:type="pct"/>
            <w:gridSpan w:val="2"/>
            <w:vMerge/>
            <w:shd w:val="clear" w:color="auto" w:fill="auto"/>
            <w:vAlign w:val="center"/>
            <w:hideMark/>
          </w:tcPr>
          <w:p w14:paraId="4404EEF7" w14:textId="77777777" w:rsidR="00C41052" w:rsidRPr="00B452AE" w:rsidRDefault="00C41052" w:rsidP="004F5DC3">
            <w:pPr>
              <w:jc w:val="center"/>
              <w:rPr>
                <w:bCs/>
                <w:lang w:eastAsia="en-US"/>
              </w:rPr>
            </w:pPr>
          </w:p>
        </w:tc>
        <w:tc>
          <w:tcPr>
            <w:tcW w:w="1018" w:type="pct"/>
            <w:gridSpan w:val="2"/>
            <w:shd w:val="clear" w:color="auto" w:fill="FFFFFF"/>
            <w:vAlign w:val="center"/>
            <w:hideMark/>
          </w:tcPr>
          <w:p w14:paraId="0C504809" w14:textId="0B34B2F1" w:rsidR="00C41052" w:rsidRPr="00B452AE" w:rsidRDefault="00746E52" w:rsidP="004F5DC3">
            <w:pPr>
              <w:jc w:val="center"/>
              <w:rPr>
                <w:bCs/>
                <w:lang w:eastAsia="en-US"/>
              </w:rPr>
            </w:pPr>
            <w:r>
              <w:rPr>
                <w:bCs/>
                <w:lang w:eastAsia="en-US"/>
              </w:rPr>
              <w:t>2020</w:t>
            </w:r>
          </w:p>
        </w:tc>
        <w:tc>
          <w:tcPr>
            <w:tcW w:w="1156" w:type="pct"/>
            <w:gridSpan w:val="2"/>
            <w:shd w:val="clear" w:color="auto" w:fill="FFFFFF"/>
            <w:vAlign w:val="center"/>
            <w:hideMark/>
          </w:tcPr>
          <w:p w14:paraId="7EE82DA0" w14:textId="30FC0D0E" w:rsidR="00C41052" w:rsidRPr="00B452AE" w:rsidRDefault="00746E52" w:rsidP="004F5DC3">
            <w:pPr>
              <w:jc w:val="center"/>
              <w:rPr>
                <w:bCs/>
                <w:lang w:eastAsia="en-US"/>
              </w:rPr>
            </w:pPr>
            <w:r>
              <w:rPr>
                <w:bCs/>
                <w:lang w:eastAsia="en-US"/>
              </w:rPr>
              <w:t>2021</w:t>
            </w:r>
          </w:p>
        </w:tc>
        <w:tc>
          <w:tcPr>
            <w:tcW w:w="595" w:type="pct"/>
            <w:shd w:val="clear" w:color="auto" w:fill="FFFFFF"/>
            <w:vAlign w:val="center"/>
            <w:hideMark/>
          </w:tcPr>
          <w:p w14:paraId="2C2B4159" w14:textId="108946B0" w:rsidR="00C41052" w:rsidRPr="00B452AE" w:rsidRDefault="00746E52" w:rsidP="004F5DC3">
            <w:pPr>
              <w:jc w:val="center"/>
              <w:rPr>
                <w:bCs/>
                <w:lang w:eastAsia="en-US"/>
              </w:rPr>
            </w:pPr>
            <w:r>
              <w:rPr>
                <w:bCs/>
                <w:lang w:eastAsia="en-US"/>
              </w:rPr>
              <w:t>2022</w:t>
            </w:r>
          </w:p>
        </w:tc>
      </w:tr>
      <w:tr w:rsidR="00C41052" w:rsidRPr="009A6CAD" w14:paraId="754F06E6" w14:textId="77777777" w:rsidTr="00C41052">
        <w:trPr>
          <w:cantSplit/>
        </w:trPr>
        <w:tc>
          <w:tcPr>
            <w:tcW w:w="1153" w:type="pct"/>
            <w:vMerge/>
            <w:shd w:val="clear" w:color="auto" w:fill="auto"/>
            <w:vAlign w:val="center"/>
            <w:hideMark/>
          </w:tcPr>
          <w:p w14:paraId="6E0997F0" w14:textId="77777777" w:rsidR="00C41052" w:rsidRPr="00B452AE" w:rsidRDefault="00C41052" w:rsidP="004F5DC3">
            <w:pPr>
              <w:jc w:val="center"/>
              <w:rPr>
                <w:b/>
                <w:bCs/>
                <w:lang w:eastAsia="en-US"/>
              </w:rPr>
            </w:pPr>
          </w:p>
        </w:tc>
        <w:tc>
          <w:tcPr>
            <w:tcW w:w="539" w:type="pct"/>
            <w:shd w:val="clear" w:color="auto" w:fill="FFFFFF"/>
            <w:vAlign w:val="center"/>
            <w:hideMark/>
          </w:tcPr>
          <w:p w14:paraId="0116B579" w14:textId="77777777" w:rsidR="00C41052" w:rsidRPr="00B452AE" w:rsidRDefault="00C41052" w:rsidP="004F5DC3">
            <w:pPr>
              <w:jc w:val="center"/>
              <w:rPr>
                <w:lang w:eastAsia="en-US"/>
              </w:rPr>
            </w:pPr>
            <w:r w:rsidRPr="00B452AE">
              <w:rPr>
                <w:lang w:eastAsia="en-US"/>
              </w:rPr>
              <w:t>saskaņā ar valsts budžetu kārtējam gadam</w:t>
            </w:r>
          </w:p>
        </w:tc>
        <w:tc>
          <w:tcPr>
            <w:tcW w:w="539" w:type="pct"/>
            <w:shd w:val="clear" w:color="auto" w:fill="FFFFFF"/>
            <w:vAlign w:val="center"/>
            <w:hideMark/>
          </w:tcPr>
          <w:p w14:paraId="5F3C89FE" w14:textId="77777777" w:rsidR="00C41052" w:rsidRPr="00B452AE" w:rsidRDefault="00C41052" w:rsidP="004F5DC3">
            <w:pPr>
              <w:jc w:val="center"/>
              <w:rPr>
                <w:lang w:eastAsia="en-US"/>
              </w:rPr>
            </w:pPr>
            <w:r w:rsidRPr="00B452AE">
              <w:rPr>
                <w:lang w:eastAsia="en-US"/>
              </w:rPr>
              <w:t>izmaiņas kārtējā gadā, salīdzinot ar valsts budžetu kārtējam gadam</w:t>
            </w:r>
          </w:p>
        </w:tc>
        <w:tc>
          <w:tcPr>
            <w:tcW w:w="480" w:type="pct"/>
            <w:shd w:val="clear" w:color="auto" w:fill="FFFFFF"/>
            <w:vAlign w:val="center"/>
            <w:hideMark/>
          </w:tcPr>
          <w:p w14:paraId="3086C777" w14:textId="77777777" w:rsidR="00C41052" w:rsidRPr="00B452AE" w:rsidRDefault="00C41052" w:rsidP="004F5DC3">
            <w:pPr>
              <w:jc w:val="center"/>
              <w:rPr>
                <w:lang w:eastAsia="en-US"/>
              </w:rPr>
            </w:pPr>
            <w:r w:rsidRPr="00B452AE">
              <w:rPr>
                <w:lang w:eastAsia="en-US"/>
              </w:rPr>
              <w:t>saskaņā ar vidēja termiņa budžeta ietvaru</w:t>
            </w:r>
          </w:p>
        </w:tc>
        <w:tc>
          <w:tcPr>
            <w:tcW w:w="538" w:type="pct"/>
            <w:shd w:val="clear" w:color="auto" w:fill="FFFFFF"/>
            <w:vAlign w:val="center"/>
            <w:hideMark/>
          </w:tcPr>
          <w:p w14:paraId="3D9EFEA4" w14:textId="24323249" w:rsidR="00C41052" w:rsidRPr="00B452AE" w:rsidRDefault="00C41052" w:rsidP="004F5DC3">
            <w:pPr>
              <w:jc w:val="center"/>
              <w:rPr>
                <w:lang w:eastAsia="en-US"/>
              </w:rPr>
            </w:pPr>
            <w:r w:rsidRPr="00B452AE">
              <w:rPr>
                <w:lang w:eastAsia="en-US"/>
              </w:rPr>
              <w:t>izmaiņas, salīdzinot ar vi</w:t>
            </w:r>
            <w:r w:rsidR="00F50C2F">
              <w:rPr>
                <w:lang w:eastAsia="en-US"/>
              </w:rPr>
              <w:t>dēja termiņa budžeta ietvaru 2020.</w:t>
            </w:r>
            <w:r w:rsidRPr="00B452AE">
              <w:rPr>
                <w:lang w:eastAsia="en-US"/>
              </w:rPr>
              <w:t xml:space="preserve"> gadam</w:t>
            </w:r>
          </w:p>
        </w:tc>
        <w:tc>
          <w:tcPr>
            <w:tcW w:w="560" w:type="pct"/>
            <w:shd w:val="clear" w:color="auto" w:fill="FFFFFF"/>
            <w:vAlign w:val="center"/>
            <w:hideMark/>
          </w:tcPr>
          <w:p w14:paraId="179BAE53" w14:textId="77777777" w:rsidR="00C41052" w:rsidRPr="00B452AE" w:rsidRDefault="00C41052" w:rsidP="004F5DC3">
            <w:pPr>
              <w:jc w:val="center"/>
              <w:rPr>
                <w:lang w:eastAsia="en-US"/>
              </w:rPr>
            </w:pPr>
            <w:r w:rsidRPr="00B452AE">
              <w:rPr>
                <w:lang w:eastAsia="en-US"/>
              </w:rPr>
              <w:t>saskaņā ar vidēja termiņa budžeta ietvaru</w:t>
            </w:r>
          </w:p>
        </w:tc>
        <w:tc>
          <w:tcPr>
            <w:tcW w:w="596" w:type="pct"/>
            <w:shd w:val="clear" w:color="auto" w:fill="FFFFFF"/>
            <w:vAlign w:val="center"/>
            <w:hideMark/>
          </w:tcPr>
          <w:p w14:paraId="4A7B6A56" w14:textId="5A7D2B4E" w:rsidR="00C41052" w:rsidRPr="00B452AE" w:rsidRDefault="00C41052" w:rsidP="004F5DC3">
            <w:pPr>
              <w:jc w:val="center"/>
              <w:rPr>
                <w:lang w:eastAsia="en-US"/>
              </w:rPr>
            </w:pPr>
            <w:r w:rsidRPr="00B452AE">
              <w:rPr>
                <w:lang w:eastAsia="en-US"/>
              </w:rPr>
              <w:t>izmaiņas, salīdzinot ar v</w:t>
            </w:r>
            <w:r w:rsidR="00F50C2F">
              <w:rPr>
                <w:lang w:eastAsia="en-US"/>
              </w:rPr>
              <w:t xml:space="preserve">idēja termiņa budžeta ietvaru </w:t>
            </w:r>
            <w:r w:rsidRPr="00B452AE">
              <w:rPr>
                <w:lang w:eastAsia="en-US"/>
              </w:rPr>
              <w:t>2</w:t>
            </w:r>
            <w:r w:rsidR="00F50C2F">
              <w:rPr>
                <w:lang w:eastAsia="en-US"/>
              </w:rPr>
              <w:t>021.</w:t>
            </w:r>
            <w:r w:rsidRPr="00B452AE">
              <w:rPr>
                <w:lang w:eastAsia="en-US"/>
              </w:rPr>
              <w:t xml:space="preserve"> gadam</w:t>
            </w:r>
          </w:p>
        </w:tc>
        <w:tc>
          <w:tcPr>
            <w:tcW w:w="595" w:type="pct"/>
            <w:shd w:val="clear" w:color="auto" w:fill="FFFFFF"/>
            <w:vAlign w:val="center"/>
            <w:hideMark/>
          </w:tcPr>
          <w:p w14:paraId="7BAB4A51" w14:textId="32AB9737" w:rsidR="00C41052" w:rsidRPr="00B452AE" w:rsidRDefault="00C41052" w:rsidP="004F5DC3">
            <w:pPr>
              <w:jc w:val="center"/>
              <w:rPr>
                <w:lang w:eastAsia="en-US"/>
              </w:rPr>
            </w:pPr>
            <w:r w:rsidRPr="00B452AE">
              <w:rPr>
                <w:lang w:eastAsia="en-US"/>
              </w:rPr>
              <w:t>izmaiņas, salīdzinot ar vi</w:t>
            </w:r>
            <w:r w:rsidR="00F50C2F">
              <w:rPr>
                <w:lang w:eastAsia="en-US"/>
              </w:rPr>
              <w:t xml:space="preserve">dēja termiņa budžeta ietvaru </w:t>
            </w:r>
            <w:r w:rsidR="00F50C2F">
              <w:rPr>
                <w:lang w:eastAsia="en-US"/>
              </w:rPr>
              <w:br/>
            </w:r>
            <w:r w:rsidRPr="00B452AE">
              <w:rPr>
                <w:lang w:eastAsia="en-US"/>
              </w:rPr>
              <w:t>2</w:t>
            </w:r>
            <w:r w:rsidR="00F50C2F">
              <w:rPr>
                <w:lang w:eastAsia="en-US"/>
              </w:rPr>
              <w:t>021.</w:t>
            </w:r>
            <w:r w:rsidRPr="00B452AE">
              <w:rPr>
                <w:lang w:eastAsia="en-US"/>
              </w:rPr>
              <w:t xml:space="preserve"> gadam</w:t>
            </w:r>
          </w:p>
        </w:tc>
      </w:tr>
      <w:tr w:rsidR="00C41052" w:rsidRPr="009A6CAD" w14:paraId="0F205A40" w14:textId="77777777" w:rsidTr="00C41052">
        <w:trPr>
          <w:cantSplit/>
        </w:trPr>
        <w:tc>
          <w:tcPr>
            <w:tcW w:w="1153" w:type="pct"/>
            <w:shd w:val="clear" w:color="auto" w:fill="FFFFFF"/>
            <w:vAlign w:val="center"/>
            <w:hideMark/>
          </w:tcPr>
          <w:p w14:paraId="73C8A0F5" w14:textId="77777777" w:rsidR="00C41052" w:rsidRPr="005935D8" w:rsidRDefault="00C41052" w:rsidP="004F5DC3">
            <w:pPr>
              <w:jc w:val="center"/>
              <w:rPr>
                <w:lang w:eastAsia="en-US"/>
              </w:rPr>
            </w:pPr>
            <w:r w:rsidRPr="005935D8">
              <w:rPr>
                <w:lang w:eastAsia="en-US"/>
              </w:rPr>
              <w:t>1</w:t>
            </w:r>
          </w:p>
        </w:tc>
        <w:tc>
          <w:tcPr>
            <w:tcW w:w="539" w:type="pct"/>
            <w:shd w:val="clear" w:color="auto" w:fill="FFFFFF"/>
            <w:vAlign w:val="center"/>
            <w:hideMark/>
          </w:tcPr>
          <w:p w14:paraId="72D3DD7F" w14:textId="77777777" w:rsidR="00C41052" w:rsidRPr="005935D8" w:rsidRDefault="00C41052" w:rsidP="004F5DC3">
            <w:pPr>
              <w:jc w:val="center"/>
              <w:rPr>
                <w:lang w:eastAsia="en-US"/>
              </w:rPr>
            </w:pPr>
            <w:r w:rsidRPr="005935D8">
              <w:rPr>
                <w:lang w:eastAsia="en-US"/>
              </w:rPr>
              <w:t>2</w:t>
            </w:r>
          </w:p>
        </w:tc>
        <w:tc>
          <w:tcPr>
            <w:tcW w:w="539" w:type="pct"/>
            <w:shd w:val="clear" w:color="auto" w:fill="FFFFFF"/>
            <w:vAlign w:val="center"/>
            <w:hideMark/>
          </w:tcPr>
          <w:p w14:paraId="44E55323" w14:textId="77777777" w:rsidR="00C41052" w:rsidRPr="005935D8" w:rsidRDefault="00C41052" w:rsidP="004F5DC3">
            <w:pPr>
              <w:jc w:val="center"/>
              <w:rPr>
                <w:lang w:eastAsia="en-US"/>
              </w:rPr>
            </w:pPr>
            <w:r w:rsidRPr="005935D8">
              <w:rPr>
                <w:lang w:eastAsia="en-US"/>
              </w:rPr>
              <w:t>3</w:t>
            </w:r>
          </w:p>
        </w:tc>
        <w:tc>
          <w:tcPr>
            <w:tcW w:w="480" w:type="pct"/>
            <w:shd w:val="clear" w:color="auto" w:fill="FFFFFF"/>
            <w:vAlign w:val="center"/>
            <w:hideMark/>
          </w:tcPr>
          <w:p w14:paraId="2CB34540" w14:textId="77777777" w:rsidR="00C41052" w:rsidRPr="005935D8" w:rsidRDefault="00C41052" w:rsidP="004F5DC3">
            <w:pPr>
              <w:jc w:val="center"/>
              <w:rPr>
                <w:lang w:eastAsia="en-US"/>
              </w:rPr>
            </w:pPr>
            <w:r w:rsidRPr="005935D8">
              <w:rPr>
                <w:lang w:eastAsia="en-US"/>
              </w:rPr>
              <w:t>4</w:t>
            </w:r>
          </w:p>
        </w:tc>
        <w:tc>
          <w:tcPr>
            <w:tcW w:w="538" w:type="pct"/>
            <w:shd w:val="clear" w:color="auto" w:fill="FFFFFF"/>
            <w:vAlign w:val="center"/>
            <w:hideMark/>
          </w:tcPr>
          <w:p w14:paraId="7474726D" w14:textId="77777777" w:rsidR="00C41052" w:rsidRPr="005935D8" w:rsidRDefault="00C41052" w:rsidP="004F5DC3">
            <w:pPr>
              <w:jc w:val="center"/>
              <w:rPr>
                <w:lang w:eastAsia="en-US"/>
              </w:rPr>
            </w:pPr>
            <w:r w:rsidRPr="005935D8">
              <w:rPr>
                <w:lang w:eastAsia="en-US"/>
              </w:rPr>
              <w:t>5</w:t>
            </w:r>
          </w:p>
        </w:tc>
        <w:tc>
          <w:tcPr>
            <w:tcW w:w="560" w:type="pct"/>
            <w:shd w:val="clear" w:color="auto" w:fill="FFFFFF"/>
            <w:vAlign w:val="center"/>
            <w:hideMark/>
          </w:tcPr>
          <w:p w14:paraId="3256B90F" w14:textId="77777777" w:rsidR="00C41052" w:rsidRPr="005935D8" w:rsidRDefault="00C41052" w:rsidP="004F5DC3">
            <w:pPr>
              <w:jc w:val="center"/>
              <w:rPr>
                <w:lang w:eastAsia="en-US"/>
              </w:rPr>
            </w:pPr>
            <w:r w:rsidRPr="005935D8">
              <w:rPr>
                <w:lang w:eastAsia="en-US"/>
              </w:rPr>
              <w:t>6</w:t>
            </w:r>
          </w:p>
        </w:tc>
        <w:tc>
          <w:tcPr>
            <w:tcW w:w="596" w:type="pct"/>
            <w:shd w:val="clear" w:color="auto" w:fill="FFFFFF"/>
            <w:vAlign w:val="center"/>
            <w:hideMark/>
          </w:tcPr>
          <w:p w14:paraId="440638DC" w14:textId="77777777" w:rsidR="00C41052" w:rsidRPr="005935D8" w:rsidRDefault="00C41052" w:rsidP="004F5DC3">
            <w:pPr>
              <w:jc w:val="center"/>
              <w:rPr>
                <w:lang w:eastAsia="en-US"/>
              </w:rPr>
            </w:pPr>
            <w:r w:rsidRPr="005935D8">
              <w:rPr>
                <w:lang w:eastAsia="en-US"/>
              </w:rPr>
              <w:t>7</w:t>
            </w:r>
          </w:p>
        </w:tc>
        <w:tc>
          <w:tcPr>
            <w:tcW w:w="595" w:type="pct"/>
            <w:shd w:val="clear" w:color="auto" w:fill="FFFFFF"/>
            <w:vAlign w:val="center"/>
            <w:hideMark/>
          </w:tcPr>
          <w:p w14:paraId="3DC0238B" w14:textId="77777777" w:rsidR="00C41052" w:rsidRPr="005935D8" w:rsidRDefault="00C41052" w:rsidP="004F5DC3">
            <w:pPr>
              <w:jc w:val="center"/>
              <w:rPr>
                <w:lang w:eastAsia="en-US"/>
              </w:rPr>
            </w:pPr>
            <w:r w:rsidRPr="005935D8">
              <w:rPr>
                <w:lang w:eastAsia="en-US"/>
              </w:rPr>
              <w:t>8</w:t>
            </w:r>
          </w:p>
        </w:tc>
      </w:tr>
      <w:tr w:rsidR="00C41052" w:rsidRPr="009A6CAD" w14:paraId="133AA94F" w14:textId="77777777" w:rsidTr="00746E52">
        <w:trPr>
          <w:cantSplit/>
        </w:trPr>
        <w:tc>
          <w:tcPr>
            <w:tcW w:w="1153" w:type="pct"/>
            <w:shd w:val="clear" w:color="auto" w:fill="FFFFFF"/>
            <w:hideMark/>
          </w:tcPr>
          <w:p w14:paraId="6732F90D" w14:textId="77777777" w:rsidR="00C41052" w:rsidRPr="005935D8" w:rsidRDefault="00C41052" w:rsidP="004F5DC3">
            <w:pPr>
              <w:rPr>
                <w:lang w:eastAsia="en-US"/>
              </w:rPr>
            </w:pPr>
            <w:r w:rsidRPr="005935D8">
              <w:rPr>
                <w:lang w:eastAsia="en-US"/>
              </w:rPr>
              <w:t>1. Budžeta ieņēmumi</w:t>
            </w:r>
          </w:p>
        </w:tc>
        <w:tc>
          <w:tcPr>
            <w:tcW w:w="539" w:type="pct"/>
            <w:shd w:val="clear" w:color="auto" w:fill="FFFFFF"/>
            <w:vAlign w:val="center"/>
            <w:hideMark/>
          </w:tcPr>
          <w:p w14:paraId="29896395" w14:textId="6286660D" w:rsidR="00C41052" w:rsidRPr="005935D8" w:rsidRDefault="00BE6130" w:rsidP="004F5DC3">
            <w:pPr>
              <w:jc w:val="center"/>
              <w:rPr>
                <w:lang w:eastAsia="en-US"/>
              </w:rPr>
            </w:pPr>
            <w:r>
              <w:rPr>
                <w:lang w:eastAsia="en-US"/>
              </w:rPr>
              <w:t>0</w:t>
            </w:r>
          </w:p>
        </w:tc>
        <w:tc>
          <w:tcPr>
            <w:tcW w:w="539" w:type="pct"/>
            <w:shd w:val="clear" w:color="auto" w:fill="FFFFFF"/>
            <w:vAlign w:val="center"/>
            <w:hideMark/>
          </w:tcPr>
          <w:p w14:paraId="16BE0846" w14:textId="014E3F02" w:rsidR="00C41052" w:rsidRPr="005935D8" w:rsidRDefault="00BE6130" w:rsidP="004F5DC3">
            <w:pPr>
              <w:jc w:val="center"/>
              <w:rPr>
                <w:lang w:eastAsia="en-US"/>
              </w:rPr>
            </w:pPr>
            <w:r>
              <w:rPr>
                <w:lang w:eastAsia="en-US"/>
              </w:rPr>
              <w:t>0</w:t>
            </w:r>
          </w:p>
        </w:tc>
        <w:tc>
          <w:tcPr>
            <w:tcW w:w="480" w:type="pct"/>
            <w:shd w:val="clear" w:color="auto" w:fill="FFFFFF"/>
            <w:vAlign w:val="center"/>
          </w:tcPr>
          <w:p w14:paraId="1350214D" w14:textId="5B359117" w:rsidR="00C41052" w:rsidRPr="005935D8" w:rsidRDefault="00746E52" w:rsidP="004F5DC3">
            <w:pPr>
              <w:jc w:val="center"/>
              <w:rPr>
                <w:lang w:eastAsia="en-US"/>
              </w:rPr>
            </w:pPr>
            <w:r>
              <w:rPr>
                <w:lang w:eastAsia="en-US"/>
              </w:rPr>
              <w:t>0</w:t>
            </w:r>
          </w:p>
        </w:tc>
        <w:tc>
          <w:tcPr>
            <w:tcW w:w="538" w:type="pct"/>
            <w:shd w:val="clear" w:color="auto" w:fill="FFFFFF"/>
            <w:vAlign w:val="center"/>
          </w:tcPr>
          <w:p w14:paraId="041A3F79" w14:textId="0278BC98" w:rsidR="00C41052" w:rsidRPr="005935D8" w:rsidRDefault="00C41052" w:rsidP="00F50C2F">
            <w:pPr>
              <w:ind w:right="-30"/>
              <w:rPr>
                <w:lang w:eastAsia="en-US"/>
              </w:rPr>
            </w:pPr>
          </w:p>
        </w:tc>
        <w:tc>
          <w:tcPr>
            <w:tcW w:w="560" w:type="pct"/>
            <w:shd w:val="clear" w:color="auto" w:fill="FFFFFF"/>
            <w:vAlign w:val="center"/>
          </w:tcPr>
          <w:p w14:paraId="7E01B6C8" w14:textId="42B1DF34" w:rsidR="00C41052" w:rsidRPr="005935D8" w:rsidRDefault="00746E52" w:rsidP="004F5DC3">
            <w:pPr>
              <w:ind w:right="-30"/>
              <w:jc w:val="center"/>
              <w:rPr>
                <w:lang w:eastAsia="en-US"/>
              </w:rPr>
            </w:pPr>
            <w:r>
              <w:rPr>
                <w:lang w:eastAsia="en-US"/>
              </w:rPr>
              <w:t>0</w:t>
            </w:r>
          </w:p>
        </w:tc>
        <w:tc>
          <w:tcPr>
            <w:tcW w:w="596" w:type="pct"/>
            <w:shd w:val="clear" w:color="auto" w:fill="FFFFFF"/>
            <w:vAlign w:val="center"/>
          </w:tcPr>
          <w:p w14:paraId="22CE0ED8" w14:textId="4DE1C94A" w:rsidR="00C41052" w:rsidRPr="005935D8" w:rsidRDefault="002A440A" w:rsidP="00C41052">
            <w:pPr>
              <w:ind w:right="-30"/>
              <w:jc w:val="center"/>
              <w:rPr>
                <w:lang w:eastAsia="en-US"/>
              </w:rPr>
            </w:pPr>
            <w:r w:rsidRPr="002A440A">
              <w:rPr>
                <w:lang w:eastAsia="en-US"/>
              </w:rPr>
              <w:t>0</w:t>
            </w:r>
          </w:p>
        </w:tc>
        <w:tc>
          <w:tcPr>
            <w:tcW w:w="595" w:type="pct"/>
            <w:shd w:val="clear" w:color="auto" w:fill="FFFFFF"/>
            <w:vAlign w:val="center"/>
          </w:tcPr>
          <w:p w14:paraId="561C356E" w14:textId="458CB5BB" w:rsidR="00C41052" w:rsidRPr="005935D8" w:rsidRDefault="00746E52" w:rsidP="00C41052">
            <w:pPr>
              <w:ind w:right="-30"/>
              <w:jc w:val="center"/>
              <w:rPr>
                <w:lang w:eastAsia="en-US"/>
              </w:rPr>
            </w:pPr>
            <w:r>
              <w:rPr>
                <w:lang w:eastAsia="en-US"/>
              </w:rPr>
              <w:t>0</w:t>
            </w:r>
          </w:p>
        </w:tc>
      </w:tr>
      <w:tr w:rsidR="00BE6130" w:rsidRPr="009A6CAD" w14:paraId="2DE4F834" w14:textId="77777777" w:rsidTr="00746E52">
        <w:trPr>
          <w:cantSplit/>
        </w:trPr>
        <w:tc>
          <w:tcPr>
            <w:tcW w:w="1153" w:type="pct"/>
            <w:shd w:val="clear" w:color="auto" w:fill="auto"/>
            <w:hideMark/>
          </w:tcPr>
          <w:p w14:paraId="4C7E0833" w14:textId="77777777" w:rsidR="00BE6130" w:rsidRPr="005935D8" w:rsidRDefault="00BE6130" w:rsidP="00BE6130">
            <w:pPr>
              <w:rPr>
                <w:lang w:eastAsia="en-US"/>
              </w:rPr>
            </w:pPr>
            <w:r w:rsidRPr="005935D8">
              <w:rPr>
                <w:lang w:eastAsia="en-US"/>
              </w:rPr>
              <w:t>1.1. valsts pamatbudžets, tai skaitā ieņēmumi no maksas pakalpojumiem un citi pašu ieņēmumi</w:t>
            </w:r>
          </w:p>
        </w:tc>
        <w:tc>
          <w:tcPr>
            <w:tcW w:w="539" w:type="pct"/>
            <w:shd w:val="clear" w:color="auto" w:fill="auto"/>
            <w:vAlign w:val="center"/>
            <w:hideMark/>
          </w:tcPr>
          <w:p w14:paraId="1A0D77D4" w14:textId="56BA62FA" w:rsidR="00BE6130" w:rsidRPr="005935D8" w:rsidRDefault="00BE6130" w:rsidP="00BE6130">
            <w:pPr>
              <w:jc w:val="center"/>
              <w:rPr>
                <w:lang w:eastAsia="en-US"/>
              </w:rPr>
            </w:pPr>
            <w:r>
              <w:rPr>
                <w:lang w:eastAsia="en-US"/>
              </w:rPr>
              <w:t>0</w:t>
            </w:r>
          </w:p>
        </w:tc>
        <w:tc>
          <w:tcPr>
            <w:tcW w:w="539" w:type="pct"/>
            <w:shd w:val="clear" w:color="auto" w:fill="auto"/>
            <w:vAlign w:val="center"/>
            <w:hideMark/>
          </w:tcPr>
          <w:p w14:paraId="11BAB7B1" w14:textId="477403C3" w:rsidR="00BE6130" w:rsidRPr="005935D8" w:rsidRDefault="00BE6130" w:rsidP="00BE6130">
            <w:pPr>
              <w:jc w:val="center"/>
              <w:rPr>
                <w:lang w:eastAsia="en-US"/>
              </w:rPr>
            </w:pPr>
            <w:r>
              <w:rPr>
                <w:lang w:eastAsia="en-US"/>
              </w:rPr>
              <w:t>0</w:t>
            </w:r>
          </w:p>
        </w:tc>
        <w:tc>
          <w:tcPr>
            <w:tcW w:w="480" w:type="pct"/>
            <w:shd w:val="clear" w:color="auto" w:fill="auto"/>
            <w:vAlign w:val="center"/>
          </w:tcPr>
          <w:p w14:paraId="4325B334" w14:textId="4BFD5DA7" w:rsidR="00BE6130" w:rsidRPr="005935D8" w:rsidRDefault="00746E52" w:rsidP="00BE6130">
            <w:pPr>
              <w:jc w:val="center"/>
              <w:rPr>
                <w:lang w:eastAsia="en-US"/>
              </w:rPr>
            </w:pPr>
            <w:r>
              <w:rPr>
                <w:lang w:eastAsia="en-US"/>
              </w:rPr>
              <w:t>0</w:t>
            </w:r>
          </w:p>
        </w:tc>
        <w:tc>
          <w:tcPr>
            <w:tcW w:w="538" w:type="pct"/>
            <w:shd w:val="clear" w:color="auto" w:fill="auto"/>
            <w:vAlign w:val="center"/>
          </w:tcPr>
          <w:p w14:paraId="1858AAAF" w14:textId="1A513E38" w:rsidR="00BE6130" w:rsidRPr="005935D8" w:rsidRDefault="00BE6130" w:rsidP="00F50C2F">
            <w:pPr>
              <w:rPr>
                <w:lang w:eastAsia="en-US"/>
              </w:rPr>
            </w:pPr>
          </w:p>
        </w:tc>
        <w:tc>
          <w:tcPr>
            <w:tcW w:w="560" w:type="pct"/>
            <w:shd w:val="clear" w:color="auto" w:fill="auto"/>
            <w:vAlign w:val="center"/>
          </w:tcPr>
          <w:p w14:paraId="1C98B86B" w14:textId="2B2391B5" w:rsidR="00BE6130" w:rsidRPr="005935D8" w:rsidRDefault="00746E52" w:rsidP="00BE6130">
            <w:pPr>
              <w:jc w:val="center"/>
              <w:rPr>
                <w:lang w:eastAsia="en-US"/>
              </w:rPr>
            </w:pPr>
            <w:r>
              <w:rPr>
                <w:lang w:eastAsia="en-US"/>
              </w:rPr>
              <w:t>0</w:t>
            </w:r>
          </w:p>
        </w:tc>
        <w:tc>
          <w:tcPr>
            <w:tcW w:w="596" w:type="pct"/>
            <w:shd w:val="clear" w:color="auto" w:fill="auto"/>
            <w:vAlign w:val="center"/>
          </w:tcPr>
          <w:p w14:paraId="29E7A73B" w14:textId="2E071963" w:rsidR="00BE6130" w:rsidRPr="005935D8" w:rsidRDefault="002A440A" w:rsidP="00BE6130">
            <w:pPr>
              <w:ind w:right="-6"/>
              <w:jc w:val="center"/>
              <w:rPr>
                <w:lang w:eastAsia="en-US"/>
              </w:rPr>
            </w:pPr>
            <w:r w:rsidRPr="002A440A">
              <w:rPr>
                <w:lang w:eastAsia="en-US"/>
              </w:rPr>
              <w:t>0</w:t>
            </w:r>
          </w:p>
        </w:tc>
        <w:tc>
          <w:tcPr>
            <w:tcW w:w="595" w:type="pct"/>
            <w:shd w:val="clear" w:color="auto" w:fill="auto"/>
            <w:vAlign w:val="center"/>
          </w:tcPr>
          <w:p w14:paraId="37074B6A" w14:textId="245ED8A9" w:rsidR="00BE6130" w:rsidRPr="005935D8" w:rsidRDefault="00746E52" w:rsidP="00BE6130">
            <w:pPr>
              <w:jc w:val="center"/>
              <w:rPr>
                <w:lang w:eastAsia="en-US"/>
              </w:rPr>
            </w:pPr>
            <w:r>
              <w:rPr>
                <w:lang w:eastAsia="en-US"/>
              </w:rPr>
              <w:t>0</w:t>
            </w:r>
          </w:p>
        </w:tc>
      </w:tr>
      <w:tr w:rsidR="00BE6130" w:rsidRPr="009A6CAD" w14:paraId="514E4989" w14:textId="77777777" w:rsidTr="00C41052">
        <w:trPr>
          <w:cantSplit/>
        </w:trPr>
        <w:tc>
          <w:tcPr>
            <w:tcW w:w="1153" w:type="pct"/>
            <w:shd w:val="clear" w:color="auto" w:fill="auto"/>
            <w:hideMark/>
          </w:tcPr>
          <w:p w14:paraId="44129C70" w14:textId="77777777" w:rsidR="00BE6130" w:rsidRPr="005935D8" w:rsidRDefault="00BE6130" w:rsidP="00BE6130">
            <w:pPr>
              <w:rPr>
                <w:lang w:eastAsia="en-US"/>
              </w:rPr>
            </w:pPr>
            <w:r w:rsidRPr="005935D8">
              <w:rPr>
                <w:lang w:eastAsia="en-US"/>
              </w:rPr>
              <w:t>1.2. valsts speciālais budžets</w:t>
            </w:r>
          </w:p>
        </w:tc>
        <w:tc>
          <w:tcPr>
            <w:tcW w:w="539" w:type="pct"/>
            <w:shd w:val="clear" w:color="auto" w:fill="auto"/>
            <w:vAlign w:val="center"/>
            <w:hideMark/>
          </w:tcPr>
          <w:p w14:paraId="19083B59" w14:textId="61827243" w:rsidR="00BE6130" w:rsidRPr="005935D8" w:rsidRDefault="00BE6130" w:rsidP="00BE6130">
            <w:pPr>
              <w:jc w:val="center"/>
              <w:rPr>
                <w:lang w:eastAsia="en-US"/>
              </w:rPr>
            </w:pPr>
            <w:r>
              <w:rPr>
                <w:lang w:eastAsia="en-US"/>
              </w:rPr>
              <w:t>0</w:t>
            </w:r>
          </w:p>
        </w:tc>
        <w:tc>
          <w:tcPr>
            <w:tcW w:w="539" w:type="pct"/>
            <w:shd w:val="clear" w:color="auto" w:fill="auto"/>
            <w:vAlign w:val="center"/>
            <w:hideMark/>
          </w:tcPr>
          <w:p w14:paraId="6BD983D2" w14:textId="2F88A65E" w:rsidR="00BE6130" w:rsidRPr="005935D8" w:rsidRDefault="00BE6130" w:rsidP="00BE6130">
            <w:pPr>
              <w:jc w:val="center"/>
              <w:rPr>
                <w:lang w:eastAsia="en-US"/>
              </w:rPr>
            </w:pPr>
            <w:r>
              <w:rPr>
                <w:lang w:eastAsia="en-US"/>
              </w:rPr>
              <w:t>0</w:t>
            </w:r>
          </w:p>
        </w:tc>
        <w:tc>
          <w:tcPr>
            <w:tcW w:w="480" w:type="pct"/>
            <w:shd w:val="clear" w:color="auto" w:fill="auto"/>
            <w:vAlign w:val="center"/>
            <w:hideMark/>
          </w:tcPr>
          <w:p w14:paraId="12A2FBDD" w14:textId="37C7FCCE" w:rsidR="00BE6130" w:rsidRPr="005935D8" w:rsidRDefault="00BE6130" w:rsidP="00BE6130">
            <w:pPr>
              <w:jc w:val="center"/>
              <w:rPr>
                <w:lang w:eastAsia="en-US"/>
              </w:rPr>
            </w:pPr>
            <w:r>
              <w:rPr>
                <w:lang w:eastAsia="en-US"/>
              </w:rPr>
              <w:t>0</w:t>
            </w:r>
          </w:p>
        </w:tc>
        <w:tc>
          <w:tcPr>
            <w:tcW w:w="538" w:type="pct"/>
            <w:shd w:val="clear" w:color="auto" w:fill="auto"/>
            <w:vAlign w:val="center"/>
            <w:hideMark/>
          </w:tcPr>
          <w:p w14:paraId="11A50868" w14:textId="6DE0F0DD" w:rsidR="00BE6130" w:rsidRPr="005935D8" w:rsidRDefault="00BE6130" w:rsidP="00BE6130">
            <w:pPr>
              <w:ind w:left="-24"/>
              <w:jc w:val="center"/>
              <w:rPr>
                <w:lang w:eastAsia="en-US"/>
              </w:rPr>
            </w:pPr>
            <w:r>
              <w:rPr>
                <w:lang w:eastAsia="en-US"/>
              </w:rPr>
              <w:t>0</w:t>
            </w:r>
          </w:p>
        </w:tc>
        <w:tc>
          <w:tcPr>
            <w:tcW w:w="560" w:type="pct"/>
            <w:shd w:val="clear" w:color="auto" w:fill="auto"/>
            <w:vAlign w:val="center"/>
            <w:hideMark/>
          </w:tcPr>
          <w:p w14:paraId="03403D53" w14:textId="7CDBA4DA" w:rsidR="00BE6130" w:rsidRPr="005935D8" w:rsidRDefault="00BE6130" w:rsidP="00BE6130">
            <w:pPr>
              <w:jc w:val="center"/>
              <w:rPr>
                <w:lang w:eastAsia="en-US"/>
              </w:rPr>
            </w:pPr>
            <w:r>
              <w:rPr>
                <w:lang w:eastAsia="en-US"/>
              </w:rPr>
              <w:t>0</w:t>
            </w:r>
          </w:p>
        </w:tc>
        <w:tc>
          <w:tcPr>
            <w:tcW w:w="596" w:type="pct"/>
            <w:shd w:val="clear" w:color="auto" w:fill="auto"/>
            <w:vAlign w:val="center"/>
            <w:hideMark/>
          </w:tcPr>
          <w:p w14:paraId="527D4DD3" w14:textId="3B4AD61A" w:rsidR="00BE6130" w:rsidRPr="005935D8" w:rsidRDefault="00BE6130" w:rsidP="00BE6130">
            <w:pPr>
              <w:ind w:right="-6"/>
              <w:jc w:val="center"/>
              <w:rPr>
                <w:lang w:eastAsia="en-US"/>
              </w:rPr>
            </w:pPr>
            <w:r>
              <w:rPr>
                <w:lang w:eastAsia="en-US"/>
              </w:rPr>
              <w:t>0</w:t>
            </w:r>
          </w:p>
        </w:tc>
        <w:tc>
          <w:tcPr>
            <w:tcW w:w="595" w:type="pct"/>
            <w:shd w:val="clear" w:color="auto" w:fill="auto"/>
            <w:vAlign w:val="center"/>
            <w:hideMark/>
          </w:tcPr>
          <w:p w14:paraId="2C1F8C18" w14:textId="0EA24203" w:rsidR="00BE6130" w:rsidRPr="005935D8" w:rsidRDefault="00BE6130" w:rsidP="00BE6130">
            <w:pPr>
              <w:jc w:val="center"/>
              <w:rPr>
                <w:lang w:eastAsia="en-US"/>
              </w:rPr>
            </w:pPr>
            <w:r>
              <w:rPr>
                <w:lang w:eastAsia="en-US"/>
              </w:rPr>
              <w:t>0</w:t>
            </w:r>
          </w:p>
        </w:tc>
      </w:tr>
      <w:tr w:rsidR="00BE6130" w:rsidRPr="009A6CAD" w14:paraId="1FDE14A6" w14:textId="77777777" w:rsidTr="00C41052">
        <w:trPr>
          <w:cantSplit/>
        </w:trPr>
        <w:tc>
          <w:tcPr>
            <w:tcW w:w="1153" w:type="pct"/>
            <w:shd w:val="clear" w:color="auto" w:fill="auto"/>
            <w:hideMark/>
          </w:tcPr>
          <w:p w14:paraId="4367FE49" w14:textId="77777777" w:rsidR="00BE6130" w:rsidRPr="005935D8" w:rsidRDefault="00BE6130" w:rsidP="00BE6130">
            <w:pPr>
              <w:rPr>
                <w:lang w:eastAsia="en-US"/>
              </w:rPr>
            </w:pPr>
            <w:r w:rsidRPr="005935D8">
              <w:rPr>
                <w:lang w:eastAsia="en-US"/>
              </w:rPr>
              <w:t>1.3. pašvaldību budžets</w:t>
            </w:r>
          </w:p>
        </w:tc>
        <w:tc>
          <w:tcPr>
            <w:tcW w:w="539" w:type="pct"/>
            <w:shd w:val="clear" w:color="auto" w:fill="auto"/>
            <w:vAlign w:val="center"/>
            <w:hideMark/>
          </w:tcPr>
          <w:p w14:paraId="0793177B" w14:textId="30250631" w:rsidR="00BE6130" w:rsidRPr="005935D8" w:rsidRDefault="00BE6130" w:rsidP="00BE6130">
            <w:pPr>
              <w:jc w:val="center"/>
              <w:rPr>
                <w:lang w:eastAsia="en-US"/>
              </w:rPr>
            </w:pPr>
            <w:r>
              <w:rPr>
                <w:lang w:eastAsia="en-US"/>
              </w:rPr>
              <w:t>0</w:t>
            </w:r>
          </w:p>
        </w:tc>
        <w:tc>
          <w:tcPr>
            <w:tcW w:w="539" w:type="pct"/>
            <w:shd w:val="clear" w:color="auto" w:fill="auto"/>
            <w:vAlign w:val="center"/>
            <w:hideMark/>
          </w:tcPr>
          <w:p w14:paraId="30F87ECF" w14:textId="1D89AAA9" w:rsidR="00BE6130" w:rsidRPr="005935D8" w:rsidRDefault="00BE6130" w:rsidP="00BE6130">
            <w:pPr>
              <w:jc w:val="center"/>
              <w:rPr>
                <w:lang w:eastAsia="en-US"/>
              </w:rPr>
            </w:pPr>
            <w:r>
              <w:rPr>
                <w:lang w:eastAsia="en-US"/>
              </w:rPr>
              <w:t>0</w:t>
            </w:r>
          </w:p>
        </w:tc>
        <w:tc>
          <w:tcPr>
            <w:tcW w:w="480" w:type="pct"/>
            <w:shd w:val="clear" w:color="auto" w:fill="auto"/>
            <w:vAlign w:val="center"/>
            <w:hideMark/>
          </w:tcPr>
          <w:p w14:paraId="48259CB9" w14:textId="4C3DDD14" w:rsidR="00BE6130" w:rsidRPr="005935D8" w:rsidRDefault="00BE6130" w:rsidP="00BE6130">
            <w:pPr>
              <w:jc w:val="center"/>
              <w:rPr>
                <w:lang w:eastAsia="en-US"/>
              </w:rPr>
            </w:pPr>
            <w:r>
              <w:rPr>
                <w:lang w:eastAsia="en-US"/>
              </w:rPr>
              <w:t>0</w:t>
            </w:r>
          </w:p>
        </w:tc>
        <w:tc>
          <w:tcPr>
            <w:tcW w:w="538" w:type="pct"/>
            <w:shd w:val="clear" w:color="auto" w:fill="auto"/>
            <w:vAlign w:val="center"/>
            <w:hideMark/>
          </w:tcPr>
          <w:p w14:paraId="65FA30A8" w14:textId="4BCA8DBE" w:rsidR="00BE6130" w:rsidRPr="005935D8" w:rsidRDefault="00BE6130" w:rsidP="00BE6130">
            <w:pPr>
              <w:jc w:val="center"/>
              <w:rPr>
                <w:lang w:eastAsia="en-US"/>
              </w:rPr>
            </w:pPr>
            <w:r>
              <w:rPr>
                <w:lang w:eastAsia="en-US"/>
              </w:rPr>
              <w:t>0</w:t>
            </w:r>
          </w:p>
        </w:tc>
        <w:tc>
          <w:tcPr>
            <w:tcW w:w="560" w:type="pct"/>
            <w:shd w:val="clear" w:color="auto" w:fill="auto"/>
            <w:vAlign w:val="center"/>
            <w:hideMark/>
          </w:tcPr>
          <w:p w14:paraId="4A2999DD" w14:textId="51D4FB3D" w:rsidR="00BE6130" w:rsidRPr="005935D8" w:rsidRDefault="00BE6130" w:rsidP="00BE6130">
            <w:pPr>
              <w:jc w:val="center"/>
              <w:rPr>
                <w:lang w:eastAsia="en-US"/>
              </w:rPr>
            </w:pPr>
            <w:r>
              <w:rPr>
                <w:lang w:eastAsia="en-US"/>
              </w:rPr>
              <w:t>0</w:t>
            </w:r>
          </w:p>
        </w:tc>
        <w:tc>
          <w:tcPr>
            <w:tcW w:w="596" w:type="pct"/>
            <w:shd w:val="clear" w:color="auto" w:fill="auto"/>
            <w:vAlign w:val="center"/>
            <w:hideMark/>
          </w:tcPr>
          <w:p w14:paraId="39007E4A" w14:textId="48C538DE" w:rsidR="00BE6130" w:rsidRPr="005935D8" w:rsidRDefault="00BE6130" w:rsidP="00BE6130">
            <w:pPr>
              <w:ind w:right="-6"/>
              <w:jc w:val="center"/>
              <w:rPr>
                <w:lang w:eastAsia="en-US"/>
              </w:rPr>
            </w:pPr>
            <w:r>
              <w:rPr>
                <w:lang w:eastAsia="en-US"/>
              </w:rPr>
              <w:t>0</w:t>
            </w:r>
          </w:p>
        </w:tc>
        <w:tc>
          <w:tcPr>
            <w:tcW w:w="595" w:type="pct"/>
            <w:shd w:val="clear" w:color="auto" w:fill="auto"/>
            <w:vAlign w:val="center"/>
            <w:hideMark/>
          </w:tcPr>
          <w:p w14:paraId="62F9AFE7" w14:textId="300B64E1" w:rsidR="00BE6130" w:rsidRPr="005935D8" w:rsidRDefault="00BE6130" w:rsidP="00BE6130">
            <w:pPr>
              <w:jc w:val="center"/>
              <w:rPr>
                <w:lang w:eastAsia="en-US"/>
              </w:rPr>
            </w:pPr>
            <w:r>
              <w:rPr>
                <w:lang w:eastAsia="en-US"/>
              </w:rPr>
              <w:t>0</w:t>
            </w:r>
          </w:p>
        </w:tc>
      </w:tr>
      <w:tr w:rsidR="00BE6130" w:rsidRPr="009A6CAD" w14:paraId="4B183428" w14:textId="77777777" w:rsidTr="00C41052">
        <w:trPr>
          <w:cantSplit/>
        </w:trPr>
        <w:tc>
          <w:tcPr>
            <w:tcW w:w="1153" w:type="pct"/>
            <w:shd w:val="clear" w:color="auto" w:fill="auto"/>
            <w:hideMark/>
          </w:tcPr>
          <w:p w14:paraId="25CAF514" w14:textId="77777777" w:rsidR="00BE6130" w:rsidRPr="005935D8" w:rsidRDefault="00BE6130" w:rsidP="00BE6130">
            <w:pPr>
              <w:rPr>
                <w:lang w:eastAsia="en-US"/>
              </w:rPr>
            </w:pPr>
            <w:r w:rsidRPr="005935D8">
              <w:rPr>
                <w:lang w:eastAsia="en-US"/>
              </w:rPr>
              <w:t>2. Budžeta izdevumi</w:t>
            </w:r>
          </w:p>
        </w:tc>
        <w:tc>
          <w:tcPr>
            <w:tcW w:w="539" w:type="pct"/>
            <w:shd w:val="clear" w:color="auto" w:fill="auto"/>
            <w:vAlign w:val="center"/>
            <w:hideMark/>
          </w:tcPr>
          <w:p w14:paraId="7628D2C2" w14:textId="0E157C3D" w:rsidR="00BE6130" w:rsidRPr="005935D8" w:rsidRDefault="00BE6130" w:rsidP="00BE6130">
            <w:pPr>
              <w:jc w:val="center"/>
              <w:rPr>
                <w:lang w:eastAsia="en-US"/>
              </w:rPr>
            </w:pPr>
            <w:r>
              <w:rPr>
                <w:lang w:eastAsia="en-US"/>
              </w:rPr>
              <w:t>0</w:t>
            </w:r>
          </w:p>
        </w:tc>
        <w:tc>
          <w:tcPr>
            <w:tcW w:w="539" w:type="pct"/>
            <w:shd w:val="clear" w:color="auto" w:fill="auto"/>
            <w:vAlign w:val="center"/>
            <w:hideMark/>
          </w:tcPr>
          <w:p w14:paraId="172A5C28" w14:textId="0AEB388F" w:rsidR="00BE6130" w:rsidRPr="005935D8" w:rsidRDefault="00BE6130" w:rsidP="00BE6130">
            <w:pPr>
              <w:jc w:val="center"/>
              <w:rPr>
                <w:lang w:eastAsia="en-US"/>
              </w:rPr>
            </w:pPr>
            <w:r>
              <w:rPr>
                <w:lang w:eastAsia="en-US"/>
              </w:rPr>
              <w:t>0</w:t>
            </w:r>
          </w:p>
        </w:tc>
        <w:tc>
          <w:tcPr>
            <w:tcW w:w="480" w:type="pct"/>
            <w:shd w:val="clear" w:color="auto" w:fill="auto"/>
            <w:vAlign w:val="center"/>
            <w:hideMark/>
          </w:tcPr>
          <w:p w14:paraId="4F1E31CA" w14:textId="3E8B3BBD" w:rsidR="00BE6130" w:rsidRPr="005935D8" w:rsidRDefault="00BE6130" w:rsidP="00BE6130">
            <w:pPr>
              <w:jc w:val="center"/>
              <w:rPr>
                <w:lang w:eastAsia="en-US"/>
              </w:rPr>
            </w:pPr>
            <w:r>
              <w:rPr>
                <w:lang w:eastAsia="en-US"/>
              </w:rPr>
              <w:t>0</w:t>
            </w:r>
          </w:p>
        </w:tc>
        <w:tc>
          <w:tcPr>
            <w:tcW w:w="538" w:type="pct"/>
            <w:shd w:val="clear" w:color="auto" w:fill="auto"/>
            <w:vAlign w:val="center"/>
            <w:hideMark/>
          </w:tcPr>
          <w:p w14:paraId="5468E241" w14:textId="19867B85" w:rsidR="00BE6130" w:rsidRPr="005935D8" w:rsidRDefault="00BE6130" w:rsidP="00BE6130">
            <w:pPr>
              <w:jc w:val="center"/>
              <w:rPr>
                <w:lang w:eastAsia="en-US"/>
              </w:rPr>
            </w:pPr>
            <w:r>
              <w:rPr>
                <w:lang w:eastAsia="en-US"/>
              </w:rPr>
              <w:t>0</w:t>
            </w:r>
          </w:p>
        </w:tc>
        <w:tc>
          <w:tcPr>
            <w:tcW w:w="560" w:type="pct"/>
            <w:shd w:val="clear" w:color="auto" w:fill="auto"/>
            <w:vAlign w:val="center"/>
          </w:tcPr>
          <w:p w14:paraId="56BCC994" w14:textId="35E6EBEE" w:rsidR="00BE6130" w:rsidRPr="005935D8" w:rsidRDefault="00BE6130" w:rsidP="00BE6130">
            <w:pPr>
              <w:jc w:val="center"/>
              <w:rPr>
                <w:lang w:eastAsia="en-US"/>
              </w:rPr>
            </w:pPr>
            <w:r>
              <w:rPr>
                <w:lang w:eastAsia="en-US"/>
              </w:rPr>
              <w:t>0</w:t>
            </w:r>
          </w:p>
        </w:tc>
        <w:tc>
          <w:tcPr>
            <w:tcW w:w="596" w:type="pct"/>
            <w:shd w:val="clear" w:color="auto" w:fill="auto"/>
            <w:vAlign w:val="center"/>
          </w:tcPr>
          <w:p w14:paraId="238E172C" w14:textId="0A088CD5" w:rsidR="00BE6130" w:rsidRPr="005935D8" w:rsidRDefault="00BE6130" w:rsidP="00BE6130">
            <w:pPr>
              <w:ind w:right="-6"/>
              <w:jc w:val="center"/>
              <w:rPr>
                <w:lang w:eastAsia="en-US"/>
              </w:rPr>
            </w:pPr>
            <w:r>
              <w:rPr>
                <w:lang w:eastAsia="en-US"/>
              </w:rPr>
              <w:t>0</w:t>
            </w:r>
          </w:p>
        </w:tc>
        <w:tc>
          <w:tcPr>
            <w:tcW w:w="595" w:type="pct"/>
            <w:shd w:val="clear" w:color="auto" w:fill="auto"/>
            <w:vAlign w:val="center"/>
            <w:hideMark/>
          </w:tcPr>
          <w:p w14:paraId="1D1BB5BF" w14:textId="18FC9DD6" w:rsidR="00BE6130" w:rsidRPr="005935D8" w:rsidRDefault="00BE6130" w:rsidP="00BE6130">
            <w:pPr>
              <w:jc w:val="center"/>
              <w:rPr>
                <w:lang w:eastAsia="en-US"/>
              </w:rPr>
            </w:pPr>
            <w:r>
              <w:rPr>
                <w:lang w:eastAsia="en-US"/>
              </w:rPr>
              <w:t>0</w:t>
            </w:r>
          </w:p>
        </w:tc>
      </w:tr>
      <w:tr w:rsidR="00BE6130" w:rsidRPr="009A6CAD" w14:paraId="78F7807C" w14:textId="77777777" w:rsidTr="00C41052">
        <w:trPr>
          <w:cantSplit/>
        </w:trPr>
        <w:tc>
          <w:tcPr>
            <w:tcW w:w="1153" w:type="pct"/>
            <w:shd w:val="clear" w:color="auto" w:fill="auto"/>
            <w:hideMark/>
          </w:tcPr>
          <w:p w14:paraId="7A95BF37" w14:textId="77777777" w:rsidR="00BE6130" w:rsidRPr="005935D8" w:rsidRDefault="00BE6130" w:rsidP="00BE6130">
            <w:pPr>
              <w:rPr>
                <w:lang w:eastAsia="en-US"/>
              </w:rPr>
            </w:pPr>
            <w:r w:rsidRPr="005935D8">
              <w:rPr>
                <w:lang w:eastAsia="en-US"/>
              </w:rPr>
              <w:t>2.1. valsts pamatbudžets</w:t>
            </w:r>
          </w:p>
        </w:tc>
        <w:tc>
          <w:tcPr>
            <w:tcW w:w="539" w:type="pct"/>
            <w:shd w:val="clear" w:color="auto" w:fill="auto"/>
            <w:vAlign w:val="center"/>
            <w:hideMark/>
          </w:tcPr>
          <w:p w14:paraId="5DD59545" w14:textId="7372449B" w:rsidR="00BE6130" w:rsidRPr="005935D8" w:rsidRDefault="00BE6130" w:rsidP="00BE6130">
            <w:pPr>
              <w:jc w:val="center"/>
              <w:rPr>
                <w:lang w:eastAsia="en-US"/>
              </w:rPr>
            </w:pPr>
            <w:r>
              <w:rPr>
                <w:lang w:eastAsia="en-US"/>
              </w:rPr>
              <w:t>0</w:t>
            </w:r>
          </w:p>
        </w:tc>
        <w:tc>
          <w:tcPr>
            <w:tcW w:w="539" w:type="pct"/>
            <w:shd w:val="clear" w:color="auto" w:fill="auto"/>
            <w:vAlign w:val="center"/>
            <w:hideMark/>
          </w:tcPr>
          <w:p w14:paraId="65CC4E4F" w14:textId="391765A0" w:rsidR="00BE6130" w:rsidRPr="005935D8" w:rsidRDefault="00BE6130" w:rsidP="00BE6130">
            <w:pPr>
              <w:jc w:val="center"/>
              <w:rPr>
                <w:lang w:eastAsia="en-US"/>
              </w:rPr>
            </w:pPr>
            <w:r>
              <w:rPr>
                <w:lang w:eastAsia="en-US"/>
              </w:rPr>
              <w:t>0</w:t>
            </w:r>
          </w:p>
        </w:tc>
        <w:tc>
          <w:tcPr>
            <w:tcW w:w="480" w:type="pct"/>
            <w:shd w:val="clear" w:color="auto" w:fill="auto"/>
            <w:vAlign w:val="center"/>
            <w:hideMark/>
          </w:tcPr>
          <w:p w14:paraId="69E50929" w14:textId="58CE49D5" w:rsidR="00BE6130" w:rsidRPr="005935D8" w:rsidRDefault="00BE6130" w:rsidP="00BE6130">
            <w:pPr>
              <w:jc w:val="center"/>
              <w:rPr>
                <w:lang w:eastAsia="en-US"/>
              </w:rPr>
            </w:pPr>
            <w:r>
              <w:rPr>
                <w:lang w:eastAsia="en-US"/>
              </w:rPr>
              <w:t>0</w:t>
            </w:r>
          </w:p>
        </w:tc>
        <w:tc>
          <w:tcPr>
            <w:tcW w:w="538" w:type="pct"/>
            <w:shd w:val="clear" w:color="auto" w:fill="auto"/>
            <w:vAlign w:val="center"/>
            <w:hideMark/>
          </w:tcPr>
          <w:p w14:paraId="129D4948" w14:textId="5ECC1EF4" w:rsidR="00BE6130" w:rsidRPr="005935D8" w:rsidRDefault="00BE6130" w:rsidP="00BE6130">
            <w:pPr>
              <w:jc w:val="center"/>
              <w:rPr>
                <w:lang w:eastAsia="en-US"/>
              </w:rPr>
            </w:pPr>
            <w:r>
              <w:rPr>
                <w:lang w:eastAsia="en-US"/>
              </w:rPr>
              <w:t>0</w:t>
            </w:r>
          </w:p>
        </w:tc>
        <w:tc>
          <w:tcPr>
            <w:tcW w:w="560" w:type="pct"/>
            <w:shd w:val="clear" w:color="auto" w:fill="auto"/>
            <w:vAlign w:val="center"/>
            <w:hideMark/>
          </w:tcPr>
          <w:p w14:paraId="37110B66" w14:textId="77D68D13" w:rsidR="00BE6130" w:rsidRPr="005935D8" w:rsidRDefault="00BE6130" w:rsidP="00BE6130">
            <w:pPr>
              <w:jc w:val="center"/>
              <w:rPr>
                <w:lang w:eastAsia="en-US"/>
              </w:rPr>
            </w:pPr>
            <w:r>
              <w:rPr>
                <w:lang w:eastAsia="en-US"/>
              </w:rPr>
              <w:t>0</w:t>
            </w:r>
          </w:p>
        </w:tc>
        <w:tc>
          <w:tcPr>
            <w:tcW w:w="596" w:type="pct"/>
            <w:shd w:val="clear" w:color="auto" w:fill="auto"/>
            <w:vAlign w:val="center"/>
            <w:hideMark/>
          </w:tcPr>
          <w:p w14:paraId="23EF2365" w14:textId="37DF28FF" w:rsidR="00BE6130" w:rsidRPr="005935D8" w:rsidRDefault="00BE6130" w:rsidP="00BE6130">
            <w:pPr>
              <w:jc w:val="center"/>
              <w:rPr>
                <w:lang w:eastAsia="en-US"/>
              </w:rPr>
            </w:pPr>
            <w:r>
              <w:rPr>
                <w:lang w:eastAsia="en-US"/>
              </w:rPr>
              <w:t>0</w:t>
            </w:r>
          </w:p>
        </w:tc>
        <w:tc>
          <w:tcPr>
            <w:tcW w:w="595" w:type="pct"/>
            <w:shd w:val="clear" w:color="auto" w:fill="auto"/>
            <w:vAlign w:val="center"/>
            <w:hideMark/>
          </w:tcPr>
          <w:p w14:paraId="282D9D47" w14:textId="538C8319" w:rsidR="00BE6130" w:rsidRPr="005935D8" w:rsidRDefault="00BE6130" w:rsidP="00BE6130">
            <w:pPr>
              <w:jc w:val="center"/>
              <w:rPr>
                <w:lang w:eastAsia="en-US"/>
              </w:rPr>
            </w:pPr>
            <w:r>
              <w:rPr>
                <w:lang w:eastAsia="en-US"/>
              </w:rPr>
              <w:t>0</w:t>
            </w:r>
          </w:p>
        </w:tc>
      </w:tr>
      <w:tr w:rsidR="00BE6130" w:rsidRPr="009A6CAD" w14:paraId="0EF9C2CC" w14:textId="77777777" w:rsidTr="00C41052">
        <w:trPr>
          <w:cantSplit/>
        </w:trPr>
        <w:tc>
          <w:tcPr>
            <w:tcW w:w="1153" w:type="pct"/>
            <w:shd w:val="clear" w:color="auto" w:fill="auto"/>
            <w:hideMark/>
          </w:tcPr>
          <w:p w14:paraId="4A091121" w14:textId="77777777" w:rsidR="00BE6130" w:rsidRPr="005935D8" w:rsidRDefault="00BE6130" w:rsidP="00BE6130">
            <w:pPr>
              <w:rPr>
                <w:lang w:eastAsia="en-US"/>
              </w:rPr>
            </w:pPr>
            <w:r w:rsidRPr="005935D8">
              <w:rPr>
                <w:lang w:eastAsia="en-US"/>
              </w:rPr>
              <w:t>2.2. valsts speciālais budžets</w:t>
            </w:r>
          </w:p>
        </w:tc>
        <w:tc>
          <w:tcPr>
            <w:tcW w:w="539" w:type="pct"/>
            <w:shd w:val="clear" w:color="auto" w:fill="auto"/>
            <w:vAlign w:val="center"/>
            <w:hideMark/>
          </w:tcPr>
          <w:p w14:paraId="58E2F109" w14:textId="7A51D36C" w:rsidR="00BE6130" w:rsidRPr="005935D8" w:rsidRDefault="00BE6130" w:rsidP="00BE6130">
            <w:pPr>
              <w:jc w:val="center"/>
              <w:rPr>
                <w:lang w:eastAsia="en-US"/>
              </w:rPr>
            </w:pPr>
            <w:r>
              <w:rPr>
                <w:lang w:eastAsia="en-US"/>
              </w:rPr>
              <w:t>0</w:t>
            </w:r>
          </w:p>
        </w:tc>
        <w:tc>
          <w:tcPr>
            <w:tcW w:w="539" w:type="pct"/>
            <w:shd w:val="clear" w:color="auto" w:fill="auto"/>
            <w:vAlign w:val="center"/>
            <w:hideMark/>
          </w:tcPr>
          <w:p w14:paraId="1545BC24" w14:textId="343EAE58" w:rsidR="00BE6130" w:rsidRPr="005935D8" w:rsidRDefault="00BE6130" w:rsidP="00BE6130">
            <w:pPr>
              <w:jc w:val="center"/>
              <w:rPr>
                <w:lang w:eastAsia="en-US"/>
              </w:rPr>
            </w:pPr>
            <w:r>
              <w:rPr>
                <w:lang w:eastAsia="en-US"/>
              </w:rPr>
              <w:t>0</w:t>
            </w:r>
          </w:p>
        </w:tc>
        <w:tc>
          <w:tcPr>
            <w:tcW w:w="480" w:type="pct"/>
            <w:shd w:val="clear" w:color="auto" w:fill="auto"/>
            <w:vAlign w:val="center"/>
            <w:hideMark/>
          </w:tcPr>
          <w:p w14:paraId="2F4F6AB3" w14:textId="11E09F32" w:rsidR="00BE6130" w:rsidRPr="005935D8" w:rsidRDefault="00BE6130" w:rsidP="00BE6130">
            <w:pPr>
              <w:jc w:val="center"/>
              <w:rPr>
                <w:lang w:eastAsia="en-US"/>
              </w:rPr>
            </w:pPr>
            <w:r>
              <w:rPr>
                <w:lang w:eastAsia="en-US"/>
              </w:rPr>
              <w:t>0</w:t>
            </w:r>
          </w:p>
        </w:tc>
        <w:tc>
          <w:tcPr>
            <w:tcW w:w="538" w:type="pct"/>
            <w:shd w:val="clear" w:color="auto" w:fill="auto"/>
            <w:vAlign w:val="center"/>
            <w:hideMark/>
          </w:tcPr>
          <w:p w14:paraId="14BD22A8" w14:textId="63A77024" w:rsidR="00BE6130" w:rsidRPr="005935D8" w:rsidRDefault="00BE6130" w:rsidP="00BE6130">
            <w:pPr>
              <w:jc w:val="center"/>
              <w:rPr>
                <w:lang w:eastAsia="en-US"/>
              </w:rPr>
            </w:pPr>
            <w:r>
              <w:rPr>
                <w:lang w:eastAsia="en-US"/>
              </w:rPr>
              <w:t>0</w:t>
            </w:r>
          </w:p>
        </w:tc>
        <w:tc>
          <w:tcPr>
            <w:tcW w:w="560" w:type="pct"/>
            <w:shd w:val="clear" w:color="auto" w:fill="auto"/>
            <w:vAlign w:val="center"/>
            <w:hideMark/>
          </w:tcPr>
          <w:p w14:paraId="36E74167" w14:textId="703678E1" w:rsidR="00BE6130" w:rsidRPr="005935D8" w:rsidRDefault="00BE6130" w:rsidP="00BE6130">
            <w:pPr>
              <w:jc w:val="center"/>
              <w:rPr>
                <w:lang w:eastAsia="en-US"/>
              </w:rPr>
            </w:pPr>
            <w:r>
              <w:rPr>
                <w:lang w:eastAsia="en-US"/>
              </w:rPr>
              <w:t>0</w:t>
            </w:r>
          </w:p>
        </w:tc>
        <w:tc>
          <w:tcPr>
            <w:tcW w:w="596" w:type="pct"/>
            <w:shd w:val="clear" w:color="auto" w:fill="auto"/>
            <w:vAlign w:val="center"/>
            <w:hideMark/>
          </w:tcPr>
          <w:p w14:paraId="60C4D300" w14:textId="14843AFA" w:rsidR="00BE6130" w:rsidRPr="005935D8" w:rsidRDefault="00BE6130" w:rsidP="00BE6130">
            <w:pPr>
              <w:jc w:val="center"/>
              <w:rPr>
                <w:lang w:eastAsia="en-US"/>
              </w:rPr>
            </w:pPr>
            <w:r>
              <w:rPr>
                <w:lang w:eastAsia="en-US"/>
              </w:rPr>
              <w:t>0</w:t>
            </w:r>
          </w:p>
        </w:tc>
        <w:tc>
          <w:tcPr>
            <w:tcW w:w="595" w:type="pct"/>
            <w:shd w:val="clear" w:color="auto" w:fill="auto"/>
            <w:vAlign w:val="center"/>
            <w:hideMark/>
          </w:tcPr>
          <w:p w14:paraId="79DF84E2" w14:textId="1727AA28" w:rsidR="00BE6130" w:rsidRPr="005935D8" w:rsidRDefault="00BE6130" w:rsidP="00BE6130">
            <w:pPr>
              <w:jc w:val="center"/>
              <w:rPr>
                <w:lang w:eastAsia="en-US"/>
              </w:rPr>
            </w:pPr>
            <w:r>
              <w:rPr>
                <w:lang w:eastAsia="en-US"/>
              </w:rPr>
              <w:t>0</w:t>
            </w:r>
          </w:p>
        </w:tc>
      </w:tr>
      <w:tr w:rsidR="00BE6130" w:rsidRPr="009A6CAD" w14:paraId="7618155A" w14:textId="77777777" w:rsidTr="00C41052">
        <w:trPr>
          <w:cantSplit/>
        </w:trPr>
        <w:tc>
          <w:tcPr>
            <w:tcW w:w="1153" w:type="pct"/>
            <w:shd w:val="clear" w:color="auto" w:fill="auto"/>
            <w:hideMark/>
          </w:tcPr>
          <w:p w14:paraId="1EB2C6C8" w14:textId="77777777" w:rsidR="00BE6130" w:rsidRPr="005935D8" w:rsidRDefault="00BE6130" w:rsidP="00BE6130">
            <w:pPr>
              <w:rPr>
                <w:lang w:eastAsia="en-US"/>
              </w:rPr>
            </w:pPr>
            <w:r w:rsidRPr="005935D8">
              <w:rPr>
                <w:lang w:eastAsia="en-US"/>
              </w:rPr>
              <w:t>2.3. pašvaldību budžets</w:t>
            </w:r>
          </w:p>
        </w:tc>
        <w:tc>
          <w:tcPr>
            <w:tcW w:w="539" w:type="pct"/>
            <w:shd w:val="clear" w:color="auto" w:fill="auto"/>
            <w:vAlign w:val="center"/>
            <w:hideMark/>
          </w:tcPr>
          <w:p w14:paraId="4B80A2C0" w14:textId="04E5AF79" w:rsidR="00BE6130" w:rsidRPr="005935D8" w:rsidRDefault="00BE6130" w:rsidP="00BE6130">
            <w:pPr>
              <w:jc w:val="center"/>
              <w:rPr>
                <w:lang w:eastAsia="en-US"/>
              </w:rPr>
            </w:pPr>
            <w:r>
              <w:rPr>
                <w:lang w:eastAsia="en-US"/>
              </w:rPr>
              <w:t>0</w:t>
            </w:r>
          </w:p>
        </w:tc>
        <w:tc>
          <w:tcPr>
            <w:tcW w:w="539" w:type="pct"/>
            <w:shd w:val="clear" w:color="auto" w:fill="auto"/>
            <w:vAlign w:val="center"/>
            <w:hideMark/>
          </w:tcPr>
          <w:p w14:paraId="20F06D27" w14:textId="0D70327F" w:rsidR="00BE6130" w:rsidRPr="005935D8" w:rsidRDefault="00BE6130" w:rsidP="00BE6130">
            <w:pPr>
              <w:jc w:val="center"/>
              <w:rPr>
                <w:lang w:eastAsia="en-US"/>
              </w:rPr>
            </w:pPr>
            <w:r>
              <w:rPr>
                <w:lang w:eastAsia="en-US"/>
              </w:rPr>
              <w:t>0</w:t>
            </w:r>
          </w:p>
        </w:tc>
        <w:tc>
          <w:tcPr>
            <w:tcW w:w="480" w:type="pct"/>
            <w:shd w:val="clear" w:color="auto" w:fill="auto"/>
            <w:vAlign w:val="center"/>
            <w:hideMark/>
          </w:tcPr>
          <w:p w14:paraId="42983CFF" w14:textId="40BE8D4A" w:rsidR="00BE6130" w:rsidRPr="005935D8" w:rsidRDefault="00BE6130" w:rsidP="00BE6130">
            <w:pPr>
              <w:jc w:val="center"/>
              <w:rPr>
                <w:lang w:eastAsia="en-US"/>
              </w:rPr>
            </w:pPr>
            <w:r>
              <w:rPr>
                <w:lang w:eastAsia="en-US"/>
              </w:rPr>
              <w:t>0</w:t>
            </w:r>
          </w:p>
        </w:tc>
        <w:tc>
          <w:tcPr>
            <w:tcW w:w="538" w:type="pct"/>
            <w:shd w:val="clear" w:color="auto" w:fill="auto"/>
            <w:vAlign w:val="center"/>
            <w:hideMark/>
          </w:tcPr>
          <w:p w14:paraId="6568D595" w14:textId="0CD8113E" w:rsidR="00BE6130" w:rsidRPr="005935D8" w:rsidRDefault="00BE6130" w:rsidP="00BE6130">
            <w:pPr>
              <w:jc w:val="center"/>
              <w:rPr>
                <w:lang w:eastAsia="en-US"/>
              </w:rPr>
            </w:pPr>
            <w:r>
              <w:rPr>
                <w:lang w:eastAsia="en-US"/>
              </w:rPr>
              <w:t>0</w:t>
            </w:r>
          </w:p>
        </w:tc>
        <w:tc>
          <w:tcPr>
            <w:tcW w:w="560" w:type="pct"/>
            <w:shd w:val="clear" w:color="auto" w:fill="auto"/>
            <w:vAlign w:val="center"/>
            <w:hideMark/>
          </w:tcPr>
          <w:p w14:paraId="01D691E5" w14:textId="66B649CB" w:rsidR="00BE6130" w:rsidRPr="005935D8" w:rsidRDefault="00BE6130" w:rsidP="00BE6130">
            <w:pPr>
              <w:jc w:val="center"/>
              <w:rPr>
                <w:lang w:eastAsia="en-US"/>
              </w:rPr>
            </w:pPr>
            <w:r>
              <w:rPr>
                <w:lang w:eastAsia="en-US"/>
              </w:rPr>
              <w:t>0</w:t>
            </w:r>
          </w:p>
        </w:tc>
        <w:tc>
          <w:tcPr>
            <w:tcW w:w="596" w:type="pct"/>
            <w:shd w:val="clear" w:color="auto" w:fill="auto"/>
            <w:vAlign w:val="center"/>
            <w:hideMark/>
          </w:tcPr>
          <w:p w14:paraId="1FA7ACB9" w14:textId="39DF5F16" w:rsidR="00BE6130" w:rsidRPr="005935D8" w:rsidRDefault="00BE6130" w:rsidP="00BE6130">
            <w:pPr>
              <w:jc w:val="center"/>
              <w:rPr>
                <w:lang w:eastAsia="en-US"/>
              </w:rPr>
            </w:pPr>
            <w:r>
              <w:rPr>
                <w:lang w:eastAsia="en-US"/>
              </w:rPr>
              <w:t>0</w:t>
            </w:r>
          </w:p>
        </w:tc>
        <w:tc>
          <w:tcPr>
            <w:tcW w:w="595" w:type="pct"/>
            <w:shd w:val="clear" w:color="auto" w:fill="auto"/>
            <w:vAlign w:val="center"/>
            <w:hideMark/>
          </w:tcPr>
          <w:p w14:paraId="7E9A0754" w14:textId="5DF7E2F4" w:rsidR="00BE6130" w:rsidRPr="005935D8" w:rsidRDefault="00BE6130" w:rsidP="00BE6130">
            <w:pPr>
              <w:jc w:val="center"/>
              <w:rPr>
                <w:lang w:eastAsia="en-US"/>
              </w:rPr>
            </w:pPr>
            <w:r>
              <w:rPr>
                <w:lang w:eastAsia="en-US"/>
              </w:rPr>
              <w:t>0</w:t>
            </w:r>
          </w:p>
        </w:tc>
      </w:tr>
      <w:tr w:rsidR="00BE6130" w:rsidRPr="009A6CAD" w14:paraId="2E39237D" w14:textId="77777777" w:rsidTr="00C41052">
        <w:trPr>
          <w:cantSplit/>
        </w:trPr>
        <w:tc>
          <w:tcPr>
            <w:tcW w:w="1153" w:type="pct"/>
            <w:shd w:val="clear" w:color="auto" w:fill="auto"/>
            <w:hideMark/>
          </w:tcPr>
          <w:p w14:paraId="14F81702" w14:textId="77777777" w:rsidR="00BE6130" w:rsidRPr="005935D8" w:rsidRDefault="00BE6130" w:rsidP="00BE6130">
            <w:pPr>
              <w:rPr>
                <w:lang w:eastAsia="en-US"/>
              </w:rPr>
            </w:pPr>
            <w:r w:rsidRPr="005935D8">
              <w:rPr>
                <w:lang w:eastAsia="en-US"/>
              </w:rPr>
              <w:t>3. Finansiālā ietekme</w:t>
            </w:r>
          </w:p>
        </w:tc>
        <w:tc>
          <w:tcPr>
            <w:tcW w:w="539" w:type="pct"/>
            <w:shd w:val="clear" w:color="auto" w:fill="auto"/>
            <w:vAlign w:val="center"/>
            <w:hideMark/>
          </w:tcPr>
          <w:p w14:paraId="0C975E34" w14:textId="6A3ECCF1" w:rsidR="00BE6130" w:rsidRPr="005935D8" w:rsidRDefault="00BE6130" w:rsidP="00BE6130">
            <w:pPr>
              <w:jc w:val="center"/>
              <w:rPr>
                <w:lang w:eastAsia="en-US"/>
              </w:rPr>
            </w:pPr>
            <w:r>
              <w:rPr>
                <w:lang w:eastAsia="en-US"/>
              </w:rPr>
              <w:t>0</w:t>
            </w:r>
          </w:p>
        </w:tc>
        <w:tc>
          <w:tcPr>
            <w:tcW w:w="539" w:type="pct"/>
            <w:shd w:val="clear" w:color="auto" w:fill="auto"/>
            <w:vAlign w:val="center"/>
            <w:hideMark/>
          </w:tcPr>
          <w:p w14:paraId="2605A664" w14:textId="588F728E" w:rsidR="00BE6130" w:rsidRPr="005935D8" w:rsidRDefault="00BE6130" w:rsidP="00BE6130">
            <w:pPr>
              <w:jc w:val="center"/>
              <w:rPr>
                <w:lang w:eastAsia="en-US"/>
              </w:rPr>
            </w:pPr>
            <w:r>
              <w:rPr>
                <w:lang w:eastAsia="en-US"/>
              </w:rPr>
              <w:t>0</w:t>
            </w:r>
          </w:p>
        </w:tc>
        <w:tc>
          <w:tcPr>
            <w:tcW w:w="480" w:type="pct"/>
            <w:shd w:val="clear" w:color="auto" w:fill="auto"/>
            <w:vAlign w:val="center"/>
            <w:hideMark/>
          </w:tcPr>
          <w:p w14:paraId="41CD1854" w14:textId="5D9E223E" w:rsidR="00BE6130" w:rsidRPr="005935D8" w:rsidRDefault="00BE6130" w:rsidP="00BE6130">
            <w:pPr>
              <w:jc w:val="center"/>
              <w:rPr>
                <w:lang w:eastAsia="en-US"/>
              </w:rPr>
            </w:pPr>
            <w:r>
              <w:rPr>
                <w:lang w:eastAsia="en-US"/>
              </w:rPr>
              <w:t>0</w:t>
            </w:r>
          </w:p>
        </w:tc>
        <w:tc>
          <w:tcPr>
            <w:tcW w:w="538" w:type="pct"/>
            <w:shd w:val="clear" w:color="auto" w:fill="auto"/>
            <w:vAlign w:val="center"/>
          </w:tcPr>
          <w:p w14:paraId="742B2BB9" w14:textId="5C8FEF46" w:rsidR="00BE6130" w:rsidRPr="00746E52" w:rsidRDefault="00BE6130" w:rsidP="00746E52">
            <w:pPr>
              <w:ind w:left="-24"/>
              <w:jc w:val="center"/>
              <w:rPr>
                <w:sz w:val="18"/>
                <w:lang w:eastAsia="en-US"/>
              </w:rPr>
            </w:pPr>
          </w:p>
        </w:tc>
        <w:tc>
          <w:tcPr>
            <w:tcW w:w="560" w:type="pct"/>
            <w:shd w:val="clear" w:color="auto" w:fill="auto"/>
            <w:vAlign w:val="center"/>
          </w:tcPr>
          <w:p w14:paraId="373956E9" w14:textId="1A831AA7" w:rsidR="00BE6130" w:rsidRPr="005935D8" w:rsidRDefault="00BE6130" w:rsidP="00BE6130">
            <w:pPr>
              <w:jc w:val="center"/>
              <w:rPr>
                <w:lang w:eastAsia="en-US"/>
              </w:rPr>
            </w:pPr>
            <w:r>
              <w:rPr>
                <w:lang w:eastAsia="en-US"/>
              </w:rPr>
              <w:t>0</w:t>
            </w:r>
          </w:p>
        </w:tc>
        <w:tc>
          <w:tcPr>
            <w:tcW w:w="596" w:type="pct"/>
            <w:shd w:val="clear" w:color="auto" w:fill="auto"/>
            <w:vAlign w:val="center"/>
          </w:tcPr>
          <w:p w14:paraId="2DC8087B" w14:textId="6165BA63" w:rsidR="00BE6130" w:rsidRPr="002A440A" w:rsidRDefault="002A440A" w:rsidP="00BE6130">
            <w:pPr>
              <w:jc w:val="center"/>
              <w:rPr>
                <w:lang w:eastAsia="en-US"/>
              </w:rPr>
            </w:pPr>
            <w:r w:rsidRPr="002A440A">
              <w:rPr>
                <w:lang w:eastAsia="en-US"/>
              </w:rPr>
              <w:t>0</w:t>
            </w:r>
          </w:p>
        </w:tc>
        <w:tc>
          <w:tcPr>
            <w:tcW w:w="595" w:type="pct"/>
            <w:shd w:val="clear" w:color="auto" w:fill="auto"/>
            <w:vAlign w:val="center"/>
          </w:tcPr>
          <w:p w14:paraId="6DFA165F" w14:textId="5427E9CC" w:rsidR="00BE6130" w:rsidRPr="005935D8" w:rsidRDefault="00BE6130" w:rsidP="00BE6130">
            <w:pPr>
              <w:jc w:val="center"/>
              <w:rPr>
                <w:lang w:eastAsia="en-US"/>
              </w:rPr>
            </w:pPr>
            <w:r>
              <w:rPr>
                <w:lang w:eastAsia="en-US"/>
              </w:rPr>
              <w:t>0</w:t>
            </w:r>
          </w:p>
        </w:tc>
      </w:tr>
      <w:tr w:rsidR="00BE6130" w:rsidRPr="009A6CAD" w14:paraId="353CF274" w14:textId="77777777" w:rsidTr="00C41052">
        <w:trPr>
          <w:cantSplit/>
        </w:trPr>
        <w:tc>
          <w:tcPr>
            <w:tcW w:w="1153" w:type="pct"/>
            <w:shd w:val="clear" w:color="auto" w:fill="auto"/>
            <w:hideMark/>
          </w:tcPr>
          <w:p w14:paraId="61133851" w14:textId="77777777" w:rsidR="00BE6130" w:rsidRPr="005935D8" w:rsidRDefault="00BE6130" w:rsidP="00BE6130">
            <w:pPr>
              <w:rPr>
                <w:lang w:eastAsia="en-US"/>
              </w:rPr>
            </w:pPr>
            <w:r w:rsidRPr="005935D8">
              <w:rPr>
                <w:lang w:eastAsia="en-US"/>
              </w:rPr>
              <w:t>3.1. valsts pamatbudžets</w:t>
            </w:r>
          </w:p>
        </w:tc>
        <w:tc>
          <w:tcPr>
            <w:tcW w:w="539" w:type="pct"/>
            <w:shd w:val="clear" w:color="auto" w:fill="auto"/>
            <w:vAlign w:val="center"/>
            <w:hideMark/>
          </w:tcPr>
          <w:p w14:paraId="39646753" w14:textId="43E6E403" w:rsidR="00BE6130" w:rsidRPr="005935D8" w:rsidRDefault="00BE6130" w:rsidP="00BE6130">
            <w:pPr>
              <w:jc w:val="center"/>
              <w:rPr>
                <w:lang w:eastAsia="en-US"/>
              </w:rPr>
            </w:pPr>
            <w:r>
              <w:rPr>
                <w:lang w:eastAsia="en-US"/>
              </w:rPr>
              <w:t>0</w:t>
            </w:r>
          </w:p>
        </w:tc>
        <w:tc>
          <w:tcPr>
            <w:tcW w:w="539" w:type="pct"/>
            <w:shd w:val="clear" w:color="auto" w:fill="auto"/>
            <w:vAlign w:val="center"/>
            <w:hideMark/>
          </w:tcPr>
          <w:p w14:paraId="5BDCA435" w14:textId="53662C51" w:rsidR="00BE6130" w:rsidRPr="005935D8" w:rsidRDefault="00BE6130" w:rsidP="00BE6130">
            <w:pPr>
              <w:jc w:val="center"/>
              <w:rPr>
                <w:lang w:eastAsia="en-US"/>
              </w:rPr>
            </w:pPr>
            <w:r>
              <w:rPr>
                <w:lang w:eastAsia="en-US"/>
              </w:rPr>
              <w:t>0</w:t>
            </w:r>
          </w:p>
        </w:tc>
        <w:tc>
          <w:tcPr>
            <w:tcW w:w="480" w:type="pct"/>
            <w:shd w:val="clear" w:color="auto" w:fill="auto"/>
            <w:vAlign w:val="center"/>
            <w:hideMark/>
          </w:tcPr>
          <w:p w14:paraId="3A9462EA" w14:textId="18533EDB" w:rsidR="00BE6130" w:rsidRPr="005935D8" w:rsidRDefault="00BE6130" w:rsidP="00BE6130">
            <w:pPr>
              <w:jc w:val="center"/>
              <w:rPr>
                <w:lang w:eastAsia="en-US"/>
              </w:rPr>
            </w:pPr>
            <w:r>
              <w:rPr>
                <w:lang w:eastAsia="en-US"/>
              </w:rPr>
              <w:t>0</w:t>
            </w:r>
          </w:p>
        </w:tc>
        <w:tc>
          <w:tcPr>
            <w:tcW w:w="538" w:type="pct"/>
            <w:shd w:val="clear" w:color="auto" w:fill="auto"/>
            <w:vAlign w:val="center"/>
          </w:tcPr>
          <w:p w14:paraId="69A386CB" w14:textId="48EA8D60" w:rsidR="00BE6130" w:rsidRPr="005935D8" w:rsidRDefault="00BE6130" w:rsidP="00BE6130">
            <w:pPr>
              <w:jc w:val="center"/>
              <w:rPr>
                <w:lang w:eastAsia="en-US"/>
              </w:rPr>
            </w:pPr>
          </w:p>
        </w:tc>
        <w:tc>
          <w:tcPr>
            <w:tcW w:w="560" w:type="pct"/>
            <w:shd w:val="clear" w:color="auto" w:fill="auto"/>
            <w:vAlign w:val="center"/>
          </w:tcPr>
          <w:p w14:paraId="41770724" w14:textId="439A4DD7" w:rsidR="00BE6130" w:rsidRPr="005935D8" w:rsidRDefault="00BE6130" w:rsidP="00BE6130">
            <w:pPr>
              <w:jc w:val="center"/>
              <w:rPr>
                <w:lang w:eastAsia="en-US"/>
              </w:rPr>
            </w:pPr>
            <w:r>
              <w:rPr>
                <w:lang w:eastAsia="en-US"/>
              </w:rPr>
              <w:t>0</w:t>
            </w:r>
          </w:p>
        </w:tc>
        <w:tc>
          <w:tcPr>
            <w:tcW w:w="596" w:type="pct"/>
            <w:shd w:val="clear" w:color="auto" w:fill="auto"/>
            <w:vAlign w:val="center"/>
          </w:tcPr>
          <w:p w14:paraId="0E59D16A" w14:textId="16AC567D" w:rsidR="00BE6130" w:rsidRPr="002A440A" w:rsidRDefault="002A440A" w:rsidP="00BE6130">
            <w:pPr>
              <w:jc w:val="center"/>
              <w:rPr>
                <w:lang w:eastAsia="en-US"/>
              </w:rPr>
            </w:pPr>
            <w:r w:rsidRPr="002A440A">
              <w:rPr>
                <w:lang w:eastAsia="en-US"/>
              </w:rPr>
              <w:t>0</w:t>
            </w:r>
          </w:p>
        </w:tc>
        <w:tc>
          <w:tcPr>
            <w:tcW w:w="595" w:type="pct"/>
            <w:shd w:val="clear" w:color="auto" w:fill="auto"/>
            <w:vAlign w:val="center"/>
          </w:tcPr>
          <w:p w14:paraId="26C3811D" w14:textId="722CE4F3" w:rsidR="00BE6130" w:rsidRPr="005935D8" w:rsidRDefault="00BE6130" w:rsidP="00BE6130">
            <w:pPr>
              <w:jc w:val="center"/>
              <w:rPr>
                <w:lang w:eastAsia="en-US"/>
              </w:rPr>
            </w:pPr>
            <w:r>
              <w:rPr>
                <w:lang w:eastAsia="en-US"/>
              </w:rPr>
              <w:t>0</w:t>
            </w:r>
          </w:p>
        </w:tc>
      </w:tr>
      <w:tr w:rsidR="00BE6130" w:rsidRPr="009A6CAD" w14:paraId="68DA4758" w14:textId="77777777" w:rsidTr="00C41052">
        <w:trPr>
          <w:cantSplit/>
        </w:trPr>
        <w:tc>
          <w:tcPr>
            <w:tcW w:w="1153" w:type="pct"/>
            <w:shd w:val="clear" w:color="auto" w:fill="auto"/>
            <w:hideMark/>
          </w:tcPr>
          <w:p w14:paraId="7E2E1977" w14:textId="77777777" w:rsidR="00BE6130" w:rsidRPr="005935D8" w:rsidRDefault="00BE6130" w:rsidP="00BE6130">
            <w:pPr>
              <w:rPr>
                <w:lang w:eastAsia="en-US"/>
              </w:rPr>
            </w:pPr>
            <w:r w:rsidRPr="005935D8">
              <w:rPr>
                <w:lang w:eastAsia="en-US"/>
              </w:rPr>
              <w:t>3.2. speciālais budžets</w:t>
            </w:r>
          </w:p>
        </w:tc>
        <w:tc>
          <w:tcPr>
            <w:tcW w:w="539" w:type="pct"/>
            <w:shd w:val="clear" w:color="auto" w:fill="auto"/>
            <w:vAlign w:val="center"/>
            <w:hideMark/>
          </w:tcPr>
          <w:p w14:paraId="4993D574" w14:textId="40CDBA8F" w:rsidR="00BE6130" w:rsidRPr="005935D8" w:rsidRDefault="00BE6130" w:rsidP="00BE6130">
            <w:pPr>
              <w:jc w:val="center"/>
              <w:rPr>
                <w:lang w:eastAsia="en-US"/>
              </w:rPr>
            </w:pPr>
            <w:r>
              <w:rPr>
                <w:lang w:eastAsia="en-US"/>
              </w:rPr>
              <w:t>0</w:t>
            </w:r>
          </w:p>
        </w:tc>
        <w:tc>
          <w:tcPr>
            <w:tcW w:w="539" w:type="pct"/>
            <w:shd w:val="clear" w:color="auto" w:fill="auto"/>
            <w:vAlign w:val="center"/>
            <w:hideMark/>
          </w:tcPr>
          <w:p w14:paraId="47709A48" w14:textId="16223456" w:rsidR="00BE6130" w:rsidRPr="005935D8" w:rsidRDefault="00BE6130" w:rsidP="00BE6130">
            <w:pPr>
              <w:jc w:val="center"/>
              <w:rPr>
                <w:lang w:eastAsia="en-US"/>
              </w:rPr>
            </w:pPr>
            <w:r>
              <w:rPr>
                <w:lang w:eastAsia="en-US"/>
              </w:rPr>
              <w:t>0</w:t>
            </w:r>
          </w:p>
        </w:tc>
        <w:tc>
          <w:tcPr>
            <w:tcW w:w="480" w:type="pct"/>
            <w:shd w:val="clear" w:color="auto" w:fill="auto"/>
            <w:vAlign w:val="center"/>
            <w:hideMark/>
          </w:tcPr>
          <w:p w14:paraId="45DB9F83" w14:textId="5A56C7D1" w:rsidR="00BE6130" w:rsidRPr="005935D8" w:rsidRDefault="00BE6130" w:rsidP="00BE6130">
            <w:pPr>
              <w:jc w:val="center"/>
              <w:rPr>
                <w:lang w:eastAsia="en-US"/>
              </w:rPr>
            </w:pPr>
            <w:r>
              <w:rPr>
                <w:lang w:eastAsia="en-US"/>
              </w:rPr>
              <w:t>0</w:t>
            </w:r>
          </w:p>
        </w:tc>
        <w:tc>
          <w:tcPr>
            <w:tcW w:w="538" w:type="pct"/>
            <w:shd w:val="clear" w:color="auto" w:fill="auto"/>
            <w:vAlign w:val="center"/>
          </w:tcPr>
          <w:p w14:paraId="158338E3" w14:textId="42E5A519" w:rsidR="00BE6130" w:rsidRPr="005935D8" w:rsidRDefault="00BE6130" w:rsidP="00BE6130">
            <w:pPr>
              <w:jc w:val="center"/>
              <w:rPr>
                <w:lang w:eastAsia="en-US"/>
              </w:rPr>
            </w:pPr>
            <w:r>
              <w:rPr>
                <w:lang w:eastAsia="en-US"/>
              </w:rPr>
              <w:t>0</w:t>
            </w:r>
          </w:p>
        </w:tc>
        <w:tc>
          <w:tcPr>
            <w:tcW w:w="560" w:type="pct"/>
            <w:shd w:val="clear" w:color="auto" w:fill="auto"/>
            <w:vAlign w:val="center"/>
          </w:tcPr>
          <w:p w14:paraId="662A1D33" w14:textId="4EE33346" w:rsidR="00BE6130" w:rsidRPr="005935D8" w:rsidRDefault="00BE6130" w:rsidP="00BE6130">
            <w:pPr>
              <w:jc w:val="center"/>
              <w:rPr>
                <w:lang w:eastAsia="en-US"/>
              </w:rPr>
            </w:pPr>
            <w:r>
              <w:rPr>
                <w:lang w:eastAsia="en-US"/>
              </w:rPr>
              <w:t>0</w:t>
            </w:r>
          </w:p>
        </w:tc>
        <w:tc>
          <w:tcPr>
            <w:tcW w:w="596" w:type="pct"/>
            <w:shd w:val="clear" w:color="auto" w:fill="auto"/>
            <w:vAlign w:val="center"/>
          </w:tcPr>
          <w:p w14:paraId="78AF2B54" w14:textId="194ACE1F" w:rsidR="00BE6130" w:rsidRPr="005935D8" w:rsidRDefault="00BE6130" w:rsidP="00BE6130">
            <w:pPr>
              <w:jc w:val="center"/>
              <w:rPr>
                <w:lang w:eastAsia="en-US"/>
              </w:rPr>
            </w:pPr>
            <w:r>
              <w:rPr>
                <w:lang w:eastAsia="en-US"/>
              </w:rPr>
              <w:t>0</w:t>
            </w:r>
          </w:p>
        </w:tc>
        <w:tc>
          <w:tcPr>
            <w:tcW w:w="595" w:type="pct"/>
            <w:shd w:val="clear" w:color="auto" w:fill="auto"/>
            <w:vAlign w:val="center"/>
          </w:tcPr>
          <w:p w14:paraId="731E34BE" w14:textId="6F782DA3" w:rsidR="00BE6130" w:rsidRPr="005935D8" w:rsidRDefault="00BE6130" w:rsidP="00BE6130">
            <w:pPr>
              <w:jc w:val="center"/>
              <w:rPr>
                <w:lang w:eastAsia="en-US"/>
              </w:rPr>
            </w:pPr>
            <w:r>
              <w:rPr>
                <w:lang w:eastAsia="en-US"/>
              </w:rPr>
              <w:t>0</w:t>
            </w:r>
          </w:p>
        </w:tc>
      </w:tr>
      <w:tr w:rsidR="00BE6130" w:rsidRPr="009A6CAD" w14:paraId="10BDF4FA" w14:textId="77777777" w:rsidTr="00C41052">
        <w:trPr>
          <w:cantSplit/>
        </w:trPr>
        <w:tc>
          <w:tcPr>
            <w:tcW w:w="1153" w:type="pct"/>
            <w:shd w:val="clear" w:color="auto" w:fill="auto"/>
            <w:hideMark/>
          </w:tcPr>
          <w:p w14:paraId="18EFF195" w14:textId="77777777" w:rsidR="00BE6130" w:rsidRPr="005935D8" w:rsidRDefault="00BE6130" w:rsidP="00BE6130">
            <w:pPr>
              <w:rPr>
                <w:lang w:eastAsia="en-US"/>
              </w:rPr>
            </w:pPr>
            <w:r w:rsidRPr="005935D8">
              <w:rPr>
                <w:lang w:eastAsia="en-US"/>
              </w:rPr>
              <w:t>3.3. pašvaldību budžets</w:t>
            </w:r>
          </w:p>
        </w:tc>
        <w:tc>
          <w:tcPr>
            <w:tcW w:w="539" w:type="pct"/>
            <w:shd w:val="clear" w:color="auto" w:fill="auto"/>
            <w:vAlign w:val="center"/>
            <w:hideMark/>
          </w:tcPr>
          <w:p w14:paraId="4813A936" w14:textId="4DB17D1F" w:rsidR="00BE6130" w:rsidRPr="005935D8" w:rsidRDefault="00BE6130" w:rsidP="00BE6130">
            <w:pPr>
              <w:jc w:val="center"/>
              <w:rPr>
                <w:lang w:eastAsia="en-US"/>
              </w:rPr>
            </w:pPr>
            <w:r>
              <w:rPr>
                <w:lang w:eastAsia="en-US"/>
              </w:rPr>
              <w:t>0</w:t>
            </w:r>
          </w:p>
        </w:tc>
        <w:tc>
          <w:tcPr>
            <w:tcW w:w="539" w:type="pct"/>
            <w:shd w:val="clear" w:color="auto" w:fill="auto"/>
            <w:vAlign w:val="center"/>
            <w:hideMark/>
          </w:tcPr>
          <w:p w14:paraId="354F4C6B" w14:textId="0F32014B" w:rsidR="00BE6130" w:rsidRPr="005935D8" w:rsidRDefault="00BE6130" w:rsidP="00BE6130">
            <w:pPr>
              <w:jc w:val="center"/>
              <w:rPr>
                <w:lang w:eastAsia="en-US"/>
              </w:rPr>
            </w:pPr>
            <w:r>
              <w:rPr>
                <w:lang w:eastAsia="en-US"/>
              </w:rPr>
              <w:t>0</w:t>
            </w:r>
          </w:p>
        </w:tc>
        <w:tc>
          <w:tcPr>
            <w:tcW w:w="480" w:type="pct"/>
            <w:shd w:val="clear" w:color="auto" w:fill="auto"/>
            <w:vAlign w:val="center"/>
            <w:hideMark/>
          </w:tcPr>
          <w:p w14:paraId="3E336981" w14:textId="511D09BF" w:rsidR="00BE6130" w:rsidRPr="005935D8" w:rsidRDefault="00BE6130" w:rsidP="00BE6130">
            <w:pPr>
              <w:jc w:val="center"/>
              <w:rPr>
                <w:lang w:eastAsia="en-US"/>
              </w:rPr>
            </w:pPr>
            <w:r>
              <w:rPr>
                <w:lang w:eastAsia="en-US"/>
              </w:rPr>
              <w:t>0</w:t>
            </w:r>
          </w:p>
        </w:tc>
        <w:tc>
          <w:tcPr>
            <w:tcW w:w="538" w:type="pct"/>
            <w:shd w:val="clear" w:color="auto" w:fill="auto"/>
            <w:vAlign w:val="center"/>
          </w:tcPr>
          <w:p w14:paraId="55636263" w14:textId="2B798A37" w:rsidR="00BE6130" w:rsidRPr="005935D8" w:rsidRDefault="00BE6130" w:rsidP="00BE6130">
            <w:pPr>
              <w:jc w:val="center"/>
              <w:rPr>
                <w:lang w:eastAsia="en-US"/>
              </w:rPr>
            </w:pPr>
            <w:r>
              <w:rPr>
                <w:lang w:eastAsia="en-US"/>
              </w:rPr>
              <w:t>0</w:t>
            </w:r>
          </w:p>
        </w:tc>
        <w:tc>
          <w:tcPr>
            <w:tcW w:w="560" w:type="pct"/>
            <w:shd w:val="clear" w:color="auto" w:fill="auto"/>
            <w:vAlign w:val="center"/>
          </w:tcPr>
          <w:p w14:paraId="60C258B7" w14:textId="44CA1177" w:rsidR="00BE6130" w:rsidRPr="005935D8" w:rsidRDefault="00BE6130" w:rsidP="00BE6130">
            <w:pPr>
              <w:jc w:val="center"/>
              <w:rPr>
                <w:lang w:eastAsia="en-US"/>
              </w:rPr>
            </w:pPr>
            <w:r>
              <w:rPr>
                <w:lang w:eastAsia="en-US"/>
              </w:rPr>
              <w:t>0</w:t>
            </w:r>
          </w:p>
        </w:tc>
        <w:tc>
          <w:tcPr>
            <w:tcW w:w="596" w:type="pct"/>
            <w:shd w:val="clear" w:color="auto" w:fill="auto"/>
            <w:vAlign w:val="center"/>
          </w:tcPr>
          <w:p w14:paraId="1AD23BC6" w14:textId="20B09BD5" w:rsidR="00BE6130" w:rsidRPr="005935D8" w:rsidRDefault="00BE6130" w:rsidP="00BE6130">
            <w:pPr>
              <w:jc w:val="center"/>
              <w:rPr>
                <w:lang w:eastAsia="en-US"/>
              </w:rPr>
            </w:pPr>
            <w:r>
              <w:rPr>
                <w:lang w:eastAsia="en-US"/>
              </w:rPr>
              <w:t>0</w:t>
            </w:r>
          </w:p>
        </w:tc>
        <w:tc>
          <w:tcPr>
            <w:tcW w:w="595" w:type="pct"/>
            <w:shd w:val="clear" w:color="auto" w:fill="auto"/>
            <w:vAlign w:val="center"/>
          </w:tcPr>
          <w:p w14:paraId="0E4BE5DD" w14:textId="6B5B0B15" w:rsidR="00BE6130" w:rsidRPr="005935D8" w:rsidRDefault="00BE6130" w:rsidP="00BE6130">
            <w:pPr>
              <w:jc w:val="center"/>
              <w:rPr>
                <w:lang w:eastAsia="en-US"/>
              </w:rPr>
            </w:pPr>
            <w:r>
              <w:rPr>
                <w:lang w:eastAsia="en-US"/>
              </w:rPr>
              <w:t>0</w:t>
            </w:r>
          </w:p>
        </w:tc>
      </w:tr>
      <w:tr w:rsidR="00BE6130" w:rsidRPr="009A6CAD" w14:paraId="08C81ED3" w14:textId="77777777" w:rsidTr="00C41052">
        <w:trPr>
          <w:cantSplit/>
        </w:trPr>
        <w:tc>
          <w:tcPr>
            <w:tcW w:w="1153" w:type="pct"/>
            <w:shd w:val="clear" w:color="auto" w:fill="auto"/>
            <w:hideMark/>
          </w:tcPr>
          <w:p w14:paraId="626BDC4E" w14:textId="77777777" w:rsidR="00BE6130" w:rsidRPr="005935D8" w:rsidRDefault="00BE6130" w:rsidP="00BE6130">
            <w:pPr>
              <w:rPr>
                <w:lang w:eastAsia="en-US"/>
              </w:rPr>
            </w:pPr>
            <w:r w:rsidRPr="005935D8">
              <w:rPr>
                <w:lang w:eastAsia="en-US"/>
              </w:rPr>
              <w:t>4. Finanšu līdzekļi papildu izdevumu finansēšanai (kompensējošu izdevumu samazinājumu norāda ar "+" zīmi)</w:t>
            </w:r>
          </w:p>
        </w:tc>
        <w:tc>
          <w:tcPr>
            <w:tcW w:w="539" w:type="pct"/>
            <w:shd w:val="clear" w:color="auto" w:fill="auto"/>
            <w:vAlign w:val="center"/>
            <w:hideMark/>
          </w:tcPr>
          <w:p w14:paraId="5EEF9319" w14:textId="73AAC5BA" w:rsidR="00BE6130" w:rsidRPr="005935D8" w:rsidRDefault="00F50C2F" w:rsidP="00BE6130">
            <w:pPr>
              <w:jc w:val="center"/>
              <w:rPr>
                <w:lang w:eastAsia="en-US"/>
              </w:rPr>
            </w:pPr>
            <w:r>
              <w:rPr>
                <w:lang w:eastAsia="en-US"/>
              </w:rPr>
              <w:t>X</w:t>
            </w:r>
          </w:p>
        </w:tc>
        <w:tc>
          <w:tcPr>
            <w:tcW w:w="539" w:type="pct"/>
            <w:shd w:val="clear" w:color="auto" w:fill="auto"/>
            <w:vAlign w:val="center"/>
            <w:hideMark/>
          </w:tcPr>
          <w:p w14:paraId="27EAFC1A" w14:textId="16B4E4EE" w:rsidR="00BE6130" w:rsidRPr="005935D8" w:rsidRDefault="00BE6130" w:rsidP="00BE6130">
            <w:pPr>
              <w:jc w:val="center"/>
              <w:rPr>
                <w:lang w:eastAsia="en-US"/>
              </w:rPr>
            </w:pPr>
            <w:r>
              <w:rPr>
                <w:lang w:eastAsia="en-US"/>
              </w:rPr>
              <w:t>0</w:t>
            </w:r>
          </w:p>
        </w:tc>
        <w:tc>
          <w:tcPr>
            <w:tcW w:w="480" w:type="pct"/>
            <w:shd w:val="clear" w:color="auto" w:fill="auto"/>
            <w:vAlign w:val="center"/>
            <w:hideMark/>
          </w:tcPr>
          <w:p w14:paraId="7CD63900" w14:textId="5704A491" w:rsidR="00BE6130" w:rsidRPr="005935D8" w:rsidRDefault="00F50C2F" w:rsidP="00BE6130">
            <w:pPr>
              <w:jc w:val="center"/>
              <w:rPr>
                <w:lang w:eastAsia="en-US"/>
              </w:rPr>
            </w:pPr>
            <w:r>
              <w:rPr>
                <w:lang w:eastAsia="en-US"/>
              </w:rPr>
              <w:t>X</w:t>
            </w:r>
          </w:p>
        </w:tc>
        <w:tc>
          <w:tcPr>
            <w:tcW w:w="538" w:type="pct"/>
            <w:shd w:val="clear" w:color="auto" w:fill="auto"/>
            <w:vAlign w:val="center"/>
            <w:hideMark/>
          </w:tcPr>
          <w:p w14:paraId="4155A0BF" w14:textId="46A6EBA5" w:rsidR="00BE6130" w:rsidRPr="005935D8" w:rsidRDefault="00BE6130" w:rsidP="00BE6130">
            <w:pPr>
              <w:jc w:val="center"/>
              <w:rPr>
                <w:lang w:eastAsia="en-US"/>
              </w:rPr>
            </w:pPr>
            <w:r>
              <w:rPr>
                <w:lang w:eastAsia="en-US"/>
              </w:rPr>
              <w:t>0</w:t>
            </w:r>
          </w:p>
        </w:tc>
        <w:tc>
          <w:tcPr>
            <w:tcW w:w="560" w:type="pct"/>
            <w:shd w:val="clear" w:color="auto" w:fill="auto"/>
            <w:vAlign w:val="center"/>
            <w:hideMark/>
          </w:tcPr>
          <w:p w14:paraId="0D04A106" w14:textId="7626A6C4" w:rsidR="00BE6130" w:rsidRPr="005935D8" w:rsidRDefault="00F50C2F" w:rsidP="00BE6130">
            <w:pPr>
              <w:jc w:val="center"/>
              <w:rPr>
                <w:lang w:eastAsia="en-US"/>
              </w:rPr>
            </w:pPr>
            <w:r>
              <w:rPr>
                <w:lang w:eastAsia="en-US"/>
              </w:rPr>
              <w:t>X</w:t>
            </w:r>
          </w:p>
        </w:tc>
        <w:tc>
          <w:tcPr>
            <w:tcW w:w="596" w:type="pct"/>
            <w:shd w:val="clear" w:color="auto" w:fill="auto"/>
            <w:vAlign w:val="center"/>
            <w:hideMark/>
          </w:tcPr>
          <w:p w14:paraId="05A20A4C" w14:textId="431CD4EB" w:rsidR="00BE6130" w:rsidRPr="005935D8" w:rsidRDefault="00BE6130" w:rsidP="00BE6130">
            <w:pPr>
              <w:jc w:val="center"/>
              <w:rPr>
                <w:lang w:eastAsia="en-US"/>
              </w:rPr>
            </w:pPr>
            <w:r>
              <w:rPr>
                <w:lang w:eastAsia="en-US"/>
              </w:rPr>
              <w:t>0</w:t>
            </w:r>
          </w:p>
        </w:tc>
        <w:tc>
          <w:tcPr>
            <w:tcW w:w="595" w:type="pct"/>
            <w:shd w:val="clear" w:color="auto" w:fill="auto"/>
            <w:vAlign w:val="center"/>
            <w:hideMark/>
          </w:tcPr>
          <w:p w14:paraId="3471B20B" w14:textId="29DC0486" w:rsidR="00BE6130" w:rsidRPr="005935D8" w:rsidRDefault="00BE6130" w:rsidP="00BE6130">
            <w:pPr>
              <w:jc w:val="center"/>
              <w:rPr>
                <w:lang w:eastAsia="en-US"/>
              </w:rPr>
            </w:pPr>
            <w:r>
              <w:rPr>
                <w:lang w:eastAsia="en-US"/>
              </w:rPr>
              <w:t>0</w:t>
            </w:r>
          </w:p>
        </w:tc>
      </w:tr>
      <w:tr w:rsidR="00BE6130" w:rsidRPr="009A6CAD" w14:paraId="203508AB" w14:textId="77777777" w:rsidTr="00C41052">
        <w:trPr>
          <w:cantSplit/>
        </w:trPr>
        <w:tc>
          <w:tcPr>
            <w:tcW w:w="1153" w:type="pct"/>
            <w:shd w:val="clear" w:color="auto" w:fill="auto"/>
            <w:hideMark/>
          </w:tcPr>
          <w:p w14:paraId="00533B6E" w14:textId="77777777" w:rsidR="00BE6130" w:rsidRPr="005935D8" w:rsidRDefault="00BE6130" w:rsidP="00BE6130">
            <w:pPr>
              <w:rPr>
                <w:lang w:eastAsia="en-US"/>
              </w:rPr>
            </w:pPr>
            <w:r w:rsidRPr="005935D8">
              <w:rPr>
                <w:lang w:eastAsia="en-US"/>
              </w:rPr>
              <w:t>5. Precizēta finansiālā ietekme</w:t>
            </w:r>
          </w:p>
        </w:tc>
        <w:tc>
          <w:tcPr>
            <w:tcW w:w="539" w:type="pct"/>
            <w:vMerge w:val="restart"/>
            <w:shd w:val="clear" w:color="auto" w:fill="auto"/>
            <w:vAlign w:val="center"/>
            <w:hideMark/>
          </w:tcPr>
          <w:p w14:paraId="141B95F9" w14:textId="70928E71" w:rsidR="00BE6130" w:rsidRPr="005935D8" w:rsidRDefault="00F50C2F" w:rsidP="00BE6130">
            <w:pPr>
              <w:jc w:val="center"/>
              <w:rPr>
                <w:lang w:eastAsia="en-US"/>
              </w:rPr>
            </w:pPr>
            <w:r>
              <w:rPr>
                <w:lang w:eastAsia="en-US"/>
              </w:rPr>
              <w:t>X</w:t>
            </w:r>
          </w:p>
        </w:tc>
        <w:tc>
          <w:tcPr>
            <w:tcW w:w="539" w:type="pct"/>
            <w:shd w:val="clear" w:color="auto" w:fill="auto"/>
            <w:vAlign w:val="center"/>
            <w:hideMark/>
          </w:tcPr>
          <w:p w14:paraId="01552EFB" w14:textId="38CF734D" w:rsidR="00BE6130" w:rsidRPr="005935D8" w:rsidRDefault="00BE6130" w:rsidP="00BE6130">
            <w:pPr>
              <w:jc w:val="center"/>
              <w:rPr>
                <w:lang w:eastAsia="en-US"/>
              </w:rPr>
            </w:pPr>
            <w:r>
              <w:rPr>
                <w:lang w:eastAsia="en-US"/>
              </w:rPr>
              <w:t>0</w:t>
            </w:r>
          </w:p>
        </w:tc>
        <w:tc>
          <w:tcPr>
            <w:tcW w:w="480" w:type="pct"/>
            <w:vMerge w:val="restart"/>
            <w:shd w:val="clear" w:color="auto" w:fill="auto"/>
            <w:vAlign w:val="center"/>
            <w:hideMark/>
          </w:tcPr>
          <w:p w14:paraId="3BF7F389" w14:textId="6097A3FA" w:rsidR="00BE6130" w:rsidRPr="005935D8" w:rsidRDefault="00F50C2F" w:rsidP="00BE6130">
            <w:pPr>
              <w:jc w:val="center"/>
              <w:rPr>
                <w:lang w:eastAsia="en-US"/>
              </w:rPr>
            </w:pPr>
            <w:r>
              <w:rPr>
                <w:lang w:eastAsia="en-US"/>
              </w:rPr>
              <w:t>X</w:t>
            </w:r>
          </w:p>
        </w:tc>
        <w:tc>
          <w:tcPr>
            <w:tcW w:w="538" w:type="pct"/>
            <w:shd w:val="clear" w:color="auto" w:fill="auto"/>
            <w:vAlign w:val="center"/>
            <w:hideMark/>
          </w:tcPr>
          <w:p w14:paraId="32469C14" w14:textId="40893580" w:rsidR="00BE6130" w:rsidRPr="005935D8" w:rsidRDefault="00BE6130" w:rsidP="00BE6130">
            <w:pPr>
              <w:jc w:val="center"/>
              <w:rPr>
                <w:lang w:eastAsia="en-US"/>
              </w:rPr>
            </w:pPr>
            <w:r>
              <w:rPr>
                <w:lang w:eastAsia="en-US"/>
              </w:rPr>
              <w:t>0</w:t>
            </w:r>
          </w:p>
        </w:tc>
        <w:tc>
          <w:tcPr>
            <w:tcW w:w="560" w:type="pct"/>
            <w:vMerge w:val="restart"/>
            <w:shd w:val="clear" w:color="auto" w:fill="auto"/>
            <w:vAlign w:val="center"/>
            <w:hideMark/>
          </w:tcPr>
          <w:p w14:paraId="59DE8374" w14:textId="12129D65" w:rsidR="00BE6130" w:rsidRPr="005935D8" w:rsidRDefault="00F50C2F" w:rsidP="00BE6130">
            <w:pPr>
              <w:jc w:val="center"/>
              <w:rPr>
                <w:lang w:eastAsia="en-US"/>
              </w:rPr>
            </w:pPr>
            <w:r>
              <w:rPr>
                <w:lang w:eastAsia="en-US"/>
              </w:rPr>
              <w:t>X</w:t>
            </w:r>
          </w:p>
        </w:tc>
        <w:tc>
          <w:tcPr>
            <w:tcW w:w="596" w:type="pct"/>
            <w:shd w:val="clear" w:color="auto" w:fill="auto"/>
            <w:vAlign w:val="center"/>
            <w:hideMark/>
          </w:tcPr>
          <w:p w14:paraId="4865F153" w14:textId="33DA71E1" w:rsidR="00BE6130" w:rsidRPr="005935D8" w:rsidRDefault="00BE6130" w:rsidP="00BE6130">
            <w:pPr>
              <w:jc w:val="center"/>
              <w:rPr>
                <w:lang w:eastAsia="en-US"/>
              </w:rPr>
            </w:pPr>
            <w:r>
              <w:rPr>
                <w:lang w:eastAsia="en-US"/>
              </w:rPr>
              <w:t>0</w:t>
            </w:r>
          </w:p>
        </w:tc>
        <w:tc>
          <w:tcPr>
            <w:tcW w:w="595" w:type="pct"/>
            <w:shd w:val="clear" w:color="auto" w:fill="auto"/>
            <w:vAlign w:val="center"/>
            <w:hideMark/>
          </w:tcPr>
          <w:p w14:paraId="09E7E47B" w14:textId="53E03252" w:rsidR="00BE6130" w:rsidRPr="005935D8" w:rsidRDefault="00BE6130" w:rsidP="00BE6130">
            <w:pPr>
              <w:jc w:val="center"/>
              <w:rPr>
                <w:lang w:eastAsia="en-US"/>
              </w:rPr>
            </w:pPr>
            <w:r>
              <w:rPr>
                <w:lang w:eastAsia="en-US"/>
              </w:rPr>
              <w:t>0</w:t>
            </w:r>
          </w:p>
        </w:tc>
      </w:tr>
      <w:tr w:rsidR="00BE6130" w:rsidRPr="009A6CAD" w14:paraId="46B8281F" w14:textId="77777777" w:rsidTr="00C41052">
        <w:trPr>
          <w:cantSplit/>
        </w:trPr>
        <w:tc>
          <w:tcPr>
            <w:tcW w:w="1153" w:type="pct"/>
            <w:shd w:val="clear" w:color="auto" w:fill="auto"/>
            <w:hideMark/>
          </w:tcPr>
          <w:p w14:paraId="2D9A54A0" w14:textId="77777777" w:rsidR="00BE6130" w:rsidRPr="005935D8" w:rsidRDefault="00BE6130" w:rsidP="00BE6130">
            <w:pPr>
              <w:rPr>
                <w:lang w:eastAsia="en-US"/>
              </w:rPr>
            </w:pPr>
            <w:r w:rsidRPr="005935D8">
              <w:rPr>
                <w:lang w:eastAsia="en-US"/>
              </w:rPr>
              <w:t>5.1. valsts pamatbudžets</w:t>
            </w:r>
          </w:p>
        </w:tc>
        <w:tc>
          <w:tcPr>
            <w:tcW w:w="539" w:type="pct"/>
            <w:vMerge/>
            <w:shd w:val="clear" w:color="auto" w:fill="auto"/>
            <w:vAlign w:val="center"/>
            <w:hideMark/>
          </w:tcPr>
          <w:p w14:paraId="14AD4310" w14:textId="77777777" w:rsidR="00BE6130" w:rsidRPr="005935D8" w:rsidRDefault="00BE6130" w:rsidP="00BE6130">
            <w:pPr>
              <w:jc w:val="center"/>
              <w:rPr>
                <w:lang w:eastAsia="en-US"/>
              </w:rPr>
            </w:pPr>
          </w:p>
        </w:tc>
        <w:tc>
          <w:tcPr>
            <w:tcW w:w="539" w:type="pct"/>
            <w:shd w:val="clear" w:color="auto" w:fill="auto"/>
            <w:vAlign w:val="center"/>
            <w:hideMark/>
          </w:tcPr>
          <w:p w14:paraId="55F2747C" w14:textId="05CEAFF1" w:rsidR="00BE6130" w:rsidRPr="005935D8" w:rsidRDefault="00BE6130" w:rsidP="00BE6130">
            <w:pPr>
              <w:jc w:val="center"/>
              <w:rPr>
                <w:lang w:eastAsia="en-US"/>
              </w:rPr>
            </w:pPr>
            <w:r>
              <w:rPr>
                <w:lang w:eastAsia="en-US"/>
              </w:rPr>
              <w:t>0</w:t>
            </w:r>
          </w:p>
        </w:tc>
        <w:tc>
          <w:tcPr>
            <w:tcW w:w="480" w:type="pct"/>
            <w:vMerge/>
            <w:shd w:val="clear" w:color="auto" w:fill="auto"/>
            <w:vAlign w:val="center"/>
            <w:hideMark/>
          </w:tcPr>
          <w:p w14:paraId="516B9150" w14:textId="77777777" w:rsidR="00BE6130" w:rsidRPr="005935D8" w:rsidRDefault="00BE6130" w:rsidP="00BE6130">
            <w:pPr>
              <w:jc w:val="center"/>
              <w:rPr>
                <w:lang w:eastAsia="en-US"/>
              </w:rPr>
            </w:pPr>
          </w:p>
        </w:tc>
        <w:tc>
          <w:tcPr>
            <w:tcW w:w="538" w:type="pct"/>
            <w:shd w:val="clear" w:color="auto" w:fill="auto"/>
            <w:vAlign w:val="center"/>
            <w:hideMark/>
          </w:tcPr>
          <w:p w14:paraId="26B282DB" w14:textId="43747035" w:rsidR="00BE6130" w:rsidRPr="005935D8" w:rsidRDefault="00BE6130" w:rsidP="00BE6130">
            <w:pPr>
              <w:jc w:val="center"/>
              <w:rPr>
                <w:lang w:eastAsia="en-US"/>
              </w:rPr>
            </w:pPr>
            <w:r>
              <w:rPr>
                <w:lang w:eastAsia="en-US"/>
              </w:rPr>
              <w:t>0</w:t>
            </w:r>
          </w:p>
        </w:tc>
        <w:tc>
          <w:tcPr>
            <w:tcW w:w="560" w:type="pct"/>
            <w:vMerge/>
            <w:shd w:val="clear" w:color="auto" w:fill="auto"/>
            <w:vAlign w:val="center"/>
            <w:hideMark/>
          </w:tcPr>
          <w:p w14:paraId="2952C867" w14:textId="77777777" w:rsidR="00BE6130" w:rsidRPr="005935D8" w:rsidRDefault="00BE6130" w:rsidP="00BE6130">
            <w:pPr>
              <w:jc w:val="center"/>
              <w:rPr>
                <w:lang w:eastAsia="en-US"/>
              </w:rPr>
            </w:pPr>
          </w:p>
        </w:tc>
        <w:tc>
          <w:tcPr>
            <w:tcW w:w="596" w:type="pct"/>
            <w:shd w:val="clear" w:color="auto" w:fill="auto"/>
            <w:vAlign w:val="center"/>
            <w:hideMark/>
          </w:tcPr>
          <w:p w14:paraId="67DEDDC6" w14:textId="66E91135" w:rsidR="00BE6130" w:rsidRPr="005935D8" w:rsidRDefault="00BE6130" w:rsidP="00BE6130">
            <w:pPr>
              <w:jc w:val="center"/>
              <w:rPr>
                <w:lang w:eastAsia="en-US"/>
              </w:rPr>
            </w:pPr>
            <w:r>
              <w:rPr>
                <w:lang w:eastAsia="en-US"/>
              </w:rPr>
              <w:t>0</w:t>
            </w:r>
          </w:p>
        </w:tc>
        <w:tc>
          <w:tcPr>
            <w:tcW w:w="595" w:type="pct"/>
            <w:shd w:val="clear" w:color="auto" w:fill="auto"/>
            <w:vAlign w:val="center"/>
            <w:hideMark/>
          </w:tcPr>
          <w:p w14:paraId="6BEEE445" w14:textId="0946B258" w:rsidR="00BE6130" w:rsidRPr="005935D8" w:rsidRDefault="00BE6130" w:rsidP="00BE6130">
            <w:pPr>
              <w:jc w:val="center"/>
              <w:rPr>
                <w:lang w:eastAsia="en-US"/>
              </w:rPr>
            </w:pPr>
            <w:r>
              <w:rPr>
                <w:lang w:eastAsia="en-US"/>
              </w:rPr>
              <w:t>0</w:t>
            </w:r>
          </w:p>
        </w:tc>
      </w:tr>
      <w:tr w:rsidR="00BE6130" w:rsidRPr="009A6CAD" w14:paraId="72C0C732" w14:textId="77777777" w:rsidTr="00C41052">
        <w:trPr>
          <w:cantSplit/>
        </w:trPr>
        <w:tc>
          <w:tcPr>
            <w:tcW w:w="1153" w:type="pct"/>
            <w:shd w:val="clear" w:color="auto" w:fill="auto"/>
            <w:hideMark/>
          </w:tcPr>
          <w:p w14:paraId="21E80D3F" w14:textId="77777777" w:rsidR="00BE6130" w:rsidRPr="005935D8" w:rsidRDefault="00BE6130" w:rsidP="00BE6130">
            <w:pPr>
              <w:rPr>
                <w:lang w:eastAsia="en-US"/>
              </w:rPr>
            </w:pPr>
            <w:r w:rsidRPr="005935D8">
              <w:rPr>
                <w:lang w:eastAsia="en-US"/>
              </w:rPr>
              <w:lastRenderedPageBreak/>
              <w:t>5.2. speciālais budžets</w:t>
            </w:r>
          </w:p>
        </w:tc>
        <w:tc>
          <w:tcPr>
            <w:tcW w:w="539" w:type="pct"/>
            <w:vMerge/>
            <w:shd w:val="clear" w:color="auto" w:fill="auto"/>
            <w:vAlign w:val="center"/>
            <w:hideMark/>
          </w:tcPr>
          <w:p w14:paraId="5E50F783" w14:textId="77777777" w:rsidR="00BE6130" w:rsidRPr="005935D8" w:rsidRDefault="00BE6130" w:rsidP="00BE6130">
            <w:pPr>
              <w:jc w:val="center"/>
              <w:rPr>
                <w:lang w:eastAsia="en-US"/>
              </w:rPr>
            </w:pPr>
          </w:p>
        </w:tc>
        <w:tc>
          <w:tcPr>
            <w:tcW w:w="539" w:type="pct"/>
            <w:shd w:val="clear" w:color="auto" w:fill="auto"/>
            <w:vAlign w:val="center"/>
            <w:hideMark/>
          </w:tcPr>
          <w:p w14:paraId="63343D52" w14:textId="2F001F81" w:rsidR="00BE6130" w:rsidRPr="005935D8" w:rsidRDefault="00BE6130" w:rsidP="00BE6130">
            <w:pPr>
              <w:jc w:val="center"/>
              <w:rPr>
                <w:lang w:eastAsia="en-US"/>
              </w:rPr>
            </w:pPr>
            <w:r>
              <w:rPr>
                <w:lang w:eastAsia="en-US"/>
              </w:rPr>
              <w:t>0</w:t>
            </w:r>
          </w:p>
        </w:tc>
        <w:tc>
          <w:tcPr>
            <w:tcW w:w="480" w:type="pct"/>
            <w:vMerge/>
            <w:shd w:val="clear" w:color="auto" w:fill="auto"/>
            <w:vAlign w:val="center"/>
            <w:hideMark/>
          </w:tcPr>
          <w:p w14:paraId="66215FBC" w14:textId="77777777" w:rsidR="00BE6130" w:rsidRPr="005935D8" w:rsidRDefault="00BE6130" w:rsidP="00BE6130">
            <w:pPr>
              <w:jc w:val="center"/>
              <w:rPr>
                <w:lang w:eastAsia="en-US"/>
              </w:rPr>
            </w:pPr>
          </w:p>
        </w:tc>
        <w:tc>
          <w:tcPr>
            <w:tcW w:w="538" w:type="pct"/>
            <w:shd w:val="clear" w:color="auto" w:fill="auto"/>
            <w:vAlign w:val="center"/>
            <w:hideMark/>
          </w:tcPr>
          <w:p w14:paraId="29628D2F" w14:textId="1F67C2E3" w:rsidR="00BE6130" w:rsidRPr="005935D8" w:rsidRDefault="00BE6130" w:rsidP="00BE6130">
            <w:pPr>
              <w:jc w:val="center"/>
              <w:rPr>
                <w:lang w:eastAsia="en-US"/>
              </w:rPr>
            </w:pPr>
            <w:r>
              <w:rPr>
                <w:lang w:eastAsia="en-US"/>
              </w:rPr>
              <w:t>0</w:t>
            </w:r>
          </w:p>
        </w:tc>
        <w:tc>
          <w:tcPr>
            <w:tcW w:w="560" w:type="pct"/>
            <w:vMerge/>
            <w:shd w:val="clear" w:color="auto" w:fill="auto"/>
            <w:vAlign w:val="center"/>
            <w:hideMark/>
          </w:tcPr>
          <w:p w14:paraId="44CF0E67" w14:textId="77777777" w:rsidR="00BE6130" w:rsidRPr="005935D8" w:rsidRDefault="00BE6130" w:rsidP="00BE6130">
            <w:pPr>
              <w:jc w:val="center"/>
              <w:rPr>
                <w:lang w:eastAsia="en-US"/>
              </w:rPr>
            </w:pPr>
          </w:p>
        </w:tc>
        <w:tc>
          <w:tcPr>
            <w:tcW w:w="596" w:type="pct"/>
            <w:shd w:val="clear" w:color="auto" w:fill="auto"/>
            <w:vAlign w:val="center"/>
            <w:hideMark/>
          </w:tcPr>
          <w:p w14:paraId="56686673" w14:textId="729B0C13" w:rsidR="00BE6130" w:rsidRPr="005935D8" w:rsidRDefault="00BE6130" w:rsidP="00BE6130">
            <w:pPr>
              <w:jc w:val="center"/>
              <w:rPr>
                <w:lang w:eastAsia="en-US"/>
              </w:rPr>
            </w:pPr>
            <w:r>
              <w:rPr>
                <w:lang w:eastAsia="en-US"/>
              </w:rPr>
              <w:t>0</w:t>
            </w:r>
          </w:p>
        </w:tc>
        <w:tc>
          <w:tcPr>
            <w:tcW w:w="595" w:type="pct"/>
            <w:shd w:val="clear" w:color="auto" w:fill="auto"/>
            <w:vAlign w:val="center"/>
            <w:hideMark/>
          </w:tcPr>
          <w:p w14:paraId="7E2F2C3B" w14:textId="1261E69E" w:rsidR="00BE6130" w:rsidRPr="005935D8" w:rsidRDefault="00BE6130" w:rsidP="00BE6130">
            <w:pPr>
              <w:jc w:val="center"/>
              <w:rPr>
                <w:lang w:eastAsia="en-US"/>
              </w:rPr>
            </w:pPr>
            <w:r>
              <w:rPr>
                <w:lang w:eastAsia="en-US"/>
              </w:rPr>
              <w:t>0</w:t>
            </w:r>
          </w:p>
        </w:tc>
      </w:tr>
      <w:tr w:rsidR="00BE6130" w:rsidRPr="009A6CAD" w14:paraId="74156F11" w14:textId="77777777" w:rsidTr="00C41052">
        <w:trPr>
          <w:cantSplit/>
        </w:trPr>
        <w:tc>
          <w:tcPr>
            <w:tcW w:w="1153" w:type="pct"/>
            <w:shd w:val="clear" w:color="auto" w:fill="auto"/>
            <w:hideMark/>
          </w:tcPr>
          <w:p w14:paraId="68A6BB6D" w14:textId="77777777" w:rsidR="00BE6130" w:rsidRPr="005935D8" w:rsidRDefault="00BE6130" w:rsidP="00BE6130">
            <w:pPr>
              <w:rPr>
                <w:lang w:eastAsia="en-US"/>
              </w:rPr>
            </w:pPr>
            <w:r w:rsidRPr="005935D8">
              <w:rPr>
                <w:lang w:eastAsia="en-US"/>
              </w:rPr>
              <w:t>5.3. pašvaldību budžets</w:t>
            </w:r>
          </w:p>
        </w:tc>
        <w:tc>
          <w:tcPr>
            <w:tcW w:w="539" w:type="pct"/>
            <w:vMerge/>
            <w:shd w:val="clear" w:color="auto" w:fill="auto"/>
            <w:vAlign w:val="center"/>
            <w:hideMark/>
          </w:tcPr>
          <w:p w14:paraId="5F7144F3" w14:textId="77777777" w:rsidR="00BE6130" w:rsidRPr="005935D8" w:rsidRDefault="00BE6130" w:rsidP="00BE6130">
            <w:pPr>
              <w:jc w:val="center"/>
              <w:rPr>
                <w:lang w:eastAsia="en-US"/>
              </w:rPr>
            </w:pPr>
          </w:p>
        </w:tc>
        <w:tc>
          <w:tcPr>
            <w:tcW w:w="539" w:type="pct"/>
            <w:shd w:val="clear" w:color="auto" w:fill="auto"/>
            <w:vAlign w:val="center"/>
            <w:hideMark/>
          </w:tcPr>
          <w:p w14:paraId="176EFDE3" w14:textId="4541F0B1" w:rsidR="00BE6130" w:rsidRPr="005935D8" w:rsidRDefault="00BE6130" w:rsidP="00BE6130">
            <w:pPr>
              <w:jc w:val="center"/>
              <w:rPr>
                <w:lang w:eastAsia="en-US"/>
              </w:rPr>
            </w:pPr>
            <w:r>
              <w:rPr>
                <w:lang w:eastAsia="en-US"/>
              </w:rPr>
              <w:t>0</w:t>
            </w:r>
          </w:p>
        </w:tc>
        <w:tc>
          <w:tcPr>
            <w:tcW w:w="480" w:type="pct"/>
            <w:vMerge/>
            <w:shd w:val="clear" w:color="auto" w:fill="auto"/>
            <w:vAlign w:val="center"/>
            <w:hideMark/>
          </w:tcPr>
          <w:p w14:paraId="180EBE9D" w14:textId="77777777" w:rsidR="00BE6130" w:rsidRPr="005935D8" w:rsidRDefault="00BE6130" w:rsidP="00BE6130">
            <w:pPr>
              <w:jc w:val="center"/>
              <w:rPr>
                <w:lang w:eastAsia="en-US"/>
              </w:rPr>
            </w:pPr>
          </w:p>
        </w:tc>
        <w:tc>
          <w:tcPr>
            <w:tcW w:w="538" w:type="pct"/>
            <w:shd w:val="clear" w:color="auto" w:fill="auto"/>
            <w:vAlign w:val="center"/>
            <w:hideMark/>
          </w:tcPr>
          <w:p w14:paraId="08B35C03" w14:textId="55CADE31" w:rsidR="00BE6130" w:rsidRPr="005935D8" w:rsidRDefault="00BE6130" w:rsidP="00BE6130">
            <w:pPr>
              <w:jc w:val="center"/>
              <w:rPr>
                <w:lang w:eastAsia="en-US"/>
              </w:rPr>
            </w:pPr>
            <w:r>
              <w:rPr>
                <w:lang w:eastAsia="en-US"/>
              </w:rPr>
              <w:t>0</w:t>
            </w:r>
          </w:p>
        </w:tc>
        <w:tc>
          <w:tcPr>
            <w:tcW w:w="560" w:type="pct"/>
            <w:vMerge/>
            <w:shd w:val="clear" w:color="auto" w:fill="auto"/>
            <w:vAlign w:val="center"/>
            <w:hideMark/>
          </w:tcPr>
          <w:p w14:paraId="63DDA3CC" w14:textId="77777777" w:rsidR="00BE6130" w:rsidRPr="005935D8" w:rsidRDefault="00BE6130" w:rsidP="00BE6130">
            <w:pPr>
              <w:jc w:val="center"/>
              <w:rPr>
                <w:lang w:eastAsia="en-US"/>
              </w:rPr>
            </w:pPr>
          </w:p>
        </w:tc>
        <w:tc>
          <w:tcPr>
            <w:tcW w:w="596" w:type="pct"/>
            <w:shd w:val="clear" w:color="auto" w:fill="auto"/>
            <w:vAlign w:val="center"/>
            <w:hideMark/>
          </w:tcPr>
          <w:p w14:paraId="48E1B89A" w14:textId="3D37D6D6" w:rsidR="00BE6130" w:rsidRPr="005935D8" w:rsidRDefault="00BE6130" w:rsidP="00BE6130">
            <w:pPr>
              <w:jc w:val="center"/>
              <w:rPr>
                <w:lang w:eastAsia="en-US"/>
              </w:rPr>
            </w:pPr>
            <w:r>
              <w:rPr>
                <w:lang w:eastAsia="en-US"/>
              </w:rPr>
              <w:t>0</w:t>
            </w:r>
          </w:p>
        </w:tc>
        <w:tc>
          <w:tcPr>
            <w:tcW w:w="595" w:type="pct"/>
            <w:shd w:val="clear" w:color="auto" w:fill="auto"/>
            <w:vAlign w:val="center"/>
            <w:hideMark/>
          </w:tcPr>
          <w:p w14:paraId="1673D094" w14:textId="08F5ECCA" w:rsidR="00BE6130" w:rsidRPr="005935D8" w:rsidRDefault="00BE6130" w:rsidP="00BE6130">
            <w:pPr>
              <w:jc w:val="center"/>
              <w:rPr>
                <w:lang w:eastAsia="en-US"/>
              </w:rPr>
            </w:pPr>
            <w:r>
              <w:rPr>
                <w:lang w:eastAsia="en-US"/>
              </w:rPr>
              <w:t>0</w:t>
            </w:r>
          </w:p>
        </w:tc>
      </w:tr>
      <w:tr w:rsidR="00BE6130" w:rsidRPr="009A6CAD" w14:paraId="665044CB" w14:textId="77777777" w:rsidTr="00C41052">
        <w:trPr>
          <w:cantSplit/>
        </w:trPr>
        <w:tc>
          <w:tcPr>
            <w:tcW w:w="1153" w:type="pct"/>
            <w:shd w:val="clear" w:color="auto" w:fill="auto"/>
            <w:hideMark/>
          </w:tcPr>
          <w:p w14:paraId="7552CCF1" w14:textId="77777777" w:rsidR="00BE6130" w:rsidRPr="00903596" w:rsidRDefault="00BE6130" w:rsidP="00BE6130">
            <w:pPr>
              <w:rPr>
                <w:lang w:eastAsia="en-US"/>
              </w:rPr>
            </w:pPr>
            <w:r w:rsidRPr="00903596">
              <w:rPr>
                <w:lang w:eastAsia="en-US"/>
              </w:rPr>
              <w:t>6. Detalizēts ieņēmumu un izdevumu aprēķins (ja nepieciešams, detalizētu ieņēmumu un izdevumu aprēķinu var pievienot anotācijas pielikumā)</w:t>
            </w:r>
          </w:p>
        </w:tc>
        <w:tc>
          <w:tcPr>
            <w:tcW w:w="3847" w:type="pct"/>
            <w:gridSpan w:val="7"/>
            <w:vMerge w:val="restart"/>
            <w:shd w:val="clear" w:color="auto" w:fill="auto"/>
            <w:vAlign w:val="center"/>
            <w:hideMark/>
          </w:tcPr>
          <w:p w14:paraId="28247F93" w14:textId="7A73DCC2" w:rsidR="00746E52" w:rsidRDefault="00746E52" w:rsidP="00E74776">
            <w:pPr>
              <w:ind w:left="109" w:right="115"/>
              <w:jc w:val="both"/>
            </w:pPr>
            <w:r>
              <w:t xml:space="preserve">Precizējot likumā noteikto atbrīvojumu, ka </w:t>
            </w:r>
            <w:r w:rsidRPr="0030749D">
              <w:rPr>
                <w:b/>
              </w:rPr>
              <w:t>zobu tehniķu sniegtie pakalpojumi un piegādātās protēzes</w:t>
            </w:r>
            <w:r>
              <w:t xml:space="preserve"> ir atbrīvojami no PVN ne tikai gadījumos, kad tie tiek sniegti pacientam, bet arī tad, ja tie tiek sniegti citām personām, </w:t>
            </w:r>
            <w:r w:rsidRPr="00DC5221">
              <w:t>ietekmi uz valsts budžeta ieņēmumiem noteikt nav iespējams. Tomēr var prognozēt, ka varētu būt neliela negatīvā ietekme uz valsts budžeta ieņēmumiem, jo atbrīvojums tiek paplašināts.</w:t>
            </w:r>
          </w:p>
          <w:p w14:paraId="46091AA7" w14:textId="3619C4E8" w:rsidR="00BE6130" w:rsidRPr="00ED6147" w:rsidRDefault="00746E52" w:rsidP="00ED6147">
            <w:pPr>
              <w:ind w:left="109" w:right="115"/>
              <w:jc w:val="both"/>
            </w:pPr>
            <w:r>
              <w:t xml:space="preserve">Tāpat, precizējot regulējumu par </w:t>
            </w:r>
            <w:r w:rsidRPr="00ED6147">
              <w:rPr>
                <w:b/>
              </w:rPr>
              <w:t>medicīnas pakalpojumu</w:t>
            </w:r>
            <w:r>
              <w:t xml:space="preserve"> sniegšanu, proti, paredzot atbrīvojumu no PVN tādiem medicīnas pakalpojumiem, kurus sniedz veselības aprūpes iestāde līguma ietvaros, kas ir noslēgts starp ārstniecības iestādēm, tomēr veselības aprūpes pakalpojums tiek sniegts un tā saņēmējs ir pacients, ietekme</w:t>
            </w:r>
            <w:r w:rsidRPr="00FC7E06">
              <w:t xml:space="preserve"> uz valsts budžeta ieņēmumiem </w:t>
            </w:r>
            <w:r w:rsidRPr="000C3E00">
              <w:t>nav precīzi aprēķinām</w:t>
            </w:r>
            <w:r>
              <w:t xml:space="preserve">a. </w:t>
            </w:r>
            <w:r w:rsidRPr="00DC5221">
              <w:t>Tomēr var prognozēt, ka varētu būt negatīv</w:t>
            </w:r>
            <w:r>
              <w:t>a</w:t>
            </w:r>
            <w:r w:rsidRPr="00DC5221">
              <w:t xml:space="preserve"> ietekme uz valsts budžeta ieņēmumiem, jo atbrīvojums tiek paplašināts.</w:t>
            </w:r>
          </w:p>
        </w:tc>
      </w:tr>
      <w:tr w:rsidR="00BE6130" w:rsidRPr="009A6CAD" w14:paraId="53CD1308" w14:textId="77777777" w:rsidTr="00C41052">
        <w:trPr>
          <w:cantSplit/>
        </w:trPr>
        <w:tc>
          <w:tcPr>
            <w:tcW w:w="1153" w:type="pct"/>
            <w:shd w:val="clear" w:color="auto" w:fill="auto"/>
            <w:hideMark/>
          </w:tcPr>
          <w:p w14:paraId="306C0E91" w14:textId="77777777" w:rsidR="00BE6130" w:rsidRPr="00903596" w:rsidRDefault="00BE6130" w:rsidP="00BE6130">
            <w:pPr>
              <w:rPr>
                <w:lang w:eastAsia="en-US"/>
              </w:rPr>
            </w:pPr>
            <w:r w:rsidRPr="00903596">
              <w:rPr>
                <w:lang w:eastAsia="en-US"/>
              </w:rPr>
              <w:t>6.1. detalizēts ieņēmumu aprēķins</w:t>
            </w:r>
          </w:p>
        </w:tc>
        <w:tc>
          <w:tcPr>
            <w:tcW w:w="3847" w:type="pct"/>
            <w:gridSpan w:val="7"/>
            <w:vMerge/>
            <w:shd w:val="clear" w:color="auto" w:fill="auto"/>
            <w:vAlign w:val="center"/>
            <w:hideMark/>
          </w:tcPr>
          <w:p w14:paraId="3C779CF4" w14:textId="77777777" w:rsidR="00BE6130" w:rsidRPr="00903596" w:rsidRDefault="00BE6130" w:rsidP="00BE6130">
            <w:pPr>
              <w:jc w:val="center"/>
              <w:rPr>
                <w:lang w:eastAsia="en-US"/>
              </w:rPr>
            </w:pPr>
          </w:p>
        </w:tc>
      </w:tr>
      <w:tr w:rsidR="00BE6130" w:rsidRPr="009A6CAD" w14:paraId="66695AC0" w14:textId="77777777" w:rsidTr="00C41052">
        <w:trPr>
          <w:cantSplit/>
        </w:trPr>
        <w:tc>
          <w:tcPr>
            <w:tcW w:w="1153" w:type="pct"/>
            <w:shd w:val="clear" w:color="auto" w:fill="auto"/>
            <w:hideMark/>
          </w:tcPr>
          <w:p w14:paraId="7D60044D" w14:textId="77777777" w:rsidR="00BE6130" w:rsidRPr="00903596" w:rsidRDefault="00BE6130" w:rsidP="00BE6130">
            <w:pPr>
              <w:rPr>
                <w:lang w:eastAsia="en-US"/>
              </w:rPr>
            </w:pPr>
            <w:r w:rsidRPr="00903596">
              <w:rPr>
                <w:lang w:eastAsia="en-US"/>
              </w:rPr>
              <w:t>6.2. detalizēts izdevumu aprēķins</w:t>
            </w:r>
          </w:p>
        </w:tc>
        <w:tc>
          <w:tcPr>
            <w:tcW w:w="3847" w:type="pct"/>
            <w:gridSpan w:val="7"/>
            <w:vMerge/>
            <w:shd w:val="clear" w:color="auto" w:fill="auto"/>
            <w:vAlign w:val="center"/>
            <w:hideMark/>
          </w:tcPr>
          <w:p w14:paraId="6791FB7A" w14:textId="77777777" w:rsidR="00BE6130" w:rsidRPr="00903596" w:rsidRDefault="00BE6130" w:rsidP="00BE6130">
            <w:pPr>
              <w:jc w:val="center"/>
              <w:rPr>
                <w:lang w:eastAsia="en-US"/>
              </w:rPr>
            </w:pPr>
          </w:p>
        </w:tc>
      </w:tr>
      <w:tr w:rsidR="00BE6130" w:rsidRPr="009A6CAD" w14:paraId="1496F36F" w14:textId="77777777" w:rsidTr="00C41052">
        <w:trPr>
          <w:cantSplit/>
        </w:trPr>
        <w:tc>
          <w:tcPr>
            <w:tcW w:w="1153" w:type="pct"/>
            <w:shd w:val="clear" w:color="auto" w:fill="auto"/>
            <w:hideMark/>
          </w:tcPr>
          <w:p w14:paraId="72CB5303" w14:textId="77777777" w:rsidR="00BE6130" w:rsidRPr="00903596" w:rsidRDefault="00BE6130" w:rsidP="00BE6130">
            <w:pPr>
              <w:rPr>
                <w:lang w:eastAsia="en-US"/>
              </w:rPr>
            </w:pPr>
            <w:r w:rsidRPr="00903596">
              <w:rPr>
                <w:lang w:eastAsia="en-US"/>
              </w:rPr>
              <w:t>7. Amata vietu skaita izmaiņas</w:t>
            </w:r>
          </w:p>
        </w:tc>
        <w:tc>
          <w:tcPr>
            <w:tcW w:w="3847" w:type="pct"/>
            <w:gridSpan w:val="7"/>
            <w:shd w:val="clear" w:color="auto" w:fill="auto"/>
            <w:hideMark/>
          </w:tcPr>
          <w:p w14:paraId="7D3C7D11" w14:textId="3CA0AE7D" w:rsidR="00BE6130" w:rsidRPr="00903596" w:rsidRDefault="00BE6130" w:rsidP="00BE6130">
            <w:pPr>
              <w:rPr>
                <w:lang w:eastAsia="en-US"/>
              </w:rPr>
            </w:pPr>
            <w:r>
              <w:rPr>
                <w:lang w:eastAsia="en-US"/>
              </w:rPr>
              <w:t>Nav</w:t>
            </w:r>
          </w:p>
        </w:tc>
      </w:tr>
      <w:tr w:rsidR="00BE6130" w:rsidRPr="009A6CAD" w14:paraId="104D131E" w14:textId="77777777" w:rsidTr="00C41052">
        <w:trPr>
          <w:cantSplit/>
        </w:trPr>
        <w:tc>
          <w:tcPr>
            <w:tcW w:w="1153" w:type="pct"/>
            <w:shd w:val="clear" w:color="auto" w:fill="auto"/>
            <w:hideMark/>
          </w:tcPr>
          <w:p w14:paraId="7E059F58" w14:textId="77777777" w:rsidR="00BE6130" w:rsidRPr="00903596" w:rsidRDefault="00BE6130" w:rsidP="00BE6130">
            <w:pPr>
              <w:rPr>
                <w:lang w:eastAsia="en-US"/>
              </w:rPr>
            </w:pPr>
            <w:r w:rsidRPr="00903596">
              <w:rPr>
                <w:lang w:eastAsia="en-US"/>
              </w:rPr>
              <w:t>8. Cita informācija</w:t>
            </w:r>
          </w:p>
        </w:tc>
        <w:tc>
          <w:tcPr>
            <w:tcW w:w="3847" w:type="pct"/>
            <w:gridSpan w:val="7"/>
            <w:shd w:val="clear" w:color="auto" w:fill="auto"/>
            <w:hideMark/>
          </w:tcPr>
          <w:p w14:paraId="38BEF1C0" w14:textId="7934DDE9" w:rsidR="00BE6130" w:rsidRPr="00DB3D59" w:rsidRDefault="00BE6130" w:rsidP="00BE6130">
            <w:pPr>
              <w:ind w:right="109"/>
              <w:jc w:val="both"/>
              <w:rPr>
                <w:lang w:eastAsia="en-US"/>
              </w:rPr>
            </w:pPr>
            <w:r>
              <w:rPr>
                <w:lang w:eastAsia="en-US"/>
              </w:rPr>
              <w:t>Nav</w:t>
            </w:r>
          </w:p>
        </w:tc>
      </w:tr>
    </w:tbl>
    <w:p w14:paraId="6E1B4199" w14:textId="7116F9FD" w:rsidR="00706415" w:rsidRDefault="00706415"/>
    <w:tbl>
      <w:tblPr>
        <w:tblpPr w:leftFromText="180" w:rightFromText="180" w:vertAnchor="text" w:horzAnchor="margin" w:tblpY="53"/>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3"/>
        <w:gridCol w:w="2443"/>
        <w:gridCol w:w="6351"/>
      </w:tblGrid>
      <w:tr w:rsidR="00706415" w:rsidRPr="009A6CAD" w14:paraId="357D965D" w14:textId="77777777" w:rsidTr="00706415">
        <w:trPr>
          <w:cantSplit/>
        </w:trPr>
        <w:tc>
          <w:tcPr>
            <w:tcW w:w="5000" w:type="pct"/>
            <w:gridSpan w:val="3"/>
            <w:vAlign w:val="center"/>
            <w:hideMark/>
          </w:tcPr>
          <w:p w14:paraId="605845E0" w14:textId="77777777" w:rsidR="00706415" w:rsidRPr="00903596" w:rsidRDefault="00706415" w:rsidP="00706415">
            <w:pPr>
              <w:jc w:val="center"/>
              <w:rPr>
                <w:b/>
                <w:bCs/>
              </w:rPr>
            </w:pPr>
            <w:r w:rsidRPr="00903596">
              <w:rPr>
                <w:b/>
                <w:bCs/>
              </w:rPr>
              <w:t>IV. Tiesību akta projekta ietekme uz spēkā esošo tiesību normu sistēmu</w:t>
            </w:r>
          </w:p>
        </w:tc>
      </w:tr>
      <w:tr w:rsidR="00706415" w:rsidRPr="009A6CAD" w14:paraId="1C667462" w14:textId="77777777" w:rsidTr="00706415">
        <w:trPr>
          <w:cantSplit/>
        </w:trPr>
        <w:tc>
          <w:tcPr>
            <w:tcW w:w="230" w:type="pct"/>
            <w:hideMark/>
          </w:tcPr>
          <w:p w14:paraId="2DFE4E85" w14:textId="77777777" w:rsidR="00706415" w:rsidRPr="00903596" w:rsidRDefault="00706415" w:rsidP="00706415">
            <w:pPr>
              <w:jc w:val="center"/>
            </w:pPr>
            <w:r w:rsidRPr="00903596">
              <w:t>1.</w:t>
            </w:r>
          </w:p>
        </w:tc>
        <w:tc>
          <w:tcPr>
            <w:tcW w:w="1325" w:type="pct"/>
            <w:hideMark/>
          </w:tcPr>
          <w:p w14:paraId="10170AE7" w14:textId="77777777" w:rsidR="00706415" w:rsidRPr="00903596" w:rsidRDefault="00706415" w:rsidP="00706415">
            <w:r w:rsidRPr="00903596">
              <w:t>Saistītie tiesību aktu projekti</w:t>
            </w:r>
          </w:p>
        </w:tc>
        <w:tc>
          <w:tcPr>
            <w:tcW w:w="3445" w:type="pct"/>
            <w:hideMark/>
          </w:tcPr>
          <w:p w14:paraId="3531E690" w14:textId="77777777" w:rsidR="006C2113" w:rsidRDefault="006C2113" w:rsidP="00706415">
            <w:pPr>
              <w:ind w:left="83" w:right="109"/>
              <w:jc w:val="both"/>
            </w:pPr>
            <w:r>
              <w:t>Saistībā ar likumprojektā iekļauto regulējumu i</w:t>
            </w:r>
            <w:r w:rsidR="00706415">
              <w:t>r nepieciešams</w:t>
            </w:r>
            <w:r>
              <w:t xml:space="preserve"> veikt grozījumus šādos normatīvajos aktos:</w:t>
            </w:r>
          </w:p>
          <w:p w14:paraId="53577429" w14:textId="58CBEE8D" w:rsidR="00706415" w:rsidRDefault="006C2113" w:rsidP="00706415">
            <w:pPr>
              <w:ind w:left="83" w:right="109"/>
              <w:jc w:val="both"/>
            </w:pPr>
            <w:r>
              <w:t>1)</w:t>
            </w:r>
            <w:r w:rsidR="00706415">
              <w:t xml:space="preserve"> Ministru kabineta 2013.gada 15.janvāra noteikumos Nr.40 “Noteikumi par pievienotās vērtības nodokļa deklarācijām”, lai pārņemtu atsevišķas Direktīvas 2018/1910 normas, kas attiecas uz pārskata par preču piegādēm un sniegtajiem pakalpojumiem Eiropas Savie</w:t>
            </w:r>
            <w:r>
              <w:t>nības teritorijā, aizpildīšanu</w:t>
            </w:r>
            <w:r w:rsidR="0008116A">
              <w:t xml:space="preserve">. Šajos noteikumos tiks </w:t>
            </w:r>
            <w:r w:rsidR="005B77BF">
              <w:t>noteikta</w:t>
            </w:r>
            <w:r w:rsidR="0008116A">
              <w:t xml:space="preserve"> arī kārtība, kā un kurā brīdī minētajā pārskatā tiks atspoguļota preču piegād</w:t>
            </w:r>
            <w:r w:rsidR="00ED6147">
              <w:t>e uz noliktavu citā dalībvalstī</w:t>
            </w:r>
            <w:r>
              <w:t>;</w:t>
            </w:r>
            <w:r w:rsidR="0008116A">
              <w:t xml:space="preserve"> </w:t>
            </w:r>
          </w:p>
          <w:p w14:paraId="5F09F770" w14:textId="49459A97" w:rsidR="006C2113" w:rsidRPr="00903596" w:rsidRDefault="006C2113" w:rsidP="00C076AA">
            <w:pPr>
              <w:ind w:left="83" w:right="109"/>
              <w:jc w:val="both"/>
            </w:pPr>
            <w:r>
              <w:t>2) MK noteikumos Nr.17, lai svītrotu regulējumu, kas attiecas uz zobu tehniķu sniegtajiem pakalpojumiem un zobu protēžu piegādē</w:t>
            </w:r>
            <w:r w:rsidR="00FA2651">
              <w:t xml:space="preserve"> un detalizētāk skaidrotu normas tvērumu medicīniskiem pakalpojumiem.</w:t>
            </w:r>
          </w:p>
        </w:tc>
      </w:tr>
      <w:tr w:rsidR="00706415" w:rsidRPr="009A6CAD" w14:paraId="01889276" w14:textId="77777777" w:rsidTr="00706415">
        <w:trPr>
          <w:cantSplit/>
        </w:trPr>
        <w:tc>
          <w:tcPr>
            <w:tcW w:w="230" w:type="pct"/>
            <w:hideMark/>
          </w:tcPr>
          <w:p w14:paraId="218B8E46" w14:textId="77777777" w:rsidR="00706415" w:rsidRPr="00903596" w:rsidRDefault="00706415" w:rsidP="00706415">
            <w:pPr>
              <w:jc w:val="center"/>
            </w:pPr>
            <w:r w:rsidRPr="00903596">
              <w:t>2.</w:t>
            </w:r>
          </w:p>
        </w:tc>
        <w:tc>
          <w:tcPr>
            <w:tcW w:w="1325" w:type="pct"/>
            <w:hideMark/>
          </w:tcPr>
          <w:p w14:paraId="01DDCF87" w14:textId="77777777" w:rsidR="00706415" w:rsidRPr="00903596" w:rsidRDefault="00706415" w:rsidP="00706415">
            <w:r w:rsidRPr="00903596">
              <w:t>Atbildīgā institūcija</w:t>
            </w:r>
          </w:p>
        </w:tc>
        <w:tc>
          <w:tcPr>
            <w:tcW w:w="3445" w:type="pct"/>
            <w:hideMark/>
          </w:tcPr>
          <w:p w14:paraId="356F1515" w14:textId="444EA250" w:rsidR="00706415" w:rsidRPr="00903596" w:rsidRDefault="00706415" w:rsidP="00706415">
            <w:r w:rsidRPr="00903596">
              <w:t>Finanšu ministrija</w:t>
            </w:r>
            <w:r w:rsidR="009C083C">
              <w:t xml:space="preserve"> (tai skaitā Valsts ieņēmumu dienests)</w:t>
            </w:r>
          </w:p>
        </w:tc>
      </w:tr>
      <w:tr w:rsidR="00706415" w:rsidRPr="009A6CAD" w14:paraId="033400F2" w14:textId="77777777" w:rsidTr="00706415">
        <w:trPr>
          <w:cantSplit/>
        </w:trPr>
        <w:tc>
          <w:tcPr>
            <w:tcW w:w="230" w:type="pct"/>
            <w:hideMark/>
          </w:tcPr>
          <w:p w14:paraId="6F677C73" w14:textId="77777777" w:rsidR="00706415" w:rsidRPr="00903596" w:rsidRDefault="00706415" w:rsidP="00706415">
            <w:pPr>
              <w:jc w:val="center"/>
            </w:pPr>
            <w:r w:rsidRPr="00903596">
              <w:t>3.</w:t>
            </w:r>
          </w:p>
        </w:tc>
        <w:tc>
          <w:tcPr>
            <w:tcW w:w="1325" w:type="pct"/>
            <w:hideMark/>
          </w:tcPr>
          <w:p w14:paraId="701E41D6" w14:textId="77777777" w:rsidR="00706415" w:rsidRPr="00903596" w:rsidRDefault="00706415" w:rsidP="00706415">
            <w:r w:rsidRPr="00903596">
              <w:t>Cita informācija</w:t>
            </w:r>
          </w:p>
        </w:tc>
        <w:tc>
          <w:tcPr>
            <w:tcW w:w="3445" w:type="pct"/>
            <w:hideMark/>
          </w:tcPr>
          <w:p w14:paraId="53D09013" w14:textId="77777777" w:rsidR="00706415" w:rsidRPr="00903596" w:rsidRDefault="00706415" w:rsidP="00706415">
            <w:r w:rsidRPr="00903596">
              <w:t>Nav</w:t>
            </w:r>
          </w:p>
        </w:tc>
      </w:tr>
    </w:tbl>
    <w:p w14:paraId="55075FB2" w14:textId="77777777" w:rsidR="005028DD" w:rsidRDefault="005028DD"/>
    <w:tbl>
      <w:tblPr>
        <w:tblW w:w="555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3"/>
        <w:gridCol w:w="2452"/>
        <w:gridCol w:w="6242"/>
      </w:tblGrid>
      <w:tr w:rsidR="00DA395D" w:rsidRPr="009A6CAD" w14:paraId="3901470D" w14:textId="77777777" w:rsidTr="0016477B">
        <w:trPr>
          <w:cantSplit/>
        </w:trPr>
        <w:tc>
          <w:tcPr>
            <w:tcW w:w="5000" w:type="pct"/>
            <w:gridSpan w:val="3"/>
            <w:vAlign w:val="center"/>
            <w:hideMark/>
          </w:tcPr>
          <w:p w14:paraId="2370C9FA" w14:textId="77777777" w:rsidR="00DA395D" w:rsidRPr="00903596" w:rsidRDefault="00DA395D" w:rsidP="00DA395D">
            <w:pPr>
              <w:jc w:val="center"/>
              <w:rPr>
                <w:b/>
                <w:bCs/>
              </w:rPr>
            </w:pPr>
            <w:r w:rsidRPr="00903596">
              <w:rPr>
                <w:b/>
                <w:bCs/>
              </w:rPr>
              <w:t>V. Tiesību akta projekta atbilstība Latvijas Republikas starptautiskajām saistībām</w:t>
            </w:r>
          </w:p>
        </w:tc>
      </w:tr>
      <w:tr w:rsidR="00DA395D" w:rsidRPr="009A6CAD" w14:paraId="26A1AC68" w14:textId="77777777" w:rsidTr="0016477B">
        <w:trPr>
          <w:cantSplit/>
        </w:trPr>
        <w:tc>
          <w:tcPr>
            <w:tcW w:w="284" w:type="pct"/>
            <w:hideMark/>
          </w:tcPr>
          <w:p w14:paraId="010F7F4A" w14:textId="77777777" w:rsidR="00DA395D" w:rsidRPr="00903596" w:rsidRDefault="00DA395D" w:rsidP="00DA395D">
            <w:pPr>
              <w:jc w:val="center"/>
            </w:pPr>
            <w:r w:rsidRPr="00903596">
              <w:lastRenderedPageBreak/>
              <w:t>1.</w:t>
            </w:r>
          </w:p>
        </w:tc>
        <w:tc>
          <w:tcPr>
            <w:tcW w:w="1330" w:type="pct"/>
            <w:hideMark/>
          </w:tcPr>
          <w:p w14:paraId="4A92EAE3" w14:textId="77777777" w:rsidR="00DA395D" w:rsidRPr="00903596" w:rsidRDefault="00DA395D" w:rsidP="00DA395D">
            <w:r w:rsidRPr="00903596">
              <w:t>Saistības pret Eiropas Savienību</w:t>
            </w:r>
          </w:p>
        </w:tc>
        <w:tc>
          <w:tcPr>
            <w:tcW w:w="3386" w:type="pct"/>
            <w:hideMark/>
          </w:tcPr>
          <w:p w14:paraId="2F55101F" w14:textId="18E175A9" w:rsidR="00DA395D" w:rsidRDefault="00DA395D" w:rsidP="0016477B">
            <w:pPr>
              <w:ind w:left="120"/>
              <w:jc w:val="both"/>
            </w:pPr>
            <w:r w:rsidRPr="00903596">
              <w:t>Ar likumprojektu tiek</w:t>
            </w:r>
            <w:r>
              <w:t>:</w:t>
            </w:r>
          </w:p>
          <w:p w14:paraId="57E37099" w14:textId="368DDCED" w:rsidR="00DA395D" w:rsidRDefault="00DA395D" w:rsidP="0016477B">
            <w:pPr>
              <w:pStyle w:val="ListParagraph"/>
              <w:numPr>
                <w:ilvl w:val="0"/>
                <w:numId w:val="2"/>
              </w:numPr>
              <w:ind w:left="545" w:right="109"/>
              <w:jc w:val="both"/>
            </w:pPr>
            <w:r>
              <w:t xml:space="preserve">pārņemta </w:t>
            </w:r>
            <w:r w:rsidR="006047CD" w:rsidRPr="00726538">
              <w:t>Padomes 2018. gada 4. decembra direktīva (ES) 2018/1910, ar ko groza Direktīvu 2006/112/EK attiecībā uz atsevišķu pievienotās vērtības nodokļa sistēmas noteikumu saskaņošanu un vienkāršošanu tirdzniecībā starp dalībvalstīm</w:t>
            </w:r>
            <w:r w:rsidR="006047CD">
              <w:t>;</w:t>
            </w:r>
            <w:r w:rsidR="006047CD" w:rsidRPr="00726538">
              <w:t xml:space="preserve"> </w:t>
            </w:r>
          </w:p>
          <w:p w14:paraId="1C3133EC" w14:textId="57A30923" w:rsidR="00DA395D" w:rsidRPr="00DC01CF" w:rsidRDefault="00EB7CD9" w:rsidP="0016477B">
            <w:pPr>
              <w:pStyle w:val="ListParagraph"/>
              <w:numPr>
                <w:ilvl w:val="0"/>
                <w:numId w:val="2"/>
              </w:numPr>
              <w:ind w:left="545" w:right="109"/>
              <w:jc w:val="both"/>
              <w:rPr>
                <w:sz w:val="23"/>
                <w:szCs w:val="23"/>
              </w:rPr>
            </w:pPr>
            <w:r>
              <w:t xml:space="preserve">pārņemta un </w:t>
            </w:r>
            <w:r w:rsidR="006047CD">
              <w:t xml:space="preserve">iekļauta atsauce likumā </w:t>
            </w:r>
            <w:r w:rsidR="006047CD" w:rsidRPr="006047CD">
              <w:t>uz Padomes 2019.gada 18.februāra direktīv</w:t>
            </w:r>
            <w:r w:rsidR="006047CD">
              <w:t>u</w:t>
            </w:r>
            <w:r w:rsidR="006047CD" w:rsidRPr="006047CD">
              <w:t xml:space="preserve"> (ES) 2019/475, ar ko groza Direktīvas 2006/112/EK un 2008/118/EK attiecībā uz Itālijas pašvaldības Campione d'Italia un Lugāno ezera Itālijas ūdeņu iekļaušanu Savienības muitas teritorijā un Direktīvas 2008/118/EK teritoriālajā piemērošanā</w:t>
            </w:r>
            <w:r w:rsidR="006047CD">
              <w:t>.</w:t>
            </w:r>
          </w:p>
        </w:tc>
      </w:tr>
      <w:tr w:rsidR="00DA395D" w:rsidRPr="009A6CAD" w14:paraId="5A9206BA" w14:textId="77777777" w:rsidTr="0016477B">
        <w:trPr>
          <w:cantSplit/>
          <w:trHeight w:val="522"/>
        </w:trPr>
        <w:tc>
          <w:tcPr>
            <w:tcW w:w="284" w:type="pct"/>
            <w:hideMark/>
          </w:tcPr>
          <w:p w14:paraId="235FCE70" w14:textId="77777777" w:rsidR="00DA395D" w:rsidRPr="00903596" w:rsidRDefault="00DA395D" w:rsidP="00DA395D">
            <w:pPr>
              <w:jc w:val="center"/>
            </w:pPr>
            <w:r w:rsidRPr="00903596">
              <w:t>2.</w:t>
            </w:r>
          </w:p>
        </w:tc>
        <w:tc>
          <w:tcPr>
            <w:tcW w:w="1330" w:type="pct"/>
            <w:hideMark/>
          </w:tcPr>
          <w:p w14:paraId="2D7F66CF" w14:textId="77777777" w:rsidR="00DA395D" w:rsidRPr="00903596" w:rsidRDefault="00DA395D" w:rsidP="00DA395D">
            <w:r w:rsidRPr="00903596">
              <w:t>Citas starptautiskās saistības</w:t>
            </w:r>
          </w:p>
        </w:tc>
        <w:tc>
          <w:tcPr>
            <w:tcW w:w="3386" w:type="pct"/>
            <w:hideMark/>
          </w:tcPr>
          <w:p w14:paraId="0B97D34E" w14:textId="7AE22E3A" w:rsidR="00DA395D" w:rsidRPr="00903596" w:rsidRDefault="006047CD" w:rsidP="00DA395D">
            <w:pPr>
              <w:jc w:val="both"/>
            </w:pPr>
            <w:r>
              <w:t>Nav</w:t>
            </w:r>
          </w:p>
        </w:tc>
      </w:tr>
      <w:tr w:rsidR="00DA395D" w:rsidRPr="009A6CAD" w14:paraId="7587C407" w14:textId="77777777" w:rsidTr="0016477B">
        <w:trPr>
          <w:cantSplit/>
        </w:trPr>
        <w:tc>
          <w:tcPr>
            <w:tcW w:w="284" w:type="pct"/>
            <w:hideMark/>
          </w:tcPr>
          <w:p w14:paraId="2F18F649" w14:textId="77777777" w:rsidR="00DA395D" w:rsidRPr="00903596" w:rsidRDefault="00DA395D" w:rsidP="00DA395D">
            <w:pPr>
              <w:jc w:val="center"/>
            </w:pPr>
            <w:r w:rsidRPr="00903596">
              <w:t>3.</w:t>
            </w:r>
          </w:p>
        </w:tc>
        <w:tc>
          <w:tcPr>
            <w:tcW w:w="1330" w:type="pct"/>
            <w:hideMark/>
          </w:tcPr>
          <w:p w14:paraId="6BAD0F1B" w14:textId="77777777" w:rsidR="00DA395D" w:rsidRPr="00903596" w:rsidRDefault="00DA395D" w:rsidP="00DA395D">
            <w:r w:rsidRPr="00903596">
              <w:t>Cita informācija</w:t>
            </w:r>
          </w:p>
        </w:tc>
        <w:tc>
          <w:tcPr>
            <w:tcW w:w="3386" w:type="pct"/>
            <w:hideMark/>
          </w:tcPr>
          <w:p w14:paraId="69296EAD" w14:textId="47FD71E8" w:rsidR="00DA395D" w:rsidRPr="00903596" w:rsidRDefault="00DA395D" w:rsidP="00DA395D">
            <w:r w:rsidRPr="00903596">
              <w:t>Nav</w:t>
            </w:r>
          </w:p>
        </w:tc>
      </w:tr>
    </w:tbl>
    <w:p w14:paraId="27A4CA2A" w14:textId="2F912EF5" w:rsidR="00D71392" w:rsidRPr="00903596" w:rsidRDefault="00D71392" w:rsidP="000B35BE">
      <w:pPr>
        <w:pStyle w:val="Title"/>
        <w:spacing w:before="130" w:line="260" w:lineRule="exact"/>
        <w:jc w:val="both"/>
        <w:rPr>
          <w:sz w:val="24"/>
          <w:szCs w:val="24"/>
        </w:rPr>
      </w:pPr>
    </w:p>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407"/>
        <w:gridCol w:w="1760"/>
        <w:gridCol w:w="440"/>
        <w:gridCol w:w="70"/>
        <w:gridCol w:w="2234"/>
        <w:gridCol w:w="37"/>
        <w:gridCol w:w="2267"/>
      </w:tblGrid>
      <w:tr w:rsidR="00BD5588" w:rsidRPr="009A6CAD" w14:paraId="35841EFC" w14:textId="77777777" w:rsidTr="00EC4424">
        <w:trPr>
          <w:cantSplit/>
        </w:trPr>
        <w:tc>
          <w:tcPr>
            <w:tcW w:w="5000" w:type="pct"/>
            <w:gridSpan w:val="7"/>
            <w:vAlign w:val="center"/>
            <w:hideMark/>
          </w:tcPr>
          <w:p w14:paraId="41FA2C59" w14:textId="77777777" w:rsidR="00BD5588" w:rsidRPr="00903596" w:rsidRDefault="00BD5588" w:rsidP="00122EEB">
            <w:pPr>
              <w:jc w:val="center"/>
              <w:rPr>
                <w:b/>
                <w:bCs/>
              </w:rPr>
            </w:pPr>
            <w:r w:rsidRPr="00903596">
              <w:rPr>
                <w:b/>
                <w:bCs/>
              </w:rPr>
              <w:t>1. tabula</w:t>
            </w:r>
            <w:r w:rsidRPr="00903596">
              <w:rPr>
                <w:b/>
                <w:bCs/>
              </w:rPr>
              <w:br/>
              <w:t>Tiesību akta projekta atbilstība ES tiesību aktiem</w:t>
            </w:r>
          </w:p>
        </w:tc>
      </w:tr>
      <w:tr w:rsidR="00BD5588" w:rsidRPr="005E29E1" w14:paraId="64C32A34" w14:textId="77777777" w:rsidTr="00EC4424">
        <w:trPr>
          <w:cantSplit/>
        </w:trPr>
        <w:tc>
          <w:tcPr>
            <w:tcW w:w="1306" w:type="pct"/>
            <w:hideMark/>
          </w:tcPr>
          <w:p w14:paraId="28A57C6B" w14:textId="77777777" w:rsidR="00BD5588" w:rsidRPr="00903596" w:rsidRDefault="00BD5588" w:rsidP="00122EEB">
            <w:r w:rsidRPr="00903596">
              <w:t>Attiecīgā ES tiesību akta datums, numurs un nosaukums</w:t>
            </w:r>
          </w:p>
        </w:tc>
        <w:tc>
          <w:tcPr>
            <w:tcW w:w="3694" w:type="pct"/>
            <w:gridSpan w:val="6"/>
            <w:hideMark/>
          </w:tcPr>
          <w:p w14:paraId="2BEE01AE" w14:textId="5E1F3606" w:rsidR="001447CB" w:rsidRPr="00B452AE" w:rsidRDefault="006047CD" w:rsidP="006047CD">
            <w:pPr>
              <w:ind w:left="31" w:right="109"/>
              <w:jc w:val="both"/>
            </w:pPr>
            <w:r w:rsidRPr="00726538">
              <w:t>Padomes 2018. gada 4. decembra direktīva (ES) 2018/1910, ar ko groza Direktīvu 2006/112/EK attiecībā uz atsevišķu pievienotās vērtības nodokļa sistēmas noteikumu saskaņošanu un vienkāršošanu tirdzniecībā starp dalībvalstīm</w:t>
            </w:r>
          </w:p>
        </w:tc>
      </w:tr>
      <w:tr w:rsidR="00634440" w:rsidRPr="009A6CAD" w14:paraId="0099FBCF" w14:textId="77777777" w:rsidTr="00EC4424">
        <w:trPr>
          <w:cantSplit/>
        </w:trPr>
        <w:tc>
          <w:tcPr>
            <w:tcW w:w="1306" w:type="pct"/>
            <w:vAlign w:val="center"/>
            <w:hideMark/>
          </w:tcPr>
          <w:p w14:paraId="2E36FD5C" w14:textId="77777777" w:rsidR="00BD5588" w:rsidRPr="00903596" w:rsidRDefault="00BD5588" w:rsidP="00122EEB">
            <w:pPr>
              <w:jc w:val="center"/>
            </w:pPr>
            <w:r w:rsidRPr="00903596">
              <w:t>A</w:t>
            </w:r>
          </w:p>
        </w:tc>
        <w:tc>
          <w:tcPr>
            <w:tcW w:w="1232" w:type="pct"/>
            <w:gridSpan w:val="3"/>
            <w:vAlign w:val="center"/>
            <w:hideMark/>
          </w:tcPr>
          <w:p w14:paraId="0EA27E8D" w14:textId="77777777" w:rsidR="00BD5588" w:rsidRPr="00903596" w:rsidRDefault="00BD5588" w:rsidP="00122EEB">
            <w:pPr>
              <w:jc w:val="center"/>
            </w:pPr>
            <w:r w:rsidRPr="00903596">
              <w:t>B</w:t>
            </w:r>
          </w:p>
        </w:tc>
        <w:tc>
          <w:tcPr>
            <w:tcW w:w="1232" w:type="pct"/>
            <w:gridSpan w:val="2"/>
            <w:vAlign w:val="center"/>
            <w:hideMark/>
          </w:tcPr>
          <w:p w14:paraId="0ADDAFAF" w14:textId="77777777" w:rsidR="00BD5588" w:rsidRPr="00903596" w:rsidRDefault="00BD5588" w:rsidP="00122EEB">
            <w:pPr>
              <w:jc w:val="center"/>
            </w:pPr>
            <w:r w:rsidRPr="00903596">
              <w:t>C</w:t>
            </w:r>
          </w:p>
        </w:tc>
        <w:tc>
          <w:tcPr>
            <w:tcW w:w="1230" w:type="pct"/>
            <w:vAlign w:val="center"/>
            <w:hideMark/>
          </w:tcPr>
          <w:p w14:paraId="75A9727C" w14:textId="77777777" w:rsidR="00BD5588" w:rsidRPr="00903596" w:rsidRDefault="00BD5588" w:rsidP="00122EEB">
            <w:pPr>
              <w:jc w:val="center"/>
            </w:pPr>
            <w:r w:rsidRPr="00903596">
              <w:t>D</w:t>
            </w:r>
          </w:p>
        </w:tc>
      </w:tr>
      <w:tr w:rsidR="00B02B2A" w:rsidRPr="009A6CAD" w14:paraId="0192BE00" w14:textId="77777777" w:rsidTr="00EC4424">
        <w:trPr>
          <w:cantSplit/>
        </w:trPr>
        <w:tc>
          <w:tcPr>
            <w:tcW w:w="5000" w:type="pct"/>
            <w:gridSpan w:val="7"/>
            <w:vAlign w:val="center"/>
          </w:tcPr>
          <w:p w14:paraId="48806AEC" w14:textId="6696EE69" w:rsidR="00B02B2A" w:rsidRPr="00903596" w:rsidRDefault="00111E95" w:rsidP="00111E95">
            <w:pPr>
              <w:jc w:val="center"/>
            </w:pPr>
            <w:r>
              <w:t>Direktīvas</w:t>
            </w:r>
            <w:r w:rsidR="00B02B2A" w:rsidRPr="00D77580">
              <w:t xml:space="preserve"> </w:t>
            </w:r>
            <w:r>
              <w:t>2018/1910</w:t>
            </w:r>
            <w:r w:rsidR="00B02B2A" w:rsidRPr="00D77580">
              <w:t xml:space="preserve"> 1.pants</w:t>
            </w:r>
          </w:p>
        </w:tc>
      </w:tr>
      <w:tr w:rsidR="00634440" w:rsidRPr="009A6CAD" w14:paraId="645B0314" w14:textId="77777777" w:rsidTr="00EC4424">
        <w:trPr>
          <w:cantSplit/>
        </w:trPr>
        <w:tc>
          <w:tcPr>
            <w:tcW w:w="1306" w:type="pct"/>
            <w:tcBorders>
              <w:top w:val="outset" w:sz="6" w:space="0" w:color="auto"/>
              <w:left w:val="outset" w:sz="6" w:space="0" w:color="auto"/>
              <w:bottom w:val="outset" w:sz="6" w:space="0" w:color="auto"/>
              <w:right w:val="outset" w:sz="6" w:space="0" w:color="auto"/>
            </w:tcBorders>
            <w:hideMark/>
          </w:tcPr>
          <w:p w14:paraId="2E5DD1F2" w14:textId="0B78FF4D" w:rsidR="00B02B2A" w:rsidRPr="00F22AF6" w:rsidRDefault="00070F98" w:rsidP="006612AC">
            <w:r w:rsidRPr="00070F98">
              <w:t xml:space="preserve">Direktīvas </w:t>
            </w:r>
            <w:r w:rsidR="00111E95">
              <w:t>2018/1910</w:t>
            </w:r>
            <w:r w:rsidRPr="00070F98">
              <w:t xml:space="preserve"> </w:t>
            </w:r>
            <w:r w:rsidR="001F1E2A" w:rsidRPr="001F1E2A">
              <w:t>1.panta 1.punk</w:t>
            </w:r>
            <w:r w:rsidR="001F1E2A">
              <w:t>ts</w:t>
            </w:r>
            <w:r w:rsidR="002C2564">
              <w:t xml:space="preserve"> </w:t>
            </w:r>
            <w:r w:rsidR="006612AC">
              <w:t>(Direktīvas 2006/112/EK</w:t>
            </w:r>
            <w:r w:rsidR="002C2564">
              <w:t xml:space="preserve"> </w:t>
            </w:r>
            <w:r w:rsidR="00111E95">
              <w:t>17</w:t>
            </w:r>
            <w:r w:rsidR="002C2564">
              <w:t>.a panta 1</w:t>
            </w:r>
            <w:r w:rsidR="006612AC">
              <w:t>.punkts)</w:t>
            </w:r>
            <w:r w:rsidR="001F1E2A">
              <w:t xml:space="preserve"> </w:t>
            </w:r>
          </w:p>
        </w:tc>
        <w:tc>
          <w:tcPr>
            <w:tcW w:w="1232" w:type="pct"/>
            <w:gridSpan w:val="3"/>
            <w:tcBorders>
              <w:top w:val="outset" w:sz="6" w:space="0" w:color="auto"/>
              <w:left w:val="outset" w:sz="6" w:space="0" w:color="auto"/>
              <w:bottom w:val="outset" w:sz="6" w:space="0" w:color="auto"/>
              <w:right w:val="outset" w:sz="6" w:space="0" w:color="auto"/>
            </w:tcBorders>
            <w:hideMark/>
          </w:tcPr>
          <w:p w14:paraId="604C0F06" w14:textId="7594F9EA" w:rsidR="00CA7D51" w:rsidRPr="00F22AF6" w:rsidRDefault="00070F98" w:rsidP="00EC4424">
            <w:pPr>
              <w:jc w:val="center"/>
            </w:pPr>
            <w:r>
              <w:t xml:space="preserve">Likumprojekta </w:t>
            </w:r>
            <w:r w:rsidR="00F62AE1">
              <w:t>2</w:t>
            </w:r>
            <w:r>
              <w:t>.pant</w:t>
            </w:r>
            <w:r w:rsidR="00EC4424">
              <w:t>s</w:t>
            </w:r>
            <w:r w:rsidR="007E1530">
              <w:t xml:space="preserve"> </w:t>
            </w:r>
            <w:r>
              <w:t xml:space="preserve">(Pievienotās vērtības nodokļa likuma </w:t>
            </w:r>
            <w:r w:rsidR="00111E95">
              <w:t>8</w:t>
            </w:r>
            <w:r w:rsidR="00B02B2A" w:rsidRPr="00F22AF6">
              <w:t xml:space="preserve">.panta </w:t>
            </w:r>
            <w:r w:rsidR="00111E95">
              <w:t>3.</w:t>
            </w:r>
            <w:r w:rsidR="00111E95">
              <w:rPr>
                <w:vertAlign w:val="superscript"/>
              </w:rPr>
              <w:t xml:space="preserve">1 </w:t>
            </w:r>
            <w:r w:rsidR="00EC4424">
              <w:t>daļa</w:t>
            </w:r>
            <w:r w:rsidR="00DC227A">
              <w:t>)</w:t>
            </w:r>
          </w:p>
        </w:tc>
        <w:tc>
          <w:tcPr>
            <w:tcW w:w="1232" w:type="pct"/>
            <w:gridSpan w:val="2"/>
            <w:tcBorders>
              <w:top w:val="outset" w:sz="6" w:space="0" w:color="auto"/>
              <w:left w:val="outset" w:sz="6" w:space="0" w:color="auto"/>
              <w:bottom w:val="outset" w:sz="6" w:space="0" w:color="auto"/>
              <w:right w:val="outset" w:sz="6" w:space="0" w:color="auto"/>
            </w:tcBorders>
            <w:hideMark/>
          </w:tcPr>
          <w:p w14:paraId="60E943EA" w14:textId="772483B0" w:rsidR="00B02B2A" w:rsidRPr="00F22AF6" w:rsidRDefault="00562A99" w:rsidP="00562A99">
            <w:pPr>
              <w:jc w:val="center"/>
            </w:pPr>
            <w:r>
              <w:t xml:space="preserve">Pārņemts </w:t>
            </w:r>
            <w:r w:rsidR="00B02B2A" w:rsidRPr="00F22AF6">
              <w:t xml:space="preserve">pilnībā </w:t>
            </w:r>
          </w:p>
        </w:tc>
        <w:tc>
          <w:tcPr>
            <w:tcW w:w="1230" w:type="pct"/>
            <w:tcBorders>
              <w:top w:val="outset" w:sz="6" w:space="0" w:color="auto"/>
              <w:left w:val="outset" w:sz="6" w:space="0" w:color="auto"/>
              <w:bottom w:val="outset" w:sz="6" w:space="0" w:color="auto"/>
              <w:right w:val="outset" w:sz="6" w:space="0" w:color="auto"/>
            </w:tcBorders>
            <w:hideMark/>
          </w:tcPr>
          <w:p w14:paraId="6FDF4B5C" w14:textId="46AF3067" w:rsidR="00B02B2A" w:rsidRPr="00F22AF6" w:rsidRDefault="00B02B2A" w:rsidP="00B02B2A">
            <w:pPr>
              <w:jc w:val="center"/>
            </w:pPr>
            <w:r w:rsidRPr="00F22AF6">
              <w:t>Likumprojekts neparedz stingrākas prasības</w:t>
            </w:r>
          </w:p>
        </w:tc>
      </w:tr>
      <w:tr w:rsidR="00634440" w:rsidRPr="009A6CAD" w14:paraId="35C9F16D" w14:textId="77777777" w:rsidTr="00EC4424">
        <w:trPr>
          <w:cantSplit/>
        </w:trPr>
        <w:tc>
          <w:tcPr>
            <w:tcW w:w="1306" w:type="pct"/>
            <w:hideMark/>
          </w:tcPr>
          <w:p w14:paraId="1291FD72" w14:textId="248D9161" w:rsidR="001F1E2A" w:rsidRPr="00F22AF6" w:rsidRDefault="00070F98" w:rsidP="006612AC">
            <w:pPr>
              <w:rPr>
                <w:highlight w:val="yellow"/>
              </w:rPr>
            </w:pPr>
            <w:r w:rsidRPr="00070F98">
              <w:t xml:space="preserve">Direktīvas </w:t>
            </w:r>
            <w:r w:rsidR="00111E95">
              <w:t>2018/1910</w:t>
            </w:r>
            <w:r w:rsidR="00111E95" w:rsidRPr="00070F98">
              <w:t xml:space="preserve"> </w:t>
            </w:r>
            <w:r w:rsidR="008463E7" w:rsidRPr="008463E7">
              <w:t>1.panta 1.punkts</w:t>
            </w:r>
            <w:r w:rsidR="002C2564">
              <w:t xml:space="preserve"> </w:t>
            </w:r>
            <w:r w:rsidR="006612AC">
              <w:t xml:space="preserve">(Direktīvas 2006/112/EK </w:t>
            </w:r>
            <w:r w:rsidR="00111E95">
              <w:t>17</w:t>
            </w:r>
            <w:r w:rsidR="002C2564">
              <w:t xml:space="preserve">.a </w:t>
            </w:r>
            <w:r w:rsidR="006612AC">
              <w:t>panta 2.punkts)</w:t>
            </w:r>
            <w:r w:rsidR="008463E7" w:rsidRPr="008463E7">
              <w:t xml:space="preserve"> </w:t>
            </w:r>
          </w:p>
        </w:tc>
        <w:tc>
          <w:tcPr>
            <w:tcW w:w="1232" w:type="pct"/>
            <w:gridSpan w:val="3"/>
            <w:hideMark/>
          </w:tcPr>
          <w:p w14:paraId="05B4B677" w14:textId="63B5D790" w:rsidR="00BD5588" w:rsidRPr="00F22AF6" w:rsidRDefault="00070F98" w:rsidP="00111E95">
            <w:pPr>
              <w:jc w:val="center"/>
              <w:rPr>
                <w:highlight w:val="yellow"/>
              </w:rPr>
            </w:pPr>
            <w:r w:rsidRPr="00070F98">
              <w:t xml:space="preserve">Likumprojekta </w:t>
            </w:r>
            <w:r w:rsidR="00F62AE1">
              <w:t>3</w:t>
            </w:r>
            <w:r w:rsidRPr="00070F98">
              <w:t xml:space="preserve">.pants (Pievienotās vērtības nodokļa likuma </w:t>
            </w:r>
            <w:r w:rsidR="00111E95">
              <w:t>8.</w:t>
            </w:r>
            <w:r w:rsidR="00111E95">
              <w:rPr>
                <w:vertAlign w:val="superscript"/>
              </w:rPr>
              <w:t>1</w:t>
            </w:r>
            <w:r w:rsidR="00111E95">
              <w:t xml:space="preserve"> </w:t>
            </w:r>
            <w:r w:rsidR="008463E7">
              <w:t xml:space="preserve">panta </w:t>
            </w:r>
            <w:r w:rsidR="00111E95">
              <w:t>pirmā daļa</w:t>
            </w:r>
            <w:r>
              <w:t>)</w:t>
            </w:r>
          </w:p>
        </w:tc>
        <w:tc>
          <w:tcPr>
            <w:tcW w:w="1232" w:type="pct"/>
            <w:gridSpan w:val="2"/>
            <w:hideMark/>
          </w:tcPr>
          <w:p w14:paraId="4C7FE15C" w14:textId="2356CC40" w:rsidR="001F1E2A" w:rsidRDefault="00884DD8" w:rsidP="00884DD8">
            <w:pPr>
              <w:jc w:val="center"/>
            </w:pPr>
            <w:r w:rsidRPr="00884DD8">
              <w:t xml:space="preserve">Pārņemts daļēji, jo kopsavilkuma paziņojumā norādāma informācija tiks atspoguļota, veicot grozījumus </w:t>
            </w:r>
            <w:r>
              <w:t>Ministru kabineta 2013.gada 15.janvāra noteikumos Nr.40 “Noteikumi par pievienotās vērtības nodokļa deklarācijām”.</w:t>
            </w:r>
          </w:p>
          <w:p w14:paraId="00C8A19E" w14:textId="3F308CC5" w:rsidR="00884DD8" w:rsidRPr="00766236" w:rsidRDefault="00884DD8" w:rsidP="00766236">
            <w:pPr>
              <w:jc w:val="center"/>
            </w:pPr>
            <w:r>
              <w:t>Atbildīgā institūcija  -Finanšu ministrija</w:t>
            </w:r>
          </w:p>
        </w:tc>
        <w:tc>
          <w:tcPr>
            <w:tcW w:w="1230" w:type="pct"/>
            <w:hideMark/>
          </w:tcPr>
          <w:p w14:paraId="2BECC839" w14:textId="0BD67F45" w:rsidR="001F1E2A" w:rsidRPr="00F22AF6" w:rsidRDefault="001F1E2A" w:rsidP="00B452AE">
            <w:pPr>
              <w:jc w:val="center"/>
              <w:rPr>
                <w:highlight w:val="yellow"/>
              </w:rPr>
            </w:pPr>
            <w:r w:rsidRPr="001F1E2A">
              <w:t>Likumprojekts neparedz stingrākas prasības</w:t>
            </w:r>
          </w:p>
        </w:tc>
      </w:tr>
      <w:tr w:rsidR="00634440" w:rsidRPr="009A6CAD" w14:paraId="04819470" w14:textId="77777777" w:rsidTr="00EC4424">
        <w:trPr>
          <w:cantSplit/>
        </w:trPr>
        <w:tc>
          <w:tcPr>
            <w:tcW w:w="1306" w:type="pct"/>
          </w:tcPr>
          <w:p w14:paraId="33BA4C1D" w14:textId="2D5666C0" w:rsidR="008463E7" w:rsidRPr="008463E7" w:rsidRDefault="00070F98" w:rsidP="006612AC">
            <w:r w:rsidRPr="00070F98">
              <w:t xml:space="preserve">Direktīvas </w:t>
            </w:r>
            <w:r w:rsidR="00111E95">
              <w:t>2018/1910</w:t>
            </w:r>
            <w:r w:rsidR="00111E95" w:rsidRPr="00070F98">
              <w:t xml:space="preserve"> </w:t>
            </w:r>
            <w:r w:rsidR="008463E7" w:rsidRPr="008463E7">
              <w:t>1.panta 1.punkts</w:t>
            </w:r>
            <w:r w:rsidR="002C2564">
              <w:t xml:space="preserve"> </w:t>
            </w:r>
            <w:r w:rsidR="006612AC">
              <w:t>(Direktīvas 2006/112/EK</w:t>
            </w:r>
            <w:r w:rsidR="002C2564">
              <w:t xml:space="preserve"> </w:t>
            </w:r>
            <w:r w:rsidR="007E1530">
              <w:t>17.</w:t>
            </w:r>
            <w:r w:rsidR="002C2564">
              <w:t>a panta 3</w:t>
            </w:r>
            <w:r w:rsidR="002C2564" w:rsidRPr="002C2564">
              <w:t xml:space="preserve">.punkta </w:t>
            </w:r>
            <w:r w:rsidR="007E1530">
              <w:t>“a” apakšpunkt</w:t>
            </w:r>
            <w:r w:rsidR="006612AC">
              <w:t>s)</w:t>
            </w:r>
            <w:r w:rsidR="008463E7" w:rsidRPr="008463E7">
              <w:t xml:space="preserve"> </w:t>
            </w:r>
          </w:p>
        </w:tc>
        <w:tc>
          <w:tcPr>
            <w:tcW w:w="1232" w:type="pct"/>
            <w:gridSpan w:val="3"/>
          </w:tcPr>
          <w:p w14:paraId="0D06BCFF" w14:textId="1A0B37B1" w:rsidR="008463E7" w:rsidRDefault="00070F98" w:rsidP="007029E5">
            <w:pPr>
              <w:jc w:val="center"/>
            </w:pPr>
            <w:r w:rsidRPr="00070F98">
              <w:t xml:space="preserve">Likumprojekta </w:t>
            </w:r>
            <w:r w:rsidR="00F62AE1">
              <w:t>4</w:t>
            </w:r>
            <w:r w:rsidRPr="00070F98">
              <w:t>.</w:t>
            </w:r>
            <w:r w:rsidR="007029E5">
              <w:t xml:space="preserve"> un 5.</w:t>
            </w:r>
            <w:r w:rsidRPr="00070F98">
              <w:t xml:space="preserve">pants (Pievienotās vērtības nodokļa likuma </w:t>
            </w:r>
            <w:r w:rsidR="007029E5">
              <w:t>17.</w:t>
            </w:r>
            <w:r w:rsidR="007029E5">
              <w:rPr>
                <w:vertAlign w:val="superscript"/>
              </w:rPr>
              <w:t xml:space="preserve">1 </w:t>
            </w:r>
            <w:r w:rsidR="007029E5">
              <w:t>panta</w:t>
            </w:r>
            <w:r w:rsidR="007029E5">
              <w:rPr>
                <w:vertAlign w:val="superscript"/>
              </w:rPr>
              <w:t xml:space="preserve"> </w:t>
            </w:r>
            <w:r w:rsidR="007029E5">
              <w:t>pirmā daļa un 31.</w:t>
            </w:r>
            <w:r w:rsidR="007029E5">
              <w:rPr>
                <w:vertAlign w:val="superscript"/>
              </w:rPr>
              <w:t xml:space="preserve">1 </w:t>
            </w:r>
            <w:r w:rsidR="007029E5">
              <w:t>pants</w:t>
            </w:r>
            <w:r>
              <w:t>)</w:t>
            </w:r>
          </w:p>
        </w:tc>
        <w:tc>
          <w:tcPr>
            <w:tcW w:w="1232" w:type="pct"/>
            <w:gridSpan w:val="2"/>
          </w:tcPr>
          <w:p w14:paraId="568D288D" w14:textId="48B7384A" w:rsidR="008463E7" w:rsidRPr="00F22AF6" w:rsidDel="008463E7" w:rsidRDefault="00562A99" w:rsidP="008463E7">
            <w:pPr>
              <w:jc w:val="center"/>
              <w:rPr>
                <w:highlight w:val="yellow"/>
              </w:rPr>
            </w:pPr>
            <w:r>
              <w:t xml:space="preserve">Pārņemts </w:t>
            </w:r>
            <w:r w:rsidRPr="00F22AF6">
              <w:t>pilnībā</w:t>
            </w:r>
          </w:p>
        </w:tc>
        <w:tc>
          <w:tcPr>
            <w:tcW w:w="1230" w:type="pct"/>
          </w:tcPr>
          <w:p w14:paraId="00597F9F" w14:textId="35C06578" w:rsidR="008463E7" w:rsidRPr="00F22AF6" w:rsidDel="008463E7" w:rsidRDefault="008463E7" w:rsidP="008463E7">
            <w:pPr>
              <w:jc w:val="center"/>
              <w:rPr>
                <w:highlight w:val="yellow"/>
              </w:rPr>
            </w:pPr>
            <w:r w:rsidRPr="008463E7">
              <w:t>Likumprojekts neparedz stingrākas prasības</w:t>
            </w:r>
          </w:p>
        </w:tc>
      </w:tr>
      <w:tr w:rsidR="000928FD" w:rsidRPr="009A6CAD" w14:paraId="5FBD2CD7" w14:textId="77777777" w:rsidTr="00EC4424">
        <w:trPr>
          <w:cantSplit/>
        </w:trPr>
        <w:tc>
          <w:tcPr>
            <w:tcW w:w="1306" w:type="pct"/>
          </w:tcPr>
          <w:p w14:paraId="44D22DAE" w14:textId="0818FC60" w:rsidR="000928FD" w:rsidRPr="00070F98" w:rsidRDefault="007E1530" w:rsidP="006612AC">
            <w:r w:rsidRPr="00070F98">
              <w:lastRenderedPageBreak/>
              <w:t xml:space="preserve">Direktīvas </w:t>
            </w:r>
            <w:r>
              <w:t>2018/1910</w:t>
            </w:r>
            <w:r w:rsidRPr="00070F98">
              <w:t xml:space="preserve"> </w:t>
            </w:r>
            <w:r w:rsidRPr="008463E7">
              <w:t>1.panta 1.punkts</w:t>
            </w:r>
            <w:r>
              <w:t xml:space="preserve"> </w:t>
            </w:r>
            <w:r w:rsidR="006612AC">
              <w:t xml:space="preserve">(Direktīvas 2006/112/EK </w:t>
            </w:r>
            <w:r>
              <w:t>17.a panta 3</w:t>
            </w:r>
            <w:r w:rsidRPr="002C2564">
              <w:t xml:space="preserve">.punkta </w:t>
            </w:r>
            <w:r>
              <w:t>“b” apakšpunkt</w:t>
            </w:r>
            <w:r w:rsidR="006612AC">
              <w:t>s)</w:t>
            </w:r>
          </w:p>
        </w:tc>
        <w:tc>
          <w:tcPr>
            <w:tcW w:w="1232" w:type="pct"/>
            <w:gridSpan w:val="3"/>
          </w:tcPr>
          <w:p w14:paraId="6CFD4B53" w14:textId="405B8965" w:rsidR="000928FD" w:rsidRDefault="000928FD" w:rsidP="000928FD">
            <w:pPr>
              <w:jc w:val="center"/>
            </w:pPr>
            <w:r>
              <w:t xml:space="preserve">Likumprojekta </w:t>
            </w:r>
            <w:r w:rsidR="007029E5">
              <w:t xml:space="preserve">4. un </w:t>
            </w:r>
            <w:r w:rsidR="00F62AE1">
              <w:t>5</w:t>
            </w:r>
            <w:r w:rsidRPr="00CD3A43">
              <w:t>.pants (Pievienotās vērtības nodokļa likuma</w:t>
            </w:r>
          </w:p>
          <w:p w14:paraId="4E2F55EF" w14:textId="3B6440D7" w:rsidR="000928FD" w:rsidRPr="00070F98" w:rsidRDefault="007029E5" w:rsidP="007029E5">
            <w:pPr>
              <w:jc w:val="center"/>
            </w:pPr>
            <w:r>
              <w:t>17.</w:t>
            </w:r>
            <w:r>
              <w:rPr>
                <w:vertAlign w:val="superscript"/>
              </w:rPr>
              <w:t xml:space="preserve">1 </w:t>
            </w:r>
            <w:r>
              <w:t>panta otrā daļa un 31.</w:t>
            </w:r>
            <w:r>
              <w:rPr>
                <w:vertAlign w:val="superscript"/>
              </w:rPr>
              <w:t xml:space="preserve">1 </w:t>
            </w:r>
            <w:r>
              <w:t>pants</w:t>
            </w:r>
            <w:r w:rsidR="000928FD">
              <w:t>)</w:t>
            </w:r>
          </w:p>
        </w:tc>
        <w:tc>
          <w:tcPr>
            <w:tcW w:w="1232" w:type="pct"/>
            <w:gridSpan w:val="2"/>
          </w:tcPr>
          <w:p w14:paraId="090096FB" w14:textId="17435330" w:rsidR="000928FD" w:rsidRPr="008463E7" w:rsidRDefault="00562A99" w:rsidP="000928FD">
            <w:pPr>
              <w:jc w:val="center"/>
            </w:pPr>
            <w:r>
              <w:t xml:space="preserve">Pārņemts </w:t>
            </w:r>
            <w:r w:rsidRPr="00F22AF6">
              <w:t>pilnībā</w:t>
            </w:r>
          </w:p>
        </w:tc>
        <w:tc>
          <w:tcPr>
            <w:tcW w:w="1230" w:type="pct"/>
          </w:tcPr>
          <w:p w14:paraId="76ACD6E6" w14:textId="05EF9BB8" w:rsidR="000928FD" w:rsidRPr="008463E7" w:rsidRDefault="000928FD" w:rsidP="000928FD">
            <w:pPr>
              <w:jc w:val="center"/>
            </w:pPr>
            <w:r w:rsidRPr="00FC1BA2">
              <w:t>Likumprojekts neparedz stingrākas prasības</w:t>
            </w:r>
          </w:p>
        </w:tc>
      </w:tr>
      <w:tr w:rsidR="000928FD" w:rsidRPr="009A6CAD" w14:paraId="4783D331"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1B294719" w14:textId="3453041C" w:rsidR="000928FD" w:rsidRPr="00F22AF6" w:rsidRDefault="007E1530" w:rsidP="006612AC">
            <w:r w:rsidRPr="00070F98">
              <w:t xml:space="preserve">Direktīvas </w:t>
            </w:r>
            <w:r>
              <w:t>2018/1910</w:t>
            </w:r>
            <w:r w:rsidRPr="00070F98">
              <w:t xml:space="preserve"> </w:t>
            </w:r>
            <w:r w:rsidRPr="008463E7">
              <w:t>1.panta 1.punkts</w:t>
            </w:r>
            <w:r>
              <w:t xml:space="preserve"> </w:t>
            </w:r>
            <w:r w:rsidR="006612AC">
              <w:t>(Direktīvas 2006/112/EK</w:t>
            </w:r>
            <w:r>
              <w:t xml:space="preserve"> 17.a </w:t>
            </w:r>
            <w:r w:rsidRPr="002C2564">
              <w:t xml:space="preserve">panta </w:t>
            </w:r>
            <w:r>
              <w:t>4</w:t>
            </w:r>
            <w:r w:rsidR="006612AC">
              <w:t>.punkts)</w:t>
            </w:r>
          </w:p>
        </w:tc>
        <w:tc>
          <w:tcPr>
            <w:tcW w:w="1232" w:type="pct"/>
            <w:gridSpan w:val="3"/>
            <w:tcBorders>
              <w:top w:val="outset" w:sz="6" w:space="0" w:color="auto"/>
              <w:left w:val="outset" w:sz="6" w:space="0" w:color="auto"/>
              <w:bottom w:val="outset" w:sz="6" w:space="0" w:color="auto"/>
              <w:right w:val="outset" w:sz="6" w:space="0" w:color="auto"/>
            </w:tcBorders>
          </w:tcPr>
          <w:p w14:paraId="19994DBF" w14:textId="2F612C22" w:rsidR="000928FD" w:rsidRPr="00F22AF6" w:rsidRDefault="000928FD" w:rsidP="007029E5">
            <w:pPr>
              <w:jc w:val="center"/>
            </w:pPr>
            <w:r>
              <w:t xml:space="preserve">Likumprojekta </w:t>
            </w:r>
            <w:r w:rsidR="007029E5">
              <w:t>3</w:t>
            </w:r>
            <w:r w:rsidRPr="00CD3A43">
              <w:t xml:space="preserve">.pants (Pievienotās vērtības nodokļa likuma </w:t>
            </w:r>
            <w:r w:rsidR="007029E5">
              <w:t>8</w:t>
            </w:r>
            <w:r w:rsidRPr="00F22AF6">
              <w:t>.</w:t>
            </w:r>
            <w:r w:rsidRPr="00F22AF6">
              <w:rPr>
                <w:vertAlign w:val="superscript"/>
              </w:rPr>
              <w:t>1</w:t>
            </w:r>
            <w:r w:rsidR="007E1530">
              <w:rPr>
                <w:vertAlign w:val="superscript"/>
              </w:rPr>
              <w:t xml:space="preserve"> </w:t>
            </w:r>
            <w:r>
              <w:t>pant</w:t>
            </w:r>
            <w:r w:rsidR="007E1530">
              <w:t xml:space="preserve">a </w:t>
            </w:r>
            <w:r w:rsidR="007029E5">
              <w:t xml:space="preserve">trešā </w:t>
            </w:r>
            <w:r w:rsidR="007E1530">
              <w:t>daļa</w:t>
            </w:r>
            <w:r>
              <w:t>)</w:t>
            </w:r>
          </w:p>
        </w:tc>
        <w:tc>
          <w:tcPr>
            <w:tcW w:w="1232" w:type="pct"/>
            <w:gridSpan w:val="2"/>
            <w:tcBorders>
              <w:top w:val="outset" w:sz="6" w:space="0" w:color="auto"/>
              <w:left w:val="outset" w:sz="6" w:space="0" w:color="auto"/>
              <w:bottom w:val="outset" w:sz="6" w:space="0" w:color="auto"/>
              <w:right w:val="outset" w:sz="6" w:space="0" w:color="auto"/>
            </w:tcBorders>
          </w:tcPr>
          <w:p w14:paraId="29484CB0" w14:textId="3972611D" w:rsidR="000928FD" w:rsidRPr="00F22AF6" w:rsidRDefault="00562A99" w:rsidP="000928FD">
            <w:pPr>
              <w:jc w:val="center"/>
            </w:pPr>
            <w:r>
              <w:t xml:space="preserve">Pārņemts </w:t>
            </w:r>
            <w:r w:rsidRPr="00F22AF6">
              <w:t>pilnībā</w:t>
            </w:r>
          </w:p>
        </w:tc>
        <w:tc>
          <w:tcPr>
            <w:tcW w:w="1230" w:type="pct"/>
            <w:tcBorders>
              <w:top w:val="outset" w:sz="6" w:space="0" w:color="auto"/>
              <w:left w:val="outset" w:sz="6" w:space="0" w:color="auto"/>
              <w:bottom w:val="outset" w:sz="6" w:space="0" w:color="auto"/>
              <w:right w:val="outset" w:sz="6" w:space="0" w:color="auto"/>
            </w:tcBorders>
          </w:tcPr>
          <w:p w14:paraId="55B2CD89" w14:textId="20BA028D" w:rsidR="000928FD" w:rsidRPr="00F22AF6" w:rsidRDefault="000928FD" w:rsidP="000928FD">
            <w:pPr>
              <w:jc w:val="center"/>
            </w:pPr>
            <w:r w:rsidRPr="00F22AF6">
              <w:t>Likumprojekts neparedz stingrākas prasības</w:t>
            </w:r>
          </w:p>
        </w:tc>
      </w:tr>
      <w:tr w:rsidR="000928FD" w:rsidRPr="009A6CAD" w14:paraId="68D8EA5B"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4513A4D5" w14:textId="225AF789" w:rsidR="000928FD" w:rsidRDefault="007E1530" w:rsidP="006612AC">
            <w:r w:rsidRPr="00070F98">
              <w:t xml:space="preserve">Direktīvas </w:t>
            </w:r>
            <w:r>
              <w:t>2018/1910</w:t>
            </w:r>
            <w:r w:rsidRPr="00070F98">
              <w:t xml:space="preserve"> </w:t>
            </w:r>
            <w:r w:rsidRPr="008463E7">
              <w:t>1.panta 1.punkts</w:t>
            </w:r>
            <w:r>
              <w:t xml:space="preserve"> </w:t>
            </w:r>
            <w:r w:rsidR="006612AC">
              <w:t>(Direktīvas 2006/112/EK</w:t>
            </w:r>
            <w:r>
              <w:t xml:space="preserve"> 17.a </w:t>
            </w:r>
            <w:r w:rsidRPr="002C2564">
              <w:t xml:space="preserve">panta </w:t>
            </w:r>
            <w:r>
              <w:t>5</w:t>
            </w:r>
            <w:r w:rsidRPr="002C2564">
              <w:t>.punkt</w:t>
            </w:r>
            <w:r w:rsidR="006612AC">
              <w:t>s)</w:t>
            </w:r>
          </w:p>
        </w:tc>
        <w:tc>
          <w:tcPr>
            <w:tcW w:w="1232" w:type="pct"/>
            <w:gridSpan w:val="3"/>
            <w:tcBorders>
              <w:top w:val="outset" w:sz="6" w:space="0" w:color="auto"/>
              <w:left w:val="outset" w:sz="6" w:space="0" w:color="auto"/>
              <w:bottom w:val="outset" w:sz="6" w:space="0" w:color="auto"/>
              <w:right w:val="outset" w:sz="6" w:space="0" w:color="auto"/>
            </w:tcBorders>
          </w:tcPr>
          <w:p w14:paraId="1DA76B34" w14:textId="19336308" w:rsidR="000928FD" w:rsidRDefault="000928FD" w:rsidP="007029E5">
            <w:pPr>
              <w:jc w:val="center"/>
            </w:pPr>
            <w:r w:rsidRPr="00CD3A43">
              <w:t xml:space="preserve">Likumprojekta </w:t>
            </w:r>
            <w:r w:rsidR="007029E5">
              <w:t>3</w:t>
            </w:r>
            <w:r w:rsidRPr="00CD3A43">
              <w:t>.pant</w:t>
            </w:r>
            <w:r w:rsidR="007E1530">
              <w:t>a otrā daļa</w:t>
            </w:r>
            <w:r w:rsidRPr="00CD3A43">
              <w:t xml:space="preserve"> (Pievienotās vērtības nodokļa </w:t>
            </w:r>
            <w:r w:rsidR="00EC4424">
              <w:t xml:space="preserve">likuma </w:t>
            </w:r>
            <w:r w:rsidR="007029E5">
              <w:t>8</w:t>
            </w:r>
            <w:r w:rsidR="00EC4424" w:rsidRPr="00F22AF6">
              <w:t>.</w:t>
            </w:r>
            <w:r w:rsidR="00EC4424" w:rsidRPr="00F22AF6">
              <w:rPr>
                <w:vertAlign w:val="superscript"/>
              </w:rPr>
              <w:t>1</w:t>
            </w:r>
            <w:r w:rsidR="007E1530">
              <w:t xml:space="preserve">panta </w:t>
            </w:r>
            <w:r w:rsidR="007029E5">
              <w:t xml:space="preserve">ceturtā </w:t>
            </w:r>
            <w:r w:rsidR="007E1530">
              <w:t>daļa</w:t>
            </w:r>
            <w:r>
              <w:t>)</w:t>
            </w:r>
          </w:p>
        </w:tc>
        <w:tc>
          <w:tcPr>
            <w:tcW w:w="1232" w:type="pct"/>
            <w:gridSpan w:val="2"/>
            <w:tcBorders>
              <w:top w:val="outset" w:sz="6" w:space="0" w:color="auto"/>
              <w:left w:val="outset" w:sz="6" w:space="0" w:color="auto"/>
              <w:bottom w:val="outset" w:sz="6" w:space="0" w:color="auto"/>
              <w:right w:val="outset" w:sz="6" w:space="0" w:color="auto"/>
            </w:tcBorders>
          </w:tcPr>
          <w:p w14:paraId="3AC86BFA" w14:textId="131631D6" w:rsidR="000928FD" w:rsidRPr="009A6CAD" w:rsidRDefault="00562A99" w:rsidP="000928FD">
            <w:pPr>
              <w:jc w:val="center"/>
            </w:pPr>
            <w:r>
              <w:t xml:space="preserve">Pārņemts </w:t>
            </w:r>
            <w:r w:rsidRPr="00F22AF6">
              <w:t>pilnībā</w:t>
            </w:r>
          </w:p>
        </w:tc>
        <w:tc>
          <w:tcPr>
            <w:tcW w:w="1230" w:type="pct"/>
            <w:tcBorders>
              <w:top w:val="outset" w:sz="6" w:space="0" w:color="auto"/>
              <w:left w:val="outset" w:sz="6" w:space="0" w:color="auto"/>
              <w:bottom w:val="outset" w:sz="6" w:space="0" w:color="auto"/>
              <w:right w:val="outset" w:sz="6" w:space="0" w:color="auto"/>
            </w:tcBorders>
          </w:tcPr>
          <w:p w14:paraId="35E3379A" w14:textId="636D1A90" w:rsidR="000928FD" w:rsidRPr="009A6CAD" w:rsidRDefault="000928FD" w:rsidP="000928FD">
            <w:pPr>
              <w:jc w:val="center"/>
            </w:pPr>
            <w:r w:rsidRPr="003C08F5">
              <w:t>Likumprojekts neparedz stingrākas prasības</w:t>
            </w:r>
          </w:p>
        </w:tc>
      </w:tr>
      <w:tr w:rsidR="007E1530" w:rsidRPr="009A6CAD" w14:paraId="6A6F7344"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2080223B" w14:textId="782C426E" w:rsidR="007E1530" w:rsidRPr="004B1E1D" w:rsidRDefault="007E1530" w:rsidP="006612AC">
            <w:r w:rsidRPr="00070F98">
              <w:t xml:space="preserve">Direktīvas </w:t>
            </w:r>
            <w:r>
              <w:t>2018/1910</w:t>
            </w:r>
            <w:r w:rsidRPr="00070F98">
              <w:t xml:space="preserve"> </w:t>
            </w:r>
            <w:r w:rsidRPr="008463E7">
              <w:t>1.panta 1.punkts</w:t>
            </w:r>
            <w:r>
              <w:t xml:space="preserve"> </w:t>
            </w:r>
            <w:r w:rsidR="006612AC">
              <w:t xml:space="preserve">(Direktīvas 2006/112/EK </w:t>
            </w:r>
            <w:r>
              <w:t xml:space="preserve">17.a </w:t>
            </w:r>
            <w:r w:rsidRPr="002C2564">
              <w:t xml:space="preserve">panta </w:t>
            </w:r>
            <w:r>
              <w:t>6</w:t>
            </w:r>
            <w:r w:rsidRPr="002C2564">
              <w:t>.punkt</w:t>
            </w:r>
            <w:r w:rsidR="006612AC">
              <w:t>s)</w:t>
            </w:r>
          </w:p>
        </w:tc>
        <w:tc>
          <w:tcPr>
            <w:tcW w:w="1232" w:type="pct"/>
            <w:gridSpan w:val="3"/>
            <w:tcBorders>
              <w:top w:val="outset" w:sz="6" w:space="0" w:color="auto"/>
              <w:left w:val="outset" w:sz="6" w:space="0" w:color="auto"/>
              <w:bottom w:val="outset" w:sz="6" w:space="0" w:color="auto"/>
              <w:right w:val="outset" w:sz="6" w:space="0" w:color="auto"/>
            </w:tcBorders>
          </w:tcPr>
          <w:p w14:paraId="6EADED73" w14:textId="6A8B3698" w:rsidR="007E1530" w:rsidRPr="00CD3A43" w:rsidRDefault="007E1530" w:rsidP="007E1530">
            <w:pPr>
              <w:jc w:val="center"/>
            </w:pPr>
            <w:r w:rsidRPr="00070F98">
              <w:t xml:space="preserve">Likumprojekta </w:t>
            </w:r>
            <w:r w:rsidR="00F62AE1">
              <w:t>3</w:t>
            </w:r>
            <w:r w:rsidRPr="00070F98">
              <w:t xml:space="preserve">.pants (Pievienotās vērtības nodokļa likuma </w:t>
            </w:r>
            <w:r>
              <w:t>8.</w:t>
            </w:r>
            <w:r>
              <w:rPr>
                <w:vertAlign w:val="superscript"/>
              </w:rPr>
              <w:t>1</w:t>
            </w:r>
            <w:r>
              <w:t xml:space="preserve"> panta otrā daļa)</w:t>
            </w:r>
          </w:p>
        </w:tc>
        <w:tc>
          <w:tcPr>
            <w:tcW w:w="1232" w:type="pct"/>
            <w:gridSpan w:val="2"/>
            <w:tcBorders>
              <w:top w:val="outset" w:sz="6" w:space="0" w:color="auto"/>
              <w:left w:val="outset" w:sz="6" w:space="0" w:color="auto"/>
              <w:bottom w:val="outset" w:sz="6" w:space="0" w:color="auto"/>
              <w:right w:val="outset" w:sz="6" w:space="0" w:color="auto"/>
            </w:tcBorders>
          </w:tcPr>
          <w:p w14:paraId="217B4193" w14:textId="490735C9" w:rsidR="007E1530" w:rsidRPr="003C08F5" w:rsidRDefault="00562A99" w:rsidP="000928FD">
            <w:pPr>
              <w:jc w:val="center"/>
            </w:pPr>
            <w:r>
              <w:t xml:space="preserve">Pārņemts </w:t>
            </w:r>
            <w:r w:rsidRPr="00F22AF6">
              <w:t>pilnībā</w:t>
            </w:r>
          </w:p>
        </w:tc>
        <w:tc>
          <w:tcPr>
            <w:tcW w:w="1230" w:type="pct"/>
            <w:tcBorders>
              <w:top w:val="outset" w:sz="6" w:space="0" w:color="auto"/>
              <w:left w:val="outset" w:sz="6" w:space="0" w:color="auto"/>
              <w:bottom w:val="outset" w:sz="6" w:space="0" w:color="auto"/>
              <w:right w:val="outset" w:sz="6" w:space="0" w:color="auto"/>
            </w:tcBorders>
          </w:tcPr>
          <w:p w14:paraId="108F745B" w14:textId="510D159C" w:rsidR="007E1530" w:rsidRPr="003C08F5" w:rsidRDefault="00884DD8" w:rsidP="000928FD">
            <w:pPr>
              <w:jc w:val="center"/>
            </w:pPr>
            <w:r w:rsidRPr="003C08F5">
              <w:t>Likumprojekts neparedz stingrākas prasības</w:t>
            </w:r>
          </w:p>
        </w:tc>
      </w:tr>
      <w:tr w:rsidR="007E1530" w:rsidRPr="009A6CAD" w14:paraId="67EBA7E9"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50A5D7FC" w14:textId="50532AC6" w:rsidR="007E1530" w:rsidRPr="004B1E1D" w:rsidRDefault="007E1530" w:rsidP="006612AC">
            <w:r w:rsidRPr="00070F98">
              <w:t xml:space="preserve">Direktīvas </w:t>
            </w:r>
            <w:r>
              <w:t>2018/1910</w:t>
            </w:r>
            <w:r w:rsidRPr="00070F98">
              <w:t xml:space="preserve"> </w:t>
            </w:r>
            <w:r w:rsidRPr="008463E7">
              <w:t>1.panta 1.punkts</w:t>
            </w:r>
            <w:r>
              <w:t xml:space="preserve"> </w:t>
            </w:r>
            <w:r w:rsidR="006612AC">
              <w:t xml:space="preserve">(Direktīvas 2006/112/EK </w:t>
            </w:r>
            <w:r>
              <w:t xml:space="preserve">17.a </w:t>
            </w:r>
            <w:r w:rsidRPr="002C2564">
              <w:t xml:space="preserve">panta </w:t>
            </w:r>
            <w:r>
              <w:t>7</w:t>
            </w:r>
            <w:r w:rsidR="006612AC">
              <w:t>.punkts)</w:t>
            </w:r>
          </w:p>
        </w:tc>
        <w:tc>
          <w:tcPr>
            <w:tcW w:w="1232" w:type="pct"/>
            <w:gridSpan w:val="3"/>
            <w:tcBorders>
              <w:top w:val="outset" w:sz="6" w:space="0" w:color="auto"/>
              <w:left w:val="outset" w:sz="6" w:space="0" w:color="auto"/>
              <w:bottom w:val="outset" w:sz="6" w:space="0" w:color="auto"/>
              <w:right w:val="outset" w:sz="6" w:space="0" w:color="auto"/>
            </w:tcBorders>
          </w:tcPr>
          <w:p w14:paraId="055BC80D" w14:textId="254B2D32" w:rsidR="007E1530" w:rsidRPr="00CD3A43" w:rsidRDefault="007E1530" w:rsidP="007029E5">
            <w:pPr>
              <w:jc w:val="center"/>
            </w:pPr>
            <w:r w:rsidRPr="00070F98">
              <w:t xml:space="preserve">Likumprojekta </w:t>
            </w:r>
            <w:r w:rsidR="007029E5">
              <w:t>3</w:t>
            </w:r>
            <w:r w:rsidRPr="00070F98">
              <w:t xml:space="preserve">.pants (Pievienotās vērtības nodokļa likuma </w:t>
            </w:r>
            <w:r w:rsidR="007029E5">
              <w:t>8</w:t>
            </w:r>
            <w:r w:rsidR="00562A99" w:rsidRPr="00F22AF6">
              <w:t>.</w:t>
            </w:r>
            <w:r w:rsidR="00562A99" w:rsidRPr="00F22AF6">
              <w:rPr>
                <w:vertAlign w:val="superscript"/>
              </w:rPr>
              <w:t>1</w:t>
            </w:r>
            <w:r w:rsidR="00562A99">
              <w:rPr>
                <w:vertAlign w:val="superscript"/>
              </w:rPr>
              <w:t xml:space="preserve"> </w:t>
            </w:r>
            <w:r w:rsidR="00562A99">
              <w:t>panta piektā</w:t>
            </w:r>
            <w:r w:rsidR="00EC4424">
              <w:t>, sestā</w:t>
            </w:r>
            <w:r w:rsidR="007029E5">
              <w:t>, septītā, astotā</w:t>
            </w:r>
            <w:r w:rsidR="00562A99">
              <w:t xml:space="preserve"> daļa</w:t>
            </w:r>
            <w:r>
              <w:t>)</w:t>
            </w:r>
          </w:p>
        </w:tc>
        <w:tc>
          <w:tcPr>
            <w:tcW w:w="1232" w:type="pct"/>
            <w:gridSpan w:val="2"/>
            <w:tcBorders>
              <w:top w:val="outset" w:sz="6" w:space="0" w:color="auto"/>
              <w:left w:val="outset" w:sz="6" w:space="0" w:color="auto"/>
              <w:bottom w:val="outset" w:sz="6" w:space="0" w:color="auto"/>
              <w:right w:val="outset" w:sz="6" w:space="0" w:color="auto"/>
            </w:tcBorders>
          </w:tcPr>
          <w:p w14:paraId="2D16449C" w14:textId="7CC199A5" w:rsidR="007E1530" w:rsidRPr="003C08F5" w:rsidRDefault="00562A99" w:rsidP="000928FD">
            <w:pPr>
              <w:jc w:val="center"/>
            </w:pPr>
            <w:r>
              <w:t xml:space="preserve">Pārņemts </w:t>
            </w:r>
            <w:r w:rsidRPr="00F22AF6">
              <w:t>pilnībā</w:t>
            </w:r>
          </w:p>
        </w:tc>
        <w:tc>
          <w:tcPr>
            <w:tcW w:w="1230" w:type="pct"/>
            <w:tcBorders>
              <w:top w:val="outset" w:sz="6" w:space="0" w:color="auto"/>
              <w:left w:val="outset" w:sz="6" w:space="0" w:color="auto"/>
              <w:bottom w:val="outset" w:sz="6" w:space="0" w:color="auto"/>
              <w:right w:val="outset" w:sz="6" w:space="0" w:color="auto"/>
            </w:tcBorders>
          </w:tcPr>
          <w:p w14:paraId="4A52DCC1" w14:textId="04EDA9DC" w:rsidR="007E1530" w:rsidRPr="003C08F5" w:rsidRDefault="00884DD8" w:rsidP="000928FD">
            <w:pPr>
              <w:jc w:val="center"/>
            </w:pPr>
            <w:r w:rsidRPr="003C08F5">
              <w:t>Likumprojekts neparedz stingrākas prasības</w:t>
            </w:r>
          </w:p>
        </w:tc>
      </w:tr>
      <w:tr w:rsidR="007E1530" w:rsidRPr="009A6CAD" w14:paraId="5FF71648"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1AE6C51E" w14:textId="11CD74A4" w:rsidR="007E1530" w:rsidRPr="004B1E1D" w:rsidRDefault="007E1530" w:rsidP="006612AC">
            <w:r w:rsidRPr="00070F98">
              <w:t xml:space="preserve">Direktīvas </w:t>
            </w:r>
            <w:r>
              <w:t>2018/1910</w:t>
            </w:r>
            <w:r w:rsidRPr="00070F98">
              <w:t xml:space="preserve"> </w:t>
            </w:r>
            <w:r w:rsidR="00562A99">
              <w:t>1.panta 2</w:t>
            </w:r>
            <w:r w:rsidRPr="008463E7">
              <w:t>.punkts</w:t>
            </w:r>
            <w:r>
              <w:t xml:space="preserve"> </w:t>
            </w:r>
            <w:r w:rsidR="006612AC">
              <w:t xml:space="preserve">(Direktīvas 2006/112/EK </w:t>
            </w:r>
            <w:r w:rsidR="00562A99">
              <w:t>36</w:t>
            </w:r>
            <w:r>
              <w:t xml:space="preserve">.a </w:t>
            </w:r>
            <w:r w:rsidR="006612AC">
              <w:t>pants)</w:t>
            </w:r>
          </w:p>
        </w:tc>
        <w:tc>
          <w:tcPr>
            <w:tcW w:w="1232" w:type="pct"/>
            <w:gridSpan w:val="3"/>
            <w:tcBorders>
              <w:top w:val="outset" w:sz="6" w:space="0" w:color="auto"/>
              <w:left w:val="outset" w:sz="6" w:space="0" w:color="auto"/>
              <w:bottom w:val="outset" w:sz="6" w:space="0" w:color="auto"/>
              <w:right w:val="outset" w:sz="6" w:space="0" w:color="auto"/>
            </w:tcBorders>
          </w:tcPr>
          <w:p w14:paraId="2224C6F9" w14:textId="6D6F25E1" w:rsidR="007E1530" w:rsidRPr="00CD3A43" w:rsidRDefault="00562A99" w:rsidP="005C2946">
            <w:pPr>
              <w:jc w:val="center"/>
            </w:pPr>
            <w:r w:rsidRPr="00CD3A43">
              <w:t xml:space="preserve">Likumprojekta </w:t>
            </w:r>
            <w:r w:rsidR="005C2946">
              <w:t>6</w:t>
            </w:r>
            <w:r w:rsidRPr="00CD3A43">
              <w:t>.pant</w:t>
            </w:r>
            <w:r>
              <w:t xml:space="preserve">s </w:t>
            </w:r>
            <w:r w:rsidRPr="00CD3A43">
              <w:t xml:space="preserve">(Pievienotās vērtības nodokļa </w:t>
            </w:r>
            <w:r w:rsidR="00EC4424">
              <w:t xml:space="preserve">likuma </w:t>
            </w:r>
            <w:r>
              <w:t>43.</w:t>
            </w:r>
            <w:r>
              <w:rPr>
                <w:vertAlign w:val="superscript"/>
              </w:rPr>
              <w:t xml:space="preserve">1 </w:t>
            </w:r>
            <w:r>
              <w:t>pants)</w:t>
            </w:r>
          </w:p>
        </w:tc>
        <w:tc>
          <w:tcPr>
            <w:tcW w:w="1232" w:type="pct"/>
            <w:gridSpan w:val="2"/>
            <w:tcBorders>
              <w:top w:val="outset" w:sz="6" w:space="0" w:color="auto"/>
              <w:left w:val="outset" w:sz="6" w:space="0" w:color="auto"/>
              <w:bottom w:val="outset" w:sz="6" w:space="0" w:color="auto"/>
              <w:right w:val="outset" w:sz="6" w:space="0" w:color="auto"/>
            </w:tcBorders>
          </w:tcPr>
          <w:p w14:paraId="0CA0AA04" w14:textId="40CF1D87" w:rsidR="007E1530" w:rsidRDefault="00562A99" w:rsidP="000928FD">
            <w:pPr>
              <w:jc w:val="center"/>
            </w:pPr>
            <w:r>
              <w:t>Pārņemts daļēji</w:t>
            </w:r>
            <w:r w:rsidR="00884DD8">
              <w:t>, jo</w:t>
            </w:r>
          </w:p>
          <w:p w14:paraId="18DA5C72" w14:textId="77777777" w:rsidR="00562A99" w:rsidRDefault="00562A99" w:rsidP="00562A99">
            <w:pPr>
              <w:jc w:val="center"/>
            </w:pPr>
            <w:r>
              <w:t xml:space="preserve">36.a </w:t>
            </w:r>
            <w:r w:rsidRPr="002C2564">
              <w:t>panta</w:t>
            </w:r>
            <w:r>
              <w:t xml:space="preserve"> 4.punkts tiks pārņemts ar 2021.gada 1.janvāri, ieviešot </w:t>
            </w:r>
            <w:r w:rsidRPr="000C5394">
              <w:t xml:space="preserve">Padomes </w:t>
            </w:r>
            <w:r>
              <w:t>2</w:t>
            </w:r>
            <w:r w:rsidRPr="00201A82">
              <w:t>017.gada 5.decembra direktīva</w:t>
            </w:r>
            <w:r w:rsidR="00376A2C">
              <w:t>s</w:t>
            </w:r>
            <w:r w:rsidRPr="00201A82">
              <w:t xml:space="preserve"> </w:t>
            </w:r>
            <w:r>
              <w:t xml:space="preserve">(ES) </w:t>
            </w:r>
            <w:r w:rsidRPr="00201A82">
              <w:t>2017/2455, ar ko groza Direktīvu 2006/112/EK un Direktīvas 2009/132/EK attiecībā uz konkrētām pievienotās vērtības nodokļa saistībām pakalpojumu sniegšanā un preču tālpārdošanā</w:t>
            </w:r>
            <w:r w:rsidR="00376A2C">
              <w:t>, regulējumu, kam jāstājas spēkā ar 2021.gada 1janvāri.</w:t>
            </w:r>
          </w:p>
          <w:p w14:paraId="77F20556" w14:textId="773251D2" w:rsidR="00376A2C" w:rsidRPr="003C08F5" w:rsidRDefault="00376A2C" w:rsidP="00562A99">
            <w:pPr>
              <w:jc w:val="center"/>
            </w:pPr>
            <w:r>
              <w:t>Atbildīgā institūcija  -Finanšu ministrija</w:t>
            </w:r>
          </w:p>
        </w:tc>
        <w:tc>
          <w:tcPr>
            <w:tcW w:w="1230" w:type="pct"/>
            <w:tcBorders>
              <w:top w:val="outset" w:sz="6" w:space="0" w:color="auto"/>
              <w:left w:val="outset" w:sz="6" w:space="0" w:color="auto"/>
              <w:bottom w:val="outset" w:sz="6" w:space="0" w:color="auto"/>
              <w:right w:val="outset" w:sz="6" w:space="0" w:color="auto"/>
            </w:tcBorders>
          </w:tcPr>
          <w:p w14:paraId="1AC3AE01" w14:textId="33F4421D" w:rsidR="007E1530" w:rsidRPr="003C08F5" w:rsidRDefault="00884DD8" w:rsidP="000928FD">
            <w:pPr>
              <w:jc w:val="center"/>
            </w:pPr>
            <w:r w:rsidRPr="003C08F5">
              <w:t>Likumprojekts neparedz stingrākas prasības</w:t>
            </w:r>
          </w:p>
        </w:tc>
      </w:tr>
      <w:tr w:rsidR="00562A99" w:rsidRPr="009A6CAD" w14:paraId="5233FD13"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251EB1A8" w14:textId="09347ACF" w:rsidR="00562A99" w:rsidRPr="004B1E1D" w:rsidRDefault="00562A99" w:rsidP="006612AC">
            <w:r w:rsidRPr="00070F98">
              <w:lastRenderedPageBreak/>
              <w:t xml:space="preserve">Direktīvas </w:t>
            </w:r>
            <w:r>
              <w:t>2018/1910</w:t>
            </w:r>
            <w:r w:rsidRPr="00070F98">
              <w:t xml:space="preserve"> </w:t>
            </w:r>
            <w:r w:rsidR="00376A2C">
              <w:t>1.panta 3.punkta “a” apakšpunkts</w:t>
            </w:r>
            <w:r>
              <w:t xml:space="preserve"> </w:t>
            </w:r>
            <w:r w:rsidR="006612AC">
              <w:t>(Direktīvas 2006/112/EK</w:t>
            </w:r>
            <w:r>
              <w:t xml:space="preserve"> </w:t>
            </w:r>
            <w:r w:rsidR="00376A2C">
              <w:t>138.</w:t>
            </w:r>
            <w:r w:rsidRPr="002C2564">
              <w:t xml:space="preserve">panta </w:t>
            </w:r>
            <w:r w:rsidR="00376A2C">
              <w:t>1.punkt</w:t>
            </w:r>
            <w:r w:rsidR="006612AC">
              <w:t>s)</w:t>
            </w:r>
          </w:p>
        </w:tc>
        <w:tc>
          <w:tcPr>
            <w:tcW w:w="1232" w:type="pct"/>
            <w:gridSpan w:val="3"/>
            <w:tcBorders>
              <w:top w:val="outset" w:sz="6" w:space="0" w:color="auto"/>
              <w:left w:val="outset" w:sz="6" w:space="0" w:color="auto"/>
              <w:bottom w:val="outset" w:sz="6" w:space="0" w:color="auto"/>
              <w:right w:val="outset" w:sz="6" w:space="0" w:color="auto"/>
            </w:tcBorders>
          </w:tcPr>
          <w:p w14:paraId="25924A48" w14:textId="02DD5F1B" w:rsidR="00562A99" w:rsidRPr="00CD3A43" w:rsidRDefault="00376A2C" w:rsidP="00562A99">
            <w:pPr>
              <w:jc w:val="center"/>
            </w:pPr>
            <w:r>
              <w:t>Norma jau ir pārņemta Pievienotās vērtības nodokļa likuma 43.panta ceturtajā daļā</w:t>
            </w:r>
          </w:p>
        </w:tc>
        <w:tc>
          <w:tcPr>
            <w:tcW w:w="1232" w:type="pct"/>
            <w:gridSpan w:val="2"/>
            <w:tcBorders>
              <w:top w:val="outset" w:sz="6" w:space="0" w:color="auto"/>
              <w:left w:val="outset" w:sz="6" w:space="0" w:color="auto"/>
              <w:bottom w:val="outset" w:sz="6" w:space="0" w:color="auto"/>
              <w:right w:val="outset" w:sz="6" w:space="0" w:color="auto"/>
            </w:tcBorders>
          </w:tcPr>
          <w:p w14:paraId="7838743C" w14:textId="22DD3ADB" w:rsidR="00562A99" w:rsidRPr="003C08F5" w:rsidRDefault="00376A2C" w:rsidP="00562A99">
            <w:pPr>
              <w:jc w:val="center"/>
            </w:pPr>
            <w:r>
              <w:t xml:space="preserve">Pārņemts </w:t>
            </w:r>
            <w:r w:rsidRPr="00F22AF6">
              <w:t>pilnībā</w:t>
            </w:r>
          </w:p>
        </w:tc>
        <w:tc>
          <w:tcPr>
            <w:tcW w:w="1230" w:type="pct"/>
            <w:tcBorders>
              <w:top w:val="outset" w:sz="6" w:space="0" w:color="auto"/>
              <w:left w:val="outset" w:sz="6" w:space="0" w:color="auto"/>
              <w:bottom w:val="outset" w:sz="6" w:space="0" w:color="auto"/>
              <w:right w:val="outset" w:sz="6" w:space="0" w:color="auto"/>
            </w:tcBorders>
          </w:tcPr>
          <w:p w14:paraId="28D017F6" w14:textId="7080966D" w:rsidR="00562A99" w:rsidRPr="003C08F5" w:rsidRDefault="00884DD8" w:rsidP="00562A99">
            <w:pPr>
              <w:jc w:val="center"/>
            </w:pPr>
            <w:r w:rsidRPr="003C08F5">
              <w:t>Likumprojekts neparedz stingrākas prasības</w:t>
            </w:r>
          </w:p>
        </w:tc>
      </w:tr>
      <w:tr w:rsidR="00562A99" w:rsidRPr="009A6CAD" w14:paraId="4955C845"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2F80B166" w14:textId="4BB3C19B" w:rsidR="00562A99" w:rsidRPr="004B1E1D" w:rsidRDefault="00376A2C" w:rsidP="006612AC">
            <w:r w:rsidRPr="00070F98">
              <w:t xml:space="preserve">Direktīvas </w:t>
            </w:r>
            <w:r>
              <w:t>2018/1910</w:t>
            </w:r>
            <w:r w:rsidRPr="00070F98">
              <w:t xml:space="preserve"> </w:t>
            </w:r>
            <w:r>
              <w:t>1.panta 3.punkta “</w:t>
            </w:r>
            <w:r w:rsidR="00D02FA3">
              <w:t>b</w:t>
            </w:r>
            <w:r>
              <w:t xml:space="preserve">” apakšpunkts </w:t>
            </w:r>
            <w:r w:rsidR="006612AC">
              <w:t xml:space="preserve">(Direktīvas 2006/112/EK </w:t>
            </w:r>
            <w:r>
              <w:t>138.</w:t>
            </w:r>
            <w:r w:rsidRPr="002C2564">
              <w:t xml:space="preserve">panta </w:t>
            </w:r>
            <w:r>
              <w:t>1.a punkt</w:t>
            </w:r>
            <w:r w:rsidR="006612AC">
              <w:t>s)</w:t>
            </w:r>
          </w:p>
        </w:tc>
        <w:tc>
          <w:tcPr>
            <w:tcW w:w="1232" w:type="pct"/>
            <w:gridSpan w:val="3"/>
            <w:tcBorders>
              <w:top w:val="outset" w:sz="6" w:space="0" w:color="auto"/>
              <w:left w:val="outset" w:sz="6" w:space="0" w:color="auto"/>
              <w:bottom w:val="outset" w:sz="6" w:space="0" w:color="auto"/>
              <w:right w:val="outset" w:sz="6" w:space="0" w:color="auto"/>
            </w:tcBorders>
          </w:tcPr>
          <w:p w14:paraId="77225451" w14:textId="5C0D0C04" w:rsidR="00562A99" w:rsidRPr="00CD3A43" w:rsidRDefault="00376A2C" w:rsidP="005C2946">
            <w:pPr>
              <w:jc w:val="center"/>
            </w:pPr>
            <w:r w:rsidRPr="00CD3A43">
              <w:t xml:space="preserve">Likumprojekta </w:t>
            </w:r>
            <w:r w:rsidR="005C2946">
              <w:t>7</w:t>
            </w:r>
            <w:r w:rsidRPr="00CD3A43">
              <w:t>.pant</w:t>
            </w:r>
            <w:r>
              <w:t xml:space="preserve">s </w:t>
            </w:r>
            <w:r w:rsidRPr="00CD3A43">
              <w:t xml:space="preserve">(Pievienotās vērtības nodokļa </w:t>
            </w:r>
            <w:r w:rsidR="00EC4424">
              <w:t xml:space="preserve">likuma </w:t>
            </w:r>
            <w:r w:rsidR="007029E5">
              <w:t>51</w:t>
            </w:r>
            <w:r>
              <w:t>.</w:t>
            </w:r>
            <w:r>
              <w:rPr>
                <w:vertAlign w:val="superscript"/>
              </w:rPr>
              <w:t xml:space="preserve"> </w:t>
            </w:r>
            <w:r>
              <w:t xml:space="preserve">panta </w:t>
            </w:r>
            <w:r w:rsidR="007029E5">
              <w:t>sestā</w:t>
            </w:r>
            <w:r>
              <w:rPr>
                <w:vertAlign w:val="superscript"/>
              </w:rPr>
              <w:t xml:space="preserve"> </w:t>
            </w:r>
            <w:r>
              <w:t>daļa)</w:t>
            </w:r>
          </w:p>
        </w:tc>
        <w:tc>
          <w:tcPr>
            <w:tcW w:w="1232" w:type="pct"/>
            <w:gridSpan w:val="2"/>
            <w:tcBorders>
              <w:top w:val="outset" w:sz="6" w:space="0" w:color="auto"/>
              <w:left w:val="outset" w:sz="6" w:space="0" w:color="auto"/>
              <w:bottom w:val="outset" w:sz="6" w:space="0" w:color="auto"/>
              <w:right w:val="outset" w:sz="6" w:space="0" w:color="auto"/>
            </w:tcBorders>
          </w:tcPr>
          <w:p w14:paraId="7B09A574" w14:textId="0606B457" w:rsidR="00562A99" w:rsidRPr="003C08F5" w:rsidRDefault="00A7758C" w:rsidP="00562A99">
            <w:pPr>
              <w:jc w:val="center"/>
            </w:pPr>
            <w:r>
              <w:t xml:space="preserve">Pārņemts </w:t>
            </w:r>
            <w:r w:rsidRPr="00F22AF6">
              <w:t>pilnībā</w:t>
            </w:r>
          </w:p>
        </w:tc>
        <w:tc>
          <w:tcPr>
            <w:tcW w:w="1230" w:type="pct"/>
            <w:tcBorders>
              <w:top w:val="outset" w:sz="6" w:space="0" w:color="auto"/>
              <w:left w:val="outset" w:sz="6" w:space="0" w:color="auto"/>
              <w:bottom w:val="outset" w:sz="6" w:space="0" w:color="auto"/>
              <w:right w:val="outset" w:sz="6" w:space="0" w:color="auto"/>
            </w:tcBorders>
          </w:tcPr>
          <w:p w14:paraId="3C1D4110" w14:textId="73D1B3CB" w:rsidR="00562A99" w:rsidRPr="003C08F5" w:rsidRDefault="00884DD8" w:rsidP="00562A99">
            <w:pPr>
              <w:jc w:val="center"/>
            </w:pPr>
            <w:r w:rsidRPr="003C08F5">
              <w:t>Likumprojekts neparedz stingrākas prasības</w:t>
            </w:r>
          </w:p>
        </w:tc>
      </w:tr>
      <w:tr w:rsidR="00562A99" w:rsidRPr="009A6CAD" w14:paraId="320532F3"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7AF0E783" w14:textId="46F39273" w:rsidR="00562A99" w:rsidRPr="004B1E1D" w:rsidRDefault="00562A99" w:rsidP="006612AC">
            <w:r w:rsidRPr="00070F98">
              <w:t xml:space="preserve">Direktīvas </w:t>
            </w:r>
            <w:r>
              <w:t>2018/1910</w:t>
            </w:r>
            <w:r w:rsidRPr="00070F98">
              <w:t xml:space="preserve"> </w:t>
            </w:r>
            <w:r>
              <w:t xml:space="preserve">1.panta </w:t>
            </w:r>
            <w:r w:rsidR="00376A2C">
              <w:t>4</w:t>
            </w:r>
            <w:r w:rsidRPr="008463E7">
              <w:t>.punkts</w:t>
            </w:r>
            <w:r>
              <w:t xml:space="preserve"> </w:t>
            </w:r>
            <w:r w:rsidR="006612AC">
              <w:t xml:space="preserve">(Direktīvas 2006/112/EK </w:t>
            </w:r>
            <w:r w:rsidR="00376A2C">
              <w:t>243.</w:t>
            </w:r>
            <w:r w:rsidRPr="002C2564">
              <w:t xml:space="preserve">panta </w:t>
            </w:r>
            <w:r w:rsidR="00376A2C">
              <w:t>3.punkt</w:t>
            </w:r>
            <w:r w:rsidR="006612AC">
              <w:t>s)</w:t>
            </w:r>
          </w:p>
        </w:tc>
        <w:tc>
          <w:tcPr>
            <w:tcW w:w="1232" w:type="pct"/>
            <w:gridSpan w:val="3"/>
            <w:tcBorders>
              <w:top w:val="outset" w:sz="6" w:space="0" w:color="auto"/>
              <w:left w:val="outset" w:sz="6" w:space="0" w:color="auto"/>
              <w:bottom w:val="outset" w:sz="6" w:space="0" w:color="auto"/>
              <w:right w:val="outset" w:sz="6" w:space="0" w:color="auto"/>
            </w:tcBorders>
          </w:tcPr>
          <w:p w14:paraId="06EE94BD" w14:textId="0DE503FD" w:rsidR="00562A99" w:rsidRPr="00CD3A43" w:rsidRDefault="00376A2C" w:rsidP="00A7758C">
            <w:pPr>
              <w:jc w:val="center"/>
            </w:pPr>
            <w:r w:rsidRPr="00CD3A43">
              <w:t xml:space="preserve">Likumprojekta </w:t>
            </w:r>
            <w:r w:rsidR="00A7758C">
              <w:t>1</w:t>
            </w:r>
            <w:r w:rsidR="00387BE6">
              <w:t>7</w:t>
            </w:r>
            <w:r w:rsidRPr="00CD3A43">
              <w:t>.pant</w:t>
            </w:r>
            <w:r>
              <w:t xml:space="preserve">s </w:t>
            </w:r>
            <w:r w:rsidRPr="00CD3A43">
              <w:t xml:space="preserve">(Pievienotās vērtības nodokļa </w:t>
            </w:r>
            <w:r w:rsidR="00EC4424">
              <w:t xml:space="preserve">likuma </w:t>
            </w:r>
            <w:r>
              <w:t>134.</w:t>
            </w:r>
            <w:r>
              <w:rPr>
                <w:vertAlign w:val="superscript"/>
              </w:rPr>
              <w:t xml:space="preserve"> </w:t>
            </w:r>
            <w:r>
              <w:t xml:space="preserve">panta </w:t>
            </w:r>
            <w:r w:rsidR="00224C68">
              <w:t>trešās daļas 3. un 4.punkts</w:t>
            </w:r>
            <w:r>
              <w:t>)</w:t>
            </w:r>
          </w:p>
        </w:tc>
        <w:tc>
          <w:tcPr>
            <w:tcW w:w="1232" w:type="pct"/>
            <w:gridSpan w:val="2"/>
            <w:tcBorders>
              <w:top w:val="outset" w:sz="6" w:space="0" w:color="auto"/>
              <w:left w:val="outset" w:sz="6" w:space="0" w:color="auto"/>
              <w:bottom w:val="outset" w:sz="6" w:space="0" w:color="auto"/>
              <w:right w:val="outset" w:sz="6" w:space="0" w:color="auto"/>
            </w:tcBorders>
          </w:tcPr>
          <w:p w14:paraId="09CCCBCA" w14:textId="71417055" w:rsidR="00562A99" w:rsidRPr="003C08F5" w:rsidRDefault="00A7758C" w:rsidP="00562A99">
            <w:pPr>
              <w:jc w:val="center"/>
            </w:pPr>
            <w:r>
              <w:t xml:space="preserve">Pārņemts </w:t>
            </w:r>
            <w:r w:rsidRPr="00F22AF6">
              <w:t>pilnībā</w:t>
            </w:r>
          </w:p>
        </w:tc>
        <w:tc>
          <w:tcPr>
            <w:tcW w:w="1230" w:type="pct"/>
            <w:tcBorders>
              <w:top w:val="outset" w:sz="6" w:space="0" w:color="auto"/>
              <w:left w:val="outset" w:sz="6" w:space="0" w:color="auto"/>
              <w:bottom w:val="outset" w:sz="6" w:space="0" w:color="auto"/>
              <w:right w:val="outset" w:sz="6" w:space="0" w:color="auto"/>
            </w:tcBorders>
          </w:tcPr>
          <w:p w14:paraId="10B2AF8B" w14:textId="6189E2D9" w:rsidR="00562A99" w:rsidRPr="003C08F5" w:rsidRDefault="00884DD8" w:rsidP="00562A99">
            <w:pPr>
              <w:jc w:val="center"/>
            </w:pPr>
            <w:r w:rsidRPr="003C08F5">
              <w:t>Likumprojekts neparedz stingrākas prasības</w:t>
            </w:r>
          </w:p>
        </w:tc>
      </w:tr>
      <w:tr w:rsidR="00562A99" w:rsidRPr="009A6CAD" w14:paraId="00623144"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6E90AD60" w14:textId="2606637D" w:rsidR="00562A99" w:rsidRPr="004B1E1D" w:rsidRDefault="00884DD8" w:rsidP="006612AC">
            <w:r w:rsidRPr="00070F98">
              <w:t xml:space="preserve">Direktīvas </w:t>
            </w:r>
            <w:r>
              <w:t>2018/1910</w:t>
            </w:r>
            <w:r w:rsidRPr="00070F98">
              <w:t xml:space="preserve"> </w:t>
            </w:r>
            <w:r>
              <w:t>1.panta 5</w:t>
            </w:r>
            <w:r w:rsidRPr="008463E7">
              <w:t>.punkts</w:t>
            </w:r>
            <w:r>
              <w:t xml:space="preserve"> </w:t>
            </w:r>
            <w:r w:rsidR="006612AC">
              <w:t xml:space="preserve">(Direktīvas 2006/112/EK </w:t>
            </w:r>
            <w:r>
              <w:t>262.</w:t>
            </w:r>
            <w:r w:rsidRPr="002C2564">
              <w:t>pant</w:t>
            </w:r>
            <w:r w:rsidR="006612AC">
              <w:t>s)</w:t>
            </w:r>
            <w:r w:rsidRPr="002C2564">
              <w:t xml:space="preserve"> </w:t>
            </w:r>
          </w:p>
        </w:tc>
        <w:tc>
          <w:tcPr>
            <w:tcW w:w="1232" w:type="pct"/>
            <w:gridSpan w:val="3"/>
            <w:tcBorders>
              <w:top w:val="outset" w:sz="6" w:space="0" w:color="auto"/>
              <w:left w:val="outset" w:sz="6" w:space="0" w:color="auto"/>
              <w:bottom w:val="outset" w:sz="6" w:space="0" w:color="auto"/>
              <w:right w:val="outset" w:sz="6" w:space="0" w:color="auto"/>
            </w:tcBorders>
          </w:tcPr>
          <w:p w14:paraId="3F582DC4" w14:textId="25D6BBE1" w:rsidR="00562A99" w:rsidRPr="00CD3A43" w:rsidRDefault="00A7758C" w:rsidP="003B3708">
            <w:pPr>
              <w:jc w:val="center"/>
            </w:pPr>
            <w:r w:rsidRPr="00CD3A43">
              <w:t xml:space="preserve">Likumprojekta </w:t>
            </w:r>
            <w:r w:rsidR="003B3708">
              <w:t>1</w:t>
            </w:r>
            <w:r w:rsidR="00387BE6">
              <w:t>4</w:t>
            </w:r>
            <w:r w:rsidR="00EC4424">
              <w:t>.</w:t>
            </w:r>
            <w:r w:rsidRPr="00CD3A43">
              <w:t>pant</w:t>
            </w:r>
            <w:r>
              <w:t xml:space="preserve">s </w:t>
            </w:r>
            <w:r w:rsidRPr="00CD3A43">
              <w:t>(Pievienotās vērtības nodokļa</w:t>
            </w:r>
            <w:r w:rsidR="00EC4424">
              <w:t xml:space="preserve"> likuma</w:t>
            </w:r>
            <w:r w:rsidRPr="00CD3A43">
              <w:t xml:space="preserve"> </w:t>
            </w:r>
            <w:r>
              <w:t>117.</w:t>
            </w:r>
            <w:r>
              <w:rPr>
                <w:vertAlign w:val="superscript"/>
              </w:rPr>
              <w:t xml:space="preserve"> </w:t>
            </w:r>
            <w:r>
              <w:t>panta septītā daļa)</w:t>
            </w:r>
          </w:p>
        </w:tc>
        <w:tc>
          <w:tcPr>
            <w:tcW w:w="1232" w:type="pct"/>
            <w:gridSpan w:val="2"/>
            <w:tcBorders>
              <w:top w:val="outset" w:sz="6" w:space="0" w:color="auto"/>
              <w:left w:val="outset" w:sz="6" w:space="0" w:color="auto"/>
              <w:bottom w:val="outset" w:sz="6" w:space="0" w:color="auto"/>
              <w:right w:val="outset" w:sz="6" w:space="0" w:color="auto"/>
            </w:tcBorders>
          </w:tcPr>
          <w:p w14:paraId="49CA33A8" w14:textId="77777777" w:rsidR="00A7758C" w:rsidRDefault="00A7758C" w:rsidP="00A7758C">
            <w:pPr>
              <w:jc w:val="center"/>
            </w:pPr>
            <w:r w:rsidRPr="00884DD8">
              <w:t xml:space="preserve">Pārņemts daļēji, jo kopsavilkuma paziņojumā norādāma informācija tiks atspoguļota, veicot grozījumus </w:t>
            </w:r>
            <w:r>
              <w:t>Ministru kabineta 2013.gada 15.janvāra noteikumos Nr.40 “Noteikumi par pievienotās vērtības nodokļa deklarācijām”.</w:t>
            </w:r>
          </w:p>
          <w:p w14:paraId="34E095A4" w14:textId="6207F7A0" w:rsidR="00562A99" w:rsidRPr="003C08F5" w:rsidRDefault="00A7758C" w:rsidP="00A7758C">
            <w:pPr>
              <w:jc w:val="center"/>
            </w:pPr>
            <w:r>
              <w:t>Atbildīgā institūcija  -Finanšu ministrija</w:t>
            </w:r>
          </w:p>
        </w:tc>
        <w:tc>
          <w:tcPr>
            <w:tcW w:w="1230" w:type="pct"/>
            <w:tcBorders>
              <w:top w:val="outset" w:sz="6" w:space="0" w:color="auto"/>
              <w:left w:val="outset" w:sz="6" w:space="0" w:color="auto"/>
              <w:bottom w:val="outset" w:sz="6" w:space="0" w:color="auto"/>
              <w:right w:val="outset" w:sz="6" w:space="0" w:color="auto"/>
            </w:tcBorders>
          </w:tcPr>
          <w:p w14:paraId="26D97B76" w14:textId="1B80F025" w:rsidR="00562A99" w:rsidRPr="003C08F5" w:rsidRDefault="00A7758C" w:rsidP="00562A99">
            <w:pPr>
              <w:jc w:val="center"/>
            </w:pPr>
            <w:r w:rsidRPr="003C08F5">
              <w:t>Likumprojekts neparedz stingrākas prasības</w:t>
            </w:r>
          </w:p>
        </w:tc>
      </w:tr>
      <w:tr w:rsidR="00562A99" w:rsidRPr="009A6CAD" w14:paraId="0DAD64A1"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5208B78C" w14:textId="7AB50F8D" w:rsidR="00562A99" w:rsidRPr="004B1E1D" w:rsidRDefault="00A7758C" w:rsidP="006612AC">
            <w:r w:rsidRPr="00070F98">
              <w:t xml:space="preserve">Direktīvas </w:t>
            </w:r>
            <w:r>
              <w:t>2018/1910</w:t>
            </w:r>
            <w:r w:rsidRPr="00070F98">
              <w:t xml:space="preserve"> </w:t>
            </w:r>
            <w:r>
              <w:t>1.panta 6</w:t>
            </w:r>
            <w:r w:rsidRPr="008463E7">
              <w:t>.punkts</w:t>
            </w:r>
            <w:r>
              <w:t xml:space="preserve"> </w:t>
            </w:r>
            <w:r w:rsidR="006612AC">
              <w:t xml:space="preserve">(Direktīvas 2006/112/EK </w:t>
            </w:r>
            <w:r>
              <w:t>403. un 404.pant</w:t>
            </w:r>
            <w:r w:rsidR="006612AC">
              <w:t>s)</w:t>
            </w:r>
          </w:p>
        </w:tc>
        <w:tc>
          <w:tcPr>
            <w:tcW w:w="1232" w:type="pct"/>
            <w:gridSpan w:val="3"/>
            <w:tcBorders>
              <w:top w:val="outset" w:sz="6" w:space="0" w:color="auto"/>
              <w:left w:val="outset" w:sz="6" w:space="0" w:color="auto"/>
              <w:bottom w:val="outset" w:sz="6" w:space="0" w:color="auto"/>
              <w:right w:val="outset" w:sz="6" w:space="0" w:color="auto"/>
            </w:tcBorders>
          </w:tcPr>
          <w:p w14:paraId="33765865" w14:textId="1BDD93D6" w:rsidR="00562A99" w:rsidRPr="00CD3A43" w:rsidRDefault="00A7758C" w:rsidP="00A7758C">
            <w:pPr>
              <w:jc w:val="center"/>
            </w:pPr>
            <w:r>
              <w:t>Norma netiek pārņemta, jo attiecas tikai uz Eiropas Komisijas un Padomes pienākumiem</w:t>
            </w:r>
          </w:p>
        </w:tc>
        <w:tc>
          <w:tcPr>
            <w:tcW w:w="1232" w:type="pct"/>
            <w:gridSpan w:val="2"/>
            <w:tcBorders>
              <w:top w:val="outset" w:sz="6" w:space="0" w:color="auto"/>
              <w:left w:val="outset" w:sz="6" w:space="0" w:color="auto"/>
              <w:bottom w:val="outset" w:sz="6" w:space="0" w:color="auto"/>
              <w:right w:val="outset" w:sz="6" w:space="0" w:color="auto"/>
            </w:tcBorders>
          </w:tcPr>
          <w:p w14:paraId="5E29D715" w14:textId="77777777" w:rsidR="00562A99" w:rsidRPr="003C08F5" w:rsidRDefault="00562A99" w:rsidP="00562A99">
            <w:pPr>
              <w:jc w:val="center"/>
            </w:pPr>
          </w:p>
        </w:tc>
        <w:tc>
          <w:tcPr>
            <w:tcW w:w="1230" w:type="pct"/>
            <w:tcBorders>
              <w:top w:val="outset" w:sz="6" w:space="0" w:color="auto"/>
              <w:left w:val="outset" w:sz="6" w:space="0" w:color="auto"/>
              <w:bottom w:val="outset" w:sz="6" w:space="0" w:color="auto"/>
              <w:right w:val="outset" w:sz="6" w:space="0" w:color="auto"/>
            </w:tcBorders>
          </w:tcPr>
          <w:p w14:paraId="062D29E8" w14:textId="77777777" w:rsidR="00562A99" w:rsidRPr="003C08F5" w:rsidRDefault="00562A99" w:rsidP="00562A99">
            <w:pPr>
              <w:jc w:val="center"/>
            </w:pPr>
          </w:p>
        </w:tc>
      </w:tr>
      <w:tr w:rsidR="00B10E1E" w:rsidRPr="009A6CAD" w14:paraId="24402644" w14:textId="77777777" w:rsidTr="00EC4424">
        <w:trPr>
          <w:cantSplit/>
        </w:trPr>
        <w:tc>
          <w:tcPr>
            <w:tcW w:w="1306" w:type="pct"/>
            <w:hideMark/>
          </w:tcPr>
          <w:p w14:paraId="11C14579" w14:textId="77777777" w:rsidR="00B10E1E" w:rsidRPr="00FD57A5" w:rsidRDefault="00B10E1E" w:rsidP="00CB7AAC">
            <w:r w:rsidRPr="00FD57A5">
              <w:t>Cita informācija</w:t>
            </w:r>
          </w:p>
        </w:tc>
        <w:tc>
          <w:tcPr>
            <w:tcW w:w="3694" w:type="pct"/>
            <w:gridSpan w:val="6"/>
            <w:hideMark/>
          </w:tcPr>
          <w:p w14:paraId="3E92E3F6" w14:textId="77777777" w:rsidR="00B10E1E" w:rsidRPr="00FD57A5" w:rsidRDefault="00B10E1E" w:rsidP="00CB7AAC">
            <w:pPr>
              <w:jc w:val="both"/>
            </w:pPr>
            <w:r>
              <w:t>Nav</w:t>
            </w:r>
          </w:p>
        </w:tc>
      </w:tr>
      <w:tr w:rsidR="00734125" w:rsidRPr="009A6CAD" w14:paraId="19EDFB4E"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378E7174" w14:textId="11163E8F" w:rsidR="00734125" w:rsidRPr="00070F98" w:rsidRDefault="00734125" w:rsidP="006612AC">
            <w:pPr>
              <w:jc w:val="both"/>
            </w:pPr>
            <w:r w:rsidRPr="0060687F">
              <w:t>Attiecīgā ES tiesību akta datums, numurs un nosaukums</w:t>
            </w:r>
          </w:p>
        </w:tc>
        <w:tc>
          <w:tcPr>
            <w:tcW w:w="3694" w:type="pct"/>
            <w:gridSpan w:val="6"/>
            <w:tcBorders>
              <w:top w:val="outset" w:sz="6" w:space="0" w:color="auto"/>
              <w:left w:val="outset" w:sz="6" w:space="0" w:color="auto"/>
              <w:bottom w:val="outset" w:sz="6" w:space="0" w:color="auto"/>
              <w:right w:val="outset" w:sz="6" w:space="0" w:color="auto"/>
            </w:tcBorders>
          </w:tcPr>
          <w:p w14:paraId="25AA8646" w14:textId="13AFC130" w:rsidR="00734125" w:rsidRPr="003C08F5" w:rsidRDefault="00734125" w:rsidP="006612AC">
            <w:pPr>
              <w:jc w:val="both"/>
            </w:pPr>
            <w:r w:rsidRPr="00734125">
              <w:t>Padomes</w:t>
            </w:r>
            <w:r>
              <w:t xml:space="preserve"> 2019.gada 18.februāra direktīv</w:t>
            </w:r>
            <w:r w:rsidRPr="00734125">
              <w:t>a (ES) 2019/475, ar ko groza Direktīvas 2006/112/EK un 2008/118/EK attiecībā uz Itālijas pašvaldības Campione d'Italia un Lugāno ezera Itālijas ūdeņu iekļaušanu Savienības muitas teritorijā un Direktīvas 2008/118/EK teritoriālajā piemērošanā</w:t>
            </w:r>
          </w:p>
        </w:tc>
      </w:tr>
      <w:tr w:rsidR="00734125" w:rsidRPr="009A6CAD" w14:paraId="5D47ACE0"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497D4EDB" w14:textId="75397292" w:rsidR="00734125" w:rsidRPr="0060687F" w:rsidRDefault="00734125" w:rsidP="00734125">
            <w:r w:rsidRPr="00475F1D">
              <w:t>A</w:t>
            </w:r>
          </w:p>
        </w:tc>
        <w:tc>
          <w:tcPr>
            <w:tcW w:w="1232" w:type="pct"/>
            <w:gridSpan w:val="3"/>
            <w:tcBorders>
              <w:top w:val="outset" w:sz="6" w:space="0" w:color="auto"/>
              <w:left w:val="outset" w:sz="6" w:space="0" w:color="auto"/>
              <w:bottom w:val="outset" w:sz="6" w:space="0" w:color="auto"/>
              <w:right w:val="outset" w:sz="6" w:space="0" w:color="auto"/>
            </w:tcBorders>
          </w:tcPr>
          <w:p w14:paraId="6746F375" w14:textId="37ED3630" w:rsidR="00734125" w:rsidRPr="0060687F" w:rsidRDefault="00734125" w:rsidP="00734125">
            <w:pPr>
              <w:jc w:val="center"/>
            </w:pPr>
            <w:r w:rsidRPr="00475F1D">
              <w:t>B</w:t>
            </w:r>
          </w:p>
        </w:tc>
        <w:tc>
          <w:tcPr>
            <w:tcW w:w="1232" w:type="pct"/>
            <w:gridSpan w:val="2"/>
            <w:tcBorders>
              <w:top w:val="outset" w:sz="6" w:space="0" w:color="auto"/>
              <w:left w:val="outset" w:sz="6" w:space="0" w:color="auto"/>
              <w:bottom w:val="outset" w:sz="6" w:space="0" w:color="auto"/>
              <w:right w:val="outset" w:sz="6" w:space="0" w:color="auto"/>
            </w:tcBorders>
          </w:tcPr>
          <w:p w14:paraId="27F6CFC8" w14:textId="22449FB0" w:rsidR="00734125" w:rsidRPr="003C08F5" w:rsidRDefault="00734125" w:rsidP="00734125">
            <w:pPr>
              <w:jc w:val="center"/>
            </w:pPr>
            <w:r w:rsidRPr="00475F1D">
              <w:t>C</w:t>
            </w:r>
          </w:p>
        </w:tc>
        <w:tc>
          <w:tcPr>
            <w:tcW w:w="1230" w:type="pct"/>
            <w:tcBorders>
              <w:top w:val="outset" w:sz="6" w:space="0" w:color="auto"/>
              <w:left w:val="outset" w:sz="6" w:space="0" w:color="auto"/>
              <w:bottom w:val="outset" w:sz="6" w:space="0" w:color="auto"/>
              <w:right w:val="outset" w:sz="6" w:space="0" w:color="auto"/>
            </w:tcBorders>
          </w:tcPr>
          <w:p w14:paraId="428E044C" w14:textId="3DAEEB05" w:rsidR="00734125" w:rsidRPr="003C08F5" w:rsidRDefault="00734125" w:rsidP="00734125">
            <w:pPr>
              <w:jc w:val="center"/>
            </w:pPr>
            <w:r w:rsidRPr="00475F1D">
              <w:t>D</w:t>
            </w:r>
          </w:p>
        </w:tc>
      </w:tr>
      <w:tr w:rsidR="00734125" w:rsidRPr="009A6CAD" w14:paraId="702A719E" w14:textId="77777777" w:rsidTr="00EC4424">
        <w:trPr>
          <w:cantSplit/>
        </w:trPr>
        <w:tc>
          <w:tcPr>
            <w:tcW w:w="5000" w:type="pct"/>
            <w:gridSpan w:val="7"/>
            <w:tcBorders>
              <w:top w:val="outset" w:sz="6" w:space="0" w:color="auto"/>
              <w:left w:val="outset" w:sz="6" w:space="0" w:color="auto"/>
              <w:bottom w:val="outset" w:sz="6" w:space="0" w:color="auto"/>
              <w:right w:val="outset" w:sz="6" w:space="0" w:color="auto"/>
            </w:tcBorders>
          </w:tcPr>
          <w:p w14:paraId="5C84DD4B" w14:textId="1AC33FD0" w:rsidR="00734125" w:rsidRPr="003C08F5" w:rsidRDefault="00734125" w:rsidP="00734125">
            <w:pPr>
              <w:jc w:val="center"/>
            </w:pPr>
            <w:r>
              <w:t>Direktīvas 2019/475</w:t>
            </w:r>
            <w:r w:rsidRPr="00475F1D">
              <w:t xml:space="preserve"> 1.pants</w:t>
            </w:r>
          </w:p>
        </w:tc>
      </w:tr>
      <w:tr w:rsidR="00734125" w:rsidRPr="009A6CAD" w14:paraId="6E66378B" w14:textId="77777777" w:rsidTr="00EC4424">
        <w:trPr>
          <w:cantSplit/>
          <w:trHeight w:val="135"/>
        </w:trPr>
        <w:tc>
          <w:tcPr>
            <w:tcW w:w="1306" w:type="pct"/>
            <w:tcBorders>
              <w:top w:val="outset" w:sz="6" w:space="0" w:color="auto"/>
              <w:left w:val="outset" w:sz="6" w:space="0" w:color="auto"/>
              <w:bottom w:val="outset" w:sz="6" w:space="0" w:color="auto"/>
              <w:right w:val="outset" w:sz="6" w:space="0" w:color="auto"/>
            </w:tcBorders>
          </w:tcPr>
          <w:p w14:paraId="5AD8D5CF" w14:textId="771285FC" w:rsidR="00734125" w:rsidRDefault="00734125" w:rsidP="00F95758">
            <w:pPr>
              <w:jc w:val="center"/>
            </w:pPr>
            <w:r w:rsidRPr="00070F98">
              <w:t xml:space="preserve">Direktīvas </w:t>
            </w:r>
            <w:r>
              <w:t>2019/475</w:t>
            </w:r>
            <w:r w:rsidRPr="00070F98">
              <w:t xml:space="preserve"> </w:t>
            </w:r>
            <w:r w:rsidRPr="001F1E2A">
              <w:t>1.pant</w:t>
            </w:r>
            <w:r w:rsidR="007029E5">
              <w:t>s</w:t>
            </w:r>
            <w:r w:rsidRPr="001F1E2A">
              <w:t xml:space="preserve"> </w:t>
            </w:r>
          </w:p>
          <w:p w14:paraId="33347526" w14:textId="1BCD58AE" w:rsidR="00E11F6B" w:rsidRDefault="00E11F6B" w:rsidP="00F95758">
            <w:pPr>
              <w:jc w:val="center"/>
            </w:pPr>
            <w:r>
              <w:t>(Direktīvas 2006/112/EK 6.panta 1.punkta “f” un “g” apakšpunkts)</w:t>
            </w:r>
          </w:p>
        </w:tc>
        <w:tc>
          <w:tcPr>
            <w:tcW w:w="1194" w:type="pct"/>
            <w:gridSpan w:val="2"/>
            <w:tcBorders>
              <w:top w:val="outset" w:sz="6" w:space="0" w:color="auto"/>
              <w:left w:val="outset" w:sz="6" w:space="0" w:color="auto"/>
              <w:bottom w:val="outset" w:sz="6" w:space="0" w:color="auto"/>
              <w:right w:val="outset" w:sz="6" w:space="0" w:color="auto"/>
            </w:tcBorders>
          </w:tcPr>
          <w:p w14:paraId="7E7F0B71" w14:textId="550548E6" w:rsidR="00734125" w:rsidRDefault="00734125" w:rsidP="00155043">
            <w:pPr>
              <w:jc w:val="center"/>
            </w:pPr>
            <w:r>
              <w:t>Likumprojekta 1.pant</w:t>
            </w:r>
            <w:r w:rsidR="00155043">
              <w:t>s</w:t>
            </w:r>
            <w:r>
              <w:t xml:space="preserve"> (Pievienotās vērtības nodokļa likuma </w:t>
            </w:r>
            <w:r w:rsidR="00BD0173">
              <w:t>1</w:t>
            </w:r>
            <w:r w:rsidRPr="00F22AF6">
              <w:t xml:space="preserve">.panta </w:t>
            </w:r>
            <w:r w:rsidR="00BD0173">
              <w:t>28.</w:t>
            </w:r>
            <w:r>
              <w:rPr>
                <w:vertAlign w:val="superscript"/>
              </w:rPr>
              <w:t xml:space="preserve"> </w:t>
            </w:r>
            <w:r w:rsidR="00BD0173">
              <w:t>punkt</w:t>
            </w:r>
            <w:r w:rsidR="00155043">
              <w:t>s</w:t>
            </w:r>
            <w:r w:rsidR="00BD0173">
              <w:t xml:space="preserve"> </w:t>
            </w:r>
          </w:p>
        </w:tc>
        <w:tc>
          <w:tcPr>
            <w:tcW w:w="1250" w:type="pct"/>
            <w:gridSpan w:val="2"/>
            <w:tcBorders>
              <w:top w:val="outset" w:sz="6" w:space="0" w:color="auto"/>
              <w:left w:val="outset" w:sz="6" w:space="0" w:color="auto"/>
              <w:bottom w:val="outset" w:sz="6" w:space="0" w:color="auto"/>
              <w:right w:val="outset" w:sz="6" w:space="0" w:color="auto"/>
            </w:tcBorders>
          </w:tcPr>
          <w:p w14:paraId="6AE6E9AE" w14:textId="7E61B505" w:rsidR="00734125" w:rsidRDefault="00734125" w:rsidP="00734125">
            <w:pPr>
              <w:jc w:val="center"/>
            </w:pPr>
            <w:r>
              <w:t xml:space="preserve">Pārņemts </w:t>
            </w:r>
            <w:r w:rsidRPr="00F22AF6">
              <w:t xml:space="preserve">pilnībā </w:t>
            </w:r>
          </w:p>
        </w:tc>
        <w:tc>
          <w:tcPr>
            <w:tcW w:w="1250" w:type="pct"/>
            <w:gridSpan w:val="2"/>
            <w:tcBorders>
              <w:top w:val="outset" w:sz="6" w:space="0" w:color="auto"/>
              <w:left w:val="outset" w:sz="6" w:space="0" w:color="auto"/>
              <w:bottom w:val="outset" w:sz="6" w:space="0" w:color="auto"/>
              <w:right w:val="outset" w:sz="6" w:space="0" w:color="auto"/>
            </w:tcBorders>
          </w:tcPr>
          <w:p w14:paraId="416F85A1" w14:textId="056A788E" w:rsidR="00734125" w:rsidRDefault="00734125" w:rsidP="00734125">
            <w:pPr>
              <w:jc w:val="center"/>
            </w:pPr>
            <w:r w:rsidRPr="00F22AF6">
              <w:t>Likumprojekts neparedz stingrākas prasības</w:t>
            </w:r>
          </w:p>
        </w:tc>
      </w:tr>
      <w:tr w:rsidR="00562A99" w:rsidRPr="009A6CAD" w14:paraId="199E7F38" w14:textId="77777777" w:rsidTr="00EC4424">
        <w:trPr>
          <w:cantSplit/>
        </w:trPr>
        <w:tc>
          <w:tcPr>
            <w:tcW w:w="1306" w:type="pct"/>
            <w:hideMark/>
          </w:tcPr>
          <w:p w14:paraId="1F3FA2DA" w14:textId="77777777" w:rsidR="00562A99" w:rsidRPr="00F22AF6" w:rsidRDefault="00562A99" w:rsidP="00562A99">
            <w:r w:rsidRPr="00F22AF6">
              <w:lastRenderedPageBreak/>
              <w:t>Kā ir izmantota ES tiesību aktā paredzētā rīcības brīvība dalībvalstij pārņemt vai ieviest noteiktas ES tiesību akta normas? Kādēļ?</w:t>
            </w:r>
          </w:p>
        </w:tc>
        <w:tc>
          <w:tcPr>
            <w:tcW w:w="3694" w:type="pct"/>
            <w:gridSpan w:val="6"/>
            <w:hideMark/>
          </w:tcPr>
          <w:p w14:paraId="6757427C" w14:textId="764B683F" w:rsidR="00562A99" w:rsidRPr="00F22AF6" w:rsidRDefault="00562A99" w:rsidP="00562A99">
            <w:r w:rsidRPr="00F22AF6">
              <w:t>Projekts šo jomu neskar.</w:t>
            </w:r>
          </w:p>
        </w:tc>
      </w:tr>
      <w:tr w:rsidR="00562A99" w:rsidRPr="009A6CAD" w14:paraId="0624FC89" w14:textId="77777777" w:rsidTr="00EC4424">
        <w:trPr>
          <w:cantSplit/>
        </w:trPr>
        <w:tc>
          <w:tcPr>
            <w:tcW w:w="1306" w:type="pct"/>
            <w:hideMark/>
          </w:tcPr>
          <w:p w14:paraId="70833798" w14:textId="77777777" w:rsidR="00562A99" w:rsidRPr="00FD57A5" w:rsidRDefault="00562A99" w:rsidP="00562A99">
            <w:r w:rsidRPr="00FD57A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94" w:type="pct"/>
            <w:gridSpan w:val="6"/>
            <w:hideMark/>
          </w:tcPr>
          <w:p w14:paraId="74F8C185" w14:textId="71A1FFEF" w:rsidR="00562A99" w:rsidRPr="00FD57A5" w:rsidRDefault="00562A99" w:rsidP="00562A99">
            <w:pPr>
              <w:jc w:val="both"/>
            </w:pPr>
            <w:r w:rsidRPr="004D28F0">
              <w:t>Projekts šo jomu neskar.</w:t>
            </w:r>
          </w:p>
        </w:tc>
      </w:tr>
      <w:tr w:rsidR="00B10E1E" w:rsidRPr="009A6CAD" w14:paraId="032ACC55" w14:textId="77777777" w:rsidTr="00EC4424">
        <w:trPr>
          <w:cantSplit/>
        </w:trPr>
        <w:tc>
          <w:tcPr>
            <w:tcW w:w="1306" w:type="pct"/>
            <w:hideMark/>
          </w:tcPr>
          <w:p w14:paraId="27C350E2" w14:textId="77777777" w:rsidR="00B10E1E" w:rsidRPr="00FD57A5" w:rsidRDefault="00B10E1E" w:rsidP="00CB7AAC">
            <w:r w:rsidRPr="00FD57A5">
              <w:t>Cita informācija</w:t>
            </w:r>
          </w:p>
        </w:tc>
        <w:tc>
          <w:tcPr>
            <w:tcW w:w="3694" w:type="pct"/>
            <w:gridSpan w:val="6"/>
            <w:hideMark/>
          </w:tcPr>
          <w:p w14:paraId="0B02BD74" w14:textId="77777777" w:rsidR="00B10E1E" w:rsidRPr="00FD57A5" w:rsidRDefault="00B10E1E" w:rsidP="00CB7AAC">
            <w:pPr>
              <w:jc w:val="both"/>
            </w:pPr>
            <w:r>
              <w:t>Nav</w:t>
            </w:r>
          </w:p>
        </w:tc>
      </w:tr>
      <w:tr w:rsidR="00B10E1E" w:rsidRPr="00B10E1E" w14:paraId="6E2AEB9C"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5C76F3D9" w14:textId="77777777" w:rsidR="00B10E1E" w:rsidRPr="00B10E1E" w:rsidRDefault="00B10E1E" w:rsidP="00CB7AAC">
            <w:pPr>
              <w:jc w:val="both"/>
            </w:pPr>
            <w:r w:rsidRPr="00B10E1E">
              <w:t>Attiecīgā ES tiesību akta datums, numurs un nosaukums</w:t>
            </w:r>
          </w:p>
        </w:tc>
        <w:tc>
          <w:tcPr>
            <w:tcW w:w="3694" w:type="pct"/>
            <w:gridSpan w:val="6"/>
            <w:tcBorders>
              <w:top w:val="outset" w:sz="6" w:space="0" w:color="auto"/>
              <w:left w:val="outset" w:sz="6" w:space="0" w:color="auto"/>
              <w:bottom w:val="outset" w:sz="6" w:space="0" w:color="auto"/>
              <w:right w:val="outset" w:sz="6" w:space="0" w:color="auto"/>
            </w:tcBorders>
          </w:tcPr>
          <w:p w14:paraId="5A75A43F" w14:textId="70E3F51D" w:rsidR="00B10E1E" w:rsidRPr="00B10E1E" w:rsidRDefault="00B10E1E" w:rsidP="001E1A8C">
            <w:pPr>
              <w:jc w:val="both"/>
            </w:pPr>
            <w:r w:rsidRPr="00B10E1E">
              <w:t>Padomes 2006.gada 28.novembra direktīva 2006/112</w:t>
            </w:r>
            <w:r w:rsidR="00D73212">
              <w:t>/</w:t>
            </w:r>
            <w:r w:rsidRPr="00B10E1E">
              <w:t>EK par kopēj</w:t>
            </w:r>
            <w:r w:rsidR="001E1A8C">
              <w:t>o</w:t>
            </w:r>
            <w:r w:rsidRPr="00B10E1E">
              <w:t xml:space="preserve"> pievienotās vērtības nodokļa sistēmu</w:t>
            </w:r>
          </w:p>
        </w:tc>
      </w:tr>
      <w:tr w:rsidR="00B10E1E" w:rsidRPr="00B10E1E" w14:paraId="0C9CBD8F" w14:textId="77777777" w:rsidTr="00EC4424">
        <w:trPr>
          <w:cantSplit/>
        </w:trPr>
        <w:tc>
          <w:tcPr>
            <w:tcW w:w="1306" w:type="pct"/>
            <w:tcBorders>
              <w:top w:val="outset" w:sz="6" w:space="0" w:color="auto"/>
              <w:left w:val="outset" w:sz="6" w:space="0" w:color="auto"/>
              <w:bottom w:val="outset" w:sz="6" w:space="0" w:color="auto"/>
              <w:right w:val="outset" w:sz="6" w:space="0" w:color="auto"/>
            </w:tcBorders>
          </w:tcPr>
          <w:p w14:paraId="7F9DC0FF" w14:textId="77777777" w:rsidR="00B10E1E" w:rsidRPr="00B10E1E" w:rsidRDefault="00B10E1E" w:rsidP="00CB7AAC">
            <w:r w:rsidRPr="00B10E1E">
              <w:t>A</w:t>
            </w:r>
          </w:p>
        </w:tc>
        <w:tc>
          <w:tcPr>
            <w:tcW w:w="1232" w:type="pct"/>
            <w:gridSpan w:val="3"/>
            <w:tcBorders>
              <w:top w:val="outset" w:sz="6" w:space="0" w:color="auto"/>
              <w:left w:val="outset" w:sz="6" w:space="0" w:color="auto"/>
              <w:bottom w:val="outset" w:sz="6" w:space="0" w:color="auto"/>
              <w:right w:val="outset" w:sz="6" w:space="0" w:color="auto"/>
            </w:tcBorders>
          </w:tcPr>
          <w:p w14:paraId="6201E441" w14:textId="77777777" w:rsidR="00B10E1E" w:rsidRPr="00B10E1E" w:rsidRDefault="00B10E1E" w:rsidP="00CB7AAC">
            <w:pPr>
              <w:jc w:val="center"/>
            </w:pPr>
            <w:r w:rsidRPr="00B10E1E">
              <w:t>B</w:t>
            </w:r>
          </w:p>
        </w:tc>
        <w:tc>
          <w:tcPr>
            <w:tcW w:w="1232" w:type="pct"/>
            <w:gridSpan w:val="2"/>
            <w:tcBorders>
              <w:top w:val="outset" w:sz="6" w:space="0" w:color="auto"/>
              <w:left w:val="outset" w:sz="6" w:space="0" w:color="auto"/>
              <w:bottom w:val="outset" w:sz="6" w:space="0" w:color="auto"/>
              <w:right w:val="outset" w:sz="6" w:space="0" w:color="auto"/>
            </w:tcBorders>
          </w:tcPr>
          <w:p w14:paraId="7D9E87EC" w14:textId="77777777" w:rsidR="00B10E1E" w:rsidRPr="00B10E1E" w:rsidRDefault="00B10E1E" w:rsidP="00CB7AAC">
            <w:pPr>
              <w:jc w:val="center"/>
            </w:pPr>
            <w:r w:rsidRPr="00B10E1E">
              <w:t>C</w:t>
            </w:r>
          </w:p>
        </w:tc>
        <w:tc>
          <w:tcPr>
            <w:tcW w:w="1230" w:type="pct"/>
            <w:tcBorders>
              <w:top w:val="outset" w:sz="6" w:space="0" w:color="auto"/>
              <w:left w:val="outset" w:sz="6" w:space="0" w:color="auto"/>
              <w:bottom w:val="outset" w:sz="6" w:space="0" w:color="auto"/>
              <w:right w:val="outset" w:sz="6" w:space="0" w:color="auto"/>
            </w:tcBorders>
          </w:tcPr>
          <w:p w14:paraId="45D161AB" w14:textId="77777777" w:rsidR="00B10E1E" w:rsidRPr="00B10E1E" w:rsidRDefault="00B10E1E" w:rsidP="00CB7AAC">
            <w:pPr>
              <w:jc w:val="center"/>
            </w:pPr>
            <w:r w:rsidRPr="00B10E1E">
              <w:t>D</w:t>
            </w:r>
          </w:p>
        </w:tc>
      </w:tr>
      <w:tr w:rsidR="00B10E1E" w:rsidRPr="00B10E1E" w14:paraId="27B23867" w14:textId="77777777" w:rsidTr="00EC4424">
        <w:trPr>
          <w:cantSplit/>
        </w:trPr>
        <w:tc>
          <w:tcPr>
            <w:tcW w:w="5000" w:type="pct"/>
            <w:gridSpan w:val="7"/>
            <w:tcBorders>
              <w:top w:val="outset" w:sz="6" w:space="0" w:color="auto"/>
              <w:left w:val="outset" w:sz="6" w:space="0" w:color="auto"/>
              <w:bottom w:val="outset" w:sz="6" w:space="0" w:color="auto"/>
              <w:right w:val="outset" w:sz="6" w:space="0" w:color="auto"/>
            </w:tcBorders>
          </w:tcPr>
          <w:p w14:paraId="7420C1A8" w14:textId="16581552" w:rsidR="00B10E1E" w:rsidRPr="00B10E1E" w:rsidRDefault="00B10E1E" w:rsidP="00B10E1E">
            <w:pPr>
              <w:jc w:val="center"/>
            </w:pPr>
            <w:r w:rsidRPr="00B10E1E">
              <w:t>Direktīva 2006/112/EK</w:t>
            </w:r>
          </w:p>
        </w:tc>
      </w:tr>
      <w:tr w:rsidR="00EC4424" w:rsidRPr="00B10E1E" w14:paraId="24D4A641" w14:textId="77777777" w:rsidTr="00EC4424">
        <w:trPr>
          <w:cantSplit/>
          <w:trHeight w:val="135"/>
        </w:trPr>
        <w:tc>
          <w:tcPr>
            <w:tcW w:w="1306" w:type="pct"/>
            <w:tcBorders>
              <w:top w:val="outset" w:sz="6" w:space="0" w:color="auto"/>
              <w:left w:val="outset" w:sz="6" w:space="0" w:color="auto"/>
              <w:bottom w:val="outset" w:sz="6" w:space="0" w:color="auto"/>
              <w:right w:val="outset" w:sz="6" w:space="0" w:color="auto"/>
            </w:tcBorders>
          </w:tcPr>
          <w:p w14:paraId="2AEF8FE1" w14:textId="46418AE6" w:rsidR="00EC4424" w:rsidRPr="00FA2651" w:rsidRDefault="00EC4424" w:rsidP="00EC4424">
            <w:pPr>
              <w:jc w:val="center"/>
            </w:pPr>
            <w:r w:rsidRPr="00FA2651">
              <w:t>Direktīvas 2006/112/EK 132.panta “b”, “c” apakšpunkts</w:t>
            </w:r>
          </w:p>
        </w:tc>
        <w:tc>
          <w:tcPr>
            <w:tcW w:w="1194" w:type="pct"/>
            <w:gridSpan w:val="2"/>
            <w:tcBorders>
              <w:top w:val="outset" w:sz="6" w:space="0" w:color="auto"/>
              <w:left w:val="outset" w:sz="6" w:space="0" w:color="auto"/>
              <w:bottom w:val="outset" w:sz="6" w:space="0" w:color="auto"/>
              <w:right w:val="outset" w:sz="6" w:space="0" w:color="auto"/>
            </w:tcBorders>
          </w:tcPr>
          <w:p w14:paraId="436F6868" w14:textId="5FB180BE" w:rsidR="00EC4424" w:rsidRPr="00FA2651" w:rsidRDefault="00EC4424" w:rsidP="00155043">
            <w:pPr>
              <w:jc w:val="center"/>
            </w:pPr>
            <w:r w:rsidRPr="00FA2651">
              <w:t xml:space="preserve">Likumprojekta </w:t>
            </w:r>
            <w:r w:rsidR="00155043">
              <w:t>8</w:t>
            </w:r>
            <w:r w:rsidRPr="00FA2651">
              <w:t>.</w:t>
            </w:r>
            <w:r w:rsidR="00F25ADB" w:rsidRPr="00FA2651">
              <w:t xml:space="preserve">panta pirmā daļa </w:t>
            </w:r>
            <w:r w:rsidRPr="00FA2651">
              <w:t xml:space="preserve">(Pievienotās vērtības nodokļa likuma 52.panta </w:t>
            </w:r>
            <w:r w:rsidR="00F25ADB" w:rsidRPr="00FA2651">
              <w:t xml:space="preserve">pirmās daļas  </w:t>
            </w:r>
            <w:r w:rsidR="009E5098" w:rsidRPr="00FA2651">
              <w:t>3.</w:t>
            </w:r>
            <w:r w:rsidR="00F25ADB" w:rsidRPr="00FA2651">
              <w:t>punkts</w:t>
            </w:r>
          </w:p>
        </w:tc>
        <w:tc>
          <w:tcPr>
            <w:tcW w:w="1250" w:type="pct"/>
            <w:gridSpan w:val="2"/>
            <w:tcBorders>
              <w:top w:val="outset" w:sz="6" w:space="0" w:color="auto"/>
              <w:left w:val="outset" w:sz="6" w:space="0" w:color="auto"/>
              <w:bottom w:val="outset" w:sz="6" w:space="0" w:color="auto"/>
              <w:right w:val="outset" w:sz="6" w:space="0" w:color="auto"/>
            </w:tcBorders>
          </w:tcPr>
          <w:p w14:paraId="5B800573" w14:textId="77777777" w:rsidR="00EC4424" w:rsidRDefault="00EC4424" w:rsidP="00EC4424">
            <w:pPr>
              <w:jc w:val="center"/>
            </w:pPr>
            <w:r w:rsidRPr="00884DD8">
              <w:t xml:space="preserve">Pārņemts </w:t>
            </w:r>
            <w:r>
              <w:t xml:space="preserve">pilnībā </w:t>
            </w:r>
          </w:p>
          <w:p w14:paraId="24052411" w14:textId="7CBD7202" w:rsidR="00EC4424" w:rsidRPr="00B10E1E" w:rsidRDefault="00EC4424" w:rsidP="00EC4424">
            <w:pPr>
              <w:jc w:val="center"/>
              <w:rPr>
                <w:color w:val="FF0000"/>
              </w:rPr>
            </w:pPr>
          </w:p>
        </w:tc>
        <w:tc>
          <w:tcPr>
            <w:tcW w:w="1250" w:type="pct"/>
            <w:gridSpan w:val="2"/>
            <w:tcBorders>
              <w:top w:val="outset" w:sz="6" w:space="0" w:color="auto"/>
              <w:left w:val="outset" w:sz="6" w:space="0" w:color="auto"/>
              <w:bottom w:val="outset" w:sz="6" w:space="0" w:color="auto"/>
              <w:right w:val="outset" w:sz="6" w:space="0" w:color="auto"/>
            </w:tcBorders>
          </w:tcPr>
          <w:p w14:paraId="7445622F" w14:textId="595DE74A" w:rsidR="00EC4424" w:rsidRPr="00B10E1E" w:rsidRDefault="00EC4424" w:rsidP="00EC4424">
            <w:pPr>
              <w:jc w:val="center"/>
              <w:rPr>
                <w:color w:val="FF0000"/>
              </w:rPr>
            </w:pPr>
            <w:r w:rsidRPr="001F1E2A">
              <w:t>Likumprojekts neparedz stingrākas prasības</w:t>
            </w:r>
          </w:p>
        </w:tc>
      </w:tr>
      <w:tr w:rsidR="00BA2FB6" w:rsidRPr="00B10E1E" w14:paraId="2582B1B0" w14:textId="77777777" w:rsidTr="00EC4424">
        <w:trPr>
          <w:cantSplit/>
          <w:trHeight w:val="135"/>
        </w:trPr>
        <w:tc>
          <w:tcPr>
            <w:tcW w:w="1306" w:type="pct"/>
          </w:tcPr>
          <w:p w14:paraId="7D356E0B" w14:textId="1E4A1EFD" w:rsidR="00BA2FB6" w:rsidRPr="00FA2651" w:rsidRDefault="00BA2FB6" w:rsidP="00BA2FB6">
            <w:pPr>
              <w:jc w:val="center"/>
            </w:pPr>
            <w:r w:rsidRPr="00FA2651">
              <w:t>Direktīvas 2006/112/EK 132.panta “e” apakšpunkts</w:t>
            </w:r>
          </w:p>
        </w:tc>
        <w:tc>
          <w:tcPr>
            <w:tcW w:w="1194" w:type="pct"/>
            <w:gridSpan w:val="2"/>
          </w:tcPr>
          <w:p w14:paraId="05CB84E6" w14:textId="37A4EA51" w:rsidR="00BA2FB6" w:rsidRPr="00FA2651" w:rsidRDefault="00BA2FB6" w:rsidP="00BA2FB6">
            <w:pPr>
              <w:jc w:val="center"/>
            </w:pPr>
            <w:r w:rsidRPr="00FA2651">
              <w:t xml:space="preserve">Likumprojekta </w:t>
            </w:r>
            <w:r w:rsidR="00155043">
              <w:t>8</w:t>
            </w:r>
            <w:r w:rsidRPr="00FA2651">
              <w:t>.panta otrā daļa (Pievienotās vērtības nodokļa likuma 52.panta pirmās daļas 7.punkts</w:t>
            </w:r>
          </w:p>
        </w:tc>
        <w:tc>
          <w:tcPr>
            <w:tcW w:w="1250" w:type="pct"/>
            <w:gridSpan w:val="2"/>
          </w:tcPr>
          <w:p w14:paraId="578BECE5" w14:textId="77777777" w:rsidR="00BA2FB6" w:rsidRDefault="00BA2FB6" w:rsidP="00BA2FB6">
            <w:pPr>
              <w:jc w:val="center"/>
            </w:pPr>
            <w:r w:rsidRPr="00884DD8">
              <w:t xml:space="preserve">Pārņemts </w:t>
            </w:r>
            <w:r>
              <w:t xml:space="preserve">pilnībā </w:t>
            </w:r>
          </w:p>
          <w:p w14:paraId="6BB62A6B" w14:textId="77777777" w:rsidR="00BA2FB6" w:rsidRPr="00B10E1E" w:rsidRDefault="00BA2FB6" w:rsidP="00BA2FB6">
            <w:pPr>
              <w:jc w:val="center"/>
              <w:rPr>
                <w:color w:val="FF0000"/>
              </w:rPr>
            </w:pPr>
          </w:p>
        </w:tc>
        <w:tc>
          <w:tcPr>
            <w:tcW w:w="1250" w:type="pct"/>
            <w:gridSpan w:val="2"/>
          </w:tcPr>
          <w:p w14:paraId="468633EC" w14:textId="2E0C00F5" w:rsidR="00BA2FB6" w:rsidRPr="00B10E1E" w:rsidRDefault="00BA2FB6" w:rsidP="00BA2FB6">
            <w:pPr>
              <w:jc w:val="center"/>
              <w:rPr>
                <w:color w:val="FF0000"/>
              </w:rPr>
            </w:pPr>
            <w:r w:rsidRPr="001F1E2A">
              <w:t>Likumprojekts neparedz stingrākas prasības</w:t>
            </w:r>
          </w:p>
        </w:tc>
      </w:tr>
      <w:tr w:rsidR="00BA2FB6" w:rsidRPr="00B10E1E" w14:paraId="1C8B9287" w14:textId="77777777" w:rsidTr="00EC4424">
        <w:trPr>
          <w:cantSplit/>
        </w:trPr>
        <w:tc>
          <w:tcPr>
            <w:tcW w:w="1306" w:type="pct"/>
            <w:hideMark/>
          </w:tcPr>
          <w:p w14:paraId="50AE6D3B" w14:textId="77777777" w:rsidR="00BA2FB6" w:rsidRPr="00B10E1E" w:rsidRDefault="00BA2FB6" w:rsidP="00BA2FB6">
            <w:r w:rsidRPr="00B10E1E">
              <w:t>Kā ir izmantota ES tiesību aktā paredzētā rīcības brīvība dalībvalstij pārņemt vai ieviest noteiktas ES tiesību akta normas? Kādēļ?</w:t>
            </w:r>
          </w:p>
        </w:tc>
        <w:tc>
          <w:tcPr>
            <w:tcW w:w="3694" w:type="pct"/>
            <w:gridSpan w:val="6"/>
            <w:hideMark/>
          </w:tcPr>
          <w:p w14:paraId="4EA14973" w14:textId="77777777" w:rsidR="00BA2FB6" w:rsidRPr="00B10E1E" w:rsidRDefault="00BA2FB6" w:rsidP="00BA2FB6">
            <w:r w:rsidRPr="00B10E1E">
              <w:t>Projekts šo jomu neskar.</w:t>
            </w:r>
          </w:p>
        </w:tc>
      </w:tr>
      <w:tr w:rsidR="00BA2FB6" w:rsidRPr="00B10E1E" w14:paraId="69BADAC9" w14:textId="77777777" w:rsidTr="00EC4424">
        <w:trPr>
          <w:cantSplit/>
        </w:trPr>
        <w:tc>
          <w:tcPr>
            <w:tcW w:w="1306" w:type="pct"/>
            <w:hideMark/>
          </w:tcPr>
          <w:p w14:paraId="3180FF0A" w14:textId="77777777" w:rsidR="00BA2FB6" w:rsidRPr="00B10E1E" w:rsidRDefault="00BA2FB6" w:rsidP="00BA2FB6">
            <w:r w:rsidRPr="00B10E1E">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94" w:type="pct"/>
            <w:gridSpan w:val="6"/>
            <w:hideMark/>
          </w:tcPr>
          <w:p w14:paraId="3CC4ECBD" w14:textId="77777777" w:rsidR="00BA2FB6" w:rsidRPr="00B10E1E" w:rsidRDefault="00BA2FB6" w:rsidP="00BA2FB6">
            <w:pPr>
              <w:jc w:val="both"/>
            </w:pPr>
            <w:r w:rsidRPr="00B10E1E">
              <w:t>Projekts šo jomu neskar.</w:t>
            </w:r>
          </w:p>
        </w:tc>
      </w:tr>
      <w:tr w:rsidR="00BA2FB6" w:rsidRPr="00B10E1E" w14:paraId="7B2D1E88" w14:textId="77777777" w:rsidTr="00EC4424">
        <w:trPr>
          <w:cantSplit/>
        </w:trPr>
        <w:tc>
          <w:tcPr>
            <w:tcW w:w="1306" w:type="pct"/>
            <w:hideMark/>
          </w:tcPr>
          <w:p w14:paraId="53F8D8ED" w14:textId="77777777" w:rsidR="00BA2FB6" w:rsidRPr="00B10E1E" w:rsidRDefault="00BA2FB6" w:rsidP="00BA2FB6">
            <w:r w:rsidRPr="00B10E1E">
              <w:t>Cita informācija</w:t>
            </w:r>
          </w:p>
        </w:tc>
        <w:tc>
          <w:tcPr>
            <w:tcW w:w="3694" w:type="pct"/>
            <w:gridSpan w:val="6"/>
            <w:hideMark/>
          </w:tcPr>
          <w:p w14:paraId="0CA6EF0B" w14:textId="76B981FE" w:rsidR="00BA2FB6" w:rsidRPr="00B10E1E" w:rsidRDefault="00BA2FB6" w:rsidP="00BA2FB6">
            <w:pPr>
              <w:tabs>
                <w:tab w:val="left" w:pos="6628"/>
              </w:tabs>
              <w:ind w:left="-34" w:firstLine="34"/>
              <w:jc w:val="both"/>
            </w:pPr>
            <w:r>
              <w:t>Direktīvas 2006/112/EK regulējums ir jau pārņemts likumā, bet ar šo likumprojektu tiek veikti atsevišķi precizējumi.</w:t>
            </w:r>
          </w:p>
        </w:tc>
      </w:tr>
      <w:tr w:rsidR="00BA2FB6" w:rsidRPr="009A6CAD" w14:paraId="523FDD37" w14:textId="77777777" w:rsidTr="00EC4424">
        <w:trPr>
          <w:cantSplit/>
        </w:trPr>
        <w:tc>
          <w:tcPr>
            <w:tcW w:w="5000" w:type="pct"/>
            <w:gridSpan w:val="7"/>
            <w:vAlign w:val="center"/>
            <w:hideMark/>
          </w:tcPr>
          <w:p w14:paraId="56457EE8" w14:textId="77777777" w:rsidR="00BA2FB6" w:rsidRDefault="00BA2FB6" w:rsidP="00BA2FB6">
            <w:pPr>
              <w:jc w:val="center"/>
              <w:rPr>
                <w:b/>
                <w:bCs/>
              </w:rPr>
            </w:pPr>
            <w:r w:rsidRPr="00A953C4">
              <w:rPr>
                <w:b/>
                <w:bCs/>
              </w:rPr>
              <w:t>2. tabula</w:t>
            </w:r>
            <w:r w:rsidRPr="00A953C4">
              <w:rPr>
                <w:b/>
                <w:bCs/>
              </w:rPr>
              <w:br/>
              <w:t>Ar tiesību akta projektu izpildītās vai uzņemtās saistības, kas izriet no starptautiskajiem tiesību aktiem vai starptautiskas institūcijas vai organizācijas dokumentiem.</w:t>
            </w:r>
            <w:r w:rsidRPr="00A953C4">
              <w:rPr>
                <w:b/>
                <w:bCs/>
              </w:rPr>
              <w:br/>
              <w:t>Pasākumi šo saistību izpildei</w:t>
            </w:r>
          </w:p>
          <w:p w14:paraId="0CF947B0" w14:textId="6DCFC1AA" w:rsidR="00BA2FB6" w:rsidRPr="00A953C4" w:rsidRDefault="00BA2FB6" w:rsidP="00BA2FB6">
            <w:pPr>
              <w:jc w:val="center"/>
              <w:rPr>
                <w:b/>
                <w:bCs/>
              </w:rPr>
            </w:pPr>
          </w:p>
        </w:tc>
      </w:tr>
      <w:tr w:rsidR="00BA2FB6" w:rsidRPr="009A6CAD" w14:paraId="6BC86080" w14:textId="77777777" w:rsidTr="00EC4424">
        <w:trPr>
          <w:cantSplit/>
        </w:trPr>
        <w:tc>
          <w:tcPr>
            <w:tcW w:w="1306" w:type="pct"/>
            <w:hideMark/>
          </w:tcPr>
          <w:p w14:paraId="77165C3F" w14:textId="5A7685D0" w:rsidR="00BA2FB6" w:rsidRPr="00A953C4" w:rsidRDefault="00BA2FB6" w:rsidP="00BA2FB6">
            <w:r w:rsidRPr="00A953C4">
              <w:t>Attiecīgā starptautiskā tiesību akta vai starptautiskas institūcijas vai organizācijas dokumenta (turpmāk – starptautiskais dokuments) datums, numurs un nosaukums</w:t>
            </w:r>
          </w:p>
        </w:tc>
        <w:tc>
          <w:tcPr>
            <w:tcW w:w="3694" w:type="pct"/>
            <w:gridSpan w:val="6"/>
            <w:hideMark/>
          </w:tcPr>
          <w:p w14:paraId="2FDDD1DA" w14:textId="0E697C5D" w:rsidR="00BA2FB6" w:rsidRPr="00A953C4" w:rsidRDefault="00BA2FB6" w:rsidP="00BA2FB6">
            <w:r w:rsidRPr="00A953C4">
              <w:t>Projekts šo jomu neskar.</w:t>
            </w:r>
          </w:p>
        </w:tc>
      </w:tr>
      <w:tr w:rsidR="00BA2FB6" w:rsidRPr="009A6CAD" w14:paraId="5376362A" w14:textId="77777777" w:rsidTr="00EC4424">
        <w:trPr>
          <w:cantSplit/>
        </w:trPr>
        <w:tc>
          <w:tcPr>
            <w:tcW w:w="1306" w:type="pct"/>
            <w:vAlign w:val="center"/>
            <w:hideMark/>
          </w:tcPr>
          <w:p w14:paraId="012AF335" w14:textId="77777777" w:rsidR="00BA2FB6" w:rsidRPr="00A953C4" w:rsidRDefault="00BA2FB6" w:rsidP="00BA2FB6">
            <w:pPr>
              <w:jc w:val="center"/>
            </w:pPr>
            <w:r w:rsidRPr="00A953C4">
              <w:t>A</w:t>
            </w:r>
          </w:p>
        </w:tc>
        <w:tc>
          <w:tcPr>
            <w:tcW w:w="955" w:type="pct"/>
            <w:vAlign w:val="center"/>
            <w:hideMark/>
          </w:tcPr>
          <w:p w14:paraId="67C0F086" w14:textId="77777777" w:rsidR="00BA2FB6" w:rsidRPr="00A953C4" w:rsidRDefault="00BA2FB6" w:rsidP="00BA2FB6">
            <w:pPr>
              <w:jc w:val="center"/>
            </w:pPr>
            <w:r w:rsidRPr="00A953C4">
              <w:t>B</w:t>
            </w:r>
          </w:p>
        </w:tc>
        <w:tc>
          <w:tcPr>
            <w:tcW w:w="2739" w:type="pct"/>
            <w:gridSpan w:val="5"/>
            <w:vAlign w:val="center"/>
            <w:hideMark/>
          </w:tcPr>
          <w:p w14:paraId="6FD82E54" w14:textId="77777777" w:rsidR="00BA2FB6" w:rsidRPr="00A953C4" w:rsidRDefault="00BA2FB6" w:rsidP="00BA2FB6">
            <w:pPr>
              <w:jc w:val="center"/>
            </w:pPr>
            <w:r w:rsidRPr="00A953C4">
              <w:t>C</w:t>
            </w:r>
          </w:p>
        </w:tc>
      </w:tr>
      <w:tr w:rsidR="00BA2FB6" w:rsidRPr="009A6CAD" w14:paraId="4B481EFF" w14:textId="77777777" w:rsidTr="00EC4424">
        <w:trPr>
          <w:cantSplit/>
        </w:trPr>
        <w:tc>
          <w:tcPr>
            <w:tcW w:w="1306" w:type="pct"/>
            <w:hideMark/>
          </w:tcPr>
          <w:p w14:paraId="588C594A" w14:textId="77777777" w:rsidR="00BA2FB6" w:rsidRDefault="00BA2FB6" w:rsidP="00BA2FB6">
            <w:r w:rsidRPr="00603F7D">
              <w:t>Starptautiskās saistības (pēc būtības), kas izriet no norādītā starptautiskā dokumenta.</w:t>
            </w:r>
            <w:r w:rsidRPr="00603F7D">
              <w:br/>
              <w:t>Konkrēti veicamie pasākumi vai uzdevumi, kas nepieciešami šo starptautisko saistību izpildei</w:t>
            </w:r>
          </w:p>
          <w:p w14:paraId="7908C797" w14:textId="36222FB1" w:rsidR="00BA2FB6" w:rsidRPr="00603F7D" w:rsidRDefault="00BA2FB6" w:rsidP="00BA2FB6"/>
        </w:tc>
        <w:tc>
          <w:tcPr>
            <w:tcW w:w="955" w:type="pct"/>
            <w:hideMark/>
          </w:tcPr>
          <w:p w14:paraId="60DDDFFE" w14:textId="77777777" w:rsidR="00BA2FB6" w:rsidRPr="00603F7D" w:rsidRDefault="00BA2FB6" w:rsidP="00BA2FB6">
            <w:r w:rsidRPr="00603F7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739" w:type="pct"/>
            <w:gridSpan w:val="5"/>
            <w:hideMark/>
          </w:tcPr>
          <w:p w14:paraId="3AE70218" w14:textId="77777777" w:rsidR="00BA2FB6" w:rsidRPr="00603F7D" w:rsidRDefault="00BA2FB6" w:rsidP="00BA2FB6">
            <w:r w:rsidRPr="00603F7D">
              <w:t>Informācija par to, vai starptautiskās saistības, kas minētas šīs tabulas A ailē, tiek izpildītas pilnībā vai daļēji.</w:t>
            </w:r>
            <w:r w:rsidRPr="00603F7D">
              <w:br/>
              <w:t>Ja attiecīgās starptautiskās saistības tiek izpildītas daļēji, sniedz skaidrojumu, kā arī precīzi norāda, kad un kādā veidā starptautiskās saistības tiks izpildītas pilnībā.</w:t>
            </w:r>
            <w:r w:rsidRPr="00603F7D">
              <w:br/>
              <w:t>Norāda institūciju, kas ir atbildīga par šo saistību izpildi pilnībā</w:t>
            </w:r>
          </w:p>
        </w:tc>
      </w:tr>
      <w:tr w:rsidR="00BA2FB6" w:rsidRPr="009A6CAD" w14:paraId="6906B30D" w14:textId="77777777" w:rsidTr="00EC4424">
        <w:trPr>
          <w:cantSplit/>
        </w:trPr>
        <w:tc>
          <w:tcPr>
            <w:tcW w:w="1306" w:type="pct"/>
            <w:hideMark/>
          </w:tcPr>
          <w:p w14:paraId="60B06225" w14:textId="77777777" w:rsidR="00BA2FB6" w:rsidRDefault="00BA2FB6" w:rsidP="00BA2FB6">
            <w:r w:rsidRPr="00603F7D">
              <w:lastRenderedPageBreak/>
              <w:t>Vai starptautiskajā dokumentā paredzētās saistības nav pretrunā ar jau esošajām Latvijas Republikas starptautiskajām saistībām</w:t>
            </w:r>
          </w:p>
          <w:p w14:paraId="77CAEB53" w14:textId="0F984C36" w:rsidR="00BA2FB6" w:rsidRPr="00603F7D" w:rsidRDefault="00BA2FB6" w:rsidP="00BA2FB6"/>
        </w:tc>
        <w:tc>
          <w:tcPr>
            <w:tcW w:w="3694" w:type="pct"/>
            <w:gridSpan w:val="6"/>
            <w:hideMark/>
          </w:tcPr>
          <w:p w14:paraId="3EB2B641" w14:textId="21F90B7B" w:rsidR="00BA2FB6" w:rsidRPr="00603F7D" w:rsidRDefault="00BA2FB6" w:rsidP="00BA2FB6">
            <w:r>
              <w:t>Nav</w:t>
            </w:r>
          </w:p>
        </w:tc>
      </w:tr>
      <w:tr w:rsidR="00BA2FB6" w:rsidRPr="009A6CAD" w14:paraId="36236061" w14:textId="77777777" w:rsidTr="00EC4424">
        <w:trPr>
          <w:cantSplit/>
        </w:trPr>
        <w:tc>
          <w:tcPr>
            <w:tcW w:w="1306" w:type="pct"/>
            <w:hideMark/>
          </w:tcPr>
          <w:p w14:paraId="71B38B89" w14:textId="77777777" w:rsidR="00BA2FB6" w:rsidRDefault="00BA2FB6" w:rsidP="00BA2FB6">
            <w:r w:rsidRPr="00603F7D">
              <w:t>Cita informācija</w:t>
            </w:r>
          </w:p>
          <w:p w14:paraId="410FF8F3" w14:textId="6D585B4D" w:rsidR="00BA2FB6" w:rsidRPr="00603F7D" w:rsidRDefault="00BA2FB6" w:rsidP="00BA2FB6"/>
        </w:tc>
        <w:tc>
          <w:tcPr>
            <w:tcW w:w="3694" w:type="pct"/>
            <w:gridSpan w:val="6"/>
            <w:hideMark/>
          </w:tcPr>
          <w:p w14:paraId="1CCE6C74" w14:textId="0333ACB8" w:rsidR="00BA2FB6" w:rsidRPr="00603F7D" w:rsidRDefault="00BA2FB6" w:rsidP="00BA2FB6">
            <w:pPr>
              <w:jc w:val="both"/>
            </w:pPr>
            <w:r>
              <w:t>Nav</w:t>
            </w:r>
          </w:p>
        </w:tc>
      </w:tr>
    </w:tbl>
    <w:p w14:paraId="49585193" w14:textId="34DD6710" w:rsidR="00706415" w:rsidRDefault="00706415"/>
    <w:p w14:paraId="43FBEEF9" w14:textId="77777777" w:rsidR="00706415" w:rsidRDefault="00706415" w:rsidP="00562A99">
      <w:pPr>
        <w:jc w:val="center"/>
        <w:rPr>
          <w:b/>
          <w:bCs/>
        </w:rPr>
        <w:sectPr w:rsidR="00706415" w:rsidSect="000D06F6">
          <w:pgSz w:w="11906" w:h="16838"/>
          <w:pgMar w:top="1077" w:right="1797" w:bottom="567" w:left="1797" w:header="709" w:footer="709" w:gutter="0"/>
          <w:cols w:space="708"/>
          <w:titlePg/>
          <w:docGrid w:linePitch="360"/>
        </w:sectPr>
      </w:pPr>
    </w:p>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2"/>
        <w:gridCol w:w="1985"/>
        <w:gridCol w:w="6808"/>
      </w:tblGrid>
      <w:tr w:rsidR="00562A99" w:rsidRPr="009A6CAD" w14:paraId="3394FBA2" w14:textId="77777777" w:rsidTr="00785367">
        <w:trPr>
          <w:cantSplit/>
        </w:trPr>
        <w:tc>
          <w:tcPr>
            <w:tcW w:w="5000" w:type="pct"/>
            <w:gridSpan w:val="3"/>
            <w:vAlign w:val="center"/>
            <w:hideMark/>
          </w:tcPr>
          <w:p w14:paraId="41E2C464" w14:textId="67690BF0" w:rsidR="00562A99" w:rsidRPr="00603F7D" w:rsidRDefault="00562A99" w:rsidP="00562A99">
            <w:pPr>
              <w:jc w:val="center"/>
              <w:rPr>
                <w:b/>
                <w:bCs/>
              </w:rPr>
            </w:pPr>
            <w:r w:rsidRPr="00603F7D">
              <w:rPr>
                <w:b/>
                <w:bCs/>
              </w:rPr>
              <w:t>VI. Sabiedrības līdzdalība un komunikācijas aktivitātes</w:t>
            </w:r>
          </w:p>
        </w:tc>
      </w:tr>
      <w:tr w:rsidR="00562A99" w:rsidRPr="009A6CAD" w14:paraId="178DA8B0" w14:textId="77777777" w:rsidTr="00785367">
        <w:trPr>
          <w:cantSplit/>
        </w:trPr>
        <w:tc>
          <w:tcPr>
            <w:tcW w:w="229" w:type="pct"/>
            <w:hideMark/>
          </w:tcPr>
          <w:p w14:paraId="75863E61" w14:textId="77777777" w:rsidR="00562A99" w:rsidRPr="00603F7D" w:rsidRDefault="00562A99" w:rsidP="00562A99">
            <w:pPr>
              <w:jc w:val="center"/>
            </w:pPr>
            <w:r w:rsidRPr="00603F7D">
              <w:t>1.</w:t>
            </w:r>
          </w:p>
        </w:tc>
        <w:tc>
          <w:tcPr>
            <w:tcW w:w="1077" w:type="pct"/>
            <w:hideMark/>
          </w:tcPr>
          <w:p w14:paraId="3A1408D9" w14:textId="77777777" w:rsidR="00562A99" w:rsidRPr="00603F7D" w:rsidRDefault="00562A99" w:rsidP="00562A99">
            <w:r w:rsidRPr="00603F7D">
              <w:t>Plānotās sabiedrības līdzdalības un komunikācijas aktivitātes saistībā ar projektu</w:t>
            </w:r>
          </w:p>
        </w:tc>
        <w:tc>
          <w:tcPr>
            <w:tcW w:w="3694" w:type="pct"/>
            <w:hideMark/>
          </w:tcPr>
          <w:p w14:paraId="3FCE32C2" w14:textId="21AEE000" w:rsidR="00794C20" w:rsidRDefault="00794C20" w:rsidP="00794C20">
            <w:pPr>
              <w:tabs>
                <w:tab w:val="left" w:pos="9057"/>
              </w:tabs>
              <w:spacing w:before="120" w:after="120"/>
              <w:ind w:left="127" w:right="133"/>
              <w:jc w:val="both"/>
            </w:pPr>
            <w:r>
              <w:t>Direktīvas 2018/1910 pieņemšanas procesā ir notikusi aktīva sabiedrības informēšana</w:t>
            </w:r>
            <w:r w:rsidR="00037A27">
              <w:t xml:space="preserve"> par minētajā</w:t>
            </w:r>
            <w:r>
              <w:t xml:space="preserve"> direktīvā iekļauto regulējumu, tajā skaitā </w:t>
            </w:r>
            <w:r w:rsidRPr="00BA18BC">
              <w:t>ir notikusi sabiedriskā apspriešana</w:t>
            </w:r>
            <w:r>
              <w:t xml:space="preserve"> un </w:t>
            </w:r>
            <w:r w:rsidRPr="00BA18BC">
              <w:t>informācija</w:t>
            </w:r>
            <w:r>
              <w:t>s</w:t>
            </w:r>
            <w:r w:rsidRPr="00BA18BC">
              <w:t xml:space="preserve"> </w:t>
            </w:r>
            <w:r>
              <w:t>publicēšana</w:t>
            </w:r>
            <w:r w:rsidRPr="00BA18BC">
              <w:t xml:space="preserve"> masu informācijas līdzekļos. Papildus Finanšu ministrij</w:t>
            </w:r>
            <w:r>
              <w:t>ā</w:t>
            </w:r>
            <w:r w:rsidRPr="00BA18BC">
              <w:t xml:space="preserve"> notik</w:t>
            </w:r>
            <w:r>
              <w:t>ušajā</w:t>
            </w:r>
            <w:r w:rsidRPr="00BA18BC">
              <w:t xml:space="preserve"> sanāksm</w:t>
            </w:r>
            <w:r>
              <w:t xml:space="preserve">ē  </w:t>
            </w:r>
            <w:r w:rsidRPr="00BA18BC">
              <w:t>nevalstiskā sektora pārstāvjiem</w:t>
            </w:r>
            <w:r>
              <w:t xml:space="preserve"> (</w:t>
            </w:r>
            <w:r w:rsidRPr="00BA18BC">
              <w:t>Latvijas Darba devēju konfederācija</w:t>
            </w:r>
            <w:r>
              <w:t>i, Latvijas Nodokļu konsultantu asociācijai, Latvijas Tirdzniecības un rūpniecības kamerai)</w:t>
            </w:r>
            <w:r w:rsidRPr="00BA18BC">
              <w:t xml:space="preserve"> tika prezentēti aktuālie </w:t>
            </w:r>
            <w:r w:rsidR="00ED6147">
              <w:t>Eiropas Komisijas</w:t>
            </w:r>
            <w:r w:rsidRPr="00BA18BC">
              <w:t xml:space="preserve"> priekšlikumi PVN jomā, tajā skaitā arī </w:t>
            </w:r>
            <w:r>
              <w:t>priekšlikums par Direktīv</w:t>
            </w:r>
            <w:r w:rsidR="00037A27">
              <w:t>u 2018/1910.</w:t>
            </w:r>
          </w:p>
          <w:p w14:paraId="7DCF9BF7" w14:textId="4E09D52C" w:rsidR="00562A99" w:rsidRDefault="00562A99" w:rsidP="00785367">
            <w:pPr>
              <w:ind w:left="108" w:right="109"/>
              <w:jc w:val="both"/>
            </w:pPr>
            <w:r w:rsidRPr="006C2113">
              <w:t xml:space="preserve">Informācija par likumprojektu </w:t>
            </w:r>
            <w:r w:rsidRPr="00403305">
              <w:t>201</w:t>
            </w:r>
            <w:r w:rsidR="006C2113" w:rsidRPr="00403305">
              <w:t>9</w:t>
            </w:r>
            <w:r w:rsidRPr="00403305">
              <w:t xml:space="preserve">.gada </w:t>
            </w:r>
            <w:r w:rsidR="00403305" w:rsidRPr="00403305">
              <w:t>21.</w:t>
            </w:r>
            <w:r w:rsidR="006C2113" w:rsidRPr="00403305">
              <w:t>jūnijā</w:t>
            </w:r>
            <w:r w:rsidRPr="006C2113">
              <w:t xml:space="preserve"> ir ievietota Finanšu ministrijas tīmekļvietnē sadaļā “Sabiedrības līdzdalība” – “Tiesību aktu projekti” – “Nodokļu politika”. Līdz ar to sabiedrības pārstāvji varēja līdzdarboties projekta izstrādē, rakstveidā sniedzot viedokļus par projektu</w:t>
            </w:r>
            <w:r w:rsidRPr="006C2113" w:rsidDel="00434DDA">
              <w:t xml:space="preserve"> </w:t>
            </w:r>
            <w:r w:rsidRPr="006C2113">
              <w:t>(</w:t>
            </w:r>
            <w:hyperlink r:id="rId11" w:anchor="project522" w:history="1">
              <w:r w:rsidRPr="006C2113">
                <w:rPr>
                  <w:rStyle w:val="Hyperlink"/>
                </w:rPr>
                <w:t>http://www.fm.gov.lv/lv/sabiedribas_lidzdaliba/tiesibu_aktu_projekti/nodoklu_politika#project522</w:t>
              </w:r>
            </w:hyperlink>
            <w:r w:rsidRPr="006C2113">
              <w:t xml:space="preserve">) un Ministru kabineta tīmekļvietnē </w:t>
            </w:r>
            <w:hyperlink r:id="rId12" w:history="1">
              <w:r w:rsidRPr="006C2113">
                <w:rPr>
                  <w:rStyle w:val="Hyperlink"/>
                </w:rPr>
                <w:t>https://www.mk.gov.lv/content/ministru-kabineta-diskusiju-dokumenti</w:t>
              </w:r>
            </w:hyperlink>
            <w:r>
              <w:t xml:space="preserve"> </w:t>
            </w:r>
          </w:p>
          <w:p w14:paraId="76CFA8DA" w14:textId="051764B2" w:rsidR="00562A99" w:rsidRPr="00603F7D" w:rsidRDefault="0098578D" w:rsidP="0043110F">
            <w:pPr>
              <w:ind w:left="108" w:right="109"/>
              <w:jc w:val="both"/>
            </w:pPr>
            <w:r>
              <w:t>I</w:t>
            </w:r>
            <w:r w:rsidRPr="004E2568">
              <w:t>nformācija</w:t>
            </w:r>
            <w:r w:rsidRPr="004B6D4F">
              <w:t xml:space="preserve"> </w:t>
            </w:r>
            <w:r>
              <w:t>p</w:t>
            </w:r>
            <w:r w:rsidR="00562A99" w:rsidRPr="004E2568">
              <w:t>ar l</w:t>
            </w:r>
            <w:r w:rsidR="00562A99" w:rsidRPr="005A2D40">
              <w:t>ikumprojekt</w:t>
            </w:r>
            <w:r w:rsidR="00562A99" w:rsidRPr="004E2568">
              <w:t>u</w:t>
            </w:r>
            <w:r w:rsidR="00562A99" w:rsidRPr="005A2D40">
              <w:t xml:space="preserve"> tik</w:t>
            </w:r>
            <w:r>
              <w:t>a</w:t>
            </w:r>
            <w:r w:rsidR="00562A99" w:rsidRPr="004E2568">
              <w:t xml:space="preserve"> sniegta </w:t>
            </w:r>
            <w:r w:rsidR="00794C20" w:rsidRPr="00BA18BC">
              <w:t>Latvijas Darba devēju konfederācija</w:t>
            </w:r>
            <w:r w:rsidR="00794C20">
              <w:t>i, Latvijas Nodokļu konsultantu asociācijai, Latvijas Tirdzniecības un rūpniecības kamerai</w:t>
            </w:r>
            <w:r>
              <w:t>, Latvijas nodokļu maksātāju tiesību asociācijai</w:t>
            </w:r>
            <w:r w:rsidR="004A7411">
              <w:t xml:space="preserve"> un Veselības Aprūpes darba devēju asociācijai</w:t>
            </w:r>
            <w:r w:rsidR="00562A99" w:rsidRPr="004B6D4F">
              <w:t>.</w:t>
            </w:r>
            <w:r>
              <w:t xml:space="preserve"> Atbilstoši sniegtajiem komentāriem likumprojektā </w:t>
            </w:r>
            <w:r w:rsidR="0075072F">
              <w:t xml:space="preserve">un tā anotācijā </w:t>
            </w:r>
            <w:r>
              <w:t>tika veikti atsevišķi precizējumi un papildinājumi.</w:t>
            </w:r>
            <w:r w:rsidR="0043110F">
              <w:t xml:space="preserve"> Attiecībā uz grozījumiem likumprojektā saistībā ar PVN piemērošanu medicīnas pakalpojumiem, tika ņemti vērā Latvijas Darba devēju konfederācijas, Latvijas Tirdzniecības un rūpniecības kameras, ZAB Sorainen un Veselības Aprūpes darba devēju asociācijas</w:t>
            </w:r>
            <w:r w:rsidR="00110A95">
              <w:t xml:space="preserve"> sniegtie priekšlikumi un atbilstoši tiem tika precizēta likumprojekta anotācija, skaidrības labad papildināta anotācija ar pamatojumu minētā grozījuma nepi</w:t>
            </w:r>
            <w:r w:rsidR="00834034">
              <w:t>e</w:t>
            </w:r>
            <w:r w:rsidR="00110A95">
              <w:t>ciešamībai, kā arī sagatavots grozījums saistošajos Ministru kabineta noteikumos.</w:t>
            </w:r>
          </w:p>
        </w:tc>
      </w:tr>
      <w:tr w:rsidR="00562A99" w:rsidRPr="009A6CAD" w14:paraId="55D3171E" w14:textId="77777777" w:rsidTr="00785367">
        <w:trPr>
          <w:cantSplit/>
        </w:trPr>
        <w:tc>
          <w:tcPr>
            <w:tcW w:w="229" w:type="pct"/>
            <w:hideMark/>
          </w:tcPr>
          <w:p w14:paraId="308D1439" w14:textId="77777777" w:rsidR="00562A99" w:rsidRPr="00603F7D" w:rsidRDefault="00562A99" w:rsidP="00562A99">
            <w:pPr>
              <w:jc w:val="center"/>
            </w:pPr>
            <w:r w:rsidRPr="00603F7D">
              <w:lastRenderedPageBreak/>
              <w:t>2.</w:t>
            </w:r>
          </w:p>
        </w:tc>
        <w:tc>
          <w:tcPr>
            <w:tcW w:w="1077" w:type="pct"/>
            <w:hideMark/>
          </w:tcPr>
          <w:p w14:paraId="2F4D8F99" w14:textId="77777777" w:rsidR="00562A99" w:rsidRPr="00603F7D" w:rsidRDefault="00562A99" w:rsidP="00562A99">
            <w:r w:rsidRPr="00603F7D">
              <w:t>Sabiedrības līdzdalība projekta izstrādē</w:t>
            </w:r>
          </w:p>
        </w:tc>
        <w:tc>
          <w:tcPr>
            <w:tcW w:w="3694" w:type="pct"/>
            <w:hideMark/>
          </w:tcPr>
          <w:p w14:paraId="1F7E92D1" w14:textId="20D9CD9A" w:rsidR="00562A99" w:rsidRPr="00603F7D" w:rsidRDefault="00562A99" w:rsidP="00403305">
            <w:pPr>
              <w:ind w:left="108" w:right="109"/>
              <w:jc w:val="both"/>
            </w:pPr>
            <w:r w:rsidRPr="003C5EDC">
              <w:t>“Sabiedrības pārstāvji varēja līdzdarboties projekta izstrādē, rakstveidā sniedzot viedokļus par projektu, kas 201</w:t>
            </w:r>
            <w:r w:rsidR="003C5EDC">
              <w:t xml:space="preserve">9.gada </w:t>
            </w:r>
            <w:r w:rsidR="00403305" w:rsidRPr="00403305">
              <w:t>21.</w:t>
            </w:r>
            <w:r w:rsidR="003C5EDC" w:rsidRPr="00403305">
              <w:t>jūnijā</w:t>
            </w:r>
            <w:r w:rsidRPr="003C5EDC">
              <w:t xml:space="preserve"> publicēts Finanšu ministrijas tīmekļvietnē sadaļā “Sabiedrības līdzdalība” – “Tiesību aktu projekti” – “Nodokļu politika”, adrese: </w:t>
            </w:r>
            <w:hyperlink r:id="rId13" w:anchor="project522" w:history="1">
              <w:r w:rsidRPr="003C5EDC">
                <w:rPr>
                  <w:rStyle w:val="Hyperlink"/>
                </w:rPr>
                <w:t>http://www.fm.gov.lv/lv/sabiedribas_lidzdaliba/tiesibu_aktu_projekti/nodoklu_politika#project522</w:t>
              </w:r>
            </w:hyperlink>
            <w:r w:rsidRPr="003C5EDC">
              <w:t xml:space="preserve"> un Ministru kabineta tīmekļvietnē sadaļā “Valsts kanceleja” – “Sabiedrības līdzdalība”, adrese: </w:t>
            </w:r>
            <w:hyperlink r:id="rId14" w:history="1">
              <w:r w:rsidRPr="003C5EDC">
                <w:rPr>
                  <w:rStyle w:val="Hyperlink"/>
                </w:rPr>
                <w:t>https://www.mk.gov.lv/content/ministru-kabineta-diskusiju-dokumenti</w:t>
              </w:r>
            </w:hyperlink>
            <w:r w:rsidRPr="003C5EDC">
              <w:t xml:space="preserve"> ar aicinājumu sabiedrību līdzdarboties līdz 201</w:t>
            </w:r>
            <w:r w:rsidR="00403305">
              <w:t>9</w:t>
            </w:r>
            <w:r w:rsidRPr="003C5EDC">
              <w:t xml:space="preserve">.gada </w:t>
            </w:r>
            <w:r w:rsidR="00403305">
              <w:t>10.jūlijam</w:t>
            </w:r>
            <w:r w:rsidRPr="003C5EDC">
              <w:t>.</w:t>
            </w:r>
          </w:p>
        </w:tc>
      </w:tr>
      <w:tr w:rsidR="00562A99" w:rsidRPr="009A6CAD" w14:paraId="0FECF9CC" w14:textId="77777777" w:rsidTr="00785367">
        <w:trPr>
          <w:cantSplit/>
        </w:trPr>
        <w:tc>
          <w:tcPr>
            <w:tcW w:w="229" w:type="pct"/>
            <w:hideMark/>
          </w:tcPr>
          <w:p w14:paraId="1E2AC6C6" w14:textId="77777777" w:rsidR="00562A99" w:rsidRPr="00603F7D" w:rsidRDefault="00562A99" w:rsidP="00562A99">
            <w:pPr>
              <w:jc w:val="center"/>
            </w:pPr>
            <w:r w:rsidRPr="00603F7D">
              <w:t>3.</w:t>
            </w:r>
          </w:p>
        </w:tc>
        <w:tc>
          <w:tcPr>
            <w:tcW w:w="1077" w:type="pct"/>
            <w:hideMark/>
          </w:tcPr>
          <w:p w14:paraId="6A184A7B" w14:textId="77777777" w:rsidR="00562A99" w:rsidRPr="00603F7D" w:rsidRDefault="00562A99" w:rsidP="00562A99">
            <w:r w:rsidRPr="00603F7D">
              <w:t>Sabiedrības līdzdalības rezultāti</w:t>
            </w:r>
          </w:p>
        </w:tc>
        <w:tc>
          <w:tcPr>
            <w:tcW w:w="3694" w:type="pct"/>
            <w:hideMark/>
          </w:tcPr>
          <w:p w14:paraId="40EE457F" w14:textId="661D8E26" w:rsidR="009142AD" w:rsidRPr="00603F7D" w:rsidRDefault="00562A99" w:rsidP="009142AD">
            <w:pPr>
              <w:ind w:left="108" w:right="109"/>
              <w:jc w:val="both"/>
            </w:pPr>
            <w:r w:rsidRPr="003C5EDC">
              <w:t>VI sadaļas 2.punktā minēt</w:t>
            </w:r>
            <w:r w:rsidR="009142AD">
              <w:t>o</w:t>
            </w:r>
            <w:r w:rsidRPr="003C5EDC">
              <w:t xml:space="preserve"> asociācij</w:t>
            </w:r>
            <w:r w:rsidR="009142AD">
              <w:t xml:space="preserve">u saņemtie viedokļi tika izvērtēti un </w:t>
            </w:r>
            <w:r w:rsidRPr="003C5EDC">
              <w:t xml:space="preserve"> </w:t>
            </w:r>
            <w:r w:rsidR="009142AD">
              <w:t xml:space="preserve">atbilstoši sniegtajiem komentāriem likumprojektā un tā anotācijā tika veikti atsevišķi precizējumi un papildinājumi. </w:t>
            </w:r>
          </w:p>
        </w:tc>
      </w:tr>
      <w:tr w:rsidR="00562A99" w:rsidRPr="009A6CAD" w14:paraId="1DF5D161" w14:textId="77777777" w:rsidTr="00785367">
        <w:trPr>
          <w:cantSplit/>
        </w:trPr>
        <w:tc>
          <w:tcPr>
            <w:tcW w:w="229" w:type="pct"/>
            <w:hideMark/>
          </w:tcPr>
          <w:p w14:paraId="1137C6BA" w14:textId="77777777" w:rsidR="00562A99" w:rsidRPr="00603F7D" w:rsidRDefault="00562A99" w:rsidP="00562A99">
            <w:pPr>
              <w:jc w:val="center"/>
            </w:pPr>
            <w:r w:rsidRPr="00603F7D">
              <w:t>4.</w:t>
            </w:r>
          </w:p>
        </w:tc>
        <w:tc>
          <w:tcPr>
            <w:tcW w:w="1077" w:type="pct"/>
            <w:hideMark/>
          </w:tcPr>
          <w:p w14:paraId="23CF8937" w14:textId="77777777" w:rsidR="00562A99" w:rsidRPr="00603F7D" w:rsidRDefault="00562A99" w:rsidP="00562A99">
            <w:r w:rsidRPr="00603F7D">
              <w:t>Cita informācija</w:t>
            </w:r>
          </w:p>
        </w:tc>
        <w:tc>
          <w:tcPr>
            <w:tcW w:w="3694" w:type="pct"/>
            <w:hideMark/>
          </w:tcPr>
          <w:p w14:paraId="6BCFCCEF" w14:textId="4E4BAEF5" w:rsidR="00562A99" w:rsidRPr="00603F7D" w:rsidRDefault="00562A99" w:rsidP="00562A99">
            <w:r w:rsidRPr="00603F7D">
              <w:t>Nav</w:t>
            </w:r>
            <w:r>
              <w:t>.</w:t>
            </w:r>
          </w:p>
        </w:tc>
      </w:tr>
    </w:tbl>
    <w:p w14:paraId="2BEDD512" w14:textId="77777777" w:rsidR="005028DD" w:rsidRDefault="005028DD"/>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40"/>
        <w:gridCol w:w="3434"/>
        <w:gridCol w:w="5341"/>
      </w:tblGrid>
      <w:tr w:rsidR="00562A99" w:rsidRPr="009A6CAD" w14:paraId="597A8DD9" w14:textId="77777777" w:rsidTr="00785367">
        <w:trPr>
          <w:cantSplit/>
        </w:trPr>
        <w:tc>
          <w:tcPr>
            <w:tcW w:w="5000" w:type="pct"/>
            <w:gridSpan w:val="3"/>
            <w:vAlign w:val="center"/>
            <w:hideMark/>
          </w:tcPr>
          <w:p w14:paraId="73A9F074" w14:textId="77777777" w:rsidR="00562A99" w:rsidRPr="00603F7D" w:rsidRDefault="00562A99" w:rsidP="00562A99">
            <w:pPr>
              <w:jc w:val="center"/>
              <w:rPr>
                <w:b/>
                <w:bCs/>
              </w:rPr>
            </w:pPr>
            <w:r w:rsidRPr="00603F7D">
              <w:rPr>
                <w:b/>
                <w:bCs/>
              </w:rPr>
              <w:t>VII. Tiesību akta projekta izpildes nodrošināšana un tās ietekme uz institūcijām</w:t>
            </w:r>
          </w:p>
        </w:tc>
      </w:tr>
      <w:tr w:rsidR="00562A99" w:rsidRPr="009A6CAD" w14:paraId="16F40C7B" w14:textId="77777777" w:rsidTr="00785367">
        <w:trPr>
          <w:cantSplit/>
        </w:trPr>
        <w:tc>
          <w:tcPr>
            <w:tcW w:w="239" w:type="pct"/>
            <w:hideMark/>
          </w:tcPr>
          <w:p w14:paraId="4DA09379" w14:textId="77777777" w:rsidR="00562A99" w:rsidRPr="00603F7D" w:rsidRDefault="00562A99" w:rsidP="00562A99">
            <w:pPr>
              <w:jc w:val="center"/>
            </w:pPr>
            <w:r w:rsidRPr="00603F7D">
              <w:t>1.</w:t>
            </w:r>
          </w:p>
        </w:tc>
        <w:tc>
          <w:tcPr>
            <w:tcW w:w="1863" w:type="pct"/>
            <w:hideMark/>
          </w:tcPr>
          <w:p w14:paraId="24467A67" w14:textId="77777777" w:rsidR="00562A99" w:rsidRPr="00603F7D" w:rsidRDefault="00562A99" w:rsidP="00562A99">
            <w:r w:rsidRPr="00603F7D">
              <w:t>Projekta izpildē iesaistītās institūcijas</w:t>
            </w:r>
          </w:p>
        </w:tc>
        <w:tc>
          <w:tcPr>
            <w:tcW w:w="2898" w:type="pct"/>
            <w:hideMark/>
          </w:tcPr>
          <w:p w14:paraId="15C73975" w14:textId="1D895D1A" w:rsidR="00562A99" w:rsidRPr="00603F7D" w:rsidRDefault="00562A99" w:rsidP="00562A99">
            <w:r w:rsidRPr="00603F7D">
              <w:t>VID</w:t>
            </w:r>
          </w:p>
        </w:tc>
      </w:tr>
      <w:tr w:rsidR="00562A99" w:rsidRPr="009A6CAD" w14:paraId="2BD6218F" w14:textId="77777777" w:rsidTr="00785367">
        <w:trPr>
          <w:cantSplit/>
        </w:trPr>
        <w:tc>
          <w:tcPr>
            <w:tcW w:w="239" w:type="pct"/>
            <w:hideMark/>
          </w:tcPr>
          <w:p w14:paraId="2B8F8F65" w14:textId="77777777" w:rsidR="00562A99" w:rsidRPr="006507E9" w:rsidRDefault="00562A99" w:rsidP="00562A99">
            <w:pPr>
              <w:jc w:val="center"/>
            </w:pPr>
            <w:r w:rsidRPr="006507E9">
              <w:t>2.</w:t>
            </w:r>
          </w:p>
        </w:tc>
        <w:tc>
          <w:tcPr>
            <w:tcW w:w="1863" w:type="pct"/>
            <w:hideMark/>
          </w:tcPr>
          <w:p w14:paraId="3D7CDED2" w14:textId="77777777" w:rsidR="00562A99" w:rsidRPr="006507E9" w:rsidRDefault="00562A99" w:rsidP="00562A99">
            <w:r w:rsidRPr="006507E9">
              <w:t>Projekta izpildes ietekme uz pārvaldes funkcijām un institucionālo struktūru.</w:t>
            </w:r>
            <w:r w:rsidRPr="006507E9">
              <w:br/>
              <w:t>Jaunu institūciju izveide, esošu institūciju likvidācija vai reorganizācija, to ietekme uz institūcijas cilvēkresursiem</w:t>
            </w:r>
          </w:p>
        </w:tc>
        <w:tc>
          <w:tcPr>
            <w:tcW w:w="2898" w:type="pct"/>
            <w:hideMark/>
          </w:tcPr>
          <w:p w14:paraId="469DB92F" w14:textId="48C995C2" w:rsidR="00562A99" w:rsidRPr="006507E9" w:rsidRDefault="00562A99" w:rsidP="00562A99">
            <w:pPr>
              <w:jc w:val="both"/>
            </w:pPr>
            <w:r w:rsidRPr="00DB582A">
              <w:t>Likumprojekts nemainīs pārvaldes funkcijas un institucionālo struktūru, kā arī netiks veidotas jaunas institūcijas, savukārt esošās institūcijas netiks likvidētas vai reorganizētas.</w:t>
            </w:r>
          </w:p>
        </w:tc>
      </w:tr>
      <w:tr w:rsidR="00562A99" w:rsidRPr="009A6CAD" w14:paraId="54E26C60" w14:textId="77777777" w:rsidTr="00785367">
        <w:trPr>
          <w:cantSplit/>
        </w:trPr>
        <w:tc>
          <w:tcPr>
            <w:tcW w:w="239" w:type="pct"/>
            <w:hideMark/>
          </w:tcPr>
          <w:p w14:paraId="50D22A7D" w14:textId="77777777" w:rsidR="00562A99" w:rsidRPr="006507E9" w:rsidRDefault="00562A99" w:rsidP="00562A99">
            <w:pPr>
              <w:jc w:val="center"/>
            </w:pPr>
            <w:r w:rsidRPr="006507E9">
              <w:t>3.</w:t>
            </w:r>
          </w:p>
        </w:tc>
        <w:tc>
          <w:tcPr>
            <w:tcW w:w="1863" w:type="pct"/>
            <w:hideMark/>
          </w:tcPr>
          <w:p w14:paraId="29B4D873" w14:textId="77777777" w:rsidR="00562A99" w:rsidRPr="006507E9" w:rsidRDefault="00562A99" w:rsidP="00562A99">
            <w:r w:rsidRPr="006507E9">
              <w:t>Cita informācija</w:t>
            </w:r>
          </w:p>
        </w:tc>
        <w:tc>
          <w:tcPr>
            <w:tcW w:w="2898" w:type="pct"/>
            <w:hideMark/>
          </w:tcPr>
          <w:p w14:paraId="19E081DB" w14:textId="2CE776E8" w:rsidR="00562A99" w:rsidRPr="006507E9" w:rsidRDefault="00562A99" w:rsidP="00562A99">
            <w:r w:rsidRPr="006507E9">
              <w:t>Nav</w:t>
            </w:r>
          </w:p>
        </w:tc>
      </w:tr>
    </w:tbl>
    <w:p w14:paraId="0C5FE830" w14:textId="2602EC5B" w:rsidR="00614D39" w:rsidRDefault="00614D39"/>
    <w:p w14:paraId="59321ADA" w14:textId="77777777" w:rsidR="0009200A" w:rsidRDefault="0009200A"/>
    <w:p w14:paraId="3320F128" w14:textId="77777777" w:rsidR="004A7411" w:rsidRDefault="004A7411"/>
    <w:p w14:paraId="51E158EA" w14:textId="5C303D84" w:rsidR="00BD460A" w:rsidRDefault="001609A9">
      <w:r>
        <w:t>Finanšu min</w:t>
      </w:r>
      <w:r w:rsidR="00794C20">
        <w:t>istrs</w:t>
      </w:r>
      <w:r w:rsidR="00BD460A">
        <w:tab/>
      </w:r>
      <w:r w:rsidR="00BD460A">
        <w:tab/>
      </w:r>
      <w:r w:rsidR="00794C20">
        <w:tab/>
      </w:r>
      <w:r w:rsidR="00BD460A">
        <w:tab/>
      </w:r>
      <w:r w:rsidR="00BD460A">
        <w:tab/>
      </w:r>
      <w:r w:rsidR="004A7411">
        <w:tab/>
      </w:r>
      <w:r w:rsidR="00BD460A">
        <w:tab/>
      </w:r>
      <w:r w:rsidR="00BD460A">
        <w:tab/>
      </w:r>
      <w:r w:rsidR="00794C20">
        <w:t>J.Reirs</w:t>
      </w:r>
    </w:p>
    <w:p w14:paraId="24977133" w14:textId="0440496A" w:rsidR="001C2B45" w:rsidRDefault="001C2B45"/>
    <w:p w14:paraId="314D2939" w14:textId="37436C6B" w:rsidR="001C2B45" w:rsidRDefault="001C2B45"/>
    <w:p w14:paraId="30A31AF7" w14:textId="0EEE6438" w:rsidR="001C2B45" w:rsidRDefault="001C2B45"/>
    <w:p w14:paraId="6A877050" w14:textId="029CACCF" w:rsidR="001C2B45" w:rsidRDefault="001C2B45"/>
    <w:p w14:paraId="4F9E3905" w14:textId="57C71BFD" w:rsidR="001C2B45" w:rsidRDefault="001C2B45"/>
    <w:p w14:paraId="0E819964" w14:textId="0A179F7F" w:rsidR="001C2B45" w:rsidRDefault="001C2B45" w:rsidP="004A7411">
      <w:pPr>
        <w:tabs>
          <w:tab w:val="left" w:pos="5145"/>
        </w:tabs>
      </w:pPr>
    </w:p>
    <w:p w14:paraId="51791E38" w14:textId="59EA9D6D" w:rsidR="001C2B45" w:rsidRDefault="001C2B45"/>
    <w:p w14:paraId="18A64434" w14:textId="73877D00" w:rsidR="001C2B45" w:rsidRDefault="001C2B45"/>
    <w:p w14:paraId="2FD36382" w14:textId="22F384A0" w:rsidR="001C2B45" w:rsidRDefault="001C2B45"/>
    <w:p w14:paraId="7333C57D" w14:textId="5A2528F7" w:rsidR="001C2B45" w:rsidRDefault="001C2B45"/>
    <w:p w14:paraId="5EA168A4" w14:textId="0F87C01E" w:rsidR="001C2B45" w:rsidRDefault="001C2B45"/>
    <w:p w14:paraId="65E1FA3D" w14:textId="6CB9490E" w:rsidR="001C2B45" w:rsidRDefault="001C2B45"/>
    <w:p w14:paraId="1B3483D7" w14:textId="31F6207F" w:rsidR="001C2B45" w:rsidRDefault="001C2B45"/>
    <w:p w14:paraId="4A497C22" w14:textId="63C865EA" w:rsidR="001C2B45" w:rsidRDefault="001C2B45"/>
    <w:p w14:paraId="19FAB8A0" w14:textId="5A67D7CB" w:rsidR="001C2B45" w:rsidRDefault="001C2B45"/>
    <w:p w14:paraId="5CCE727E" w14:textId="3D2D3B1C" w:rsidR="001C2B45" w:rsidRPr="001C2B45" w:rsidRDefault="001C2B45">
      <w:pPr>
        <w:rPr>
          <w:sz w:val="20"/>
          <w:szCs w:val="20"/>
        </w:rPr>
      </w:pPr>
      <w:r w:rsidRPr="001C2B45">
        <w:rPr>
          <w:sz w:val="20"/>
          <w:szCs w:val="20"/>
        </w:rPr>
        <w:t>Lukjanska 67095514</w:t>
      </w:r>
    </w:p>
    <w:p w14:paraId="0B417492" w14:textId="71C6D483" w:rsidR="001C2B45" w:rsidRPr="001C2B45" w:rsidRDefault="005A63DA">
      <w:pPr>
        <w:rPr>
          <w:sz w:val="20"/>
          <w:szCs w:val="20"/>
        </w:rPr>
      </w:pPr>
      <w:hyperlink r:id="rId15" w:history="1">
        <w:r w:rsidR="001C2B45" w:rsidRPr="001C2B45">
          <w:rPr>
            <w:rStyle w:val="Hyperlink"/>
            <w:sz w:val="20"/>
            <w:szCs w:val="20"/>
          </w:rPr>
          <w:t>diana.lukjanska@fm.gov.lv</w:t>
        </w:r>
      </w:hyperlink>
    </w:p>
    <w:p w14:paraId="4E824D3F" w14:textId="77777777" w:rsidR="001C2B45" w:rsidRPr="009A6CAD" w:rsidRDefault="001C2B45"/>
    <w:sectPr w:rsidR="001C2B45" w:rsidRPr="009A6CAD" w:rsidSect="001609A9">
      <w:type w:val="continuous"/>
      <w:pgSz w:w="11906" w:h="16838"/>
      <w:pgMar w:top="1077" w:right="1797" w:bottom="567" w:left="179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FA5B8" w14:textId="77777777" w:rsidR="007501F4" w:rsidRDefault="007501F4" w:rsidP="009C3335">
      <w:r>
        <w:separator/>
      </w:r>
    </w:p>
  </w:endnote>
  <w:endnote w:type="continuationSeparator" w:id="0">
    <w:p w14:paraId="759BC5C4" w14:textId="77777777" w:rsidR="007501F4" w:rsidRDefault="007501F4" w:rsidP="009C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D974" w14:textId="5BE777DC" w:rsidR="007501F4" w:rsidRPr="00686B9F" w:rsidRDefault="007501F4" w:rsidP="00686B9F">
    <w:pPr>
      <w:pStyle w:val="Footer"/>
    </w:pPr>
    <w:r>
      <w:rPr>
        <w:sz w:val="18"/>
        <w:szCs w:val="18"/>
      </w:rPr>
      <w:fldChar w:fldCharType="begin"/>
    </w:r>
    <w:r>
      <w:rPr>
        <w:sz w:val="18"/>
        <w:szCs w:val="18"/>
      </w:rPr>
      <w:instrText xml:space="preserve"> FILENAME   \* MERGEFORMAT </w:instrText>
    </w:r>
    <w:r>
      <w:rPr>
        <w:sz w:val="18"/>
        <w:szCs w:val="18"/>
      </w:rPr>
      <w:fldChar w:fldCharType="separate"/>
    </w:r>
    <w:r w:rsidR="00ED6147">
      <w:rPr>
        <w:noProof/>
        <w:sz w:val="18"/>
        <w:szCs w:val="18"/>
      </w:rPr>
      <w:t>FMAnot_300919_PVNgroz.docx</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5631" w14:textId="53B45556" w:rsidR="007501F4" w:rsidRPr="00686B9F" w:rsidRDefault="007501F4" w:rsidP="00686B9F">
    <w:pPr>
      <w:pStyle w:val="Footer"/>
    </w:pPr>
    <w:r>
      <w:rPr>
        <w:sz w:val="18"/>
        <w:szCs w:val="18"/>
      </w:rPr>
      <w:fldChar w:fldCharType="begin"/>
    </w:r>
    <w:r>
      <w:rPr>
        <w:sz w:val="18"/>
        <w:szCs w:val="18"/>
      </w:rPr>
      <w:instrText xml:space="preserve"> FILENAME   \* MERGEFORMAT </w:instrText>
    </w:r>
    <w:r>
      <w:rPr>
        <w:sz w:val="18"/>
        <w:szCs w:val="18"/>
      </w:rPr>
      <w:fldChar w:fldCharType="separate"/>
    </w:r>
    <w:r w:rsidR="00ED6147">
      <w:rPr>
        <w:noProof/>
        <w:sz w:val="18"/>
        <w:szCs w:val="18"/>
      </w:rPr>
      <w:t>FMAnot_300919_PVNgroz.docx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C201" w14:textId="77777777" w:rsidR="007501F4" w:rsidRDefault="007501F4" w:rsidP="009C3335">
      <w:r>
        <w:separator/>
      </w:r>
    </w:p>
  </w:footnote>
  <w:footnote w:type="continuationSeparator" w:id="0">
    <w:p w14:paraId="5B55B561" w14:textId="77777777" w:rsidR="007501F4" w:rsidRDefault="007501F4" w:rsidP="009C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591854"/>
      <w:docPartObj>
        <w:docPartGallery w:val="Page Numbers (Top of Page)"/>
        <w:docPartUnique/>
      </w:docPartObj>
    </w:sdtPr>
    <w:sdtEndPr>
      <w:rPr>
        <w:noProof/>
      </w:rPr>
    </w:sdtEndPr>
    <w:sdtContent>
      <w:p w14:paraId="78A2FB03" w14:textId="3CF032C8" w:rsidR="007501F4" w:rsidRDefault="007501F4">
        <w:pPr>
          <w:pStyle w:val="Header"/>
          <w:jc w:val="center"/>
        </w:pPr>
        <w:r>
          <w:fldChar w:fldCharType="begin"/>
        </w:r>
        <w:r>
          <w:instrText xml:space="preserve"> PAGE   \* MERGEFORMAT </w:instrText>
        </w:r>
        <w:r>
          <w:fldChar w:fldCharType="separate"/>
        </w:r>
        <w:r w:rsidR="005A63DA">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AD4"/>
    <w:multiLevelType w:val="hybridMultilevel"/>
    <w:tmpl w:val="08561A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A33CB9"/>
    <w:multiLevelType w:val="hybridMultilevel"/>
    <w:tmpl w:val="99C47246"/>
    <w:lvl w:ilvl="0" w:tplc="04260011">
      <w:start w:val="1"/>
      <w:numFmt w:val="decimal"/>
      <w:lvlText w:val="%1)"/>
      <w:lvlJc w:val="left"/>
      <w:pPr>
        <w:ind w:left="1301" w:hanging="360"/>
      </w:pPr>
    </w:lvl>
    <w:lvl w:ilvl="1" w:tplc="04260019" w:tentative="1">
      <w:start w:val="1"/>
      <w:numFmt w:val="lowerLetter"/>
      <w:lvlText w:val="%2."/>
      <w:lvlJc w:val="left"/>
      <w:pPr>
        <w:ind w:left="2021" w:hanging="360"/>
      </w:pPr>
    </w:lvl>
    <w:lvl w:ilvl="2" w:tplc="0426001B" w:tentative="1">
      <w:start w:val="1"/>
      <w:numFmt w:val="lowerRoman"/>
      <w:lvlText w:val="%3."/>
      <w:lvlJc w:val="right"/>
      <w:pPr>
        <w:ind w:left="2741" w:hanging="180"/>
      </w:pPr>
    </w:lvl>
    <w:lvl w:ilvl="3" w:tplc="0426000F" w:tentative="1">
      <w:start w:val="1"/>
      <w:numFmt w:val="decimal"/>
      <w:lvlText w:val="%4."/>
      <w:lvlJc w:val="left"/>
      <w:pPr>
        <w:ind w:left="3461" w:hanging="360"/>
      </w:pPr>
    </w:lvl>
    <w:lvl w:ilvl="4" w:tplc="04260019" w:tentative="1">
      <w:start w:val="1"/>
      <w:numFmt w:val="lowerLetter"/>
      <w:lvlText w:val="%5."/>
      <w:lvlJc w:val="left"/>
      <w:pPr>
        <w:ind w:left="4181" w:hanging="360"/>
      </w:pPr>
    </w:lvl>
    <w:lvl w:ilvl="5" w:tplc="0426001B" w:tentative="1">
      <w:start w:val="1"/>
      <w:numFmt w:val="lowerRoman"/>
      <w:lvlText w:val="%6."/>
      <w:lvlJc w:val="right"/>
      <w:pPr>
        <w:ind w:left="4901" w:hanging="180"/>
      </w:pPr>
    </w:lvl>
    <w:lvl w:ilvl="6" w:tplc="0426000F" w:tentative="1">
      <w:start w:val="1"/>
      <w:numFmt w:val="decimal"/>
      <w:lvlText w:val="%7."/>
      <w:lvlJc w:val="left"/>
      <w:pPr>
        <w:ind w:left="5621" w:hanging="360"/>
      </w:pPr>
    </w:lvl>
    <w:lvl w:ilvl="7" w:tplc="04260019" w:tentative="1">
      <w:start w:val="1"/>
      <w:numFmt w:val="lowerLetter"/>
      <w:lvlText w:val="%8."/>
      <w:lvlJc w:val="left"/>
      <w:pPr>
        <w:ind w:left="6341" w:hanging="360"/>
      </w:pPr>
    </w:lvl>
    <w:lvl w:ilvl="8" w:tplc="0426001B" w:tentative="1">
      <w:start w:val="1"/>
      <w:numFmt w:val="lowerRoman"/>
      <w:lvlText w:val="%9."/>
      <w:lvlJc w:val="right"/>
      <w:pPr>
        <w:ind w:left="7061" w:hanging="180"/>
      </w:pPr>
    </w:lvl>
  </w:abstractNum>
  <w:abstractNum w:abstractNumId="2" w15:restartNumberingAfterBreak="0">
    <w:nsid w:val="10193E19"/>
    <w:multiLevelType w:val="hybridMultilevel"/>
    <w:tmpl w:val="60CCF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A4956"/>
    <w:multiLevelType w:val="hybridMultilevel"/>
    <w:tmpl w:val="F03A8A52"/>
    <w:lvl w:ilvl="0" w:tplc="04260001">
      <w:start w:val="1"/>
      <w:numFmt w:val="bullet"/>
      <w:lvlText w:val=""/>
      <w:lvlJc w:val="left"/>
      <w:pPr>
        <w:ind w:left="451" w:hanging="360"/>
      </w:pPr>
      <w:rPr>
        <w:rFonts w:ascii="Symbol" w:hAnsi="Symbol" w:hint="default"/>
      </w:rPr>
    </w:lvl>
    <w:lvl w:ilvl="1" w:tplc="04260003" w:tentative="1">
      <w:start w:val="1"/>
      <w:numFmt w:val="bullet"/>
      <w:lvlText w:val="o"/>
      <w:lvlJc w:val="left"/>
      <w:pPr>
        <w:ind w:left="1171" w:hanging="360"/>
      </w:pPr>
      <w:rPr>
        <w:rFonts w:ascii="Courier New" w:hAnsi="Courier New" w:cs="Courier New" w:hint="default"/>
      </w:rPr>
    </w:lvl>
    <w:lvl w:ilvl="2" w:tplc="04260005" w:tentative="1">
      <w:start w:val="1"/>
      <w:numFmt w:val="bullet"/>
      <w:lvlText w:val=""/>
      <w:lvlJc w:val="left"/>
      <w:pPr>
        <w:ind w:left="1891" w:hanging="360"/>
      </w:pPr>
      <w:rPr>
        <w:rFonts w:ascii="Wingdings" w:hAnsi="Wingdings" w:hint="default"/>
      </w:rPr>
    </w:lvl>
    <w:lvl w:ilvl="3" w:tplc="04260001" w:tentative="1">
      <w:start w:val="1"/>
      <w:numFmt w:val="bullet"/>
      <w:lvlText w:val=""/>
      <w:lvlJc w:val="left"/>
      <w:pPr>
        <w:ind w:left="2611" w:hanging="360"/>
      </w:pPr>
      <w:rPr>
        <w:rFonts w:ascii="Symbol" w:hAnsi="Symbol" w:hint="default"/>
      </w:rPr>
    </w:lvl>
    <w:lvl w:ilvl="4" w:tplc="04260003" w:tentative="1">
      <w:start w:val="1"/>
      <w:numFmt w:val="bullet"/>
      <w:lvlText w:val="o"/>
      <w:lvlJc w:val="left"/>
      <w:pPr>
        <w:ind w:left="3331" w:hanging="360"/>
      </w:pPr>
      <w:rPr>
        <w:rFonts w:ascii="Courier New" w:hAnsi="Courier New" w:cs="Courier New" w:hint="default"/>
      </w:rPr>
    </w:lvl>
    <w:lvl w:ilvl="5" w:tplc="04260005" w:tentative="1">
      <w:start w:val="1"/>
      <w:numFmt w:val="bullet"/>
      <w:lvlText w:val=""/>
      <w:lvlJc w:val="left"/>
      <w:pPr>
        <w:ind w:left="4051" w:hanging="360"/>
      </w:pPr>
      <w:rPr>
        <w:rFonts w:ascii="Wingdings" w:hAnsi="Wingdings" w:hint="default"/>
      </w:rPr>
    </w:lvl>
    <w:lvl w:ilvl="6" w:tplc="04260001" w:tentative="1">
      <w:start w:val="1"/>
      <w:numFmt w:val="bullet"/>
      <w:lvlText w:val=""/>
      <w:lvlJc w:val="left"/>
      <w:pPr>
        <w:ind w:left="4771" w:hanging="360"/>
      </w:pPr>
      <w:rPr>
        <w:rFonts w:ascii="Symbol" w:hAnsi="Symbol" w:hint="default"/>
      </w:rPr>
    </w:lvl>
    <w:lvl w:ilvl="7" w:tplc="04260003" w:tentative="1">
      <w:start w:val="1"/>
      <w:numFmt w:val="bullet"/>
      <w:lvlText w:val="o"/>
      <w:lvlJc w:val="left"/>
      <w:pPr>
        <w:ind w:left="5491" w:hanging="360"/>
      </w:pPr>
      <w:rPr>
        <w:rFonts w:ascii="Courier New" w:hAnsi="Courier New" w:cs="Courier New" w:hint="default"/>
      </w:rPr>
    </w:lvl>
    <w:lvl w:ilvl="8" w:tplc="04260005" w:tentative="1">
      <w:start w:val="1"/>
      <w:numFmt w:val="bullet"/>
      <w:lvlText w:val=""/>
      <w:lvlJc w:val="left"/>
      <w:pPr>
        <w:ind w:left="6211" w:hanging="360"/>
      </w:pPr>
      <w:rPr>
        <w:rFonts w:ascii="Wingdings" w:hAnsi="Wingdings" w:hint="default"/>
      </w:rPr>
    </w:lvl>
  </w:abstractNum>
  <w:abstractNum w:abstractNumId="4" w15:restartNumberingAfterBreak="0">
    <w:nsid w:val="1C5358B2"/>
    <w:multiLevelType w:val="hybridMultilevel"/>
    <w:tmpl w:val="3F60C07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53366"/>
    <w:multiLevelType w:val="hybridMultilevel"/>
    <w:tmpl w:val="224C4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6840FB"/>
    <w:multiLevelType w:val="hybridMultilevel"/>
    <w:tmpl w:val="E2905D54"/>
    <w:lvl w:ilvl="0" w:tplc="04260011">
      <w:start w:val="1"/>
      <w:numFmt w:val="decimal"/>
      <w:lvlText w:val="%1)"/>
      <w:lvlJc w:val="left"/>
      <w:pPr>
        <w:ind w:left="41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FF6C96"/>
    <w:multiLevelType w:val="hybridMultilevel"/>
    <w:tmpl w:val="5DC240BC"/>
    <w:lvl w:ilvl="0" w:tplc="420060EA">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990ADC"/>
    <w:multiLevelType w:val="hybridMultilevel"/>
    <w:tmpl w:val="C5D4D258"/>
    <w:lvl w:ilvl="0" w:tplc="04260011">
      <w:start w:val="1"/>
      <w:numFmt w:val="decimal"/>
      <w:lvlText w:val="%1)"/>
      <w:lvlJc w:val="left"/>
      <w:pPr>
        <w:ind w:left="1301" w:hanging="360"/>
      </w:pPr>
    </w:lvl>
    <w:lvl w:ilvl="1" w:tplc="04260019" w:tentative="1">
      <w:start w:val="1"/>
      <w:numFmt w:val="lowerLetter"/>
      <w:lvlText w:val="%2."/>
      <w:lvlJc w:val="left"/>
      <w:pPr>
        <w:ind w:left="2021" w:hanging="360"/>
      </w:pPr>
    </w:lvl>
    <w:lvl w:ilvl="2" w:tplc="0426001B" w:tentative="1">
      <w:start w:val="1"/>
      <w:numFmt w:val="lowerRoman"/>
      <w:lvlText w:val="%3."/>
      <w:lvlJc w:val="right"/>
      <w:pPr>
        <w:ind w:left="2741" w:hanging="180"/>
      </w:pPr>
    </w:lvl>
    <w:lvl w:ilvl="3" w:tplc="0426000F" w:tentative="1">
      <w:start w:val="1"/>
      <w:numFmt w:val="decimal"/>
      <w:lvlText w:val="%4."/>
      <w:lvlJc w:val="left"/>
      <w:pPr>
        <w:ind w:left="3461" w:hanging="360"/>
      </w:pPr>
    </w:lvl>
    <w:lvl w:ilvl="4" w:tplc="04260019" w:tentative="1">
      <w:start w:val="1"/>
      <w:numFmt w:val="lowerLetter"/>
      <w:lvlText w:val="%5."/>
      <w:lvlJc w:val="left"/>
      <w:pPr>
        <w:ind w:left="4181" w:hanging="360"/>
      </w:pPr>
    </w:lvl>
    <w:lvl w:ilvl="5" w:tplc="0426001B" w:tentative="1">
      <w:start w:val="1"/>
      <w:numFmt w:val="lowerRoman"/>
      <w:lvlText w:val="%6."/>
      <w:lvlJc w:val="right"/>
      <w:pPr>
        <w:ind w:left="4901" w:hanging="180"/>
      </w:pPr>
    </w:lvl>
    <w:lvl w:ilvl="6" w:tplc="0426000F" w:tentative="1">
      <w:start w:val="1"/>
      <w:numFmt w:val="decimal"/>
      <w:lvlText w:val="%7."/>
      <w:lvlJc w:val="left"/>
      <w:pPr>
        <w:ind w:left="5621" w:hanging="360"/>
      </w:pPr>
    </w:lvl>
    <w:lvl w:ilvl="7" w:tplc="04260019" w:tentative="1">
      <w:start w:val="1"/>
      <w:numFmt w:val="lowerLetter"/>
      <w:lvlText w:val="%8."/>
      <w:lvlJc w:val="left"/>
      <w:pPr>
        <w:ind w:left="6341" w:hanging="360"/>
      </w:pPr>
    </w:lvl>
    <w:lvl w:ilvl="8" w:tplc="0426001B" w:tentative="1">
      <w:start w:val="1"/>
      <w:numFmt w:val="lowerRoman"/>
      <w:lvlText w:val="%9."/>
      <w:lvlJc w:val="right"/>
      <w:pPr>
        <w:ind w:left="7061" w:hanging="180"/>
      </w:pPr>
    </w:lvl>
  </w:abstractNum>
  <w:abstractNum w:abstractNumId="10" w15:restartNumberingAfterBreak="0">
    <w:nsid w:val="50225BBA"/>
    <w:multiLevelType w:val="hybridMultilevel"/>
    <w:tmpl w:val="F03E09F6"/>
    <w:lvl w:ilvl="0" w:tplc="F37A2668">
      <w:numFmt w:val="bullet"/>
      <w:lvlText w:val="-"/>
      <w:lvlJc w:val="left"/>
      <w:pPr>
        <w:ind w:left="336" w:hanging="360"/>
      </w:pPr>
      <w:rPr>
        <w:rFonts w:ascii="Times New Roman" w:eastAsia="Times New Roman" w:hAnsi="Times New Roman" w:cs="Times New Roman" w:hint="default"/>
        <w:sz w:val="18"/>
      </w:rPr>
    </w:lvl>
    <w:lvl w:ilvl="1" w:tplc="04260003" w:tentative="1">
      <w:start w:val="1"/>
      <w:numFmt w:val="bullet"/>
      <w:lvlText w:val="o"/>
      <w:lvlJc w:val="left"/>
      <w:pPr>
        <w:ind w:left="1056" w:hanging="360"/>
      </w:pPr>
      <w:rPr>
        <w:rFonts w:ascii="Courier New" w:hAnsi="Courier New" w:cs="Courier New" w:hint="default"/>
      </w:rPr>
    </w:lvl>
    <w:lvl w:ilvl="2" w:tplc="04260005" w:tentative="1">
      <w:start w:val="1"/>
      <w:numFmt w:val="bullet"/>
      <w:lvlText w:val=""/>
      <w:lvlJc w:val="left"/>
      <w:pPr>
        <w:ind w:left="1776" w:hanging="360"/>
      </w:pPr>
      <w:rPr>
        <w:rFonts w:ascii="Wingdings" w:hAnsi="Wingdings" w:hint="default"/>
      </w:rPr>
    </w:lvl>
    <w:lvl w:ilvl="3" w:tplc="04260001" w:tentative="1">
      <w:start w:val="1"/>
      <w:numFmt w:val="bullet"/>
      <w:lvlText w:val=""/>
      <w:lvlJc w:val="left"/>
      <w:pPr>
        <w:ind w:left="2496" w:hanging="360"/>
      </w:pPr>
      <w:rPr>
        <w:rFonts w:ascii="Symbol" w:hAnsi="Symbol" w:hint="default"/>
      </w:rPr>
    </w:lvl>
    <w:lvl w:ilvl="4" w:tplc="04260003" w:tentative="1">
      <w:start w:val="1"/>
      <w:numFmt w:val="bullet"/>
      <w:lvlText w:val="o"/>
      <w:lvlJc w:val="left"/>
      <w:pPr>
        <w:ind w:left="3216" w:hanging="360"/>
      </w:pPr>
      <w:rPr>
        <w:rFonts w:ascii="Courier New" w:hAnsi="Courier New" w:cs="Courier New" w:hint="default"/>
      </w:rPr>
    </w:lvl>
    <w:lvl w:ilvl="5" w:tplc="04260005" w:tentative="1">
      <w:start w:val="1"/>
      <w:numFmt w:val="bullet"/>
      <w:lvlText w:val=""/>
      <w:lvlJc w:val="left"/>
      <w:pPr>
        <w:ind w:left="3936" w:hanging="360"/>
      </w:pPr>
      <w:rPr>
        <w:rFonts w:ascii="Wingdings" w:hAnsi="Wingdings" w:hint="default"/>
      </w:rPr>
    </w:lvl>
    <w:lvl w:ilvl="6" w:tplc="04260001" w:tentative="1">
      <w:start w:val="1"/>
      <w:numFmt w:val="bullet"/>
      <w:lvlText w:val=""/>
      <w:lvlJc w:val="left"/>
      <w:pPr>
        <w:ind w:left="4656" w:hanging="360"/>
      </w:pPr>
      <w:rPr>
        <w:rFonts w:ascii="Symbol" w:hAnsi="Symbol" w:hint="default"/>
      </w:rPr>
    </w:lvl>
    <w:lvl w:ilvl="7" w:tplc="04260003" w:tentative="1">
      <w:start w:val="1"/>
      <w:numFmt w:val="bullet"/>
      <w:lvlText w:val="o"/>
      <w:lvlJc w:val="left"/>
      <w:pPr>
        <w:ind w:left="5376" w:hanging="360"/>
      </w:pPr>
      <w:rPr>
        <w:rFonts w:ascii="Courier New" w:hAnsi="Courier New" w:cs="Courier New" w:hint="default"/>
      </w:rPr>
    </w:lvl>
    <w:lvl w:ilvl="8" w:tplc="04260005" w:tentative="1">
      <w:start w:val="1"/>
      <w:numFmt w:val="bullet"/>
      <w:lvlText w:val=""/>
      <w:lvlJc w:val="left"/>
      <w:pPr>
        <w:ind w:left="6096" w:hanging="360"/>
      </w:pPr>
      <w:rPr>
        <w:rFonts w:ascii="Wingdings" w:hAnsi="Wingdings" w:hint="default"/>
      </w:rPr>
    </w:lvl>
  </w:abstractNum>
  <w:abstractNum w:abstractNumId="11" w15:restartNumberingAfterBreak="0">
    <w:nsid w:val="54660A86"/>
    <w:multiLevelType w:val="hybridMultilevel"/>
    <w:tmpl w:val="B366CA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5AD02DE2"/>
    <w:multiLevelType w:val="hybridMultilevel"/>
    <w:tmpl w:val="2050190E"/>
    <w:lvl w:ilvl="0" w:tplc="4E081DF6">
      <w:numFmt w:val="bullet"/>
      <w:lvlText w:val="-"/>
      <w:lvlJc w:val="left"/>
      <w:pPr>
        <w:ind w:left="435" w:hanging="360"/>
      </w:pPr>
      <w:rPr>
        <w:rFonts w:ascii="Verdana" w:eastAsia="Calibri" w:hAnsi="Verdana" w:cs="Calibri" w:hint="default"/>
        <w:color w:val="44546A"/>
      </w:rPr>
    </w:lvl>
    <w:lvl w:ilvl="1" w:tplc="BFE662A4">
      <w:start w:val="1"/>
      <w:numFmt w:val="bullet"/>
      <w:lvlText w:val="o"/>
      <w:lvlJc w:val="left"/>
      <w:pPr>
        <w:ind w:left="1155" w:hanging="360"/>
      </w:pPr>
      <w:rPr>
        <w:rFonts w:ascii="Courier New" w:hAnsi="Courier New" w:cs="Courier New" w:hint="default"/>
      </w:rPr>
    </w:lvl>
    <w:lvl w:ilvl="2" w:tplc="B0C287E8">
      <w:start w:val="1"/>
      <w:numFmt w:val="bullet"/>
      <w:lvlText w:val=""/>
      <w:lvlJc w:val="left"/>
      <w:pPr>
        <w:ind w:left="1875" w:hanging="360"/>
      </w:pPr>
      <w:rPr>
        <w:rFonts w:ascii="Wingdings" w:hAnsi="Wingdings" w:hint="default"/>
      </w:rPr>
    </w:lvl>
    <w:lvl w:ilvl="3" w:tplc="2E500A96">
      <w:start w:val="1"/>
      <w:numFmt w:val="bullet"/>
      <w:lvlText w:val=""/>
      <w:lvlJc w:val="left"/>
      <w:pPr>
        <w:ind w:left="2595" w:hanging="360"/>
      </w:pPr>
      <w:rPr>
        <w:rFonts w:ascii="Symbol" w:hAnsi="Symbol" w:hint="default"/>
      </w:rPr>
    </w:lvl>
    <w:lvl w:ilvl="4" w:tplc="78AE3D38">
      <w:start w:val="1"/>
      <w:numFmt w:val="bullet"/>
      <w:lvlText w:val="o"/>
      <w:lvlJc w:val="left"/>
      <w:pPr>
        <w:ind w:left="3315" w:hanging="360"/>
      </w:pPr>
      <w:rPr>
        <w:rFonts w:ascii="Courier New" w:hAnsi="Courier New" w:cs="Courier New" w:hint="default"/>
      </w:rPr>
    </w:lvl>
    <w:lvl w:ilvl="5" w:tplc="1EFADB66">
      <w:start w:val="1"/>
      <w:numFmt w:val="bullet"/>
      <w:lvlText w:val=""/>
      <w:lvlJc w:val="left"/>
      <w:pPr>
        <w:ind w:left="4035" w:hanging="360"/>
      </w:pPr>
      <w:rPr>
        <w:rFonts w:ascii="Wingdings" w:hAnsi="Wingdings" w:hint="default"/>
      </w:rPr>
    </w:lvl>
    <w:lvl w:ilvl="6" w:tplc="9BCA2044">
      <w:start w:val="1"/>
      <w:numFmt w:val="bullet"/>
      <w:lvlText w:val=""/>
      <w:lvlJc w:val="left"/>
      <w:pPr>
        <w:ind w:left="4755" w:hanging="360"/>
      </w:pPr>
      <w:rPr>
        <w:rFonts w:ascii="Symbol" w:hAnsi="Symbol" w:hint="default"/>
      </w:rPr>
    </w:lvl>
    <w:lvl w:ilvl="7" w:tplc="2C52BC5A">
      <w:start w:val="1"/>
      <w:numFmt w:val="bullet"/>
      <w:lvlText w:val="o"/>
      <w:lvlJc w:val="left"/>
      <w:pPr>
        <w:ind w:left="5475" w:hanging="360"/>
      </w:pPr>
      <w:rPr>
        <w:rFonts w:ascii="Courier New" w:hAnsi="Courier New" w:cs="Courier New" w:hint="default"/>
      </w:rPr>
    </w:lvl>
    <w:lvl w:ilvl="8" w:tplc="4FFAA112">
      <w:start w:val="1"/>
      <w:numFmt w:val="bullet"/>
      <w:lvlText w:val=""/>
      <w:lvlJc w:val="left"/>
      <w:pPr>
        <w:ind w:left="6195" w:hanging="360"/>
      </w:pPr>
      <w:rPr>
        <w:rFonts w:ascii="Wingdings" w:hAnsi="Wingdings" w:hint="default"/>
      </w:rPr>
    </w:lvl>
  </w:abstractNum>
  <w:abstractNum w:abstractNumId="13" w15:restartNumberingAfterBreak="0">
    <w:nsid w:val="659B2B74"/>
    <w:multiLevelType w:val="hybridMultilevel"/>
    <w:tmpl w:val="44781BE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57702F"/>
    <w:multiLevelType w:val="hybridMultilevel"/>
    <w:tmpl w:val="F1527AF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723231E8"/>
    <w:multiLevelType w:val="hybridMultilevel"/>
    <w:tmpl w:val="19E82AE6"/>
    <w:lvl w:ilvl="0" w:tplc="9DE4DDA2">
      <w:start w:val="1"/>
      <w:numFmt w:val="bullet"/>
      <w:lvlText w:val="-"/>
      <w:lvlJc w:val="left"/>
      <w:pPr>
        <w:ind w:left="336" w:hanging="360"/>
      </w:pPr>
      <w:rPr>
        <w:rFonts w:ascii="Times New Roman" w:eastAsia="Times New Roman" w:hAnsi="Times New Roman" w:cs="Times New Roman" w:hint="default"/>
        <w:sz w:val="18"/>
      </w:rPr>
    </w:lvl>
    <w:lvl w:ilvl="1" w:tplc="04260003" w:tentative="1">
      <w:start w:val="1"/>
      <w:numFmt w:val="bullet"/>
      <w:lvlText w:val="o"/>
      <w:lvlJc w:val="left"/>
      <w:pPr>
        <w:ind w:left="1056" w:hanging="360"/>
      </w:pPr>
      <w:rPr>
        <w:rFonts w:ascii="Courier New" w:hAnsi="Courier New" w:cs="Courier New" w:hint="default"/>
      </w:rPr>
    </w:lvl>
    <w:lvl w:ilvl="2" w:tplc="04260005" w:tentative="1">
      <w:start w:val="1"/>
      <w:numFmt w:val="bullet"/>
      <w:lvlText w:val=""/>
      <w:lvlJc w:val="left"/>
      <w:pPr>
        <w:ind w:left="1776" w:hanging="360"/>
      </w:pPr>
      <w:rPr>
        <w:rFonts w:ascii="Wingdings" w:hAnsi="Wingdings" w:hint="default"/>
      </w:rPr>
    </w:lvl>
    <w:lvl w:ilvl="3" w:tplc="04260001" w:tentative="1">
      <w:start w:val="1"/>
      <w:numFmt w:val="bullet"/>
      <w:lvlText w:val=""/>
      <w:lvlJc w:val="left"/>
      <w:pPr>
        <w:ind w:left="2496" w:hanging="360"/>
      </w:pPr>
      <w:rPr>
        <w:rFonts w:ascii="Symbol" w:hAnsi="Symbol" w:hint="default"/>
      </w:rPr>
    </w:lvl>
    <w:lvl w:ilvl="4" w:tplc="04260003" w:tentative="1">
      <w:start w:val="1"/>
      <w:numFmt w:val="bullet"/>
      <w:lvlText w:val="o"/>
      <w:lvlJc w:val="left"/>
      <w:pPr>
        <w:ind w:left="3216" w:hanging="360"/>
      </w:pPr>
      <w:rPr>
        <w:rFonts w:ascii="Courier New" w:hAnsi="Courier New" w:cs="Courier New" w:hint="default"/>
      </w:rPr>
    </w:lvl>
    <w:lvl w:ilvl="5" w:tplc="04260005" w:tentative="1">
      <w:start w:val="1"/>
      <w:numFmt w:val="bullet"/>
      <w:lvlText w:val=""/>
      <w:lvlJc w:val="left"/>
      <w:pPr>
        <w:ind w:left="3936" w:hanging="360"/>
      </w:pPr>
      <w:rPr>
        <w:rFonts w:ascii="Wingdings" w:hAnsi="Wingdings" w:hint="default"/>
      </w:rPr>
    </w:lvl>
    <w:lvl w:ilvl="6" w:tplc="04260001" w:tentative="1">
      <w:start w:val="1"/>
      <w:numFmt w:val="bullet"/>
      <w:lvlText w:val=""/>
      <w:lvlJc w:val="left"/>
      <w:pPr>
        <w:ind w:left="4656" w:hanging="360"/>
      </w:pPr>
      <w:rPr>
        <w:rFonts w:ascii="Symbol" w:hAnsi="Symbol" w:hint="default"/>
      </w:rPr>
    </w:lvl>
    <w:lvl w:ilvl="7" w:tplc="04260003" w:tentative="1">
      <w:start w:val="1"/>
      <w:numFmt w:val="bullet"/>
      <w:lvlText w:val="o"/>
      <w:lvlJc w:val="left"/>
      <w:pPr>
        <w:ind w:left="5376" w:hanging="360"/>
      </w:pPr>
      <w:rPr>
        <w:rFonts w:ascii="Courier New" w:hAnsi="Courier New" w:cs="Courier New" w:hint="default"/>
      </w:rPr>
    </w:lvl>
    <w:lvl w:ilvl="8" w:tplc="04260005" w:tentative="1">
      <w:start w:val="1"/>
      <w:numFmt w:val="bullet"/>
      <w:lvlText w:val=""/>
      <w:lvlJc w:val="left"/>
      <w:pPr>
        <w:ind w:left="6096" w:hanging="360"/>
      </w:pPr>
      <w:rPr>
        <w:rFonts w:ascii="Wingdings" w:hAnsi="Wingdings" w:hint="default"/>
      </w:rPr>
    </w:lvl>
  </w:abstractNum>
  <w:num w:numId="1">
    <w:abstractNumId w:val="5"/>
  </w:num>
  <w:num w:numId="2">
    <w:abstractNumId w:val="14"/>
  </w:num>
  <w:num w:numId="3">
    <w:abstractNumId w:val="6"/>
  </w:num>
  <w:num w:numId="4">
    <w:abstractNumId w:val="7"/>
  </w:num>
  <w:num w:numId="5">
    <w:abstractNumId w:val="13"/>
  </w:num>
  <w:num w:numId="6">
    <w:abstractNumId w:val="4"/>
  </w:num>
  <w:num w:numId="7">
    <w:abstractNumId w:val="2"/>
  </w:num>
  <w:num w:numId="8">
    <w:abstractNumId w:val="12"/>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8"/>
  </w:num>
  <w:num w:numId="14">
    <w:abstractNumId w:val="10"/>
  </w:num>
  <w:num w:numId="15">
    <w:abstractNumId w:val="15"/>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6048"/>
    <w:rsid w:val="00007DAE"/>
    <w:rsid w:val="00013003"/>
    <w:rsid w:val="000155E9"/>
    <w:rsid w:val="000200F4"/>
    <w:rsid w:val="000202DF"/>
    <w:rsid w:val="00020308"/>
    <w:rsid w:val="00022CC2"/>
    <w:rsid w:val="0002409B"/>
    <w:rsid w:val="000248A4"/>
    <w:rsid w:val="000313C7"/>
    <w:rsid w:val="00032750"/>
    <w:rsid w:val="00032BD5"/>
    <w:rsid w:val="00033A9D"/>
    <w:rsid w:val="000345DF"/>
    <w:rsid w:val="00037A27"/>
    <w:rsid w:val="00037E10"/>
    <w:rsid w:val="00042DA4"/>
    <w:rsid w:val="0004563E"/>
    <w:rsid w:val="00045D58"/>
    <w:rsid w:val="0004691D"/>
    <w:rsid w:val="00047983"/>
    <w:rsid w:val="000509AE"/>
    <w:rsid w:val="000534A1"/>
    <w:rsid w:val="0005388A"/>
    <w:rsid w:val="0005410C"/>
    <w:rsid w:val="00056020"/>
    <w:rsid w:val="0006078E"/>
    <w:rsid w:val="00060D6E"/>
    <w:rsid w:val="00061558"/>
    <w:rsid w:val="00062A1B"/>
    <w:rsid w:val="0006648C"/>
    <w:rsid w:val="0006654C"/>
    <w:rsid w:val="000675F1"/>
    <w:rsid w:val="00070F98"/>
    <w:rsid w:val="000733F4"/>
    <w:rsid w:val="0007727D"/>
    <w:rsid w:val="0007735B"/>
    <w:rsid w:val="00077E24"/>
    <w:rsid w:val="00080C1E"/>
    <w:rsid w:val="0008116A"/>
    <w:rsid w:val="00083B07"/>
    <w:rsid w:val="00090D31"/>
    <w:rsid w:val="0009200A"/>
    <w:rsid w:val="000928FD"/>
    <w:rsid w:val="0009693C"/>
    <w:rsid w:val="000A3C74"/>
    <w:rsid w:val="000A6BBC"/>
    <w:rsid w:val="000B2357"/>
    <w:rsid w:val="000B2D29"/>
    <w:rsid w:val="000B35BE"/>
    <w:rsid w:val="000B5661"/>
    <w:rsid w:val="000C01F9"/>
    <w:rsid w:val="000C16B6"/>
    <w:rsid w:val="000C4286"/>
    <w:rsid w:val="000C525D"/>
    <w:rsid w:val="000C5394"/>
    <w:rsid w:val="000D06F6"/>
    <w:rsid w:val="000D21D7"/>
    <w:rsid w:val="000E6150"/>
    <w:rsid w:val="000E6902"/>
    <w:rsid w:val="000E6D37"/>
    <w:rsid w:val="000F02CC"/>
    <w:rsid w:val="000F3FE8"/>
    <w:rsid w:val="00101951"/>
    <w:rsid w:val="0010240C"/>
    <w:rsid w:val="00102A1B"/>
    <w:rsid w:val="00103FFF"/>
    <w:rsid w:val="00107E61"/>
    <w:rsid w:val="0011002E"/>
    <w:rsid w:val="00110A95"/>
    <w:rsid w:val="00111E95"/>
    <w:rsid w:val="00113265"/>
    <w:rsid w:val="001134C3"/>
    <w:rsid w:val="0012060E"/>
    <w:rsid w:val="00120C69"/>
    <w:rsid w:val="00122EEB"/>
    <w:rsid w:val="001245BB"/>
    <w:rsid w:val="0013157C"/>
    <w:rsid w:val="00136A83"/>
    <w:rsid w:val="00136F9D"/>
    <w:rsid w:val="001411BA"/>
    <w:rsid w:val="0014204D"/>
    <w:rsid w:val="00144291"/>
    <w:rsid w:val="001447CB"/>
    <w:rsid w:val="001461DA"/>
    <w:rsid w:val="001505BC"/>
    <w:rsid w:val="00155043"/>
    <w:rsid w:val="0016021E"/>
    <w:rsid w:val="001609A9"/>
    <w:rsid w:val="0016477B"/>
    <w:rsid w:val="00167FC0"/>
    <w:rsid w:val="00170835"/>
    <w:rsid w:val="00173C62"/>
    <w:rsid w:val="00176B5D"/>
    <w:rsid w:val="00181D11"/>
    <w:rsid w:val="00192784"/>
    <w:rsid w:val="00193266"/>
    <w:rsid w:val="00194CD7"/>
    <w:rsid w:val="0019700D"/>
    <w:rsid w:val="0019719A"/>
    <w:rsid w:val="001A0BFE"/>
    <w:rsid w:val="001A1078"/>
    <w:rsid w:val="001A2B8B"/>
    <w:rsid w:val="001A3685"/>
    <w:rsid w:val="001A5B85"/>
    <w:rsid w:val="001A7495"/>
    <w:rsid w:val="001B49EC"/>
    <w:rsid w:val="001B6A20"/>
    <w:rsid w:val="001B705B"/>
    <w:rsid w:val="001B7392"/>
    <w:rsid w:val="001C2B45"/>
    <w:rsid w:val="001C4776"/>
    <w:rsid w:val="001D5719"/>
    <w:rsid w:val="001D59CE"/>
    <w:rsid w:val="001D65A5"/>
    <w:rsid w:val="001E1A8C"/>
    <w:rsid w:val="001E2776"/>
    <w:rsid w:val="001E5156"/>
    <w:rsid w:val="001E5AC8"/>
    <w:rsid w:val="001E67C6"/>
    <w:rsid w:val="001F0ADE"/>
    <w:rsid w:val="001F1905"/>
    <w:rsid w:val="001F1E2A"/>
    <w:rsid w:val="001F53EA"/>
    <w:rsid w:val="001F5F1E"/>
    <w:rsid w:val="00201A82"/>
    <w:rsid w:val="00205209"/>
    <w:rsid w:val="00205F79"/>
    <w:rsid w:val="00210288"/>
    <w:rsid w:val="00212CF6"/>
    <w:rsid w:val="00212E8D"/>
    <w:rsid w:val="00224C68"/>
    <w:rsid w:val="0022550F"/>
    <w:rsid w:val="002257D6"/>
    <w:rsid w:val="002266AA"/>
    <w:rsid w:val="00227499"/>
    <w:rsid w:val="002351BC"/>
    <w:rsid w:val="00235FA9"/>
    <w:rsid w:val="002405FA"/>
    <w:rsid w:val="002410AE"/>
    <w:rsid w:val="002478F2"/>
    <w:rsid w:val="002503A2"/>
    <w:rsid w:val="00251477"/>
    <w:rsid w:val="002524F3"/>
    <w:rsid w:val="00262AD5"/>
    <w:rsid w:val="00267729"/>
    <w:rsid w:val="002718AA"/>
    <w:rsid w:val="00281127"/>
    <w:rsid w:val="00282E13"/>
    <w:rsid w:val="00287082"/>
    <w:rsid w:val="0028789E"/>
    <w:rsid w:val="00287DDF"/>
    <w:rsid w:val="00293C69"/>
    <w:rsid w:val="002946DB"/>
    <w:rsid w:val="002958FB"/>
    <w:rsid w:val="002A0C4E"/>
    <w:rsid w:val="002A0C8C"/>
    <w:rsid w:val="002A3FAE"/>
    <w:rsid w:val="002A440A"/>
    <w:rsid w:val="002A774F"/>
    <w:rsid w:val="002B00BA"/>
    <w:rsid w:val="002B0D68"/>
    <w:rsid w:val="002B1168"/>
    <w:rsid w:val="002B393D"/>
    <w:rsid w:val="002B71EB"/>
    <w:rsid w:val="002C1C7A"/>
    <w:rsid w:val="002C2564"/>
    <w:rsid w:val="002C6BCC"/>
    <w:rsid w:val="002C7221"/>
    <w:rsid w:val="002D1B9E"/>
    <w:rsid w:val="002D4656"/>
    <w:rsid w:val="002D7687"/>
    <w:rsid w:val="002E266B"/>
    <w:rsid w:val="002E3D19"/>
    <w:rsid w:val="002E7256"/>
    <w:rsid w:val="002F0075"/>
    <w:rsid w:val="002F1692"/>
    <w:rsid w:val="002F1B0D"/>
    <w:rsid w:val="003039AC"/>
    <w:rsid w:val="00304B0B"/>
    <w:rsid w:val="003067F0"/>
    <w:rsid w:val="00310D23"/>
    <w:rsid w:val="00313CD0"/>
    <w:rsid w:val="00314AE9"/>
    <w:rsid w:val="003154CD"/>
    <w:rsid w:val="0032585A"/>
    <w:rsid w:val="00331C69"/>
    <w:rsid w:val="00335DD7"/>
    <w:rsid w:val="00345DB4"/>
    <w:rsid w:val="00351CC8"/>
    <w:rsid w:val="00351EBF"/>
    <w:rsid w:val="00361099"/>
    <w:rsid w:val="00361B15"/>
    <w:rsid w:val="00363C76"/>
    <w:rsid w:val="00365316"/>
    <w:rsid w:val="00371F0A"/>
    <w:rsid w:val="003746B1"/>
    <w:rsid w:val="00376A2C"/>
    <w:rsid w:val="00380000"/>
    <w:rsid w:val="00384768"/>
    <w:rsid w:val="00385BC3"/>
    <w:rsid w:val="003877D2"/>
    <w:rsid w:val="00387BE6"/>
    <w:rsid w:val="00391C27"/>
    <w:rsid w:val="003937EE"/>
    <w:rsid w:val="003A1C41"/>
    <w:rsid w:val="003A5E7D"/>
    <w:rsid w:val="003A7CB8"/>
    <w:rsid w:val="003B1931"/>
    <w:rsid w:val="003B2704"/>
    <w:rsid w:val="003B3708"/>
    <w:rsid w:val="003B4207"/>
    <w:rsid w:val="003C032D"/>
    <w:rsid w:val="003C0685"/>
    <w:rsid w:val="003C5EDC"/>
    <w:rsid w:val="003D32D2"/>
    <w:rsid w:val="003D5111"/>
    <w:rsid w:val="003E5E54"/>
    <w:rsid w:val="003F0C50"/>
    <w:rsid w:val="003F149D"/>
    <w:rsid w:val="003F1AC1"/>
    <w:rsid w:val="003F202D"/>
    <w:rsid w:val="003F3EA8"/>
    <w:rsid w:val="003F7A86"/>
    <w:rsid w:val="003F7FF3"/>
    <w:rsid w:val="00400AEC"/>
    <w:rsid w:val="00402519"/>
    <w:rsid w:val="00403305"/>
    <w:rsid w:val="004047F6"/>
    <w:rsid w:val="004058D7"/>
    <w:rsid w:val="00412936"/>
    <w:rsid w:val="0041554A"/>
    <w:rsid w:val="00415FBD"/>
    <w:rsid w:val="00420170"/>
    <w:rsid w:val="004221AC"/>
    <w:rsid w:val="0042376D"/>
    <w:rsid w:val="00424264"/>
    <w:rsid w:val="00425C8B"/>
    <w:rsid w:val="00425FE8"/>
    <w:rsid w:val="004270F6"/>
    <w:rsid w:val="0043110F"/>
    <w:rsid w:val="004325A4"/>
    <w:rsid w:val="004341DB"/>
    <w:rsid w:val="00434AD6"/>
    <w:rsid w:val="00434DDA"/>
    <w:rsid w:val="00435837"/>
    <w:rsid w:val="0043657F"/>
    <w:rsid w:val="0044288D"/>
    <w:rsid w:val="00445247"/>
    <w:rsid w:val="004460A6"/>
    <w:rsid w:val="004462FA"/>
    <w:rsid w:val="00446CC3"/>
    <w:rsid w:val="00454AC7"/>
    <w:rsid w:val="00464F3B"/>
    <w:rsid w:val="0046589A"/>
    <w:rsid w:val="00471863"/>
    <w:rsid w:val="00472551"/>
    <w:rsid w:val="004726D2"/>
    <w:rsid w:val="004759BB"/>
    <w:rsid w:val="00476421"/>
    <w:rsid w:val="00476715"/>
    <w:rsid w:val="004846F6"/>
    <w:rsid w:val="004858BA"/>
    <w:rsid w:val="00487249"/>
    <w:rsid w:val="004874D7"/>
    <w:rsid w:val="0049010C"/>
    <w:rsid w:val="004917A8"/>
    <w:rsid w:val="004938C9"/>
    <w:rsid w:val="00494B3A"/>
    <w:rsid w:val="00497AEC"/>
    <w:rsid w:val="00497E5D"/>
    <w:rsid w:val="004A09A4"/>
    <w:rsid w:val="004A210E"/>
    <w:rsid w:val="004A2967"/>
    <w:rsid w:val="004A3B43"/>
    <w:rsid w:val="004A3CE7"/>
    <w:rsid w:val="004A7273"/>
    <w:rsid w:val="004A7411"/>
    <w:rsid w:val="004B0BCA"/>
    <w:rsid w:val="004B1E1D"/>
    <w:rsid w:val="004B6D4F"/>
    <w:rsid w:val="004C6A47"/>
    <w:rsid w:val="004C7217"/>
    <w:rsid w:val="004C7FDD"/>
    <w:rsid w:val="004D1DE7"/>
    <w:rsid w:val="004D28F0"/>
    <w:rsid w:val="004D2A34"/>
    <w:rsid w:val="004D682A"/>
    <w:rsid w:val="004E00B8"/>
    <w:rsid w:val="004E2568"/>
    <w:rsid w:val="004E36F7"/>
    <w:rsid w:val="004E524F"/>
    <w:rsid w:val="004E698C"/>
    <w:rsid w:val="004E7E4B"/>
    <w:rsid w:val="004F18E1"/>
    <w:rsid w:val="004F1F27"/>
    <w:rsid w:val="004F58BA"/>
    <w:rsid w:val="004F5DC3"/>
    <w:rsid w:val="00500C5F"/>
    <w:rsid w:val="005028DD"/>
    <w:rsid w:val="005036DE"/>
    <w:rsid w:val="00503CAD"/>
    <w:rsid w:val="005143D8"/>
    <w:rsid w:val="00514F69"/>
    <w:rsid w:val="00520B03"/>
    <w:rsid w:val="0052330B"/>
    <w:rsid w:val="005235DB"/>
    <w:rsid w:val="00524B6E"/>
    <w:rsid w:val="00534194"/>
    <w:rsid w:val="00535B4E"/>
    <w:rsid w:val="00541E09"/>
    <w:rsid w:val="00553F03"/>
    <w:rsid w:val="0055429A"/>
    <w:rsid w:val="00554AF4"/>
    <w:rsid w:val="005604C8"/>
    <w:rsid w:val="00562A99"/>
    <w:rsid w:val="00563157"/>
    <w:rsid w:val="0056382D"/>
    <w:rsid w:val="00563DD7"/>
    <w:rsid w:val="00565218"/>
    <w:rsid w:val="00573942"/>
    <w:rsid w:val="00574CBA"/>
    <w:rsid w:val="00576870"/>
    <w:rsid w:val="00577670"/>
    <w:rsid w:val="00580E9D"/>
    <w:rsid w:val="00585042"/>
    <w:rsid w:val="00591465"/>
    <w:rsid w:val="005935D8"/>
    <w:rsid w:val="005A2D40"/>
    <w:rsid w:val="005A63DA"/>
    <w:rsid w:val="005B5CD8"/>
    <w:rsid w:val="005B5FD7"/>
    <w:rsid w:val="005B77BF"/>
    <w:rsid w:val="005C101C"/>
    <w:rsid w:val="005C1F8F"/>
    <w:rsid w:val="005C24A0"/>
    <w:rsid w:val="005C2946"/>
    <w:rsid w:val="005C3D36"/>
    <w:rsid w:val="005C435D"/>
    <w:rsid w:val="005D04D1"/>
    <w:rsid w:val="005D0BD1"/>
    <w:rsid w:val="005D25D2"/>
    <w:rsid w:val="005D426C"/>
    <w:rsid w:val="005D610D"/>
    <w:rsid w:val="005D6227"/>
    <w:rsid w:val="005E109C"/>
    <w:rsid w:val="005E29E1"/>
    <w:rsid w:val="005E6586"/>
    <w:rsid w:val="005E7C8B"/>
    <w:rsid w:val="0060041D"/>
    <w:rsid w:val="00603F7D"/>
    <w:rsid w:val="0060468F"/>
    <w:rsid w:val="006047CD"/>
    <w:rsid w:val="00611F12"/>
    <w:rsid w:val="006136C9"/>
    <w:rsid w:val="00613771"/>
    <w:rsid w:val="00613D4D"/>
    <w:rsid w:val="00614D39"/>
    <w:rsid w:val="00617F01"/>
    <w:rsid w:val="006210B4"/>
    <w:rsid w:val="00622E97"/>
    <w:rsid w:val="0062705F"/>
    <w:rsid w:val="00627B78"/>
    <w:rsid w:val="006318FB"/>
    <w:rsid w:val="00633115"/>
    <w:rsid w:val="00634440"/>
    <w:rsid w:val="0063563A"/>
    <w:rsid w:val="00644A6C"/>
    <w:rsid w:val="00645520"/>
    <w:rsid w:val="006507E9"/>
    <w:rsid w:val="00656189"/>
    <w:rsid w:val="006612AC"/>
    <w:rsid w:val="00661354"/>
    <w:rsid w:val="00661435"/>
    <w:rsid w:val="00662A0F"/>
    <w:rsid w:val="00664D9E"/>
    <w:rsid w:val="00665AA1"/>
    <w:rsid w:val="0067187B"/>
    <w:rsid w:val="006733EC"/>
    <w:rsid w:val="006810D9"/>
    <w:rsid w:val="006814BB"/>
    <w:rsid w:val="006856C8"/>
    <w:rsid w:val="0068635C"/>
    <w:rsid w:val="006869E3"/>
    <w:rsid w:val="00686B9F"/>
    <w:rsid w:val="00686FBD"/>
    <w:rsid w:val="00687BDE"/>
    <w:rsid w:val="006915DF"/>
    <w:rsid w:val="00695466"/>
    <w:rsid w:val="006A22AA"/>
    <w:rsid w:val="006A46C1"/>
    <w:rsid w:val="006A5A30"/>
    <w:rsid w:val="006A618F"/>
    <w:rsid w:val="006B0774"/>
    <w:rsid w:val="006B1250"/>
    <w:rsid w:val="006B58CD"/>
    <w:rsid w:val="006B59F3"/>
    <w:rsid w:val="006B6753"/>
    <w:rsid w:val="006C0FCB"/>
    <w:rsid w:val="006C128C"/>
    <w:rsid w:val="006C2113"/>
    <w:rsid w:val="006C32B1"/>
    <w:rsid w:val="006C337B"/>
    <w:rsid w:val="006C39C3"/>
    <w:rsid w:val="006C39F9"/>
    <w:rsid w:val="006D1896"/>
    <w:rsid w:val="006D2490"/>
    <w:rsid w:val="006E1E1C"/>
    <w:rsid w:val="006E59D1"/>
    <w:rsid w:val="006F00B8"/>
    <w:rsid w:val="006F3B44"/>
    <w:rsid w:val="007010B1"/>
    <w:rsid w:val="007029E5"/>
    <w:rsid w:val="0070373A"/>
    <w:rsid w:val="00704574"/>
    <w:rsid w:val="00706415"/>
    <w:rsid w:val="0070692E"/>
    <w:rsid w:val="0070733B"/>
    <w:rsid w:val="007078D9"/>
    <w:rsid w:val="007117BD"/>
    <w:rsid w:val="00712153"/>
    <w:rsid w:val="00712411"/>
    <w:rsid w:val="0071533F"/>
    <w:rsid w:val="0072007B"/>
    <w:rsid w:val="00726538"/>
    <w:rsid w:val="0072740C"/>
    <w:rsid w:val="00732BE7"/>
    <w:rsid w:val="00734125"/>
    <w:rsid w:val="00734132"/>
    <w:rsid w:val="007410D8"/>
    <w:rsid w:val="00744A9F"/>
    <w:rsid w:val="007456ED"/>
    <w:rsid w:val="00746E52"/>
    <w:rsid w:val="00747909"/>
    <w:rsid w:val="007501F4"/>
    <w:rsid w:val="0075072F"/>
    <w:rsid w:val="00750D5B"/>
    <w:rsid w:val="00751171"/>
    <w:rsid w:val="00751AC6"/>
    <w:rsid w:val="00763209"/>
    <w:rsid w:val="007634FE"/>
    <w:rsid w:val="00766236"/>
    <w:rsid w:val="00771AC3"/>
    <w:rsid w:val="007724D7"/>
    <w:rsid w:val="0077592A"/>
    <w:rsid w:val="007779DE"/>
    <w:rsid w:val="007815CA"/>
    <w:rsid w:val="00783E8E"/>
    <w:rsid w:val="00785367"/>
    <w:rsid w:val="00790184"/>
    <w:rsid w:val="007918ED"/>
    <w:rsid w:val="00793869"/>
    <w:rsid w:val="00794981"/>
    <w:rsid w:val="00794C20"/>
    <w:rsid w:val="007A11B4"/>
    <w:rsid w:val="007A1485"/>
    <w:rsid w:val="007A3293"/>
    <w:rsid w:val="007A40E4"/>
    <w:rsid w:val="007A5A52"/>
    <w:rsid w:val="007B0950"/>
    <w:rsid w:val="007B0F97"/>
    <w:rsid w:val="007B1054"/>
    <w:rsid w:val="007B2631"/>
    <w:rsid w:val="007B2845"/>
    <w:rsid w:val="007B7BE8"/>
    <w:rsid w:val="007C5BAD"/>
    <w:rsid w:val="007D225E"/>
    <w:rsid w:val="007D3188"/>
    <w:rsid w:val="007E0F79"/>
    <w:rsid w:val="007E1530"/>
    <w:rsid w:val="007E2B61"/>
    <w:rsid w:val="007E625B"/>
    <w:rsid w:val="0080131E"/>
    <w:rsid w:val="008048BD"/>
    <w:rsid w:val="00807DFD"/>
    <w:rsid w:val="008106EB"/>
    <w:rsid w:val="00812105"/>
    <w:rsid w:val="00823674"/>
    <w:rsid w:val="008278A1"/>
    <w:rsid w:val="00832A73"/>
    <w:rsid w:val="00834034"/>
    <w:rsid w:val="00840687"/>
    <w:rsid w:val="0084300E"/>
    <w:rsid w:val="0084570C"/>
    <w:rsid w:val="008463E7"/>
    <w:rsid w:val="00846F93"/>
    <w:rsid w:val="00847AAC"/>
    <w:rsid w:val="00853D60"/>
    <w:rsid w:val="008559F3"/>
    <w:rsid w:val="0086271D"/>
    <w:rsid w:val="0086425A"/>
    <w:rsid w:val="0086704C"/>
    <w:rsid w:val="00867A25"/>
    <w:rsid w:val="00877771"/>
    <w:rsid w:val="0087799F"/>
    <w:rsid w:val="008802B7"/>
    <w:rsid w:val="00884DD8"/>
    <w:rsid w:val="008959C5"/>
    <w:rsid w:val="00896D55"/>
    <w:rsid w:val="008A0463"/>
    <w:rsid w:val="008A10E6"/>
    <w:rsid w:val="008A30C3"/>
    <w:rsid w:val="008A3A38"/>
    <w:rsid w:val="008A59DE"/>
    <w:rsid w:val="008B1728"/>
    <w:rsid w:val="008B2EA9"/>
    <w:rsid w:val="008B7BD5"/>
    <w:rsid w:val="008C0464"/>
    <w:rsid w:val="008C379F"/>
    <w:rsid w:val="008C3DFF"/>
    <w:rsid w:val="008C4B79"/>
    <w:rsid w:val="008C617D"/>
    <w:rsid w:val="008D03C1"/>
    <w:rsid w:val="008D47F0"/>
    <w:rsid w:val="008D5192"/>
    <w:rsid w:val="008D79FB"/>
    <w:rsid w:val="008F3B83"/>
    <w:rsid w:val="008F58F7"/>
    <w:rsid w:val="008F77C9"/>
    <w:rsid w:val="0090153C"/>
    <w:rsid w:val="00903596"/>
    <w:rsid w:val="00903FFA"/>
    <w:rsid w:val="00905376"/>
    <w:rsid w:val="0091076C"/>
    <w:rsid w:val="00911D64"/>
    <w:rsid w:val="009124EE"/>
    <w:rsid w:val="009142AD"/>
    <w:rsid w:val="009252A1"/>
    <w:rsid w:val="00930CA8"/>
    <w:rsid w:val="00931882"/>
    <w:rsid w:val="00935E90"/>
    <w:rsid w:val="00940B32"/>
    <w:rsid w:val="009440E5"/>
    <w:rsid w:val="009444B2"/>
    <w:rsid w:val="00945414"/>
    <w:rsid w:val="00953884"/>
    <w:rsid w:val="00955A58"/>
    <w:rsid w:val="00955D6F"/>
    <w:rsid w:val="00961E18"/>
    <w:rsid w:val="00963182"/>
    <w:rsid w:val="009673EE"/>
    <w:rsid w:val="00967B8B"/>
    <w:rsid w:val="009700BE"/>
    <w:rsid w:val="00977222"/>
    <w:rsid w:val="00980180"/>
    <w:rsid w:val="009845FF"/>
    <w:rsid w:val="0098578D"/>
    <w:rsid w:val="0099072F"/>
    <w:rsid w:val="00993E93"/>
    <w:rsid w:val="009951DA"/>
    <w:rsid w:val="009A573E"/>
    <w:rsid w:val="009A6897"/>
    <w:rsid w:val="009A6CAD"/>
    <w:rsid w:val="009C083C"/>
    <w:rsid w:val="009C097B"/>
    <w:rsid w:val="009C3335"/>
    <w:rsid w:val="009C3C05"/>
    <w:rsid w:val="009C446F"/>
    <w:rsid w:val="009C4EBE"/>
    <w:rsid w:val="009C7A12"/>
    <w:rsid w:val="009D1A32"/>
    <w:rsid w:val="009D2E8C"/>
    <w:rsid w:val="009D32C9"/>
    <w:rsid w:val="009D623C"/>
    <w:rsid w:val="009E0065"/>
    <w:rsid w:val="009E0C4C"/>
    <w:rsid w:val="009E26A1"/>
    <w:rsid w:val="009E4FCE"/>
    <w:rsid w:val="009E5098"/>
    <w:rsid w:val="009F644B"/>
    <w:rsid w:val="009F65EE"/>
    <w:rsid w:val="00A01133"/>
    <w:rsid w:val="00A1230F"/>
    <w:rsid w:val="00A12E53"/>
    <w:rsid w:val="00A16D4B"/>
    <w:rsid w:val="00A205B1"/>
    <w:rsid w:val="00A25A69"/>
    <w:rsid w:val="00A27700"/>
    <w:rsid w:val="00A308C4"/>
    <w:rsid w:val="00A317E7"/>
    <w:rsid w:val="00A33978"/>
    <w:rsid w:val="00A33B9E"/>
    <w:rsid w:val="00A34AEB"/>
    <w:rsid w:val="00A35A8C"/>
    <w:rsid w:val="00A409EE"/>
    <w:rsid w:val="00A40E89"/>
    <w:rsid w:val="00A52101"/>
    <w:rsid w:val="00A528E9"/>
    <w:rsid w:val="00A54079"/>
    <w:rsid w:val="00A666AF"/>
    <w:rsid w:val="00A710D3"/>
    <w:rsid w:val="00A765A3"/>
    <w:rsid w:val="00A7758C"/>
    <w:rsid w:val="00A850DE"/>
    <w:rsid w:val="00A9098B"/>
    <w:rsid w:val="00A9324F"/>
    <w:rsid w:val="00A953C4"/>
    <w:rsid w:val="00A95E85"/>
    <w:rsid w:val="00AA0419"/>
    <w:rsid w:val="00AA52FD"/>
    <w:rsid w:val="00AA6041"/>
    <w:rsid w:val="00AA7153"/>
    <w:rsid w:val="00AB2EC4"/>
    <w:rsid w:val="00AC3BFD"/>
    <w:rsid w:val="00AD2A90"/>
    <w:rsid w:val="00AD2D59"/>
    <w:rsid w:val="00AD5539"/>
    <w:rsid w:val="00AE43C5"/>
    <w:rsid w:val="00AE521A"/>
    <w:rsid w:val="00AE62FA"/>
    <w:rsid w:val="00AE7D22"/>
    <w:rsid w:val="00AF059F"/>
    <w:rsid w:val="00AF1537"/>
    <w:rsid w:val="00AF46AC"/>
    <w:rsid w:val="00AF7187"/>
    <w:rsid w:val="00B02B2A"/>
    <w:rsid w:val="00B10E1E"/>
    <w:rsid w:val="00B175BE"/>
    <w:rsid w:val="00B230F1"/>
    <w:rsid w:val="00B30E1C"/>
    <w:rsid w:val="00B341F9"/>
    <w:rsid w:val="00B3516D"/>
    <w:rsid w:val="00B37B32"/>
    <w:rsid w:val="00B42593"/>
    <w:rsid w:val="00B426ED"/>
    <w:rsid w:val="00B42FA3"/>
    <w:rsid w:val="00B452AE"/>
    <w:rsid w:val="00B455A2"/>
    <w:rsid w:val="00B45D05"/>
    <w:rsid w:val="00B46249"/>
    <w:rsid w:val="00B51979"/>
    <w:rsid w:val="00B579BA"/>
    <w:rsid w:val="00B63008"/>
    <w:rsid w:val="00B67AD4"/>
    <w:rsid w:val="00B7532F"/>
    <w:rsid w:val="00B76F53"/>
    <w:rsid w:val="00B862C8"/>
    <w:rsid w:val="00B87199"/>
    <w:rsid w:val="00B9305E"/>
    <w:rsid w:val="00B94112"/>
    <w:rsid w:val="00B94CD7"/>
    <w:rsid w:val="00B95454"/>
    <w:rsid w:val="00BA2FB6"/>
    <w:rsid w:val="00BA3E49"/>
    <w:rsid w:val="00BA46AA"/>
    <w:rsid w:val="00BA54B9"/>
    <w:rsid w:val="00BA59B7"/>
    <w:rsid w:val="00BA6E6E"/>
    <w:rsid w:val="00BA7CAA"/>
    <w:rsid w:val="00BB299B"/>
    <w:rsid w:val="00BC07D7"/>
    <w:rsid w:val="00BC0FFF"/>
    <w:rsid w:val="00BC2B07"/>
    <w:rsid w:val="00BC3079"/>
    <w:rsid w:val="00BC463C"/>
    <w:rsid w:val="00BC7C82"/>
    <w:rsid w:val="00BD0173"/>
    <w:rsid w:val="00BD460A"/>
    <w:rsid w:val="00BD5588"/>
    <w:rsid w:val="00BD7DC8"/>
    <w:rsid w:val="00BE1CD8"/>
    <w:rsid w:val="00BE4366"/>
    <w:rsid w:val="00BE5546"/>
    <w:rsid w:val="00BE6130"/>
    <w:rsid w:val="00BF1572"/>
    <w:rsid w:val="00BF66D6"/>
    <w:rsid w:val="00BF7711"/>
    <w:rsid w:val="00BF7A84"/>
    <w:rsid w:val="00C01C06"/>
    <w:rsid w:val="00C076AA"/>
    <w:rsid w:val="00C13505"/>
    <w:rsid w:val="00C14839"/>
    <w:rsid w:val="00C15E18"/>
    <w:rsid w:val="00C17891"/>
    <w:rsid w:val="00C20655"/>
    <w:rsid w:val="00C23BC3"/>
    <w:rsid w:val="00C251E1"/>
    <w:rsid w:val="00C30F55"/>
    <w:rsid w:val="00C35970"/>
    <w:rsid w:val="00C36D00"/>
    <w:rsid w:val="00C40CFF"/>
    <w:rsid w:val="00C41052"/>
    <w:rsid w:val="00C41FD7"/>
    <w:rsid w:val="00C42E7A"/>
    <w:rsid w:val="00C441C5"/>
    <w:rsid w:val="00C4494C"/>
    <w:rsid w:val="00C47B9D"/>
    <w:rsid w:val="00C538F8"/>
    <w:rsid w:val="00C54826"/>
    <w:rsid w:val="00C57176"/>
    <w:rsid w:val="00C62674"/>
    <w:rsid w:val="00C63D14"/>
    <w:rsid w:val="00C65587"/>
    <w:rsid w:val="00C67A90"/>
    <w:rsid w:val="00C7029E"/>
    <w:rsid w:val="00C70694"/>
    <w:rsid w:val="00C70FC8"/>
    <w:rsid w:val="00C71778"/>
    <w:rsid w:val="00C72002"/>
    <w:rsid w:val="00C7358B"/>
    <w:rsid w:val="00C76D33"/>
    <w:rsid w:val="00C772BD"/>
    <w:rsid w:val="00C800A9"/>
    <w:rsid w:val="00C80EE9"/>
    <w:rsid w:val="00C81077"/>
    <w:rsid w:val="00C81333"/>
    <w:rsid w:val="00C82116"/>
    <w:rsid w:val="00C84814"/>
    <w:rsid w:val="00C8675D"/>
    <w:rsid w:val="00C86C62"/>
    <w:rsid w:val="00C872BF"/>
    <w:rsid w:val="00C95C47"/>
    <w:rsid w:val="00CA28FE"/>
    <w:rsid w:val="00CA43AD"/>
    <w:rsid w:val="00CA62AE"/>
    <w:rsid w:val="00CA7CEB"/>
    <w:rsid w:val="00CA7D51"/>
    <w:rsid w:val="00CB284F"/>
    <w:rsid w:val="00CB3472"/>
    <w:rsid w:val="00CB3C4B"/>
    <w:rsid w:val="00CB5340"/>
    <w:rsid w:val="00CB7AAC"/>
    <w:rsid w:val="00CC4E94"/>
    <w:rsid w:val="00CC505C"/>
    <w:rsid w:val="00CC602E"/>
    <w:rsid w:val="00CD3A43"/>
    <w:rsid w:val="00CD6C44"/>
    <w:rsid w:val="00CD76B6"/>
    <w:rsid w:val="00CE0181"/>
    <w:rsid w:val="00CE0C47"/>
    <w:rsid w:val="00CE0C4F"/>
    <w:rsid w:val="00CE225A"/>
    <w:rsid w:val="00CE3669"/>
    <w:rsid w:val="00CE5A56"/>
    <w:rsid w:val="00CE5E7B"/>
    <w:rsid w:val="00CF36D0"/>
    <w:rsid w:val="00CF4A59"/>
    <w:rsid w:val="00CF6F36"/>
    <w:rsid w:val="00D02FA3"/>
    <w:rsid w:val="00D0571B"/>
    <w:rsid w:val="00D07AE2"/>
    <w:rsid w:val="00D10C67"/>
    <w:rsid w:val="00D10EBD"/>
    <w:rsid w:val="00D1323A"/>
    <w:rsid w:val="00D163B4"/>
    <w:rsid w:val="00D20A65"/>
    <w:rsid w:val="00D21572"/>
    <w:rsid w:val="00D25637"/>
    <w:rsid w:val="00D31F31"/>
    <w:rsid w:val="00D34CB4"/>
    <w:rsid w:val="00D36036"/>
    <w:rsid w:val="00D40E61"/>
    <w:rsid w:val="00D420D2"/>
    <w:rsid w:val="00D4374B"/>
    <w:rsid w:val="00D44D2D"/>
    <w:rsid w:val="00D452F9"/>
    <w:rsid w:val="00D45368"/>
    <w:rsid w:val="00D5425D"/>
    <w:rsid w:val="00D56C4F"/>
    <w:rsid w:val="00D57B3F"/>
    <w:rsid w:val="00D64124"/>
    <w:rsid w:val="00D64A72"/>
    <w:rsid w:val="00D6628B"/>
    <w:rsid w:val="00D71392"/>
    <w:rsid w:val="00D719F3"/>
    <w:rsid w:val="00D73212"/>
    <w:rsid w:val="00D744D0"/>
    <w:rsid w:val="00D75295"/>
    <w:rsid w:val="00D77580"/>
    <w:rsid w:val="00D77687"/>
    <w:rsid w:val="00D81437"/>
    <w:rsid w:val="00D817CF"/>
    <w:rsid w:val="00D8191B"/>
    <w:rsid w:val="00D821C4"/>
    <w:rsid w:val="00D843C4"/>
    <w:rsid w:val="00D87632"/>
    <w:rsid w:val="00D87C75"/>
    <w:rsid w:val="00D91AC0"/>
    <w:rsid w:val="00D92D4E"/>
    <w:rsid w:val="00D96C0F"/>
    <w:rsid w:val="00D97032"/>
    <w:rsid w:val="00D9733E"/>
    <w:rsid w:val="00DA395D"/>
    <w:rsid w:val="00DA673C"/>
    <w:rsid w:val="00DA6B36"/>
    <w:rsid w:val="00DB2E20"/>
    <w:rsid w:val="00DB3D59"/>
    <w:rsid w:val="00DB582A"/>
    <w:rsid w:val="00DC01CF"/>
    <w:rsid w:val="00DC227A"/>
    <w:rsid w:val="00DC3D1C"/>
    <w:rsid w:val="00DC47B4"/>
    <w:rsid w:val="00DE1997"/>
    <w:rsid w:val="00DE1E14"/>
    <w:rsid w:val="00DE2739"/>
    <w:rsid w:val="00DE42BF"/>
    <w:rsid w:val="00DE7EBF"/>
    <w:rsid w:val="00DE7F64"/>
    <w:rsid w:val="00DF0967"/>
    <w:rsid w:val="00DF1893"/>
    <w:rsid w:val="00DF2FAB"/>
    <w:rsid w:val="00DF507E"/>
    <w:rsid w:val="00DF57F3"/>
    <w:rsid w:val="00DF62FB"/>
    <w:rsid w:val="00DF7A4C"/>
    <w:rsid w:val="00E00E03"/>
    <w:rsid w:val="00E0449F"/>
    <w:rsid w:val="00E11F6B"/>
    <w:rsid w:val="00E12D4C"/>
    <w:rsid w:val="00E12D5B"/>
    <w:rsid w:val="00E149A5"/>
    <w:rsid w:val="00E14E10"/>
    <w:rsid w:val="00E15192"/>
    <w:rsid w:val="00E16CB3"/>
    <w:rsid w:val="00E16F3B"/>
    <w:rsid w:val="00E2046C"/>
    <w:rsid w:val="00E216B5"/>
    <w:rsid w:val="00E22191"/>
    <w:rsid w:val="00E2367D"/>
    <w:rsid w:val="00E26461"/>
    <w:rsid w:val="00E27852"/>
    <w:rsid w:val="00E3103A"/>
    <w:rsid w:val="00E32D7B"/>
    <w:rsid w:val="00E35DE8"/>
    <w:rsid w:val="00E36E4B"/>
    <w:rsid w:val="00E41B14"/>
    <w:rsid w:val="00E41D9F"/>
    <w:rsid w:val="00E422CA"/>
    <w:rsid w:val="00E44472"/>
    <w:rsid w:val="00E5098C"/>
    <w:rsid w:val="00E52F67"/>
    <w:rsid w:val="00E56B89"/>
    <w:rsid w:val="00E6009A"/>
    <w:rsid w:val="00E60A90"/>
    <w:rsid w:val="00E60F1F"/>
    <w:rsid w:val="00E620A4"/>
    <w:rsid w:val="00E62C6B"/>
    <w:rsid w:val="00E63D24"/>
    <w:rsid w:val="00E6630F"/>
    <w:rsid w:val="00E670C3"/>
    <w:rsid w:val="00E674FD"/>
    <w:rsid w:val="00E703F7"/>
    <w:rsid w:val="00E71200"/>
    <w:rsid w:val="00E717AC"/>
    <w:rsid w:val="00E71E96"/>
    <w:rsid w:val="00E71EBB"/>
    <w:rsid w:val="00E721D6"/>
    <w:rsid w:val="00E730F5"/>
    <w:rsid w:val="00E74776"/>
    <w:rsid w:val="00E750C8"/>
    <w:rsid w:val="00E821A6"/>
    <w:rsid w:val="00E84438"/>
    <w:rsid w:val="00E90581"/>
    <w:rsid w:val="00E91443"/>
    <w:rsid w:val="00E954A9"/>
    <w:rsid w:val="00E96BB5"/>
    <w:rsid w:val="00E96EB1"/>
    <w:rsid w:val="00E979DA"/>
    <w:rsid w:val="00EA45CC"/>
    <w:rsid w:val="00EB7B7D"/>
    <w:rsid w:val="00EB7CD9"/>
    <w:rsid w:val="00EC1B78"/>
    <w:rsid w:val="00EC4424"/>
    <w:rsid w:val="00ED1021"/>
    <w:rsid w:val="00ED6147"/>
    <w:rsid w:val="00EE194E"/>
    <w:rsid w:val="00EE4242"/>
    <w:rsid w:val="00EE45E2"/>
    <w:rsid w:val="00EF3395"/>
    <w:rsid w:val="00EF74DD"/>
    <w:rsid w:val="00F00085"/>
    <w:rsid w:val="00F05457"/>
    <w:rsid w:val="00F06AA6"/>
    <w:rsid w:val="00F07D43"/>
    <w:rsid w:val="00F1229C"/>
    <w:rsid w:val="00F14BF5"/>
    <w:rsid w:val="00F1551D"/>
    <w:rsid w:val="00F16F72"/>
    <w:rsid w:val="00F22AF6"/>
    <w:rsid w:val="00F244F2"/>
    <w:rsid w:val="00F25ADB"/>
    <w:rsid w:val="00F268B9"/>
    <w:rsid w:val="00F33A55"/>
    <w:rsid w:val="00F376CB"/>
    <w:rsid w:val="00F376DF"/>
    <w:rsid w:val="00F43BC2"/>
    <w:rsid w:val="00F45F7A"/>
    <w:rsid w:val="00F462F2"/>
    <w:rsid w:val="00F50C2F"/>
    <w:rsid w:val="00F510F0"/>
    <w:rsid w:val="00F57E91"/>
    <w:rsid w:val="00F60140"/>
    <w:rsid w:val="00F62385"/>
    <w:rsid w:val="00F62AE1"/>
    <w:rsid w:val="00F63675"/>
    <w:rsid w:val="00F647C7"/>
    <w:rsid w:val="00F6647A"/>
    <w:rsid w:val="00F673DE"/>
    <w:rsid w:val="00F718F2"/>
    <w:rsid w:val="00F732F9"/>
    <w:rsid w:val="00F74810"/>
    <w:rsid w:val="00F749C6"/>
    <w:rsid w:val="00F829A0"/>
    <w:rsid w:val="00F83B45"/>
    <w:rsid w:val="00F86B6D"/>
    <w:rsid w:val="00F86E76"/>
    <w:rsid w:val="00F9014C"/>
    <w:rsid w:val="00F93130"/>
    <w:rsid w:val="00F94C84"/>
    <w:rsid w:val="00F9519C"/>
    <w:rsid w:val="00F95758"/>
    <w:rsid w:val="00F962CE"/>
    <w:rsid w:val="00F965D6"/>
    <w:rsid w:val="00F9689B"/>
    <w:rsid w:val="00F976F1"/>
    <w:rsid w:val="00FA1FB9"/>
    <w:rsid w:val="00FA2651"/>
    <w:rsid w:val="00FA4F0D"/>
    <w:rsid w:val="00FA75E6"/>
    <w:rsid w:val="00FB309E"/>
    <w:rsid w:val="00FB6AA7"/>
    <w:rsid w:val="00FC1BA2"/>
    <w:rsid w:val="00FC26A9"/>
    <w:rsid w:val="00FC440B"/>
    <w:rsid w:val="00FD31FE"/>
    <w:rsid w:val="00FD57A5"/>
    <w:rsid w:val="00FE138D"/>
    <w:rsid w:val="00FE2AFD"/>
    <w:rsid w:val="00FE7652"/>
    <w:rsid w:val="00FF091A"/>
    <w:rsid w:val="00FF10F5"/>
    <w:rsid w:val="00FF257C"/>
    <w:rsid w:val="00FF4CCC"/>
    <w:rsid w:val="00FF7843"/>
    <w:rsid w:val="00FF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327D89"/>
  <w15:docId w15:val="{95CC3E5A-AA9F-4749-AED4-88A8F25D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4658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F33A55"/>
    <w:rPr>
      <w:sz w:val="16"/>
      <w:szCs w:val="16"/>
    </w:rPr>
  </w:style>
  <w:style w:type="paragraph" w:styleId="CommentText">
    <w:name w:val="annotation text"/>
    <w:basedOn w:val="Normal"/>
    <w:link w:val="CommentTextChar"/>
    <w:uiPriority w:val="99"/>
    <w:semiHidden/>
    <w:unhideWhenUsed/>
    <w:rsid w:val="00F33A55"/>
    <w:rPr>
      <w:sz w:val="20"/>
      <w:szCs w:val="20"/>
    </w:rPr>
  </w:style>
  <w:style w:type="character" w:customStyle="1" w:styleId="CommentTextChar">
    <w:name w:val="Comment Text Char"/>
    <w:basedOn w:val="DefaultParagraphFont"/>
    <w:link w:val="CommentText"/>
    <w:uiPriority w:val="99"/>
    <w:semiHidden/>
    <w:rsid w:val="00F33A5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3A55"/>
    <w:rPr>
      <w:b/>
      <w:bCs/>
    </w:rPr>
  </w:style>
  <w:style w:type="character" w:customStyle="1" w:styleId="CommentSubjectChar">
    <w:name w:val="Comment Subject Char"/>
    <w:basedOn w:val="CommentTextChar"/>
    <w:link w:val="CommentSubject"/>
    <w:uiPriority w:val="99"/>
    <w:semiHidden/>
    <w:rsid w:val="00F33A5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33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55"/>
    <w:rPr>
      <w:rFonts w:ascii="Segoe UI" w:eastAsia="Times New Roman" w:hAnsi="Segoe UI" w:cs="Segoe UI"/>
      <w:sz w:val="18"/>
      <w:szCs w:val="18"/>
      <w:lang w:eastAsia="lv-LV"/>
    </w:rPr>
  </w:style>
  <w:style w:type="paragraph" w:customStyle="1" w:styleId="Default">
    <w:name w:val="Default"/>
    <w:rsid w:val="007B2631"/>
    <w:pPr>
      <w:autoSpaceDE w:val="0"/>
      <w:autoSpaceDN w:val="0"/>
      <w:adjustRightInd w:val="0"/>
      <w:spacing w:after="0" w:line="240" w:lineRule="auto"/>
    </w:pPr>
    <w:rPr>
      <w:rFonts w:ascii="EUAlbertina" w:hAnsi="EUAlbertina" w:cs="EUAlbertina"/>
      <w:color w:val="000000"/>
      <w:sz w:val="24"/>
      <w:szCs w:val="24"/>
    </w:rPr>
  </w:style>
  <w:style w:type="paragraph" w:styleId="FootnoteText">
    <w:name w:val="footnote text"/>
    <w:basedOn w:val="Normal"/>
    <w:link w:val="FootnoteTextChar"/>
    <w:uiPriority w:val="99"/>
    <w:semiHidden/>
    <w:unhideWhenUsed/>
    <w:rsid w:val="009C3335"/>
    <w:rPr>
      <w:sz w:val="20"/>
      <w:szCs w:val="20"/>
      <w:lang w:eastAsia="en-US"/>
    </w:rPr>
  </w:style>
  <w:style w:type="character" w:customStyle="1" w:styleId="FootnoteTextChar">
    <w:name w:val="Footnote Text Char"/>
    <w:basedOn w:val="DefaultParagraphFont"/>
    <w:link w:val="FootnoteText"/>
    <w:uiPriority w:val="99"/>
    <w:semiHidden/>
    <w:rsid w:val="009C3335"/>
    <w:rPr>
      <w:rFonts w:ascii="Times New Roman" w:eastAsia="Times New Roman" w:hAnsi="Times New Roman" w:cs="Times New Roman"/>
      <w:sz w:val="20"/>
      <w:szCs w:val="20"/>
    </w:rPr>
  </w:style>
  <w:style w:type="character" w:styleId="FootnoteReference">
    <w:name w:val="footnote reference"/>
    <w:uiPriority w:val="99"/>
    <w:semiHidden/>
    <w:unhideWhenUsed/>
    <w:rsid w:val="009C3335"/>
    <w:rPr>
      <w:shd w:val="clear" w:color="auto" w:fill="auto"/>
      <w:vertAlign w:val="superscript"/>
    </w:rPr>
  </w:style>
  <w:style w:type="paragraph" w:styleId="BodyText2">
    <w:name w:val="Body Text 2"/>
    <w:basedOn w:val="Normal"/>
    <w:link w:val="BodyText2Char"/>
    <w:rsid w:val="009C3335"/>
    <w:pPr>
      <w:jc w:val="both"/>
    </w:pPr>
    <w:rPr>
      <w:b/>
      <w:bCs/>
      <w:color w:val="000000"/>
    </w:rPr>
  </w:style>
  <w:style w:type="character" w:customStyle="1" w:styleId="BodyText2Char">
    <w:name w:val="Body Text 2 Char"/>
    <w:basedOn w:val="DefaultParagraphFont"/>
    <w:link w:val="BodyText2"/>
    <w:rsid w:val="009C3335"/>
    <w:rPr>
      <w:rFonts w:ascii="Times New Roman" w:eastAsia="Times New Roman" w:hAnsi="Times New Roman" w:cs="Times New Roman"/>
      <w:b/>
      <w:bCs/>
      <w:color w:val="000000"/>
      <w:sz w:val="24"/>
      <w:szCs w:val="24"/>
      <w:lang w:eastAsia="lv-LV"/>
    </w:rPr>
  </w:style>
  <w:style w:type="character" w:customStyle="1" w:styleId="Heading3Char">
    <w:name w:val="Heading 3 Char"/>
    <w:basedOn w:val="DefaultParagraphFont"/>
    <w:link w:val="Heading3"/>
    <w:uiPriority w:val="9"/>
    <w:rsid w:val="0046589A"/>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903596"/>
    <w:pPr>
      <w:ind w:left="720"/>
      <w:contextualSpacing/>
    </w:pPr>
  </w:style>
  <w:style w:type="paragraph" w:styleId="Header">
    <w:name w:val="header"/>
    <w:basedOn w:val="Normal"/>
    <w:link w:val="HeaderChar"/>
    <w:uiPriority w:val="99"/>
    <w:unhideWhenUsed/>
    <w:rsid w:val="0056382D"/>
    <w:pPr>
      <w:tabs>
        <w:tab w:val="center" w:pos="4153"/>
        <w:tab w:val="right" w:pos="8306"/>
      </w:tabs>
    </w:pPr>
  </w:style>
  <w:style w:type="character" w:customStyle="1" w:styleId="HeaderChar">
    <w:name w:val="Header Char"/>
    <w:basedOn w:val="DefaultParagraphFont"/>
    <w:link w:val="Header"/>
    <w:uiPriority w:val="99"/>
    <w:rsid w:val="0056382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6382D"/>
    <w:pPr>
      <w:tabs>
        <w:tab w:val="center" w:pos="4153"/>
        <w:tab w:val="right" w:pos="8306"/>
      </w:tabs>
    </w:pPr>
  </w:style>
  <w:style w:type="character" w:customStyle="1" w:styleId="FooterChar">
    <w:name w:val="Footer Char"/>
    <w:basedOn w:val="DefaultParagraphFont"/>
    <w:link w:val="Footer"/>
    <w:uiPriority w:val="99"/>
    <w:rsid w:val="0056382D"/>
    <w:rPr>
      <w:rFonts w:ascii="Times New Roman" w:eastAsia="Times New Roman" w:hAnsi="Times New Roman" w:cs="Times New Roman"/>
      <w:sz w:val="24"/>
      <w:szCs w:val="24"/>
      <w:lang w:eastAsia="lv-LV"/>
    </w:rPr>
  </w:style>
  <w:style w:type="paragraph" w:styleId="Revision">
    <w:name w:val="Revision"/>
    <w:hidden/>
    <w:uiPriority w:val="99"/>
    <w:semiHidden/>
    <w:rsid w:val="003F7A86"/>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335DD7"/>
    <w:pPr>
      <w:spacing w:before="240" w:after="120" w:line="312" w:lineRule="atLeast"/>
      <w:jc w:val="center"/>
    </w:pPr>
    <w:rPr>
      <w:b/>
      <w:bCs/>
    </w:rPr>
  </w:style>
  <w:style w:type="character" w:styleId="FollowedHyperlink">
    <w:name w:val="FollowedHyperlink"/>
    <w:basedOn w:val="DefaultParagraphFont"/>
    <w:uiPriority w:val="99"/>
    <w:semiHidden/>
    <w:unhideWhenUsed/>
    <w:rsid w:val="003C5EDC"/>
    <w:rPr>
      <w:color w:val="800080" w:themeColor="followedHyperlink"/>
      <w:u w:val="single"/>
    </w:rPr>
  </w:style>
  <w:style w:type="table" w:styleId="TableGrid">
    <w:name w:val="Table Grid"/>
    <w:basedOn w:val="TableNormal"/>
    <w:uiPriority w:val="59"/>
    <w:rsid w:val="00FE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A2770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009">
      <w:bodyDiv w:val="1"/>
      <w:marLeft w:val="0"/>
      <w:marRight w:val="0"/>
      <w:marTop w:val="0"/>
      <w:marBottom w:val="0"/>
      <w:divBdr>
        <w:top w:val="none" w:sz="0" w:space="0" w:color="auto"/>
        <w:left w:val="none" w:sz="0" w:space="0" w:color="auto"/>
        <w:bottom w:val="none" w:sz="0" w:space="0" w:color="auto"/>
        <w:right w:val="none" w:sz="0" w:space="0" w:color="auto"/>
      </w:divBdr>
      <w:divsChild>
        <w:div w:id="1814638458">
          <w:marLeft w:val="0"/>
          <w:marRight w:val="0"/>
          <w:marTop w:val="0"/>
          <w:marBottom w:val="0"/>
          <w:divBdr>
            <w:top w:val="none" w:sz="0" w:space="0" w:color="auto"/>
            <w:left w:val="none" w:sz="0" w:space="0" w:color="auto"/>
            <w:bottom w:val="none" w:sz="0" w:space="0" w:color="auto"/>
            <w:right w:val="none" w:sz="0" w:space="0" w:color="auto"/>
          </w:divBdr>
          <w:divsChild>
            <w:div w:id="871649829">
              <w:marLeft w:val="0"/>
              <w:marRight w:val="0"/>
              <w:marTop w:val="0"/>
              <w:marBottom w:val="0"/>
              <w:divBdr>
                <w:top w:val="none" w:sz="0" w:space="0" w:color="auto"/>
                <w:left w:val="none" w:sz="0" w:space="0" w:color="auto"/>
                <w:bottom w:val="none" w:sz="0" w:space="0" w:color="auto"/>
                <w:right w:val="none" w:sz="0" w:space="0" w:color="auto"/>
              </w:divBdr>
              <w:divsChild>
                <w:div w:id="605889700">
                  <w:marLeft w:val="0"/>
                  <w:marRight w:val="0"/>
                  <w:marTop w:val="0"/>
                  <w:marBottom w:val="0"/>
                  <w:divBdr>
                    <w:top w:val="none" w:sz="0" w:space="0" w:color="auto"/>
                    <w:left w:val="none" w:sz="0" w:space="0" w:color="auto"/>
                    <w:bottom w:val="none" w:sz="0" w:space="0" w:color="auto"/>
                    <w:right w:val="none" w:sz="0" w:space="0" w:color="auto"/>
                  </w:divBdr>
                  <w:divsChild>
                    <w:div w:id="1149398725">
                      <w:marLeft w:val="0"/>
                      <w:marRight w:val="0"/>
                      <w:marTop w:val="0"/>
                      <w:marBottom w:val="0"/>
                      <w:divBdr>
                        <w:top w:val="none" w:sz="0" w:space="0" w:color="auto"/>
                        <w:left w:val="none" w:sz="0" w:space="0" w:color="auto"/>
                        <w:bottom w:val="none" w:sz="0" w:space="0" w:color="auto"/>
                        <w:right w:val="none" w:sz="0" w:space="0" w:color="auto"/>
                      </w:divBdr>
                      <w:divsChild>
                        <w:div w:id="120541176">
                          <w:marLeft w:val="0"/>
                          <w:marRight w:val="0"/>
                          <w:marTop w:val="0"/>
                          <w:marBottom w:val="0"/>
                          <w:divBdr>
                            <w:top w:val="none" w:sz="0" w:space="0" w:color="auto"/>
                            <w:left w:val="none" w:sz="0" w:space="0" w:color="auto"/>
                            <w:bottom w:val="none" w:sz="0" w:space="0" w:color="auto"/>
                            <w:right w:val="none" w:sz="0" w:space="0" w:color="auto"/>
                          </w:divBdr>
                          <w:divsChild>
                            <w:div w:id="18905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902">
      <w:bodyDiv w:val="1"/>
      <w:marLeft w:val="0"/>
      <w:marRight w:val="0"/>
      <w:marTop w:val="0"/>
      <w:marBottom w:val="0"/>
      <w:divBdr>
        <w:top w:val="none" w:sz="0" w:space="0" w:color="auto"/>
        <w:left w:val="none" w:sz="0" w:space="0" w:color="auto"/>
        <w:bottom w:val="none" w:sz="0" w:space="0" w:color="auto"/>
        <w:right w:val="none" w:sz="0" w:space="0" w:color="auto"/>
      </w:divBdr>
    </w:div>
    <w:div w:id="878249759">
      <w:bodyDiv w:val="1"/>
      <w:marLeft w:val="0"/>
      <w:marRight w:val="0"/>
      <w:marTop w:val="0"/>
      <w:marBottom w:val="0"/>
      <w:divBdr>
        <w:top w:val="none" w:sz="0" w:space="0" w:color="auto"/>
        <w:left w:val="none" w:sz="0" w:space="0" w:color="auto"/>
        <w:bottom w:val="none" w:sz="0" w:space="0" w:color="auto"/>
        <w:right w:val="none" w:sz="0" w:space="0" w:color="auto"/>
      </w:divBdr>
      <w:divsChild>
        <w:div w:id="1733967531">
          <w:marLeft w:val="547"/>
          <w:marRight w:val="0"/>
          <w:marTop w:val="86"/>
          <w:marBottom w:val="0"/>
          <w:divBdr>
            <w:top w:val="none" w:sz="0" w:space="0" w:color="auto"/>
            <w:left w:val="none" w:sz="0" w:space="0" w:color="auto"/>
            <w:bottom w:val="none" w:sz="0" w:space="0" w:color="auto"/>
            <w:right w:val="none" w:sz="0" w:space="0" w:color="auto"/>
          </w:divBdr>
        </w:div>
      </w:divsChild>
    </w:div>
    <w:div w:id="1153327487">
      <w:bodyDiv w:val="1"/>
      <w:marLeft w:val="0"/>
      <w:marRight w:val="0"/>
      <w:marTop w:val="0"/>
      <w:marBottom w:val="0"/>
      <w:divBdr>
        <w:top w:val="none" w:sz="0" w:space="0" w:color="auto"/>
        <w:left w:val="none" w:sz="0" w:space="0" w:color="auto"/>
        <w:bottom w:val="none" w:sz="0" w:space="0" w:color="auto"/>
        <w:right w:val="none" w:sz="0" w:space="0" w:color="auto"/>
      </w:divBdr>
    </w:div>
    <w:div w:id="1454978307">
      <w:bodyDiv w:val="1"/>
      <w:marLeft w:val="0"/>
      <w:marRight w:val="0"/>
      <w:marTop w:val="0"/>
      <w:marBottom w:val="0"/>
      <w:divBdr>
        <w:top w:val="none" w:sz="0" w:space="0" w:color="auto"/>
        <w:left w:val="none" w:sz="0" w:space="0" w:color="auto"/>
        <w:bottom w:val="none" w:sz="0" w:space="0" w:color="auto"/>
        <w:right w:val="none" w:sz="0" w:space="0" w:color="auto"/>
      </w:divBdr>
    </w:div>
    <w:div w:id="1492942701">
      <w:bodyDiv w:val="1"/>
      <w:marLeft w:val="0"/>
      <w:marRight w:val="0"/>
      <w:marTop w:val="0"/>
      <w:marBottom w:val="0"/>
      <w:divBdr>
        <w:top w:val="none" w:sz="0" w:space="0" w:color="auto"/>
        <w:left w:val="none" w:sz="0" w:space="0" w:color="auto"/>
        <w:bottom w:val="none" w:sz="0" w:space="0" w:color="auto"/>
        <w:right w:val="none" w:sz="0" w:space="0" w:color="auto"/>
      </w:divBdr>
      <w:divsChild>
        <w:div w:id="1312370106">
          <w:marLeft w:val="0"/>
          <w:marRight w:val="0"/>
          <w:marTop w:val="0"/>
          <w:marBottom w:val="0"/>
          <w:divBdr>
            <w:top w:val="none" w:sz="0" w:space="0" w:color="auto"/>
            <w:left w:val="none" w:sz="0" w:space="0" w:color="auto"/>
            <w:bottom w:val="none" w:sz="0" w:space="0" w:color="auto"/>
            <w:right w:val="none" w:sz="0" w:space="0" w:color="auto"/>
          </w:divBdr>
          <w:divsChild>
            <w:div w:id="1138835362">
              <w:marLeft w:val="0"/>
              <w:marRight w:val="0"/>
              <w:marTop w:val="0"/>
              <w:marBottom w:val="0"/>
              <w:divBdr>
                <w:top w:val="none" w:sz="0" w:space="0" w:color="auto"/>
                <w:left w:val="none" w:sz="0" w:space="0" w:color="auto"/>
                <w:bottom w:val="none" w:sz="0" w:space="0" w:color="auto"/>
                <w:right w:val="none" w:sz="0" w:space="0" w:color="auto"/>
              </w:divBdr>
              <w:divsChild>
                <w:div w:id="634214745">
                  <w:marLeft w:val="0"/>
                  <w:marRight w:val="0"/>
                  <w:marTop w:val="0"/>
                  <w:marBottom w:val="0"/>
                  <w:divBdr>
                    <w:top w:val="none" w:sz="0" w:space="0" w:color="auto"/>
                    <w:left w:val="none" w:sz="0" w:space="0" w:color="auto"/>
                    <w:bottom w:val="none" w:sz="0" w:space="0" w:color="auto"/>
                    <w:right w:val="none" w:sz="0" w:space="0" w:color="auto"/>
                  </w:divBdr>
                  <w:divsChild>
                    <w:div w:id="2063358656">
                      <w:marLeft w:val="-150"/>
                      <w:marRight w:val="-150"/>
                      <w:marTop w:val="0"/>
                      <w:marBottom w:val="0"/>
                      <w:divBdr>
                        <w:top w:val="none" w:sz="0" w:space="0" w:color="auto"/>
                        <w:left w:val="none" w:sz="0" w:space="0" w:color="auto"/>
                        <w:bottom w:val="none" w:sz="0" w:space="0" w:color="auto"/>
                        <w:right w:val="none" w:sz="0" w:space="0" w:color="auto"/>
                      </w:divBdr>
                      <w:divsChild>
                        <w:div w:id="1325545059">
                          <w:marLeft w:val="0"/>
                          <w:marRight w:val="0"/>
                          <w:marTop w:val="0"/>
                          <w:marBottom w:val="0"/>
                          <w:divBdr>
                            <w:top w:val="none" w:sz="0" w:space="0" w:color="auto"/>
                            <w:left w:val="none" w:sz="0" w:space="0" w:color="auto"/>
                            <w:bottom w:val="none" w:sz="0" w:space="0" w:color="auto"/>
                            <w:right w:val="none" w:sz="0" w:space="0" w:color="auto"/>
                          </w:divBdr>
                          <w:divsChild>
                            <w:div w:id="1240137840">
                              <w:marLeft w:val="0"/>
                              <w:marRight w:val="0"/>
                              <w:marTop w:val="0"/>
                              <w:marBottom w:val="0"/>
                              <w:divBdr>
                                <w:top w:val="none" w:sz="0" w:space="0" w:color="auto"/>
                                <w:left w:val="none" w:sz="0" w:space="0" w:color="auto"/>
                                <w:bottom w:val="none" w:sz="0" w:space="0" w:color="auto"/>
                                <w:right w:val="none" w:sz="0" w:space="0" w:color="auto"/>
                              </w:divBdr>
                              <w:divsChild>
                                <w:div w:id="1951813126">
                                  <w:marLeft w:val="0"/>
                                  <w:marRight w:val="0"/>
                                  <w:marTop w:val="0"/>
                                  <w:marBottom w:val="300"/>
                                  <w:divBdr>
                                    <w:top w:val="none" w:sz="0" w:space="0" w:color="auto"/>
                                    <w:left w:val="none" w:sz="0" w:space="0" w:color="auto"/>
                                    <w:bottom w:val="none" w:sz="0" w:space="0" w:color="auto"/>
                                    <w:right w:val="none" w:sz="0" w:space="0" w:color="auto"/>
                                  </w:divBdr>
                                  <w:divsChild>
                                    <w:div w:id="530537655">
                                      <w:marLeft w:val="0"/>
                                      <w:marRight w:val="0"/>
                                      <w:marTop w:val="0"/>
                                      <w:marBottom w:val="0"/>
                                      <w:divBdr>
                                        <w:top w:val="none" w:sz="0" w:space="0" w:color="auto"/>
                                        <w:left w:val="none" w:sz="0" w:space="0" w:color="auto"/>
                                        <w:bottom w:val="none" w:sz="0" w:space="0" w:color="auto"/>
                                        <w:right w:val="none" w:sz="0" w:space="0" w:color="auto"/>
                                      </w:divBdr>
                                      <w:divsChild>
                                        <w:div w:id="1418985736">
                                          <w:marLeft w:val="0"/>
                                          <w:marRight w:val="0"/>
                                          <w:marTop w:val="0"/>
                                          <w:marBottom w:val="0"/>
                                          <w:divBdr>
                                            <w:top w:val="none" w:sz="0" w:space="0" w:color="auto"/>
                                            <w:left w:val="none" w:sz="0" w:space="0" w:color="auto"/>
                                            <w:bottom w:val="none" w:sz="0" w:space="0" w:color="auto"/>
                                            <w:right w:val="none" w:sz="0" w:space="0" w:color="auto"/>
                                          </w:divBdr>
                                          <w:divsChild>
                                            <w:div w:id="1435436705">
                                              <w:marLeft w:val="0"/>
                                              <w:marRight w:val="0"/>
                                              <w:marTop w:val="0"/>
                                              <w:marBottom w:val="0"/>
                                              <w:divBdr>
                                                <w:top w:val="none" w:sz="0" w:space="0" w:color="auto"/>
                                                <w:left w:val="none" w:sz="0" w:space="0" w:color="auto"/>
                                                <w:bottom w:val="none" w:sz="0" w:space="0" w:color="auto"/>
                                                <w:right w:val="none" w:sz="0" w:space="0" w:color="auto"/>
                                              </w:divBdr>
                                              <w:divsChild>
                                                <w:div w:id="83846583">
                                                  <w:marLeft w:val="0"/>
                                                  <w:marRight w:val="0"/>
                                                  <w:marTop w:val="0"/>
                                                  <w:marBottom w:val="0"/>
                                                  <w:divBdr>
                                                    <w:top w:val="none" w:sz="0" w:space="0" w:color="auto"/>
                                                    <w:left w:val="none" w:sz="0" w:space="0" w:color="auto"/>
                                                    <w:bottom w:val="none" w:sz="0" w:space="0" w:color="auto"/>
                                                    <w:right w:val="none" w:sz="0" w:space="0" w:color="auto"/>
                                                  </w:divBdr>
                                                  <w:divsChild>
                                                    <w:div w:id="1815828019">
                                                      <w:marLeft w:val="0"/>
                                                      <w:marRight w:val="0"/>
                                                      <w:marTop w:val="0"/>
                                                      <w:marBottom w:val="0"/>
                                                      <w:divBdr>
                                                        <w:top w:val="none" w:sz="0" w:space="0" w:color="auto"/>
                                                        <w:left w:val="none" w:sz="0" w:space="0" w:color="auto"/>
                                                        <w:bottom w:val="none" w:sz="0" w:space="0" w:color="auto"/>
                                                        <w:right w:val="none" w:sz="0" w:space="0" w:color="auto"/>
                                                      </w:divBdr>
                                                      <w:divsChild>
                                                        <w:div w:id="434667168">
                                                          <w:marLeft w:val="0"/>
                                                          <w:marRight w:val="0"/>
                                                          <w:marTop w:val="0"/>
                                                          <w:marBottom w:val="0"/>
                                                          <w:divBdr>
                                                            <w:top w:val="none" w:sz="0" w:space="0" w:color="auto"/>
                                                            <w:left w:val="none" w:sz="0" w:space="0" w:color="auto"/>
                                                            <w:bottom w:val="none" w:sz="0" w:space="0" w:color="auto"/>
                                                            <w:right w:val="none" w:sz="0" w:space="0" w:color="auto"/>
                                                          </w:divBdr>
                                                          <w:divsChild>
                                                            <w:div w:id="233515025">
                                                              <w:marLeft w:val="0"/>
                                                              <w:marRight w:val="0"/>
                                                              <w:marTop w:val="0"/>
                                                              <w:marBottom w:val="0"/>
                                                              <w:divBdr>
                                                                <w:top w:val="none" w:sz="0" w:space="0" w:color="auto"/>
                                                                <w:left w:val="none" w:sz="0" w:space="0" w:color="auto"/>
                                                                <w:bottom w:val="none" w:sz="0" w:space="0" w:color="auto"/>
                                                                <w:right w:val="none" w:sz="0" w:space="0" w:color="auto"/>
                                                              </w:divBdr>
                                                              <w:divsChild>
                                                                <w:div w:id="15843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158632">
      <w:bodyDiv w:val="1"/>
      <w:marLeft w:val="0"/>
      <w:marRight w:val="0"/>
      <w:marTop w:val="0"/>
      <w:marBottom w:val="0"/>
      <w:divBdr>
        <w:top w:val="none" w:sz="0" w:space="0" w:color="auto"/>
        <w:left w:val="none" w:sz="0" w:space="0" w:color="auto"/>
        <w:bottom w:val="none" w:sz="0" w:space="0" w:color="auto"/>
        <w:right w:val="none" w:sz="0" w:space="0" w:color="auto"/>
      </w:divBdr>
      <w:divsChild>
        <w:div w:id="615258624">
          <w:marLeft w:val="0"/>
          <w:marRight w:val="0"/>
          <w:marTop w:val="0"/>
          <w:marBottom w:val="0"/>
          <w:divBdr>
            <w:top w:val="none" w:sz="0" w:space="0" w:color="auto"/>
            <w:left w:val="none" w:sz="0" w:space="0" w:color="auto"/>
            <w:bottom w:val="none" w:sz="0" w:space="0" w:color="auto"/>
            <w:right w:val="none" w:sz="0" w:space="0" w:color="auto"/>
          </w:divBdr>
          <w:divsChild>
            <w:div w:id="461657352">
              <w:marLeft w:val="0"/>
              <w:marRight w:val="0"/>
              <w:marTop w:val="0"/>
              <w:marBottom w:val="0"/>
              <w:divBdr>
                <w:top w:val="none" w:sz="0" w:space="0" w:color="auto"/>
                <w:left w:val="none" w:sz="0" w:space="0" w:color="auto"/>
                <w:bottom w:val="none" w:sz="0" w:space="0" w:color="auto"/>
                <w:right w:val="none" w:sz="0" w:space="0" w:color="auto"/>
              </w:divBdr>
              <w:divsChild>
                <w:div w:id="1761023822">
                  <w:marLeft w:val="0"/>
                  <w:marRight w:val="0"/>
                  <w:marTop w:val="0"/>
                  <w:marBottom w:val="0"/>
                  <w:divBdr>
                    <w:top w:val="none" w:sz="0" w:space="0" w:color="auto"/>
                    <w:left w:val="none" w:sz="0" w:space="0" w:color="auto"/>
                    <w:bottom w:val="none" w:sz="0" w:space="0" w:color="auto"/>
                    <w:right w:val="none" w:sz="0" w:space="0" w:color="auto"/>
                  </w:divBdr>
                  <w:divsChild>
                    <w:div w:id="826364132">
                      <w:marLeft w:val="-150"/>
                      <w:marRight w:val="-150"/>
                      <w:marTop w:val="0"/>
                      <w:marBottom w:val="0"/>
                      <w:divBdr>
                        <w:top w:val="none" w:sz="0" w:space="0" w:color="auto"/>
                        <w:left w:val="none" w:sz="0" w:space="0" w:color="auto"/>
                        <w:bottom w:val="none" w:sz="0" w:space="0" w:color="auto"/>
                        <w:right w:val="none" w:sz="0" w:space="0" w:color="auto"/>
                      </w:divBdr>
                      <w:divsChild>
                        <w:div w:id="1346978588">
                          <w:marLeft w:val="0"/>
                          <w:marRight w:val="0"/>
                          <w:marTop w:val="0"/>
                          <w:marBottom w:val="0"/>
                          <w:divBdr>
                            <w:top w:val="none" w:sz="0" w:space="0" w:color="auto"/>
                            <w:left w:val="none" w:sz="0" w:space="0" w:color="auto"/>
                            <w:bottom w:val="none" w:sz="0" w:space="0" w:color="auto"/>
                            <w:right w:val="none" w:sz="0" w:space="0" w:color="auto"/>
                          </w:divBdr>
                          <w:divsChild>
                            <w:div w:id="2127772395">
                              <w:marLeft w:val="0"/>
                              <w:marRight w:val="0"/>
                              <w:marTop w:val="0"/>
                              <w:marBottom w:val="0"/>
                              <w:divBdr>
                                <w:top w:val="none" w:sz="0" w:space="0" w:color="auto"/>
                                <w:left w:val="none" w:sz="0" w:space="0" w:color="auto"/>
                                <w:bottom w:val="none" w:sz="0" w:space="0" w:color="auto"/>
                                <w:right w:val="none" w:sz="0" w:space="0" w:color="auto"/>
                              </w:divBdr>
                              <w:divsChild>
                                <w:div w:id="139461749">
                                  <w:marLeft w:val="0"/>
                                  <w:marRight w:val="0"/>
                                  <w:marTop w:val="0"/>
                                  <w:marBottom w:val="300"/>
                                  <w:divBdr>
                                    <w:top w:val="none" w:sz="0" w:space="0" w:color="auto"/>
                                    <w:left w:val="none" w:sz="0" w:space="0" w:color="auto"/>
                                    <w:bottom w:val="none" w:sz="0" w:space="0" w:color="auto"/>
                                    <w:right w:val="none" w:sz="0" w:space="0" w:color="auto"/>
                                  </w:divBdr>
                                  <w:divsChild>
                                    <w:div w:id="2019772771">
                                      <w:marLeft w:val="0"/>
                                      <w:marRight w:val="0"/>
                                      <w:marTop w:val="0"/>
                                      <w:marBottom w:val="0"/>
                                      <w:divBdr>
                                        <w:top w:val="none" w:sz="0" w:space="0" w:color="auto"/>
                                        <w:left w:val="none" w:sz="0" w:space="0" w:color="auto"/>
                                        <w:bottom w:val="none" w:sz="0" w:space="0" w:color="auto"/>
                                        <w:right w:val="none" w:sz="0" w:space="0" w:color="auto"/>
                                      </w:divBdr>
                                      <w:divsChild>
                                        <w:div w:id="1249080455">
                                          <w:marLeft w:val="0"/>
                                          <w:marRight w:val="0"/>
                                          <w:marTop w:val="0"/>
                                          <w:marBottom w:val="0"/>
                                          <w:divBdr>
                                            <w:top w:val="none" w:sz="0" w:space="0" w:color="auto"/>
                                            <w:left w:val="none" w:sz="0" w:space="0" w:color="auto"/>
                                            <w:bottom w:val="none" w:sz="0" w:space="0" w:color="auto"/>
                                            <w:right w:val="none" w:sz="0" w:space="0" w:color="auto"/>
                                          </w:divBdr>
                                          <w:divsChild>
                                            <w:div w:id="879898262">
                                              <w:marLeft w:val="0"/>
                                              <w:marRight w:val="0"/>
                                              <w:marTop w:val="0"/>
                                              <w:marBottom w:val="0"/>
                                              <w:divBdr>
                                                <w:top w:val="none" w:sz="0" w:space="0" w:color="auto"/>
                                                <w:left w:val="none" w:sz="0" w:space="0" w:color="auto"/>
                                                <w:bottom w:val="none" w:sz="0" w:space="0" w:color="auto"/>
                                                <w:right w:val="none" w:sz="0" w:space="0" w:color="auto"/>
                                              </w:divBdr>
                                              <w:divsChild>
                                                <w:div w:id="412825091">
                                                  <w:marLeft w:val="0"/>
                                                  <w:marRight w:val="0"/>
                                                  <w:marTop w:val="0"/>
                                                  <w:marBottom w:val="0"/>
                                                  <w:divBdr>
                                                    <w:top w:val="none" w:sz="0" w:space="0" w:color="auto"/>
                                                    <w:left w:val="none" w:sz="0" w:space="0" w:color="auto"/>
                                                    <w:bottom w:val="none" w:sz="0" w:space="0" w:color="auto"/>
                                                    <w:right w:val="none" w:sz="0" w:space="0" w:color="auto"/>
                                                  </w:divBdr>
                                                  <w:divsChild>
                                                    <w:div w:id="398285134">
                                                      <w:marLeft w:val="0"/>
                                                      <w:marRight w:val="0"/>
                                                      <w:marTop w:val="0"/>
                                                      <w:marBottom w:val="0"/>
                                                      <w:divBdr>
                                                        <w:top w:val="none" w:sz="0" w:space="0" w:color="auto"/>
                                                        <w:left w:val="none" w:sz="0" w:space="0" w:color="auto"/>
                                                        <w:bottom w:val="none" w:sz="0" w:space="0" w:color="auto"/>
                                                        <w:right w:val="none" w:sz="0" w:space="0" w:color="auto"/>
                                                      </w:divBdr>
                                                      <w:divsChild>
                                                        <w:div w:id="2124566180">
                                                          <w:marLeft w:val="0"/>
                                                          <w:marRight w:val="0"/>
                                                          <w:marTop w:val="0"/>
                                                          <w:marBottom w:val="0"/>
                                                          <w:divBdr>
                                                            <w:top w:val="none" w:sz="0" w:space="0" w:color="auto"/>
                                                            <w:left w:val="none" w:sz="0" w:space="0" w:color="auto"/>
                                                            <w:bottom w:val="none" w:sz="0" w:space="0" w:color="auto"/>
                                                            <w:right w:val="none" w:sz="0" w:space="0" w:color="auto"/>
                                                          </w:divBdr>
                                                          <w:divsChild>
                                                            <w:div w:id="1114981601">
                                                              <w:marLeft w:val="0"/>
                                                              <w:marRight w:val="0"/>
                                                              <w:marTop w:val="0"/>
                                                              <w:marBottom w:val="0"/>
                                                              <w:divBdr>
                                                                <w:top w:val="none" w:sz="0" w:space="0" w:color="auto"/>
                                                                <w:left w:val="none" w:sz="0" w:space="0" w:color="auto"/>
                                                                <w:bottom w:val="none" w:sz="0" w:space="0" w:color="auto"/>
                                                                <w:right w:val="none" w:sz="0" w:space="0" w:color="auto"/>
                                                              </w:divBdr>
                                                              <w:divsChild>
                                                                <w:div w:id="19581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m.gov.lv/lv/sabiedribas_lidzdaliba/tiesibu_aktu_projekti/nodoklu_poli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gov.lv/lv/sabiedribas_lidzdaliba/tiesibu_aktu_projekti/nodoklu_politika" TargetMode="External"/><Relationship Id="rId5" Type="http://schemas.openxmlformats.org/officeDocument/2006/relationships/webSettings" Target="webSettings.xml"/><Relationship Id="rId15" Type="http://schemas.openxmlformats.org/officeDocument/2006/relationships/hyperlink" Target="mailto:diana.lukjanska@fm.gov.l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662C-8656-4F8E-B173-63D4A22F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15</Pages>
  <Words>22671</Words>
  <Characters>12924</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Likumporjekta "Grozījumi Pievienotās vērtības nodokļa likumā" sākotnējās ietekmes novērtējuma ziņojums (anotācija)</vt:lpstr>
    </vt:vector>
  </TitlesOfParts>
  <Company>Finanšu ministrija</Company>
  <LinksUpToDate>false</LinksUpToDate>
  <CharactersWithSpaces>35524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Likumporjekta "Grozījumi Pievienotās vērtības nodokļa likumā" sākotnējās ietekmes novērtējuma ziņojums (anotācija)</dc:title>
  <dc:subject>Anotācija</dc:subject>
  <dc:creator>Diāna Lukjanska</dc:creator>
  <cp:keywords/>
  <dc:description>67095514_x000d_
Diana.Lukjanska@fm.gov.lv</dc:description>
  <cp:lastModifiedBy>Diāna Lukjanska</cp:lastModifiedBy>
  <cp:revision>51</cp:revision>
  <cp:lastPrinted>2019-09-20T07:36:00Z</cp:lastPrinted>
  <dcterms:created xsi:type="dcterms:W3CDTF">2019-08-15T12:06:00Z</dcterms:created>
  <dcterms:modified xsi:type="dcterms:W3CDTF">2019-09-30T09:06:00Z</dcterms:modified>
</cp:coreProperties>
</file>