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81" w:rsidRPr="00B64281" w:rsidRDefault="00B64281" w:rsidP="00104F1B">
      <w:pPr>
        <w:ind w:firstLine="720"/>
        <w:jc w:val="center"/>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2191"/>
      </w:tblGrid>
      <w:tr w:rsidR="00B64281" w:rsidRPr="00B64281" w:rsidTr="00104F1B">
        <w:trPr>
          <w:trHeight w:val="1545"/>
          <w:jc w:val="center"/>
        </w:trPr>
        <w:tc>
          <w:tcPr>
            <w:tcW w:w="12191" w:type="dxa"/>
            <w:tcBorders>
              <w:bottom w:val="single" w:sz="6" w:space="0" w:color="000000"/>
            </w:tcBorders>
          </w:tcPr>
          <w:p w:rsidR="00B64281" w:rsidRPr="00B64281" w:rsidRDefault="00104F1B" w:rsidP="00C50800">
            <w:pPr>
              <w:ind w:firstLine="720"/>
              <w:jc w:val="center"/>
              <w:rPr>
                <w:rFonts w:ascii="Times New Roman" w:eastAsia="Times New Roman" w:hAnsi="Times New Roman" w:cs="Times New Roman"/>
                <w:sz w:val="24"/>
                <w:szCs w:val="24"/>
                <w:lang w:eastAsia="lv-LV"/>
              </w:rPr>
            </w:pPr>
            <w:r w:rsidRPr="00104F1B">
              <w:rPr>
                <w:rFonts w:ascii="Times New Roman" w:eastAsia="Times New Roman" w:hAnsi="Times New Roman" w:cs="Times New Roman"/>
                <w:b/>
                <w:bCs/>
                <w:sz w:val="28"/>
                <w:szCs w:val="24"/>
                <w:lang w:eastAsia="lv-LV"/>
              </w:rPr>
              <w:t>Izziņa par atzinumos sniegtajiem iebildumiem</w:t>
            </w:r>
            <w:r>
              <w:rPr>
                <w:rFonts w:ascii="Times New Roman" w:eastAsia="Times New Roman" w:hAnsi="Times New Roman" w:cs="Times New Roman"/>
                <w:b/>
                <w:bCs/>
                <w:sz w:val="28"/>
                <w:szCs w:val="24"/>
                <w:lang w:eastAsia="lv-LV"/>
              </w:rPr>
              <w:t xml:space="preserve"> par </w:t>
            </w:r>
            <w:r w:rsidRPr="00842135">
              <w:rPr>
                <w:rFonts w:ascii="Times New Roman" w:eastAsia="Times New Roman" w:hAnsi="Times New Roman" w:cs="Times New Roman"/>
                <w:b/>
                <w:bCs/>
                <w:sz w:val="28"/>
                <w:szCs w:val="24"/>
                <w:lang w:eastAsia="lv-LV"/>
              </w:rPr>
              <w:t>Ministru kabineta noteikumu</w:t>
            </w:r>
            <w:r>
              <w:rPr>
                <w:rFonts w:ascii="Times New Roman" w:eastAsia="Times New Roman" w:hAnsi="Times New Roman" w:cs="Times New Roman"/>
                <w:b/>
                <w:bCs/>
                <w:sz w:val="28"/>
                <w:szCs w:val="24"/>
                <w:lang w:eastAsia="lv-LV"/>
              </w:rPr>
              <w:t xml:space="preserve"> projektu </w:t>
            </w:r>
            <w:r w:rsidRPr="00842135">
              <w:rPr>
                <w:rFonts w:ascii="Times New Roman" w:eastAsia="Times New Roman" w:hAnsi="Times New Roman" w:cs="Times New Roman"/>
                <w:b/>
                <w:bCs/>
                <w:sz w:val="28"/>
                <w:szCs w:val="24"/>
                <w:lang w:eastAsia="lv-LV"/>
              </w:rPr>
              <w:t xml:space="preserve"> “</w:t>
            </w:r>
            <w:r w:rsidRPr="00F27156">
              <w:rPr>
                <w:rFonts w:ascii="Times New Roman" w:eastAsia="Times New Roman" w:hAnsi="Times New Roman" w:cs="Times New Roman"/>
                <w:b/>
                <w:bCs/>
                <w:sz w:val="28"/>
                <w:szCs w:val="24"/>
                <w:lang w:eastAsia="lv-LV"/>
              </w:rPr>
              <w:t>Grozījumi Ministru kabineta 2008.</w:t>
            </w:r>
            <w:r>
              <w:t> </w:t>
            </w:r>
            <w:r w:rsidRPr="00F27156">
              <w:rPr>
                <w:rFonts w:ascii="Times New Roman" w:eastAsia="Times New Roman" w:hAnsi="Times New Roman" w:cs="Times New Roman"/>
                <w:b/>
                <w:bCs/>
                <w:sz w:val="28"/>
                <w:szCs w:val="24"/>
                <w:lang w:eastAsia="lv-LV"/>
              </w:rPr>
              <w:t>gada 26.</w:t>
            </w:r>
            <w:r>
              <w:rPr>
                <w:rFonts w:ascii="Times New Roman" w:eastAsia="Times New Roman" w:hAnsi="Times New Roman" w:cs="Times New Roman"/>
                <w:b/>
                <w:bCs/>
                <w:sz w:val="28"/>
                <w:szCs w:val="24"/>
                <w:lang w:eastAsia="lv-LV"/>
              </w:rPr>
              <w:t> </w:t>
            </w:r>
            <w:r w:rsidRPr="00F27156">
              <w:rPr>
                <w:rFonts w:ascii="Times New Roman" w:eastAsia="Times New Roman" w:hAnsi="Times New Roman" w:cs="Times New Roman"/>
                <w:b/>
                <w:bCs/>
                <w:sz w:val="28"/>
                <w:szCs w:val="24"/>
                <w:lang w:eastAsia="lv-LV"/>
              </w:rPr>
              <w:t>februāra noteikumos Nr. 126 “Eiropas Ekonomikas zonas finanšu instrumenta un Norvēģijas valdības divpusējā finanšu instrumenta īstenošanas, uzraudzības, novērtēšanas un auditu veikšanas kārtība”</w:t>
            </w:r>
            <w:r w:rsidRPr="00842135">
              <w:rPr>
                <w:rFonts w:ascii="Times New Roman" w:eastAsia="Times New Roman" w:hAnsi="Times New Roman" w:cs="Times New Roman"/>
                <w:b/>
                <w:bCs/>
                <w:sz w:val="28"/>
                <w:szCs w:val="24"/>
                <w:lang w:eastAsia="lv-LV"/>
              </w:rPr>
              <w:t>”</w:t>
            </w:r>
          </w:p>
        </w:tc>
      </w:tr>
    </w:tbl>
    <w:p w:rsidR="00B64281" w:rsidRPr="00B64281" w:rsidRDefault="00B64281" w:rsidP="00104F1B">
      <w:pPr>
        <w:ind w:firstLine="1080"/>
        <w:jc w:val="cente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(dokumenta veids un nosaukums)</w:t>
      </w:r>
    </w:p>
    <w:p w:rsidR="00B64281" w:rsidRPr="00B64281" w:rsidRDefault="00B64281" w:rsidP="00B64281">
      <w:pPr>
        <w:ind w:firstLine="720"/>
        <w:jc w:val="both"/>
        <w:rPr>
          <w:rFonts w:ascii="Times New Roman" w:eastAsia="Times New Roman" w:hAnsi="Times New Roman" w:cs="Times New Roman"/>
          <w:sz w:val="24"/>
          <w:szCs w:val="24"/>
          <w:lang w:eastAsia="lv-LV"/>
        </w:rPr>
      </w:pPr>
    </w:p>
    <w:p w:rsidR="00B64281" w:rsidRPr="00B64281" w:rsidRDefault="00B64281" w:rsidP="00B64281">
      <w:pPr>
        <w:jc w:val="center"/>
        <w:rPr>
          <w:rFonts w:ascii="Times New Roman" w:eastAsia="Times New Roman" w:hAnsi="Times New Roman" w:cs="Times New Roman"/>
          <w:b/>
          <w:sz w:val="24"/>
          <w:szCs w:val="24"/>
          <w:lang w:eastAsia="lv-LV"/>
        </w:rPr>
      </w:pPr>
      <w:r w:rsidRPr="00B64281">
        <w:rPr>
          <w:rFonts w:ascii="Times New Roman" w:eastAsia="Times New Roman" w:hAnsi="Times New Roman" w:cs="Times New Roman"/>
          <w:b/>
          <w:sz w:val="24"/>
          <w:szCs w:val="24"/>
          <w:lang w:eastAsia="lv-LV"/>
        </w:rPr>
        <w:t>I. Jautājumi, par kuriem saskaņošanā vienošanās nav panākta</w:t>
      </w:r>
    </w:p>
    <w:p w:rsidR="00B64281" w:rsidRPr="00B64281" w:rsidRDefault="00B64281" w:rsidP="00B64281">
      <w:pPr>
        <w:ind w:firstLine="720"/>
        <w:jc w:val="both"/>
        <w:rPr>
          <w:rFonts w:ascii="Times New Roman" w:eastAsia="Times New Roman" w:hAnsi="Times New Roman" w:cs="Times New Roman"/>
          <w:sz w:val="24"/>
          <w:szCs w:val="24"/>
          <w:lang w:eastAsia="lv-LV"/>
        </w:rPr>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678"/>
      </w:tblGrid>
      <w:tr w:rsidR="00B64281" w:rsidRPr="00B64281" w:rsidTr="00B64281">
        <w:tc>
          <w:tcPr>
            <w:tcW w:w="708" w:type="dxa"/>
            <w:tcBorders>
              <w:top w:val="single" w:sz="6" w:space="0" w:color="000000"/>
              <w:left w:val="single" w:sz="6" w:space="0" w:color="000000"/>
              <w:bottom w:val="single" w:sz="6" w:space="0" w:color="000000"/>
              <w:right w:val="single" w:sz="6" w:space="0" w:color="000000"/>
            </w:tcBorders>
            <w:vAlign w:val="center"/>
          </w:tcPr>
          <w:p w:rsidR="00B64281" w:rsidRPr="00B64281" w:rsidRDefault="00B64281" w:rsidP="00B64281">
            <w:pPr>
              <w:jc w:val="cente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rsidR="00B64281" w:rsidRPr="00B64281" w:rsidRDefault="00B64281" w:rsidP="00B64281">
            <w:pPr>
              <w:ind w:firstLine="12"/>
              <w:jc w:val="cente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B64281" w:rsidRPr="00B64281" w:rsidRDefault="00B64281" w:rsidP="00B64281">
            <w:pPr>
              <w:ind w:right="3"/>
              <w:jc w:val="cente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B64281" w:rsidRPr="00B64281" w:rsidRDefault="00B64281" w:rsidP="00B64281">
            <w:pPr>
              <w:ind w:firstLine="21"/>
              <w:jc w:val="cente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B64281" w:rsidRPr="00B64281" w:rsidRDefault="00B64281" w:rsidP="00B64281">
            <w:pPr>
              <w:jc w:val="cente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678" w:type="dxa"/>
            <w:tcBorders>
              <w:top w:val="single" w:sz="4" w:space="0" w:color="auto"/>
              <w:left w:val="single" w:sz="4" w:space="0" w:color="auto"/>
              <w:bottom w:val="single" w:sz="4" w:space="0" w:color="auto"/>
            </w:tcBorders>
            <w:vAlign w:val="center"/>
          </w:tcPr>
          <w:p w:rsidR="00B64281" w:rsidRPr="00B64281" w:rsidRDefault="00B64281" w:rsidP="00B64281">
            <w:pPr>
              <w:jc w:val="cente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Projekta attiecīgā punkta (panta) galīgā redakcija</w:t>
            </w:r>
          </w:p>
        </w:tc>
      </w:tr>
      <w:tr w:rsidR="00B64281" w:rsidRPr="00B64281" w:rsidTr="00B64281">
        <w:tc>
          <w:tcPr>
            <w:tcW w:w="708" w:type="dxa"/>
            <w:tcBorders>
              <w:top w:val="single" w:sz="6" w:space="0" w:color="000000"/>
              <w:left w:val="single" w:sz="6" w:space="0" w:color="000000"/>
              <w:bottom w:val="single" w:sz="6" w:space="0" w:color="000000"/>
              <w:right w:val="single" w:sz="6" w:space="0" w:color="000000"/>
            </w:tcBorders>
          </w:tcPr>
          <w:p w:rsidR="00B64281" w:rsidRPr="00B64281" w:rsidRDefault="00B64281" w:rsidP="00B64281">
            <w:pPr>
              <w:jc w:val="center"/>
              <w:rPr>
                <w:rFonts w:ascii="Times New Roman" w:eastAsia="Times New Roman" w:hAnsi="Times New Roman" w:cs="Times New Roman"/>
                <w:sz w:val="20"/>
                <w:szCs w:val="20"/>
                <w:lang w:eastAsia="lv-LV"/>
              </w:rPr>
            </w:pPr>
            <w:r w:rsidRPr="00B64281">
              <w:rPr>
                <w:rFonts w:ascii="Times New Roman" w:eastAsia="Times New Roman" w:hAnsi="Times New Roman" w:cs="Times New Roman"/>
                <w:sz w:val="20"/>
                <w:szCs w:val="20"/>
                <w:lang w:eastAsia="lv-LV"/>
              </w:rPr>
              <w:t>1</w:t>
            </w:r>
          </w:p>
        </w:tc>
        <w:tc>
          <w:tcPr>
            <w:tcW w:w="3086" w:type="dxa"/>
            <w:tcBorders>
              <w:top w:val="single" w:sz="6" w:space="0" w:color="000000"/>
              <w:left w:val="single" w:sz="6" w:space="0" w:color="000000"/>
              <w:bottom w:val="single" w:sz="6" w:space="0" w:color="000000"/>
              <w:right w:val="single" w:sz="6" w:space="0" w:color="000000"/>
            </w:tcBorders>
          </w:tcPr>
          <w:p w:rsidR="00B64281" w:rsidRPr="00B64281" w:rsidRDefault="00B64281" w:rsidP="00B64281">
            <w:pPr>
              <w:ind w:firstLine="720"/>
              <w:jc w:val="center"/>
              <w:rPr>
                <w:rFonts w:ascii="Times New Roman" w:eastAsia="Times New Roman" w:hAnsi="Times New Roman" w:cs="Times New Roman"/>
                <w:sz w:val="20"/>
                <w:szCs w:val="20"/>
                <w:lang w:eastAsia="lv-LV"/>
              </w:rPr>
            </w:pPr>
            <w:r w:rsidRPr="00B64281">
              <w:rPr>
                <w:rFonts w:ascii="Times New Roman" w:eastAsia="Times New Roman" w:hAnsi="Times New Roman" w:cs="Times New Roman"/>
                <w:sz w:val="20"/>
                <w:szCs w:val="20"/>
                <w:lang w:eastAsia="lv-LV"/>
              </w:rPr>
              <w:t>2</w:t>
            </w:r>
          </w:p>
        </w:tc>
        <w:tc>
          <w:tcPr>
            <w:tcW w:w="3118" w:type="dxa"/>
            <w:tcBorders>
              <w:top w:val="single" w:sz="6" w:space="0" w:color="000000"/>
              <w:left w:val="single" w:sz="6" w:space="0" w:color="000000"/>
              <w:bottom w:val="single" w:sz="6" w:space="0" w:color="000000"/>
              <w:right w:val="single" w:sz="6" w:space="0" w:color="000000"/>
            </w:tcBorders>
          </w:tcPr>
          <w:p w:rsidR="00B64281" w:rsidRPr="00B64281" w:rsidRDefault="00B64281" w:rsidP="00B64281">
            <w:pPr>
              <w:ind w:firstLine="720"/>
              <w:jc w:val="center"/>
              <w:rPr>
                <w:rFonts w:ascii="Times New Roman" w:eastAsia="Times New Roman" w:hAnsi="Times New Roman" w:cs="Times New Roman"/>
                <w:sz w:val="20"/>
                <w:szCs w:val="20"/>
                <w:lang w:eastAsia="lv-LV"/>
              </w:rPr>
            </w:pPr>
            <w:r w:rsidRPr="00B64281">
              <w:rPr>
                <w:rFonts w:ascii="Times New Roman" w:eastAsia="Times New Roman" w:hAnsi="Times New Roman" w:cs="Times New Roman"/>
                <w:sz w:val="20"/>
                <w:szCs w:val="20"/>
                <w:lang w:eastAsia="lv-LV"/>
              </w:rPr>
              <w:t>3</w:t>
            </w:r>
          </w:p>
        </w:tc>
        <w:tc>
          <w:tcPr>
            <w:tcW w:w="2977" w:type="dxa"/>
            <w:tcBorders>
              <w:top w:val="single" w:sz="6" w:space="0" w:color="000000"/>
              <w:left w:val="single" w:sz="6" w:space="0" w:color="000000"/>
              <w:bottom w:val="single" w:sz="6" w:space="0" w:color="000000"/>
              <w:right w:val="single" w:sz="6" w:space="0" w:color="000000"/>
            </w:tcBorders>
          </w:tcPr>
          <w:p w:rsidR="00B64281" w:rsidRPr="00B64281" w:rsidRDefault="00B64281" w:rsidP="00B64281">
            <w:pPr>
              <w:ind w:firstLine="720"/>
              <w:jc w:val="center"/>
              <w:rPr>
                <w:rFonts w:ascii="Times New Roman" w:eastAsia="Times New Roman" w:hAnsi="Times New Roman" w:cs="Times New Roman"/>
                <w:sz w:val="20"/>
                <w:szCs w:val="20"/>
                <w:lang w:eastAsia="lv-LV"/>
              </w:rPr>
            </w:pPr>
            <w:r w:rsidRPr="00B64281">
              <w:rPr>
                <w:rFonts w:ascii="Times New Roman" w:eastAsia="Times New Roman" w:hAnsi="Times New Roman" w:cs="Times New Roman"/>
                <w:sz w:val="20"/>
                <w:szCs w:val="20"/>
                <w:lang w:eastAsia="lv-LV"/>
              </w:rPr>
              <w:t>4</w:t>
            </w:r>
          </w:p>
        </w:tc>
        <w:tc>
          <w:tcPr>
            <w:tcW w:w="2459" w:type="dxa"/>
            <w:tcBorders>
              <w:top w:val="single" w:sz="4" w:space="0" w:color="auto"/>
              <w:left w:val="single" w:sz="4" w:space="0" w:color="auto"/>
              <w:bottom w:val="single" w:sz="4" w:space="0" w:color="auto"/>
              <w:right w:val="single" w:sz="4" w:space="0" w:color="auto"/>
            </w:tcBorders>
          </w:tcPr>
          <w:p w:rsidR="00B64281" w:rsidRPr="00B64281" w:rsidRDefault="00B64281" w:rsidP="00B64281">
            <w:pPr>
              <w:jc w:val="center"/>
              <w:rPr>
                <w:rFonts w:ascii="Times New Roman" w:eastAsia="Times New Roman" w:hAnsi="Times New Roman" w:cs="Times New Roman"/>
                <w:sz w:val="20"/>
                <w:szCs w:val="20"/>
                <w:lang w:eastAsia="lv-LV"/>
              </w:rPr>
            </w:pPr>
            <w:r w:rsidRPr="00B64281">
              <w:rPr>
                <w:rFonts w:ascii="Times New Roman" w:eastAsia="Times New Roman" w:hAnsi="Times New Roman" w:cs="Times New Roman"/>
                <w:sz w:val="20"/>
                <w:szCs w:val="20"/>
                <w:lang w:eastAsia="lv-LV"/>
              </w:rPr>
              <w:t>5</w:t>
            </w:r>
          </w:p>
        </w:tc>
        <w:tc>
          <w:tcPr>
            <w:tcW w:w="1678" w:type="dxa"/>
            <w:tcBorders>
              <w:top w:val="single" w:sz="4" w:space="0" w:color="auto"/>
              <w:left w:val="single" w:sz="4" w:space="0" w:color="auto"/>
              <w:bottom w:val="single" w:sz="4" w:space="0" w:color="auto"/>
            </w:tcBorders>
          </w:tcPr>
          <w:p w:rsidR="00B64281" w:rsidRPr="00B64281" w:rsidRDefault="00B64281" w:rsidP="00B64281">
            <w:pPr>
              <w:jc w:val="center"/>
              <w:rPr>
                <w:rFonts w:ascii="Times New Roman" w:eastAsia="Times New Roman" w:hAnsi="Times New Roman" w:cs="Times New Roman"/>
                <w:sz w:val="20"/>
                <w:szCs w:val="20"/>
                <w:lang w:eastAsia="lv-LV"/>
              </w:rPr>
            </w:pPr>
            <w:r w:rsidRPr="00B64281">
              <w:rPr>
                <w:rFonts w:ascii="Times New Roman" w:eastAsia="Times New Roman" w:hAnsi="Times New Roman" w:cs="Times New Roman"/>
                <w:sz w:val="20"/>
                <w:szCs w:val="20"/>
                <w:lang w:eastAsia="lv-LV"/>
              </w:rPr>
              <w:t>6</w:t>
            </w:r>
          </w:p>
        </w:tc>
      </w:tr>
      <w:tr w:rsidR="00B64281" w:rsidRPr="00B64281" w:rsidTr="00B64281">
        <w:tc>
          <w:tcPr>
            <w:tcW w:w="708" w:type="dxa"/>
            <w:tcBorders>
              <w:left w:val="single" w:sz="6" w:space="0" w:color="000000"/>
              <w:bottom w:val="single" w:sz="4" w:space="0" w:color="auto"/>
              <w:right w:val="single" w:sz="6" w:space="0" w:color="000000"/>
            </w:tcBorders>
          </w:tcPr>
          <w:p w:rsidR="00B64281" w:rsidRPr="00B64281" w:rsidRDefault="00B64281" w:rsidP="00B64281">
            <w:pPr>
              <w:ind w:firstLine="720"/>
              <w:jc w:val="cente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rsidR="00B64281" w:rsidRPr="00B64281" w:rsidRDefault="00B64281" w:rsidP="00B64281">
            <w:pPr>
              <w:ind w:firstLine="720"/>
              <w:jc w:val="center"/>
              <w:rPr>
                <w:rFonts w:ascii="Times New Roman" w:eastAsia="Times New Roman" w:hAnsi="Times New Roman" w:cs="Times New Roman"/>
                <w:sz w:val="24"/>
                <w:szCs w:val="24"/>
                <w:lang w:eastAsia="lv-LV"/>
              </w:rPr>
            </w:pPr>
          </w:p>
        </w:tc>
        <w:tc>
          <w:tcPr>
            <w:tcW w:w="3118" w:type="dxa"/>
            <w:tcBorders>
              <w:left w:val="single" w:sz="6" w:space="0" w:color="000000"/>
              <w:bottom w:val="single" w:sz="4" w:space="0" w:color="auto"/>
              <w:right w:val="single" w:sz="6" w:space="0" w:color="000000"/>
            </w:tcBorders>
          </w:tcPr>
          <w:p w:rsidR="00B64281" w:rsidRPr="00B64281" w:rsidRDefault="00B64281" w:rsidP="00B64281">
            <w:pPr>
              <w:ind w:firstLine="720"/>
              <w:jc w:val="center"/>
              <w:rPr>
                <w:rFonts w:ascii="Times New Roman" w:eastAsia="Times New Roman" w:hAnsi="Times New Roman" w:cs="Times New Roman"/>
                <w:sz w:val="24"/>
                <w:szCs w:val="24"/>
                <w:lang w:eastAsia="lv-LV"/>
              </w:rPr>
            </w:pPr>
          </w:p>
        </w:tc>
        <w:tc>
          <w:tcPr>
            <w:tcW w:w="2977" w:type="dxa"/>
            <w:tcBorders>
              <w:left w:val="single" w:sz="6" w:space="0" w:color="000000"/>
              <w:bottom w:val="single" w:sz="4" w:space="0" w:color="auto"/>
              <w:right w:val="single" w:sz="6" w:space="0" w:color="000000"/>
            </w:tcBorders>
          </w:tcPr>
          <w:p w:rsidR="00B64281" w:rsidRPr="00B64281" w:rsidRDefault="00B64281" w:rsidP="00B64281">
            <w:pPr>
              <w:ind w:firstLine="720"/>
              <w:jc w:val="center"/>
              <w:rPr>
                <w:rFonts w:ascii="Times New Roman" w:eastAsia="Times New Roman" w:hAnsi="Times New Roman" w:cs="Times New Roman"/>
                <w:sz w:val="24"/>
                <w:szCs w:val="24"/>
                <w:lang w:eastAsia="lv-LV"/>
              </w:rPr>
            </w:pPr>
          </w:p>
        </w:tc>
        <w:tc>
          <w:tcPr>
            <w:tcW w:w="2459" w:type="dxa"/>
            <w:tcBorders>
              <w:top w:val="single" w:sz="4" w:space="0" w:color="auto"/>
              <w:left w:val="single" w:sz="4" w:space="0" w:color="auto"/>
              <w:bottom w:val="single" w:sz="4" w:space="0" w:color="auto"/>
              <w:right w:val="single" w:sz="4" w:space="0" w:color="auto"/>
            </w:tcBorders>
          </w:tcPr>
          <w:p w:rsidR="00B64281" w:rsidRPr="00B64281" w:rsidRDefault="00B64281" w:rsidP="00B64281">
            <w:pPr>
              <w:rPr>
                <w:rFonts w:ascii="Times New Roman" w:eastAsia="Times New Roman" w:hAnsi="Times New Roman" w:cs="Times New Roman"/>
                <w:sz w:val="24"/>
                <w:szCs w:val="24"/>
                <w:lang w:eastAsia="lv-LV"/>
              </w:rPr>
            </w:pPr>
          </w:p>
        </w:tc>
        <w:tc>
          <w:tcPr>
            <w:tcW w:w="1678" w:type="dxa"/>
            <w:tcBorders>
              <w:top w:val="single" w:sz="4" w:space="0" w:color="auto"/>
              <w:left w:val="single" w:sz="4" w:space="0" w:color="auto"/>
              <w:bottom w:val="single" w:sz="4" w:space="0" w:color="auto"/>
            </w:tcBorders>
          </w:tcPr>
          <w:p w:rsidR="00B64281" w:rsidRPr="00B64281" w:rsidRDefault="00B64281" w:rsidP="00B64281">
            <w:pPr>
              <w:rPr>
                <w:rFonts w:ascii="Times New Roman" w:eastAsia="Times New Roman" w:hAnsi="Times New Roman" w:cs="Times New Roman"/>
                <w:sz w:val="24"/>
                <w:szCs w:val="24"/>
                <w:lang w:eastAsia="lv-LV"/>
              </w:rPr>
            </w:pPr>
          </w:p>
        </w:tc>
      </w:tr>
    </w:tbl>
    <w:p w:rsidR="00B64281" w:rsidRPr="00B64281" w:rsidRDefault="00B64281" w:rsidP="00B64281">
      <w:pPr>
        <w:jc w:val="both"/>
        <w:rPr>
          <w:rFonts w:ascii="Times New Roman" w:eastAsia="Times New Roman" w:hAnsi="Times New Roman" w:cs="Times New Roman"/>
          <w:sz w:val="24"/>
          <w:szCs w:val="24"/>
          <w:lang w:eastAsia="lv-LV"/>
        </w:rPr>
      </w:pPr>
    </w:p>
    <w:p w:rsidR="00B64281" w:rsidRPr="00B64281" w:rsidRDefault="00B64281" w:rsidP="00B64281">
      <w:pPr>
        <w:jc w:val="both"/>
        <w:rPr>
          <w:rFonts w:ascii="Times New Roman" w:eastAsia="Times New Roman" w:hAnsi="Times New Roman" w:cs="Times New Roman"/>
          <w:b/>
          <w:sz w:val="24"/>
          <w:szCs w:val="24"/>
          <w:lang w:eastAsia="lv-LV"/>
        </w:rPr>
      </w:pPr>
      <w:r w:rsidRPr="00B64281">
        <w:rPr>
          <w:rFonts w:ascii="Times New Roman" w:eastAsia="Times New Roman" w:hAnsi="Times New Roman" w:cs="Times New Roman"/>
          <w:b/>
          <w:sz w:val="24"/>
          <w:szCs w:val="24"/>
          <w:lang w:eastAsia="lv-LV"/>
        </w:rPr>
        <w:t xml:space="preserve">Informācija par </w:t>
      </w:r>
      <w:proofErr w:type="spellStart"/>
      <w:r w:rsidRPr="00B64281">
        <w:rPr>
          <w:rFonts w:ascii="Times New Roman" w:eastAsia="Times New Roman" w:hAnsi="Times New Roman" w:cs="Times New Roman"/>
          <w:b/>
          <w:sz w:val="24"/>
          <w:szCs w:val="24"/>
          <w:lang w:eastAsia="lv-LV"/>
        </w:rPr>
        <w:t>starpministriju</w:t>
      </w:r>
      <w:proofErr w:type="spellEnd"/>
      <w:r w:rsidRPr="00B64281">
        <w:rPr>
          <w:rFonts w:ascii="Times New Roman" w:eastAsia="Times New Roman" w:hAnsi="Times New Roman" w:cs="Times New Roman"/>
          <w:b/>
          <w:sz w:val="24"/>
          <w:szCs w:val="24"/>
          <w:lang w:eastAsia="lv-LV"/>
        </w:rPr>
        <w:t xml:space="preserve"> (starpinstitūciju) sanāksmi vai elektronisko saskaņošanu</w:t>
      </w:r>
    </w:p>
    <w:p w:rsidR="00B64281" w:rsidRPr="00B64281" w:rsidRDefault="00B64281" w:rsidP="00B64281">
      <w:pPr>
        <w:jc w:val="both"/>
        <w:rPr>
          <w:rFonts w:ascii="Times New Roman" w:eastAsia="Times New Roman" w:hAnsi="Times New Roman" w:cs="Times New Roman"/>
          <w:b/>
          <w:sz w:val="24"/>
          <w:szCs w:val="24"/>
          <w:lang w:eastAsia="lv-LV"/>
        </w:rPr>
      </w:pPr>
    </w:p>
    <w:tbl>
      <w:tblPr>
        <w:tblW w:w="12582" w:type="dxa"/>
        <w:tblLook w:val="00A0" w:firstRow="1" w:lastRow="0" w:firstColumn="1" w:lastColumn="0" w:noHBand="0" w:noVBand="0"/>
      </w:tblPr>
      <w:tblGrid>
        <w:gridCol w:w="6345"/>
        <w:gridCol w:w="1203"/>
        <w:gridCol w:w="5034"/>
      </w:tblGrid>
      <w:tr w:rsidR="00B64281" w:rsidRPr="00B64281" w:rsidTr="00984A57">
        <w:tc>
          <w:tcPr>
            <w:tcW w:w="6345" w:type="dxa"/>
          </w:tcPr>
          <w:p w:rsidR="00B64281" w:rsidRPr="00B64281" w:rsidRDefault="00B64281" w:rsidP="00B64281">
            <w:pPr>
              <w:jc w:val="both"/>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Datums</w:t>
            </w:r>
          </w:p>
        </w:tc>
        <w:tc>
          <w:tcPr>
            <w:tcW w:w="6237" w:type="dxa"/>
            <w:gridSpan w:val="2"/>
            <w:tcBorders>
              <w:bottom w:val="single" w:sz="4" w:space="0" w:color="auto"/>
            </w:tcBorders>
          </w:tcPr>
          <w:p w:rsidR="00B64281" w:rsidRPr="00B64281" w:rsidRDefault="006E5343" w:rsidP="00A135A3">
            <w:pPr>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2019.gada </w:t>
            </w:r>
            <w:r w:rsidR="005272F0">
              <w:rPr>
                <w:rFonts w:ascii="Times New Roman" w:eastAsia="Times New Roman" w:hAnsi="Times New Roman" w:cs="Times New Roman"/>
                <w:sz w:val="24"/>
                <w:szCs w:val="24"/>
                <w:lang w:eastAsia="lv-LV"/>
              </w:rPr>
              <w:t xml:space="preserve">8.augusts, </w:t>
            </w:r>
            <w:r w:rsidR="00104F1B">
              <w:rPr>
                <w:rFonts w:ascii="Times New Roman" w:eastAsia="Times New Roman" w:hAnsi="Times New Roman" w:cs="Times New Roman"/>
                <w:sz w:val="24"/>
                <w:szCs w:val="24"/>
                <w:lang w:eastAsia="lv-LV"/>
              </w:rPr>
              <w:t xml:space="preserve">2019.gada </w:t>
            </w:r>
            <w:r w:rsidR="00A135A3">
              <w:rPr>
                <w:rFonts w:ascii="Times New Roman" w:eastAsia="Times New Roman" w:hAnsi="Times New Roman" w:cs="Times New Roman"/>
                <w:sz w:val="24"/>
                <w:szCs w:val="24"/>
                <w:lang w:eastAsia="lv-LV"/>
              </w:rPr>
              <w:t>4.</w:t>
            </w:r>
            <w:r w:rsidR="00104F1B">
              <w:rPr>
                <w:rFonts w:ascii="Times New Roman" w:eastAsia="Times New Roman" w:hAnsi="Times New Roman" w:cs="Times New Roman"/>
                <w:sz w:val="24"/>
                <w:szCs w:val="24"/>
                <w:lang w:eastAsia="lv-LV"/>
              </w:rPr>
              <w:t xml:space="preserve"> septembris</w:t>
            </w:r>
          </w:p>
        </w:tc>
      </w:tr>
      <w:tr w:rsidR="00B64281" w:rsidRPr="00B64281" w:rsidTr="00984A57">
        <w:tc>
          <w:tcPr>
            <w:tcW w:w="6345" w:type="dxa"/>
          </w:tcPr>
          <w:p w:rsidR="00B64281" w:rsidRPr="00B64281" w:rsidRDefault="00B64281" w:rsidP="00B64281">
            <w:pPr>
              <w:jc w:val="both"/>
              <w:rPr>
                <w:rFonts w:ascii="Times New Roman" w:eastAsia="Times New Roman" w:hAnsi="Times New Roman" w:cs="Times New Roman"/>
                <w:sz w:val="24"/>
                <w:szCs w:val="24"/>
                <w:lang w:eastAsia="lv-LV"/>
              </w:rPr>
            </w:pPr>
          </w:p>
        </w:tc>
        <w:tc>
          <w:tcPr>
            <w:tcW w:w="6237" w:type="dxa"/>
            <w:gridSpan w:val="2"/>
            <w:tcBorders>
              <w:top w:val="single" w:sz="4" w:space="0" w:color="auto"/>
            </w:tcBorders>
          </w:tcPr>
          <w:p w:rsidR="00B64281" w:rsidRPr="00B64281" w:rsidRDefault="00B64281" w:rsidP="00B64281">
            <w:pPr>
              <w:ind w:firstLine="720"/>
              <w:rPr>
                <w:rFonts w:ascii="Times New Roman" w:eastAsia="Times New Roman" w:hAnsi="Times New Roman" w:cs="Times New Roman"/>
                <w:sz w:val="24"/>
                <w:szCs w:val="24"/>
                <w:lang w:eastAsia="lv-LV"/>
              </w:rPr>
            </w:pPr>
          </w:p>
        </w:tc>
      </w:tr>
      <w:tr w:rsidR="00B64281" w:rsidRPr="00B64281" w:rsidTr="00984A57">
        <w:tc>
          <w:tcPr>
            <w:tcW w:w="6345" w:type="dxa"/>
          </w:tcPr>
          <w:p w:rsidR="00B64281" w:rsidRPr="00B64281" w:rsidRDefault="00B64281" w:rsidP="00B64281">
            <w:pP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Saskaņošanas dalībnieki</w:t>
            </w:r>
          </w:p>
        </w:tc>
        <w:tc>
          <w:tcPr>
            <w:tcW w:w="6237" w:type="dxa"/>
            <w:gridSpan w:val="2"/>
          </w:tcPr>
          <w:p w:rsidR="00B64281" w:rsidRPr="00B64281" w:rsidRDefault="00104F1B" w:rsidP="002E51B7">
            <w:pPr>
              <w:jc w:val="both"/>
              <w:rPr>
                <w:rFonts w:ascii="Times New Roman" w:eastAsia="Times New Roman" w:hAnsi="Times New Roman" w:cs="Times New Roman"/>
                <w:sz w:val="24"/>
                <w:szCs w:val="24"/>
                <w:lang w:eastAsia="lv-LV"/>
              </w:rPr>
            </w:pPr>
            <w:r w:rsidRPr="00104F1B">
              <w:rPr>
                <w:rFonts w:ascii="Times New Roman" w:eastAsia="Times New Roman" w:hAnsi="Times New Roman" w:cs="Times New Roman"/>
                <w:sz w:val="24"/>
                <w:szCs w:val="24"/>
                <w:lang w:eastAsia="lv-LV"/>
              </w:rPr>
              <w:t>Tieslietu ministrij</w:t>
            </w:r>
            <w:r>
              <w:rPr>
                <w:rFonts w:ascii="Times New Roman" w:eastAsia="Times New Roman" w:hAnsi="Times New Roman" w:cs="Times New Roman"/>
                <w:sz w:val="24"/>
                <w:szCs w:val="24"/>
                <w:lang w:eastAsia="lv-LV"/>
              </w:rPr>
              <w:t>a</w:t>
            </w:r>
            <w:r w:rsidRPr="00104F1B">
              <w:rPr>
                <w:rFonts w:ascii="Times New Roman" w:eastAsia="Times New Roman" w:hAnsi="Times New Roman" w:cs="Times New Roman"/>
                <w:sz w:val="24"/>
                <w:szCs w:val="24"/>
                <w:lang w:eastAsia="lv-LV"/>
              </w:rPr>
              <w:t>, Ārlietu ministrij</w:t>
            </w:r>
            <w:r>
              <w:rPr>
                <w:rFonts w:ascii="Times New Roman" w:eastAsia="Times New Roman" w:hAnsi="Times New Roman" w:cs="Times New Roman"/>
                <w:sz w:val="24"/>
                <w:szCs w:val="24"/>
                <w:lang w:eastAsia="lv-LV"/>
              </w:rPr>
              <w:t>a</w:t>
            </w:r>
            <w:r w:rsidRPr="00104F1B">
              <w:rPr>
                <w:rFonts w:ascii="Times New Roman" w:eastAsia="Times New Roman" w:hAnsi="Times New Roman" w:cs="Times New Roman"/>
                <w:sz w:val="24"/>
                <w:szCs w:val="24"/>
                <w:lang w:eastAsia="lv-LV"/>
              </w:rPr>
              <w:t>, Ekonomikas ministrij</w:t>
            </w:r>
            <w:r>
              <w:rPr>
                <w:rFonts w:ascii="Times New Roman" w:eastAsia="Times New Roman" w:hAnsi="Times New Roman" w:cs="Times New Roman"/>
                <w:sz w:val="24"/>
                <w:szCs w:val="24"/>
                <w:lang w:eastAsia="lv-LV"/>
              </w:rPr>
              <w:t>a</w:t>
            </w:r>
            <w:r w:rsidRPr="00104F1B">
              <w:rPr>
                <w:rFonts w:ascii="Times New Roman" w:eastAsia="Times New Roman" w:hAnsi="Times New Roman" w:cs="Times New Roman"/>
                <w:sz w:val="24"/>
                <w:szCs w:val="24"/>
                <w:lang w:eastAsia="lv-LV"/>
              </w:rPr>
              <w:t>, Iekšlietu ministrij</w:t>
            </w:r>
            <w:r>
              <w:rPr>
                <w:rFonts w:ascii="Times New Roman" w:eastAsia="Times New Roman" w:hAnsi="Times New Roman" w:cs="Times New Roman"/>
                <w:sz w:val="24"/>
                <w:szCs w:val="24"/>
                <w:lang w:eastAsia="lv-LV"/>
              </w:rPr>
              <w:t>a</w:t>
            </w:r>
            <w:r w:rsidRPr="00104F1B">
              <w:rPr>
                <w:rFonts w:ascii="Times New Roman" w:eastAsia="Times New Roman" w:hAnsi="Times New Roman" w:cs="Times New Roman"/>
                <w:sz w:val="24"/>
                <w:szCs w:val="24"/>
                <w:lang w:eastAsia="lv-LV"/>
              </w:rPr>
              <w:t>, Izglītības un zinātnes ministrij</w:t>
            </w:r>
            <w:r>
              <w:rPr>
                <w:rFonts w:ascii="Times New Roman" w:eastAsia="Times New Roman" w:hAnsi="Times New Roman" w:cs="Times New Roman"/>
                <w:sz w:val="24"/>
                <w:szCs w:val="24"/>
                <w:lang w:eastAsia="lv-LV"/>
              </w:rPr>
              <w:t>a</w:t>
            </w:r>
            <w:r w:rsidRPr="00104F1B">
              <w:rPr>
                <w:rFonts w:ascii="Times New Roman" w:eastAsia="Times New Roman" w:hAnsi="Times New Roman" w:cs="Times New Roman"/>
                <w:sz w:val="24"/>
                <w:szCs w:val="24"/>
                <w:lang w:eastAsia="lv-LV"/>
              </w:rPr>
              <w:t>, Kultūras ministrij</w:t>
            </w:r>
            <w:r>
              <w:rPr>
                <w:rFonts w:ascii="Times New Roman" w:eastAsia="Times New Roman" w:hAnsi="Times New Roman" w:cs="Times New Roman"/>
                <w:sz w:val="24"/>
                <w:szCs w:val="24"/>
                <w:lang w:eastAsia="lv-LV"/>
              </w:rPr>
              <w:t>a</w:t>
            </w:r>
            <w:r w:rsidRPr="00104F1B">
              <w:rPr>
                <w:rFonts w:ascii="Times New Roman" w:eastAsia="Times New Roman" w:hAnsi="Times New Roman" w:cs="Times New Roman"/>
                <w:sz w:val="24"/>
                <w:szCs w:val="24"/>
                <w:lang w:eastAsia="lv-LV"/>
              </w:rPr>
              <w:t>, Labklājības ministrij</w:t>
            </w:r>
            <w:r>
              <w:rPr>
                <w:rFonts w:ascii="Times New Roman" w:eastAsia="Times New Roman" w:hAnsi="Times New Roman" w:cs="Times New Roman"/>
                <w:sz w:val="24"/>
                <w:szCs w:val="24"/>
                <w:lang w:eastAsia="lv-LV"/>
              </w:rPr>
              <w:t>a</w:t>
            </w:r>
            <w:r w:rsidRPr="00104F1B">
              <w:rPr>
                <w:rFonts w:ascii="Times New Roman" w:eastAsia="Times New Roman" w:hAnsi="Times New Roman" w:cs="Times New Roman"/>
                <w:sz w:val="24"/>
                <w:szCs w:val="24"/>
                <w:lang w:eastAsia="lv-LV"/>
              </w:rPr>
              <w:t>, Satiksmes ministrij</w:t>
            </w:r>
            <w:r>
              <w:rPr>
                <w:rFonts w:ascii="Times New Roman" w:eastAsia="Times New Roman" w:hAnsi="Times New Roman" w:cs="Times New Roman"/>
                <w:sz w:val="24"/>
                <w:szCs w:val="24"/>
                <w:lang w:eastAsia="lv-LV"/>
              </w:rPr>
              <w:t>a</w:t>
            </w:r>
            <w:r w:rsidRPr="00104F1B">
              <w:rPr>
                <w:rFonts w:ascii="Times New Roman" w:eastAsia="Times New Roman" w:hAnsi="Times New Roman" w:cs="Times New Roman"/>
                <w:sz w:val="24"/>
                <w:szCs w:val="24"/>
                <w:lang w:eastAsia="lv-LV"/>
              </w:rPr>
              <w:t>, Veselības ministrij</w:t>
            </w:r>
            <w:r>
              <w:rPr>
                <w:rFonts w:ascii="Times New Roman" w:eastAsia="Times New Roman" w:hAnsi="Times New Roman" w:cs="Times New Roman"/>
                <w:sz w:val="24"/>
                <w:szCs w:val="24"/>
                <w:lang w:eastAsia="lv-LV"/>
              </w:rPr>
              <w:t>a</w:t>
            </w:r>
            <w:r w:rsidRPr="00104F1B">
              <w:rPr>
                <w:rFonts w:ascii="Times New Roman" w:eastAsia="Times New Roman" w:hAnsi="Times New Roman" w:cs="Times New Roman"/>
                <w:sz w:val="24"/>
                <w:szCs w:val="24"/>
                <w:lang w:eastAsia="lv-LV"/>
              </w:rPr>
              <w:t>, Vides aizsardzības un reģionālās attīstības ministrij</w:t>
            </w:r>
            <w:r>
              <w:rPr>
                <w:rFonts w:ascii="Times New Roman" w:eastAsia="Times New Roman" w:hAnsi="Times New Roman" w:cs="Times New Roman"/>
                <w:sz w:val="24"/>
                <w:szCs w:val="24"/>
                <w:lang w:eastAsia="lv-LV"/>
              </w:rPr>
              <w:t>a</w:t>
            </w:r>
            <w:r w:rsidRPr="00104F1B">
              <w:rPr>
                <w:rFonts w:ascii="Times New Roman" w:eastAsia="Times New Roman" w:hAnsi="Times New Roman" w:cs="Times New Roman"/>
                <w:sz w:val="24"/>
                <w:szCs w:val="24"/>
                <w:lang w:eastAsia="lv-LV"/>
              </w:rPr>
              <w:t>, Zemkopības ministrij</w:t>
            </w:r>
            <w:r>
              <w:rPr>
                <w:rFonts w:ascii="Times New Roman" w:eastAsia="Times New Roman" w:hAnsi="Times New Roman" w:cs="Times New Roman"/>
                <w:sz w:val="24"/>
                <w:szCs w:val="24"/>
                <w:lang w:eastAsia="lv-LV"/>
              </w:rPr>
              <w:t>a</w:t>
            </w:r>
            <w:r w:rsidRPr="00104F1B">
              <w:rPr>
                <w:rFonts w:ascii="Times New Roman" w:eastAsia="Times New Roman" w:hAnsi="Times New Roman" w:cs="Times New Roman"/>
                <w:sz w:val="24"/>
                <w:szCs w:val="24"/>
                <w:lang w:eastAsia="lv-LV"/>
              </w:rPr>
              <w:t>, Latvijas Pašvaldību savienīb</w:t>
            </w:r>
            <w:r>
              <w:rPr>
                <w:rFonts w:ascii="Times New Roman" w:eastAsia="Times New Roman" w:hAnsi="Times New Roman" w:cs="Times New Roman"/>
                <w:sz w:val="24"/>
                <w:szCs w:val="24"/>
                <w:lang w:eastAsia="lv-LV"/>
              </w:rPr>
              <w:t>a</w:t>
            </w:r>
            <w:r w:rsidRPr="00104F1B">
              <w:rPr>
                <w:rFonts w:ascii="Times New Roman" w:eastAsia="Times New Roman" w:hAnsi="Times New Roman" w:cs="Times New Roman"/>
                <w:sz w:val="24"/>
                <w:szCs w:val="24"/>
                <w:lang w:eastAsia="lv-LV"/>
              </w:rPr>
              <w:t>, Korupcijas novēršanas un apkarošanas biroj</w:t>
            </w:r>
            <w:r>
              <w:rPr>
                <w:rFonts w:ascii="Times New Roman" w:eastAsia="Times New Roman" w:hAnsi="Times New Roman" w:cs="Times New Roman"/>
                <w:sz w:val="24"/>
                <w:szCs w:val="24"/>
                <w:lang w:eastAsia="lv-LV"/>
              </w:rPr>
              <w:t>s</w:t>
            </w:r>
            <w:r w:rsidRPr="00104F1B">
              <w:rPr>
                <w:rFonts w:ascii="Times New Roman" w:eastAsia="Times New Roman" w:hAnsi="Times New Roman" w:cs="Times New Roman"/>
                <w:sz w:val="24"/>
                <w:szCs w:val="24"/>
                <w:lang w:eastAsia="lv-LV"/>
              </w:rPr>
              <w:t xml:space="preserve"> un Latvi</w:t>
            </w:r>
            <w:r>
              <w:rPr>
                <w:rFonts w:ascii="Times New Roman" w:eastAsia="Times New Roman" w:hAnsi="Times New Roman" w:cs="Times New Roman"/>
                <w:sz w:val="24"/>
                <w:szCs w:val="24"/>
                <w:lang w:eastAsia="lv-LV"/>
              </w:rPr>
              <w:t>jas Brīvo arodbiedrību savienība</w:t>
            </w:r>
          </w:p>
        </w:tc>
      </w:tr>
      <w:tr w:rsidR="00104F1B" w:rsidRPr="00B64281" w:rsidTr="00984A57">
        <w:trPr>
          <w:gridAfter w:val="2"/>
          <w:wAfter w:w="6237" w:type="dxa"/>
        </w:trPr>
        <w:tc>
          <w:tcPr>
            <w:tcW w:w="6345" w:type="dxa"/>
          </w:tcPr>
          <w:p w:rsidR="00104F1B" w:rsidRPr="00B64281" w:rsidRDefault="00104F1B" w:rsidP="00B64281">
            <w:pPr>
              <w:ind w:firstLine="720"/>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  </w:t>
            </w:r>
          </w:p>
        </w:tc>
      </w:tr>
      <w:tr w:rsidR="00B64281" w:rsidRPr="00B64281" w:rsidTr="00984A57">
        <w:trPr>
          <w:trHeight w:val="285"/>
        </w:trPr>
        <w:tc>
          <w:tcPr>
            <w:tcW w:w="6345" w:type="dxa"/>
          </w:tcPr>
          <w:p w:rsidR="00B64281" w:rsidRPr="00B64281" w:rsidRDefault="00B64281" w:rsidP="00B64281">
            <w:pPr>
              <w:rPr>
                <w:rFonts w:ascii="Times New Roman" w:eastAsia="Times New Roman" w:hAnsi="Times New Roman" w:cs="Times New Roman"/>
                <w:sz w:val="24"/>
                <w:szCs w:val="24"/>
                <w:lang w:eastAsia="lv-LV"/>
              </w:rPr>
            </w:pPr>
          </w:p>
        </w:tc>
        <w:tc>
          <w:tcPr>
            <w:tcW w:w="1203" w:type="dxa"/>
          </w:tcPr>
          <w:p w:rsidR="00B64281" w:rsidRPr="00B64281" w:rsidRDefault="00B64281" w:rsidP="00B64281">
            <w:pPr>
              <w:ind w:firstLine="720"/>
              <w:rPr>
                <w:rFonts w:ascii="Times New Roman" w:eastAsia="Times New Roman" w:hAnsi="Times New Roman" w:cs="Times New Roman"/>
                <w:sz w:val="24"/>
                <w:szCs w:val="24"/>
                <w:lang w:eastAsia="lv-LV"/>
              </w:rPr>
            </w:pPr>
          </w:p>
        </w:tc>
        <w:tc>
          <w:tcPr>
            <w:tcW w:w="5034" w:type="dxa"/>
          </w:tcPr>
          <w:p w:rsidR="00B64281" w:rsidRPr="00B64281" w:rsidRDefault="00B64281" w:rsidP="00B64281">
            <w:pPr>
              <w:ind w:firstLine="12"/>
              <w:rPr>
                <w:rFonts w:ascii="Times New Roman" w:eastAsia="Times New Roman" w:hAnsi="Times New Roman" w:cs="Times New Roman"/>
                <w:sz w:val="24"/>
                <w:szCs w:val="24"/>
                <w:lang w:eastAsia="lv-LV"/>
              </w:rPr>
            </w:pPr>
          </w:p>
        </w:tc>
      </w:tr>
    </w:tbl>
    <w:p w:rsidR="00B64281" w:rsidRPr="00B64281" w:rsidRDefault="00B64281" w:rsidP="00B64281">
      <w:pP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br w:type="page"/>
      </w:r>
    </w:p>
    <w:tbl>
      <w:tblPr>
        <w:tblW w:w="12582" w:type="dxa"/>
        <w:tblLook w:val="00A0" w:firstRow="1" w:lastRow="0" w:firstColumn="1" w:lastColumn="0" w:noHBand="0" w:noVBand="0"/>
      </w:tblPr>
      <w:tblGrid>
        <w:gridCol w:w="6555"/>
        <w:gridCol w:w="5778"/>
        <w:gridCol w:w="249"/>
      </w:tblGrid>
      <w:tr w:rsidR="00B64281" w:rsidRPr="00B64281" w:rsidTr="0051187E">
        <w:trPr>
          <w:trHeight w:val="285"/>
        </w:trPr>
        <w:tc>
          <w:tcPr>
            <w:tcW w:w="6555" w:type="dxa"/>
          </w:tcPr>
          <w:p w:rsidR="00104F1B" w:rsidRDefault="00B64281" w:rsidP="00104F1B">
            <w:pP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lastRenderedPageBreak/>
              <w:t>Saskaņošanas dalībnieki izskatīja šādu ministriju</w:t>
            </w:r>
          </w:p>
          <w:p w:rsidR="00B64281" w:rsidRPr="00B64281" w:rsidRDefault="00B64281" w:rsidP="00104F1B">
            <w:pP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(citu institūciju) iebildumus</w:t>
            </w:r>
          </w:p>
        </w:tc>
        <w:tc>
          <w:tcPr>
            <w:tcW w:w="5778" w:type="dxa"/>
          </w:tcPr>
          <w:p w:rsidR="00B64281" w:rsidRPr="00B64281" w:rsidRDefault="0051187E" w:rsidP="00B64281">
            <w:pPr>
              <w:rPr>
                <w:rFonts w:ascii="Times New Roman" w:eastAsia="Times New Roman" w:hAnsi="Times New Roman" w:cs="Times New Roman"/>
                <w:sz w:val="24"/>
                <w:szCs w:val="24"/>
                <w:lang w:eastAsia="lv-LV"/>
              </w:rPr>
            </w:pPr>
            <w:r w:rsidRPr="0051187E">
              <w:rPr>
                <w:rFonts w:ascii="Times New Roman" w:eastAsia="Times New Roman" w:hAnsi="Times New Roman" w:cs="Times New Roman"/>
                <w:sz w:val="24"/>
                <w:szCs w:val="24"/>
                <w:lang w:eastAsia="lv-LV"/>
              </w:rPr>
              <w:t>Tieslietu ministrija</w:t>
            </w:r>
          </w:p>
        </w:tc>
        <w:tc>
          <w:tcPr>
            <w:tcW w:w="249" w:type="dxa"/>
          </w:tcPr>
          <w:p w:rsidR="00B64281" w:rsidRPr="00B64281" w:rsidRDefault="00B64281" w:rsidP="0051187E">
            <w:pPr>
              <w:ind w:firstLine="280"/>
              <w:rPr>
                <w:rFonts w:ascii="Times New Roman" w:eastAsia="Times New Roman" w:hAnsi="Times New Roman" w:cs="Times New Roman"/>
                <w:sz w:val="24"/>
                <w:szCs w:val="24"/>
                <w:lang w:eastAsia="lv-LV"/>
              </w:rPr>
            </w:pPr>
          </w:p>
        </w:tc>
      </w:tr>
      <w:tr w:rsidR="00104F1B" w:rsidRPr="00B64281" w:rsidTr="00104F1B">
        <w:trPr>
          <w:gridAfter w:val="2"/>
          <w:wAfter w:w="6027" w:type="dxa"/>
          <w:trHeight w:val="465"/>
        </w:trPr>
        <w:tc>
          <w:tcPr>
            <w:tcW w:w="6555" w:type="dxa"/>
          </w:tcPr>
          <w:p w:rsidR="00104F1B" w:rsidRPr="00B64281" w:rsidRDefault="00104F1B" w:rsidP="00B64281">
            <w:pPr>
              <w:ind w:firstLine="720"/>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  </w:t>
            </w:r>
          </w:p>
        </w:tc>
      </w:tr>
      <w:tr w:rsidR="0051187E" w:rsidRPr="00B64281" w:rsidTr="00104F1B">
        <w:trPr>
          <w:gridAfter w:val="2"/>
          <w:wAfter w:w="6027" w:type="dxa"/>
        </w:trPr>
        <w:tc>
          <w:tcPr>
            <w:tcW w:w="6555" w:type="dxa"/>
          </w:tcPr>
          <w:p w:rsidR="0051187E" w:rsidRPr="00B64281" w:rsidRDefault="0051187E" w:rsidP="00B64281">
            <w:pP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r>
      <w:tr w:rsidR="0051187E" w:rsidRPr="00B64281" w:rsidTr="00104F1B">
        <w:trPr>
          <w:gridAfter w:val="2"/>
          <w:wAfter w:w="6027" w:type="dxa"/>
        </w:trPr>
        <w:tc>
          <w:tcPr>
            <w:tcW w:w="6555" w:type="dxa"/>
          </w:tcPr>
          <w:p w:rsidR="0051187E" w:rsidRPr="00B64281" w:rsidRDefault="0051187E" w:rsidP="00B64281">
            <w:pPr>
              <w:ind w:firstLine="720"/>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  </w:t>
            </w:r>
          </w:p>
        </w:tc>
      </w:tr>
      <w:tr w:rsidR="0051187E" w:rsidRPr="00B64281" w:rsidTr="00104F1B">
        <w:trPr>
          <w:gridAfter w:val="2"/>
          <w:wAfter w:w="6027" w:type="dxa"/>
        </w:trPr>
        <w:tc>
          <w:tcPr>
            <w:tcW w:w="6555" w:type="dxa"/>
          </w:tcPr>
          <w:p w:rsidR="0051187E" w:rsidRPr="00B64281" w:rsidRDefault="0051187E" w:rsidP="00B64281">
            <w:pPr>
              <w:ind w:firstLine="720"/>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  </w:t>
            </w:r>
          </w:p>
        </w:tc>
      </w:tr>
    </w:tbl>
    <w:p w:rsidR="00B64281" w:rsidRPr="00B64281" w:rsidRDefault="00B64281" w:rsidP="00B64281">
      <w:pPr>
        <w:ind w:firstLine="720"/>
        <w:jc w:val="both"/>
        <w:rPr>
          <w:rFonts w:ascii="Times New Roman" w:eastAsia="Times New Roman" w:hAnsi="Times New Roman" w:cs="Times New Roman"/>
          <w:sz w:val="24"/>
          <w:szCs w:val="24"/>
          <w:lang w:eastAsia="lv-LV"/>
        </w:rPr>
      </w:pPr>
    </w:p>
    <w:p w:rsidR="00B64281" w:rsidRPr="00B64281" w:rsidRDefault="00B64281" w:rsidP="00B64281">
      <w:pPr>
        <w:jc w:val="center"/>
        <w:rPr>
          <w:rFonts w:ascii="Times New Roman" w:eastAsia="Times New Roman" w:hAnsi="Times New Roman" w:cs="Times New Roman"/>
          <w:b/>
          <w:sz w:val="24"/>
          <w:szCs w:val="24"/>
          <w:lang w:eastAsia="lv-LV"/>
        </w:rPr>
      </w:pPr>
      <w:r w:rsidRPr="00B64281">
        <w:rPr>
          <w:rFonts w:ascii="Times New Roman" w:eastAsia="Times New Roman" w:hAnsi="Times New Roman" w:cs="Times New Roman"/>
          <w:b/>
          <w:sz w:val="24"/>
          <w:szCs w:val="24"/>
          <w:lang w:eastAsia="lv-LV"/>
        </w:rPr>
        <w:t>II. Jautājumi, par kuriem saskaņošanā vienošanās ir panākta</w:t>
      </w:r>
    </w:p>
    <w:p w:rsidR="00B64281" w:rsidRPr="00B64281" w:rsidRDefault="00B64281" w:rsidP="00B64281">
      <w:pPr>
        <w:ind w:firstLine="720"/>
        <w:jc w:val="both"/>
        <w:rPr>
          <w:rFonts w:ascii="Times New Roman" w:eastAsia="Times New Roman" w:hAnsi="Times New Roman" w:cs="Times New Roman"/>
          <w:sz w:val="24"/>
          <w:szCs w:val="24"/>
          <w:lang w:eastAsia="lv-LV"/>
        </w:rPr>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78"/>
        <w:gridCol w:w="5528"/>
        <w:gridCol w:w="1074"/>
        <w:gridCol w:w="2328"/>
        <w:gridCol w:w="2551"/>
      </w:tblGrid>
      <w:tr w:rsidR="00B64281" w:rsidRPr="00B64281" w:rsidTr="00F23148">
        <w:tc>
          <w:tcPr>
            <w:tcW w:w="708" w:type="dxa"/>
            <w:tcBorders>
              <w:top w:val="single" w:sz="6" w:space="0" w:color="000000"/>
              <w:left w:val="single" w:sz="6" w:space="0" w:color="000000"/>
              <w:bottom w:val="single" w:sz="6" w:space="0" w:color="000000"/>
              <w:right w:val="single" w:sz="6" w:space="0" w:color="000000"/>
            </w:tcBorders>
            <w:vAlign w:val="center"/>
          </w:tcPr>
          <w:p w:rsidR="00B64281" w:rsidRPr="00B64281" w:rsidRDefault="00B64281" w:rsidP="00B64281">
            <w:pPr>
              <w:jc w:val="cente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Nr. p. k.</w:t>
            </w:r>
          </w:p>
        </w:tc>
        <w:tc>
          <w:tcPr>
            <w:tcW w:w="1978" w:type="dxa"/>
            <w:tcBorders>
              <w:top w:val="single" w:sz="6" w:space="0" w:color="000000"/>
              <w:left w:val="single" w:sz="6" w:space="0" w:color="000000"/>
              <w:bottom w:val="single" w:sz="6" w:space="0" w:color="000000"/>
              <w:right w:val="single" w:sz="6" w:space="0" w:color="000000"/>
            </w:tcBorders>
            <w:vAlign w:val="center"/>
          </w:tcPr>
          <w:p w:rsidR="00B64281" w:rsidRPr="00B64281" w:rsidRDefault="00B64281" w:rsidP="00B64281">
            <w:pPr>
              <w:ind w:firstLine="12"/>
              <w:jc w:val="cente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Saskaņošanai nosūtītā projekta redakcija (konkrēta punkta (panta) redakcija)</w:t>
            </w:r>
          </w:p>
        </w:tc>
        <w:tc>
          <w:tcPr>
            <w:tcW w:w="5528" w:type="dxa"/>
            <w:tcBorders>
              <w:top w:val="single" w:sz="6" w:space="0" w:color="000000"/>
              <w:left w:val="single" w:sz="6" w:space="0" w:color="000000"/>
              <w:bottom w:val="single" w:sz="6" w:space="0" w:color="000000"/>
              <w:right w:val="single" w:sz="6" w:space="0" w:color="000000"/>
            </w:tcBorders>
            <w:vAlign w:val="center"/>
          </w:tcPr>
          <w:p w:rsidR="00B64281" w:rsidRPr="00B64281" w:rsidRDefault="00B64281" w:rsidP="00B64281">
            <w:pPr>
              <w:ind w:right="3"/>
              <w:jc w:val="cente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B64281" w:rsidRPr="00B64281" w:rsidRDefault="00B64281" w:rsidP="00B64281">
            <w:pPr>
              <w:ind w:firstLine="21"/>
              <w:jc w:val="cente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2551" w:type="dxa"/>
            <w:tcBorders>
              <w:top w:val="single" w:sz="4" w:space="0" w:color="auto"/>
              <w:left w:val="single" w:sz="4" w:space="0" w:color="auto"/>
              <w:bottom w:val="single" w:sz="4" w:space="0" w:color="auto"/>
            </w:tcBorders>
            <w:vAlign w:val="center"/>
          </w:tcPr>
          <w:p w:rsidR="00B64281" w:rsidRPr="00B64281" w:rsidRDefault="00B64281" w:rsidP="00B64281">
            <w:pPr>
              <w:jc w:val="cente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Projekta attiecīgā punkta (panta) galīgā redakcija</w:t>
            </w:r>
          </w:p>
        </w:tc>
      </w:tr>
      <w:tr w:rsidR="00B64281" w:rsidRPr="00B64281" w:rsidTr="00F23148">
        <w:tc>
          <w:tcPr>
            <w:tcW w:w="708" w:type="dxa"/>
            <w:tcBorders>
              <w:top w:val="single" w:sz="6" w:space="0" w:color="000000"/>
              <w:left w:val="single" w:sz="6" w:space="0" w:color="000000"/>
              <w:bottom w:val="single" w:sz="6" w:space="0" w:color="000000"/>
              <w:right w:val="single" w:sz="6" w:space="0" w:color="000000"/>
            </w:tcBorders>
          </w:tcPr>
          <w:p w:rsidR="00B64281" w:rsidRPr="00B64281" w:rsidRDefault="00B64281" w:rsidP="00B64281">
            <w:pPr>
              <w:jc w:val="center"/>
              <w:rPr>
                <w:rFonts w:ascii="Times New Roman" w:eastAsia="Times New Roman" w:hAnsi="Times New Roman" w:cs="Times New Roman"/>
                <w:sz w:val="20"/>
                <w:szCs w:val="20"/>
                <w:lang w:eastAsia="lv-LV"/>
              </w:rPr>
            </w:pPr>
            <w:r w:rsidRPr="00B64281">
              <w:rPr>
                <w:rFonts w:ascii="Times New Roman" w:eastAsia="Times New Roman" w:hAnsi="Times New Roman" w:cs="Times New Roman"/>
                <w:sz w:val="20"/>
                <w:szCs w:val="20"/>
                <w:lang w:eastAsia="lv-LV"/>
              </w:rPr>
              <w:t>1</w:t>
            </w:r>
          </w:p>
        </w:tc>
        <w:tc>
          <w:tcPr>
            <w:tcW w:w="1978" w:type="dxa"/>
            <w:tcBorders>
              <w:top w:val="single" w:sz="6" w:space="0" w:color="000000"/>
              <w:left w:val="single" w:sz="6" w:space="0" w:color="000000"/>
              <w:bottom w:val="single" w:sz="6" w:space="0" w:color="000000"/>
              <w:right w:val="single" w:sz="6" w:space="0" w:color="000000"/>
            </w:tcBorders>
          </w:tcPr>
          <w:p w:rsidR="00B64281" w:rsidRPr="00B64281" w:rsidRDefault="00B64281" w:rsidP="00B64281">
            <w:pPr>
              <w:ind w:firstLine="720"/>
              <w:jc w:val="center"/>
              <w:rPr>
                <w:rFonts w:ascii="Times New Roman" w:eastAsia="Times New Roman" w:hAnsi="Times New Roman" w:cs="Times New Roman"/>
                <w:sz w:val="20"/>
                <w:szCs w:val="20"/>
                <w:lang w:eastAsia="lv-LV"/>
              </w:rPr>
            </w:pPr>
            <w:r w:rsidRPr="00B64281">
              <w:rPr>
                <w:rFonts w:ascii="Times New Roman" w:eastAsia="Times New Roman" w:hAnsi="Times New Roman" w:cs="Times New Roman"/>
                <w:sz w:val="20"/>
                <w:szCs w:val="20"/>
                <w:lang w:eastAsia="lv-LV"/>
              </w:rPr>
              <w:t>2</w:t>
            </w:r>
          </w:p>
        </w:tc>
        <w:tc>
          <w:tcPr>
            <w:tcW w:w="5528" w:type="dxa"/>
            <w:tcBorders>
              <w:top w:val="single" w:sz="6" w:space="0" w:color="000000"/>
              <w:left w:val="single" w:sz="6" w:space="0" w:color="000000"/>
              <w:bottom w:val="single" w:sz="6" w:space="0" w:color="000000"/>
              <w:right w:val="single" w:sz="6" w:space="0" w:color="000000"/>
            </w:tcBorders>
          </w:tcPr>
          <w:p w:rsidR="00B64281" w:rsidRPr="00B64281" w:rsidRDefault="00B64281" w:rsidP="00B64281">
            <w:pPr>
              <w:ind w:firstLine="720"/>
              <w:jc w:val="center"/>
              <w:rPr>
                <w:rFonts w:ascii="Times New Roman" w:eastAsia="Times New Roman" w:hAnsi="Times New Roman" w:cs="Times New Roman"/>
                <w:sz w:val="20"/>
                <w:szCs w:val="20"/>
                <w:lang w:eastAsia="lv-LV"/>
              </w:rPr>
            </w:pPr>
            <w:r w:rsidRPr="00B64281">
              <w:rPr>
                <w:rFonts w:ascii="Times New Roman" w:eastAsia="Times New Roman" w:hAnsi="Times New Roman" w:cs="Times New Roman"/>
                <w:sz w:val="20"/>
                <w:szCs w:val="20"/>
                <w:lang w:eastAsia="lv-LV"/>
              </w:rPr>
              <w:t>3</w:t>
            </w:r>
          </w:p>
        </w:tc>
        <w:tc>
          <w:tcPr>
            <w:tcW w:w="3402" w:type="dxa"/>
            <w:gridSpan w:val="2"/>
            <w:tcBorders>
              <w:top w:val="single" w:sz="6" w:space="0" w:color="000000"/>
              <w:left w:val="single" w:sz="6" w:space="0" w:color="000000"/>
              <w:bottom w:val="single" w:sz="6" w:space="0" w:color="000000"/>
              <w:right w:val="single" w:sz="6" w:space="0" w:color="000000"/>
            </w:tcBorders>
          </w:tcPr>
          <w:p w:rsidR="00B64281" w:rsidRPr="00B64281" w:rsidRDefault="00B64281" w:rsidP="00B64281">
            <w:pPr>
              <w:ind w:firstLine="720"/>
              <w:jc w:val="center"/>
              <w:rPr>
                <w:rFonts w:ascii="Times New Roman" w:eastAsia="Times New Roman" w:hAnsi="Times New Roman" w:cs="Times New Roman"/>
                <w:sz w:val="20"/>
                <w:szCs w:val="20"/>
                <w:lang w:eastAsia="lv-LV"/>
              </w:rPr>
            </w:pPr>
            <w:r w:rsidRPr="00B64281">
              <w:rPr>
                <w:rFonts w:ascii="Times New Roman" w:eastAsia="Times New Roman" w:hAnsi="Times New Roman" w:cs="Times New Roman"/>
                <w:sz w:val="20"/>
                <w:szCs w:val="20"/>
                <w:lang w:eastAsia="lv-LV"/>
              </w:rPr>
              <w:t>4</w:t>
            </w:r>
          </w:p>
        </w:tc>
        <w:tc>
          <w:tcPr>
            <w:tcW w:w="2551" w:type="dxa"/>
            <w:tcBorders>
              <w:top w:val="single" w:sz="4" w:space="0" w:color="auto"/>
              <w:left w:val="single" w:sz="4" w:space="0" w:color="auto"/>
              <w:bottom w:val="single" w:sz="4" w:space="0" w:color="auto"/>
            </w:tcBorders>
          </w:tcPr>
          <w:p w:rsidR="00B64281" w:rsidRPr="00B64281" w:rsidRDefault="00B64281" w:rsidP="00B64281">
            <w:pPr>
              <w:jc w:val="center"/>
              <w:rPr>
                <w:rFonts w:ascii="Times New Roman" w:eastAsia="Times New Roman" w:hAnsi="Times New Roman" w:cs="Times New Roman"/>
                <w:sz w:val="20"/>
                <w:szCs w:val="20"/>
                <w:lang w:eastAsia="lv-LV"/>
              </w:rPr>
            </w:pPr>
            <w:r w:rsidRPr="00B64281">
              <w:rPr>
                <w:rFonts w:ascii="Times New Roman" w:eastAsia="Times New Roman" w:hAnsi="Times New Roman" w:cs="Times New Roman"/>
                <w:sz w:val="20"/>
                <w:szCs w:val="20"/>
                <w:lang w:eastAsia="lv-LV"/>
              </w:rPr>
              <w:t>5</w:t>
            </w:r>
          </w:p>
        </w:tc>
      </w:tr>
      <w:tr w:rsidR="00F23148" w:rsidRPr="00B64281" w:rsidTr="00F23148">
        <w:tc>
          <w:tcPr>
            <w:tcW w:w="708" w:type="dxa"/>
            <w:tcBorders>
              <w:top w:val="single" w:sz="6" w:space="0" w:color="000000"/>
              <w:left w:val="single" w:sz="6" w:space="0" w:color="000000"/>
              <w:bottom w:val="single" w:sz="6" w:space="0" w:color="000000"/>
              <w:right w:val="single" w:sz="6" w:space="0" w:color="000000"/>
            </w:tcBorders>
          </w:tcPr>
          <w:p w:rsidR="00F23148" w:rsidRPr="00F23148" w:rsidRDefault="00F23148" w:rsidP="00F23148">
            <w:pPr>
              <w:pStyle w:val="ListParagraph"/>
              <w:numPr>
                <w:ilvl w:val="0"/>
                <w:numId w:val="1"/>
              </w:numPr>
              <w:jc w:val="center"/>
              <w:rPr>
                <w:rFonts w:ascii="Times New Roman" w:eastAsia="Times New Roman" w:hAnsi="Times New Roman" w:cs="Times New Roman"/>
                <w:sz w:val="20"/>
                <w:szCs w:val="20"/>
                <w:lang w:eastAsia="lv-LV"/>
              </w:rPr>
            </w:pPr>
          </w:p>
        </w:tc>
        <w:tc>
          <w:tcPr>
            <w:tcW w:w="1978" w:type="dxa"/>
            <w:tcBorders>
              <w:top w:val="single" w:sz="6" w:space="0" w:color="000000"/>
              <w:left w:val="single" w:sz="6" w:space="0" w:color="000000"/>
              <w:bottom w:val="single" w:sz="6" w:space="0" w:color="000000"/>
              <w:right w:val="single" w:sz="6" w:space="0" w:color="000000"/>
            </w:tcBorders>
          </w:tcPr>
          <w:p w:rsidR="00F23148" w:rsidRPr="00F23148" w:rsidRDefault="00F23148" w:rsidP="00F23148">
            <w:pPr>
              <w:jc w:val="center"/>
              <w:rPr>
                <w:rFonts w:ascii="Times New Roman" w:eastAsia="Times New Roman" w:hAnsi="Times New Roman" w:cs="Times New Roman"/>
                <w:sz w:val="24"/>
                <w:szCs w:val="24"/>
                <w:lang w:eastAsia="lv-LV"/>
              </w:rPr>
            </w:pPr>
            <w:r w:rsidRPr="00F23148">
              <w:rPr>
                <w:rFonts w:ascii="Times New Roman" w:eastAsia="Times New Roman" w:hAnsi="Times New Roman" w:cs="Times New Roman"/>
                <w:sz w:val="24"/>
                <w:szCs w:val="24"/>
                <w:lang w:eastAsia="lv-LV"/>
              </w:rPr>
              <w:t>3. Svītrot 108. un 108.1 punktu.</w:t>
            </w:r>
          </w:p>
        </w:tc>
        <w:tc>
          <w:tcPr>
            <w:tcW w:w="5528" w:type="dxa"/>
            <w:tcBorders>
              <w:top w:val="single" w:sz="6" w:space="0" w:color="000000"/>
              <w:left w:val="single" w:sz="6" w:space="0" w:color="000000"/>
              <w:bottom w:val="single" w:sz="6" w:space="0" w:color="000000"/>
              <w:right w:val="single" w:sz="6" w:space="0" w:color="000000"/>
            </w:tcBorders>
          </w:tcPr>
          <w:p w:rsidR="00F23148" w:rsidRPr="00F23148" w:rsidRDefault="00F23148" w:rsidP="00F23148">
            <w:pPr>
              <w:jc w:val="center"/>
              <w:rPr>
                <w:rFonts w:ascii="Times New Roman" w:eastAsia="Times New Roman" w:hAnsi="Times New Roman" w:cs="Times New Roman"/>
                <w:b/>
                <w:sz w:val="24"/>
                <w:szCs w:val="24"/>
                <w:lang w:eastAsia="lv-LV"/>
              </w:rPr>
            </w:pPr>
            <w:r w:rsidRPr="00F23148">
              <w:rPr>
                <w:rFonts w:ascii="Times New Roman" w:eastAsia="Times New Roman" w:hAnsi="Times New Roman" w:cs="Times New Roman"/>
                <w:b/>
                <w:sz w:val="24"/>
                <w:szCs w:val="24"/>
                <w:lang w:eastAsia="lv-LV"/>
              </w:rPr>
              <w:t>Tieslietu ministrija</w:t>
            </w:r>
          </w:p>
          <w:p w:rsidR="00F23148" w:rsidRPr="00F23148" w:rsidRDefault="00F23148" w:rsidP="00F23148">
            <w:pPr>
              <w:jc w:val="both"/>
              <w:rPr>
                <w:rFonts w:ascii="Times New Roman" w:eastAsia="Times New Roman" w:hAnsi="Times New Roman" w:cs="Times New Roman"/>
                <w:sz w:val="24"/>
                <w:szCs w:val="24"/>
                <w:lang w:eastAsia="lv-LV"/>
              </w:rPr>
            </w:pPr>
            <w:r w:rsidRPr="00F23148">
              <w:rPr>
                <w:rFonts w:ascii="Times New Roman" w:eastAsia="Times New Roman" w:hAnsi="Times New Roman" w:cs="Times New Roman"/>
                <w:sz w:val="24"/>
                <w:szCs w:val="24"/>
                <w:lang w:eastAsia="lv-LV"/>
              </w:rPr>
              <w:t xml:space="preserve">Saskaņā ar Eiropas Ekonomikas zonas finanšu instrumenta un Norvēģijas valdības divpusējā finanšu instrumenta vadības likuma 8. panta pirmās daļas 3. punktu aģentūrai (Centrālā finanšu un līgumu aģentūra) ir vadošās iestādes uzdevums – saskaņā ar sadarbības līgumiem nodrošināt programmu, </w:t>
            </w:r>
            <w:proofErr w:type="spellStart"/>
            <w:r w:rsidRPr="00F23148">
              <w:rPr>
                <w:rFonts w:ascii="Times New Roman" w:eastAsia="Times New Roman" w:hAnsi="Times New Roman" w:cs="Times New Roman"/>
                <w:sz w:val="24"/>
                <w:szCs w:val="24"/>
                <w:lang w:eastAsia="lv-LV"/>
              </w:rPr>
              <w:t>grantu</w:t>
            </w:r>
            <w:proofErr w:type="spellEnd"/>
            <w:r w:rsidRPr="00F23148">
              <w:rPr>
                <w:rFonts w:ascii="Times New Roman" w:eastAsia="Times New Roman" w:hAnsi="Times New Roman" w:cs="Times New Roman"/>
                <w:sz w:val="24"/>
                <w:szCs w:val="24"/>
                <w:lang w:eastAsia="lv-LV"/>
              </w:rPr>
              <w:t xml:space="preserve"> shēmu un individuālo projektu ieviešanas uzraudzību, kontroli un auditu. Tātad secināms, ka pienākums uzraudzīt programmu, </w:t>
            </w:r>
            <w:proofErr w:type="spellStart"/>
            <w:r w:rsidRPr="00F23148">
              <w:rPr>
                <w:rFonts w:ascii="Times New Roman" w:eastAsia="Times New Roman" w:hAnsi="Times New Roman" w:cs="Times New Roman"/>
                <w:sz w:val="24"/>
                <w:szCs w:val="24"/>
                <w:lang w:eastAsia="lv-LV"/>
              </w:rPr>
              <w:t>grantu</w:t>
            </w:r>
            <w:proofErr w:type="spellEnd"/>
            <w:r w:rsidRPr="00F23148">
              <w:rPr>
                <w:rFonts w:ascii="Times New Roman" w:eastAsia="Times New Roman" w:hAnsi="Times New Roman" w:cs="Times New Roman"/>
                <w:sz w:val="24"/>
                <w:szCs w:val="24"/>
                <w:lang w:eastAsia="lv-LV"/>
              </w:rPr>
              <w:t xml:space="preserve"> shēmu un individuālo projektu ieviešanu attiecas arī uz pēcuzraudzības posmu, t.i., specifisko vai vispārīgo nosacījumu un to saistību izpildes kontroli, kuras jāievēro pēc projekta pabeigšanas, atbilstoši Ministru kabineta 2008. gada 26. februāra noteikumiem Nr. 126 "Eiropas Ekonomikas zonas finanšu instrumenta un Norvēģijas valdības </w:t>
            </w:r>
            <w:r w:rsidRPr="00F23148">
              <w:rPr>
                <w:rFonts w:ascii="Times New Roman" w:eastAsia="Times New Roman" w:hAnsi="Times New Roman" w:cs="Times New Roman"/>
                <w:sz w:val="24"/>
                <w:szCs w:val="24"/>
                <w:lang w:eastAsia="lv-LV"/>
              </w:rPr>
              <w:lastRenderedPageBreak/>
              <w:t>divpusējā finanšu instrumenta īstenošanas, uzraudzības, novērtēšanas un auditu veikšanas kārtība" 103.5. apakšpunktam. Attiecīgi lūdzam izvērtēt un skaidrot, kā, ar noteikuma projekta 3. punktu, neparedzot aģentūrai turpmāk attiecīgajam pēcuzraudzības pienākumam atbilstošas funkcijas un atbildību, tiek ievērotas Eiropas Ekonomikas zonas finanšu instrum</w:t>
            </w:r>
            <w:bookmarkStart w:id="0" w:name="_GoBack"/>
            <w:bookmarkEnd w:id="0"/>
            <w:r w:rsidRPr="00F23148">
              <w:rPr>
                <w:rFonts w:ascii="Times New Roman" w:eastAsia="Times New Roman" w:hAnsi="Times New Roman" w:cs="Times New Roman"/>
                <w:sz w:val="24"/>
                <w:szCs w:val="24"/>
                <w:lang w:eastAsia="lv-LV"/>
              </w:rPr>
              <w:t>enta un Norvēģijas valdības divpusējā finanšu instrumenta vadības likuma 8. panta pirmās daļas 3. punkta prasības. Ja minēto skaidrojumu nav iespējams sniegt, lūdzam attiecīgi precizēt noteikumu projektu.</w:t>
            </w:r>
          </w:p>
          <w:p w:rsidR="00F23148" w:rsidRPr="00F23148" w:rsidRDefault="00F23148" w:rsidP="00F23148">
            <w:pPr>
              <w:ind w:hanging="86"/>
              <w:jc w:val="both"/>
              <w:rPr>
                <w:rFonts w:ascii="Times New Roman" w:eastAsia="Times New Roman" w:hAnsi="Times New Roman" w:cs="Times New Roman"/>
                <w:sz w:val="24"/>
                <w:szCs w:val="24"/>
                <w:lang w:eastAsia="lv-LV"/>
              </w:rPr>
            </w:pPr>
          </w:p>
        </w:tc>
        <w:tc>
          <w:tcPr>
            <w:tcW w:w="3402" w:type="dxa"/>
            <w:gridSpan w:val="2"/>
            <w:tcBorders>
              <w:top w:val="single" w:sz="6" w:space="0" w:color="000000"/>
              <w:left w:val="single" w:sz="6" w:space="0" w:color="000000"/>
              <w:bottom w:val="single" w:sz="6" w:space="0" w:color="000000"/>
              <w:right w:val="single" w:sz="6" w:space="0" w:color="000000"/>
            </w:tcBorders>
          </w:tcPr>
          <w:p w:rsidR="00F23148" w:rsidRPr="00F23148" w:rsidRDefault="00F23148" w:rsidP="00F23148">
            <w:pPr>
              <w:ind w:hanging="229"/>
              <w:jc w:val="center"/>
              <w:rPr>
                <w:rFonts w:ascii="Times New Roman" w:eastAsia="Times New Roman" w:hAnsi="Times New Roman" w:cs="Times New Roman"/>
                <w:b/>
                <w:sz w:val="24"/>
                <w:szCs w:val="24"/>
                <w:lang w:eastAsia="lv-LV"/>
              </w:rPr>
            </w:pPr>
            <w:r w:rsidRPr="00F23148">
              <w:rPr>
                <w:rFonts w:ascii="Times New Roman" w:eastAsia="Times New Roman" w:hAnsi="Times New Roman" w:cs="Times New Roman"/>
                <w:b/>
                <w:sz w:val="24"/>
                <w:szCs w:val="24"/>
                <w:lang w:eastAsia="lv-LV"/>
              </w:rPr>
              <w:lastRenderedPageBreak/>
              <w:t>Ņemts vērā</w:t>
            </w:r>
          </w:p>
          <w:p w:rsidR="00F23148" w:rsidRPr="00F23148" w:rsidRDefault="00F23148" w:rsidP="00F23148">
            <w:pPr>
              <w:ind w:firstLine="55"/>
              <w:jc w:val="both"/>
              <w:rPr>
                <w:rFonts w:ascii="Times New Roman" w:eastAsia="Times New Roman" w:hAnsi="Times New Roman" w:cs="Times New Roman"/>
                <w:sz w:val="24"/>
                <w:szCs w:val="24"/>
                <w:lang w:eastAsia="lv-LV"/>
              </w:rPr>
            </w:pPr>
            <w:r w:rsidRPr="00F23148">
              <w:rPr>
                <w:rFonts w:ascii="Times New Roman" w:eastAsia="Times New Roman" w:hAnsi="Times New Roman" w:cs="Times New Roman"/>
                <w:sz w:val="24"/>
                <w:szCs w:val="24"/>
                <w:lang w:eastAsia="lv-LV"/>
              </w:rPr>
              <w:t xml:space="preserve">Papildināts MK noteikumu projekta anotācijas </w:t>
            </w:r>
            <w:r>
              <w:rPr>
                <w:rFonts w:ascii="Times New Roman" w:eastAsia="Times New Roman" w:hAnsi="Times New Roman" w:cs="Times New Roman"/>
                <w:bCs/>
                <w:iCs/>
                <w:sz w:val="24"/>
                <w:szCs w:val="24"/>
                <w:lang w:eastAsia="lv-LV"/>
              </w:rPr>
              <w:t>I</w:t>
            </w:r>
            <w:r w:rsidR="00006E53">
              <w:rPr>
                <w:rFonts w:ascii="Times New Roman" w:eastAsia="Times New Roman" w:hAnsi="Times New Roman" w:cs="Times New Roman"/>
                <w:bCs/>
                <w:iCs/>
                <w:sz w:val="24"/>
                <w:szCs w:val="24"/>
                <w:lang w:eastAsia="lv-LV"/>
              </w:rPr>
              <w:t>.</w:t>
            </w:r>
            <w:r w:rsidRPr="00F23148">
              <w:rPr>
                <w:rFonts w:ascii="Times New Roman" w:eastAsia="Times New Roman" w:hAnsi="Times New Roman" w:cs="Times New Roman"/>
                <w:bCs/>
                <w:iCs/>
                <w:sz w:val="24"/>
                <w:szCs w:val="24"/>
                <w:lang w:eastAsia="lv-LV"/>
              </w:rPr>
              <w:t xml:space="preserve"> sadaļas “Tiesību akta projekta izstrādes nepieciešamība” 2. punkts.</w:t>
            </w:r>
          </w:p>
        </w:tc>
        <w:tc>
          <w:tcPr>
            <w:tcW w:w="2551" w:type="dxa"/>
            <w:tcBorders>
              <w:top w:val="single" w:sz="4" w:space="0" w:color="auto"/>
              <w:left w:val="single" w:sz="4" w:space="0" w:color="auto"/>
              <w:bottom w:val="single" w:sz="4" w:space="0" w:color="auto"/>
            </w:tcBorders>
          </w:tcPr>
          <w:p w:rsidR="00F23148" w:rsidRPr="00F23148" w:rsidRDefault="00F23148" w:rsidP="00F23148">
            <w:pPr>
              <w:jc w:val="both"/>
              <w:rPr>
                <w:rFonts w:ascii="Times New Roman" w:eastAsia="Times New Roman" w:hAnsi="Times New Roman" w:cs="Times New Roman"/>
                <w:sz w:val="24"/>
                <w:szCs w:val="24"/>
                <w:lang w:eastAsia="lv-LV"/>
              </w:rPr>
            </w:pPr>
            <w:r w:rsidRPr="00F23148">
              <w:rPr>
                <w:rFonts w:ascii="Times New Roman" w:eastAsia="Times New Roman" w:hAnsi="Times New Roman" w:cs="Times New Roman"/>
                <w:sz w:val="24"/>
                <w:szCs w:val="24"/>
                <w:lang w:eastAsia="lv-LV"/>
              </w:rPr>
              <w:t xml:space="preserve">MK noteikumu projekta anotācijas I. sadaļas “Tiesību akta projekta izstrādes </w:t>
            </w:r>
            <w:r w:rsidR="00A135A3">
              <w:rPr>
                <w:rFonts w:ascii="Times New Roman" w:eastAsia="Times New Roman" w:hAnsi="Times New Roman" w:cs="Times New Roman"/>
                <w:sz w:val="24"/>
                <w:szCs w:val="24"/>
                <w:lang w:eastAsia="lv-LV"/>
              </w:rPr>
              <w:t>nepieciešamība” 2. punkts</w:t>
            </w:r>
          </w:p>
        </w:tc>
      </w:tr>
      <w:tr w:rsidR="00F23148" w:rsidRPr="00B64281" w:rsidTr="00F23148">
        <w:tc>
          <w:tcPr>
            <w:tcW w:w="708" w:type="dxa"/>
            <w:tcBorders>
              <w:top w:val="single" w:sz="6" w:space="0" w:color="000000"/>
              <w:left w:val="single" w:sz="6" w:space="0" w:color="000000"/>
              <w:bottom w:val="single" w:sz="6" w:space="0" w:color="000000"/>
              <w:right w:val="single" w:sz="6" w:space="0" w:color="000000"/>
            </w:tcBorders>
          </w:tcPr>
          <w:p w:rsidR="00F23148" w:rsidRPr="00F23148" w:rsidRDefault="00F23148" w:rsidP="00F23148">
            <w:pPr>
              <w:pStyle w:val="ListParagraph"/>
              <w:numPr>
                <w:ilvl w:val="0"/>
                <w:numId w:val="1"/>
              </w:numPr>
              <w:jc w:val="center"/>
              <w:rPr>
                <w:rFonts w:ascii="Times New Roman" w:eastAsia="Times New Roman" w:hAnsi="Times New Roman" w:cs="Times New Roman"/>
                <w:sz w:val="20"/>
                <w:szCs w:val="20"/>
                <w:lang w:eastAsia="lv-LV"/>
              </w:rPr>
            </w:pPr>
          </w:p>
        </w:tc>
        <w:tc>
          <w:tcPr>
            <w:tcW w:w="1978" w:type="dxa"/>
            <w:tcBorders>
              <w:top w:val="single" w:sz="6" w:space="0" w:color="000000"/>
              <w:left w:val="single" w:sz="6" w:space="0" w:color="000000"/>
              <w:bottom w:val="single" w:sz="6" w:space="0" w:color="000000"/>
              <w:right w:val="single" w:sz="6" w:space="0" w:color="000000"/>
            </w:tcBorders>
          </w:tcPr>
          <w:p w:rsidR="00F23148" w:rsidRPr="00F23148" w:rsidRDefault="00F23148" w:rsidP="00602143">
            <w:pPr>
              <w:jc w:val="both"/>
              <w:rPr>
                <w:rFonts w:ascii="Times New Roman" w:eastAsia="Times New Roman" w:hAnsi="Times New Roman" w:cs="Times New Roman"/>
                <w:sz w:val="24"/>
                <w:szCs w:val="24"/>
                <w:lang w:eastAsia="lv-LV"/>
              </w:rPr>
            </w:pPr>
            <w:r w:rsidRPr="00F23148">
              <w:rPr>
                <w:rFonts w:ascii="Times New Roman" w:eastAsia="Times New Roman" w:hAnsi="Times New Roman" w:cs="Times New Roman"/>
                <w:sz w:val="24"/>
                <w:szCs w:val="24"/>
                <w:lang w:eastAsia="lv-LV"/>
              </w:rPr>
              <w:t>MK noteikumu projekt</w:t>
            </w:r>
            <w:r w:rsidR="00A135A3">
              <w:rPr>
                <w:rFonts w:ascii="Times New Roman" w:eastAsia="Times New Roman" w:hAnsi="Times New Roman" w:cs="Times New Roman"/>
                <w:sz w:val="24"/>
                <w:szCs w:val="24"/>
                <w:lang w:eastAsia="lv-LV"/>
              </w:rPr>
              <w:t>a anotācijas V</w:t>
            </w:r>
            <w:r w:rsidR="00006E53">
              <w:rPr>
                <w:rFonts w:ascii="Times New Roman" w:eastAsia="Times New Roman" w:hAnsi="Times New Roman" w:cs="Times New Roman"/>
                <w:sz w:val="24"/>
                <w:szCs w:val="24"/>
                <w:lang w:eastAsia="lv-LV"/>
              </w:rPr>
              <w:t>.</w:t>
            </w:r>
            <w:r w:rsidR="00A135A3">
              <w:rPr>
                <w:rFonts w:ascii="Times New Roman" w:eastAsia="Times New Roman" w:hAnsi="Times New Roman" w:cs="Times New Roman"/>
                <w:sz w:val="24"/>
                <w:szCs w:val="24"/>
                <w:lang w:eastAsia="lv-LV"/>
              </w:rPr>
              <w:t xml:space="preserve"> sadaļas 2.punkts</w:t>
            </w:r>
          </w:p>
        </w:tc>
        <w:tc>
          <w:tcPr>
            <w:tcW w:w="5528" w:type="dxa"/>
            <w:tcBorders>
              <w:top w:val="single" w:sz="6" w:space="0" w:color="000000"/>
              <w:left w:val="single" w:sz="6" w:space="0" w:color="000000"/>
              <w:bottom w:val="single" w:sz="6" w:space="0" w:color="000000"/>
              <w:right w:val="single" w:sz="6" w:space="0" w:color="000000"/>
            </w:tcBorders>
          </w:tcPr>
          <w:p w:rsidR="00F23148" w:rsidRPr="00F23148" w:rsidRDefault="00F23148" w:rsidP="00F23148">
            <w:pPr>
              <w:jc w:val="center"/>
              <w:rPr>
                <w:rFonts w:ascii="Times New Roman" w:eastAsia="Times New Roman" w:hAnsi="Times New Roman" w:cs="Times New Roman"/>
                <w:b/>
                <w:sz w:val="24"/>
                <w:szCs w:val="24"/>
                <w:lang w:eastAsia="lv-LV"/>
              </w:rPr>
            </w:pPr>
            <w:r w:rsidRPr="00F23148">
              <w:rPr>
                <w:rFonts w:ascii="Times New Roman" w:eastAsia="Times New Roman" w:hAnsi="Times New Roman" w:cs="Times New Roman"/>
                <w:b/>
                <w:sz w:val="24"/>
                <w:szCs w:val="24"/>
                <w:lang w:eastAsia="lv-LV"/>
              </w:rPr>
              <w:t>Tieslietu ministrija</w:t>
            </w:r>
          </w:p>
          <w:p w:rsidR="00F23148" w:rsidRPr="00F23148" w:rsidRDefault="00F23148" w:rsidP="00F23148">
            <w:pPr>
              <w:jc w:val="both"/>
              <w:rPr>
                <w:rFonts w:ascii="Times New Roman" w:eastAsia="Times New Roman" w:hAnsi="Times New Roman" w:cs="Times New Roman"/>
                <w:sz w:val="24"/>
                <w:szCs w:val="24"/>
                <w:lang w:eastAsia="lv-LV"/>
              </w:rPr>
            </w:pPr>
            <w:r w:rsidRPr="00F23148">
              <w:rPr>
                <w:rFonts w:ascii="Times New Roman" w:eastAsia="Times New Roman" w:hAnsi="Times New Roman" w:cs="Times New Roman"/>
                <w:sz w:val="24"/>
                <w:szCs w:val="24"/>
                <w:lang w:eastAsia="lv-LV"/>
              </w:rPr>
              <w:t xml:space="preserve"> Lūdzam izvērtēt un aizpildīt noteikumu projekta anotācijas V sadaļas 2. punktu un 2. tabulu atbilstoši Ministru kabineta 2009. gada 15. decembra instrukcijas Nr. 19 "Tiesību akta projekta sākotnējās ietekmes izvērtēšanas kārtība" (turpmāk – instrukcija Nr. 19) 57. un 58. punktam. Proti, vēršam uzmanību, ka Latvijai ir noteiktas saistības attiecībā uz donorvalstu apstiprināto programmu, </w:t>
            </w:r>
            <w:proofErr w:type="spellStart"/>
            <w:r w:rsidRPr="00F23148">
              <w:rPr>
                <w:rFonts w:ascii="Times New Roman" w:eastAsia="Times New Roman" w:hAnsi="Times New Roman" w:cs="Times New Roman"/>
                <w:sz w:val="24"/>
                <w:szCs w:val="24"/>
                <w:lang w:eastAsia="lv-LV"/>
              </w:rPr>
              <w:t>grantu</w:t>
            </w:r>
            <w:proofErr w:type="spellEnd"/>
            <w:r w:rsidRPr="00F23148">
              <w:rPr>
                <w:rFonts w:ascii="Times New Roman" w:eastAsia="Times New Roman" w:hAnsi="Times New Roman" w:cs="Times New Roman"/>
                <w:sz w:val="24"/>
                <w:szCs w:val="24"/>
                <w:lang w:eastAsia="lv-LV"/>
              </w:rPr>
              <w:t xml:space="preserve"> shēmu un individuālo projektu ieviešanu, uzraudzību, kontroli un auditu, kas izriet no Saprašanās memoranda par Eiropas Ekonomikas zonas finanšu instrumenta ieviešanu 2004.–2009. gadā starp Islandes Republiku, Lihtenšteinas Firstisti, Norvēģijas Karalisti un Latvijas Republiku, kā arī Saprašanās memoranda par Norvēģijas valdības divpusējā finanšu instrumenta ieviešanu 2004.–2009. gadā, kurš izveidots saskaņā ar 2003. gada 14. oktobra līgumu starp Norvēģijas Karalisti un Eiropas Kopienu par Norvēģijas valdības divpusējo finanšu instrumentu 2004.–2009. gadā, starp Norvēģijas Karalisti un Latvijas Republiku, savukārt ar </w:t>
            </w:r>
            <w:r w:rsidRPr="00F23148">
              <w:rPr>
                <w:rFonts w:ascii="Times New Roman" w:eastAsia="Times New Roman" w:hAnsi="Times New Roman" w:cs="Times New Roman"/>
                <w:sz w:val="24"/>
                <w:szCs w:val="24"/>
                <w:lang w:eastAsia="lv-LV"/>
              </w:rPr>
              <w:lastRenderedPageBreak/>
              <w:t>noteikumu projektu paredzēts izdarīt grozījumus attiecīgās uzraudzības (pēcuzraudzības) kārtībā.</w:t>
            </w:r>
          </w:p>
          <w:p w:rsidR="00F23148" w:rsidRPr="00F23148" w:rsidRDefault="00F23148" w:rsidP="00F23148">
            <w:pPr>
              <w:ind w:firstLine="720"/>
              <w:jc w:val="center"/>
              <w:rPr>
                <w:rFonts w:ascii="Times New Roman" w:eastAsia="Times New Roman" w:hAnsi="Times New Roman" w:cs="Times New Roman"/>
                <w:sz w:val="20"/>
                <w:szCs w:val="20"/>
                <w:lang w:eastAsia="lv-LV"/>
              </w:rPr>
            </w:pPr>
          </w:p>
          <w:p w:rsidR="00F23148" w:rsidRPr="00B64281" w:rsidRDefault="00F23148" w:rsidP="00B64281">
            <w:pPr>
              <w:ind w:firstLine="720"/>
              <w:jc w:val="center"/>
              <w:rPr>
                <w:rFonts w:ascii="Times New Roman" w:eastAsia="Times New Roman" w:hAnsi="Times New Roman" w:cs="Times New Roman"/>
                <w:sz w:val="20"/>
                <w:szCs w:val="20"/>
                <w:lang w:eastAsia="lv-LV"/>
              </w:rPr>
            </w:pPr>
          </w:p>
        </w:tc>
        <w:tc>
          <w:tcPr>
            <w:tcW w:w="3402" w:type="dxa"/>
            <w:gridSpan w:val="2"/>
            <w:tcBorders>
              <w:top w:val="single" w:sz="6" w:space="0" w:color="000000"/>
              <w:left w:val="single" w:sz="6" w:space="0" w:color="000000"/>
              <w:bottom w:val="single" w:sz="6" w:space="0" w:color="000000"/>
              <w:right w:val="single" w:sz="6" w:space="0" w:color="000000"/>
            </w:tcBorders>
          </w:tcPr>
          <w:p w:rsidR="00F23148" w:rsidRDefault="00F23148" w:rsidP="00B64281">
            <w:pPr>
              <w:ind w:firstLine="720"/>
              <w:jc w:val="center"/>
              <w:rPr>
                <w:rFonts w:ascii="Times New Roman" w:eastAsia="Times New Roman" w:hAnsi="Times New Roman" w:cs="Times New Roman"/>
                <w:b/>
                <w:sz w:val="24"/>
                <w:szCs w:val="24"/>
                <w:lang w:eastAsia="lv-LV"/>
              </w:rPr>
            </w:pPr>
            <w:r w:rsidRPr="00F23148">
              <w:rPr>
                <w:rFonts w:ascii="Times New Roman" w:eastAsia="Times New Roman" w:hAnsi="Times New Roman" w:cs="Times New Roman"/>
                <w:b/>
                <w:sz w:val="24"/>
                <w:szCs w:val="24"/>
                <w:lang w:eastAsia="lv-LV"/>
              </w:rPr>
              <w:lastRenderedPageBreak/>
              <w:t>Ņemts vērā</w:t>
            </w:r>
          </w:p>
          <w:p w:rsidR="00F23148" w:rsidRPr="00F23148" w:rsidRDefault="00F23148" w:rsidP="00F2314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Aizpildīts </w:t>
            </w:r>
            <w:r w:rsidRPr="00F23148">
              <w:rPr>
                <w:rFonts w:ascii="Times New Roman" w:eastAsia="Times New Roman" w:hAnsi="Times New Roman" w:cs="Times New Roman"/>
                <w:sz w:val="24"/>
                <w:szCs w:val="24"/>
                <w:lang w:eastAsia="lv-LV"/>
              </w:rPr>
              <w:t>MK noteikumu projekta anotācijas V</w:t>
            </w:r>
            <w:r w:rsidR="00006E53">
              <w:rPr>
                <w:rFonts w:ascii="Times New Roman" w:eastAsia="Times New Roman" w:hAnsi="Times New Roman" w:cs="Times New Roman"/>
                <w:sz w:val="24"/>
                <w:szCs w:val="24"/>
                <w:lang w:eastAsia="lv-LV"/>
              </w:rPr>
              <w:t>.</w:t>
            </w:r>
            <w:r w:rsidRPr="00F23148">
              <w:rPr>
                <w:rFonts w:ascii="Times New Roman" w:eastAsia="Times New Roman" w:hAnsi="Times New Roman" w:cs="Times New Roman"/>
                <w:sz w:val="24"/>
                <w:szCs w:val="24"/>
                <w:lang w:eastAsia="lv-LV"/>
              </w:rPr>
              <w:t xml:space="preserve"> sadaļas 2.punkts</w:t>
            </w:r>
            <w:r w:rsidR="00A135A3">
              <w:rPr>
                <w:rFonts w:ascii="Times New Roman" w:eastAsia="Times New Roman" w:hAnsi="Times New Roman" w:cs="Times New Roman"/>
                <w:sz w:val="24"/>
                <w:szCs w:val="24"/>
                <w:lang w:eastAsia="lv-LV"/>
              </w:rPr>
              <w:t>.</w:t>
            </w:r>
          </w:p>
        </w:tc>
        <w:tc>
          <w:tcPr>
            <w:tcW w:w="2551" w:type="dxa"/>
            <w:tcBorders>
              <w:top w:val="single" w:sz="4" w:space="0" w:color="auto"/>
              <w:left w:val="single" w:sz="4" w:space="0" w:color="auto"/>
              <w:bottom w:val="single" w:sz="4" w:space="0" w:color="auto"/>
            </w:tcBorders>
          </w:tcPr>
          <w:p w:rsidR="00F23148" w:rsidRPr="00F23148" w:rsidRDefault="00F23148" w:rsidP="00F23148">
            <w:pPr>
              <w:jc w:val="both"/>
              <w:rPr>
                <w:rFonts w:ascii="Times New Roman" w:eastAsia="Times New Roman" w:hAnsi="Times New Roman" w:cs="Times New Roman"/>
                <w:sz w:val="24"/>
                <w:szCs w:val="24"/>
                <w:lang w:eastAsia="lv-LV"/>
              </w:rPr>
            </w:pPr>
            <w:r w:rsidRPr="00F23148">
              <w:rPr>
                <w:rFonts w:ascii="Times New Roman" w:eastAsia="Times New Roman" w:hAnsi="Times New Roman" w:cs="Times New Roman"/>
                <w:sz w:val="24"/>
                <w:szCs w:val="24"/>
                <w:lang w:eastAsia="lv-LV"/>
              </w:rPr>
              <w:t>MK noteikumu projekta anotācijas V</w:t>
            </w:r>
            <w:r w:rsidR="00006E53">
              <w:rPr>
                <w:rFonts w:ascii="Times New Roman" w:eastAsia="Times New Roman" w:hAnsi="Times New Roman" w:cs="Times New Roman"/>
                <w:sz w:val="24"/>
                <w:szCs w:val="24"/>
                <w:lang w:eastAsia="lv-LV"/>
              </w:rPr>
              <w:t>.</w:t>
            </w:r>
            <w:r w:rsidRPr="00F23148">
              <w:rPr>
                <w:rFonts w:ascii="Times New Roman" w:eastAsia="Times New Roman" w:hAnsi="Times New Roman" w:cs="Times New Roman"/>
                <w:sz w:val="24"/>
                <w:szCs w:val="24"/>
                <w:lang w:eastAsia="lv-LV"/>
              </w:rPr>
              <w:t xml:space="preserve"> sadaļas 2.punkts</w:t>
            </w:r>
          </w:p>
        </w:tc>
      </w:tr>
      <w:tr w:rsidR="00B64281" w:rsidRPr="00B64281" w:rsidTr="00F23148">
        <w:tc>
          <w:tcPr>
            <w:tcW w:w="708" w:type="dxa"/>
            <w:tcBorders>
              <w:left w:val="single" w:sz="6" w:space="0" w:color="000000"/>
              <w:bottom w:val="single" w:sz="4" w:space="0" w:color="auto"/>
              <w:right w:val="single" w:sz="6" w:space="0" w:color="000000"/>
            </w:tcBorders>
          </w:tcPr>
          <w:p w:rsidR="00253B25" w:rsidRDefault="00253B25" w:rsidP="00B64281">
            <w:pPr>
              <w:ind w:firstLine="720"/>
              <w:jc w:val="center"/>
              <w:rPr>
                <w:rFonts w:ascii="Times New Roman" w:eastAsia="Times New Roman" w:hAnsi="Times New Roman" w:cs="Times New Roman"/>
                <w:sz w:val="24"/>
                <w:szCs w:val="24"/>
                <w:lang w:eastAsia="lv-LV"/>
              </w:rPr>
            </w:pPr>
          </w:p>
          <w:p w:rsidR="00B64281" w:rsidRPr="00253B25" w:rsidRDefault="00B64281" w:rsidP="00253B25">
            <w:pPr>
              <w:pStyle w:val="ListParagraph"/>
              <w:numPr>
                <w:ilvl w:val="0"/>
                <w:numId w:val="1"/>
              </w:numPr>
              <w:rPr>
                <w:rFonts w:ascii="Times New Roman" w:eastAsia="Times New Roman" w:hAnsi="Times New Roman" w:cs="Times New Roman"/>
                <w:sz w:val="24"/>
                <w:szCs w:val="24"/>
                <w:lang w:eastAsia="lv-LV"/>
              </w:rPr>
            </w:pPr>
          </w:p>
        </w:tc>
        <w:tc>
          <w:tcPr>
            <w:tcW w:w="1978" w:type="dxa"/>
            <w:tcBorders>
              <w:left w:val="single" w:sz="6" w:space="0" w:color="000000"/>
              <w:bottom w:val="single" w:sz="4" w:space="0" w:color="auto"/>
              <w:right w:val="single" w:sz="6" w:space="0" w:color="000000"/>
            </w:tcBorders>
          </w:tcPr>
          <w:p w:rsidR="00B64281" w:rsidRPr="00B64281" w:rsidRDefault="00253B25" w:rsidP="00253B2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projekta anotācijas I</w:t>
            </w:r>
            <w:r w:rsidR="00006E5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sadaļas 1.punkts</w:t>
            </w:r>
          </w:p>
        </w:tc>
        <w:tc>
          <w:tcPr>
            <w:tcW w:w="5528" w:type="dxa"/>
            <w:tcBorders>
              <w:left w:val="single" w:sz="6" w:space="0" w:color="000000"/>
              <w:bottom w:val="single" w:sz="4" w:space="0" w:color="auto"/>
              <w:right w:val="single" w:sz="6" w:space="0" w:color="000000"/>
            </w:tcBorders>
          </w:tcPr>
          <w:p w:rsidR="00253B25" w:rsidRDefault="000564D4" w:rsidP="00253B25">
            <w:pPr>
              <w:ind w:firstLine="720"/>
              <w:jc w:val="center"/>
              <w:rPr>
                <w:rFonts w:ascii="Times New Roman" w:eastAsia="Times New Roman" w:hAnsi="Times New Roman" w:cs="Times New Roman"/>
                <w:b/>
                <w:sz w:val="24"/>
                <w:szCs w:val="24"/>
                <w:lang w:eastAsia="lv-LV"/>
              </w:rPr>
            </w:pPr>
            <w:r w:rsidRPr="000564D4">
              <w:rPr>
                <w:rFonts w:ascii="Times New Roman" w:eastAsia="Times New Roman" w:hAnsi="Times New Roman" w:cs="Times New Roman"/>
                <w:b/>
                <w:sz w:val="24"/>
                <w:szCs w:val="24"/>
                <w:lang w:eastAsia="lv-LV"/>
              </w:rPr>
              <w:t>Tieslietu ministrijas priekšlikums</w:t>
            </w:r>
          </w:p>
          <w:p w:rsidR="000564D4" w:rsidRPr="000564D4" w:rsidRDefault="000564D4" w:rsidP="00253B25">
            <w:pPr>
              <w:ind w:firstLine="31"/>
              <w:jc w:val="both"/>
              <w:rPr>
                <w:rFonts w:ascii="Times New Roman" w:eastAsia="Times New Roman" w:hAnsi="Times New Roman" w:cs="Times New Roman"/>
                <w:b/>
                <w:sz w:val="24"/>
                <w:szCs w:val="24"/>
                <w:lang w:eastAsia="lv-LV"/>
              </w:rPr>
            </w:pPr>
            <w:r w:rsidRPr="000564D4">
              <w:rPr>
                <w:rFonts w:ascii="Times New Roman" w:eastAsia="Times New Roman" w:hAnsi="Times New Roman" w:cs="Times New Roman"/>
                <w:sz w:val="24"/>
                <w:szCs w:val="24"/>
                <w:lang w:eastAsia="lv-LV"/>
              </w:rPr>
              <w:t>Vienlaikus izsakām priekšlikumu precizēt noteikumu projekta anotācijas I sadaļas 1. punktu, ievērojot instrukcijas Nr. 19 13. punkta prasības. Vēršam uzmanību, ka norāde uz likumā esošu deleģējumu izdot Ministru kabineta noteikumus ir pietiekams pamatojums tikai Ministru kabineta noteikumu pamatteksta izdošanai, bet ne visu pēc tam sekojošo grozījumu izdošanai. Ja tiek grozīti jau esoši Ministru kabineta noteikumi, nepieciešams cits pamatojums (piemēram, politikas attīstības plānošanas dokuments, informatīvais zi</w:t>
            </w:r>
            <w:r w:rsidR="00253B25">
              <w:rPr>
                <w:rFonts w:ascii="Times New Roman" w:eastAsia="Times New Roman" w:hAnsi="Times New Roman" w:cs="Times New Roman"/>
                <w:sz w:val="24"/>
                <w:szCs w:val="24"/>
                <w:lang w:eastAsia="lv-LV"/>
              </w:rPr>
              <w:t>ņojums, ministrijas iniciatīva)</w:t>
            </w:r>
            <w:r w:rsidR="00911ED7">
              <w:rPr>
                <w:rFonts w:ascii="Times New Roman" w:eastAsia="Times New Roman" w:hAnsi="Times New Roman" w:cs="Times New Roman"/>
                <w:sz w:val="24"/>
                <w:szCs w:val="24"/>
                <w:lang w:eastAsia="lv-LV"/>
              </w:rPr>
              <w:t>.</w:t>
            </w:r>
          </w:p>
        </w:tc>
        <w:tc>
          <w:tcPr>
            <w:tcW w:w="3402" w:type="dxa"/>
            <w:gridSpan w:val="2"/>
            <w:tcBorders>
              <w:left w:val="single" w:sz="6" w:space="0" w:color="000000"/>
              <w:bottom w:val="single" w:sz="4" w:space="0" w:color="auto"/>
              <w:right w:val="single" w:sz="6" w:space="0" w:color="000000"/>
            </w:tcBorders>
          </w:tcPr>
          <w:p w:rsidR="00A135A3" w:rsidRDefault="00253B25" w:rsidP="00046F72">
            <w:pPr>
              <w:ind w:hanging="102"/>
              <w:jc w:val="center"/>
              <w:rPr>
                <w:rFonts w:ascii="Times New Roman" w:eastAsia="Times New Roman" w:hAnsi="Times New Roman" w:cs="Times New Roman"/>
                <w:b/>
                <w:sz w:val="24"/>
                <w:szCs w:val="24"/>
                <w:lang w:eastAsia="lv-LV"/>
              </w:rPr>
            </w:pPr>
            <w:r w:rsidRPr="00253B25">
              <w:rPr>
                <w:rFonts w:ascii="Times New Roman" w:eastAsia="Times New Roman" w:hAnsi="Times New Roman" w:cs="Times New Roman"/>
                <w:b/>
                <w:sz w:val="24"/>
                <w:szCs w:val="24"/>
                <w:lang w:eastAsia="lv-LV"/>
              </w:rPr>
              <w:t>Ņemts vērā</w:t>
            </w:r>
          </w:p>
          <w:p w:rsidR="00B64281" w:rsidRPr="00A135A3" w:rsidRDefault="00A135A3" w:rsidP="00A135A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Precizēts MK noteikumu projekta anotācijas I</w:t>
            </w:r>
            <w:r w:rsidR="00006E5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sadaļas 1.punkts.</w:t>
            </w:r>
          </w:p>
        </w:tc>
        <w:tc>
          <w:tcPr>
            <w:tcW w:w="2551" w:type="dxa"/>
            <w:tcBorders>
              <w:top w:val="single" w:sz="4" w:space="0" w:color="auto"/>
              <w:left w:val="single" w:sz="4" w:space="0" w:color="auto"/>
              <w:bottom w:val="single" w:sz="4" w:space="0" w:color="auto"/>
            </w:tcBorders>
          </w:tcPr>
          <w:p w:rsidR="00B64281" w:rsidRPr="00B64281" w:rsidRDefault="00253B25" w:rsidP="00253B2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projekta anotācijas I</w:t>
            </w:r>
            <w:r w:rsidR="00006E5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sadaļas 1.punkts</w:t>
            </w:r>
          </w:p>
        </w:tc>
      </w:tr>
      <w:tr w:rsidR="00B64281" w:rsidRPr="00B64281" w:rsidTr="00F23148">
        <w:tblPrEx>
          <w:tblBorders>
            <w:top w:val="none" w:sz="0" w:space="0" w:color="auto"/>
            <w:left w:val="none" w:sz="0" w:space="0" w:color="auto"/>
            <w:bottom w:val="none" w:sz="0" w:space="0" w:color="auto"/>
            <w:right w:val="none" w:sz="0" w:space="0" w:color="auto"/>
          </w:tblBorders>
        </w:tblPrEx>
        <w:trPr>
          <w:gridAfter w:val="2"/>
          <w:wAfter w:w="4879" w:type="dxa"/>
        </w:trPr>
        <w:tc>
          <w:tcPr>
            <w:tcW w:w="2686" w:type="dxa"/>
            <w:gridSpan w:val="2"/>
          </w:tcPr>
          <w:p w:rsidR="00B64281" w:rsidRPr="00B64281" w:rsidRDefault="00B64281" w:rsidP="00B64281">
            <w:pPr>
              <w:rPr>
                <w:rFonts w:ascii="Times New Roman" w:eastAsia="Times New Roman" w:hAnsi="Times New Roman" w:cs="Times New Roman"/>
                <w:sz w:val="24"/>
                <w:szCs w:val="24"/>
                <w:lang w:eastAsia="lv-LV"/>
              </w:rPr>
            </w:pPr>
          </w:p>
          <w:p w:rsidR="00253B25" w:rsidRDefault="00253B25" w:rsidP="00B64281">
            <w:pPr>
              <w:rPr>
                <w:rFonts w:ascii="Times New Roman" w:eastAsia="Times New Roman" w:hAnsi="Times New Roman" w:cs="Times New Roman"/>
                <w:sz w:val="24"/>
                <w:szCs w:val="24"/>
                <w:lang w:eastAsia="lv-LV"/>
              </w:rPr>
            </w:pPr>
          </w:p>
          <w:p w:rsidR="00253B25" w:rsidRDefault="00253B25" w:rsidP="00B64281">
            <w:pPr>
              <w:rPr>
                <w:rFonts w:ascii="Times New Roman" w:eastAsia="Times New Roman" w:hAnsi="Times New Roman" w:cs="Times New Roman"/>
                <w:sz w:val="24"/>
                <w:szCs w:val="24"/>
                <w:lang w:eastAsia="lv-LV"/>
              </w:rPr>
            </w:pPr>
          </w:p>
          <w:p w:rsidR="00253B25" w:rsidRDefault="00253B25" w:rsidP="00B64281">
            <w:pPr>
              <w:rPr>
                <w:rFonts w:ascii="Times New Roman" w:eastAsia="Times New Roman" w:hAnsi="Times New Roman" w:cs="Times New Roman"/>
                <w:sz w:val="24"/>
                <w:szCs w:val="24"/>
                <w:lang w:eastAsia="lv-LV"/>
              </w:rPr>
            </w:pPr>
          </w:p>
          <w:p w:rsidR="00B64281" w:rsidRPr="00B64281" w:rsidRDefault="00B64281" w:rsidP="00B64281">
            <w:pP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Atbildīgā amatpersona</w:t>
            </w:r>
          </w:p>
        </w:tc>
        <w:tc>
          <w:tcPr>
            <w:tcW w:w="6602" w:type="dxa"/>
            <w:gridSpan w:val="2"/>
          </w:tcPr>
          <w:p w:rsidR="00B64281" w:rsidRPr="00B64281" w:rsidRDefault="00B64281" w:rsidP="00B64281">
            <w:pPr>
              <w:ind w:firstLine="720"/>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  </w:t>
            </w:r>
          </w:p>
        </w:tc>
      </w:tr>
      <w:tr w:rsidR="00B64281" w:rsidRPr="00B64281" w:rsidTr="00667409">
        <w:tblPrEx>
          <w:tblBorders>
            <w:top w:val="none" w:sz="0" w:space="0" w:color="auto"/>
            <w:left w:val="none" w:sz="0" w:space="0" w:color="auto"/>
            <w:bottom w:val="none" w:sz="0" w:space="0" w:color="auto"/>
            <w:right w:val="none" w:sz="0" w:space="0" w:color="auto"/>
          </w:tblBorders>
        </w:tblPrEx>
        <w:trPr>
          <w:gridAfter w:val="2"/>
          <w:wAfter w:w="4879" w:type="dxa"/>
          <w:trHeight w:val="65"/>
        </w:trPr>
        <w:tc>
          <w:tcPr>
            <w:tcW w:w="2686" w:type="dxa"/>
            <w:gridSpan w:val="2"/>
          </w:tcPr>
          <w:p w:rsidR="00B64281" w:rsidRPr="00B64281" w:rsidRDefault="00911ED7" w:rsidP="00911ED7">
            <w:pPr>
              <w:ind w:firstLine="2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Jekaterina Kapilova</w:t>
            </w:r>
          </w:p>
        </w:tc>
        <w:tc>
          <w:tcPr>
            <w:tcW w:w="6602" w:type="dxa"/>
            <w:gridSpan w:val="2"/>
            <w:tcBorders>
              <w:top w:val="single" w:sz="6" w:space="0" w:color="000000"/>
            </w:tcBorders>
          </w:tcPr>
          <w:p w:rsidR="00B64281" w:rsidRPr="00B64281" w:rsidRDefault="00B64281" w:rsidP="00B64281">
            <w:pPr>
              <w:ind w:firstLine="720"/>
              <w:jc w:val="cente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(paraksts*)</w:t>
            </w:r>
          </w:p>
        </w:tc>
      </w:tr>
    </w:tbl>
    <w:p w:rsidR="00B64281" w:rsidRPr="00B64281" w:rsidRDefault="00B64281" w:rsidP="00B64281">
      <w:pPr>
        <w:ind w:firstLine="720"/>
        <w:jc w:val="both"/>
        <w:rPr>
          <w:rFonts w:ascii="Times New Roman" w:eastAsia="Times New Roman" w:hAnsi="Times New Roman" w:cs="Times New Roman"/>
          <w:sz w:val="24"/>
          <w:szCs w:val="24"/>
          <w:lang w:eastAsia="lv-LV"/>
        </w:rPr>
      </w:pPr>
    </w:p>
    <w:tbl>
      <w:tblPr>
        <w:tblpPr w:leftFromText="180" w:rightFromText="180" w:vertAnchor="page" w:horzAnchor="margin" w:tblpY="7696"/>
        <w:tblW w:w="0" w:type="auto"/>
        <w:tblLook w:val="00A0" w:firstRow="1" w:lastRow="0" w:firstColumn="1" w:lastColumn="0" w:noHBand="0" w:noVBand="0"/>
      </w:tblPr>
      <w:tblGrid>
        <w:gridCol w:w="8268"/>
      </w:tblGrid>
      <w:tr w:rsidR="00253B25" w:rsidRPr="00B64281" w:rsidTr="00253B25">
        <w:tc>
          <w:tcPr>
            <w:tcW w:w="8268" w:type="dxa"/>
            <w:tcBorders>
              <w:top w:val="single" w:sz="4" w:space="0" w:color="000000"/>
            </w:tcBorders>
          </w:tcPr>
          <w:p w:rsidR="00253B25" w:rsidRPr="00B64281" w:rsidRDefault="00253B25" w:rsidP="00253B25">
            <w:pPr>
              <w:jc w:val="cente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(par projektu atbildīgās amatpersonas vārds un uzvārds)</w:t>
            </w:r>
          </w:p>
        </w:tc>
      </w:tr>
      <w:tr w:rsidR="00253B25" w:rsidRPr="00B64281" w:rsidTr="00253B25">
        <w:tc>
          <w:tcPr>
            <w:tcW w:w="8268" w:type="dxa"/>
            <w:tcBorders>
              <w:bottom w:val="single" w:sz="4" w:space="0" w:color="000000"/>
            </w:tcBorders>
          </w:tcPr>
          <w:p w:rsidR="00253B25" w:rsidRPr="003F77C7" w:rsidRDefault="00253B25" w:rsidP="00253B2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ministrijas </w:t>
            </w:r>
            <w:r w:rsidRPr="003F77C7">
              <w:rPr>
                <w:rFonts w:ascii="Times New Roman" w:eastAsia="Times New Roman" w:hAnsi="Times New Roman" w:cs="Times New Roman"/>
                <w:sz w:val="24"/>
                <w:szCs w:val="24"/>
                <w:lang w:eastAsia="lv-LV"/>
              </w:rPr>
              <w:t>Eiropas Savienības fondu sistēmas vadības departamenta</w:t>
            </w:r>
          </w:p>
          <w:p w:rsidR="00253B25" w:rsidRPr="00B64281" w:rsidRDefault="00253B25" w:rsidP="00253B25">
            <w:pPr>
              <w:rPr>
                <w:rFonts w:ascii="Times New Roman" w:eastAsia="Times New Roman" w:hAnsi="Times New Roman" w:cs="Times New Roman"/>
                <w:sz w:val="24"/>
                <w:szCs w:val="24"/>
                <w:lang w:eastAsia="lv-LV"/>
              </w:rPr>
            </w:pPr>
            <w:r w:rsidRPr="003F77C7">
              <w:rPr>
                <w:rFonts w:ascii="Times New Roman" w:eastAsia="Times New Roman" w:hAnsi="Times New Roman" w:cs="Times New Roman"/>
                <w:sz w:val="24"/>
                <w:szCs w:val="24"/>
                <w:lang w:eastAsia="lv-LV"/>
              </w:rPr>
              <w:t>Eiropas Savienības fondu</w:t>
            </w:r>
            <w:r>
              <w:rPr>
                <w:rFonts w:ascii="Times New Roman" w:eastAsia="Times New Roman" w:hAnsi="Times New Roman" w:cs="Times New Roman"/>
                <w:sz w:val="24"/>
                <w:szCs w:val="24"/>
                <w:lang w:eastAsia="lv-LV"/>
              </w:rPr>
              <w:t xml:space="preserve"> tiesiskā nodrošinājuma nodaļas </w:t>
            </w:r>
            <w:r w:rsidRPr="003F77C7">
              <w:rPr>
                <w:rFonts w:ascii="Times New Roman" w:eastAsia="Times New Roman" w:hAnsi="Times New Roman" w:cs="Times New Roman"/>
                <w:sz w:val="24"/>
                <w:szCs w:val="24"/>
                <w:lang w:eastAsia="lv-LV"/>
              </w:rPr>
              <w:t>juriskonsulte</w:t>
            </w:r>
          </w:p>
        </w:tc>
      </w:tr>
      <w:tr w:rsidR="00253B25" w:rsidRPr="00B64281" w:rsidTr="00253B25">
        <w:tc>
          <w:tcPr>
            <w:tcW w:w="8268" w:type="dxa"/>
            <w:tcBorders>
              <w:top w:val="single" w:sz="4" w:space="0" w:color="000000"/>
            </w:tcBorders>
          </w:tcPr>
          <w:p w:rsidR="00253B25" w:rsidRPr="00B64281" w:rsidRDefault="00253B25" w:rsidP="00253B25">
            <w:pPr>
              <w:jc w:val="cente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(amats)</w:t>
            </w:r>
          </w:p>
        </w:tc>
      </w:tr>
      <w:tr w:rsidR="00253B25" w:rsidRPr="00B64281" w:rsidTr="00253B25">
        <w:tc>
          <w:tcPr>
            <w:tcW w:w="8268" w:type="dxa"/>
            <w:tcBorders>
              <w:bottom w:val="single" w:sz="4" w:space="0" w:color="000000"/>
            </w:tcBorders>
          </w:tcPr>
          <w:p w:rsidR="00253B25" w:rsidRPr="00B64281" w:rsidRDefault="00253B25" w:rsidP="00253B25">
            <w:pPr>
              <w:rPr>
                <w:rFonts w:ascii="Times New Roman" w:eastAsia="Times New Roman" w:hAnsi="Times New Roman" w:cs="Times New Roman"/>
                <w:sz w:val="24"/>
                <w:szCs w:val="24"/>
                <w:lang w:eastAsia="lv-LV"/>
              </w:rPr>
            </w:pPr>
            <w:r w:rsidRPr="003F77C7">
              <w:rPr>
                <w:rFonts w:ascii="Times New Roman" w:eastAsia="Times New Roman" w:hAnsi="Times New Roman" w:cs="Times New Roman"/>
                <w:sz w:val="24"/>
                <w:szCs w:val="24"/>
                <w:lang w:eastAsia="lv-LV"/>
              </w:rPr>
              <w:t>Tālr. 67083936</w:t>
            </w:r>
          </w:p>
        </w:tc>
      </w:tr>
      <w:tr w:rsidR="00253B25" w:rsidRPr="00B64281" w:rsidTr="00253B25">
        <w:tc>
          <w:tcPr>
            <w:tcW w:w="8268" w:type="dxa"/>
            <w:tcBorders>
              <w:top w:val="single" w:sz="4" w:space="0" w:color="000000"/>
            </w:tcBorders>
          </w:tcPr>
          <w:p w:rsidR="00253B25" w:rsidRPr="00B64281" w:rsidRDefault="00253B25" w:rsidP="00253B25">
            <w:pPr>
              <w:jc w:val="cente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(tālruņa un faksa numurs)</w:t>
            </w:r>
          </w:p>
        </w:tc>
      </w:tr>
      <w:tr w:rsidR="00253B25" w:rsidRPr="00B64281" w:rsidTr="00253B25">
        <w:tc>
          <w:tcPr>
            <w:tcW w:w="8268" w:type="dxa"/>
            <w:tcBorders>
              <w:bottom w:val="single" w:sz="4" w:space="0" w:color="000000"/>
            </w:tcBorders>
          </w:tcPr>
          <w:p w:rsidR="00253B25" w:rsidRPr="00B64281" w:rsidRDefault="00253B25" w:rsidP="00253B25">
            <w:pPr>
              <w:rPr>
                <w:rFonts w:ascii="Times New Roman" w:eastAsia="Times New Roman" w:hAnsi="Times New Roman" w:cs="Times New Roman"/>
                <w:sz w:val="24"/>
                <w:szCs w:val="24"/>
                <w:lang w:eastAsia="lv-LV"/>
              </w:rPr>
            </w:pPr>
            <w:r w:rsidRPr="003F77C7">
              <w:rPr>
                <w:rFonts w:ascii="Times New Roman" w:eastAsia="Times New Roman" w:hAnsi="Times New Roman" w:cs="Times New Roman"/>
                <w:sz w:val="24"/>
                <w:szCs w:val="24"/>
                <w:lang w:eastAsia="lv-LV"/>
              </w:rPr>
              <w:t xml:space="preserve">Jekaterina.Kapilova@fm.gov.lv  </w:t>
            </w:r>
          </w:p>
        </w:tc>
      </w:tr>
      <w:tr w:rsidR="00253B25" w:rsidRPr="00B64281" w:rsidTr="00253B25">
        <w:tc>
          <w:tcPr>
            <w:tcW w:w="8268" w:type="dxa"/>
            <w:tcBorders>
              <w:top w:val="single" w:sz="4" w:space="0" w:color="000000"/>
            </w:tcBorders>
          </w:tcPr>
          <w:p w:rsidR="00253B25" w:rsidRPr="00B64281" w:rsidRDefault="00253B25" w:rsidP="00253B25">
            <w:pPr>
              <w:jc w:val="center"/>
              <w:rPr>
                <w:rFonts w:ascii="Times New Roman" w:eastAsia="Times New Roman" w:hAnsi="Times New Roman" w:cs="Times New Roman"/>
                <w:sz w:val="24"/>
                <w:szCs w:val="24"/>
                <w:lang w:eastAsia="lv-LV"/>
              </w:rPr>
            </w:pPr>
            <w:r w:rsidRPr="00B64281">
              <w:rPr>
                <w:rFonts w:ascii="Times New Roman" w:eastAsia="Times New Roman" w:hAnsi="Times New Roman" w:cs="Times New Roman"/>
                <w:sz w:val="24"/>
                <w:szCs w:val="24"/>
                <w:lang w:eastAsia="lv-LV"/>
              </w:rPr>
              <w:t>(e-pasta adrese)</w:t>
            </w:r>
          </w:p>
        </w:tc>
      </w:tr>
    </w:tbl>
    <w:p w:rsidR="00B64281" w:rsidRPr="00B64281" w:rsidRDefault="00B64281" w:rsidP="00B64281">
      <w:pPr>
        <w:ind w:firstLine="720"/>
        <w:jc w:val="both"/>
        <w:rPr>
          <w:rFonts w:ascii="Times New Roman" w:eastAsia="Times New Roman" w:hAnsi="Times New Roman" w:cs="Times New Roman"/>
          <w:sz w:val="24"/>
          <w:szCs w:val="24"/>
          <w:lang w:eastAsia="lv-LV"/>
        </w:rPr>
      </w:pPr>
    </w:p>
    <w:p w:rsidR="003F77C7" w:rsidRPr="003F77C7" w:rsidRDefault="003F77C7" w:rsidP="003F77C7">
      <w:pPr>
        <w:rPr>
          <w:rFonts w:ascii="Times New Roman" w:hAnsi="Times New Roman" w:cs="Times New Roman"/>
          <w:sz w:val="24"/>
          <w:szCs w:val="24"/>
        </w:rPr>
      </w:pPr>
    </w:p>
    <w:sectPr w:rsidR="003F77C7" w:rsidRPr="003F77C7" w:rsidSect="00B64281">
      <w:headerReference w:type="even" r:id="rId7"/>
      <w:headerReference w:type="default" r:id="rId8"/>
      <w:footerReference w:type="default" r:id="rId9"/>
      <w:footerReference w:type="first" r:id="rId10"/>
      <w:pgSz w:w="16838" w:h="11906" w:orient="landscape" w:code="9"/>
      <w:pgMar w:top="1418" w:right="82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923" w:rsidRDefault="002E51B7">
      <w:r>
        <w:separator/>
      </w:r>
    </w:p>
  </w:endnote>
  <w:endnote w:type="continuationSeparator" w:id="0">
    <w:p w:rsidR="00EF5923" w:rsidRDefault="002E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3C" w:rsidRPr="005717B1" w:rsidRDefault="005717B1" w:rsidP="005717B1">
    <w:pPr>
      <w:pStyle w:val="Footer"/>
      <w:rPr>
        <w:sz w:val="20"/>
        <w:szCs w:val="20"/>
      </w:rPr>
    </w:pPr>
    <w:r>
      <w:rPr>
        <w:sz w:val="20"/>
        <w:szCs w:val="20"/>
      </w:rPr>
      <w:t>FMizz_</w:t>
    </w:r>
    <w:r w:rsidR="00C50800">
      <w:rPr>
        <w:sz w:val="20"/>
        <w:szCs w:val="20"/>
      </w:rPr>
      <w:t>03</w:t>
    </w:r>
    <w:r>
      <w:rPr>
        <w:sz w:val="20"/>
        <w:szCs w:val="20"/>
      </w:rPr>
      <w:t>0919_126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Pr="00015C84" w:rsidRDefault="005717B1" w:rsidP="00364BB6">
    <w:pPr>
      <w:pStyle w:val="Footer"/>
      <w:rPr>
        <w:sz w:val="20"/>
        <w:szCs w:val="20"/>
      </w:rPr>
    </w:pPr>
    <w:r>
      <w:rPr>
        <w:sz w:val="20"/>
        <w:szCs w:val="20"/>
      </w:rPr>
      <w:t>FMizz_030919_126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923" w:rsidRDefault="002E51B7">
      <w:r>
        <w:separator/>
      </w:r>
    </w:p>
  </w:footnote>
  <w:footnote w:type="continuationSeparator" w:id="0">
    <w:p w:rsidR="00EF5923" w:rsidRDefault="002E5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B6428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C50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B6428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800">
      <w:rPr>
        <w:rStyle w:val="PageNumber"/>
        <w:noProof/>
      </w:rPr>
      <w:t>3</w:t>
    </w:r>
    <w:r>
      <w:rPr>
        <w:rStyle w:val="PageNumber"/>
      </w:rPr>
      <w:fldChar w:fldCharType="end"/>
    </w:r>
  </w:p>
  <w:p w:rsidR="006455E7" w:rsidRDefault="00C50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E1A32"/>
    <w:multiLevelType w:val="hybridMultilevel"/>
    <w:tmpl w:val="17268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2E"/>
    <w:rsid w:val="00006E53"/>
    <w:rsid w:val="00046F72"/>
    <w:rsid w:val="000564D4"/>
    <w:rsid w:val="00104F1B"/>
    <w:rsid w:val="00242A3A"/>
    <w:rsid w:val="00253B25"/>
    <w:rsid w:val="002E51B7"/>
    <w:rsid w:val="00385EF4"/>
    <w:rsid w:val="003F77C7"/>
    <w:rsid w:val="00452868"/>
    <w:rsid w:val="004557ED"/>
    <w:rsid w:val="0051187E"/>
    <w:rsid w:val="00512F2E"/>
    <w:rsid w:val="005272F0"/>
    <w:rsid w:val="005717B1"/>
    <w:rsid w:val="005B32C9"/>
    <w:rsid w:val="00602143"/>
    <w:rsid w:val="00667409"/>
    <w:rsid w:val="006E5343"/>
    <w:rsid w:val="006F43FE"/>
    <w:rsid w:val="007D5FAE"/>
    <w:rsid w:val="00911ED7"/>
    <w:rsid w:val="00A135A3"/>
    <w:rsid w:val="00B64281"/>
    <w:rsid w:val="00B87682"/>
    <w:rsid w:val="00C50800"/>
    <w:rsid w:val="00D01CC5"/>
    <w:rsid w:val="00EE725C"/>
    <w:rsid w:val="00EF5923"/>
    <w:rsid w:val="00F23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1C3A"/>
  <w15:chartTrackingRefBased/>
  <w15:docId w15:val="{83963B86-3F63-4567-9D3C-82C52633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281"/>
    <w:pPr>
      <w:tabs>
        <w:tab w:val="center" w:pos="4153"/>
        <w:tab w:val="right" w:pos="8306"/>
      </w:tabs>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B64281"/>
    <w:rPr>
      <w:rFonts w:ascii="Times New Roman" w:eastAsia="Times New Roman" w:hAnsi="Times New Roman" w:cs="Times New Roman"/>
      <w:sz w:val="24"/>
      <w:szCs w:val="24"/>
      <w:lang w:eastAsia="lv-LV"/>
    </w:rPr>
  </w:style>
  <w:style w:type="character" w:styleId="PageNumber">
    <w:name w:val="page number"/>
    <w:uiPriority w:val="99"/>
    <w:rsid w:val="00B64281"/>
    <w:rPr>
      <w:rFonts w:cs="Times New Roman"/>
    </w:rPr>
  </w:style>
  <w:style w:type="paragraph" w:styleId="Footer">
    <w:name w:val="footer"/>
    <w:basedOn w:val="Normal"/>
    <w:link w:val="FooterChar"/>
    <w:uiPriority w:val="99"/>
    <w:rsid w:val="00B64281"/>
    <w:pPr>
      <w:tabs>
        <w:tab w:val="center" w:pos="4153"/>
        <w:tab w:val="right" w:pos="8306"/>
      </w:tabs>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B6428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23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4016</Words>
  <Characters>2290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2008. gada 26. februāra noteikumos Nr. 126 “Eiropas Ekonomikas zonas finanšu instrumenta un Norvēģijas valdības divpusējā finanšu instrumen</vt:lpstr>
    </vt:vector>
  </TitlesOfParts>
  <Manager>FM</Manager>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2008. gada 26. februāra noteikumos Nr. 126 “Eiropas Ekonomikas zonas finanšu instrumenta un Norvēģijas valdības divpusējā finanšu instrumenta īstenošanas, uzraudzības, novērtēšanas un auditu veikšanas kārtība””</dc:title>
  <dc:subject>Izziņa</dc:subject>
  <dc:creator>Jekaterina Kapilova</dc:creator>
  <cp:keywords/>
  <dc:description>Tālr. 67083936_x000d_
Jekaterina.Kapilova@fm.gov.lv</dc:description>
  <cp:lastModifiedBy>Jekaterina Kapilova</cp:lastModifiedBy>
  <cp:revision>24</cp:revision>
  <dcterms:created xsi:type="dcterms:W3CDTF">2019-09-03T12:24:00Z</dcterms:created>
  <dcterms:modified xsi:type="dcterms:W3CDTF">2019-10-01T08:27:00Z</dcterms:modified>
</cp:coreProperties>
</file>