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4F4F7E" w:rsidRDefault="007116C7" w:rsidP="00DB7395">
      <w:pPr>
        <w:pStyle w:val="naisnod"/>
        <w:spacing w:before="0" w:after="0"/>
        <w:ind w:firstLine="720"/>
        <w:rPr>
          <w:sz w:val="28"/>
          <w:szCs w:val="28"/>
        </w:rPr>
      </w:pPr>
      <w:r w:rsidRPr="004F4F7E">
        <w:rPr>
          <w:sz w:val="28"/>
          <w:szCs w:val="28"/>
        </w:rPr>
        <w:t>Izziņa par atzinumos sniegtajiem iebildumiem</w:t>
      </w:r>
    </w:p>
    <w:p w:rsidR="007116C7" w:rsidRPr="004F4F7E" w:rsidRDefault="007116C7" w:rsidP="00DB7395">
      <w:pPr>
        <w:pStyle w:val="naisf"/>
        <w:spacing w:before="0" w:after="0"/>
        <w:ind w:firstLine="720"/>
      </w:pPr>
    </w:p>
    <w:tbl>
      <w:tblPr>
        <w:tblW w:w="0" w:type="auto"/>
        <w:jc w:val="center"/>
        <w:tblLook w:val="00A0" w:firstRow="1" w:lastRow="0" w:firstColumn="1" w:lastColumn="0" w:noHBand="0" w:noVBand="0"/>
      </w:tblPr>
      <w:tblGrid>
        <w:gridCol w:w="10472"/>
      </w:tblGrid>
      <w:tr w:rsidR="007116C7" w:rsidRPr="004F4F7E" w:rsidTr="00B84EE4">
        <w:trPr>
          <w:jc w:val="center"/>
        </w:trPr>
        <w:tc>
          <w:tcPr>
            <w:tcW w:w="10472" w:type="dxa"/>
            <w:tcBorders>
              <w:bottom w:val="single" w:sz="6" w:space="0" w:color="000000"/>
            </w:tcBorders>
          </w:tcPr>
          <w:p w:rsidR="007116C7" w:rsidRPr="004F4F7E" w:rsidRDefault="0023394D" w:rsidP="00B4637A">
            <w:pPr>
              <w:jc w:val="center"/>
              <w:rPr>
                <w:b/>
                <w:bCs/>
                <w:sz w:val="32"/>
                <w:szCs w:val="32"/>
              </w:rPr>
            </w:pPr>
            <w:r>
              <w:t>Likumprojekts “</w:t>
            </w:r>
            <w:r w:rsidR="008A1896" w:rsidRPr="004F4F7E">
              <w:t>Grozījumi likumā “Par nodokļiem un nodevām”</w:t>
            </w:r>
            <w:r>
              <w:t>” (VSS-443)</w:t>
            </w:r>
          </w:p>
        </w:tc>
      </w:tr>
    </w:tbl>
    <w:p w:rsidR="007B4C0F" w:rsidRPr="004F4F7E" w:rsidRDefault="007B4C0F" w:rsidP="0052490D">
      <w:pPr>
        <w:pStyle w:val="naisf"/>
        <w:spacing w:before="0" w:after="0"/>
        <w:ind w:firstLine="0"/>
      </w:pPr>
    </w:p>
    <w:p w:rsidR="007B4C0F" w:rsidRPr="004F4F7E" w:rsidRDefault="007B4C0F" w:rsidP="00184479">
      <w:pPr>
        <w:pStyle w:val="naisf"/>
        <w:spacing w:before="0" w:after="0"/>
        <w:ind w:firstLine="0"/>
        <w:jc w:val="center"/>
        <w:rPr>
          <w:b/>
        </w:rPr>
      </w:pPr>
      <w:r w:rsidRPr="004F4F7E">
        <w:rPr>
          <w:b/>
        </w:rPr>
        <w:t xml:space="preserve">I. Jautājumi, par kuriem saskaņošanā </w:t>
      </w:r>
      <w:r w:rsidR="00134188" w:rsidRPr="004F4F7E">
        <w:rPr>
          <w:b/>
        </w:rPr>
        <w:t xml:space="preserve">vienošanās </w:t>
      </w:r>
      <w:r w:rsidRPr="004F4F7E">
        <w:rPr>
          <w:b/>
        </w:rPr>
        <w:t>nav panākta</w:t>
      </w:r>
    </w:p>
    <w:p w:rsidR="0055473A" w:rsidRDefault="0055473A" w:rsidP="007B4C0F">
      <w:pPr>
        <w:pStyle w:val="naisf"/>
        <w:spacing w:before="0" w:after="0"/>
        <w:ind w:firstLine="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8"/>
        <w:gridCol w:w="2673"/>
        <w:gridCol w:w="2845"/>
        <w:gridCol w:w="2853"/>
        <w:gridCol w:w="2845"/>
        <w:gridCol w:w="2693"/>
      </w:tblGrid>
      <w:tr w:rsidR="0055473A" w:rsidRPr="009A76E1" w:rsidTr="003924ED">
        <w:tc>
          <w:tcPr>
            <w:tcW w:w="0" w:type="auto"/>
            <w:tcBorders>
              <w:top w:val="single" w:sz="6" w:space="0" w:color="000000"/>
              <w:left w:val="single" w:sz="6" w:space="0" w:color="000000"/>
              <w:bottom w:val="single" w:sz="6" w:space="0" w:color="000000"/>
              <w:right w:val="single" w:sz="6" w:space="0" w:color="000000"/>
            </w:tcBorders>
            <w:vAlign w:val="center"/>
          </w:tcPr>
          <w:p w:rsidR="0055473A" w:rsidRPr="009A76E1" w:rsidRDefault="0055473A" w:rsidP="003924ED">
            <w:pPr>
              <w:pStyle w:val="naisc"/>
              <w:spacing w:before="0" w:after="0"/>
            </w:pPr>
            <w:r w:rsidRPr="009A76E1">
              <w:t>Nr. p. k.</w:t>
            </w:r>
          </w:p>
        </w:tc>
        <w:tc>
          <w:tcPr>
            <w:tcW w:w="0" w:type="auto"/>
            <w:tcBorders>
              <w:top w:val="single" w:sz="6" w:space="0" w:color="000000"/>
              <w:left w:val="single" w:sz="6" w:space="0" w:color="000000"/>
              <w:bottom w:val="single" w:sz="6" w:space="0" w:color="000000"/>
              <w:right w:val="single" w:sz="6" w:space="0" w:color="000000"/>
            </w:tcBorders>
            <w:vAlign w:val="center"/>
          </w:tcPr>
          <w:p w:rsidR="0055473A" w:rsidRPr="009A76E1" w:rsidRDefault="0055473A" w:rsidP="003924ED">
            <w:pPr>
              <w:pStyle w:val="naisc"/>
              <w:spacing w:before="0" w:after="0"/>
              <w:ind w:firstLine="12"/>
            </w:pPr>
            <w:r w:rsidRPr="009A76E1">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rsidR="0055473A" w:rsidRPr="009A76E1" w:rsidRDefault="0055473A" w:rsidP="003924ED">
            <w:pPr>
              <w:pStyle w:val="naisc"/>
              <w:spacing w:before="0" w:after="0"/>
              <w:ind w:right="3"/>
            </w:pPr>
            <w:r w:rsidRPr="009A76E1">
              <w:t>Atzinumā norādītais ministrijas (citas institūcijas) iebildums, kā arī saskaņošanā papildus izteiktais iebildums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rsidR="0055473A" w:rsidRPr="009A76E1" w:rsidRDefault="0055473A" w:rsidP="003924ED">
            <w:pPr>
              <w:pStyle w:val="naisc"/>
              <w:spacing w:before="0" w:after="0"/>
              <w:ind w:firstLine="21"/>
            </w:pPr>
            <w:r w:rsidRPr="009A76E1">
              <w:t>Atbildīgās ministrijas pamatojums iebilduma noraidījumam</w:t>
            </w:r>
          </w:p>
        </w:tc>
        <w:tc>
          <w:tcPr>
            <w:tcW w:w="0" w:type="auto"/>
            <w:tcBorders>
              <w:top w:val="single" w:sz="4" w:space="0" w:color="auto"/>
              <w:left w:val="single" w:sz="4" w:space="0" w:color="auto"/>
              <w:bottom w:val="single" w:sz="4" w:space="0" w:color="auto"/>
              <w:right w:val="single" w:sz="4" w:space="0" w:color="auto"/>
            </w:tcBorders>
            <w:vAlign w:val="center"/>
          </w:tcPr>
          <w:p w:rsidR="0055473A" w:rsidRPr="009A76E1" w:rsidRDefault="0055473A" w:rsidP="003924ED">
            <w:pPr>
              <w:jc w:val="center"/>
            </w:pPr>
            <w:r w:rsidRPr="009A76E1">
              <w:t>Atzinuma sniedzēja uzturētais iebildums, ja tas atšķiras no atzinumā norādītā iebilduma pamatojuma</w:t>
            </w:r>
          </w:p>
        </w:tc>
        <w:tc>
          <w:tcPr>
            <w:tcW w:w="0" w:type="auto"/>
            <w:tcBorders>
              <w:top w:val="single" w:sz="4" w:space="0" w:color="auto"/>
              <w:left w:val="single" w:sz="4" w:space="0" w:color="auto"/>
              <w:bottom w:val="single" w:sz="4" w:space="0" w:color="auto"/>
            </w:tcBorders>
            <w:vAlign w:val="center"/>
          </w:tcPr>
          <w:p w:rsidR="0055473A" w:rsidRPr="009A76E1" w:rsidRDefault="0055473A" w:rsidP="003924ED">
            <w:pPr>
              <w:jc w:val="center"/>
            </w:pPr>
            <w:r w:rsidRPr="009A76E1">
              <w:t>Projekta attiecīgā punkta (panta) galīgā redakcija</w:t>
            </w:r>
          </w:p>
        </w:tc>
      </w:tr>
      <w:tr w:rsidR="0055473A" w:rsidRPr="009A76E1" w:rsidTr="003924ED">
        <w:tc>
          <w:tcPr>
            <w:tcW w:w="0" w:type="auto"/>
            <w:tcBorders>
              <w:top w:val="single" w:sz="6" w:space="0" w:color="000000"/>
              <w:left w:val="single" w:sz="6" w:space="0" w:color="000000"/>
              <w:bottom w:val="single" w:sz="6" w:space="0" w:color="000000"/>
              <w:right w:val="single" w:sz="6" w:space="0" w:color="000000"/>
            </w:tcBorders>
          </w:tcPr>
          <w:p w:rsidR="0055473A" w:rsidRPr="009A76E1" w:rsidRDefault="0055473A" w:rsidP="003924ED">
            <w:pPr>
              <w:pStyle w:val="naisc"/>
              <w:spacing w:before="0" w:after="0"/>
              <w:rPr>
                <w:sz w:val="20"/>
                <w:szCs w:val="20"/>
              </w:rPr>
            </w:pPr>
            <w:r w:rsidRPr="009A76E1">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55473A" w:rsidRPr="009A76E1" w:rsidRDefault="0055473A" w:rsidP="003924ED">
            <w:pPr>
              <w:pStyle w:val="naisc"/>
              <w:spacing w:before="0" w:after="0"/>
              <w:ind w:firstLine="720"/>
              <w:rPr>
                <w:sz w:val="20"/>
                <w:szCs w:val="20"/>
              </w:rPr>
            </w:pPr>
            <w:r w:rsidRPr="009A76E1">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rsidR="0055473A" w:rsidRPr="009A76E1" w:rsidRDefault="0055473A" w:rsidP="003924ED">
            <w:pPr>
              <w:pStyle w:val="naisc"/>
              <w:spacing w:before="0" w:after="0"/>
              <w:ind w:firstLine="720"/>
              <w:rPr>
                <w:sz w:val="20"/>
                <w:szCs w:val="20"/>
              </w:rPr>
            </w:pPr>
            <w:r w:rsidRPr="009A76E1">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55473A" w:rsidRPr="009A76E1" w:rsidRDefault="0055473A" w:rsidP="003924ED">
            <w:pPr>
              <w:pStyle w:val="naisc"/>
              <w:spacing w:before="0" w:after="0"/>
              <w:ind w:firstLine="720"/>
              <w:rPr>
                <w:sz w:val="20"/>
                <w:szCs w:val="20"/>
              </w:rPr>
            </w:pPr>
            <w:r w:rsidRPr="009A76E1">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5473A" w:rsidRPr="009A76E1" w:rsidRDefault="0055473A" w:rsidP="003924ED">
            <w:pPr>
              <w:jc w:val="center"/>
              <w:rPr>
                <w:sz w:val="20"/>
                <w:szCs w:val="20"/>
              </w:rPr>
            </w:pPr>
            <w:r w:rsidRPr="009A76E1">
              <w:rPr>
                <w:sz w:val="20"/>
                <w:szCs w:val="20"/>
              </w:rPr>
              <w:t>5</w:t>
            </w:r>
          </w:p>
        </w:tc>
        <w:tc>
          <w:tcPr>
            <w:tcW w:w="0" w:type="auto"/>
            <w:tcBorders>
              <w:top w:val="single" w:sz="4" w:space="0" w:color="auto"/>
              <w:left w:val="single" w:sz="4" w:space="0" w:color="auto"/>
              <w:bottom w:val="single" w:sz="4" w:space="0" w:color="auto"/>
            </w:tcBorders>
          </w:tcPr>
          <w:p w:rsidR="0055473A" w:rsidRPr="009A76E1" w:rsidRDefault="0055473A" w:rsidP="003924ED">
            <w:pPr>
              <w:jc w:val="center"/>
              <w:rPr>
                <w:sz w:val="20"/>
                <w:szCs w:val="20"/>
              </w:rPr>
            </w:pPr>
            <w:r w:rsidRPr="009A76E1">
              <w:rPr>
                <w:sz w:val="20"/>
                <w:szCs w:val="20"/>
              </w:rPr>
              <w:t>6</w:t>
            </w:r>
          </w:p>
        </w:tc>
      </w:tr>
      <w:tr w:rsidR="0055473A" w:rsidRPr="009A76E1" w:rsidTr="003924ED">
        <w:tc>
          <w:tcPr>
            <w:tcW w:w="0" w:type="auto"/>
            <w:tcBorders>
              <w:top w:val="single" w:sz="6" w:space="0" w:color="000000"/>
              <w:left w:val="single" w:sz="6" w:space="0" w:color="000000"/>
              <w:bottom w:val="single" w:sz="6" w:space="0" w:color="000000"/>
              <w:right w:val="single" w:sz="6" w:space="0" w:color="000000"/>
            </w:tcBorders>
          </w:tcPr>
          <w:p w:rsidR="0055473A" w:rsidRPr="009A76E1" w:rsidRDefault="0055473A" w:rsidP="003924ED">
            <w:pPr>
              <w:pStyle w:val="naisc"/>
              <w:spacing w:before="0" w:after="0"/>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55473A" w:rsidRPr="00282798" w:rsidRDefault="0055473A" w:rsidP="0055473A">
            <w:pPr>
              <w:ind w:firstLine="568"/>
              <w:jc w:val="both"/>
              <w:rPr>
                <w:color w:val="000000"/>
                <w:sz w:val="20"/>
                <w:szCs w:val="20"/>
              </w:rPr>
            </w:pPr>
            <w:r w:rsidRPr="00282798">
              <w:rPr>
                <w:color w:val="000000"/>
                <w:sz w:val="20"/>
                <w:szCs w:val="20"/>
              </w:rPr>
              <w:t>1. Papildināt 1. panta 23. punktu pēc vārda “dokumentācijas” ar vārdiem “vai informācijas, kas iesniedzama starptautiskajai automātiskās informācijas apmaiņai”.</w:t>
            </w:r>
          </w:p>
          <w:p w:rsidR="0055473A" w:rsidRDefault="0055473A" w:rsidP="0055473A">
            <w:pPr>
              <w:pStyle w:val="NoSpacing"/>
              <w:jc w:val="both"/>
              <w:rPr>
                <w:rFonts w:ascii="Times New Roman" w:eastAsia="Times New Roman" w:hAnsi="Times New Roman"/>
                <w:sz w:val="20"/>
                <w:szCs w:val="20"/>
                <w:lang w:eastAsia="lv-LV"/>
              </w:rPr>
            </w:pPr>
          </w:p>
          <w:p w:rsidR="0055473A" w:rsidRPr="00023774" w:rsidRDefault="0055473A" w:rsidP="0055473A">
            <w:pPr>
              <w:ind w:firstLine="426"/>
              <w:jc w:val="both"/>
              <w:rPr>
                <w:color w:val="000000"/>
                <w:sz w:val="20"/>
                <w:szCs w:val="28"/>
              </w:rPr>
            </w:pPr>
            <w:r w:rsidRPr="00023774">
              <w:rPr>
                <w:color w:val="000000"/>
                <w:sz w:val="20"/>
                <w:szCs w:val="28"/>
              </w:rPr>
              <w:t>3. Papildināt ar 32.</w:t>
            </w:r>
            <w:r w:rsidRPr="00023774">
              <w:rPr>
                <w:color w:val="000000"/>
                <w:sz w:val="20"/>
                <w:szCs w:val="28"/>
                <w:vertAlign w:val="superscript"/>
              </w:rPr>
              <w:t>5</w:t>
            </w:r>
            <w:r w:rsidRPr="00023774">
              <w:rPr>
                <w:color w:val="000000"/>
                <w:sz w:val="20"/>
                <w:szCs w:val="28"/>
              </w:rPr>
              <w:t xml:space="preserve"> pantu šādā redakcijā:</w:t>
            </w:r>
          </w:p>
          <w:p w:rsidR="0055473A" w:rsidRPr="00023774" w:rsidRDefault="0055473A" w:rsidP="0055473A">
            <w:pPr>
              <w:jc w:val="both"/>
              <w:rPr>
                <w:color w:val="000000"/>
                <w:sz w:val="20"/>
                <w:szCs w:val="28"/>
              </w:rPr>
            </w:pPr>
            <w:r w:rsidRPr="00023774">
              <w:rPr>
                <w:color w:val="000000"/>
                <w:sz w:val="20"/>
                <w:szCs w:val="28"/>
              </w:rPr>
              <w:t>“</w:t>
            </w:r>
            <w:r w:rsidRPr="00023774">
              <w:rPr>
                <w:b/>
                <w:color w:val="000000"/>
                <w:sz w:val="20"/>
                <w:szCs w:val="28"/>
              </w:rPr>
              <w:t>32.</w:t>
            </w:r>
            <w:r w:rsidRPr="00023774">
              <w:rPr>
                <w:b/>
                <w:color w:val="000000"/>
                <w:sz w:val="20"/>
                <w:szCs w:val="28"/>
                <w:vertAlign w:val="superscript"/>
              </w:rPr>
              <w:t>5</w:t>
            </w:r>
            <w:r w:rsidRPr="00023774">
              <w:rPr>
                <w:b/>
                <w:color w:val="000000"/>
                <w:sz w:val="20"/>
                <w:szCs w:val="28"/>
              </w:rPr>
              <w:t xml:space="preserve"> pants. Atbildība starptautiskās automātiskās informācijas apmaiņas jomā</w:t>
            </w:r>
          </w:p>
          <w:p w:rsidR="0055473A" w:rsidRPr="00023774" w:rsidRDefault="0055473A" w:rsidP="0055473A">
            <w:pPr>
              <w:ind w:firstLine="567"/>
              <w:jc w:val="both"/>
              <w:rPr>
                <w:color w:val="000000"/>
                <w:sz w:val="20"/>
                <w:szCs w:val="28"/>
              </w:rPr>
            </w:pPr>
            <w:r w:rsidRPr="00023774">
              <w:rPr>
                <w:color w:val="000000"/>
                <w:sz w:val="20"/>
                <w:szCs w:val="28"/>
              </w:rPr>
              <w:t xml:space="preserve">(1) Nodokļu administrācijai ir tiesības piemērot nodokļu maksātājam soda naudu līdz 1% no nodokļu maksātāja gada apgrozījuma (ieņēmumiem) attiecīgajā pārskata periodā, bet ne vairāk kā 14 000 </w:t>
            </w:r>
            <w:proofErr w:type="spellStart"/>
            <w:r w:rsidRPr="00023774">
              <w:rPr>
                <w:i/>
                <w:color w:val="000000"/>
                <w:sz w:val="20"/>
                <w:szCs w:val="28"/>
              </w:rPr>
              <w:t>euro</w:t>
            </w:r>
            <w:proofErr w:type="spellEnd"/>
            <w:r w:rsidRPr="00023774">
              <w:rPr>
                <w:color w:val="000000"/>
                <w:sz w:val="20"/>
                <w:szCs w:val="28"/>
              </w:rPr>
              <w:t xml:space="preserve">, ja nodokļu maksātājs nav iesniedzis ziņojumu par </w:t>
            </w:r>
            <w:r w:rsidRPr="00023774">
              <w:rPr>
                <w:color w:val="000000"/>
                <w:sz w:val="20"/>
                <w:szCs w:val="28"/>
              </w:rPr>
              <w:lastRenderedPageBreak/>
              <w:t xml:space="preserve">finanšu kontiem normatīvajos aktos noteiktā termiņā vai iesniedzis ziņojumu par finanšu kontiem, kas satur nepilnīgu vai nepatiesu informāciju, kā arī tad, ja nav ievērotas finanšu kontu pienācīgas pārbaudes procedūras un ar to saistītās dokumentācijas prasības. </w:t>
            </w:r>
          </w:p>
          <w:p w:rsidR="0055473A" w:rsidRPr="00023774" w:rsidRDefault="0055473A" w:rsidP="0055473A">
            <w:pPr>
              <w:ind w:firstLine="567"/>
              <w:jc w:val="both"/>
              <w:rPr>
                <w:color w:val="000000"/>
                <w:sz w:val="20"/>
                <w:szCs w:val="28"/>
              </w:rPr>
            </w:pPr>
          </w:p>
          <w:p w:rsidR="0055473A" w:rsidRPr="00023774" w:rsidRDefault="0055473A" w:rsidP="0055473A">
            <w:pPr>
              <w:ind w:firstLine="567"/>
              <w:jc w:val="both"/>
              <w:rPr>
                <w:color w:val="000000"/>
                <w:sz w:val="20"/>
                <w:szCs w:val="28"/>
              </w:rPr>
            </w:pPr>
            <w:r w:rsidRPr="00023774">
              <w:rPr>
                <w:color w:val="000000"/>
                <w:sz w:val="20"/>
                <w:szCs w:val="28"/>
              </w:rPr>
              <w:t>(2) Nodokļu administrācijai ir tiesības piemērot nodokļu maksātājam soda naudu līdz 1% no nodokļu maksātāja gada apgrozījuma (ieņēmumiem) attiecīgajā pārskata periodā, bet ne vairāk kā 3 200 </w:t>
            </w:r>
            <w:proofErr w:type="spellStart"/>
            <w:r w:rsidRPr="00023774">
              <w:rPr>
                <w:i/>
                <w:color w:val="000000"/>
                <w:sz w:val="20"/>
                <w:szCs w:val="28"/>
              </w:rPr>
              <w:t>euro</w:t>
            </w:r>
            <w:proofErr w:type="spellEnd"/>
            <w:r w:rsidRPr="00023774">
              <w:rPr>
                <w:color w:val="000000"/>
                <w:sz w:val="20"/>
                <w:szCs w:val="28"/>
              </w:rPr>
              <w:t>, ja nodokļu maksātājs nav iesniedzis starptautiskas uzņēmumu grupas pārskatu par katru valsti nodokļu normatīvajos aktos noteiktā termiņā vai nav ievērojis starptautiskas uzņēmumu grupas pārskata par katru valsti normatīvajos aktos paredzēto sagatavošanas un iesniegšanas kārtību.</w:t>
            </w:r>
          </w:p>
          <w:p w:rsidR="0055473A" w:rsidRPr="009A76E1" w:rsidRDefault="0055473A" w:rsidP="003924ED">
            <w:pPr>
              <w:pStyle w:val="naisc"/>
              <w:spacing w:before="0" w:after="0"/>
              <w:ind w:firstLine="720"/>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55473A" w:rsidRPr="00A469A5" w:rsidRDefault="0055473A" w:rsidP="0055473A">
            <w:pPr>
              <w:jc w:val="both"/>
              <w:rPr>
                <w:sz w:val="20"/>
                <w:szCs w:val="28"/>
              </w:rPr>
            </w:pPr>
            <w:r w:rsidRPr="00174FF9">
              <w:rPr>
                <w:b/>
                <w:sz w:val="20"/>
                <w:szCs w:val="28"/>
              </w:rPr>
              <w:lastRenderedPageBreak/>
              <w:t>TM</w:t>
            </w:r>
            <w:r w:rsidRPr="00A469A5">
              <w:rPr>
                <w:sz w:val="20"/>
                <w:szCs w:val="28"/>
              </w:rPr>
              <w:t xml:space="preserve"> (07.06.2019. atzinums)</w:t>
            </w:r>
          </w:p>
          <w:p w:rsidR="0055473A" w:rsidRPr="00AC1E8C" w:rsidRDefault="0055473A" w:rsidP="0055473A">
            <w:pPr>
              <w:jc w:val="both"/>
              <w:rPr>
                <w:sz w:val="20"/>
                <w:szCs w:val="28"/>
              </w:rPr>
            </w:pPr>
            <w:r w:rsidRPr="00174FF9">
              <w:rPr>
                <w:sz w:val="20"/>
                <w:szCs w:val="28"/>
              </w:rPr>
              <w:t>Projekta 1. pantā ietvertais grozījums paredz precizēt likuma "Par nodokļiem un nodevām" 1. panta 23. punktā minētā termina "soda nauda" skaidrojumu un projekta 3. pantā ietvertais grozījums paredz papildināt likumu "Par nodokļiem un nodevām" ar 32.</w:t>
            </w:r>
            <w:r w:rsidRPr="00174FF9">
              <w:rPr>
                <w:sz w:val="20"/>
                <w:szCs w:val="28"/>
                <w:vertAlign w:val="superscript"/>
              </w:rPr>
              <w:t>5</w:t>
            </w:r>
            <w:r w:rsidRPr="00174FF9">
              <w:rPr>
                <w:sz w:val="20"/>
                <w:szCs w:val="28"/>
              </w:rPr>
              <w:t xml:space="preserve"> pantu, kurā noteikta atbildība starptautiskās administratīvās informācijas apmaiņas jomā. Vēršam </w:t>
            </w:r>
            <w:r w:rsidRPr="00AC1E8C">
              <w:rPr>
                <w:sz w:val="20"/>
                <w:szCs w:val="28"/>
              </w:rPr>
              <w:t xml:space="preserve">uzmanību uz to, ka Tieslietu ministrija </w:t>
            </w:r>
            <w:r w:rsidRPr="00AC1E8C">
              <w:rPr>
                <w:sz w:val="20"/>
                <w:szCs w:val="28"/>
                <w:u w:val="single"/>
              </w:rPr>
              <w:t>konceptuāli neatbalsta sodošu mehānismu ieviešanu administratīvajā procesā</w:t>
            </w:r>
            <w:r w:rsidRPr="00AC1E8C">
              <w:rPr>
                <w:sz w:val="20"/>
                <w:szCs w:val="28"/>
              </w:rPr>
              <w:t xml:space="preserve">, jo, piemērojot sodu (soda naudai ir sodošs raksturs), personām ir jānodrošina kriminālprocesuālas garantijas, bet Administratīvā </w:t>
            </w:r>
            <w:r w:rsidRPr="00AC1E8C">
              <w:rPr>
                <w:sz w:val="20"/>
                <w:szCs w:val="28"/>
              </w:rPr>
              <w:lastRenderedPageBreak/>
              <w:t>procesa likumā noteiktais mehānisms tam nav atbilstošs.</w:t>
            </w:r>
          </w:p>
          <w:p w:rsidR="0055473A" w:rsidRPr="00174FF9" w:rsidRDefault="0055473A" w:rsidP="0055473A">
            <w:pPr>
              <w:jc w:val="both"/>
              <w:rPr>
                <w:sz w:val="20"/>
                <w:szCs w:val="28"/>
              </w:rPr>
            </w:pPr>
            <w:r w:rsidRPr="00AC1E8C">
              <w:rPr>
                <w:sz w:val="20"/>
                <w:szCs w:val="28"/>
              </w:rPr>
              <w:t xml:space="preserve">Projekta sākotnējās </w:t>
            </w:r>
            <w:r w:rsidRPr="00AC1E8C">
              <w:rPr>
                <w:i/>
                <w:sz w:val="20"/>
                <w:szCs w:val="28"/>
              </w:rPr>
              <w:t>(</w:t>
            </w:r>
            <w:proofErr w:type="spellStart"/>
            <w:r w:rsidRPr="00AC1E8C">
              <w:rPr>
                <w:i/>
                <w:sz w:val="20"/>
                <w:szCs w:val="28"/>
              </w:rPr>
              <w:t>ex-ante</w:t>
            </w:r>
            <w:proofErr w:type="spellEnd"/>
            <w:r w:rsidRPr="00AC1E8C">
              <w:rPr>
                <w:i/>
                <w:sz w:val="20"/>
                <w:szCs w:val="28"/>
              </w:rPr>
              <w:t>)</w:t>
            </w:r>
            <w:r w:rsidRPr="00AC1E8C">
              <w:rPr>
                <w:sz w:val="20"/>
                <w:szCs w:val="28"/>
              </w:rPr>
              <w:t xml:space="preserve"> ietekmes novērtējuma ziņojumā (turpmāk – anotācija) norādītais skaidrojums nav pietiekams, lai piemērotu soda naudu administratīvā procesa ietvaros. Vēršam uzmanību uz to, ka Tieslietu ministrija neiebilst pret materiāla rakstura atbildību, bet aicina jautājumu risināt administratīvā pārkāpuma procesa ietvaros. 2020. gada 1. janvārī stāsies spēkā Administratīvās atbildības likums, kura 16. panta piektā daļa paredz, ka likumos īpaši paredzētos gadījumos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procentus no finanšu darījuma vērtības (summas) vai 10 procentus no iepriekšējā pārskata gada neto apgrozījuma vai apgrozījuma (ieņēmumiem) no saimnieciskajiem darījumiem iepriekšējā pārskata gadā. Turklāt Administratīvās </w:t>
            </w:r>
            <w:r w:rsidRPr="00AC1E8C">
              <w:rPr>
                <w:sz w:val="20"/>
                <w:szCs w:val="28"/>
              </w:rPr>
              <w:lastRenderedPageBreak/>
              <w:t>atbildības likuma 16. panta sestā daļa paredz</w:t>
            </w:r>
            <w:r w:rsidRPr="00174FF9">
              <w:rPr>
                <w:sz w:val="20"/>
                <w:szCs w:val="28"/>
              </w:rPr>
              <w:t>, ka maksimālais naudas soda apmērs fiziskajām un juridiskajām personām ar likumu noteiktajā administratīvā soda sankcijā drīkst tikt pārsniegts, ja lielāka naudas soda nepieciešamība ir noteikta Latvijas Republikai saistošā starptautiskajā tiesību aktā.</w:t>
            </w:r>
          </w:p>
          <w:p w:rsidR="0055473A" w:rsidRPr="00174FF9" w:rsidRDefault="0055473A" w:rsidP="0055473A">
            <w:pPr>
              <w:jc w:val="both"/>
              <w:rPr>
                <w:sz w:val="20"/>
                <w:szCs w:val="28"/>
              </w:rPr>
            </w:pPr>
            <w:r w:rsidRPr="00174FF9">
              <w:rPr>
                <w:sz w:val="20"/>
                <w:szCs w:val="28"/>
              </w:rPr>
              <w:t>Papildus informējam, ka Ministru kabineta 2019. gada 14. maija protokola Nr. 24 15. § "Likumprojekts "Privāto pensiju fondu likums"" 4. punkts paredz, ka līdz 2019. gada 31. decembrim Tieslietu ministrija savas kompetences ietvaros kā administratīvo tiesību politikas veidotājs un Finanšu ministrija kā finanšu politikas veidotājs, un institūcijas, kurām ir tiesības piemērot administratīvajai atbildībai līdzīgus piespiedu ietekmēšanas līdzekļus (administratīvās sankcijas), izvērtē šādu piespiedu ietekmēšanas līdzekļu nepieciešamību un to piemērošanas procesu</w:t>
            </w:r>
            <w:r w:rsidRPr="00AC1E8C">
              <w:rPr>
                <w:sz w:val="20"/>
                <w:szCs w:val="28"/>
              </w:rPr>
              <w:t>. Tādējādi līdz šā izvērtējuma veikšanai nav atbalstāma jaunu administratīvajai atbildībai līdzīgu piespiedu ietekmēšanas līdzekļu noteikšana.</w:t>
            </w:r>
          </w:p>
          <w:p w:rsidR="0055473A" w:rsidRPr="009A76E1" w:rsidRDefault="0055473A" w:rsidP="0055473A">
            <w:pPr>
              <w:pStyle w:val="naisc"/>
              <w:spacing w:before="0" w:after="0"/>
              <w:ind w:firstLine="720"/>
              <w:rPr>
                <w:sz w:val="20"/>
                <w:szCs w:val="20"/>
              </w:rPr>
            </w:pPr>
            <w:r w:rsidRPr="00174FF9">
              <w:rPr>
                <w:sz w:val="20"/>
                <w:szCs w:val="28"/>
              </w:rPr>
              <w:t>Ievērojot minēto, lūdzam precizēt projekta 1. un 3. pantā paredzētos grozījumus, kā arī anotācijā ietverto informāciju.</w:t>
            </w:r>
          </w:p>
        </w:tc>
        <w:tc>
          <w:tcPr>
            <w:tcW w:w="0" w:type="auto"/>
            <w:tcBorders>
              <w:top w:val="single" w:sz="6" w:space="0" w:color="000000"/>
              <w:left w:val="single" w:sz="6" w:space="0" w:color="000000"/>
              <w:bottom w:val="single" w:sz="6" w:space="0" w:color="000000"/>
              <w:right w:val="single" w:sz="6" w:space="0" w:color="000000"/>
            </w:tcBorders>
          </w:tcPr>
          <w:p w:rsidR="0023394D" w:rsidRDefault="0023394D" w:rsidP="0055473A">
            <w:pPr>
              <w:ind w:firstLine="720"/>
              <w:jc w:val="both"/>
              <w:rPr>
                <w:sz w:val="20"/>
                <w:szCs w:val="20"/>
              </w:rPr>
            </w:pPr>
            <w:r>
              <w:rPr>
                <w:sz w:val="20"/>
                <w:szCs w:val="20"/>
              </w:rPr>
              <w:lastRenderedPageBreak/>
              <w:t>Nav ņemts vērā</w:t>
            </w:r>
          </w:p>
          <w:p w:rsidR="0055473A" w:rsidRDefault="0055473A" w:rsidP="0055473A">
            <w:pPr>
              <w:ind w:firstLine="720"/>
              <w:jc w:val="both"/>
              <w:rPr>
                <w:sz w:val="20"/>
                <w:szCs w:val="20"/>
              </w:rPr>
            </w:pPr>
            <w:r w:rsidRPr="00AC1E8C">
              <w:rPr>
                <w:sz w:val="20"/>
                <w:szCs w:val="20"/>
              </w:rPr>
              <w:t>Papildināts anotācijas I sadaļas 2. punkts, norādot</w:t>
            </w:r>
            <w:r>
              <w:rPr>
                <w:sz w:val="20"/>
                <w:szCs w:val="20"/>
              </w:rPr>
              <w:t xml:space="preserve"> pamatojumu soda naudas par </w:t>
            </w:r>
            <w:r w:rsidRPr="001A641C">
              <w:rPr>
                <w:sz w:val="20"/>
                <w:szCs w:val="20"/>
              </w:rPr>
              <w:t>informācijas, kas iesniedzama starptautiskajai automātiskās informācijas apmaiņai</w:t>
            </w:r>
            <w:r>
              <w:rPr>
                <w:sz w:val="20"/>
                <w:szCs w:val="20"/>
              </w:rPr>
              <w:t>, nesniegšanu</w:t>
            </w:r>
            <w:r w:rsidRPr="001A641C">
              <w:rPr>
                <w:sz w:val="20"/>
                <w:szCs w:val="20"/>
              </w:rPr>
              <w:t xml:space="preserve"> </w:t>
            </w:r>
            <w:r>
              <w:rPr>
                <w:sz w:val="20"/>
                <w:szCs w:val="20"/>
              </w:rPr>
              <w:t>iekļaušanai likumā.</w:t>
            </w:r>
          </w:p>
          <w:p w:rsidR="0055473A" w:rsidRDefault="0055473A" w:rsidP="0055473A">
            <w:pPr>
              <w:ind w:firstLine="720"/>
              <w:jc w:val="both"/>
              <w:rPr>
                <w:sz w:val="20"/>
                <w:szCs w:val="20"/>
              </w:rPr>
            </w:pPr>
            <w:r>
              <w:rPr>
                <w:sz w:val="20"/>
                <w:szCs w:val="20"/>
              </w:rPr>
              <w:t xml:space="preserve">Papildināta </w:t>
            </w:r>
            <w:r w:rsidRPr="0043668B">
              <w:rPr>
                <w:sz w:val="20"/>
                <w:szCs w:val="20"/>
              </w:rPr>
              <w:t>anotācijas V sadaļa</w:t>
            </w:r>
            <w:r>
              <w:rPr>
                <w:sz w:val="20"/>
                <w:szCs w:val="20"/>
              </w:rPr>
              <w:t>, ņemot vērā, ka soda naudas regulējums izriet no direktīvām (DAC2 un DAC4).</w:t>
            </w:r>
          </w:p>
          <w:p w:rsidR="0055473A" w:rsidRDefault="0055473A" w:rsidP="0055473A">
            <w:pPr>
              <w:ind w:firstLine="720"/>
              <w:jc w:val="both"/>
              <w:rPr>
                <w:sz w:val="20"/>
                <w:szCs w:val="20"/>
              </w:rPr>
            </w:pPr>
            <w:r>
              <w:rPr>
                <w:sz w:val="20"/>
                <w:szCs w:val="20"/>
              </w:rPr>
              <w:t xml:space="preserve">Taču saistībā </w:t>
            </w:r>
            <w:r w:rsidR="0023394D">
              <w:rPr>
                <w:sz w:val="20"/>
                <w:szCs w:val="20"/>
              </w:rPr>
              <w:t xml:space="preserve">ar </w:t>
            </w:r>
            <w:r>
              <w:rPr>
                <w:sz w:val="20"/>
                <w:szCs w:val="20"/>
              </w:rPr>
              <w:t xml:space="preserve">grozījuma </w:t>
            </w:r>
            <w:r w:rsidR="0023394D">
              <w:rPr>
                <w:sz w:val="20"/>
                <w:szCs w:val="20"/>
              </w:rPr>
              <w:t>virzīšanu a</w:t>
            </w:r>
            <w:r>
              <w:rPr>
                <w:sz w:val="20"/>
                <w:szCs w:val="20"/>
              </w:rPr>
              <w:t xml:space="preserve">dministratīvās atbildības procesa ietvaros vēršam uzmanību, ka efektīvs soda sankciju regulējums nepieciešams jau šobrīd, jo gan automātiskā informācijas apmaiņa gan par finanšu kontiem, gan ar </w:t>
            </w:r>
            <w:proofErr w:type="spellStart"/>
            <w:r>
              <w:rPr>
                <w:sz w:val="20"/>
                <w:szCs w:val="20"/>
              </w:rPr>
              <w:t>CbCr</w:t>
            </w:r>
            <w:proofErr w:type="spellEnd"/>
            <w:r>
              <w:rPr>
                <w:sz w:val="20"/>
                <w:szCs w:val="20"/>
              </w:rPr>
              <w:t xml:space="preserve"> notiek jau šobrīd. Turklāt to, vai soda </w:t>
            </w:r>
            <w:r>
              <w:rPr>
                <w:sz w:val="20"/>
                <w:szCs w:val="20"/>
              </w:rPr>
              <w:lastRenderedPageBreak/>
              <w:t>sankcijas un uzraudzības mehānisms darbojas kopumā, uzrauga gan Eiropas Komisija, gan Globālākais forums</w:t>
            </w:r>
            <w:r w:rsidRPr="00493E02">
              <w:rPr>
                <w:sz w:val="20"/>
                <w:szCs w:val="20"/>
              </w:rPr>
              <w:t xml:space="preserve"> par caurskatāmību un informācijas apmaiņu nodokļu jomā</w:t>
            </w:r>
            <w:r>
              <w:rPr>
                <w:sz w:val="20"/>
                <w:szCs w:val="20"/>
              </w:rPr>
              <w:t xml:space="preserve"> (turpmāk – Globālais forums), tajā skaitā paredzams, ka, sniedzot informāciju Globālajam forumam, būs jānorāda arī statistika par soda naudu piemērošanu, kas var ietekmēt vērtējumu, kādu rezultātā saņems Latvija attiecībā uz Globālā standarta ieviešanu (vērtēšanas process rit jau šobrīd, bet paveiktais Globālā standarta uzraudzībai tiks vērtēts 2021.gadā (arī par paveikto iepriekšējos gados). Minētā izvērtējuma rezultātā paredzams izvērtēt vairāk kā 100 valstu tiesisko regulējumu un praksi). Tādējādi, regulējumam stājoties spēkā 2020.gada 1.janvārī, palielināsies riski, ka efektīva uzraudzības sistēma nav ieviesta laikā.</w:t>
            </w:r>
          </w:p>
          <w:p w:rsidR="0055473A" w:rsidRPr="009A76E1" w:rsidRDefault="0055473A" w:rsidP="0055473A">
            <w:pPr>
              <w:pStyle w:val="naisc"/>
              <w:spacing w:before="0" w:after="0"/>
              <w:ind w:firstLine="720"/>
              <w:jc w:val="both"/>
              <w:rPr>
                <w:sz w:val="20"/>
                <w:szCs w:val="20"/>
              </w:rPr>
            </w:pPr>
            <w:r>
              <w:rPr>
                <w:sz w:val="20"/>
                <w:szCs w:val="20"/>
              </w:rPr>
              <w:t xml:space="preserve">Savukārt attiecībā uz soda sankciju saistībā ar pārkāpumiem, kas saistīti ar informācijas apmaiņu par finanšu kontiem, kā arī starptautisko uzņēmumu grupu pārskatiem par katru valsti (turpmāk – </w:t>
            </w:r>
            <w:proofErr w:type="spellStart"/>
            <w:r>
              <w:rPr>
                <w:sz w:val="20"/>
                <w:szCs w:val="20"/>
              </w:rPr>
              <w:t>CbCr</w:t>
            </w:r>
            <w:proofErr w:type="spellEnd"/>
            <w:r>
              <w:rPr>
                <w:sz w:val="20"/>
                <w:szCs w:val="20"/>
              </w:rPr>
              <w:t xml:space="preserve">) ietveršanu Latvijas Administratīvo pārkāpumu kodeksā norādām, ka 2018.gadā tika izstrādāts atbilstošs likumprojekts, taču, </w:t>
            </w:r>
            <w:r>
              <w:rPr>
                <w:sz w:val="20"/>
                <w:szCs w:val="20"/>
              </w:rPr>
              <w:lastRenderedPageBreak/>
              <w:t xml:space="preserve">izskatot to 2018.gada 11.oktobra </w:t>
            </w:r>
            <w:r w:rsidRPr="007A7392">
              <w:rPr>
                <w:sz w:val="20"/>
                <w:szCs w:val="20"/>
              </w:rPr>
              <w:t>Latvijas Administrat</w:t>
            </w:r>
            <w:r>
              <w:rPr>
                <w:sz w:val="20"/>
                <w:szCs w:val="20"/>
              </w:rPr>
              <w:t xml:space="preserve">īvo pārkāpumu kodeksa pastāvīgās darba grupas (LAPK darba grupa) sēdē, LAPK darba grupas locekļi pauda viedokli, ka soda sankcijas saistībā ar informācijas apmaiņu par finanšu kontiem un </w:t>
            </w:r>
            <w:proofErr w:type="spellStart"/>
            <w:r>
              <w:rPr>
                <w:sz w:val="20"/>
                <w:szCs w:val="20"/>
              </w:rPr>
              <w:t>CbCr</w:t>
            </w:r>
            <w:proofErr w:type="spellEnd"/>
            <w:r>
              <w:rPr>
                <w:sz w:val="20"/>
                <w:szCs w:val="20"/>
              </w:rPr>
              <w:t xml:space="preserve"> neatbilst Latvijas Administratīvo pārkāpumu kodeksa būtībai. Rezultātā minētā grozījumu projekta virzība netika turpināta.</w:t>
            </w:r>
          </w:p>
        </w:tc>
        <w:tc>
          <w:tcPr>
            <w:tcW w:w="0" w:type="auto"/>
            <w:tcBorders>
              <w:top w:val="single" w:sz="4" w:space="0" w:color="auto"/>
              <w:left w:val="single" w:sz="4" w:space="0" w:color="auto"/>
              <w:bottom w:val="single" w:sz="4" w:space="0" w:color="auto"/>
              <w:right w:val="single" w:sz="4" w:space="0" w:color="auto"/>
            </w:tcBorders>
          </w:tcPr>
          <w:p w:rsidR="0055473A" w:rsidRPr="00176C99" w:rsidRDefault="0055473A" w:rsidP="0055473A">
            <w:pPr>
              <w:jc w:val="both"/>
              <w:rPr>
                <w:sz w:val="20"/>
              </w:rPr>
            </w:pPr>
            <w:r w:rsidRPr="00176C99">
              <w:rPr>
                <w:sz w:val="20"/>
              </w:rPr>
              <w:lastRenderedPageBreak/>
              <w:t>Projekta 1. pantā ietvertais grozījums paredz precizēt likuma "Par nodokļiem un nodevām" 1. panta 23. punktā minētā termina "soda nauda" skaidrojumu, un projekta 3. pantā ietvertais grozījums paredz papildināt likumu "Par nodokļiem un nodevām" ar 32.</w:t>
            </w:r>
            <w:r w:rsidRPr="00176C99">
              <w:rPr>
                <w:sz w:val="20"/>
                <w:vertAlign w:val="superscript"/>
              </w:rPr>
              <w:t>5</w:t>
            </w:r>
            <w:r w:rsidRPr="00176C99">
              <w:rPr>
                <w:sz w:val="20"/>
              </w:rPr>
              <w:t xml:space="preserve"> pantu, kurā noteikta atbildība starptautiskās automātiskās informācijas apmaiņas jomā. Atkārtoti vēršam uzmanību uz to, ka </w:t>
            </w:r>
            <w:r w:rsidRPr="00176C99">
              <w:rPr>
                <w:sz w:val="20"/>
                <w:u w:val="single"/>
              </w:rPr>
              <w:t>Tieslietu ministrija konceptuāli neatbalsta sodošu mehānismu ieviešanu administratīvajā procesā</w:t>
            </w:r>
            <w:r w:rsidRPr="00176C99">
              <w:rPr>
                <w:sz w:val="20"/>
              </w:rPr>
              <w:t>, jo, piemērojot sodu (soda naudai ir sodošs raksturs), personām ir jānodrošina kriminālprocesuālas garantijas, bet Administratīvā procesa likumā noteiktais mehānisms tam nav atbilstošs.</w:t>
            </w:r>
          </w:p>
          <w:p w:rsidR="0055473A" w:rsidRPr="00176C99" w:rsidRDefault="0055473A" w:rsidP="0055473A">
            <w:pPr>
              <w:jc w:val="both"/>
              <w:rPr>
                <w:sz w:val="20"/>
              </w:rPr>
            </w:pPr>
            <w:r w:rsidRPr="00176C99">
              <w:rPr>
                <w:sz w:val="20"/>
              </w:rPr>
              <w:lastRenderedPageBreak/>
              <w:t xml:space="preserve">Vēršam uzmanību uz to, ka Tieslietu ministrija neiebilst pret materiāla rakstura atbildību, bet aicina jautājumu risināt administratīvā pārkāpuma procesa ietvaros. 2020. gada 1. janvārī stāsies spēkā Administratīvās atbildības likums, kura 16. panta piektā daļa paredz, ka likumos īpaši paredzētos gadījumos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procentus no finanšu darījuma vērtības (summas) vai 10 procentus no iepriekšējā pārskata gada neto apgrozījuma vai apgrozījuma (ieņēmumiem) no saimnieciskajiem darījumiem iepriekšējā pārskata gadā. Turklāt Administratīvās atbildības likuma 16. panta sestā daļa paredz, ka maksimālais naudas soda apmērs fiziskajām un juridiskajām personām ar likumu noteiktajā administratīvā soda sankcijā drīkst tikt pārsniegts, ja lielāka naudas soda nepieciešamība ir noteikta </w:t>
            </w:r>
            <w:r w:rsidRPr="00176C99">
              <w:rPr>
                <w:sz w:val="20"/>
              </w:rPr>
              <w:lastRenderedPageBreak/>
              <w:t>Latvijas Republikai saistošā starptautiskajā tiesību aktā.</w:t>
            </w:r>
          </w:p>
          <w:p w:rsidR="0055473A" w:rsidRPr="00176C99" w:rsidRDefault="0055473A" w:rsidP="0055473A">
            <w:pPr>
              <w:jc w:val="both"/>
              <w:rPr>
                <w:sz w:val="20"/>
              </w:rPr>
            </w:pPr>
            <w:r w:rsidRPr="00176C99">
              <w:rPr>
                <w:sz w:val="20"/>
              </w:rPr>
              <w:t xml:space="preserve">Papildus atkārtoti informējam, ka Ministru kabineta 2019. gada 14. maija protokola Nr. 24 15. § "Likumprojekts "Privāto pensiju fondu likums"" 4. punkts paredz, ka līdz 2019. gada 31. decembrim Tieslietu ministrija savas kompetences ietvaros kā administratīvo tiesību politikas veidotājs un Finanšu ministrija kā finanšu politikas veidotājs, un institūcijas, kurām ir tiesības piemērot administratīvajai atbildībai līdzīgus piespiedu ietekmēšanas līdzekļus (administratīvās sankcijas), izvērtē šādu piespiedu ietekmēšanas līdzekļu nepieciešamību un to piemērošanas procesu. Tādējādi </w:t>
            </w:r>
            <w:r w:rsidRPr="00176C99">
              <w:rPr>
                <w:sz w:val="20"/>
                <w:u w:val="single"/>
              </w:rPr>
              <w:t>līdz šā izvērtējuma veikšanai nav atbalstāma jaunu administratīvajai atbildībai līdzīgu piespiedu ietekmēšanas līdzekļu noteikšana</w:t>
            </w:r>
            <w:r w:rsidRPr="00176C99">
              <w:rPr>
                <w:sz w:val="20"/>
              </w:rPr>
              <w:t>.</w:t>
            </w:r>
          </w:p>
          <w:p w:rsidR="0055473A" w:rsidRPr="00176C99" w:rsidRDefault="0055473A" w:rsidP="0055473A">
            <w:pPr>
              <w:jc w:val="both"/>
              <w:rPr>
                <w:sz w:val="20"/>
              </w:rPr>
            </w:pPr>
            <w:r w:rsidRPr="00176C99">
              <w:rPr>
                <w:sz w:val="20"/>
              </w:rPr>
              <w:t xml:space="preserve">Ievērojot minēto, atkārtoti lūdzam precizēt projekta 1. un 3. pantā paredzētos grozījumus, kā arī projekta sākotnējās </w:t>
            </w:r>
            <w:r w:rsidRPr="00176C99">
              <w:rPr>
                <w:i/>
                <w:iCs/>
                <w:sz w:val="20"/>
              </w:rPr>
              <w:t>(</w:t>
            </w:r>
            <w:proofErr w:type="spellStart"/>
            <w:r w:rsidRPr="00176C99">
              <w:rPr>
                <w:i/>
                <w:iCs/>
                <w:sz w:val="20"/>
              </w:rPr>
              <w:t>ex-ante</w:t>
            </w:r>
            <w:proofErr w:type="spellEnd"/>
            <w:r w:rsidRPr="00176C99">
              <w:rPr>
                <w:i/>
                <w:iCs/>
                <w:sz w:val="20"/>
              </w:rPr>
              <w:t>)</w:t>
            </w:r>
            <w:r w:rsidRPr="00176C99">
              <w:rPr>
                <w:sz w:val="20"/>
              </w:rPr>
              <w:t xml:space="preserve"> ietekmes novērtējuma ziņojumā (turpmāk – anotācija) ietverto informāciju.</w:t>
            </w:r>
          </w:p>
          <w:p w:rsidR="0055473A" w:rsidRPr="009A76E1" w:rsidRDefault="0055473A" w:rsidP="003924ED">
            <w:pPr>
              <w:jc w:val="center"/>
              <w:rPr>
                <w:sz w:val="20"/>
                <w:szCs w:val="20"/>
              </w:rPr>
            </w:pPr>
          </w:p>
        </w:tc>
        <w:tc>
          <w:tcPr>
            <w:tcW w:w="0" w:type="auto"/>
            <w:tcBorders>
              <w:top w:val="single" w:sz="4" w:space="0" w:color="auto"/>
              <w:left w:val="single" w:sz="4" w:space="0" w:color="auto"/>
              <w:bottom w:val="single" w:sz="4" w:space="0" w:color="auto"/>
            </w:tcBorders>
          </w:tcPr>
          <w:p w:rsidR="0055473A" w:rsidRPr="007B5821" w:rsidRDefault="0055473A" w:rsidP="0055473A">
            <w:pPr>
              <w:ind w:firstLine="568"/>
              <w:jc w:val="both"/>
              <w:rPr>
                <w:color w:val="000000"/>
                <w:sz w:val="20"/>
                <w:szCs w:val="20"/>
              </w:rPr>
            </w:pPr>
            <w:r w:rsidRPr="0023394D">
              <w:rPr>
                <w:color w:val="000000"/>
                <w:sz w:val="20"/>
                <w:szCs w:val="20"/>
              </w:rPr>
              <w:lastRenderedPageBreak/>
              <w:t>2.</w:t>
            </w:r>
            <w:r w:rsidRPr="007B5821">
              <w:rPr>
                <w:color w:val="000000"/>
                <w:sz w:val="20"/>
                <w:szCs w:val="20"/>
              </w:rPr>
              <w:t xml:space="preserve"> Papildināt 1. panta 23. punktu pēc vārda “dokumentācijas” ar vārdiem “vai informācijas, kas iesniedzama starptautiskajai automātiskās informācijas apmaiņai”.</w:t>
            </w:r>
          </w:p>
          <w:p w:rsidR="0055473A" w:rsidRPr="007B5821" w:rsidRDefault="0055473A" w:rsidP="0055473A">
            <w:pPr>
              <w:ind w:firstLine="426"/>
              <w:jc w:val="both"/>
              <w:rPr>
                <w:color w:val="000000"/>
                <w:sz w:val="20"/>
                <w:szCs w:val="28"/>
              </w:rPr>
            </w:pPr>
          </w:p>
          <w:p w:rsidR="0055473A" w:rsidRPr="007B5821" w:rsidRDefault="0055473A" w:rsidP="0055473A">
            <w:pPr>
              <w:ind w:firstLine="426"/>
              <w:jc w:val="both"/>
              <w:rPr>
                <w:color w:val="000000"/>
                <w:sz w:val="20"/>
                <w:szCs w:val="28"/>
              </w:rPr>
            </w:pPr>
            <w:r>
              <w:rPr>
                <w:color w:val="000000"/>
                <w:sz w:val="20"/>
                <w:szCs w:val="28"/>
              </w:rPr>
              <w:t>4.</w:t>
            </w:r>
            <w:r w:rsidRPr="007B5821">
              <w:rPr>
                <w:color w:val="000000"/>
                <w:sz w:val="20"/>
                <w:szCs w:val="28"/>
              </w:rPr>
              <w:t xml:space="preserve"> Papildināt ar 32.</w:t>
            </w:r>
            <w:r w:rsidRPr="007B5821">
              <w:rPr>
                <w:color w:val="000000"/>
                <w:sz w:val="20"/>
                <w:szCs w:val="28"/>
                <w:vertAlign w:val="superscript"/>
              </w:rPr>
              <w:t>5</w:t>
            </w:r>
            <w:r w:rsidRPr="007B5821">
              <w:rPr>
                <w:color w:val="000000"/>
                <w:sz w:val="20"/>
                <w:szCs w:val="28"/>
              </w:rPr>
              <w:t xml:space="preserve"> pantu šādā redakcijā:</w:t>
            </w:r>
          </w:p>
          <w:p w:rsidR="0055473A" w:rsidRPr="007B5821" w:rsidRDefault="0055473A" w:rsidP="0055473A">
            <w:pPr>
              <w:jc w:val="both"/>
              <w:rPr>
                <w:color w:val="000000"/>
                <w:sz w:val="20"/>
                <w:szCs w:val="28"/>
              </w:rPr>
            </w:pPr>
            <w:r w:rsidRPr="007B5821">
              <w:rPr>
                <w:color w:val="000000"/>
                <w:sz w:val="20"/>
                <w:szCs w:val="28"/>
              </w:rPr>
              <w:t>“</w:t>
            </w:r>
            <w:r w:rsidRPr="007B5821">
              <w:rPr>
                <w:b/>
                <w:color w:val="000000"/>
                <w:sz w:val="20"/>
                <w:szCs w:val="28"/>
              </w:rPr>
              <w:t>32.</w:t>
            </w:r>
            <w:r w:rsidRPr="007B5821">
              <w:rPr>
                <w:b/>
                <w:color w:val="000000"/>
                <w:sz w:val="20"/>
                <w:szCs w:val="28"/>
                <w:vertAlign w:val="superscript"/>
              </w:rPr>
              <w:t>5</w:t>
            </w:r>
            <w:r w:rsidRPr="007B5821">
              <w:rPr>
                <w:b/>
                <w:color w:val="000000"/>
                <w:sz w:val="20"/>
                <w:szCs w:val="28"/>
              </w:rPr>
              <w:t xml:space="preserve"> pants. Atbildība starptautiskās automātiskās informācijas apmaiņas jomā</w:t>
            </w:r>
          </w:p>
          <w:p w:rsidR="0055473A" w:rsidRPr="007B5821" w:rsidRDefault="0055473A" w:rsidP="0055473A">
            <w:pPr>
              <w:ind w:firstLine="567"/>
              <w:jc w:val="both"/>
              <w:rPr>
                <w:color w:val="000000"/>
                <w:sz w:val="20"/>
                <w:szCs w:val="28"/>
              </w:rPr>
            </w:pPr>
            <w:r w:rsidRPr="007B5821">
              <w:rPr>
                <w:color w:val="000000"/>
                <w:sz w:val="20"/>
                <w:szCs w:val="28"/>
              </w:rPr>
              <w:t xml:space="preserve">(1) Nodokļu administrācijai ir tiesības piemērot nodokļu maksātājam soda naudu līdz 1% no nodokļu maksātāja gada apgrozījuma (ieņēmumiem) attiecīgajā pārskata periodā, bet ne vairāk kā 14 000 </w:t>
            </w:r>
            <w:proofErr w:type="spellStart"/>
            <w:r w:rsidRPr="007B5821">
              <w:rPr>
                <w:i/>
                <w:color w:val="000000"/>
                <w:sz w:val="20"/>
                <w:szCs w:val="28"/>
              </w:rPr>
              <w:t>euro</w:t>
            </w:r>
            <w:proofErr w:type="spellEnd"/>
            <w:r w:rsidRPr="007B5821">
              <w:rPr>
                <w:color w:val="000000"/>
                <w:sz w:val="20"/>
                <w:szCs w:val="28"/>
              </w:rPr>
              <w:t xml:space="preserve">, ja nodokļu maksātājs nav iesniedzis ziņojumu par finanšu kontiem </w:t>
            </w:r>
            <w:r w:rsidRPr="007B5821">
              <w:rPr>
                <w:color w:val="000000"/>
                <w:sz w:val="20"/>
                <w:szCs w:val="28"/>
              </w:rPr>
              <w:lastRenderedPageBreak/>
              <w:t xml:space="preserve">normatīvajos aktos noteiktā termiņā vai iesniedzis ziņojumu par finanšu kontiem, kas satur nepilnīgu vai nepatiesu informāciju, kā arī tad, ja nav ievērotas finanšu kontu pienācīgas pārbaudes procedūras un ar to saistītās dokumentācijas prasības. </w:t>
            </w:r>
          </w:p>
          <w:p w:rsidR="0055473A" w:rsidRPr="007B5821" w:rsidRDefault="0055473A" w:rsidP="0055473A">
            <w:pPr>
              <w:ind w:firstLine="567"/>
              <w:jc w:val="both"/>
              <w:rPr>
                <w:color w:val="000000"/>
                <w:sz w:val="20"/>
                <w:szCs w:val="28"/>
              </w:rPr>
            </w:pPr>
          </w:p>
          <w:p w:rsidR="0055473A" w:rsidRPr="007B5821" w:rsidRDefault="0055473A" w:rsidP="0055473A">
            <w:pPr>
              <w:ind w:firstLine="567"/>
              <w:jc w:val="both"/>
              <w:rPr>
                <w:color w:val="000000"/>
                <w:sz w:val="20"/>
                <w:szCs w:val="28"/>
              </w:rPr>
            </w:pPr>
            <w:r w:rsidRPr="007B5821">
              <w:rPr>
                <w:color w:val="000000"/>
                <w:sz w:val="20"/>
                <w:szCs w:val="28"/>
              </w:rPr>
              <w:t>(2) Nodokļu administrācijai ir tiesības piemērot nodokļu maksātājam soda naudu līdz 1% no nodokļu maksātāja gada apgrozījuma (ieņēmumiem) attiecīgajā pārskata periodā, bet ne vairāk kā 3 200 </w:t>
            </w:r>
            <w:proofErr w:type="spellStart"/>
            <w:r w:rsidRPr="007B5821">
              <w:rPr>
                <w:i/>
                <w:color w:val="000000"/>
                <w:sz w:val="20"/>
                <w:szCs w:val="28"/>
              </w:rPr>
              <w:t>euro</w:t>
            </w:r>
            <w:proofErr w:type="spellEnd"/>
            <w:r w:rsidRPr="007B5821">
              <w:rPr>
                <w:color w:val="000000"/>
                <w:sz w:val="20"/>
                <w:szCs w:val="28"/>
              </w:rPr>
              <w:t>, ja nodokļu maksātājs nav iesniedzis starptautiskas uzņēmumu grupas pārskatu par katru valsti nodokļu normatīvajos aktos noteiktā termiņā vai nav ievērojis starptautiskas uzņēmumu grupas pārskata par katru valsti normatīvajos aktos paredzēto sagatavošanas un iesniegšanas kārtību.</w:t>
            </w:r>
          </w:p>
          <w:p w:rsidR="0055473A" w:rsidRPr="007B5821" w:rsidRDefault="0055473A" w:rsidP="0055473A">
            <w:pPr>
              <w:ind w:firstLine="567"/>
              <w:jc w:val="both"/>
              <w:rPr>
                <w:color w:val="000000"/>
                <w:sz w:val="20"/>
                <w:szCs w:val="28"/>
              </w:rPr>
            </w:pPr>
          </w:p>
          <w:p w:rsidR="0055473A" w:rsidRPr="007B5821" w:rsidRDefault="0055473A" w:rsidP="0055473A">
            <w:pPr>
              <w:ind w:firstLine="720"/>
              <w:jc w:val="both"/>
              <w:rPr>
                <w:sz w:val="20"/>
                <w:szCs w:val="20"/>
              </w:rPr>
            </w:pPr>
            <w:r w:rsidRPr="007B5821">
              <w:rPr>
                <w:sz w:val="20"/>
                <w:szCs w:val="20"/>
              </w:rPr>
              <w:t>Attiecībā uz informācijas apmaiņu par finanšu kontiem, anotācija papildināta ar šādu tekstu:</w:t>
            </w:r>
          </w:p>
          <w:p w:rsidR="0055473A" w:rsidRPr="007B5821" w:rsidRDefault="0055473A" w:rsidP="0055473A">
            <w:pPr>
              <w:ind w:firstLine="720"/>
              <w:jc w:val="both"/>
              <w:rPr>
                <w:iCs/>
                <w:sz w:val="20"/>
                <w:szCs w:val="20"/>
              </w:rPr>
            </w:pPr>
            <w:r w:rsidRPr="007B5821">
              <w:rPr>
                <w:iCs/>
                <w:sz w:val="20"/>
                <w:szCs w:val="20"/>
              </w:rPr>
              <w:t xml:space="preserve">“Soda sankcijas (soda nauda) saistībā ar automātisko informācijas apmaiņu par finanšu kontiem paredzēts noteikt likumā, nevis citā normatīvajā aktā, jo tas ļaus visefektīvāk nodrošināt </w:t>
            </w:r>
            <w:r w:rsidRPr="007B5821">
              <w:rPr>
                <w:iCs/>
                <w:sz w:val="20"/>
                <w:szCs w:val="20"/>
              </w:rPr>
              <w:lastRenderedPageBreak/>
              <w:t>regulējuma izpildi, arī ievērojot privātpersonu tiesības. Soda sankcijas ir daļa no automātiskās informācijas apmaiņas par finanšu kontiem uzraudzības mehānisma, savukārt minētais uzraudzības mehānisms balstās uz likuma 101.</w:t>
            </w:r>
            <w:r w:rsidRPr="007B5821">
              <w:rPr>
                <w:iCs/>
                <w:sz w:val="20"/>
                <w:szCs w:val="20"/>
                <w:vertAlign w:val="superscript"/>
              </w:rPr>
              <w:t>1</w:t>
            </w:r>
            <w:r w:rsidRPr="007B5821">
              <w:rPr>
                <w:iCs/>
                <w:sz w:val="20"/>
                <w:szCs w:val="20"/>
              </w:rPr>
              <w:t xml:space="preserve"> panta regulējumu, atbilstoši kuram, lai nodrošinātu automātiskās informācijas apmaiņas par finanšu kontiem efektīvas īstenošanas uzraudzību, finanšu iestāde nodrošina Valsts ieņēmumu dienestam piekļuvi procedūrām, dokumentiem un informācijai, kas minēta </w:t>
            </w:r>
            <w:hyperlink r:id="rId8" w:tgtFrame="_blank" w:history="1">
              <w:r w:rsidRPr="007B5821">
                <w:rPr>
                  <w:rStyle w:val="Hyperlink"/>
                  <w:iCs/>
                  <w:sz w:val="20"/>
                  <w:szCs w:val="20"/>
                </w:rPr>
                <w:t>Noziedzīgi iegūtu līdzekļu legalizācijas un terorisma finansēšanas novēršanas likuma</w:t>
              </w:r>
            </w:hyperlink>
            <w:r w:rsidRPr="007B5821">
              <w:rPr>
                <w:iCs/>
                <w:sz w:val="20"/>
                <w:szCs w:val="20"/>
              </w:rPr>
              <w:t xml:space="preserve"> </w:t>
            </w:r>
            <w:hyperlink r:id="rId9" w:anchor="p11.1" w:tgtFrame="_blank" w:history="1">
              <w:r w:rsidRPr="007B5821">
                <w:rPr>
                  <w:rStyle w:val="Hyperlink"/>
                  <w:iCs/>
                  <w:sz w:val="20"/>
                  <w:szCs w:val="20"/>
                </w:rPr>
                <w:t>11.</w:t>
              </w:r>
              <w:r w:rsidRPr="007B5821">
                <w:rPr>
                  <w:rStyle w:val="Hyperlink"/>
                  <w:iCs/>
                  <w:sz w:val="20"/>
                  <w:szCs w:val="20"/>
                  <w:vertAlign w:val="superscript"/>
                </w:rPr>
                <w:t>1</w:t>
              </w:r>
            </w:hyperlink>
            <w:r w:rsidRPr="007B5821">
              <w:rPr>
                <w:iCs/>
                <w:sz w:val="20"/>
                <w:szCs w:val="20"/>
              </w:rPr>
              <w:t xml:space="preserve"> panta pirmajā un devītajā daļā, </w:t>
            </w:r>
            <w:hyperlink r:id="rId10" w:anchor="p18" w:tgtFrame="_blank" w:history="1">
              <w:r w:rsidRPr="007B5821">
                <w:rPr>
                  <w:rStyle w:val="Hyperlink"/>
                  <w:iCs/>
                  <w:sz w:val="20"/>
                  <w:szCs w:val="20"/>
                </w:rPr>
                <w:t>18.</w:t>
              </w:r>
            </w:hyperlink>
            <w:r w:rsidRPr="007B5821">
              <w:rPr>
                <w:iCs/>
                <w:sz w:val="20"/>
                <w:szCs w:val="20"/>
              </w:rPr>
              <w:t xml:space="preserve">, </w:t>
            </w:r>
            <w:hyperlink r:id="rId11" w:anchor="p18.1" w:tgtFrame="_blank" w:history="1">
              <w:r w:rsidRPr="007B5821">
                <w:rPr>
                  <w:rStyle w:val="Hyperlink"/>
                  <w:iCs/>
                  <w:sz w:val="20"/>
                  <w:szCs w:val="20"/>
                </w:rPr>
                <w:t>18.</w:t>
              </w:r>
              <w:r w:rsidRPr="007B5821">
                <w:rPr>
                  <w:rStyle w:val="Hyperlink"/>
                  <w:iCs/>
                  <w:sz w:val="20"/>
                  <w:szCs w:val="20"/>
                  <w:vertAlign w:val="superscript"/>
                </w:rPr>
                <w:t>1</w:t>
              </w:r>
            </w:hyperlink>
            <w:r w:rsidRPr="007B5821">
              <w:rPr>
                <w:iCs/>
                <w:sz w:val="20"/>
                <w:szCs w:val="20"/>
              </w:rPr>
              <w:t xml:space="preserve">, </w:t>
            </w:r>
            <w:hyperlink r:id="rId12" w:anchor="p18.2" w:tgtFrame="_blank" w:history="1">
              <w:r w:rsidRPr="007B5821">
                <w:rPr>
                  <w:rStyle w:val="Hyperlink"/>
                  <w:iCs/>
                  <w:sz w:val="20"/>
                  <w:szCs w:val="20"/>
                </w:rPr>
                <w:t>18.</w:t>
              </w:r>
              <w:r w:rsidRPr="007B5821">
                <w:rPr>
                  <w:rStyle w:val="Hyperlink"/>
                  <w:iCs/>
                  <w:sz w:val="20"/>
                  <w:szCs w:val="20"/>
                  <w:vertAlign w:val="superscript"/>
                </w:rPr>
                <w:t>2</w:t>
              </w:r>
            </w:hyperlink>
            <w:r w:rsidRPr="007B5821">
              <w:rPr>
                <w:iCs/>
                <w:sz w:val="20"/>
                <w:szCs w:val="20"/>
              </w:rPr>
              <w:t xml:space="preserve"> un </w:t>
            </w:r>
            <w:hyperlink r:id="rId13" w:anchor="p37" w:tgtFrame="_blank" w:history="1">
              <w:r w:rsidRPr="007B5821">
                <w:rPr>
                  <w:rStyle w:val="Hyperlink"/>
                  <w:iCs/>
                  <w:sz w:val="20"/>
                  <w:szCs w:val="20"/>
                </w:rPr>
                <w:t>37.</w:t>
              </w:r>
            </w:hyperlink>
            <w:r w:rsidRPr="007B5821">
              <w:rPr>
                <w:iCs/>
                <w:sz w:val="20"/>
                <w:szCs w:val="20"/>
              </w:rPr>
              <w:t> pantā. Tādējādi, īstenojot uzraudzības funkciju, VID veiks finanšu iestādes darbības atbilstības regulējumam izvērtējumu, pamatojoties uz likuma 101.</w:t>
            </w:r>
            <w:r w:rsidRPr="007B5821">
              <w:rPr>
                <w:iCs/>
                <w:sz w:val="20"/>
                <w:szCs w:val="20"/>
                <w:vertAlign w:val="superscript"/>
              </w:rPr>
              <w:t>1</w:t>
            </w:r>
            <w:r w:rsidRPr="007B5821">
              <w:rPr>
                <w:iCs/>
                <w:sz w:val="20"/>
                <w:szCs w:val="20"/>
              </w:rPr>
              <w:t> pantu, un gadījumā, ja, īstenojot minēto likumā paredzēto uzraudzības funkciju, tiks konstatētas neatbilstības regulējumam, VID būs tiesības piemērot soda naudu, pamatojoties uz likumprojektā ietverto likuma 32.</w:t>
            </w:r>
            <w:r w:rsidRPr="007B5821">
              <w:rPr>
                <w:iCs/>
                <w:sz w:val="20"/>
                <w:szCs w:val="20"/>
                <w:vertAlign w:val="superscript"/>
              </w:rPr>
              <w:t>5</w:t>
            </w:r>
            <w:r w:rsidRPr="007B5821">
              <w:rPr>
                <w:iCs/>
                <w:sz w:val="20"/>
                <w:szCs w:val="20"/>
              </w:rPr>
              <w:t xml:space="preserve"> panta pirmo daļu. Ņemot vērā, ka lēmums par soda naudas uzlikšanu ir uzskatāms </w:t>
            </w:r>
            <w:r w:rsidRPr="007B5821">
              <w:rPr>
                <w:iCs/>
                <w:sz w:val="20"/>
                <w:szCs w:val="20"/>
              </w:rPr>
              <w:lastRenderedPageBreak/>
              <w:t>par administratīvo aktu Administratīvā procesa likuma 1.panta trešās daļas izpratnē, attiecīgai finanšu iestādei tiks nodrošinātas visas garantijas, kādas ir Administratīvā procesa likumā paredzētas privātpersonai, attiecībā uz kuru tiek izdots administratīvais akts.”</w:t>
            </w:r>
          </w:p>
          <w:p w:rsidR="0055473A" w:rsidRPr="007B5821" w:rsidRDefault="0055473A" w:rsidP="0055473A">
            <w:pPr>
              <w:ind w:firstLine="720"/>
              <w:jc w:val="both"/>
              <w:rPr>
                <w:iCs/>
                <w:sz w:val="20"/>
                <w:szCs w:val="20"/>
              </w:rPr>
            </w:pPr>
            <w:r w:rsidRPr="007B5821">
              <w:rPr>
                <w:iCs/>
                <w:sz w:val="20"/>
                <w:szCs w:val="20"/>
              </w:rPr>
              <w:t xml:space="preserve">Attiecībā uz informācijas apmaiņu ar </w:t>
            </w:r>
            <w:proofErr w:type="spellStart"/>
            <w:r w:rsidRPr="007B5821">
              <w:rPr>
                <w:iCs/>
                <w:sz w:val="20"/>
                <w:szCs w:val="20"/>
              </w:rPr>
              <w:t>CbCr</w:t>
            </w:r>
            <w:proofErr w:type="spellEnd"/>
            <w:r w:rsidRPr="007B5821">
              <w:rPr>
                <w:iCs/>
                <w:sz w:val="20"/>
                <w:szCs w:val="20"/>
              </w:rPr>
              <w:t xml:space="preserve"> anotācija papildināta ar šādu tekstu:</w:t>
            </w:r>
          </w:p>
          <w:p w:rsidR="0055473A" w:rsidRPr="009A76E1" w:rsidRDefault="0055473A" w:rsidP="0055473A">
            <w:pPr>
              <w:jc w:val="both"/>
              <w:rPr>
                <w:sz w:val="20"/>
                <w:szCs w:val="20"/>
              </w:rPr>
            </w:pPr>
            <w:r w:rsidRPr="007B5821">
              <w:rPr>
                <w:iCs/>
                <w:sz w:val="20"/>
                <w:szCs w:val="20"/>
              </w:rPr>
              <w:t xml:space="preserve">“Soda sankcijas (soda nauda) saistībā ar informācijas apmaiņu ar </w:t>
            </w:r>
            <w:proofErr w:type="spellStart"/>
            <w:r w:rsidRPr="007B5821">
              <w:rPr>
                <w:sz w:val="20"/>
                <w:szCs w:val="20"/>
              </w:rPr>
              <w:t>CbCr</w:t>
            </w:r>
            <w:proofErr w:type="spellEnd"/>
            <w:r w:rsidRPr="007B5821">
              <w:rPr>
                <w:iCs/>
                <w:sz w:val="20"/>
                <w:szCs w:val="20"/>
              </w:rPr>
              <w:t xml:space="preserve"> par finanšu kontiem paredzēts noteikt likumā, nevis citā normatīvajā aktā, jo tas ļaus visefektīvāk nodrošināt regulējuma izpildi, arī ievērojot privātpersonu tiesības. Ievērojot likuma 15.</w:t>
            </w:r>
            <w:r w:rsidRPr="007B5821">
              <w:rPr>
                <w:iCs/>
                <w:sz w:val="20"/>
                <w:szCs w:val="20"/>
                <w:vertAlign w:val="superscript"/>
              </w:rPr>
              <w:t>2 </w:t>
            </w:r>
            <w:r w:rsidRPr="007B5821">
              <w:rPr>
                <w:iCs/>
                <w:sz w:val="20"/>
                <w:szCs w:val="20"/>
              </w:rPr>
              <w:t xml:space="preserve">panta pirmo daļu, </w:t>
            </w:r>
            <w:proofErr w:type="spellStart"/>
            <w:r w:rsidRPr="007B5821">
              <w:rPr>
                <w:sz w:val="20"/>
                <w:szCs w:val="20"/>
              </w:rPr>
              <w:t>CbCr</w:t>
            </w:r>
            <w:proofErr w:type="spellEnd"/>
            <w:r w:rsidRPr="007B5821">
              <w:rPr>
                <w:sz w:val="20"/>
                <w:szCs w:val="20"/>
              </w:rPr>
              <w:t xml:space="preserve"> ir daļa no trīs līmeņu transfertcenu dokumentācijas. Saistībā ar divu pārējo transfertcenu dokumentācijas veidu (globālās dokumentācijas un vietējās dokumentācijas) nesniegšanu VID, jau šobrīd soda nauda paredzēta likumā (likuma </w:t>
            </w:r>
            <w:r w:rsidRPr="007B5821">
              <w:rPr>
                <w:iCs/>
                <w:sz w:val="20"/>
                <w:szCs w:val="20"/>
              </w:rPr>
              <w:t>15.</w:t>
            </w:r>
            <w:r w:rsidRPr="007B5821">
              <w:rPr>
                <w:iCs/>
                <w:sz w:val="20"/>
                <w:szCs w:val="20"/>
                <w:vertAlign w:val="superscript"/>
              </w:rPr>
              <w:t>2 </w:t>
            </w:r>
            <w:r w:rsidRPr="007B5821">
              <w:rPr>
                <w:iCs/>
                <w:sz w:val="20"/>
                <w:szCs w:val="20"/>
              </w:rPr>
              <w:t xml:space="preserve">panta četrpadsmitajā daļā). Turklāt </w:t>
            </w:r>
            <w:proofErr w:type="spellStart"/>
            <w:r w:rsidRPr="007B5821">
              <w:rPr>
                <w:iCs/>
                <w:sz w:val="20"/>
                <w:szCs w:val="20"/>
              </w:rPr>
              <w:t>CbCr</w:t>
            </w:r>
            <w:proofErr w:type="spellEnd"/>
            <w:r w:rsidRPr="007B5821">
              <w:rPr>
                <w:iCs/>
                <w:sz w:val="20"/>
                <w:szCs w:val="20"/>
              </w:rPr>
              <w:t xml:space="preserve"> faktiski kalpo tam pašam mērķim, kādam ir paredzēta globālā dokumentācija un vietējā dokumentācija – transfertcenu riska analīzei. Tā, piemēram, </w:t>
            </w:r>
            <w:r w:rsidRPr="007B5821">
              <w:rPr>
                <w:iCs/>
                <w:sz w:val="20"/>
                <w:szCs w:val="20"/>
              </w:rPr>
              <w:lastRenderedPageBreak/>
              <w:t xml:space="preserve">izvērtējot </w:t>
            </w:r>
            <w:proofErr w:type="spellStart"/>
            <w:r w:rsidRPr="007B5821">
              <w:rPr>
                <w:iCs/>
                <w:sz w:val="20"/>
                <w:szCs w:val="20"/>
              </w:rPr>
              <w:t>CbCr</w:t>
            </w:r>
            <w:proofErr w:type="spellEnd"/>
            <w:r w:rsidRPr="007B5821">
              <w:rPr>
                <w:iCs/>
                <w:sz w:val="20"/>
                <w:szCs w:val="20"/>
              </w:rPr>
              <w:t xml:space="preserve"> ietverto informāciju par attiecīgo starptautiskās uzņēmumu grupas transfertcenu risku, kā rezultātā pastāv iespēja, ka attiecīgās starptautiskās uzņēmumu grupas uzņēmums – Latvijas rezidents, izmantojot transfertcenas, ir novirzījis uzņēmumu ienākuma nodokļa bāzi uz citu valsti, VID būtu jāpieprasa attiecīgā uzņēmuma sagatavotā transfertcenu dokumentācija (globālā dokumentācija un vietējā dokumentācija), ja tādu konkrētajā gadījumā bija pienākums sagatavot. Tādējādi, ņemot vērā transfertcenu dokumentācijas (globālās dokumentācijas un vietējās dokumentācijas), tajā skaitā ar tās nesniegšanu laikā saistīto sankciju regulējumu likumā, arī sankciju saistībā ar </w:t>
            </w:r>
            <w:proofErr w:type="spellStart"/>
            <w:r w:rsidRPr="007B5821">
              <w:rPr>
                <w:iCs/>
                <w:sz w:val="20"/>
                <w:szCs w:val="20"/>
              </w:rPr>
              <w:t>CbCr</w:t>
            </w:r>
            <w:proofErr w:type="spellEnd"/>
            <w:r w:rsidRPr="007B5821">
              <w:rPr>
                <w:iCs/>
                <w:sz w:val="20"/>
                <w:szCs w:val="20"/>
              </w:rPr>
              <w:t xml:space="preserve"> normatīvajos aktos paredzētās sagatavošanas un iesniegšanas kārtības neievērošanu ir lietderīgi paredzēt likumā, turklāt tāda paša administratīvā procesa ietvaros, kā tas šobrīd ir noteikts attiecībā uz transfertcenu regulējuma neievērošanu. Ņemot vērā, ka lēmums par soda naudas uzlikšanu ir uzskatāms par administratīvo aktu Administratīvā procesa likuma 1.panta trešās daļas izpratnē, </w:t>
            </w:r>
            <w:r w:rsidRPr="007B5821">
              <w:rPr>
                <w:iCs/>
                <w:sz w:val="20"/>
                <w:szCs w:val="20"/>
              </w:rPr>
              <w:lastRenderedPageBreak/>
              <w:t>attiecīgai finanšu iestādei tiks nodrošinātas visas garantijas, kādas ir Administratīvā procesa likumā paredzētas privātpersonai, attiecībā uz kuru tiek izdots administratīvais akts.”</w:t>
            </w:r>
          </w:p>
        </w:tc>
      </w:tr>
      <w:tr w:rsidR="0055473A" w:rsidRPr="009A76E1" w:rsidTr="003924ED">
        <w:tc>
          <w:tcPr>
            <w:tcW w:w="0" w:type="auto"/>
            <w:tcBorders>
              <w:top w:val="single" w:sz="6" w:space="0" w:color="000000"/>
              <w:left w:val="single" w:sz="6" w:space="0" w:color="000000"/>
              <w:bottom w:val="single" w:sz="6" w:space="0" w:color="000000"/>
              <w:right w:val="single" w:sz="6" w:space="0" w:color="000000"/>
            </w:tcBorders>
          </w:tcPr>
          <w:p w:rsidR="0055473A" w:rsidRPr="009A76E1" w:rsidRDefault="0055473A" w:rsidP="0055473A">
            <w:pPr>
              <w:pStyle w:val="naisc"/>
              <w:spacing w:before="0" w:after="0"/>
              <w:jc w:val="both"/>
              <w:rPr>
                <w:sz w:val="20"/>
                <w:szCs w:val="20"/>
              </w:rPr>
            </w:pPr>
            <w:r>
              <w:rPr>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Pr>
          <w:p w:rsidR="0055473A" w:rsidRPr="006964A3" w:rsidRDefault="0055473A" w:rsidP="0055473A">
            <w:pPr>
              <w:jc w:val="both"/>
              <w:rPr>
                <w:color w:val="000000"/>
                <w:sz w:val="20"/>
                <w:szCs w:val="28"/>
              </w:rPr>
            </w:pPr>
            <w:r w:rsidRPr="006964A3">
              <w:rPr>
                <w:color w:val="000000"/>
                <w:sz w:val="20"/>
                <w:szCs w:val="28"/>
              </w:rPr>
              <w:t>2. Papildināt 15. pantu ar desmito daļu šādā redakcijā:</w:t>
            </w:r>
          </w:p>
          <w:p w:rsidR="0055473A" w:rsidRPr="009A76E1" w:rsidRDefault="0055473A" w:rsidP="0055473A">
            <w:pPr>
              <w:pStyle w:val="naisc"/>
              <w:spacing w:before="0" w:after="0"/>
              <w:ind w:firstLine="720"/>
              <w:jc w:val="both"/>
              <w:rPr>
                <w:sz w:val="20"/>
                <w:szCs w:val="20"/>
              </w:rPr>
            </w:pPr>
            <w:r w:rsidRPr="006964A3">
              <w:rPr>
                <w:color w:val="000000"/>
                <w:sz w:val="20"/>
                <w:szCs w:val="28"/>
              </w:rPr>
              <w:t xml:space="preserve">“(10) Iestājoties </w:t>
            </w:r>
            <w:r w:rsidRPr="00745CBA">
              <w:rPr>
                <w:color w:val="000000"/>
                <w:sz w:val="20"/>
                <w:szCs w:val="28"/>
              </w:rPr>
              <w:t>Ministru kabineta noteikumos</w:t>
            </w:r>
            <w:r w:rsidRPr="006964A3">
              <w:rPr>
                <w:color w:val="000000"/>
                <w:sz w:val="20"/>
                <w:szCs w:val="28"/>
              </w:rPr>
              <w:t xml:space="preserve"> noteiktajiem nosacījumiem, nodokļu maksātājam ir pienākums iesniegt Valsts ieņēmumu dienestam informāciju par ziņojamām pārrobežu shēmām. Nosacījumus, kuriem iestājoties ir sniedzams ziņojums, ziņojuma struktūru un saturu, ziņojumā lietoto terminu skaidrojumu, kā arī tā sagatavošanas un iesniegšanas kārtību un kārtību, kādā veic automātisko informācijas par ziņojamām pārrobežu shēmām apmaiņu starp Latvijas Republikas un citu Eiropas Savienības dalībvalstu kompetentajām iestādēm vai jebkuru citas valsts vai teritorijas kompetento iestādi, ar kuru Latvijas Republikas kompetentā iestāde, pamatojoties uz Latvijas Republikas noslēgto starptautisko līgumu, noslēgusi attiecīgu kompetento iestāžu līgumu, nosaka Ministru kabinets.”</w:t>
            </w:r>
          </w:p>
        </w:tc>
        <w:tc>
          <w:tcPr>
            <w:tcW w:w="0" w:type="auto"/>
            <w:tcBorders>
              <w:top w:val="single" w:sz="6" w:space="0" w:color="000000"/>
              <w:left w:val="single" w:sz="6" w:space="0" w:color="000000"/>
              <w:bottom w:val="single" w:sz="6" w:space="0" w:color="000000"/>
              <w:right w:val="single" w:sz="6" w:space="0" w:color="000000"/>
            </w:tcBorders>
          </w:tcPr>
          <w:p w:rsidR="00A63F72" w:rsidRPr="004D349D" w:rsidRDefault="00A63F72" w:rsidP="00A63F72">
            <w:pPr>
              <w:jc w:val="both"/>
              <w:rPr>
                <w:rFonts w:eastAsiaTheme="minorHAnsi"/>
                <w:b/>
                <w:sz w:val="20"/>
                <w:lang w:eastAsia="en-US"/>
              </w:rPr>
            </w:pPr>
            <w:r w:rsidRPr="004D349D">
              <w:rPr>
                <w:rFonts w:eastAsiaTheme="minorHAnsi"/>
                <w:b/>
                <w:sz w:val="20"/>
                <w:lang w:eastAsia="en-US"/>
              </w:rPr>
              <w:t>TM</w:t>
            </w:r>
            <w:r w:rsidRPr="00A469A5">
              <w:rPr>
                <w:sz w:val="20"/>
                <w:szCs w:val="28"/>
              </w:rPr>
              <w:t xml:space="preserve"> (07.06.2019. atzinums)</w:t>
            </w:r>
          </w:p>
          <w:p w:rsidR="00A63F72" w:rsidRPr="004D349D" w:rsidRDefault="00A63F72" w:rsidP="00A63F72">
            <w:pPr>
              <w:jc w:val="both"/>
              <w:rPr>
                <w:rFonts w:eastAsiaTheme="minorHAnsi"/>
                <w:sz w:val="20"/>
                <w:lang w:eastAsia="en-US"/>
              </w:rPr>
            </w:pPr>
            <w:r w:rsidRPr="004D349D">
              <w:rPr>
                <w:rFonts w:eastAsiaTheme="minorHAnsi"/>
                <w:sz w:val="20"/>
                <w:lang w:eastAsia="en-US"/>
              </w:rPr>
              <w:t>Projekta 2. pantā ietvertajā likuma "Par nodokļiem un nodevām" 15. panta desmitās daļas pirmajā teikumā ir paredzēts izteikti vispārīgs regulējums par to, ka, iestājoties Ministru kabineta noteikumos noteiktajiem nosacījumiem, nodokļu maksātājam ir pienākums iesniegt Valsts ieņēmumu dienestam informāciju par ziņojamām pārrobežu shēmām. Savukārt projekta 2. pantā ietvertajā likuma "Par nodokļiem un nodevām" 15. panta desmitās daļas otrajā teikumā ir ietverts pilnvarojums Ministru kabinetam noteikt nosacījumus, kuriem iestājoties, ir sniedzams ziņojums.</w:t>
            </w:r>
          </w:p>
          <w:p w:rsidR="00A63F72" w:rsidRPr="004D349D" w:rsidRDefault="00A63F72" w:rsidP="00A63F72">
            <w:pPr>
              <w:jc w:val="both"/>
              <w:rPr>
                <w:rFonts w:eastAsiaTheme="minorHAnsi"/>
                <w:sz w:val="20"/>
                <w:lang w:eastAsia="en-US"/>
              </w:rPr>
            </w:pPr>
            <w:r w:rsidRPr="004D349D">
              <w:rPr>
                <w:rFonts w:eastAsiaTheme="minorHAnsi"/>
                <w:sz w:val="20"/>
                <w:lang w:eastAsia="en-US"/>
              </w:rPr>
              <w:t xml:space="preserve">Atsevišķos gadījumos Ministru kabineta noteikumu saturu var veidot arī materiālās normas, taču tām jābūt pieņemtām, pamatojoties uz nepārprotamu likumdevēja pilnvarojumu. Ar likumdevēja doto pilnvarojumu jāsaprot ne tikai viena konkrēta, lakoniska tiesību norma, bet paša likuma būtība un mērķi. Tādēļ likumdevēja dotā pilnvarojuma </w:t>
            </w:r>
            <w:r w:rsidRPr="004D349D">
              <w:rPr>
                <w:rFonts w:eastAsiaTheme="minorHAnsi"/>
                <w:sz w:val="20"/>
                <w:lang w:eastAsia="en-US"/>
              </w:rPr>
              <w:lastRenderedPageBreak/>
              <w:t>saturs ir noskaidrojams, sistēmiski vērtējot visu normatīvo aktu, bet, ja nepieciešams, arī attiecīgās jomas vai dažkārt pat citu, ar to saistīto jomu regulējumu kopumā (</w:t>
            </w:r>
            <w:r w:rsidRPr="004D349D">
              <w:rPr>
                <w:rFonts w:eastAsiaTheme="minorHAnsi"/>
                <w:i/>
                <w:iCs/>
                <w:sz w:val="20"/>
                <w:lang w:eastAsia="en-US"/>
              </w:rPr>
              <w:t>skat., piemēram, Satversmes tiesas 2018. gada 18. oktobra sprieduma lietā Nr. 2017-33-03 14. punktu</w:t>
            </w:r>
            <w:r w:rsidRPr="004D349D">
              <w:rPr>
                <w:rFonts w:eastAsiaTheme="minorHAnsi"/>
                <w:sz w:val="20"/>
                <w:lang w:eastAsia="en-US"/>
              </w:rPr>
              <w:t>).</w:t>
            </w:r>
          </w:p>
          <w:p w:rsidR="00A63F72" w:rsidRPr="004D349D" w:rsidRDefault="00A63F72" w:rsidP="00A63F72">
            <w:pPr>
              <w:jc w:val="both"/>
              <w:rPr>
                <w:rFonts w:eastAsiaTheme="minorHAnsi"/>
                <w:sz w:val="20"/>
                <w:lang w:eastAsia="en-US"/>
              </w:rPr>
            </w:pPr>
            <w:r w:rsidRPr="004D349D">
              <w:rPr>
                <w:rFonts w:eastAsiaTheme="minorHAnsi"/>
                <w:sz w:val="20"/>
                <w:lang w:eastAsia="en-US"/>
              </w:rPr>
              <w:t>Šajā gadījumā ir redzams, ka likumdevējs ir ietvēris pilnvarojumu noteikt nosacījumus, kuriem iestājoties, nodokļu maksātājam ir pienākums iesniegt Valsts ieņēmumu dienestam informāciju par ziņojamām pārrobežu shēmām. Tomēr, nosakot šos nosacījumus, jāievēro likuma būtība un mērķis. Tas nozīmē, ka Ministru kabineta rīcība nosacījumu izvēlē nevar būt patvaļīga, bez racionāla pamatojuma (turklāt par racionāla pamatojuma esību būtu jāspēj pārliecināties ikvienam tiesību normu lietotājam). Turklāt arī anotācijā nav informācijas par iepriekš minētajiem nosacījumiem.</w:t>
            </w:r>
          </w:p>
          <w:p w:rsidR="00A63F72" w:rsidRPr="004D349D" w:rsidRDefault="00A63F72" w:rsidP="00A63F72">
            <w:pPr>
              <w:jc w:val="both"/>
              <w:rPr>
                <w:rFonts w:eastAsiaTheme="minorHAnsi"/>
                <w:sz w:val="20"/>
                <w:lang w:eastAsia="en-US"/>
              </w:rPr>
            </w:pPr>
            <w:r w:rsidRPr="004D349D">
              <w:rPr>
                <w:rFonts w:eastAsiaTheme="minorHAnsi"/>
                <w:sz w:val="20"/>
                <w:lang w:eastAsia="en-US"/>
              </w:rPr>
              <w:t>Papildus vēr</w:t>
            </w:r>
            <w:r w:rsidRPr="004D349D">
              <w:rPr>
                <w:rFonts w:eastAsiaTheme="minorHAnsi"/>
                <w:bCs/>
                <w:sz w:val="20"/>
                <w:lang w:eastAsia="en-US"/>
              </w:rPr>
              <w:t xml:space="preserve">šam uzmanību uz to, ka </w:t>
            </w:r>
            <w:r w:rsidRPr="004D349D">
              <w:rPr>
                <w:rFonts w:eastAsiaTheme="minorHAnsi"/>
                <w:sz w:val="20"/>
                <w:lang w:eastAsia="en-US"/>
              </w:rPr>
              <w:t>Ministru kabineta 2009. gada 3. februāra noteikumu Nr. 108 "Normatīvo aktu projektu sagatavošanas noteikumi" 62. punkts noteic, ka likumprojektā neietver atsauces uz zemāka juridiskā spēka normatīvo aktu.</w:t>
            </w:r>
          </w:p>
          <w:p w:rsidR="0055473A" w:rsidRPr="009A76E1" w:rsidRDefault="00A63F72" w:rsidP="00A63F72">
            <w:pPr>
              <w:pStyle w:val="naisc"/>
              <w:spacing w:before="0" w:after="0"/>
              <w:ind w:firstLine="720"/>
              <w:jc w:val="both"/>
              <w:rPr>
                <w:sz w:val="20"/>
                <w:szCs w:val="20"/>
              </w:rPr>
            </w:pPr>
            <w:r w:rsidRPr="004D349D">
              <w:rPr>
                <w:rFonts w:eastAsiaTheme="minorHAnsi"/>
                <w:sz w:val="20"/>
                <w:lang w:eastAsia="en-US"/>
              </w:rPr>
              <w:lastRenderedPageBreak/>
              <w:t>Ievērojot minēto, lūdzam precizēt projekta 2. pantā paredzēto grozījumu un anotācij</w:t>
            </w:r>
            <w:r w:rsidRPr="004D349D">
              <w:rPr>
                <w:rFonts w:eastAsiaTheme="minorHAnsi"/>
                <w:bCs/>
                <w:sz w:val="20"/>
                <w:lang w:eastAsia="en-US"/>
              </w:rPr>
              <w:t>ā ietverto informāciju.</w:t>
            </w:r>
          </w:p>
        </w:tc>
        <w:tc>
          <w:tcPr>
            <w:tcW w:w="0" w:type="auto"/>
            <w:tcBorders>
              <w:top w:val="single" w:sz="6" w:space="0" w:color="000000"/>
              <w:left w:val="single" w:sz="6" w:space="0" w:color="000000"/>
              <w:bottom w:val="single" w:sz="6" w:space="0" w:color="000000"/>
              <w:right w:val="single" w:sz="6" w:space="0" w:color="000000"/>
            </w:tcBorders>
          </w:tcPr>
          <w:p w:rsidR="0023394D" w:rsidRDefault="0023394D" w:rsidP="0055473A">
            <w:pPr>
              <w:pStyle w:val="NoSpacing"/>
              <w:jc w:val="both"/>
              <w:rPr>
                <w:rFonts w:ascii="Times New Roman" w:hAnsi="Times New Roman"/>
                <w:sz w:val="20"/>
                <w:szCs w:val="20"/>
              </w:rPr>
            </w:pPr>
            <w:r>
              <w:rPr>
                <w:rFonts w:ascii="Times New Roman" w:hAnsi="Times New Roman"/>
                <w:sz w:val="20"/>
                <w:szCs w:val="20"/>
              </w:rPr>
              <w:lastRenderedPageBreak/>
              <w:t xml:space="preserve">Nav ņemts vērā </w:t>
            </w:r>
          </w:p>
          <w:p w:rsidR="002834D8" w:rsidRDefault="002834D8" w:rsidP="0055473A">
            <w:pPr>
              <w:pStyle w:val="NoSpacing"/>
              <w:jc w:val="both"/>
              <w:rPr>
                <w:rFonts w:ascii="Times New Roman" w:hAnsi="Times New Roman"/>
                <w:sz w:val="20"/>
                <w:szCs w:val="20"/>
              </w:rPr>
            </w:pPr>
            <w:r w:rsidRPr="0023394D">
              <w:rPr>
                <w:rFonts w:ascii="Times New Roman" w:hAnsi="Times New Roman"/>
                <w:sz w:val="20"/>
                <w:szCs w:val="20"/>
              </w:rPr>
              <w:t>Nor</w:t>
            </w:r>
            <w:r>
              <w:rPr>
                <w:rFonts w:ascii="Times New Roman" w:hAnsi="Times New Roman"/>
                <w:sz w:val="20"/>
                <w:szCs w:val="20"/>
              </w:rPr>
              <w:t>mā vairs nav paredzēta tieša atsauce uz zemāka juridiska spēka normatīvo aktu.</w:t>
            </w:r>
          </w:p>
          <w:p w:rsidR="002834D8" w:rsidRDefault="002834D8" w:rsidP="0055473A">
            <w:pPr>
              <w:pStyle w:val="NoSpacing"/>
              <w:jc w:val="both"/>
              <w:rPr>
                <w:rFonts w:ascii="Times New Roman" w:hAnsi="Times New Roman"/>
                <w:sz w:val="20"/>
                <w:szCs w:val="20"/>
              </w:rPr>
            </w:pPr>
            <w:r>
              <w:rPr>
                <w:rFonts w:ascii="Times New Roman" w:hAnsi="Times New Roman"/>
                <w:sz w:val="20"/>
                <w:szCs w:val="20"/>
              </w:rPr>
              <w:t>Lai padarītu normu, tajā skaitā, deleģējumu Ministru kabinetam</w:t>
            </w:r>
            <w:r w:rsidR="00BD0D03">
              <w:rPr>
                <w:rFonts w:ascii="Times New Roman" w:hAnsi="Times New Roman"/>
                <w:sz w:val="20"/>
                <w:szCs w:val="20"/>
              </w:rPr>
              <w:t>,</w:t>
            </w:r>
            <w:r>
              <w:rPr>
                <w:rFonts w:ascii="Times New Roman" w:hAnsi="Times New Roman"/>
                <w:sz w:val="20"/>
                <w:szCs w:val="20"/>
              </w:rPr>
              <w:t xml:space="preserve"> skaidrāku, normas pirmais teikums papildināts ar vārdiem </w:t>
            </w:r>
            <w:r w:rsidR="00BD0D03">
              <w:rPr>
                <w:rFonts w:ascii="Times New Roman" w:hAnsi="Times New Roman"/>
                <w:sz w:val="20"/>
                <w:szCs w:val="20"/>
              </w:rPr>
              <w:t>“</w:t>
            </w:r>
            <w:r w:rsidR="00BD0D03" w:rsidRPr="00BD0D03">
              <w:rPr>
                <w:rFonts w:ascii="Times New Roman" w:hAnsi="Times New Roman"/>
                <w:sz w:val="20"/>
                <w:szCs w:val="20"/>
              </w:rPr>
              <w:t>kuras saistītas ar iespējami agresīvu nodokļu plānošanu</w:t>
            </w:r>
            <w:r w:rsidR="00BD0D03">
              <w:rPr>
                <w:rFonts w:ascii="Times New Roman" w:hAnsi="Times New Roman"/>
                <w:sz w:val="20"/>
                <w:szCs w:val="20"/>
              </w:rPr>
              <w:t xml:space="preserve">”. Tādējādi uzskatām, ka šobrīd deleģējuma saturs nepārprotami norāda uz to, ka Ministru kabinetam būs jāizdod noteikumi, lai pārņemtu </w:t>
            </w:r>
            <w:r w:rsidR="00BC4F49" w:rsidRPr="00DB3070">
              <w:rPr>
                <w:rFonts w:ascii="Times New Roman" w:hAnsi="Times New Roman"/>
                <w:sz w:val="20"/>
                <w:szCs w:val="20"/>
              </w:rPr>
              <w:t>2018. gada 25. maija Direktīvas (ES) 2018/822, ar ko attiecībā uz obligāto automātisko informācijas apmaiņu nodokļu jomā saistībā ar ziņojamām pārrobežu shēmām groza Direktīvu 2011/16/ES</w:t>
            </w:r>
            <w:r w:rsidR="00BC4F49">
              <w:rPr>
                <w:rFonts w:ascii="Times New Roman" w:hAnsi="Times New Roman"/>
                <w:sz w:val="20"/>
                <w:szCs w:val="20"/>
              </w:rPr>
              <w:t xml:space="preserve"> (turpmāk DAC6) prasības.</w:t>
            </w:r>
          </w:p>
          <w:p w:rsidR="00BC4F49" w:rsidRDefault="00BC4F49" w:rsidP="0055473A">
            <w:pPr>
              <w:pStyle w:val="NoSpacing"/>
              <w:jc w:val="both"/>
              <w:rPr>
                <w:rFonts w:ascii="Times New Roman" w:hAnsi="Times New Roman"/>
                <w:sz w:val="20"/>
                <w:szCs w:val="20"/>
              </w:rPr>
            </w:pPr>
            <w:r>
              <w:rPr>
                <w:rFonts w:ascii="Times New Roman" w:hAnsi="Times New Roman"/>
                <w:sz w:val="20"/>
                <w:szCs w:val="20"/>
              </w:rPr>
              <w:t>Turklāt, lai skaidroju deleģējuma apjomu, papildināts anotācijas I sadaļas 2. punkts ar šādu tekstu:</w:t>
            </w:r>
          </w:p>
          <w:p w:rsidR="00BC4F49" w:rsidRPr="00723853" w:rsidRDefault="00BC4F49" w:rsidP="00BC4F49">
            <w:pPr>
              <w:jc w:val="both"/>
              <w:rPr>
                <w:rFonts w:eastAsiaTheme="minorHAnsi"/>
                <w:sz w:val="20"/>
                <w:szCs w:val="20"/>
                <w:lang w:eastAsia="en-US"/>
              </w:rPr>
            </w:pPr>
            <w:r w:rsidRPr="00723853">
              <w:rPr>
                <w:rFonts w:eastAsiaTheme="minorHAnsi"/>
                <w:sz w:val="20"/>
                <w:szCs w:val="20"/>
                <w:lang w:eastAsia="en-US"/>
              </w:rPr>
              <w:t>“DAC6 ir ietverti kritēriji (iezīmes), kuriem iestājoties, nodokļu maksātājam radīsies pienākums ziņot par pārrobežu shēmu VID. Daži teorētiski piemēri pārrobežu shēmai, par kuru jāsniedz ziņojums:</w:t>
            </w:r>
          </w:p>
          <w:p w:rsidR="00BC4F49" w:rsidRPr="00723853" w:rsidRDefault="00BC4F49" w:rsidP="00BC4F49">
            <w:pPr>
              <w:jc w:val="both"/>
              <w:rPr>
                <w:rFonts w:eastAsiaTheme="minorHAnsi"/>
                <w:sz w:val="20"/>
                <w:szCs w:val="20"/>
                <w:lang w:eastAsia="en-US"/>
              </w:rPr>
            </w:pPr>
            <w:r w:rsidRPr="00723853">
              <w:rPr>
                <w:rFonts w:eastAsiaTheme="minorHAnsi"/>
                <w:sz w:val="20"/>
                <w:szCs w:val="20"/>
                <w:lang w:eastAsia="en-US"/>
              </w:rPr>
              <w:lastRenderedPageBreak/>
              <w:t>- shēma, kuras ietvaros komercsabiedrība iegādājas zaudējumus nesošu komercsabiedrību – citas valsts rezidentu, kā rezultātā, izmantojot otras komercsabiedrības zaudējumus savu ar nodokli apliekamo ienākumu samazināšanai;</w:t>
            </w:r>
          </w:p>
          <w:p w:rsidR="00BC4F49" w:rsidRPr="00723853" w:rsidRDefault="00BC4F49" w:rsidP="00BC4F49">
            <w:pPr>
              <w:jc w:val="both"/>
              <w:rPr>
                <w:rFonts w:eastAsiaTheme="minorHAnsi"/>
                <w:sz w:val="20"/>
                <w:szCs w:val="20"/>
                <w:lang w:eastAsia="en-US"/>
              </w:rPr>
            </w:pPr>
            <w:r w:rsidRPr="00723853">
              <w:rPr>
                <w:rFonts w:eastAsiaTheme="minorHAnsi"/>
                <w:sz w:val="20"/>
                <w:szCs w:val="20"/>
                <w:lang w:eastAsia="en-US"/>
              </w:rPr>
              <w:t>- shēma, kuras ietvaros ienākums tiek pārkvalificēts par kapitālu, tādējādi gūstot nodokļu priekšrocības;</w:t>
            </w:r>
          </w:p>
          <w:p w:rsidR="00BC4F49" w:rsidRPr="00723853" w:rsidRDefault="00BC4F49" w:rsidP="00BC4F49">
            <w:pPr>
              <w:jc w:val="both"/>
              <w:rPr>
                <w:rFonts w:eastAsiaTheme="minorHAnsi"/>
                <w:sz w:val="20"/>
                <w:szCs w:val="20"/>
                <w:lang w:eastAsia="en-US"/>
              </w:rPr>
            </w:pPr>
            <w:r w:rsidRPr="00723853">
              <w:rPr>
                <w:rFonts w:eastAsiaTheme="minorHAnsi"/>
                <w:sz w:val="20"/>
                <w:szCs w:val="20"/>
                <w:lang w:eastAsia="en-US"/>
              </w:rPr>
              <w:t>- shēma, kuras ietvaros nodokļu maksātājs veic darījumu ar citu nodokļu maksātāju, kurš ir rezidents valstī, kurā nav vai praktiski nav uzņēmumu ienākuma nodoklis;</w:t>
            </w:r>
          </w:p>
          <w:p w:rsidR="00BC4F49" w:rsidRPr="00BC4F49" w:rsidRDefault="00BC4F49" w:rsidP="00BC4F49">
            <w:pPr>
              <w:jc w:val="both"/>
              <w:rPr>
                <w:rFonts w:eastAsiaTheme="minorHAnsi"/>
                <w:sz w:val="20"/>
                <w:szCs w:val="20"/>
                <w:lang w:eastAsia="en-US"/>
              </w:rPr>
            </w:pPr>
            <w:r w:rsidRPr="00723853">
              <w:rPr>
                <w:rFonts w:eastAsiaTheme="minorHAnsi"/>
                <w:sz w:val="20"/>
                <w:szCs w:val="20"/>
                <w:lang w:eastAsia="en-US"/>
              </w:rPr>
              <w:t xml:space="preserve">- shēma, kuras ietvaros vieni un tie paši izdevumi vai nolietojums tiek attiecināts vairāk kā uz vienu </w:t>
            </w:r>
            <w:r w:rsidRPr="00BC4F49">
              <w:rPr>
                <w:rFonts w:eastAsiaTheme="minorHAnsi"/>
                <w:sz w:val="20"/>
                <w:szCs w:val="20"/>
                <w:lang w:eastAsia="en-US"/>
              </w:rPr>
              <w:t>jurisdikciju.</w:t>
            </w:r>
          </w:p>
          <w:p w:rsidR="00BC4F49" w:rsidRPr="00BC4F49" w:rsidRDefault="00BC4F49" w:rsidP="00BC4F49">
            <w:pPr>
              <w:pStyle w:val="NoSpacing"/>
              <w:jc w:val="both"/>
              <w:rPr>
                <w:rFonts w:ascii="Times New Roman" w:hAnsi="Times New Roman"/>
                <w:sz w:val="20"/>
                <w:szCs w:val="20"/>
              </w:rPr>
            </w:pPr>
            <w:r w:rsidRPr="0023394D">
              <w:rPr>
                <w:rFonts w:ascii="Times New Roman" w:eastAsiaTheme="minorHAnsi" w:hAnsi="Times New Roman"/>
                <w:sz w:val="20"/>
                <w:szCs w:val="20"/>
              </w:rPr>
              <w:t>Pienākums ziņot par pārrobežu shēmām tipiski attieksies uz nodokļu maksātājiem, kuri sniedz nodokļu konsultācijas, finanšu pakalpojumus, juridiskos pakalpojumus, grāmatvedības pakalpojumus u.tml.”</w:t>
            </w:r>
          </w:p>
          <w:p w:rsidR="00BD0D03" w:rsidRPr="009A76E1" w:rsidRDefault="00BC4F49" w:rsidP="0023394D">
            <w:pPr>
              <w:pStyle w:val="NoSpacing"/>
              <w:jc w:val="both"/>
              <w:rPr>
                <w:sz w:val="20"/>
                <w:szCs w:val="20"/>
              </w:rPr>
            </w:pPr>
            <w:r>
              <w:rPr>
                <w:rFonts w:ascii="Times New Roman" w:hAnsi="Times New Roman"/>
                <w:sz w:val="20"/>
                <w:szCs w:val="20"/>
              </w:rPr>
              <w:t>Vienlaikus, ņemot vērā DAC6</w:t>
            </w:r>
            <w:r w:rsidR="00D32A01">
              <w:rPr>
                <w:rFonts w:ascii="Times New Roman" w:hAnsi="Times New Roman"/>
                <w:sz w:val="20"/>
                <w:szCs w:val="20"/>
              </w:rPr>
              <w:t xml:space="preserve"> uzbūvi</w:t>
            </w:r>
            <w:r w:rsidR="0055473A">
              <w:rPr>
                <w:rFonts w:ascii="Times New Roman" w:hAnsi="Times New Roman"/>
                <w:sz w:val="20"/>
                <w:szCs w:val="20"/>
              </w:rPr>
              <w:t xml:space="preserve">, normas teikums, kas satur deleģējumu Ministru kabinetam izdot noteikumus, tiek veidots, tajā ietverot vispārīgu ietvaru, taču detalizēts regulējums, tajā skaitā, atklājot deleģējuma normā ietverto terminu saturu, tiks paredzēts Ministru kabineta noteikumos, </w:t>
            </w:r>
            <w:r w:rsidR="0055473A">
              <w:rPr>
                <w:rFonts w:ascii="Times New Roman" w:hAnsi="Times New Roman"/>
                <w:sz w:val="20"/>
                <w:szCs w:val="20"/>
              </w:rPr>
              <w:lastRenderedPageBreak/>
              <w:t>kuri tiks izdoti pamatojoties uz likumprojektā ietverto normu.</w:t>
            </w:r>
          </w:p>
        </w:tc>
        <w:tc>
          <w:tcPr>
            <w:tcW w:w="0" w:type="auto"/>
            <w:tcBorders>
              <w:top w:val="single" w:sz="4" w:space="0" w:color="auto"/>
              <w:left w:val="single" w:sz="4" w:space="0" w:color="auto"/>
              <w:bottom w:val="single" w:sz="4" w:space="0" w:color="auto"/>
              <w:right w:val="single" w:sz="4" w:space="0" w:color="auto"/>
            </w:tcBorders>
          </w:tcPr>
          <w:p w:rsidR="00A63F72" w:rsidRDefault="00A63F72" w:rsidP="00A63F72">
            <w:pPr>
              <w:jc w:val="both"/>
              <w:rPr>
                <w:rFonts w:eastAsiaTheme="minorHAnsi"/>
                <w:sz w:val="20"/>
                <w:lang w:eastAsia="en-US"/>
              </w:rPr>
            </w:pPr>
            <w:r>
              <w:rPr>
                <w:rFonts w:eastAsiaTheme="minorHAnsi"/>
                <w:b/>
                <w:sz w:val="20"/>
                <w:lang w:eastAsia="en-US"/>
              </w:rPr>
              <w:lastRenderedPageBreak/>
              <w:t xml:space="preserve">TM </w:t>
            </w:r>
            <w:r>
              <w:rPr>
                <w:rFonts w:eastAsiaTheme="minorHAnsi"/>
                <w:sz w:val="20"/>
                <w:lang w:eastAsia="en-US"/>
              </w:rPr>
              <w:t>(09.08.2019. atzinums)</w:t>
            </w:r>
          </w:p>
          <w:p w:rsidR="002834D8" w:rsidRPr="002834D8" w:rsidRDefault="002834D8" w:rsidP="002834D8">
            <w:pPr>
              <w:jc w:val="both"/>
              <w:rPr>
                <w:rFonts w:eastAsiaTheme="minorHAnsi"/>
                <w:sz w:val="20"/>
                <w:lang w:eastAsia="en-US"/>
              </w:rPr>
            </w:pPr>
            <w:r w:rsidRPr="002834D8">
              <w:rPr>
                <w:rFonts w:eastAsiaTheme="minorHAnsi"/>
                <w:sz w:val="20"/>
                <w:lang w:eastAsia="en-US"/>
              </w:rPr>
              <w:t xml:space="preserve">2. Projekta 2. pantā ietvertajā likuma "Par nodokļiem un nodevām" 15. panta desmitās daļas pirmajā teikumā ir paredzēts </w:t>
            </w:r>
            <w:r w:rsidRPr="002834D8">
              <w:rPr>
                <w:rFonts w:eastAsiaTheme="minorHAnsi"/>
                <w:sz w:val="20"/>
                <w:u w:val="single"/>
                <w:lang w:eastAsia="en-US"/>
              </w:rPr>
              <w:t>izteikti vispārīgs regulējums par to, ka, iestājoties Ministru kabineta noteikumos noteiktajiem nosacījumiem, nodokļu maksātājam ir pienākums iesniegt Valsts ieņēmumu dienestam informāciju par ziņojamām pārrobežu shēmām</w:t>
            </w:r>
            <w:r w:rsidRPr="002834D8">
              <w:rPr>
                <w:rFonts w:eastAsiaTheme="minorHAnsi"/>
                <w:sz w:val="20"/>
                <w:lang w:eastAsia="en-US"/>
              </w:rPr>
              <w:t>. Savukārt projekta 2. pantā ietvertajā likuma "Par nodokļiem un nodevām" 15. panta desmitās daļas otrajā teikumā ir ietverts pilnvarojums Ministru kabinetam noteikt nosacījumus, kuriem iestājoties, ir sniedzams ziņojums.</w:t>
            </w:r>
          </w:p>
          <w:p w:rsidR="002834D8" w:rsidRPr="002834D8" w:rsidRDefault="002834D8" w:rsidP="002834D8">
            <w:pPr>
              <w:jc w:val="both"/>
              <w:rPr>
                <w:rFonts w:eastAsiaTheme="minorHAnsi"/>
                <w:sz w:val="20"/>
                <w:lang w:eastAsia="en-US"/>
              </w:rPr>
            </w:pPr>
            <w:r w:rsidRPr="002834D8">
              <w:rPr>
                <w:rFonts w:eastAsiaTheme="minorHAnsi"/>
                <w:sz w:val="20"/>
                <w:u w:val="single"/>
                <w:lang w:eastAsia="en-US"/>
              </w:rPr>
              <w:t xml:space="preserve">Atsevišķos gadījumos Ministru kabineta noteikumu saturu var veidot arī materiālās normas, taču tām jābūt pieņemtām, pamatojoties uz nepārprotamu likumdevēja pilnvarojumu. Ar likumdevēja doto pilnvarojumu jāsaprot ne tikai viena konkrēta, lakoniska tiesību norma, bet paša likuma būtība un mērķi. Tādēļ likumdevēja dotā pilnvarojuma </w:t>
            </w:r>
            <w:r w:rsidRPr="002834D8">
              <w:rPr>
                <w:rFonts w:eastAsiaTheme="minorHAnsi"/>
                <w:sz w:val="20"/>
                <w:u w:val="single"/>
                <w:lang w:eastAsia="en-US"/>
              </w:rPr>
              <w:lastRenderedPageBreak/>
              <w:t>saturs ir noskaidrojams, sistēmiski vērtējot visu normatīvo aktu, bet, ja nepieciešams, arī attiecīgās jomas vai dažkārt pat citu, ar to saistīto jomu regulējumu kopumā</w:t>
            </w:r>
            <w:r w:rsidRPr="002834D8">
              <w:rPr>
                <w:rFonts w:eastAsiaTheme="minorHAnsi"/>
                <w:sz w:val="20"/>
                <w:lang w:eastAsia="en-US"/>
              </w:rPr>
              <w:t xml:space="preserve"> (</w:t>
            </w:r>
            <w:r w:rsidRPr="002834D8">
              <w:rPr>
                <w:rFonts w:eastAsiaTheme="minorHAnsi"/>
                <w:i/>
                <w:iCs/>
                <w:sz w:val="20"/>
                <w:lang w:eastAsia="en-US"/>
              </w:rPr>
              <w:t>skat., piemēram, Satversmes tiesas 2018. gada 18. oktobra sprieduma lietā Nr. 2017-33-03 14. punktu</w:t>
            </w:r>
            <w:r w:rsidRPr="002834D8">
              <w:rPr>
                <w:rFonts w:eastAsiaTheme="minorHAnsi"/>
                <w:sz w:val="20"/>
                <w:lang w:eastAsia="en-US"/>
              </w:rPr>
              <w:t>).</w:t>
            </w:r>
          </w:p>
          <w:p w:rsidR="002834D8" w:rsidRPr="002834D8" w:rsidRDefault="002834D8" w:rsidP="002834D8">
            <w:pPr>
              <w:jc w:val="both"/>
              <w:rPr>
                <w:rFonts w:eastAsiaTheme="minorHAnsi"/>
                <w:sz w:val="20"/>
                <w:lang w:eastAsia="en-US"/>
              </w:rPr>
            </w:pPr>
            <w:r w:rsidRPr="002834D8">
              <w:rPr>
                <w:rFonts w:eastAsiaTheme="minorHAnsi"/>
                <w:sz w:val="20"/>
                <w:lang w:eastAsia="en-US"/>
              </w:rPr>
              <w:t>Šajā gadījumā ir redzams, ka likumdevējs ir ietvēris pilnvarojumu noteikt nosacījumus, kuriem iestājoties, nodokļu maksātājam ir pienākums iesniegt Valsts ieņēmumu dienestam informāciju par ziņojamām pārrobežu shēmām. Tomēr, nosakot šos nosacījumus, jāievēro likuma būtība un mērķis. Tas nozīmē, ka Ministru kabineta rīcība nosacījumu izvēlē nevar būt patvaļīga, bez racionāla pamatojuma (turklāt par racionāla pamatojuma esību būtu jāspēj pārliecināties ikvienam tiesību normu lietotājam).</w:t>
            </w:r>
          </w:p>
          <w:p w:rsidR="002834D8" w:rsidRPr="002834D8" w:rsidRDefault="002834D8" w:rsidP="002834D8">
            <w:pPr>
              <w:jc w:val="both"/>
              <w:rPr>
                <w:rFonts w:eastAsiaTheme="minorHAnsi"/>
                <w:sz w:val="20"/>
                <w:lang w:eastAsia="en-US"/>
              </w:rPr>
            </w:pPr>
            <w:r w:rsidRPr="002834D8">
              <w:rPr>
                <w:rFonts w:eastAsiaTheme="minorHAnsi"/>
                <w:sz w:val="20"/>
                <w:lang w:eastAsia="en-US"/>
              </w:rPr>
              <w:t>Papildus atkārtoti vēršam uzmanību uz to, ka Ministru kabineta 2009. gada 3. februāra noteikumu Nr. 108 "Normatīvo aktu projektu sagatavošanas noteikumi" 62. punkts noteic, ka likumprojektā neietver atsauces uz zemāka juridiskā spēka normatīvo aktu.</w:t>
            </w:r>
          </w:p>
          <w:p w:rsidR="0055473A" w:rsidRPr="009A76E1" w:rsidRDefault="002834D8" w:rsidP="002834D8">
            <w:pPr>
              <w:jc w:val="both"/>
              <w:rPr>
                <w:sz w:val="20"/>
                <w:szCs w:val="20"/>
              </w:rPr>
            </w:pPr>
            <w:r w:rsidRPr="002834D8">
              <w:rPr>
                <w:rFonts w:eastAsiaTheme="minorHAnsi"/>
                <w:sz w:val="20"/>
                <w:lang w:eastAsia="en-US"/>
              </w:rPr>
              <w:t xml:space="preserve">Ievērojot minēto, atkārtoti lūdzam precizēt projekta 2. pantā </w:t>
            </w:r>
            <w:r w:rsidRPr="002834D8">
              <w:rPr>
                <w:rFonts w:eastAsiaTheme="minorHAnsi"/>
                <w:sz w:val="20"/>
                <w:lang w:eastAsia="en-US"/>
              </w:rPr>
              <w:lastRenderedPageBreak/>
              <w:t>paredzēto grozījumu un anotācijā ietverto informāciju.</w:t>
            </w:r>
          </w:p>
        </w:tc>
        <w:tc>
          <w:tcPr>
            <w:tcW w:w="0" w:type="auto"/>
            <w:tcBorders>
              <w:top w:val="single" w:sz="4" w:space="0" w:color="auto"/>
              <w:left w:val="single" w:sz="4" w:space="0" w:color="auto"/>
              <w:bottom w:val="single" w:sz="4" w:space="0" w:color="auto"/>
            </w:tcBorders>
          </w:tcPr>
          <w:p w:rsidR="0055473A" w:rsidRPr="0023394D" w:rsidRDefault="0055473A" w:rsidP="0023394D">
            <w:pPr>
              <w:jc w:val="both"/>
              <w:rPr>
                <w:color w:val="000000"/>
                <w:sz w:val="20"/>
                <w:szCs w:val="28"/>
              </w:rPr>
            </w:pPr>
            <w:r w:rsidRPr="0023394D">
              <w:rPr>
                <w:color w:val="000000"/>
                <w:sz w:val="20"/>
                <w:szCs w:val="28"/>
              </w:rPr>
              <w:lastRenderedPageBreak/>
              <w:t>3. Papildināt 15. pantu ar desmito daļu šādā redakcijā:</w:t>
            </w:r>
          </w:p>
          <w:p w:rsidR="0055473A" w:rsidRPr="0055473A" w:rsidRDefault="0055473A" w:rsidP="0055473A">
            <w:pPr>
              <w:jc w:val="both"/>
              <w:rPr>
                <w:sz w:val="20"/>
                <w:szCs w:val="20"/>
              </w:rPr>
            </w:pPr>
            <w:r w:rsidRPr="0023394D">
              <w:rPr>
                <w:color w:val="000000"/>
                <w:sz w:val="20"/>
                <w:szCs w:val="28"/>
              </w:rPr>
              <w:t xml:space="preserve">“(10) Iestājoties nodokļu normatīvajos aktos minētajiem nosacījumiem, nodokļu maksātājam ir pienākums iesniegt Valsts ieņēmumu dienestam informāciju par ziņojamām pārrobežu shēmām, kuras saistītas ar iespējami agresīvu nodokļu plānošanu. Nosacījumus, kuriem iestājoties ir sniedzams ziņojums, ziņojuma struktūru un saturu, ziņojumā lietoto terminu skaidrojumu, kā arī tā sagatavošanas un iesniegšanas kārtību un kārtību, kādā veic automātisko informācijas par ziņojamām pārrobežu shēmām apmaiņu starp Latvijas Republikas un citu Eiropas Savienības dalībvalstu kompetentajām iestādēm vai jebkuru citas valsts vai teritorijas kompetento iestādi, ar kuru Latvijas Republikas kompetentā iestāde, pamatojoties uz Latvijas Republikas noslēgto starptautisko līgumu, noslēgusi attiecīgu kompetento iestāžu </w:t>
            </w:r>
            <w:r w:rsidRPr="0023394D">
              <w:rPr>
                <w:color w:val="000000"/>
                <w:sz w:val="20"/>
                <w:szCs w:val="28"/>
              </w:rPr>
              <w:lastRenderedPageBreak/>
              <w:t>līgumu, nosaka Ministru kabinets.”</w:t>
            </w:r>
          </w:p>
        </w:tc>
      </w:tr>
    </w:tbl>
    <w:p w:rsidR="0055473A" w:rsidRPr="004F4F7E" w:rsidRDefault="0055473A" w:rsidP="007B4C0F">
      <w:pPr>
        <w:pStyle w:val="naisf"/>
        <w:spacing w:before="0" w:after="0"/>
        <w:ind w:firstLine="0"/>
      </w:pPr>
    </w:p>
    <w:p w:rsidR="00631E75" w:rsidRPr="004F4F7E" w:rsidRDefault="00631E75" w:rsidP="007B4C0F">
      <w:pPr>
        <w:pStyle w:val="naisf"/>
        <w:spacing w:before="0" w:after="0"/>
        <w:ind w:firstLine="0"/>
      </w:pPr>
    </w:p>
    <w:p w:rsidR="005D67F7" w:rsidRPr="004F4F7E" w:rsidRDefault="005D67F7" w:rsidP="005D67F7">
      <w:pPr>
        <w:pStyle w:val="naisf"/>
        <w:spacing w:before="0" w:after="0"/>
        <w:ind w:firstLine="0"/>
        <w:rPr>
          <w:b/>
        </w:rPr>
      </w:pPr>
      <w:r w:rsidRPr="004F4F7E">
        <w:rPr>
          <w:b/>
        </w:rPr>
        <w:t xml:space="preserve">Informācija par </w:t>
      </w:r>
      <w:proofErr w:type="spellStart"/>
      <w:r w:rsidRPr="004F4F7E">
        <w:rPr>
          <w:b/>
        </w:rPr>
        <w:t>starpministriju</w:t>
      </w:r>
      <w:proofErr w:type="spellEnd"/>
      <w:r w:rsidRPr="004F4F7E">
        <w:rPr>
          <w:b/>
        </w:rPr>
        <w:t xml:space="preserve"> (starpinstitūciju) sanāksmi vai elektronisko saskaņošanu</w:t>
      </w:r>
    </w:p>
    <w:p w:rsidR="005D67F7" w:rsidRPr="004F4F7E" w:rsidRDefault="005D67F7" w:rsidP="005D67F7">
      <w:pPr>
        <w:pStyle w:val="naisf"/>
        <w:spacing w:before="0" w:after="0"/>
        <w:ind w:firstLine="0"/>
        <w:rPr>
          <w:b/>
        </w:rPr>
      </w:pPr>
    </w:p>
    <w:tbl>
      <w:tblPr>
        <w:tblW w:w="12156" w:type="dxa"/>
        <w:tblInd w:w="426" w:type="dxa"/>
        <w:tblLook w:val="00A0" w:firstRow="1" w:lastRow="0" w:firstColumn="1" w:lastColumn="0" w:noHBand="0" w:noVBand="0"/>
      </w:tblPr>
      <w:tblGrid>
        <w:gridCol w:w="5919"/>
        <w:gridCol w:w="6237"/>
      </w:tblGrid>
      <w:tr w:rsidR="007B4C0F" w:rsidRPr="0043668B" w:rsidTr="00631E75">
        <w:tc>
          <w:tcPr>
            <w:tcW w:w="5919" w:type="dxa"/>
          </w:tcPr>
          <w:p w:rsidR="007B4C0F" w:rsidRPr="0043668B" w:rsidRDefault="005D67F7" w:rsidP="005D67F7">
            <w:pPr>
              <w:pStyle w:val="naisf"/>
              <w:spacing w:before="0" w:after="0"/>
              <w:ind w:firstLine="0"/>
            </w:pPr>
            <w:r w:rsidRPr="0043668B">
              <w:t>D</w:t>
            </w:r>
            <w:r w:rsidR="007B4C0F" w:rsidRPr="0043668B">
              <w:t>atums</w:t>
            </w:r>
          </w:p>
        </w:tc>
        <w:tc>
          <w:tcPr>
            <w:tcW w:w="6237" w:type="dxa"/>
            <w:tcBorders>
              <w:bottom w:val="single" w:sz="4" w:space="0" w:color="auto"/>
            </w:tcBorders>
          </w:tcPr>
          <w:p w:rsidR="007B4C0F" w:rsidRPr="0043668B" w:rsidRDefault="00B4637A" w:rsidP="00B22D01">
            <w:pPr>
              <w:pStyle w:val="NormalWeb"/>
              <w:spacing w:before="0" w:beforeAutospacing="0" w:after="0" w:afterAutospacing="0"/>
              <w:ind w:left="638" w:firstLine="82"/>
            </w:pPr>
            <w:r w:rsidRPr="0023394D">
              <w:t>201</w:t>
            </w:r>
            <w:r w:rsidR="002D487E" w:rsidRPr="0023394D">
              <w:t>9</w:t>
            </w:r>
            <w:r w:rsidRPr="0023394D">
              <w:t xml:space="preserve">.gada </w:t>
            </w:r>
            <w:r w:rsidR="00B22D01" w:rsidRPr="0023394D">
              <w:t>1</w:t>
            </w:r>
            <w:r w:rsidRPr="0023394D">
              <w:t>.</w:t>
            </w:r>
            <w:r w:rsidR="00B22D01" w:rsidRPr="0023394D">
              <w:t>augusts</w:t>
            </w:r>
            <w:r w:rsidRPr="009C2544">
              <w:t>;</w:t>
            </w:r>
            <w:r w:rsidRPr="0043668B">
              <w:t xml:space="preserve"> </w:t>
            </w:r>
          </w:p>
        </w:tc>
      </w:tr>
      <w:tr w:rsidR="003C27A2" w:rsidRPr="0043668B" w:rsidTr="00631E75">
        <w:tc>
          <w:tcPr>
            <w:tcW w:w="5919" w:type="dxa"/>
          </w:tcPr>
          <w:p w:rsidR="003C27A2" w:rsidRPr="0043668B" w:rsidRDefault="003C27A2" w:rsidP="007B4C0F">
            <w:pPr>
              <w:pStyle w:val="naisf"/>
              <w:spacing w:before="0" w:after="0"/>
              <w:ind w:firstLine="0"/>
            </w:pPr>
          </w:p>
        </w:tc>
        <w:tc>
          <w:tcPr>
            <w:tcW w:w="6237" w:type="dxa"/>
            <w:tcBorders>
              <w:top w:val="single" w:sz="4" w:space="0" w:color="auto"/>
            </w:tcBorders>
          </w:tcPr>
          <w:p w:rsidR="003C27A2" w:rsidRPr="0043668B" w:rsidRDefault="003C27A2" w:rsidP="0036160E">
            <w:pPr>
              <w:pStyle w:val="NormalWeb"/>
              <w:spacing w:before="0" w:beforeAutospacing="0" w:after="0" w:afterAutospacing="0"/>
              <w:ind w:firstLine="720"/>
            </w:pPr>
          </w:p>
        </w:tc>
      </w:tr>
      <w:tr w:rsidR="007B4C0F" w:rsidRPr="0043668B" w:rsidTr="00631E75">
        <w:tc>
          <w:tcPr>
            <w:tcW w:w="5919" w:type="dxa"/>
          </w:tcPr>
          <w:p w:rsidR="007B4C0F" w:rsidRPr="0043668B" w:rsidRDefault="00365CC0" w:rsidP="003C27A2">
            <w:pPr>
              <w:pStyle w:val="naiskr"/>
              <w:spacing w:before="0" w:after="0"/>
            </w:pPr>
            <w:r w:rsidRPr="0043668B">
              <w:t>Saskaņošanas dalībnieki</w:t>
            </w:r>
          </w:p>
        </w:tc>
        <w:tc>
          <w:tcPr>
            <w:tcW w:w="6237" w:type="dxa"/>
          </w:tcPr>
          <w:p w:rsidR="007B4C0F" w:rsidRPr="0043668B" w:rsidRDefault="00FF3FEA" w:rsidP="00207C04">
            <w:pPr>
              <w:pStyle w:val="NormalWeb"/>
              <w:spacing w:before="0" w:beforeAutospacing="0" w:after="0" w:afterAutospacing="0"/>
              <w:ind w:firstLine="720"/>
            </w:pPr>
            <w:r w:rsidRPr="0043668B">
              <w:t>Tieslietu ministrija</w:t>
            </w:r>
            <w:r w:rsidR="00B8446D" w:rsidRPr="0043668B">
              <w:t>, Latvijas Apdrošinātāju asociācija</w:t>
            </w:r>
          </w:p>
        </w:tc>
      </w:tr>
      <w:tr w:rsidR="00F014D1" w:rsidRPr="0043668B" w:rsidTr="00631E75">
        <w:tc>
          <w:tcPr>
            <w:tcW w:w="5919" w:type="dxa"/>
          </w:tcPr>
          <w:p w:rsidR="00F014D1" w:rsidRPr="0043668B" w:rsidRDefault="00F014D1" w:rsidP="003C27A2">
            <w:pPr>
              <w:pStyle w:val="naiskr"/>
              <w:spacing w:before="0" w:after="0"/>
            </w:pPr>
          </w:p>
        </w:tc>
        <w:tc>
          <w:tcPr>
            <w:tcW w:w="6237" w:type="dxa"/>
          </w:tcPr>
          <w:p w:rsidR="00F014D1" w:rsidRPr="0043668B" w:rsidRDefault="00F014D1" w:rsidP="002D487E">
            <w:pPr>
              <w:pStyle w:val="NormalWeb"/>
              <w:spacing w:before="0" w:beforeAutospacing="0" w:after="0" w:afterAutospacing="0"/>
            </w:pPr>
          </w:p>
        </w:tc>
      </w:tr>
    </w:tbl>
    <w:p w:rsidR="008A36C9" w:rsidRPr="0043668B" w:rsidRDefault="008A36C9"/>
    <w:tbl>
      <w:tblPr>
        <w:tblW w:w="12582" w:type="dxa"/>
        <w:tblLook w:val="00A0" w:firstRow="1" w:lastRow="0" w:firstColumn="1" w:lastColumn="0" w:noHBand="0" w:noVBand="0"/>
      </w:tblPr>
      <w:tblGrid>
        <w:gridCol w:w="6708"/>
        <w:gridCol w:w="840"/>
        <w:gridCol w:w="5034"/>
      </w:tblGrid>
      <w:tr w:rsidR="007B4C0F" w:rsidRPr="004F4F7E">
        <w:trPr>
          <w:trHeight w:val="285"/>
        </w:trPr>
        <w:tc>
          <w:tcPr>
            <w:tcW w:w="6708" w:type="dxa"/>
          </w:tcPr>
          <w:p w:rsidR="007B4C0F" w:rsidRPr="0043668B" w:rsidRDefault="00365CC0" w:rsidP="000D0AED">
            <w:pPr>
              <w:pStyle w:val="naiskr"/>
              <w:spacing w:before="0" w:after="0"/>
            </w:pPr>
            <w:r w:rsidRPr="0043668B">
              <w:t xml:space="preserve">Saskaņošanas dalībnieki </w:t>
            </w:r>
            <w:r w:rsidR="007B4C0F" w:rsidRPr="0043668B">
              <w:t>izskatīja</w:t>
            </w:r>
            <w:r w:rsidR="005D67F7" w:rsidRPr="0043668B">
              <w:t xml:space="preserve"> šādu ministriju </w:t>
            </w:r>
            <w:r w:rsidR="003E4C3F" w:rsidRPr="0043668B">
              <w:t>(c</w:t>
            </w:r>
            <w:r w:rsidR="005D67F7" w:rsidRPr="0043668B">
              <w:t>itu institūciju</w:t>
            </w:r>
            <w:r w:rsidR="003E4C3F" w:rsidRPr="0043668B">
              <w:t>)</w:t>
            </w:r>
            <w:r w:rsidR="005D67F7" w:rsidRPr="0043668B">
              <w:t xml:space="preserve"> iebildumus</w:t>
            </w:r>
          </w:p>
          <w:p w:rsidR="00E80986" w:rsidRPr="0043668B" w:rsidRDefault="00E80986" w:rsidP="000D0AED">
            <w:pPr>
              <w:pStyle w:val="naiskr"/>
              <w:spacing w:before="0" w:after="0"/>
            </w:pPr>
          </w:p>
        </w:tc>
        <w:tc>
          <w:tcPr>
            <w:tcW w:w="840" w:type="dxa"/>
          </w:tcPr>
          <w:p w:rsidR="007B4C0F" w:rsidRPr="0043668B" w:rsidRDefault="007B4C0F" w:rsidP="0036160E">
            <w:pPr>
              <w:pStyle w:val="naiskr"/>
              <w:spacing w:before="0" w:after="0"/>
              <w:ind w:firstLine="720"/>
            </w:pPr>
          </w:p>
        </w:tc>
        <w:tc>
          <w:tcPr>
            <w:tcW w:w="5034" w:type="dxa"/>
          </w:tcPr>
          <w:p w:rsidR="007B4C0F" w:rsidRPr="004F4F7E" w:rsidRDefault="0052490D" w:rsidP="00207C04">
            <w:pPr>
              <w:pStyle w:val="naiskr"/>
              <w:spacing w:before="0" w:after="0"/>
            </w:pPr>
            <w:r w:rsidRPr="0043668B">
              <w:t>Tieslietu ministrija</w:t>
            </w:r>
            <w:r w:rsidR="00B8446D" w:rsidRPr="0043668B">
              <w:t>, Latvijas Apdrošinātāju asociācija</w:t>
            </w:r>
          </w:p>
        </w:tc>
      </w:tr>
      <w:tr w:rsidR="007B4C0F" w:rsidRPr="004F4F7E">
        <w:tc>
          <w:tcPr>
            <w:tcW w:w="6708" w:type="dxa"/>
          </w:tcPr>
          <w:p w:rsidR="007B4C0F" w:rsidRPr="004F4F7E" w:rsidRDefault="007B4C0F" w:rsidP="0036160E">
            <w:pPr>
              <w:pStyle w:val="naiskr"/>
              <w:spacing w:before="0" w:after="0"/>
            </w:pPr>
            <w:r w:rsidRPr="004F4F7E">
              <w:t>Ministrijas (citas institūcijas), kuras nav ieradušās uz sanāksmi vai kuras nav atbildējušas uz uzaicinājumu piedalīties elektroniskajā saskaņošanā</w:t>
            </w:r>
          </w:p>
        </w:tc>
        <w:tc>
          <w:tcPr>
            <w:tcW w:w="5874" w:type="dxa"/>
            <w:gridSpan w:val="2"/>
          </w:tcPr>
          <w:p w:rsidR="007B4C0F" w:rsidRPr="004F4F7E" w:rsidRDefault="007B4C0F" w:rsidP="0036160E">
            <w:pPr>
              <w:pStyle w:val="naiskr"/>
              <w:spacing w:before="0" w:after="0"/>
              <w:ind w:firstLine="720"/>
            </w:pPr>
          </w:p>
        </w:tc>
      </w:tr>
    </w:tbl>
    <w:p w:rsidR="00631E75" w:rsidRPr="004F4F7E" w:rsidRDefault="00631E75" w:rsidP="00683081">
      <w:pPr>
        <w:pStyle w:val="naisf"/>
        <w:spacing w:before="0" w:after="0"/>
        <w:ind w:firstLine="720"/>
      </w:pPr>
    </w:p>
    <w:p w:rsidR="007B4C0F" w:rsidRPr="004F4F7E" w:rsidRDefault="007B4C0F" w:rsidP="00184479">
      <w:pPr>
        <w:pStyle w:val="naisf"/>
        <w:spacing w:before="0" w:after="0"/>
        <w:ind w:firstLine="0"/>
        <w:jc w:val="center"/>
        <w:rPr>
          <w:b/>
        </w:rPr>
      </w:pPr>
      <w:r w:rsidRPr="004F4F7E">
        <w:rPr>
          <w:b/>
        </w:rPr>
        <w:t>II. </w:t>
      </w:r>
      <w:r w:rsidR="00134188" w:rsidRPr="004F4F7E">
        <w:rPr>
          <w:b/>
        </w:rPr>
        <w:t>Jautājumi, par kuriem saskaņošanā vienošan</w:t>
      </w:r>
      <w:r w:rsidR="00144622" w:rsidRPr="004F4F7E">
        <w:rPr>
          <w:b/>
        </w:rPr>
        <w:t>ā</w:t>
      </w:r>
      <w:r w:rsidR="00134188" w:rsidRPr="004F4F7E">
        <w:rPr>
          <w:b/>
        </w:rPr>
        <w:t>s ir panākta</w:t>
      </w:r>
    </w:p>
    <w:p w:rsidR="007B4C0F" w:rsidRPr="004F4F7E" w:rsidRDefault="007B4C0F" w:rsidP="00DB7395">
      <w:pPr>
        <w:pStyle w:val="naisf"/>
        <w:spacing w:before="0" w:after="0"/>
        <w:ind w:firstLine="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8"/>
        <w:gridCol w:w="2955"/>
        <w:gridCol w:w="3825"/>
        <w:gridCol w:w="4206"/>
        <w:gridCol w:w="3093"/>
      </w:tblGrid>
      <w:tr w:rsidR="00320BF2" w:rsidRPr="004F4F7E" w:rsidTr="00DB307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134188" w:rsidRPr="004F4F7E" w:rsidRDefault="00257BCC" w:rsidP="006A0BFD">
            <w:pPr>
              <w:pStyle w:val="naisc"/>
              <w:spacing w:before="0" w:after="0"/>
              <w:rPr>
                <w:sz w:val="20"/>
                <w:szCs w:val="20"/>
              </w:rPr>
            </w:pPr>
            <w:r w:rsidRPr="004F4F7E">
              <w:rPr>
                <w:sz w:val="20"/>
                <w:szCs w:val="20"/>
              </w:rPr>
              <w:t>Nr.</w:t>
            </w:r>
          </w:p>
        </w:tc>
        <w:tc>
          <w:tcPr>
            <w:tcW w:w="0" w:type="auto"/>
            <w:tcBorders>
              <w:top w:val="single" w:sz="6" w:space="0" w:color="000000"/>
              <w:left w:val="single" w:sz="6" w:space="0" w:color="000000"/>
              <w:bottom w:val="single" w:sz="6" w:space="0" w:color="000000"/>
              <w:right w:val="single" w:sz="6" w:space="0" w:color="000000"/>
            </w:tcBorders>
            <w:vAlign w:val="center"/>
          </w:tcPr>
          <w:p w:rsidR="00134188" w:rsidRPr="004F4F7E" w:rsidRDefault="00134188" w:rsidP="00CE1174">
            <w:pPr>
              <w:pStyle w:val="naisc"/>
              <w:spacing w:before="0" w:after="0"/>
              <w:rPr>
                <w:sz w:val="20"/>
                <w:szCs w:val="20"/>
              </w:rPr>
            </w:pPr>
            <w:r w:rsidRPr="004F4F7E">
              <w:rPr>
                <w:sz w:val="20"/>
                <w:szCs w:val="20"/>
              </w:rPr>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rsidR="00134188" w:rsidRPr="004F4F7E" w:rsidRDefault="00134188" w:rsidP="003306C7">
            <w:pPr>
              <w:pStyle w:val="naisc"/>
              <w:spacing w:before="0" w:after="0"/>
              <w:ind w:right="3"/>
              <w:rPr>
                <w:sz w:val="20"/>
              </w:rPr>
            </w:pPr>
            <w:r w:rsidRPr="004F4F7E">
              <w:rPr>
                <w:sz w:val="20"/>
              </w:rPr>
              <w:t>Atzinumā norādītais ministrijas (citas institūcijas) iebildums, kā arī saskaņošanā papildus izteiktais iebildums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rsidR="00134188" w:rsidRPr="004F4F7E" w:rsidRDefault="00134188" w:rsidP="009623BC">
            <w:pPr>
              <w:pStyle w:val="naisc"/>
              <w:spacing w:before="0" w:after="0"/>
              <w:ind w:firstLine="21"/>
              <w:rPr>
                <w:sz w:val="20"/>
                <w:szCs w:val="20"/>
              </w:rPr>
            </w:pPr>
            <w:r w:rsidRPr="004F4F7E">
              <w:rPr>
                <w:sz w:val="20"/>
                <w:szCs w:val="20"/>
              </w:rPr>
              <w:t>Atbildīgās ministrijas norāde</w:t>
            </w:r>
            <w:r w:rsidR="006C1C48" w:rsidRPr="004F4F7E">
              <w:rPr>
                <w:sz w:val="20"/>
                <w:szCs w:val="20"/>
              </w:rPr>
              <w:t xml:space="preserve"> par to, ka </w:t>
            </w:r>
            <w:r w:rsidRPr="004F4F7E">
              <w:rPr>
                <w:sz w:val="20"/>
                <w:szCs w:val="20"/>
              </w:rPr>
              <w:t>iebildums ir ņemts vērā</w:t>
            </w:r>
            <w:r w:rsidR="006455E7" w:rsidRPr="004F4F7E">
              <w:rPr>
                <w:sz w:val="20"/>
                <w:szCs w:val="20"/>
              </w:rPr>
              <w:t>,</w:t>
            </w:r>
            <w:r w:rsidRPr="004F4F7E">
              <w:rPr>
                <w:sz w:val="20"/>
                <w:szCs w:val="20"/>
              </w:rPr>
              <w:t xml:space="preserve"> vai </w:t>
            </w:r>
            <w:r w:rsidR="006C1C48" w:rsidRPr="004F4F7E">
              <w:rPr>
                <w:sz w:val="20"/>
                <w:szCs w:val="20"/>
              </w:rPr>
              <w:t xml:space="preserve">informācija par saskaņošanā </w:t>
            </w:r>
            <w:r w:rsidR="00022B0F" w:rsidRPr="004F4F7E">
              <w:rPr>
                <w:sz w:val="20"/>
                <w:szCs w:val="20"/>
              </w:rPr>
              <w:t>panākto alternatīvo risinājumu</w:t>
            </w:r>
          </w:p>
        </w:tc>
        <w:tc>
          <w:tcPr>
            <w:tcW w:w="0" w:type="auto"/>
            <w:tcBorders>
              <w:top w:val="single" w:sz="4" w:space="0" w:color="auto"/>
              <w:left w:val="single" w:sz="4" w:space="0" w:color="auto"/>
              <w:bottom w:val="single" w:sz="4" w:space="0" w:color="auto"/>
            </w:tcBorders>
            <w:vAlign w:val="center"/>
          </w:tcPr>
          <w:p w:rsidR="00134188" w:rsidRPr="004F4F7E" w:rsidRDefault="00134188" w:rsidP="009623BC">
            <w:pPr>
              <w:jc w:val="center"/>
              <w:rPr>
                <w:sz w:val="20"/>
                <w:szCs w:val="20"/>
              </w:rPr>
            </w:pPr>
            <w:r w:rsidRPr="004F4F7E">
              <w:rPr>
                <w:sz w:val="20"/>
                <w:szCs w:val="20"/>
              </w:rPr>
              <w:t>Projekta attiecīgā punkta (panta) galīgā redakcija</w:t>
            </w:r>
          </w:p>
        </w:tc>
      </w:tr>
      <w:tr w:rsidR="00320BF2" w:rsidRPr="004F4F7E" w:rsidTr="00DB307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134188" w:rsidRPr="004F4F7E" w:rsidRDefault="003B71E0" w:rsidP="006A0BFD">
            <w:pPr>
              <w:pStyle w:val="naisc"/>
              <w:spacing w:before="0" w:after="0"/>
              <w:rPr>
                <w:sz w:val="20"/>
                <w:szCs w:val="20"/>
              </w:rPr>
            </w:pPr>
            <w:r w:rsidRPr="004F4F7E">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134188" w:rsidRPr="004F4F7E" w:rsidRDefault="00F34AAB" w:rsidP="00CE1174">
            <w:pPr>
              <w:pStyle w:val="naisc"/>
              <w:spacing w:before="0" w:after="0"/>
              <w:rPr>
                <w:sz w:val="20"/>
                <w:szCs w:val="20"/>
              </w:rPr>
            </w:pPr>
            <w:r w:rsidRPr="004F4F7E">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rsidR="00134188" w:rsidRPr="004F4F7E" w:rsidRDefault="003B71E0" w:rsidP="003306C7">
            <w:pPr>
              <w:pStyle w:val="naisc"/>
              <w:spacing w:before="0" w:after="0"/>
              <w:rPr>
                <w:sz w:val="20"/>
                <w:szCs w:val="20"/>
              </w:rPr>
            </w:pPr>
            <w:r w:rsidRPr="004F4F7E">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134188" w:rsidRPr="004F4F7E" w:rsidRDefault="003B71E0" w:rsidP="00BD2BB6">
            <w:pPr>
              <w:pStyle w:val="naisc"/>
              <w:spacing w:before="0" w:after="0"/>
              <w:rPr>
                <w:sz w:val="20"/>
                <w:szCs w:val="20"/>
              </w:rPr>
            </w:pPr>
            <w:r w:rsidRPr="004F4F7E">
              <w:rPr>
                <w:sz w:val="20"/>
                <w:szCs w:val="20"/>
              </w:rPr>
              <w:t>4</w:t>
            </w:r>
          </w:p>
        </w:tc>
        <w:tc>
          <w:tcPr>
            <w:tcW w:w="0" w:type="auto"/>
            <w:tcBorders>
              <w:top w:val="single" w:sz="4" w:space="0" w:color="auto"/>
              <w:left w:val="single" w:sz="4" w:space="0" w:color="auto"/>
              <w:bottom w:val="single" w:sz="4" w:space="0" w:color="auto"/>
            </w:tcBorders>
          </w:tcPr>
          <w:p w:rsidR="00134188" w:rsidRPr="004F4F7E" w:rsidRDefault="003B71E0" w:rsidP="003B71E0">
            <w:pPr>
              <w:jc w:val="center"/>
              <w:rPr>
                <w:sz w:val="20"/>
                <w:szCs w:val="20"/>
              </w:rPr>
            </w:pPr>
            <w:r w:rsidRPr="004F4F7E">
              <w:rPr>
                <w:sz w:val="20"/>
                <w:szCs w:val="20"/>
              </w:rPr>
              <w:t>5</w:t>
            </w:r>
          </w:p>
        </w:tc>
      </w:tr>
      <w:tr w:rsidR="00320BF2" w:rsidRPr="004F4F7E" w:rsidTr="00DB3070">
        <w:tc>
          <w:tcPr>
            <w:tcW w:w="0" w:type="auto"/>
            <w:tcBorders>
              <w:top w:val="single" w:sz="4" w:space="0" w:color="auto"/>
              <w:left w:val="single" w:sz="4" w:space="0" w:color="auto"/>
              <w:bottom w:val="single" w:sz="4" w:space="0" w:color="auto"/>
              <w:right w:val="single" w:sz="4" w:space="0" w:color="auto"/>
            </w:tcBorders>
            <w:shd w:val="clear" w:color="auto" w:fill="auto"/>
          </w:tcPr>
          <w:p w:rsidR="003D4AFE" w:rsidRPr="004F4F7E" w:rsidRDefault="00D32A01" w:rsidP="00160260">
            <w:pPr>
              <w:pStyle w:val="naisc"/>
              <w:spacing w:before="0" w:after="0"/>
              <w:jc w:val="right"/>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3D4AFE" w:rsidRPr="00C16216" w:rsidRDefault="00C16216" w:rsidP="00160260">
            <w:pPr>
              <w:pStyle w:val="NoSpacing"/>
              <w:jc w:val="both"/>
              <w:rPr>
                <w:rFonts w:ascii="Times New Roman" w:hAnsi="Times New Roman"/>
                <w:bCs/>
                <w:sz w:val="12"/>
                <w:szCs w:val="20"/>
              </w:rPr>
            </w:pPr>
            <w:r w:rsidRPr="00C16216">
              <w:rPr>
                <w:rFonts w:ascii="Times New Roman" w:eastAsia="Times New Roman" w:hAnsi="Times New Roman"/>
                <w:color w:val="000000"/>
                <w:sz w:val="20"/>
                <w:szCs w:val="28"/>
                <w:lang w:eastAsia="lv-LV"/>
              </w:rPr>
              <w:t>6. Papildināt ar 92.</w:t>
            </w:r>
            <w:r w:rsidRPr="00C16216">
              <w:rPr>
                <w:rFonts w:ascii="Times New Roman" w:eastAsia="Times New Roman" w:hAnsi="Times New Roman"/>
                <w:color w:val="000000"/>
                <w:sz w:val="20"/>
                <w:szCs w:val="28"/>
                <w:vertAlign w:val="superscript"/>
                <w:lang w:eastAsia="lv-LV"/>
              </w:rPr>
              <w:t xml:space="preserve">1 </w:t>
            </w:r>
            <w:r w:rsidRPr="00C16216">
              <w:rPr>
                <w:rFonts w:ascii="Times New Roman" w:eastAsia="Times New Roman" w:hAnsi="Times New Roman"/>
                <w:color w:val="000000"/>
                <w:sz w:val="20"/>
                <w:szCs w:val="28"/>
                <w:lang w:eastAsia="lv-LV"/>
              </w:rPr>
              <w:t>pantu šādā redakcijā:</w:t>
            </w:r>
          </w:p>
          <w:p w:rsidR="00F04E3F" w:rsidRDefault="00F04E3F" w:rsidP="00160260">
            <w:pPr>
              <w:pStyle w:val="NoSpacing"/>
              <w:jc w:val="both"/>
              <w:rPr>
                <w:rFonts w:ascii="Times New Roman" w:hAnsi="Times New Roman"/>
                <w:bCs/>
                <w:sz w:val="20"/>
                <w:szCs w:val="20"/>
              </w:rPr>
            </w:pPr>
          </w:p>
          <w:p w:rsidR="00F04E3F" w:rsidRPr="00F04E3F" w:rsidRDefault="00F04E3F" w:rsidP="00F04E3F">
            <w:pPr>
              <w:ind w:firstLine="567"/>
              <w:jc w:val="both"/>
              <w:rPr>
                <w:color w:val="000000"/>
                <w:sz w:val="20"/>
                <w:szCs w:val="28"/>
              </w:rPr>
            </w:pPr>
            <w:r w:rsidRPr="00F04E3F">
              <w:rPr>
                <w:b/>
                <w:color w:val="000000"/>
                <w:sz w:val="20"/>
                <w:szCs w:val="28"/>
              </w:rPr>
              <w:t>92.</w:t>
            </w:r>
            <w:r w:rsidRPr="00F04E3F">
              <w:rPr>
                <w:b/>
                <w:color w:val="000000"/>
                <w:sz w:val="20"/>
                <w:szCs w:val="28"/>
                <w:vertAlign w:val="superscript"/>
              </w:rPr>
              <w:t>1</w:t>
            </w:r>
            <w:r w:rsidRPr="00F04E3F">
              <w:rPr>
                <w:b/>
                <w:color w:val="000000"/>
                <w:sz w:val="20"/>
                <w:szCs w:val="28"/>
              </w:rPr>
              <w:t xml:space="preserve"> pants. Apdrošināšanas līgums</w:t>
            </w:r>
          </w:p>
          <w:p w:rsidR="00F04E3F" w:rsidRPr="00F04E3F" w:rsidRDefault="00F04E3F" w:rsidP="00F04E3F">
            <w:pPr>
              <w:ind w:firstLine="567"/>
              <w:jc w:val="both"/>
              <w:rPr>
                <w:color w:val="000000"/>
                <w:sz w:val="20"/>
                <w:szCs w:val="28"/>
              </w:rPr>
            </w:pPr>
          </w:p>
          <w:p w:rsidR="00F04E3F" w:rsidRPr="00F04E3F" w:rsidRDefault="00F04E3F" w:rsidP="00F04E3F">
            <w:pPr>
              <w:ind w:firstLine="567"/>
              <w:jc w:val="both"/>
              <w:rPr>
                <w:color w:val="000000"/>
                <w:sz w:val="20"/>
                <w:szCs w:val="28"/>
              </w:rPr>
            </w:pPr>
            <w:r w:rsidRPr="00F04E3F">
              <w:rPr>
                <w:color w:val="000000"/>
                <w:sz w:val="20"/>
                <w:szCs w:val="28"/>
              </w:rPr>
              <w:t xml:space="preserve">Šīs nodaļas izpratnē apdrošināšanas līgums ir līgums, saskaņā ar kuru viena darījuma </w:t>
            </w:r>
            <w:r w:rsidRPr="00F04E3F">
              <w:rPr>
                <w:color w:val="000000"/>
                <w:sz w:val="20"/>
                <w:szCs w:val="28"/>
              </w:rPr>
              <w:lastRenderedPageBreak/>
              <w:t>puse apņemas samaksāt konkrētu summu par risku, kas saistīts ar personas dzīvību, veselību, nelaimes gadījumu, saistībām vai īpašumu, cēloņu iestāšanos.”</w:t>
            </w:r>
          </w:p>
          <w:p w:rsidR="00F04E3F" w:rsidRDefault="00F04E3F" w:rsidP="00160260">
            <w:pPr>
              <w:pStyle w:val="NoSpacing"/>
              <w:jc w:val="both"/>
              <w:rPr>
                <w:rFonts w:ascii="Times New Roman" w:hAnsi="Times New Roman"/>
                <w:bCs/>
                <w:sz w:val="20"/>
                <w:szCs w:val="20"/>
              </w:rPr>
            </w:pPr>
          </w:p>
          <w:p w:rsidR="00C16216" w:rsidRDefault="00C16216" w:rsidP="00160260">
            <w:pPr>
              <w:pStyle w:val="NoSpacing"/>
              <w:jc w:val="both"/>
              <w:rPr>
                <w:rFonts w:ascii="Times New Roman" w:hAnsi="Times New Roman"/>
                <w:bCs/>
                <w:sz w:val="20"/>
                <w:szCs w:val="20"/>
              </w:rPr>
            </w:pPr>
          </w:p>
          <w:p w:rsidR="00C16216" w:rsidRPr="004F4F7E" w:rsidRDefault="00C16216" w:rsidP="00160260">
            <w:pPr>
              <w:pStyle w:val="NoSpacing"/>
              <w:jc w:val="both"/>
              <w:rPr>
                <w:rFonts w:ascii="Times New Roman" w:hAnsi="Times New Roman"/>
                <w:bCs/>
                <w:sz w:val="20"/>
                <w:szCs w:val="20"/>
              </w:rPr>
            </w:pPr>
            <w:r w:rsidRPr="00C16216">
              <w:rPr>
                <w:rFonts w:ascii="Times New Roman" w:hAnsi="Times New Roman"/>
                <w:bCs/>
                <w:sz w:val="20"/>
                <w:szCs w:val="20"/>
              </w:rPr>
              <w:t>7. Izslēgt 93. pantā vārdu “dzīvības”.</w:t>
            </w:r>
          </w:p>
        </w:tc>
        <w:tc>
          <w:tcPr>
            <w:tcW w:w="0" w:type="auto"/>
            <w:tcBorders>
              <w:top w:val="single" w:sz="4" w:space="0" w:color="auto"/>
              <w:left w:val="single" w:sz="4" w:space="0" w:color="auto"/>
              <w:bottom w:val="single" w:sz="4" w:space="0" w:color="auto"/>
              <w:right w:val="single" w:sz="4" w:space="0" w:color="auto"/>
            </w:tcBorders>
          </w:tcPr>
          <w:p w:rsidR="00425125" w:rsidRPr="00B8446D" w:rsidRDefault="00B8446D" w:rsidP="00425125">
            <w:pPr>
              <w:jc w:val="both"/>
              <w:rPr>
                <w:rFonts w:eastAsiaTheme="minorHAnsi"/>
                <w:b/>
                <w:sz w:val="20"/>
                <w:lang w:eastAsia="en-US"/>
              </w:rPr>
            </w:pPr>
            <w:r>
              <w:rPr>
                <w:rFonts w:eastAsiaTheme="minorHAnsi"/>
                <w:b/>
                <w:sz w:val="20"/>
                <w:lang w:eastAsia="en-US"/>
              </w:rPr>
              <w:lastRenderedPageBreak/>
              <w:t>L</w:t>
            </w:r>
            <w:r w:rsidR="001A641C">
              <w:rPr>
                <w:rFonts w:eastAsiaTheme="minorHAnsi"/>
                <w:b/>
                <w:sz w:val="20"/>
                <w:lang w:eastAsia="en-US"/>
              </w:rPr>
              <w:t xml:space="preserve">atvijas Apdrošinātāju asociācija </w:t>
            </w:r>
          </w:p>
          <w:p w:rsidR="00657235" w:rsidRPr="00657235" w:rsidRDefault="00657235" w:rsidP="00657235">
            <w:pPr>
              <w:jc w:val="both"/>
              <w:rPr>
                <w:rFonts w:eastAsiaTheme="minorHAnsi"/>
                <w:sz w:val="20"/>
                <w:lang w:eastAsia="en-US"/>
              </w:rPr>
            </w:pPr>
            <w:r w:rsidRPr="00657235">
              <w:rPr>
                <w:rFonts w:eastAsiaTheme="minorHAnsi"/>
                <w:sz w:val="20"/>
                <w:lang w:eastAsia="en-US"/>
              </w:rPr>
              <w:t>LAA biedrus galvenokārt satrauc jautājums, vai ar šādiem grozījumiem netiek paplašināts likuma “</w:t>
            </w:r>
            <w:r w:rsidRPr="00657235">
              <w:rPr>
                <w:rFonts w:eastAsiaTheme="minorHAnsi"/>
                <w:i/>
                <w:sz w:val="20"/>
                <w:lang w:eastAsia="en-US"/>
              </w:rPr>
              <w:t>Par nodokļiem un nodevām</w:t>
            </w:r>
            <w:r w:rsidRPr="00657235">
              <w:rPr>
                <w:rFonts w:eastAsiaTheme="minorHAnsi"/>
                <w:sz w:val="20"/>
                <w:lang w:eastAsia="en-US"/>
              </w:rPr>
              <w:t xml:space="preserve">” (turpmāk – likums) XII nodaļas tvērums, proti, vai, mainot apdrošināšanas līguma ar līdzekļu uzkrāšanu definīciju un papildinot likumu ar ļoti plašu apdrošināšanas līguma definīciju, netiek ievērojami paplašināts to </w:t>
            </w:r>
            <w:r w:rsidRPr="00657235">
              <w:rPr>
                <w:rFonts w:eastAsiaTheme="minorHAnsi"/>
                <w:sz w:val="20"/>
                <w:lang w:eastAsia="en-US"/>
              </w:rPr>
              <w:lastRenderedPageBreak/>
              <w:t xml:space="preserve">subjektu loks, kuriem būs jāveic automātiskā informācijas apmaiņa par finanšu kontiem, jo saskaņā ar šobrīd spēkā esošo likuma redakciju XII nodaļas noteikumi (apdrošināšanas nozares ietvaros) attiecināmi tikai uz </w:t>
            </w:r>
            <w:r w:rsidRPr="00F76D8F">
              <w:rPr>
                <w:rFonts w:eastAsiaTheme="minorHAnsi"/>
                <w:sz w:val="20"/>
                <w:lang w:eastAsia="en-US"/>
              </w:rPr>
              <w:t>specializētām</w:t>
            </w:r>
            <w:r w:rsidRPr="00657235">
              <w:rPr>
                <w:rFonts w:eastAsiaTheme="minorHAnsi"/>
                <w:sz w:val="20"/>
                <w:lang w:eastAsia="en-US"/>
              </w:rPr>
              <w:t xml:space="preserve"> apdrošināšanas sabiedrībām, pamatojoties uz likuma 69., 70., un 71.pantu. Turklāt aktuāls ir jautājums, kā likumprojektā plānotās izmaiņas sasaucas ar likuma 90.panta pirmās daļas 5.punktu, kurš nosaka, ka finanšu konts XII nodaļas izpratnē ir saistīts tikai ar apdrošināšanas līgumiem ar līdzekļu uzkrāšanu un </w:t>
            </w:r>
            <w:proofErr w:type="spellStart"/>
            <w:r w:rsidRPr="00657235">
              <w:rPr>
                <w:rFonts w:eastAsiaTheme="minorHAnsi"/>
                <w:sz w:val="20"/>
                <w:lang w:eastAsia="en-US"/>
              </w:rPr>
              <w:t>annuitātes</w:t>
            </w:r>
            <w:proofErr w:type="spellEnd"/>
            <w:r w:rsidRPr="00657235">
              <w:rPr>
                <w:rFonts w:eastAsiaTheme="minorHAnsi"/>
                <w:sz w:val="20"/>
                <w:lang w:eastAsia="en-US"/>
              </w:rPr>
              <w:t xml:space="preserve"> līgumiem, nenosakot nekādas papildu robežas attiecībā uz likumprojektā esošo apdrošināšanas līguma definīciju, kas sevī ietver veselības, īpašuma un saistību apdrošināšanu.</w:t>
            </w:r>
          </w:p>
          <w:p w:rsidR="00657235" w:rsidRPr="00657235" w:rsidRDefault="00657235" w:rsidP="00657235">
            <w:pPr>
              <w:jc w:val="both"/>
              <w:rPr>
                <w:rFonts w:eastAsiaTheme="minorHAnsi"/>
                <w:sz w:val="20"/>
                <w:lang w:eastAsia="en-US"/>
              </w:rPr>
            </w:pPr>
            <w:r w:rsidRPr="00657235">
              <w:rPr>
                <w:rFonts w:eastAsiaTheme="minorHAnsi"/>
                <w:sz w:val="20"/>
                <w:lang w:eastAsia="en-US"/>
              </w:rPr>
              <w:t xml:space="preserve">LAA norāda, ka likumprojekta anotācijā sniegtā informācija vairāk aptver tieši pagātnē izdarītos grozījumus likumā, bet nesniedz pietiekami skaidru un saprotamu izklāstu par to, kas tiek paredzēts ar likumprojektu un kāda būs reālā administratīvi praktiskā ietekme uz anotācijas divpadsmitajā lappusē minētajām </w:t>
            </w:r>
            <w:r w:rsidRPr="00F76D8F">
              <w:rPr>
                <w:rFonts w:eastAsiaTheme="minorHAnsi"/>
                <w:sz w:val="20"/>
                <w:lang w:eastAsia="en-US"/>
              </w:rPr>
              <w:t>aptuveni 30 finanšu iestādēm un to sadarbību ar Valsts ieņēmumu dienestu, un vai finanšu iestāžu (likumprojekta izpratnē) loks tiek paplašināts, vērtējot no šī brīža pozīcijām.</w:t>
            </w:r>
          </w:p>
          <w:p w:rsidR="00657235" w:rsidRPr="00657235" w:rsidRDefault="00657235" w:rsidP="00657235">
            <w:pPr>
              <w:jc w:val="both"/>
              <w:rPr>
                <w:rFonts w:eastAsiaTheme="minorHAnsi"/>
                <w:sz w:val="20"/>
                <w:lang w:eastAsia="en-US"/>
              </w:rPr>
            </w:pPr>
            <w:r w:rsidRPr="00657235">
              <w:rPr>
                <w:rFonts w:eastAsiaTheme="minorHAnsi"/>
                <w:sz w:val="20"/>
                <w:lang w:eastAsia="en-US"/>
              </w:rPr>
              <w:t xml:space="preserve">Tāpat vēlamies norādīt, ka gadījumā, ja likumprojekta papildināšana ar tik plašu apdrošināšanas līguma definīciju ir neizbēgama, tad lūdzam to precizēt un noteikt atbilstošāku gan 2014.gada 9.decembra Direktīvas 2014/107/ES (ar ko groza Direktīvu 2011/16/ES attiecībā uz obligāto automātisko informācijas apmaiņu nodokļu jomā) VIII iedaļas – “C” </w:t>
            </w:r>
            <w:proofErr w:type="spellStart"/>
            <w:r w:rsidRPr="00657235">
              <w:rPr>
                <w:rFonts w:eastAsiaTheme="minorHAnsi"/>
                <w:sz w:val="20"/>
                <w:lang w:eastAsia="en-US"/>
              </w:rPr>
              <w:t>apakšiedaļas</w:t>
            </w:r>
            <w:proofErr w:type="spellEnd"/>
            <w:r w:rsidRPr="00657235">
              <w:rPr>
                <w:rFonts w:eastAsiaTheme="minorHAnsi"/>
                <w:sz w:val="20"/>
                <w:lang w:eastAsia="en-US"/>
              </w:rPr>
              <w:t xml:space="preserve"> 5.punktam, gan Apdrošināšanas līguma likumam, proti, LAA piedāvātā </w:t>
            </w:r>
            <w:r w:rsidRPr="00657235">
              <w:rPr>
                <w:rFonts w:eastAsiaTheme="minorHAnsi"/>
                <w:sz w:val="20"/>
                <w:lang w:eastAsia="en-US"/>
              </w:rPr>
              <w:lastRenderedPageBreak/>
              <w:t>likumprojekta 6.punktu aizstāt ar šādu apdrošināšanas līguma definīciju:</w:t>
            </w:r>
          </w:p>
          <w:p w:rsidR="00657235" w:rsidRPr="00657235" w:rsidRDefault="00657235" w:rsidP="00657235">
            <w:pPr>
              <w:jc w:val="both"/>
              <w:rPr>
                <w:rFonts w:eastAsiaTheme="minorHAnsi"/>
                <w:sz w:val="20"/>
                <w:lang w:eastAsia="en-US"/>
              </w:rPr>
            </w:pPr>
            <w:r w:rsidRPr="00657235">
              <w:rPr>
                <w:rFonts w:eastAsiaTheme="minorHAnsi"/>
                <w:i/>
                <w:sz w:val="20"/>
                <w:lang w:eastAsia="en-US"/>
              </w:rPr>
              <w:t xml:space="preserve">“Šīs nodaļas izpratnē apdrošināšanas līgums ir līgums (kas nav </w:t>
            </w:r>
            <w:proofErr w:type="spellStart"/>
            <w:r w:rsidRPr="00657235">
              <w:rPr>
                <w:rFonts w:eastAsiaTheme="minorHAnsi"/>
                <w:i/>
                <w:sz w:val="20"/>
                <w:lang w:eastAsia="en-US"/>
              </w:rPr>
              <w:t>Annuitātes</w:t>
            </w:r>
            <w:proofErr w:type="spellEnd"/>
            <w:r w:rsidRPr="00657235">
              <w:rPr>
                <w:rFonts w:eastAsiaTheme="minorHAnsi"/>
                <w:i/>
                <w:sz w:val="20"/>
                <w:lang w:eastAsia="en-US"/>
              </w:rPr>
              <w:t xml:space="preserve"> līgums), saskaņā ar kuru apdrošinājuma devējs piekrīt maksāt noteiktu summu, ja īstenojas konkrēti apstākļi, kas saistīti ar nāves, veselības, nelaimes gadījuma, saistību vai īpašuma risku.”</w:t>
            </w:r>
          </w:p>
          <w:p w:rsidR="00B8446D" w:rsidRPr="00425125" w:rsidRDefault="00657235" w:rsidP="00657235">
            <w:pPr>
              <w:jc w:val="both"/>
              <w:rPr>
                <w:rFonts w:eastAsiaTheme="minorHAnsi"/>
                <w:sz w:val="20"/>
                <w:lang w:eastAsia="en-US"/>
              </w:rPr>
            </w:pPr>
            <w:r w:rsidRPr="00657235">
              <w:rPr>
                <w:rFonts w:eastAsiaTheme="minorHAnsi"/>
                <w:sz w:val="20"/>
                <w:lang w:eastAsia="en-US"/>
              </w:rPr>
              <w:tab/>
              <w:t>Vēršam uzmanību, ka esam atvērti pārrobežu nodokļu krāpšanas un nodokļu shēmu novēršanai, taču vēlamies saprast, vai un kādus papildu resursus/darbības šādi grozījumi prasīs no apdrošināšanas nozares un tās dalībniekiem. Neskaidrību, papildu jautājumu vai skaidrojumu gadījumā esam atvērti jebkāda veida komunikācijai.</w:t>
            </w:r>
          </w:p>
        </w:tc>
        <w:tc>
          <w:tcPr>
            <w:tcW w:w="0" w:type="auto"/>
            <w:tcBorders>
              <w:top w:val="single" w:sz="4" w:space="0" w:color="auto"/>
              <w:left w:val="single" w:sz="4" w:space="0" w:color="auto"/>
              <w:bottom w:val="single" w:sz="4" w:space="0" w:color="auto"/>
              <w:right w:val="single" w:sz="4" w:space="0" w:color="auto"/>
            </w:tcBorders>
          </w:tcPr>
          <w:p w:rsidR="007A3CDC" w:rsidRPr="00D978D6" w:rsidRDefault="00D978D6" w:rsidP="00160260">
            <w:pPr>
              <w:pStyle w:val="NoSpacing"/>
              <w:jc w:val="both"/>
              <w:rPr>
                <w:rFonts w:ascii="Times New Roman" w:hAnsi="Times New Roman"/>
                <w:b/>
                <w:sz w:val="20"/>
                <w:szCs w:val="20"/>
              </w:rPr>
            </w:pPr>
            <w:r w:rsidRPr="00D978D6">
              <w:rPr>
                <w:rFonts w:ascii="Times New Roman" w:hAnsi="Times New Roman"/>
                <w:b/>
                <w:sz w:val="20"/>
                <w:szCs w:val="20"/>
              </w:rPr>
              <w:lastRenderedPageBreak/>
              <w:t>Ņemts vērā</w:t>
            </w:r>
          </w:p>
          <w:p w:rsidR="00D978D6" w:rsidRPr="00F76D8F" w:rsidRDefault="00D978D6" w:rsidP="00160260">
            <w:pPr>
              <w:pStyle w:val="NoSpacing"/>
              <w:jc w:val="both"/>
              <w:rPr>
                <w:rFonts w:ascii="Times New Roman" w:hAnsi="Times New Roman"/>
                <w:sz w:val="20"/>
                <w:szCs w:val="20"/>
              </w:rPr>
            </w:pPr>
            <w:r>
              <w:rPr>
                <w:rFonts w:ascii="Times New Roman" w:hAnsi="Times New Roman"/>
                <w:sz w:val="20"/>
                <w:szCs w:val="20"/>
              </w:rPr>
              <w:t xml:space="preserve">Precizēta </w:t>
            </w:r>
            <w:r w:rsidRPr="00F76D8F">
              <w:rPr>
                <w:rFonts w:ascii="Times New Roman" w:hAnsi="Times New Roman"/>
                <w:sz w:val="20"/>
                <w:szCs w:val="20"/>
              </w:rPr>
              <w:t xml:space="preserve">apdrošināšanas līguma definīcija, </w:t>
            </w:r>
            <w:r w:rsidR="001A641C">
              <w:rPr>
                <w:rFonts w:ascii="Times New Roman" w:hAnsi="Times New Roman"/>
                <w:sz w:val="20"/>
                <w:szCs w:val="20"/>
              </w:rPr>
              <w:t>precīzāk</w:t>
            </w:r>
            <w:r w:rsidRPr="00F76D8F">
              <w:rPr>
                <w:rFonts w:ascii="Times New Roman" w:hAnsi="Times New Roman"/>
                <w:sz w:val="20"/>
                <w:szCs w:val="20"/>
              </w:rPr>
              <w:t xml:space="preserve"> </w:t>
            </w:r>
            <w:r w:rsidR="001A641C" w:rsidRPr="00F76D8F">
              <w:rPr>
                <w:rFonts w:ascii="Times New Roman" w:hAnsi="Times New Roman"/>
                <w:sz w:val="20"/>
                <w:szCs w:val="20"/>
              </w:rPr>
              <w:t xml:space="preserve">to </w:t>
            </w:r>
            <w:r w:rsidRPr="00F76D8F">
              <w:rPr>
                <w:rFonts w:ascii="Times New Roman" w:hAnsi="Times New Roman"/>
                <w:sz w:val="20"/>
                <w:szCs w:val="20"/>
              </w:rPr>
              <w:t xml:space="preserve">saskaņojot ar </w:t>
            </w:r>
            <w:r w:rsidR="00917AAA" w:rsidRPr="00F76D8F">
              <w:rPr>
                <w:rFonts w:ascii="Times New Roman" w:hAnsi="Times New Roman"/>
                <w:sz w:val="20"/>
                <w:szCs w:val="20"/>
              </w:rPr>
              <w:t>Direktīvu 2014/107/ES, ar ko groza Direktīvu 2011/16/ES attiecībā uz obligāto automātisko informācijas apmaiņu nodokļu jomā (turpmāk – DAC 2)</w:t>
            </w:r>
            <w:r w:rsidRPr="00F76D8F">
              <w:rPr>
                <w:rFonts w:ascii="Times New Roman" w:hAnsi="Times New Roman"/>
                <w:sz w:val="20"/>
                <w:szCs w:val="20"/>
              </w:rPr>
              <w:t xml:space="preserve"> un </w:t>
            </w:r>
            <w:r w:rsidR="007C2E64" w:rsidRPr="00F76D8F">
              <w:rPr>
                <w:rFonts w:ascii="Times New Roman" w:hAnsi="Times New Roman"/>
                <w:sz w:val="20"/>
                <w:szCs w:val="20"/>
              </w:rPr>
              <w:t>Globāl</w:t>
            </w:r>
            <w:r w:rsidR="00917AAA" w:rsidRPr="00F76D8F">
              <w:rPr>
                <w:rFonts w:ascii="Times New Roman" w:hAnsi="Times New Roman"/>
                <w:sz w:val="20"/>
                <w:szCs w:val="20"/>
              </w:rPr>
              <w:t>o standartu</w:t>
            </w:r>
            <w:r w:rsidR="007C2E64" w:rsidRPr="00F76D8F">
              <w:rPr>
                <w:rFonts w:ascii="Times New Roman" w:hAnsi="Times New Roman"/>
                <w:sz w:val="20"/>
                <w:szCs w:val="20"/>
              </w:rPr>
              <w:t xml:space="preserve"> par automātisko informācijas apmaiņu par finanšu kontiem nodokļu jomā (turpmāk – Globālais standarts)</w:t>
            </w:r>
            <w:r w:rsidRPr="00F76D8F">
              <w:rPr>
                <w:rFonts w:ascii="Times New Roman" w:hAnsi="Times New Roman"/>
                <w:sz w:val="20"/>
                <w:szCs w:val="20"/>
              </w:rPr>
              <w:t>.</w:t>
            </w:r>
          </w:p>
          <w:p w:rsidR="00730939" w:rsidRDefault="00320BF2" w:rsidP="00730939">
            <w:pPr>
              <w:pStyle w:val="NoSpacing"/>
              <w:jc w:val="both"/>
              <w:rPr>
                <w:rFonts w:ascii="Times New Roman" w:hAnsi="Times New Roman"/>
                <w:sz w:val="20"/>
                <w:szCs w:val="20"/>
              </w:rPr>
            </w:pPr>
            <w:r w:rsidRPr="00F76D8F">
              <w:rPr>
                <w:rFonts w:ascii="Times New Roman" w:hAnsi="Times New Roman"/>
                <w:sz w:val="20"/>
                <w:szCs w:val="20"/>
              </w:rPr>
              <w:lastRenderedPageBreak/>
              <w:t>Vienlaikus vēr</w:t>
            </w:r>
            <w:r w:rsidR="006A2ADB" w:rsidRPr="00F76D8F">
              <w:rPr>
                <w:rFonts w:ascii="Times New Roman" w:hAnsi="Times New Roman"/>
                <w:sz w:val="20"/>
                <w:szCs w:val="20"/>
              </w:rPr>
              <w:t>šam</w:t>
            </w:r>
            <w:r w:rsidRPr="00F76D8F">
              <w:rPr>
                <w:rFonts w:ascii="Times New Roman" w:hAnsi="Times New Roman"/>
                <w:sz w:val="20"/>
                <w:szCs w:val="20"/>
              </w:rPr>
              <w:t xml:space="preserve"> uzmanību, ka grozījumu mērķis </w:t>
            </w:r>
            <w:r w:rsidR="006A2ADB" w:rsidRPr="00F76D8F">
              <w:rPr>
                <w:rFonts w:ascii="Times New Roman" w:hAnsi="Times New Roman"/>
                <w:sz w:val="20"/>
                <w:szCs w:val="20"/>
              </w:rPr>
              <w:t>ir nevis paplašināt likuma regulējumu</w:t>
            </w:r>
            <w:r w:rsidR="006A2ADB">
              <w:rPr>
                <w:rFonts w:ascii="Times New Roman" w:hAnsi="Times New Roman"/>
                <w:sz w:val="20"/>
                <w:szCs w:val="20"/>
              </w:rPr>
              <w:t>, bet gan</w:t>
            </w:r>
            <w:r w:rsidR="00B055DE">
              <w:rPr>
                <w:rFonts w:ascii="Times New Roman" w:hAnsi="Times New Roman"/>
                <w:sz w:val="20"/>
                <w:szCs w:val="20"/>
              </w:rPr>
              <w:t xml:space="preserve"> veicināt tiesisko skaidrību, precizējot normu tekstu tādā veidā, lai būtu skaidrāk saskatāma </w:t>
            </w:r>
            <w:r w:rsidR="00917AAA">
              <w:rPr>
                <w:rFonts w:ascii="Times New Roman" w:hAnsi="Times New Roman"/>
                <w:sz w:val="20"/>
                <w:szCs w:val="20"/>
              </w:rPr>
              <w:t>minēto normu</w:t>
            </w:r>
            <w:r w:rsidR="00B055DE">
              <w:rPr>
                <w:rFonts w:ascii="Times New Roman" w:hAnsi="Times New Roman"/>
                <w:sz w:val="20"/>
                <w:szCs w:val="20"/>
              </w:rPr>
              <w:t xml:space="preserve"> saskaņa</w:t>
            </w:r>
            <w:r w:rsidR="001A641C">
              <w:rPr>
                <w:rFonts w:ascii="Times New Roman" w:hAnsi="Times New Roman"/>
                <w:sz w:val="20"/>
                <w:szCs w:val="20"/>
              </w:rPr>
              <w:t>/sinhronizācija</w:t>
            </w:r>
            <w:r w:rsidR="00B055DE">
              <w:rPr>
                <w:rFonts w:ascii="Times New Roman" w:hAnsi="Times New Roman"/>
                <w:sz w:val="20"/>
                <w:szCs w:val="20"/>
              </w:rPr>
              <w:t xml:space="preserve"> ar </w:t>
            </w:r>
            <w:r w:rsidR="00917AAA">
              <w:rPr>
                <w:rFonts w:ascii="Times New Roman" w:hAnsi="Times New Roman"/>
                <w:sz w:val="20"/>
                <w:szCs w:val="20"/>
              </w:rPr>
              <w:t>DAC2 un Globālo standartu</w:t>
            </w:r>
            <w:r w:rsidR="00B055DE">
              <w:rPr>
                <w:rFonts w:ascii="Times New Roman" w:hAnsi="Times New Roman"/>
                <w:sz w:val="20"/>
                <w:szCs w:val="20"/>
              </w:rPr>
              <w:t>.</w:t>
            </w:r>
            <w:r w:rsidR="00917AAA">
              <w:rPr>
                <w:rFonts w:ascii="Times New Roman" w:hAnsi="Times New Roman"/>
                <w:sz w:val="20"/>
                <w:szCs w:val="20"/>
              </w:rPr>
              <w:t xml:space="preserve"> Tādējādi</w:t>
            </w:r>
            <w:r w:rsidR="006A2ADB">
              <w:rPr>
                <w:rFonts w:ascii="Times New Roman" w:hAnsi="Times New Roman"/>
                <w:sz w:val="20"/>
                <w:szCs w:val="20"/>
              </w:rPr>
              <w:t xml:space="preserve"> tiek saglabāts</w:t>
            </w:r>
            <w:r w:rsidR="00917AAA">
              <w:rPr>
                <w:rFonts w:ascii="Times New Roman" w:hAnsi="Times New Roman"/>
                <w:sz w:val="20"/>
                <w:szCs w:val="20"/>
              </w:rPr>
              <w:t xml:space="preserve"> princips, atbilstoši kuram saskaņā ar </w:t>
            </w:r>
            <w:r w:rsidR="00917AAA" w:rsidRPr="00917AAA">
              <w:rPr>
                <w:rFonts w:ascii="Times New Roman" w:hAnsi="Times New Roman"/>
                <w:sz w:val="20"/>
                <w:szCs w:val="20"/>
              </w:rPr>
              <w:t>likuma “Par nodokļiem un nodevām”</w:t>
            </w:r>
            <w:r w:rsidR="00917AAA">
              <w:rPr>
                <w:rFonts w:ascii="Times New Roman" w:hAnsi="Times New Roman"/>
                <w:sz w:val="20"/>
                <w:szCs w:val="20"/>
              </w:rPr>
              <w:t xml:space="preserve"> </w:t>
            </w:r>
            <w:r w:rsidR="00917AAA" w:rsidRPr="00917AAA">
              <w:rPr>
                <w:rFonts w:ascii="Times New Roman" w:hAnsi="Times New Roman"/>
                <w:sz w:val="20"/>
                <w:szCs w:val="20"/>
              </w:rPr>
              <w:t>XII nodaļas</w:t>
            </w:r>
            <w:r w:rsidR="00917AAA">
              <w:rPr>
                <w:rFonts w:ascii="Times New Roman" w:hAnsi="Times New Roman"/>
                <w:sz w:val="20"/>
                <w:szCs w:val="20"/>
              </w:rPr>
              <w:t xml:space="preserve"> regul</w:t>
            </w:r>
            <w:r w:rsidR="006A2ADB">
              <w:rPr>
                <w:rFonts w:ascii="Times New Roman" w:hAnsi="Times New Roman"/>
                <w:sz w:val="20"/>
                <w:szCs w:val="20"/>
              </w:rPr>
              <w:t>ējumu</w:t>
            </w:r>
            <w:r w:rsidR="00917AAA">
              <w:rPr>
                <w:rFonts w:ascii="Times New Roman" w:hAnsi="Times New Roman"/>
                <w:sz w:val="20"/>
                <w:szCs w:val="20"/>
              </w:rPr>
              <w:t xml:space="preserve"> ziņas par finanšu kontiem Valsts ieņēmumu dienestam sniedz tāda apdrošināšanas sabiedrība, kura ir uzskatāma par specializētu apdrošināšanas sabiedrību. Turklāt šāda apdrošināšanas sabiedrība sniedz Valsts ieņēmumu dienestam ziņas par tādiem finanšu kontiem, kas ir uzskatāmi par </w:t>
            </w:r>
            <w:proofErr w:type="spellStart"/>
            <w:r w:rsidR="00917AAA">
              <w:rPr>
                <w:rFonts w:ascii="Times New Roman" w:hAnsi="Times New Roman"/>
                <w:sz w:val="20"/>
                <w:szCs w:val="20"/>
              </w:rPr>
              <w:t>annuitātes</w:t>
            </w:r>
            <w:proofErr w:type="spellEnd"/>
            <w:r w:rsidR="00917AAA">
              <w:rPr>
                <w:rFonts w:ascii="Times New Roman" w:hAnsi="Times New Roman"/>
                <w:sz w:val="20"/>
                <w:szCs w:val="20"/>
              </w:rPr>
              <w:t xml:space="preserve"> līgumiem vai apdrošināšanas līgumiem ar naudas uzkrāšanu.</w:t>
            </w:r>
            <w:r w:rsidR="00C16216">
              <w:rPr>
                <w:rFonts w:ascii="Times New Roman" w:hAnsi="Times New Roman"/>
                <w:sz w:val="20"/>
                <w:szCs w:val="20"/>
              </w:rPr>
              <w:t xml:space="preserve"> Savukārt jēdziena “apdrošināšanas līgums” plašā definīcija, ar kuru šobrīd tiek papildināts likums “Par nodokļiem un nodevām”, ir nepieciešama, lai, pamatojoties uz minētās definīcijas pazīmēm, definētu “apdrošināšanas līgumu ar līdzekļu uzkrāšanu” (respektīvi, apdrošināšanas līgums ar līdzekļu uzrāšanu (finanšu konts, kas pakļauts ziņošanai) </w:t>
            </w:r>
            <w:r w:rsidR="006A2ADB">
              <w:rPr>
                <w:rFonts w:ascii="Times New Roman" w:hAnsi="Times New Roman"/>
                <w:sz w:val="20"/>
                <w:szCs w:val="20"/>
              </w:rPr>
              <w:t>ir tāds apdrošināšanas līgums</w:t>
            </w:r>
            <w:r w:rsidR="00C16216">
              <w:rPr>
                <w:rFonts w:ascii="Times New Roman" w:hAnsi="Times New Roman"/>
                <w:sz w:val="20"/>
                <w:szCs w:val="20"/>
              </w:rPr>
              <w:t xml:space="preserve">, </w:t>
            </w:r>
            <w:r w:rsidR="006A2ADB">
              <w:rPr>
                <w:rFonts w:ascii="Times New Roman" w:hAnsi="Times New Roman"/>
                <w:sz w:val="20"/>
                <w:szCs w:val="20"/>
              </w:rPr>
              <w:t>kuram ir naudas vērtība)).</w:t>
            </w:r>
          </w:p>
          <w:p w:rsidR="00134FE9" w:rsidRPr="004F4F7E" w:rsidRDefault="00134FE9" w:rsidP="00730939">
            <w:pPr>
              <w:pStyle w:val="NoSpacing"/>
              <w:jc w:val="both"/>
              <w:rPr>
                <w:rFonts w:ascii="Times New Roman" w:hAnsi="Times New Roman"/>
                <w:sz w:val="20"/>
                <w:szCs w:val="20"/>
              </w:rPr>
            </w:pPr>
            <w:r>
              <w:rPr>
                <w:rFonts w:ascii="Times New Roman" w:hAnsi="Times New Roman"/>
                <w:sz w:val="20"/>
                <w:szCs w:val="20"/>
              </w:rPr>
              <w:t>Atbilstoši papildināta anotācija.</w:t>
            </w:r>
          </w:p>
        </w:tc>
        <w:tc>
          <w:tcPr>
            <w:tcW w:w="0" w:type="auto"/>
            <w:tcBorders>
              <w:top w:val="single" w:sz="4" w:space="0" w:color="auto"/>
              <w:left w:val="single" w:sz="4" w:space="0" w:color="auto"/>
              <w:bottom w:val="single" w:sz="4" w:space="0" w:color="auto"/>
            </w:tcBorders>
          </w:tcPr>
          <w:p w:rsidR="00C16216" w:rsidRPr="00C16216" w:rsidRDefault="00745CBA" w:rsidP="00C16216">
            <w:pPr>
              <w:pStyle w:val="NoSpacing"/>
              <w:jc w:val="both"/>
              <w:rPr>
                <w:rFonts w:ascii="Times New Roman" w:hAnsi="Times New Roman"/>
                <w:bCs/>
                <w:sz w:val="12"/>
                <w:szCs w:val="20"/>
              </w:rPr>
            </w:pPr>
            <w:r>
              <w:rPr>
                <w:rFonts w:ascii="Times New Roman" w:eastAsia="Times New Roman" w:hAnsi="Times New Roman"/>
                <w:color w:val="000000"/>
                <w:sz w:val="20"/>
                <w:szCs w:val="28"/>
                <w:lang w:eastAsia="lv-LV"/>
              </w:rPr>
              <w:lastRenderedPageBreak/>
              <w:t>7</w:t>
            </w:r>
            <w:r w:rsidR="00C16216" w:rsidRPr="00C16216">
              <w:rPr>
                <w:rFonts w:ascii="Times New Roman" w:eastAsia="Times New Roman" w:hAnsi="Times New Roman"/>
                <w:color w:val="000000"/>
                <w:sz w:val="20"/>
                <w:szCs w:val="28"/>
                <w:lang w:eastAsia="lv-LV"/>
              </w:rPr>
              <w:t>. Papildināt ar 92.</w:t>
            </w:r>
            <w:r w:rsidR="00C16216" w:rsidRPr="00C16216">
              <w:rPr>
                <w:rFonts w:ascii="Times New Roman" w:eastAsia="Times New Roman" w:hAnsi="Times New Roman"/>
                <w:color w:val="000000"/>
                <w:sz w:val="20"/>
                <w:szCs w:val="28"/>
                <w:vertAlign w:val="superscript"/>
                <w:lang w:eastAsia="lv-LV"/>
              </w:rPr>
              <w:t xml:space="preserve">1 </w:t>
            </w:r>
            <w:r w:rsidR="00C16216" w:rsidRPr="00C16216">
              <w:rPr>
                <w:rFonts w:ascii="Times New Roman" w:eastAsia="Times New Roman" w:hAnsi="Times New Roman"/>
                <w:color w:val="000000"/>
                <w:sz w:val="20"/>
                <w:szCs w:val="28"/>
                <w:lang w:eastAsia="lv-LV"/>
              </w:rPr>
              <w:t>pantu šādā redakcijā:</w:t>
            </w:r>
          </w:p>
          <w:p w:rsidR="003D4AFE" w:rsidRDefault="003D4AFE" w:rsidP="00EB711B">
            <w:pPr>
              <w:ind w:firstLine="709"/>
              <w:jc w:val="both"/>
              <w:rPr>
                <w:rFonts w:eastAsiaTheme="minorHAnsi"/>
                <w:sz w:val="20"/>
                <w:szCs w:val="20"/>
                <w:lang w:eastAsia="en-US"/>
              </w:rPr>
            </w:pPr>
          </w:p>
          <w:p w:rsidR="00320BF2" w:rsidRPr="00F04E3F" w:rsidRDefault="00320BF2" w:rsidP="00320BF2">
            <w:pPr>
              <w:ind w:firstLine="567"/>
              <w:jc w:val="both"/>
              <w:rPr>
                <w:color w:val="000000"/>
                <w:sz w:val="20"/>
                <w:szCs w:val="28"/>
              </w:rPr>
            </w:pPr>
            <w:r>
              <w:rPr>
                <w:b/>
                <w:color w:val="000000"/>
                <w:sz w:val="20"/>
                <w:szCs w:val="28"/>
              </w:rPr>
              <w:t>“</w:t>
            </w:r>
            <w:r w:rsidRPr="00F04E3F">
              <w:rPr>
                <w:b/>
                <w:color w:val="000000"/>
                <w:sz w:val="20"/>
                <w:szCs w:val="28"/>
              </w:rPr>
              <w:t>92.</w:t>
            </w:r>
            <w:r w:rsidRPr="00F04E3F">
              <w:rPr>
                <w:b/>
                <w:color w:val="000000"/>
                <w:sz w:val="20"/>
                <w:szCs w:val="28"/>
                <w:vertAlign w:val="superscript"/>
              </w:rPr>
              <w:t>1</w:t>
            </w:r>
            <w:r w:rsidRPr="00F04E3F">
              <w:rPr>
                <w:b/>
                <w:color w:val="000000"/>
                <w:sz w:val="20"/>
                <w:szCs w:val="28"/>
              </w:rPr>
              <w:t xml:space="preserve"> pants. Apdrošināšanas līgums</w:t>
            </w:r>
          </w:p>
          <w:p w:rsidR="00320BF2" w:rsidRDefault="00320BF2" w:rsidP="00320BF2">
            <w:pPr>
              <w:jc w:val="both"/>
              <w:rPr>
                <w:rFonts w:eastAsiaTheme="minorHAnsi"/>
                <w:iCs/>
                <w:sz w:val="20"/>
                <w:szCs w:val="20"/>
              </w:rPr>
            </w:pPr>
            <w:r w:rsidRPr="00320BF2">
              <w:rPr>
                <w:rFonts w:eastAsiaTheme="minorHAnsi"/>
                <w:iCs/>
                <w:sz w:val="20"/>
                <w:szCs w:val="20"/>
              </w:rPr>
              <w:t>Šīs nodaļas izpratnē apdrošināš</w:t>
            </w:r>
            <w:r>
              <w:rPr>
                <w:rFonts w:eastAsiaTheme="minorHAnsi"/>
                <w:iCs/>
                <w:sz w:val="20"/>
                <w:szCs w:val="20"/>
              </w:rPr>
              <w:t xml:space="preserve">anas līgums ir līgums (kas nav </w:t>
            </w:r>
            <w:proofErr w:type="spellStart"/>
            <w:r>
              <w:rPr>
                <w:rFonts w:eastAsiaTheme="minorHAnsi"/>
                <w:iCs/>
                <w:sz w:val="20"/>
                <w:szCs w:val="20"/>
              </w:rPr>
              <w:t>a</w:t>
            </w:r>
            <w:r w:rsidRPr="00320BF2">
              <w:rPr>
                <w:rFonts w:eastAsiaTheme="minorHAnsi"/>
                <w:iCs/>
                <w:sz w:val="20"/>
                <w:szCs w:val="20"/>
              </w:rPr>
              <w:t>nnuitātes</w:t>
            </w:r>
            <w:proofErr w:type="spellEnd"/>
            <w:r w:rsidRPr="00320BF2">
              <w:rPr>
                <w:rFonts w:eastAsiaTheme="minorHAnsi"/>
                <w:iCs/>
                <w:sz w:val="20"/>
                <w:szCs w:val="20"/>
              </w:rPr>
              <w:t xml:space="preserve"> līgums), saskaņā ar kuru apdrošinājuma devējs uzņemas </w:t>
            </w:r>
            <w:r w:rsidRPr="00320BF2">
              <w:rPr>
                <w:rFonts w:eastAsiaTheme="minorHAnsi"/>
                <w:iCs/>
                <w:sz w:val="20"/>
                <w:szCs w:val="20"/>
              </w:rPr>
              <w:lastRenderedPageBreak/>
              <w:t>saistības maksāt noteiktu summu, ja īstenojas konkrēti apstākļi, kas saistīti ar nāves, veselības, nelaimes gadījuma, saistību vai īpašuma risku.”</w:t>
            </w:r>
          </w:p>
          <w:p w:rsidR="00C16216" w:rsidRDefault="00C16216" w:rsidP="00320BF2">
            <w:pPr>
              <w:jc w:val="both"/>
              <w:rPr>
                <w:rFonts w:eastAsiaTheme="minorHAnsi"/>
                <w:iCs/>
                <w:sz w:val="20"/>
                <w:szCs w:val="20"/>
              </w:rPr>
            </w:pPr>
          </w:p>
          <w:p w:rsidR="00C16216" w:rsidRPr="00320BF2" w:rsidRDefault="00C16216" w:rsidP="00320BF2">
            <w:pPr>
              <w:jc w:val="both"/>
              <w:rPr>
                <w:iCs/>
                <w:sz w:val="20"/>
                <w:szCs w:val="20"/>
              </w:rPr>
            </w:pPr>
            <w:r w:rsidRPr="00C16216">
              <w:rPr>
                <w:bCs/>
                <w:sz w:val="20"/>
                <w:szCs w:val="20"/>
              </w:rPr>
              <w:t>7. Izslēgt 93. pantā vārdu “dzīvības”.</w:t>
            </w:r>
          </w:p>
        </w:tc>
      </w:tr>
      <w:tr w:rsidR="00320BF2" w:rsidRPr="004F4F7E" w:rsidTr="00DB3070">
        <w:tc>
          <w:tcPr>
            <w:tcW w:w="0" w:type="auto"/>
            <w:tcBorders>
              <w:top w:val="single" w:sz="4" w:space="0" w:color="auto"/>
              <w:left w:val="single" w:sz="4" w:space="0" w:color="auto"/>
              <w:bottom w:val="single" w:sz="4" w:space="0" w:color="auto"/>
              <w:right w:val="single" w:sz="4" w:space="0" w:color="auto"/>
            </w:tcBorders>
            <w:shd w:val="clear" w:color="auto" w:fill="auto"/>
          </w:tcPr>
          <w:p w:rsidR="00B8446D" w:rsidRPr="004F4F7E" w:rsidRDefault="00D32A01" w:rsidP="00160260">
            <w:pPr>
              <w:pStyle w:val="naisc"/>
              <w:spacing w:before="0" w:after="0"/>
              <w:jc w:val="right"/>
              <w:rPr>
                <w:sz w:val="20"/>
                <w:szCs w:val="20"/>
              </w:rPr>
            </w:pPr>
            <w:r>
              <w:rPr>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tcPr>
          <w:p w:rsidR="00B8446D" w:rsidRPr="004F4F7E" w:rsidRDefault="00B8446D" w:rsidP="00160260">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B8446D" w:rsidRDefault="00B8446D" w:rsidP="00B8446D">
            <w:pPr>
              <w:jc w:val="both"/>
              <w:rPr>
                <w:rFonts w:eastAsiaTheme="minorHAnsi"/>
                <w:b/>
                <w:sz w:val="20"/>
                <w:lang w:eastAsia="en-US"/>
              </w:rPr>
            </w:pPr>
            <w:r>
              <w:rPr>
                <w:rFonts w:eastAsiaTheme="minorHAnsi"/>
                <w:b/>
                <w:sz w:val="20"/>
                <w:lang w:eastAsia="en-US"/>
              </w:rPr>
              <w:t>TM</w:t>
            </w:r>
            <w:r w:rsidR="00A469A5" w:rsidRPr="00A469A5">
              <w:rPr>
                <w:sz w:val="20"/>
                <w:szCs w:val="28"/>
              </w:rPr>
              <w:t xml:space="preserve"> (07.06.2019. atzinums)</w:t>
            </w:r>
          </w:p>
          <w:p w:rsidR="00B8446D" w:rsidRPr="00425125" w:rsidRDefault="00B8446D" w:rsidP="00B8446D">
            <w:pPr>
              <w:jc w:val="both"/>
              <w:rPr>
                <w:rFonts w:eastAsiaTheme="minorHAnsi"/>
                <w:sz w:val="20"/>
                <w:lang w:eastAsia="en-US"/>
              </w:rPr>
            </w:pPr>
            <w:r w:rsidRPr="00425125">
              <w:rPr>
                <w:rFonts w:eastAsiaTheme="minorHAnsi"/>
                <w:sz w:val="20"/>
                <w:lang w:eastAsia="en-US"/>
              </w:rPr>
              <w:t>Anotācijas V sadaļas 1. tabulā (turpmāk – tabula) ir norādīts, ka Padomes 2018. gada 25. maija Direktīvas (ES) 2018/822, ar ko attiecībā uz obligāto automātisko informācijas apmaiņu nodokļu jomā saistībā ar ziņojamām pārrobežu shēmām groza Direktīvu 2011/16/ES, 1. panta 2. punkts pilnībā pārņemts projekta 2. pantā. Pirmkārt, norādām uz to, ka, saturiski vērtējot, projektā minētās prasības nav pārņemtas pilnībā. Attiecīgi lūdzam papildināt projektu vai precizēt tabulu.</w:t>
            </w:r>
          </w:p>
          <w:p w:rsidR="00B8446D" w:rsidRDefault="00B8446D" w:rsidP="00B8446D">
            <w:pPr>
              <w:jc w:val="both"/>
              <w:rPr>
                <w:rFonts w:eastAsiaTheme="minorHAnsi"/>
                <w:sz w:val="20"/>
                <w:lang w:eastAsia="en-US"/>
              </w:rPr>
            </w:pPr>
            <w:r w:rsidRPr="00425125">
              <w:rPr>
                <w:rFonts w:eastAsiaTheme="minorHAnsi"/>
                <w:sz w:val="20"/>
                <w:lang w:eastAsia="en-US"/>
              </w:rPr>
              <w:t>Otrkārt, saistībā ar projekta 2. pantu lūdzam aizpildīt anotācijas V sadaļas 2. punktu un 2. tabulu atbilstoši Ministru kabineta 2009. gada 15. decembra instrukcijas Nr. 19 "Tiesību akta projekta sākotnējās ietekmes izvērtēšanas kārtība" (turpmāk – instrukcija) 57. un 58. punktā noteiktajām prasībām, jo projekta 2. pants ir saistīts ar Latvijas Republikas starptautiskajām saistībām.</w:t>
            </w:r>
          </w:p>
          <w:p w:rsidR="00B22D01" w:rsidRDefault="00B22D01" w:rsidP="00B8446D">
            <w:pPr>
              <w:jc w:val="both"/>
              <w:rPr>
                <w:rFonts w:eastAsiaTheme="minorHAnsi"/>
                <w:b/>
                <w:sz w:val="20"/>
                <w:lang w:eastAsia="en-US"/>
              </w:rPr>
            </w:pPr>
          </w:p>
        </w:tc>
        <w:tc>
          <w:tcPr>
            <w:tcW w:w="0" w:type="auto"/>
            <w:tcBorders>
              <w:top w:val="single" w:sz="4" w:space="0" w:color="auto"/>
              <w:left w:val="single" w:sz="4" w:space="0" w:color="auto"/>
              <w:bottom w:val="single" w:sz="4" w:space="0" w:color="auto"/>
              <w:right w:val="single" w:sz="4" w:space="0" w:color="auto"/>
            </w:tcBorders>
          </w:tcPr>
          <w:p w:rsidR="00B8446D" w:rsidRPr="00DB3070" w:rsidRDefault="001A641C" w:rsidP="00160260">
            <w:pPr>
              <w:pStyle w:val="NoSpacing"/>
              <w:jc w:val="both"/>
              <w:rPr>
                <w:rFonts w:ascii="Times New Roman" w:hAnsi="Times New Roman"/>
                <w:b/>
                <w:sz w:val="20"/>
                <w:szCs w:val="20"/>
              </w:rPr>
            </w:pPr>
            <w:r w:rsidRPr="00DB3070">
              <w:rPr>
                <w:rFonts w:ascii="Times New Roman" w:hAnsi="Times New Roman"/>
                <w:b/>
                <w:sz w:val="20"/>
                <w:szCs w:val="20"/>
              </w:rPr>
              <w:t>Ņemts vērā</w:t>
            </w:r>
          </w:p>
          <w:p w:rsidR="001A641C" w:rsidRPr="004F4F7E" w:rsidRDefault="001A641C" w:rsidP="001A641C">
            <w:pPr>
              <w:pStyle w:val="NoSpacing"/>
              <w:jc w:val="both"/>
              <w:rPr>
                <w:rFonts w:ascii="Times New Roman" w:hAnsi="Times New Roman"/>
                <w:sz w:val="20"/>
                <w:szCs w:val="20"/>
              </w:rPr>
            </w:pPr>
            <w:r>
              <w:rPr>
                <w:rFonts w:ascii="Times New Roman" w:hAnsi="Times New Roman"/>
                <w:sz w:val="20"/>
                <w:szCs w:val="20"/>
              </w:rPr>
              <w:t xml:space="preserve">Atbilstoši papildināta anotācijas </w:t>
            </w:r>
            <w:r>
              <w:rPr>
                <w:color w:val="000000"/>
                <w:sz w:val="20"/>
                <w:szCs w:val="20"/>
              </w:rPr>
              <w:t xml:space="preserve">V sadaļa. </w:t>
            </w:r>
          </w:p>
        </w:tc>
        <w:tc>
          <w:tcPr>
            <w:tcW w:w="0" w:type="auto"/>
            <w:tcBorders>
              <w:top w:val="single" w:sz="4" w:space="0" w:color="auto"/>
              <w:left w:val="single" w:sz="4" w:space="0" w:color="auto"/>
              <w:bottom w:val="single" w:sz="4" w:space="0" w:color="auto"/>
            </w:tcBorders>
          </w:tcPr>
          <w:p w:rsidR="00B8446D" w:rsidRPr="004F4F7E" w:rsidRDefault="00B8446D" w:rsidP="00EB711B">
            <w:pPr>
              <w:ind w:firstLine="709"/>
              <w:jc w:val="both"/>
              <w:rPr>
                <w:rFonts w:eastAsiaTheme="minorHAnsi"/>
                <w:sz w:val="20"/>
                <w:szCs w:val="20"/>
                <w:lang w:eastAsia="en-US"/>
              </w:rPr>
            </w:pPr>
          </w:p>
        </w:tc>
      </w:tr>
      <w:tr w:rsidR="00320BF2" w:rsidRPr="004F4F7E" w:rsidTr="00DB3070">
        <w:tc>
          <w:tcPr>
            <w:tcW w:w="0" w:type="auto"/>
            <w:tcBorders>
              <w:top w:val="single" w:sz="4" w:space="0" w:color="auto"/>
              <w:left w:val="single" w:sz="4" w:space="0" w:color="auto"/>
              <w:bottom w:val="single" w:sz="4" w:space="0" w:color="auto"/>
              <w:right w:val="single" w:sz="4" w:space="0" w:color="auto"/>
            </w:tcBorders>
            <w:shd w:val="clear" w:color="auto" w:fill="auto"/>
          </w:tcPr>
          <w:p w:rsidR="003D4AFE" w:rsidRPr="004F4F7E" w:rsidRDefault="00D32A01" w:rsidP="00160260">
            <w:pPr>
              <w:pStyle w:val="naisc"/>
              <w:spacing w:before="0" w:after="0"/>
              <w:jc w:val="right"/>
              <w:rPr>
                <w:sz w:val="20"/>
                <w:szCs w:val="20"/>
              </w:rPr>
            </w:pPr>
            <w:r>
              <w:rPr>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tcPr>
          <w:p w:rsidR="003D4AFE" w:rsidRPr="004F4F7E" w:rsidRDefault="003D4AFE" w:rsidP="00160260">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3D4AFE" w:rsidRDefault="00D42E5F" w:rsidP="003306C7">
            <w:pPr>
              <w:jc w:val="both"/>
              <w:rPr>
                <w:rFonts w:eastAsiaTheme="minorHAnsi"/>
                <w:b/>
                <w:sz w:val="20"/>
                <w:lang w:eastAsia="en-US"/>
              </w:rPr>
            </w:pPr>
            <w:r>
              <w:rPr>
                <w:rFonts w:eastAsiaTheme="minorHAnsi"/>
                <w:b/>
                <w:sz w:val="20"/>
                <w:lang w:eastAsia="en-US"/>
              </w:rPr>
              <w:t>TM</w:t>
            </w:r>
            <w:r w:rsidR="00A469A5" w:rsidRPr="00A469A5">
              <w:rPr>
                <w:sz w:val="20"/>
                <w:szCs w:val="28"/>
              </w:rPr>
              <w:t xml:space="preserve"> (07.06.2019. atzinums)</w:t>
            </w:r>
          </w:p>
          <w:p w:rsidR="00D42E5F" w:rsidRPr="00D42E5F" w:rsidRDefault="00D42E5F" w:rsidP="003306C7">
            <w:pPr>
              <w:jc w:val="both"/>
              <w:rPr>
                <w:rFonts w:eastAsiaTheme="minorHAnsi"/>
                <w:sz w:val="20"/>
                <w:lang w:eastAsia="en-US"/>
              </w:rPr>
            </w:pPr>
            <w:r w:rsidRPr="00D42E5F">
              <w:rPr>
                <w:rFonts w:eastAsiaTheme="minorHAnsi"/>
                <w:sz w:val="20"/>
                <w:lang w:eastAsia="en-US"/>
              </w:rPr>
              <w:t>Vēršam uzmanību uz to, ka anotācijas I sadaļas 2. punktā ietvertā informācija par projekta 4., 5., 6., 7., 8. un 9. pantā paredzēto grozījumu ir neskaidra, piemēram, nav saprotams, kādu terminu definīcijas vai iesniedzamā informācija tiek precizēta projekta 4. pantā paredzētajos grozījumos. Ievērojot minēto, lūdzam precizēt anotācijas I sadaļas 2. punktā ietverto skaidrojumu par projekta 4., 5., 6., 7., 8. un 9. pantā paredzēto grozījumu.</w:t>
            </w:r>
          </w:p>
        </w:tc>
        <w:tc>
          <w:tcPr>
            <w:tcW w:w="0" w:type="auto"/>
            <w:tcBorders>
              <w:top w:val="single" w:sz="4" w:space="0" w:color="auto"/>
              <w:left w:val="single" w:sz="4" w:space="0" w:color="auto"/>
              <w:bottom w:val="single" w:sz="4" w:space="0" w:color="auto"/>
              <w:right w:val="single" w:sz="4" w:space="0" w:color="auto"/>
            </w:tcBorders>
          </w:tcPr>
          <w:p w:rsidR="003D4AFE" w:rsidRPr="009E1F76" w:rsidRDefault="009E1F76" w:rsidP="00160260">
            <w:pPr>
              <w:pStyle w:val="NoSpacing"/>
              <w:jc w:val="both"/>
              <w:rPr>
                <w:rFonts w:ascii="Times New Roman" w:hAnsi="Times New Roman"/>
                <w:b/>
                <w:sz w:val="20"/>
                <w:szCs w:val="20"/>
              </w:rPr>
            </w:pPr>
            <w:r w:rsidRPr="009E1F76">
              <w:rPr>
                <w:rFonts w:ascii="Times New Roman" w:hAnsi="Times New Roman"/>
                <w:b/>
                <w:sz w:val="20"/>
                <w:szCs w:val="20"/>
              </w:rPr>
              <w:t>Ņemts v</w:t>
            </w:r>
            <w:r>
              <w:rPr>
                <w:rFonts w:ascii="Times New Roman" w:hAnsi="Times New Roman"/>
                <w:b/>
                <w:sz w:val="20"/>
                <w:szCs w:val="20"/>
              </w:rPr>
              <w:t>ē</w:t>
            </w:r>
            <w:r w:rsidRPr="009E1F76">
              <w:rPr>
                <w:rFonts w:ascii="Times New Roman" w:hAnsi="Times New Roman"/>
                <w:b/>
                <w:sz w:val="20"/>
                <w:szCs w:val="20"/>
              </w:rPr>
              <w:t>rā</w:t>
            </w:r>
          </w:p>
          <w:p w:rsidR="009E1F76" w:rsidRPr="004F4F7E" w:rsidRDefault="009E1F76" w:rsidP="002B2EAF">
            <w:pPr>
              <w:pStyle w:val="NoSpacing"/>
              <w:jc w:val="both"/>
              <w:rPr>
                <w:rFonts w:ascii="Times New Roman" w:hAnsi="Times New Roman"/>
                <w:sz w:val="20"/>
                <w:szCs w:val="20"/>
              </w:rPr>
            </w:pPr>
            <w:r>
              <w:rPr>
                <w:rFonts w:ascii="Times New Roman" w:hAnsi="Times New Roman"/>
                <w:sz w:val="20"/>
                <w:szCs w:val="20"/>
              </w:rPr>
              <w:t xml:space="preserve">Papildināts anotācijas I sadaļas 2. punkts, skaidrojot likumprojekta </w:t>
            </w:r>
            <w:r w:rsidR="002B2EAF">
              <w:rPr>
                <w:rFonts w:ascii="Times New Roman" w:hAnsi="Times New Roman"/>
                <w:sz w:val="20"/>
                <w:szCs w:val="20"/>
              </w:rPr>
              <w:t>5</w:t>
            </w:r>
            <w:r>
              <w:rPr>
                <w:rFonts w:ascii="Times New Roman" w:hAnsi="Times New Roman"/>
                <w:sz w:val="20"/>
                <w:szCs w:val="20"/>
              </w:rPr>
              <w:t xml:space="preserve">., </w:t>
            </w:r>
            <w:r w:rsidR="002B2EAF">
              <w:rPr>
                <w:rFonts w:ascii="Times New Roman" w:hAnsi="Times New Roman"/>
                <w:sz w:val="20"/>
                <w:szCs w:val="20"/>
              </w:rPr>
              <w:t>6</w:t>
            </w:r>
            <w:r>
              <w:rPr>
                <w:rFonts w:ascii="Times New Roman" w:hAnsi="Times New Roman"/>
                <w:sz w:val="20"/>
                <w:szCs w:val="20"/>
              </w:rPr>
              <w:t xml:space="preserve">., </w:t>
            </w:r>
            <w:r w:rsidR="002B2EAF">
              <w:rPr>
                <w:rFonts w:ascii="Times New Roman" w:hAnsi="Times New Roman"/>
                <w:sz w:val="20"/>
                <w:szCs w:val="20"/>
              </w:rPr>
              <w:t>7</w:t>
            </w:r>
            <w:r>
              <w:rPr>
                <w:rFonts w:ascii="Times New Roman" w:hAnsi="Times New Roman"/>
                <w:sz w:val="20"/>
                <w:szCs w:val="20"/>
              </w:rPr>
              <w:t xml:space="preserve">., </w:t>
            </w:r>
            <w:r w:rsidR="002B2EAF">
              <w:rPr>
                <w:rFonts w:ascii="Times New Roman" w:hAnsi="Times New Roman"/>
                <w:sz w:val="20"/>
                <w:szCs w:val="20"/>
              </w:rPr>
              <w:t>8</w:t>
            </w:r>
            <w:r>
              <w:rPr>
                <w:rFonts w:ascii="Times New Roman" w:hAnsi="Times New Roman"/>
                <w:sz w:val="20"/>
                <w:szCs w:val="20"/>
              </w:rPr>
              <w:t xml:space="preserve">., </w:t>
            </w:r>
            <w:r w:rsidR="002B2EAF">
              <w:rPr>
                <w:rFonts w:ascii="Times New Roman" w:hAnsi="Times New Roman"/>
                <w:sz w:val="20"/>
                <w:szCs w:val="20"/>
              </w:rPr>
              <w:t>9</w:t>
            </w:r>
            <w:r>
              <w:rPr>
                <w:rFonts w:ascii="Times New Roman" w:hAnsi="Times New Roman"/>
                <w:sz w:val="20"/>
                <w:szCs w:val="20"/>
              </w:rPr>
              <w:t xml:space="preserve">. un </w:t>
            </w:r>
            <w:r w:rsidR="002B2EAF">
              <w:rPr>
                <w:rFonts w:ascii="Times New Roman" w:hAnsi="Times New Roman"/>
                <w:sz w:val="20"/>
                <w:szCs w:val="20"/>
              </w:rPr>
              <w:t>10</w:t>
            </w:r>
            <w:bookmarkStart w:id="0" w:name="_GoBack"/>
            <w:bookmarkEnd w:id="0"/>
            <w:r>
              <w:rPr>
                <w:rFonts w:ascii="Times New Roman" w:hAnsi="Times New Roman"/>
                <w:sz w:val="20"/>
                <w:szCs w:val="20"/>
              </w:rPr>
              <w:t>. panta būtību.</w:t>
            </w:r>
          </w:p>
        </w:tc>
        <w:tc>
          <w:tcPr>
            <w:tcW w:w="0" w:type="auto"/>
            <w:tcBorders>
              <w:top w:val="single" w:sz="4" w:space="0" w:color="auto"/>
              <w:left w:val="single" w:sz="4" w:space="0" w:color="auto"/>
              <w:bottom w:val="single" w:sz="4" w:space="0" w:color="auto"/>
            </w:tcBorders>
          </w:tcPr>
          <w:p w:rsidR="003D4AFE" w:rsidRPr="004F4F7E" w:rsidRDefault="003D4AFE" w:rsidP="00EB711B">
            <w:pPr>
              <w:ind w:firstLine="709"/>
              <w:jc w:val="both"/>
              <w:rPr>
                <w:rFonts w:eastAsiaTheme="minorHAnsi"/>
                <w:sz w:val="20"/>
                <w:szCs w:val="20"/>
                <w:lang w:eastAsia="en-US"/>
              </w:rPr>
            </w:pPr>
          </w:p>
        </w:tc>
      </w:tr>
      <w:tr w:rsidR="00320BF2" w:rsidRPr="004F4F7E" w:rsidTr="00DB3070">
        <w:tc>
          <w:tcPr>
            <w:tcW w:w="0" w:type="auto"/>
            <w:tcBorders>
              <w:top w:val="single" w:sz="4" w:space="0" w:color="auto"/>
              <w:left w:val="single" w:sz="4" w:space="0" w:color="auto"/>
              <w:bottom w:val="single" w:sz="4" w:space="0" w:color="auto"/>
              <w:right w:val="single" w:sz="4" w:space="0" w:color="auto"/>
            </w:tcBorders>
            <w:shd w:val="clear" w:color="auto" w:fill="auto"/>
          </w:tcPr>
          <w:p w:rsidR="003D4AFE" w:rsidRPr="004F4F7E" w:rsidRDefault="00D32A01" w:rsidP="00160260">
            <w:pPr>
              <w:pStyle w:val="naisc"/>
              <w:spacing w:before="0" w:after="0"/>
              <w:jc w:val="right"/>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3D4AFE" w:rsidRPr="004F4F7E" w:rsidRDefault="003D4AFE" w:rsidP="00160260">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3D4AFE" w:rsidRDefault="00D42E5F" w:rsidP="003306C7">
            <w:pPr>
              <w:jc w:val="both"/>
              <w:rPr>
                <w:rFonts w:eastAsiaTheme="minorHAnsi"/>
                <w:b/>
                <w:sz w:val="20"/>
                <w:lang w:eastAsia="en-US"/>
              </w:rPr>
            </w:pPr>
            <w:r>
              <w:rPr>
                <w:rFonts w:eastAsiaTheme="minorHAnsi"/>
                <w:b/>
                <w:sz w:val="20"/>
                <w:lang w:eastAsia="en-US"/>
              </w:rPr>
              <w:t>TM</w:t>
            </w:r>
            <w:r w:rsidR="00A469A5" w:rsidRPr="00A469A5">
              <w:rPr>
                <w:sz w:val="20"/>
                <w:szCs w:val="28"/>
              </w:rPr>
              <w:t xml:space="preserve"> (07.06.2019. atzinums)</w:t>
            </w:r>
          </w:p>
          <w:p w:rsidR="00D42E5F" w:rsidRPr="00D42E5F" w:rsidRDefault="00D42E5F" w:rsidP="003306C7">
            <w:pPr>
              <w:jc w:val="both"/>
              <w:rPr>
                <w:rFonts w:eastAsiaTheme="minorHAnsi"/>
                <w:sz w:val="20"/>
                <w:lang w:eastAsia="en-US"/>
              </w:rPr>
            </w:pPr>
            <w:r w:rsidRPr="00D42E5F">
              <w:rPr>
                <w:rFonts w:eastAsiaTheme="minorHAnsi"/>
                <w:sz w:val="20"/>
                <w:lang w:eastAsia="en-US"/>
              </w:rPr>
              <w:t> Ņemot vērā, ka projekta pamatā ir starptautiski nesaistoši tiesību akti, lūdzam izvērsti pamatot to sasaisti ar projekta regulējumu anotācijas V sadaļas 3. punktā.</w:t>
            </w:r>
          </w:p>
        </w:tc>
        <w:tc>
          <w:tcPr>
            <w:tcW w:w="0" w:type="auto"/>
            <w:tcBorders>
              <w:top w:val="single" w:sz="4" w:space="0" w:color="auto"/>
              <w:left w:val="single" w:sz="4" w:space="0" w:color="auto"/>
              <w:bottom w:val="single" w:sz="4" w:space="0" w:color="auto"/>
              <w:right w:val="single" w:sz="4" w:space="0" w:color="auto"/>
            </w:tcBorders>
          </w:tcPr>
          <w:p w:rsidR="003D4AFE" w:rsidRPr="00F76D8F" w:rsidRDefault="00F76D8F" w:rsidP="00160260">
            <w:pPr>
              <w:pStyle w:val="NoSpacing"/>
              <w:jc w:val="both"/>
              <w:rPr>
                <w:rFonts w:ascii="Times New Roman" w:hAnsi="Times New Roman"/>
                <w:b/>
                <w:sz w:val="20"/>
                <w:szCs w:val="20"/>
              </w:rPr>
            </w:pPr>
            <w:r w:rsidRPr="00F76D8F">
              <w:rPr>
                <w:rFonts w:ascii="Times New Roman" w:hAnsi="Times New Roman"/>
                <w:b/>
                <w:sz w:val="20"/>
                <w:szCs w:val="20"/>
              </w:rPr>
              <w:t>Ņemts vērā</w:t>
            </w:r>
          </w:p>
          <w:p w:rsidR="00D42E5F" w:rsidRPr="004F4F7E" w:rsidRDefault="00F76D8F" w:rsidP="00160260">
            <w:pPr>
              <w:pStyle w:val="NoSpacing"/>
              <w:jc w:val="both"/>
              <w:rPr>
                <w:rFonts w:ascii="Times New Roman" w:hAnsi="Times New Roman"/>
                <w:sz w:val="20"/>
                <w:szCs w:val="20"/>
              </w:rPr>
            </w:pPr>
            <w:r>
              <w:rPr>
                <w:rFonts w:ascii="Times New Roman" w:hAnsi="Times New Roman"/>
                <w:sz w:val="20"/>
                <w:szCs w:val="20"/>
              </w:rPr>
              <w:t>Papildināts anotācijas V sadaļas 3. punkts.</w:t>
            </w:r>
          </w:p>
        </w:tc>
        <w:tc>
          <w:tcPr>
            <w:tcW w:w="0" w:type="auto"/>
            <w:tcBorders>
              <w:top w:val="single" w:sz="4" w:space="0" w:color="auto"/>
              <w:left w:val="single" w:sz="4" w:space="0" w:color="auto"/>
              <w:bottom w:val="single" w:sz="4" w:space="0" w:color="auto"/>
            </w:tcBorders>
          </w:tcPr>
          <w:p w:rsidR="003D4AFE" w:rsidRPr="004F4F7E" w:rsidRDefault="003D4AFE" w:rsidP="00EB711B">
            <w:pPr>
              <w:ind w:firstLine="709"/>
              <w:jc w:val="both"/>
              <w:rPr>
                <w:rFonts w:eastAsiaTheme="minorHAnsi"/>
                <w:sz w:val="20"/>
                <w:szCs w:val="20"/>
                <w:lang w:eastAsia="en-US"/>
              </w:rPr>
            </w:pPr>
          </w:p>
        </w:tc>
      </w:tr>
      <w:tr w:rsidR="00320BF2" w:rsidRPr="004F4F7E" w:rsidTr="00DB3070">
        <w:tc>
          <w:tcPr>
            <w:tcW w:w="0" w:type="auto"/>
            <w:tcBorders>
              <w:top w:val="single" w:sz="4" w:space="0" w:color="auto"/>
              <w:left w:val="single" w:sz="4" w:space="0" w:color="auto"/>
              <w:bottom w:val="single" w:sz="4" w:space="0" w:color="auto"/>
              <w:right w:val="single" w:sz="4" w:space="0" w:color="auto"/>
            </w:tcBorders>
            <w:shd w:val="clear" w:color="auto" w:fill="auto"/>
          </w:tcPr>
          <w:p w:rsidR="00D42E5F" w:rsidRPr="004F4F7E" w:rsidRDefault="00D32A01" w:rsidP="00160260">
            <w:pPr>
              <w:pStyle w:val="naisc"/>
              <w:spacing w:before="0" w:after="0"/>
              <w:jc w:val="right"/>
              <w:rPr>
                <w:sz w:val="20"/>
                <w:szCs w:val="2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D42E5F" w:rsidRPr="004F4F7E" w:rsidRDefault="00D42E5F" w:rsidP="00160260">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42E5F" w:rsidRDefault="001E5DD7" w:rsidP="003306C7">
            <w:pPr>
              <w:jc w:val="both"/>
              <w:rPr>
                <w:rFonts w:eastAsiaTheme="minorHAnsi"/>
                <w:b/>
                <w:sz w:val="20"/>
                <w:lang w:eastAsia="en-US"/>
              </w:rPr>
            </w:pPr>
            <w:r>
              <w:rPr>
                <w:rFonts w:eastAsiaTheme="minorHAnsi"/>
                <w:b/>
                <w:sz w:val="20"/>
                <w:lang w:eastAsia="en-US"/>
              </w:rPr>
              <w:t>TM</w:t>
            </w:r>
            <w:r w:rsidR="00A469A5" w:rsidRPr="00A469A5">
              <w:rPr>
                <w:sz w:val="20"/>
                <w:szCs w:val="28"/>
              </w:rPr>
              <w:t xml:space="preserve"> (07.06.2019. atzinums)</w:t>
            </w:r>
          </w:p>
          <w:p w:rsidR="001E5DD7" w:rsidRPr="001E5DD7" w:rsidRDefault="001E5DD7" w:rsidP="003306C7">
            <w:pPr>
              <w:jc w:val="both"/>
              <w:rPr>
                <w:rFonts w:eastAsiaTheme="minorHAnsi"/>
                <w:sz w:val="20"/>
                <w:lang w:eastAsia="en-US"/>
              </w:rPr>
            </w:pPr>
            <w:r w:rsidRPr="001E5DD7">
              <w:rPr>
                <w:rFonts w:eastAsiaTheme="minorHAnsi"/>
                <w:sz w:val="20"/>
                <w:lang w:eastAsia="en-US"/>
              </w:rPr>
              <w:t>Atbilstoši anotācijas I sadaļas 2. punktā ietvertajai informācijai projekta 4., 5., 6., 7., 8., 9. un 10. pants izriet no Padomes 2011. gada 15. februāra Direktīvas 2011/16/ES par administratīvu sadarbību nodokļu jomā un ar ko atceļ Direktīvu 77/799/EEK. Attiecīgi lūdzam papildināt tabulu, lai būtu iespējams izvērtēt, vai attiecīgais Eiropas Savienības tiesību akts pārņemts korekti.</w:t>
            </w:r>
          </w:p>
        </w:tc>
        <w:tc>
          <w:tcPr>
            <w:tcW w:w="0" w:type="auto"/>
            <w:tcBorders>
              <w:top w:val="single" w:sz="4" w:space="0" w:color="auto"/>
              <w:left w:val="single" w:sz="4" w:space="0" w:color="auto"/>
              <w:bottom w:val="single" w:sz="4" w:space="0" w:color="auto"/>
              <w:right w:val="single" w:sz="4" w:space="0" w:color="auto"/>
            </w:tcBorders>
          </w:tcPr>
          <w:p w:rsidR="00D42E5F" w:rsidRDefault="00F76D8F" w:rsidP="00160260">
            <w:pPr>
              <w:pStyle w:val="NoSpacing"/>
              <w:jc w:val="both"/>
              <w:rPr>
                <w:rFonts w:ascii="Times New Roman" w:hAnsi="Times New Roman"/>
                <w:b/>
                <w:sz w:val="20"/>
                <w:szCs w:val="20"/>
              </w:rPr>
            </w:pPr>
            <w:r w:rsidRPr="00F76D8F">
              <w:rPr>
                <w:rFonts w:ascii="Times New Roman" w:hAnsi="Times New Roman"/>
                <w:b/>
                <w:sz w:val="20"/>
                <w:szCs w:val="20"/>
              </w:rPr>
              <w:t>Ņemts vērā</w:t>
            </w:r>
          </w:p>
          <w:p w:rsidR="00F2119C" w:rsidRPr="00723853" w:rsidRDefault="00F2119C" w:rsidP="00F2119C">
            <w:pPr>
              <w:pStyle w:val="NoSpacing"/>
              <w:jc w:val="both"/>
              <w:rPr>
                <w:rFonts w:ascii="Times New Roman" w:hAnsi="Times New Roman"/>
                <w:sz w:val="20"/>
                <w:szCs w:val="20"/>
              </w:rPr>
            </w:pPr>
            <w:r>
              <w:rPr>
                <w:rFonts w:ascii="Times New Roman" w:hAnsi="Times New Roman"/>
                <w:sz w:val="20"/>
                <w:szCs w:val="20"/>
              </w:rPr>
              <w:t>Papildināta anotācijas V sadaļas 1.tabula.</w:t>
            </w:r>
          </w:p>
        </w:tc>
        <w:tc>
          <w:tcPr>
            <w:tcW w:w="0" w:type="auto"/>
            <w:tcBorders>
              <w:top w:val="single" w:sz="4" w:space="0" w:color="auto"/>
              <w:left w:val="single" w:sz="4" w:space="0" w:color="auto"/>
              <w:bottom w:val="single" w:sz="4" w:space="0" w:color="auto"/>
            </w:tcBorders>
          </w:tcPr>
          <w:p w:rsidR="00D42E5F" w:rsidRPr="004F4F7E" w:rsidRDefault="00D42E5F" w:rsidP="00EB711B">
            <w:pPr>
              <w:ind w:firstLine="709"/>
              <w:jc w:val="both"/>
              <w:rPr>
                <w:rFonts w:eastAsiaTheme="minorHAnsi"/>
                <w:sz w:val="20"/>
                <w:szCs w:val="20"/>
                <w:lang w:eastAsia="en-US"/>
              </w:rPr>
            </w:pPr>
          </w:p>
        </w:tc>
      </w:tr>
    </w:tbl>
    <w:p w:rsidR="00E276C1" w:rsidRPr="004F4F7E" w:rsidRDefault="00E276C1"/>
    <w:tbl>
      <w:tblPr>
        <w:tblW w:w="0" w:type="auto"/>
        <w:tblInd w:w="8" w:type="dxa"/>
        <w:tblLook w:val="00A0" w:firstRow="1" w:lastRow="0" w:firstColumn="1" w:lastColumn="0" w:noHBand="0" w:noVBand="0"/>
      </w:tblPr>
      <w:tblGrid>
        <w:gridCol w:w="2396"/>
        <w:gridCol w:w="2003"/>
      </w:tblGrid>
      <w:tr w:rsidR="006A0BFD" w:rsidRPr="004F4F7E" w:rsidTr="00E276C1">
        <w:trPr>
          <w:gridAfter w:val="1"/>
        </w:trPr>
        <w:tc>
          <w:tcPr>
            <w:tcW w:w="0" w:type="auto"/>
          </w:tcPr>
          <w:p w:rsidR="006A0BFD" w:rsidRPr="004F4F7E" w:rsidRDefault="006A0BFD" w:rsidP="006A0BFD">
            <w:pPr>
              <w:pStyle w:val="naiskr"/>
              <w:spacing w:before="0" w:after="0"/>
              <w:jc w:val="right"/>
              <w:rPr>
                <w:szCs w:val="20"/>
              </w:rPr>
            </w:pPr>
          </w:p>
          <w:p w:rsidR="006A0BFD" w:rsidRPr="004F4F7E" w:rsidRDefault="006A0BFD" w:rsidP="006A0BFD">
            <w:pPr>
              <w:pStyle w:val="naiskr"/>
              <w:spacing w:before="0" w:after="0"/>
              <w:jc w:val="right"/>
              <w:rPr>
                <w:szCs w:val="20"/>
              </w:rPr>
            </w:pPr>
            <w:r w:rsidRPr="004F4F7E">
              <w:rPr>
                <w:szCs w:val="20"/>
              </w:rPr>
              <w:t>Atbildīgā amatpersona</w:t>
            </w:r>
          </w:p>
        </w:tc>
      </w:tr>
      <w:tr w:rsidR="00820AE3" w:rsidRPr="004F4F7E" w:rsidTr="00E276C1">
        <w:tc>
          <w:tcPr>
            <w:tcW w:w="0" w:type="auto"/>
          </w:tcPr>
          <w:p w:rsidR="00A32628" w:rsidRPr="004F4F7E" w:rsidRDefault="00A32628" w:rsidP="00CE1174">
            <w:pPr>
              <w:pStyle w:val="naiskr"/>
              <w:spacing w:before="0" w:after="0"/>
              <w:jc w:val="right"/>
              <w:rPr>
                <w:szCs w:val="20"/>
              </w:rPr>
            </w:pPr>
          </w:p>
        </w:tc>
        <w:tc>
          <w:tcPr>
            <w:tcW w:w="0" w:type="auto"/>
            <w:tcBorders>
              <w:top w:val="single" w:sz="6" w:space="0" w:color="000000"/>
              <w:bottom w:val="single" w:sz="6" w:space="0" w:color="000000"/>
            </w:tcBorders>
          </w:tcPr>
          <w:p w:rsidR="00A32628" w:rsidRPr="004F4F7E" w:rsidRDefault="00A32628" w:rsidP="00A32628">
            <w:pPr>
              <w:pStyle w:val="naisc"/>
              <w:spacing w:before="0" w:after="0"/>
              <w:ind w:firstLine="720"/>
            </w:pPr>
            <w:r w:rsidRPr="004F4F7E">
              <w:t>(paraksts*)</w:t>
            </w:r>
          </w:p>
        </w:tc>
      </w:tr>
    </w:tbl>
    <w:p w:rsidR="00317DC7" w:rsidRPr="004F4F7E" w:rsidRDefault="00184479" w:rsidP="00DB7395">
      <w:pPr>
        <w:pStyle w:val="naisf"/>
        <w:spacing w:before="0" w:after="0"/>
        <w:ind w:firstLine="720"/>
        <w:rPr>
          <w:szCs w:val="20"/>
        </w:rPr>
      </w:pPr>
      <w:r w:rsidRPr="004F4F7E">
        <w:rPr>
          <w:szCs w:val="20"/>
        </w:rPr>
        <w:t>Piezīme.</w:t>
      </w:r>
      <w:r w:rsidR="00767BF3" w:rsidRPr="004F4F7E">
        <w:rPr>
          <w:szCs w:val="20"/>
        </w:rPr>
        <w:t> </w:t>
      </w:r>
      <w:r w:rsidR="00FB6C91" w:rsidRPr="004F4F7E">
        <w:rPr>
          <w:szCs w:val="20"/>
        </w:rPr>
        <w:t>*</w:t>
      </w:r>
      <w:r w:rsidR="00767BF3" w:rsidRPr="004F4F7E">
        <w:rPr>
          <w:szCs w:val="20"/>
        </w:rPr>
        <w:t> </w:t>
      </w:r>
      <w:r w:rsidR="00317DC7" w:rsidRPr="004F4F7E">
        <w:rPr>
          <w:szCs w:val="20"/>
        </w:rPr>
        <w:t xml:space="preserve">Dokumenta rekvizītu </w:t>
      </w:r>
      <w:r w:rsidR="00364BB6" w:rsidRPr="004F4F7E">
        <w:rPr>
          <w:szCs w:val="20"/>
        </w:rPr>
        <w:t>"</w:t>
      </w:r>
      <w:r w:rsidR="0018210A" w:rsidRPr="004F4F7E">
        <w:rPr>
          <w:szCs w:val="20"/>
        </w:rPr>
        <w:t>p</w:t>
      </w:r>
      <w:r w:rsidR="00317DC7" w:rsidRPr="004F4F7E">
        <w:rPr>
          <w:szCs w:val="20"/>
        </w:rPr>
        <w:t>araksts</w:t>
      </w:r>
      <w:r w:rsidR="00364BB6" w:rsidRPr="004F4F7E">
        <w:rPr>
          <w:szCs w:val="20"/>
        </w:rPr>
        <w:t>"</w:t>
      </w:r>
      <w:r w:rsidR="00317DC7" w:rsidRPr="004F4F7E">
        <w:rPr>
          <w:szCs w:val="20"/>
        </w:rPr>
        <w:t xml:space="preserve"> neaizpilda, ja elektroniskais dokuments ir </w:t>
      </w:r>
      <w:r w:rsidRPr="004F4F7E">
        <w:rPr>
          <w:szCs w:val="20"/>
        </w:rPr>
        <w:t>sagatavots</w:t>
      </w:r>
      <w:r w:rsidR="00317DC7" w:rsidRPr="004F4F7E">
        <w:rPr>
          <w:szCs w:val="20"/>
        </w:rPr>
        <w:t xml:space="preserve"> atbilstoši </w:t>
      </w:r>
      <w:r w:rsidRPr="004F4F7E">
        <w:rPr>
          <w:szCs w:val="20"/>
        </w:rPr>
        <w:t xml:space="preserve">normatīvajiem aktiem par </w:t>
      </w:r>
      <w:r w:rsidR="00317DC7" w:rsidRPr="004F4F7E">
        <w:rPr>
          <w:szCs w:val="20"/>
        </w:rPr>
        <w:t>elektronisko dokumentu noformēšan</w:t>
      </w:r>
      <w:r w:rsidRPr="004F4F7E">
        <w:rPr>
          <w:szCs w:val="20"/>
        </w:rPr>
        <w:t>u.</w:t>
      </w:r>
    </w:p>
    <w:p w:rsidR="004373E1" w:rsidRPr="004F4F7E" w:rsidRDefault="004373E1" w:rsidP="00E80986">
      <w:pPr>
        <w:pStyle w:val="naisf"/>
        <w:spacing w:before="0" w:after="0"/>
        <w:ind w:firstLine="0"/>
        <w:rPr>
          <w:szCs w:val="20"/>
        </w:rPr>
      </w:pPr>
    </w:p>
    <w:tbl>
      <w:tblPr>
        <w:tblW w:w="4463" w:type="pct"/>
        <w:shd w:val="clear" w:color="auto" w:fill="FFFFFF"/>
        <w:tblCellMar>
          <w:top w:w="30" w:type="dxa"/>
          <w:left w:w="30" w:type="dxa"/>
          <w:bottom w:w="30" w:type="dxa"/>
          <w:right w:w="30" w:type="dxa"/>
        </w:tblCellMar>
        <w:tblLook w:val="04A0" w:firstRow="1" w:lastRow="0" w:firstColumn="1" w:lastColumn="0" w:noHBand="0" w:noVBand="1"/>
      </w:tblPr>
      <w:tblGrid>
        <w:gridCol w:w="13005"/>
      </w:tblGrid>
      <w:tr w:rsidR="005C60E4" w:rsidRPr="009A76E1" w:rsidTr="00A9342D">
        <w:trPr>
          <w:trHeight w:val="300"/>
        </w:trPr>
        <w:tc>
          <w:tcPr>
            <w:tcW w:w="13005" w:type="dxa"/>
            <w:tcBorders>
              <w:top w:val="nil"/>
              <w:left w:val="nil"/>
              <w:bottom w:val="single" w:sz="6" w:space="0" w:color="414142"/>
              <w:right w:val="nil"/>
            </w:tcBorders>
            <w:shd w:val="clear" w:color="auto" w:fill="FFFFFF"/>
            <w:hideMark/>
          </w:tcPr>
          <w:p w:rsidR="005C60E4" w:rsidRPr="009A76E1" w:rsidRDefault="005C60E4" w:rsidP="00A9342D">
            <w:pPr>
              <w:jc w:val="center"/>
              <w:rPr>
                <w:color w:val="414142"/>
                <w:sz w:val="20"/>
                <w:szCs w:val="20"/>
              </w:rPr>
            </w:pPr>
            <w:r w:rsidRPr="009A76E1">
              <w:rPr>
                <w:szCs w:val="20"/>
              </w:rPr>
              <w:t>Roberts Auziņš</w:t>
            </w:r>
          </w:p>
        </w:tc>
      </w:tr>
      <w:tr w:rsidR="005C60E4" w:rsidRPr="009A76E1" w:rsidTr="00A9342D">
        <w:trPr>
          <w:trHeight w:val="300"/>
        </w:trPr>
        <w:tc>
          <w:tcPr>
            <w:tcW w:w="13005" w:type="dxa"/>
            <w:tcBorders>
              <w:top w:val="single" w:sz="6" w:space="0" w:color="414142"/>
              <w:left w:val="nil"/>
              <w:bottom w:val="nil"/>
              <w:right w:val="nil"/>
            </w:tcBorders>
            <w:shd w:val="clear" w:color="auto" w:fill="FFFFFF"/>
            <w:hideMark/>
          </w:tcPr>
          <w:p w:rsidR="005C60E4" w:rsidRPr="009A76E1" w:rsidRDefault="005C60E4" w:rsidP="00A9342D">
            <w:pPr>
              <w:jc w:val="center"/>
              <w:rPr>
                <w:color w:val="414142"/>
                <w:sz w:val="20"/>
                <w:szCs w:val="20"/>
              </w:rPr>
            </w:pPr>
            <w:r w:rsidRPr="009A76E1">
              <w:rPr>
                <w:color w:val="414142"/>
                <w:sz w:val="20"/>
                <w:szCs w:val="20"/>
              </w:rPr>
              <w:t>(par projektu atbildīgās amatpersonas vārds un uzvārds)</w:t>
            </w:r>
          </w:p>
        </w:tc>
      </w:tr>
      <w:tr w:rsidR="005C60E4" w:rsidRPr="009A76E1" w:rsidTr="00A9342D">
        <w:trPr>
          <w:trHeight w:val="300"/>
        </w:trPr>
        <w:tc>
          <w:tcPr>
            <w:tcW w:w="13005" w:type="dxa"/>
            <w:tcBorders>
              <w:top w:val="nil"/>
              <w:left w:val="nil"/>
              <w:bottom w:val="single" w:sz="6" w:space="0" w:color="414142"/>
              <w:right w:val="nil"/>
            </w:tcBorders>
            <w:shd w:val="clear" w:color="auto" w:fill="FFFFFF"/>
            <w:hideMark/>
          </w:tcPr>
          <w:p w:rsidR="005C60E4" w:rsidRPr="009A76E1" w:rsidRDefault="005C60E4" w:rsidP="00A9342D">
            <w:pPr>
              <w:pStyle w:val="naisf"/>
              <w:spacing w:before="0" w:after="0"/>
              <w:ind w:firstLine="0"/>
              <w:jc w:val="center"/>
              <w:rPr>
                <w:szCs w:val="20"/>
              </w:rPr>
            </w:pPr>
            <w:r w:rsidRPr="009A76E1">
              <w:rPr>
                <w:szCs w:val="20"/>
              </w:rPr>
              <w:lastRenderedPageBreak/>
              <w:t>Nodokļu administrēšanas, grāmatvedības un revīzijas politikas departamenta</w:t>
            </w:r>
          </w:p>
          <w:p w:rsidR="005C60E4" w:rsidRPr="009A76E1" w:rsidRDefault="005C60E4" w:rsidP="00A9342D">
            <w:pPr>
              <w:jc w:val="center"/>
              <w:rPr>
                <w:color w:val="414142"/>
                <w:sz w:val="20"/>
                <w:szCs w:val="20"/>
              </w:rPr>
            </w:pPr>
            <w:r w:rsidRPr="009A76E1">
              <w:rPr>
                <w:szCs w:val="20"/>
              </w:rPr>
              <w:t>Nodokļu administrēšanas politikas nodaļas vadītāja vietnieks</w:t>
            </w:r>
          </w:p>
        </w:tc>
      </w:tr>
      <w:tr w:rsidR="005C60E4" w:rsidRPr="009A76E1" w:rsidTr="00A9342D">
        <w:trPr>
          <w:trHeight w:val="300"/>
        </w:trPr>
        <w:tc>
          <w:tcPr>
            <w:tcW w:w="13005" w:type="dxa"/>
            <w:tcBorders>
              <w:top w:val="single" w:sz="6" w:space="0" w:color="414142"/>
              <w:left w:val="nil"/>
              <w:bottom w:val="nil"/>
              <w:right w:val="nil"/>
            </w:tcBorders>
            <w:shd w:val="clear" w:color="auto" w:fill="FFFFFF"/>
            <w:hideMark/>
          </w:tcPr>
          <w:p w:rsidR="005C60E4" w:rsidRPr="009A76E1" w:rsidRDefault="005C60E4" w:rsidP="00A9342D">
            <w:pPr>
              <w:jc w:val="center"/>
              <w:rPr>
                <w:color w:val="414142"/>
                <w:sz w:val="20"/>
                <w:szCs w:val="20"/>
              </w:rPr>
            </w:pPr>
            <w:r w:rsidRPr="009A76E1">
              <w:rPr>
                <w:color w:val="414142"/>
                <w:sz w:val="20"/>
                <w:szCs w:val="20"/>
              </w:rPr>
              <w:t>(amats)</w:t>
            </w:r>
          </w:p>
        </w:tc>
      </w:tr>
      <w:tr w:rsidR="005C60E4" w:rsidRPr="009A76E1" w:rsidTr="00A9342D">
        <w:trPr>
          <w:trHeight w:val="300"/>
        </w:trPr>
        <w:tc>
          <w:tcPr>
            <w:tcW w:w="13005" w:type="dxa"/>
            <w:tcBorders>
              <w:top w:val="nil"/>
              <w:left w:val="nil"/>
              <w:bottom w:val="single" w:sz="6" w:space="0" w:color="414142"/>
              <w:right w:val="nil"/>
            </w:tcBorders>
            <w:shd w:val="clear" w:color="auto" w:fill="FFFFFF"/>
            <w:hideMark/>
          </w:tcPr>
          <w:p w:rsidR="005C60E4" w:rsidRPr="009A76E1" w:rsidRDefault="005C60E4" w:rsidP="00A9342D">
            <w:pPr>
              <w:jc w:val="center"/>
              <w:rPr>
                <w:color w:val="414142"/>
                <w:sz w:val="20"/>
                <w:szCs w:val="20"/>
              </w:rPr>
            </w:pPr>
            <w:r w:rsidRPr="009A76E1">
              <w:rPr>
                <w:szCs w:val="20"/>
              </w:rPr>
              <w:t>67083919</w:t>
            </w:r>
          </w:p>
        </w:tc>
      </w:tr>
      <w:tr w:rsidR="005C60E4" w:rsidRPr="009A76E1" w:rsidTr="00A9342D">
        <w:trPr>
          <w:trHeight w:val="300"/>
        </w:trPr>
        <w:tc>
          <w:tcPr>
            <w:tcW w:w="13005" w:type="dxa"/>
            <w:tcBorders>
              <w:top w:val="single" w:sz="6" w:space="0" w:color="414142"/>
              <w:left w:val="nil"/>
              <w:bottom w:val="nil"/>
              <w:right w:val="nil"/>
            </w:tcBorders>
            <w:shd w:val="clear" w:color="auto" w:fill="FFFFFF"/>
            <w:hideMark/>
          </w:tcPr>
          <w:p w:rsidR="005C60E4" w:rsidRPr="009A76E1" w:rsidRDefault="005C60E4" w:rsidP="00A9342D">
            <w:pPr>
              <w:jc w:val="center"/>
              <w:rPr>
                <w:color w:val="414142"/>
                <w:sz w:val="20"/>
                <w:szCs w:val="20"/>
              </w:rPr>
            </w:pPr>
            <w:r w:rsidRPr="009A76E1">
              <w:rPr>
                <w:color w:val="414142"/>
                <w:sz w:val="20"/>
                <w:szCs w:val="20"/>
              </w:rPr>
              <w:t>(tālruņa un faksa numurs)</w:t>
            </w:r>
          </w:p>
        </w:tc>
      </w:tr>
      <w:tr w:rsidR="005C60E4" w:rsidRPr="009A76E1" w:rsidTr="00A9342D">
        <w:trPr>
          <w:trHeight w:val="300"/>
        </w:trPr>
        <w:tc>
          <w:tcPr>
            <w:tcW w:w="13005" w:type="dxa"/>
            <w:tcBorders>
              <w:top w:val="nil"/>
              <w:left w:val="nil"/>
              <w:bottom w:val="single" w:sz="6" w:space="0" w:color="414142"/>
              <w:right w:val="nil"/>
            </w:tcBorders>
            <w:shd w:val="clear" w:color="auto" w:fill="FFFFFF"/>
            <w:hideMark/>
          </w:tcPr>
          <w:p w:rsidR="005C60E4" w:rsidRPr="009A76E1" w:rsidRDefault="005C60E4" w:rsidP="00A9342D">
            <w:pPr>
              <w:jc w:val="center"/>
              <w:rPr>
                <w:color w:val="414142"/>
                <w:sz w:val="20"/>
                <w:szCs w:val="20"/>
              </w:rPr>
            </w:pPr>
            <w:r w:rsidRPr="009A76E1">
              <w:rPr>
                <w:szCs w:val="20"/>
              </w:rPr>
              <w:t>roberts.auzins@fm.gov.lv</w:t>
            </w:r>
          </w:p>
        </w:tc>
      </w:tr>
      <w:tr w:rsidR="005C60E4" w:rsidRPr="007F01C3" w:rsidTr="00A9342D">
        <w:trPr>
          <w:trHeight w:val="300"/>
        </w:trPr>
        <w:tc>
          <w:tcPr>
            <w:tcW w:w="13005" w:type="dxa"/>
            <w:tcBorders>
              <w:top w:val="single" w:sz="6" w:space="0" w:color="414142"/>
              <w:left w:val="nil"/>
              <w:bottom w:val="nil"/>
              <w:right w:val="nil"/>
            </w:tcBorders>
            <w:shd w:val="clear" w:color="auto" w:fill="FFFFFF"/>
            <w:hideMark/>
          </w:tcPr>
          <w:p w:rsidR="005C60E4" w:rsidRPr="007F01C3" w:rsidRDefault="005C60E4" w:rsidP="00A9342D">
            <w:pPr>
              <w:jc w:val="center"/>
              <w:rPr>
                <w:color w:val="414142"/>
                <w:sz w:val="20"/>
                <w:szCs w:val="20"/>
              </w:rPr>
            </w:pPr>
            <w:r w:rsidRPr="009A76E1">
              <w:rPr>
                <w:color w:val="414142"/>
                <w:sz w:val="20"/>
                <w:szCs w:val="20"/>
              </w:rPr>
              <w:t>(e-pasta adrese)</w:t>
            </w:r>
          </w:p>
        </w:tc>
      </w:tr>
    </w:tbl>
    <w:p w:rsidR="009C5D4B" w:rsidRPr="00B22D01" w:rsidRDefault="009C5D4B" w:rsidP="005C60E4">
      <w:pPr>
        <w:pStyle w:val="naisf"/>
        <w:spacing w:before="0" w:after="0"/>
        <w:ind w:firstLine="0"/>
        <w:rPr>
          <w:color w:val="0000FF"/>
          <w:szCs w:val="20"/>
          <w:u w:val="single"/>
        </w:rPr>
      </w:pPr>
    </w:p>
    <w:sectPr w:rsidR="009C5D4B" w:rsidRPr="00B22D01" w:rsidSect="00B22D01">
      <w:headerReference w:type="even" r:id="rId14"/>
      <w:headerReference w:type="default" r:id="rId15"/>
      <w:footerReference w:type="default" r:id="rId16"/>
      <w:footerReference w:type="first" r:id="rId17"/>
      <w:pgSz w:w="16838" w:h="11906" w:orient="landscape" w:code="9"/>
      <w:pgMar w:top="1701"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CDF8B" w16cid:durableId="20E217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6B" w:rsidRDefault="00F7296B">
      <w:r>
        <w:separator/>
      </w:r>
    </w:p>
  </w:endnote>
  <w:endnote w:type="continuationSeparator" w:id="0">
    <w:p w:rsidR="00F7296B" w:rsidRDefault="00F7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75" w:rsidRDefault="00FF3F7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2B2EAF">
      <w:rPr>
        <w:noProof/>
        <w:sz w:val="20"/>
        <w:szCs w:val="20"/>
      </w:rPr>
      <w:t>FMIzz_140819_CRS_NNL_443.docx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75" w:rsidRPr="00015C84" w:rsidRDefault="00FF3F75" w:rsidP="00364BB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B2EAF">
      <w:rPr>
        <w:noProof/>
        <w:sz w:val="20"/>
        <w:szCs w:val="20"/>
      </w:rPr>
      <w:t>FMIzz_140819_CRS_NNL_443.docx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6B" w:rsidRDefault="00F7296B">
      <w:r>
        <w:separator/>
      </w:r>
    </w:p>
  </w:footnote>
  <w:footnote w:type="continuationSeparator" w:id="0">
    <w:p w:rsidR="00F7296B" w:rsidRDefault="00F7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75" w:rsidRDefault="00FF3F7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F75" w:rsidRDefault="00FF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75" w:rsidRDefault="00FF3F7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EAF">
      <w:rPr>
        <w:rStyle w:val="PageNumber"/>
        <w:noProof/>
      </w:rPr>
      <w:t>12</w:t>
    </w:r>
    <w:r>
      <w:rPr>
        <w:rStyle w:val="PageNumber"/>
      </w:rPr>
      <w:fldChar w:fldCharType="end"/>
    </w:r>
  </w:p>
  <w:p w:rsidR="00FF3F75" w:rsidRDefault="00FF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36F"/>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E324817"/>
    <w:multiLevelType w:val="hybridMultilevel"/>
    <w:tmpl w:val="A07C6254"/>
    <w:lvl w:ilvl="0" w:tplc="39B426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F81EB0"/>
    <w:multiLevelType w:val="hybridMultilevel"/>
    <w:tmpl w:val="2B0493EE"/>
    <w:lvl w:ilvl="0" w:tplc="CCAC7EE2">
      <w:numFmt w:val="bullet"/>
      <w:lvlText w:val=""/>
      <w:lvlJc w:val="left"/>
      <w:pPr>
        <w:ind w:left="1080" w:hanging="360"/>
      </w:pPr>
      <w:rPr>
        <w:rFonts w:ascii="Symbol" w:eastAsia="Calibr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706C0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CC73E99"/>
    <w:multiLevelType w:val="hybridMultilevel"/>
    <w:tmpl w:val="A87ACA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27719A"/>
    <w:multiLevelType w:val="hybridMultilevel"/>
    <w:tmpl w:val="DE84F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CE766D"/>
    <w:multiLevelType w:val="hybridMultilevel"/>
    <w:tmpl w:val="B552B890"/>
    <w:lvl w:ilvl="0" w:tplc="A92467C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ED17DF"/>
    <w:multiLevelType w:val="hybridMultilevel"/>
    <w:tmpl w:val="2DB6F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91B17"/>
    <w:multiLevelType w:val="hybridMultilevel"/>
    <w:tmpl w:val="B83E9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620A4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36200DE"/>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5250967"/>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69659B9"/>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9331825"/>
    <w:multiLevelType w:val="hybridMultilevel"/>
    <w:tmpl w:val="A04C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6160F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5F5199"/>
    <w:multiLevelType w:val="hybridMultilevel"/>
    <w:tmpl w:val="65F02B0E"/>
    <w:lvl w:ilvl="0" w:tplc="BAA2547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2D7502"/>
    <w:multiLevelType w:val="hybridMultilevel"/>
    <w:tmpl w:val="62C22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56B2D0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79E08A5"/>
    <w:multiLevelType w:val="hybridMultilevel"/>
    <w:tmpl w:val="FB3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6B519C"/>
    <w:multiLevelType w:val="hybridMultilevel"/>
    <w:tmpl w:val="CC043F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8782F4C"/>
    <w:multiLevelType w:val="hybridMultilevel"/>
    <w:tmpl w:val="4510FD6A"/>
    <w:lvl w:ilvl="0" w:tplc="376EDA82">
      <w:start w:val="1"/>
      <w:numFmt w:val="decimal"/>
      <w:lvlText w:val="%1."/>
      <w:lvlJc w:val="left"/>
      <w:pPr>
        <w:ind w:left="1080" w:hanging="360"/>
      </w:pPr>
      <w:rPr>
        <w:rFonts w:hint="default"/>
        <w:color w:val="000000"/>
        <w:sz w:val="25"/>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DD4471"/>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EBC168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3F9192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44922E0"/>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EC02ED"/>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A313202"/>
    <w:multiLevelType w:val="hybridMultilevel"/>
    <w:tmpl w:val="65F27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16196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43A1CE8"/>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BDE3908"/>
    <w:multiLevelType w:val="hybridMultilevel"/>
    <w:tmpl w:val="D1EA7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27"/>
  </w:num>
  <w:num w:numId="4">
    <w:abstractNumId w:val="22"/>
  </w:num>
  <w:num w:numId="5">
    <w:abstractNumId w:val="17"/>
  </w:num>
  <w:num w:numId="6">
    <w:abstractNumId w:val="2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3"/>
  </w:num>
  <w:num w:numId="13">
    <w:abstractNumId w:val="4"/>
  </w:num>
  <w:num w:numId="14">
    <w:abstractNumId w:val="11"/>
  </w:num>
  <w:num w:numId="15">
    <w:abstractNumId w:val="9"/>
  </w:num>
  <w:num w:numId="16">
    <w:abstractNumId w:val="24"/>
  </w:num>
  <w:num w:numId="17">
    <w:abstractNumId w:val="25"/>
  </w:num>
  <w:num w:numId="18">
    <w:abstractNumId w:val="14"/>
  </w:num>
  <w:num w:numId="19">
    <w:abstractNumId w:val="26"/>
  </w:num>
  <w:num w:numId="20">
    <w:abstractNumId w:val="31"/>
  </w:num>
  <w:num w:numId="21">
    <w:abstractNumId w:val="12"/>
  </w:num>
  <w:num w:numId="22">
    <w:abstractNumId w:val="10"/>
  </w:num>
  <w:num w:numId="23">
    <w:abstractNumId w:val="28"/>
  </w:num>
  <w:num w:numId="24">
    <w:abstractNumId w:val="18"/>
  </w:num>
  <w:num w:numId="25">
    <w:abstractNumId w:val="0"/>
  </w:num>
  <w:num w:numId="26">
    <w:abstractNumId w:val="30"/>
  </w:num>
  <w:num w:numId="27">
    <w:abstractNumId w:val="1"/>
  </w:num>
  <w:num w:numId="28">
    <w:abstractNumId w:val="29"/>
  </w:num>
  <w:num w:numId="29">
    <w:abstractNumId w:val="6"/>
  </w:num>
  <w:num w:numId="30">
    <w:abstractNumId w:val="32"/>
  </w:num>
  <w:num w:numId="31">
    <w:abstractNumId w:val="16"/>
  </w:num>
  <w:num w:numId="32">
    <w:abstractNumId w:val="13"/>
  </w:num>
  <w:num w:numId="33">
    <w:abstractNumId w:val="7"/>
  </w:num>
  <w:num w:numId="34">
    <w:abstractNumId w:val="15"/>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0128"/>
    <w:rsid w:val="0001118D"/>
    <w:rsid w:val="0001131F"/>
    <w:rsid w:val="00011663"/>
    <w:rsid w:val="0001249F"/>
    <w:rsid w:val="000125C0"/>
    <w:rsid w:val="0001270C"/>
    <w:rsid w:val="000133AF"/>
    <w:rsid w:val="000136AA"/>
    <w:rsid w:val="00013B4C"/>
    <w:rsid w:val="00013BF6"/>
    <w:rsid w:val="00013D5E"/>
    <w:rsid w:val="00014794"/>
    <w:rsid w:val="0001554C"/>
    <w:rsid w:val="00015B94"/>
    <w:rsid w:val="00015C84"/>
    <w:rsid w:val="00015DE5"/>
    <w:rsid w:val="00017018"/>
    <w:rsid w:val="000172E2"/>
    <w:rsid w:val="00017449"/>
    <w:rsid w:val="00017983"/>
    <w:rsid w:val="00020249"/>
    <w:rsid w:val="0002213F"/>
    <w:rsid w:val="00022338"/>
    <w:rsid w:val="0002296A"/>
    <w:rsid w:val="00022B0F"/>
    <w:rsid w:val="00022B9A"/>
    <w:rsid w:val="00023774"/>
    <w:rsid w:val="00023FD6"/>
    <w:rsid w:val="0002416A"/>
    <w:rsid w:val="00024CCD"/>
    <w:rsid w:val="00024D20"/>
    <w:rsid w:val="000253DB"/>
    <w:rsid w:val="0002611B"/>
    <w:rsid w:val="0002661D"/>
    <w:rsid w:val="00026B6B"/>
    <w:rsid w:val="000278E7"/>
    <w:rsid w:val="00027A63"/>
    <w:rsid w:val="00027F9D"/>
    <w:rsid w:val="000307B5"/>
    <w:rsid w:val="00032457"/>
    <w:rsid w:val="0003315D"/>
    <w:rsid w:val="000338D6"/>
    <w:rsid w:val="0003413A"/>
    <w:rsid w:val="000349CA"/>
    <w:rsid w:val="00034D33"/>
    <w:rsid w:val="0003557A"/>
    <w:rsid w:val="00035B2F"/>
    <w:rsid w:val="00035C06"/>
    <w:rsid w:val="00035F8E"/>
    <w:rsid w:val="000366DF"/>
    <w:rsid w:val="000376CD"/>
    <w:rsid w:val="00037F4F"/>
    <w:rsid w:val="00040A5C"/>
    <w:rsid w:val="00041596"/>
    <w:rsid w:val="00043005"/>
    <w:rsid w:val="0004345F"/>
    <w:rsid w:val="00043943"/>
    <w:rsid w:val="00043CF3"/>
    <w:rsid w:val="00044026"/>
    <w:rsid w:val="00045C4D"/>
    <w:rsid w:val="00046075"/>
    <w:rsid w:val="000468B4"/>
    <w:rsid w:val="00046CAD"/>
    <w:rsid w:val="00046F5C"/>
    <w:rsid w:val="00047385"/>
    <w:rsid w:val="00050554"/>
    <w:rsid w:val="00053706"/>
    <w:rsid w:val="00053E04"/>
    <w:rsid w:val="00054585"/>
    <w:rsid w:val="000579E6"/>
    <w:rsid w:val="00060E03"/>
    <w:rsid w:val="00062E5C"/>
    <w:rsid w:val="000641CE"/>
    <w:rsid w:val="00065271"/>
    <w:rsid w:val="00066176"/>
    <w:rsid w:val="0006618D"/>
    <w:rsid w:val="00066885"/>
    <w:rsid w:val="0006694E"/>
    <w:rsid w:val="00066A37"/>
    <w:rsid w:val="00066F05"/>
    <w:rsid w:val="00067311"/>
    <w:rsid w:val="00072628"/>
    <w:rsid w:val="000728ED"/>
    <w:rsid w:val="000733F5"/>
    <w:rsid w:val="000733FF"/>
    <w:rsid w:val="0007577A"/>
    <w:rsid w:val="00076152"/>
    <w:rsid w:val="000775D0"/>
    <w:rsid w:val="00081B0F"/>
    <w:rsid w:val="0008283D"/>
    <w:rsid w:val="00083090"/>
    <w:rsid w:val="00083214"/>
    <w:rsid w:val="000834AC"/>
    <w:rsid w:val="00083B8F"/>
    <w:rsid w:val="00084B11"/>
    <w:rsid w:val="00084D85"/>
    <w:rsid w:val="00085322"/>
    <w:rsid w:val="00085D5B"/>
    <w:rsid w:val="0008656F"/>
    <w:rsid w:val="00086AB9"/>
    <w:rsid w:val="00086BCE"/>
    <w:rsid w:val="00086F36"/>
    <w:rsid w:val="00090168"/>
    <w:rsid w:val="00090BBC"/>
    <w:rsid w:val="00090C76"/>
    <w:rsid w:val="00090E39"/>
    <w:rsid w:val="00091033"/>
    <w:rsid w:val="00091F10"/>
    <w:rsid w:val="0009302B"/>
    <w:rsid w:val="00093EC2"/>
    <w:rsid w:val="000958A2"/>
    <w:rsid w:val="000965E7"/>
    <w:rsid w:val="000A0041"/>
    <w:rsid w:val="000A06FC"/>
    <w:rsid w:val="000A0788"/>
    <w:rsid w:val="000A1A02"/>
    <w:rsid w:val="000A4035"/>
    <w:rsid w:val="000A44BF"/>
    <w:rsid w:val="000A483A"/>
    <w:rsid w:val="000A55D2"/>
    <w:rsid w:val="000A5F6D"/>
    <w:rsid w:val="000A64D3"/>
    <w:rsid w:val="000A77B9"/>
    <w:rsid w:val="000A7EA7"/>
    <w:rsid w:val="000B0403"/>
    <w:rsid w:val="000B057B"/>
    <w:rsid w:val="000B06E7"/>
    <w:rsid w:val="000B0C94"/>
    <w:rsid w:val="000B1224"/>
    <w:rsid w:val="000B15E5"/>
    <w:rsid w:val="000B20E4"/>
    <w:rsid w:val="000B2382"/>
    <w:rsid w:val="000B3171"/>
    <w:rsid w:val="000B34A5"/>
    <w:rsid w:val="000B4746"/>
    <w:rsid w:val="000B48D3"/>
    <w:rsid w:val="000B4D52"/>
    <w:rsid w:val="000B7966"/>
    <w:rsid w:val="000B7CB1"/>
    <w:rsid w:val="000C0AE6"/>
    <w:rsid w:val="000C0D0D"/>
    <w:rsid w:val="000C2555"/>
    <w:rsid w:val="000C290C"/>
    <w:rsid w:val="000C3545"/>
    <w:rsid w:val="000C3E11"/>
    <w:rsid w:val="000C498A"/>
    <w:rsid w:val="000C4C16"/>
    <w:rsid w:val="000C56FC"/>
    <w:rsid w:val="000C74B9"/>
    <w:rsid w:val="000C7907"/>
    <w:rsid w:val="000C7A11"/>
    <w:rsid w:val="000C7F5E"/>
    <w:rsid w:val="000D00AC"/>
    <w:rsid w:val="000D0AED"/>
    <w:rsid w:val="000D1122"/>
    <w:rsid w:val="000D1992"/>
    <w:rsid w:val="000D27D8"/>
    <w:rsid w:val="000D3602"/>
    <w:rsid w:val="000D4D89"/>
    <w:rsid w:val="000D6BBD"/>
    <w:rsid w:val="000D6CF1"/>
    <w:rsid w:val="000D7751"/>
    <w:rsid w:val="000D7C23"/>
    <w:rsid w:val="000E0A16"/>
    <w:rsid w:val="000E1BFA"/>
    <w:rsid w:val="000E2142"/>
    <w:rsid w:val="000E21D0"/>
    <w:rsid w:val="000E2A38"/>
    <w:rsid w:val="000E2ACC"/>
    <w:rsid w:val="000E2DA1"/>
    <w:rsid w:val="000E3013"/>
    <w:rsid w:val="000E31BE"/>
    <w:rsid w:val="000E4A61"/>
    <w:rsid w:val="000E5509"/>
    <w:rsid w:val="000E585F"/>
    <w:rsid w:val="000E5D89"/>
    <w:rsid w:val="000E66F8"/>
    <w:rsid w:val="000E77AA"/>
    <w:rsid w:val="000F054F"/>
    <w:rsid w:val="000F079D"/>
    <w:rsid w:val="000F0D9D"/>
    <w:rsid w:val="000F1635"/>
    <w:rsid w:val="000F1D56"/>
    <w:rsid w:val="000F2534"/>
    <w:rsid w:val="000F28D9"/>
    <w:rsid w:val="000F2D43"/>
    <w:rsid w:val="000F2F9A"/>
    <w:rsid w:val="000F3AA0"/>
    <w:rsid w:val="000F4AEB"/>
    <w:rsid w:val="000F4B40"/>
    <w:rsid w:val="000F4C3B"/>
    <w:rsid w:val="000F4E7B"/>
    <w:rsid w:val="000F528C"/>
    <w:rsid w:val="000F57C3"/>
    <w:rsid w:val="000F5C37"/>
    <w:rsid w:val="000F5DF0"/>
    <w:rsid w:val="000F6A0B"/>
    <w:rsid w:val="000F7695"/>
    <w:rsid w:val="000F7AF9"/>
    <w:rsid w:val="00100EF0"/>
    <w:rsid w:val="001012E3"/>
    <w:rsid w:val="00101EEB"/>
    <w:rsid w:val="0010375A"/>
    <w:rsid w:val="00103881"/>
    <w:rsid w:val="001038ED"/>
    <w:rsid w:val="001042B0"/>
    <w:rsid w:val="00106DE4"/>
    <w:rsid w:val="00106F4F"/>
    <w:rsid w:val="001071D3"/>
    <w:rsid w:val="001075A8"/>
    <w:rsid w:val="00110259"/>
    <w:rsid w:val="00110AA9"/>
    <w:rsid w:val="0011103F"/>
    <w:rsid w:val="0011254D"/>
    <w:rsid w:val="00113632"/>
    <w:rsid w:val="001139C2"/>
    <w:rsid w:val="00114559"/>
    <w:rsid w:val="00114EA9"/>
    <w:rsid w:val="00115ED0"/>
    <w:rsid w:val="0011683C"/>
    <w:rsid w:val="001179E8"/>
    <w:rsid w:val="0012021B"/>
    <w:rsid w:val="001207CA"/>
    <w:rsid w:val="00121F02"/>
    <w:rsid w:val="0012222D"/>
    <w:rsid w:val="001236DC"/>
    <w:rsid w:val="00124CD1"/>
    <w:rsid w:val="001255E6"/>
    <w:rsid w:val="00130408"/>
    <w:rsid w:val="0013053A"/>
    <w:rsid w:val="0013066A"/>
    <w:rsid w:val="00130B54"/>
    <w:rsid w:val="001315EF"/>
    <w:rsid w:val="00131F39"/>
    <w:rsid w:val="00131F8F"/>
    <w:rsid w:val="00131F9D"/>
    <w:rsid w:val="00132375"/>
    <w:rsid w:val="00132E73"/>
    <w:rsid w:val="00133505"/>
    <w:rsid w:val="00134188"/>
    <w:rsid w:val="00134369"/>
    <w:rsid w:val="00134FE9"/>
    <w:rsid w:val="00137403"/>
    <w:rsid w:val="00137E86"/>
    <w:rsid w:val="00140706"/>
    <w:rsid w:val="0014122A"/>
    <w:rsid w:val="00141E85"/>
    <w:rsid w:val="0014319C"/>
    <w:rsid w:val="001436B3"/>
    <w:rsid w:val="00143976"/>
    <w:rsid w:val="00143DAC"/>
    <w:rsid w:val="00144622"/>
    <w:rsid w:val="00144781"/>
    <w:rsid w:val="00144917"/>
    <w:rsid w:val="001457E2"/>
    <w:rsid w:val="001461C1"/>
    <w:rsid w:val="0014702D"/>
    <w:rsid w:val="001474A5"/>
    <w:rsid w:val="00147596"/>
    <w:rsid w:val="00147943"/>
    <w:rsid w:val="00150764"/>
    <w:rsid w:val="00150E95"/>
    <w:rsid w:val="0015131D"/>
    <w:rsid w:val="00151370"/>
    <w:rsid w:val="00152626"/>
    <w:rsid w:val="00152718"/>
    <w:rsid w:val="001530CF"/>
    <w:rsid w:val="00153540"/>
    <w:rsid w:val="00153F12"/>
    <w:rsid w:val="001543DB"/>
    <w:rsid w:val="00155473"/>
    <w:rsid w:val="00155DC2"/>
    <w:rsid w:val="00156D90"/>
    <w:rsid w:val="00156E9F"/>
    <w:rsid w:val="00157A57"/>
    <w:rsid w:val="00157DB6"/>
    <w:rsid w:val="00157EC2"/>
    <w:rsid w:val="00160260"/>
    <w:rsid w:val="0016112E"/>
    <w:rsid w:val="00162A68"/>
    <w:rsid w:val="00162E08"/>
    <w:rsid w:val="001633F1"/>
    <w:rsid w:val="0016531E"/>
    <w:rsid w:val="0016565C"/>
    <w:rsid w:val="00166314"/>
    <w:rsid w:val="00166746"/>
    <w:rsid w:val="00166C47"/>
    <w:rsid w:val="00167590"/>
    <w:rsid w:val="00167918"/>
    <w:rsid w:val="00167C1E"/>
    <w:rsid w:val="0017043B"/>
    <w:rsid w:val="001706A1"/>
    <w:rsid w:val="00170914"/>
    <w:rsid w:val="00170DF2"/>
    <w:rsid w:val="00172C07"/>
    <w:rsid w:val="00174841"/>
    <w:rsid w:val="00174FF9"/>
    <w:rsid w:val="001755A9"/>
    <w:rsid w:val="0017565B"/>
    <w:rsid w:val="001761FD"/>
    <w:rsid w:val="00176C99"/>
    <w:rsid w:val="00177C13"/>
    <w:rsid w:val="00177D61"/>
    <w:rsid w:val="00180125"/>
    <w:rsid w:val="001801CB"/>
    <w:rsid w:val="001808CA"/>
    <w:rsid w:val="00180923"/>
    <w:rsid w:val="00180CE5"/>
    <w:rsid w:val="0018173C"/>
    <w:rsid w:val="00181BAA"/>
    <w:rsid w:val="00181D2D"/>
    <w:rsid w:val="0018210A"/>
    <w:rsid w:val="00182130"/>
    <w:rsid w:val="00182DE0"/>
    <w:rsid w:val="0018386C"/>
    <w:rsid w:val="00183E99"/>
    <w:rsid w:val="00184479"/>
    <w:rsid w:val="0018472C"/>
    <w:rsid w:val="00184838"/>
    <w:rsid w:val="00185755"/>
    <w:rsid w:val="00187398"/>
    <w:rsid w:val="0018748C"/>
    <w:rsid w:val="00187F73"/>
    <w:rsid w:val="00187FB0"/>
    <w:rsid w:val="001902E9"/>
    <w:rsid w:val="00190327"/>
    <w:rsid w:val="001905AD"/>
    <w:rsid w:val="00190A0A"/>
    <w:rsid w:val="001926F2"/>
    <w:rsid w:val="00193A29"/>
    <w:rsid w:val="00193BCE"/>
    <w:rsid w:val="001945AE"/>
    <w:rsid w:val="00194B02"/>
    <w:rsid w:val="00194B87"/>
    <w:rsid w:val="001955DA"/>
    <w:rsid w:val="0019569A"/>
    <w:rsid w:val="00195962"/>
    <w:rsid w:val="00197533"/>
    <w:rsid w:val="001977E7"/>
    <w:rsid w:val="00197CCA"/>
    <w:rsid w:val="00197F31"/>
    <w:rsid w:val="001A0D8A"/>
    <w:rsid w:val="001A1133"/>
    <w:rsid w:val="001A192D"/>
    <w:rsid w:val="001A381B"/>
    <w:rsid w:val="001A4C3E"/>
    <w:rsid w:val="001A641C"/>
    <w:rsid w:val="001A6791"/>
    <w:rsid w:val="001A7C72"/>
    <w:rsid w:val="001B084B"/>
    <w:rsid w:val="001B0CEC"/>
    <w:rsid w:val="001B0FFC"/>
    <w:rsid w:val="001B1579"/>
    <w:rsid w:val="001B1CF2"/>
    <w:rsid w:val="001B319C"/>
    <w:rsid w:val="001B4388"/>
    <w:rsid w:val="001B463E"/>
    <w:rsid w:val="001B49E0"/>
    <w:rsid w:val="001B5377"/>
    <w:rsid w:val="001B6553"/>
    <w:rsid w:val="001B6647"/>
    <w:rsid w:val="001B6A47"/>
    <w:rsid w:val="001B6B0A"/>
    <w:rsid w:val="001B6C3C"/>
    <w:rsid w:val="001C0824"/>
    <w:rsid w:val="001C0AD8"/>
    <w:rsid w:val="001C0B83"/>
    <w:rsid w:val="001C1510"/>
    <w:rsid w:val="001C1989"/>
    <w:rsid w:val="001C27CA"/>
    <w:rsid w:val="001C28FD"/>
    <w:rsid w:val="001C2952"/>
    <w:rsid w:val="001C3349"/>
    <w:rsid w:val="001C4ABA"/>
    <w:rsid w:val="001C546B"/>
    <w:rsid w:val="001C5EA2"/>
    <w:rsid w:val="001C6608"/>
    <w:rsid w:val="001C6C57"/>
    <w:rsid w:val="001C6C7D"/>
    <w:rsid w:val="001C6FC5"/>
    <w:rsid w:val="001D1CB1"/>
    <w:rsid w:val="001D2AC0"/>
    <w:rsid w:val="001D2DBA"/>
    <w:rsid w:val="001D2FD0"/>
    <w:rsid w:val="001D3830"/>
    <w:rsid w:val="001D3BA6"/>
    <w:rsid w:val="001D5564"/>
    <w:rsid w:val="001D6B08"/>
    <w:rsid w:val="001D6FAA"/>
    <w:rsid w:val="001D70FA"/>
    <w:rsid w:val="001D7BA9"/>
    <w:rsid w:val="001D7E3F"/>
    <w:rsid w:val="001E039D"/>
    <w:rsid w:val="001E22E7"/>
    <w:rsid w:val="001E2714"/>
    <w:rsid w:val="001E398C"/>
    <w:rsid w:val="001E4456"/>
    <w:rsid w:val="001E4DDC"/>
    <w:rsid w:val="001E5DD7"/>
    <w:rsid w:val="001E6BA8"/>
    <w:rsid w:val="001E774F"/>
    <w:rsid w:val="001E7BB8"/>
    <w:rsid w:val="001E7C1D"/>
    <w:rsid w:val="001E7DB6"/>
    <w:rsid w:val="001F073F"/>
    <w:rsid w:val="001F1B6E"/>
    <w:rsid w:val="001F3009"/>
    <w:rsid w:val="001F3358"/>
    <w:rsid w:val="001F35CB"/>
    <w:rsid w:val="001F390F"/>
    <w:rsid w:val="001F5CD1"/>
    <w:rsid w:val="001F6C5F"/>
    <w:rsid w:val="001F7257"/>
    <w:rsid w:val="001F7739"/>
    <w:rsid w:val="002000D3"/>
    <w:rsid w:val="0020011B"/>
    <w:rsid w:val="0020081E"/>
    <w:rsid w:val="0020187E"/>
    <w:rsid w:val="00201950"/>
    <w:rsid w:val="00201DC6"/>
    <w:rsid w:val="00202375"/>
    <w:rsid w:val="002025EA"/>
    <w:rsid w:val="00202884"/>
    <w:rsid w:val="00202D57"/>
    <w:rsid w:val="00202E44"/>
    <w:rsid w:val="00203556"/>
    <w:rsid w:val="00203BEE"/>
    <w:rsid w:val="002049AD"/>
    <w:rsid w:val="00204D0F"/>
    <w:rsid w:val="00204DB6"/>
    <w:rsid w:val="002056ED"/>
    <w:rsid w:val="00205C3A"/>
    <w:rsid w:val="00207C04"/>
    <w:rsid w:val="002101C3"/>
    <w:rsid w:val="00211793"/>
    <w:rsid w:val="00211C11"/>
    <w:rsid w:val="00212345"/>
    <w:rsid w:val="00214809"/>
    <w:rsid w:val="002149A1"/>
    <w:rsid w:val="00214E7A"/>
    <w:rsid w:val="0021576C"/>
    <w:rsid w:val="00215BFE"/>
    <w:rsid w:val="00215C44"/>
    <w:rsid w:val="00215D31"/>
    <w:rsid w:val="00215E14"/>
    <w:rsid w:val="00216CB7"/>
    <w:rsid w:val="00216E73"/>
    <w:rsid w:val="0021774C"/>
    <w:rsid w:val="00217FF6"/>
    <w:rsid w:val="00222386"/>
    <w:rsid w:val="00222F51"/>
    <w:rsid w:val="002230E1"/>
    <w:rsid w:val="00223361"/>
    <w:rsid w:val="002244BA"/>
    <w:rsid w:val="002247AA"/>
    <w:rsid w:val="00224C60"/>
    <w:rsid w:val="00224DA7"/>
    <w:rsid w:val="002261CB"/>
    <w:rsid w:val="002268BF"/>
    <w:rsid w:val="00227BDE"/>
    <w:rsid w:val="00230045"/>
    <w:rsid w:val="0023014E"/>
    <w:rsid w:val="002301B4"/>
    <w:rsid w:val="002308FA"/>
    <w:rsid w:val="0023132F"/>
    <w:rsid w:val="00231AA5"/>
    <w:rsid w:val="0023215B"/>
    <w:rsid w:val="00232F90"/>
    <w:rsid w:val="0023339B"/>
    <w:rsid w:val="0023394D"/>
    <w:rsid w:val="0023469C"/>
    <w:rsid w:val="00234C71"/>
    <w:rsid w:val="00235511"/>
    <w:rsid w:val="002366E0"/>
    <w:rsid w:val="002369E5"/>
    <w:rsid w:val="00236DE1"/>
    <w:rsid w:val="002372EE"/>
    <w:rsid w:val="002372FD"/>
    <w:rsid w:val="0023764D"/>
    <w:rsid w:val="002415BC"/>
    <w:rsid w:val="002434B2"/>
    <w:rsid w:val="00243CA9"/>
    <w:rsid w:val="002442F4"/>
    <w:rsid w:val="002445EA"/>
    <w:rsid w:val="00244ECE"/>
    <w:rsid w:val="00244FC5"/>
    <w:rsid w:val="00245D1D"/>
    <w:rsid w:val="00246253"/>
    <w:rsid w:val="00246897"/>
    <w:rsid w:val="00246951"/>
    <w:rsid w:val="00250EDA"/>
    <w:rsid w:val="00251502"/>
    <w:rsid w:val="002518E8"/>
    <w:rsid w:val="00251C10"/>
    <w:rsid w:val="00252E1E"/>
    <w:rsid w:val="002538BA"/>
    <w:rsid w:val="0025469D"/>
    <w:rsid w:val="002552B1"/>
    <w:rsid w:val="00255D01"/>
    <w:rsid w:val="00256E55"/>
    <w:rsid w:val="00257BCC"/>
    <w:rsid w:val="00257E0E"/>
    <w:rsid w:val="00257FF4"/>
    <w:rsid w:val="00260FCB"/>
    <w:rsid w:val="002615F5"/>
    <w:rsid w:val="002616B9"/>
    <w:rsid w:val="0026217B"/>
    <w:rsid w:val="002629E4"/>
    <w:rsid w:val="00263FE3"/>
    <w:rsid w:val="00265593"/>
    <w:rsid w:val="002675EA"/>
    <w:rsid w:val="00267BC5"/>
    <w:rsid w:val="00267CBE"/>
    <w:rsid w:val="00267E0B"/>
    <w:rsid w:val="002701D0"/>
    <w:rsid w:val="00270680"/>
    <w:rsid w:val="0027072B"/>
    <w:rsid w:val="00270B3B"/>
    <w:rsid w:val="00271103"/>
    <w:rsid w:val="002721FA"/>
    <w:rsid w:val="0027230C"/>
    <w:rsid w:val="00272984"/>
    <w:rsid w:val="00272B99"/>
    <w:rsid w:val="00272F79"/>
    <w:rsid w:val="0027380D"/>
    <w:rsid w:val="0027468E"/>
    <w:rsid w:val="002746CC"/>
    <w:rsid w:val="00274826"/>
    <w:rsid w:val="00275005"/>
    <w:rsid w:val="002752AB"/>
    <w:rsid w:val="002756D6"/>
    <w:rsid w:val="0027573C"/>
    <w:rsid w:val="00281067"/>
    <w:rsid w:val="002812BA"/>
    <w:rsid w:val="002815D0"/>
    <w:rsid w:val="002820A7"/>
    <w:rsid w:val="00282798"/>
    <w:rsid w:val="002834D8"/>
    <w:rsid w:val="00283B82"/>
    <w:rsid w:val="00283E13"/>
    <w:rsid w:val="00285506"/>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3AE8"/>
    <w:rsid w:val="002A4C3E"/>
    <w:rsid w:val="002A56BC"/>
    <w:rsid w:val="002A5C53"/>
    <w:rsid w:val="002A668F"/>
    <w:rsid w:val="002A6AD6"/>
    <w:rsid w:val="002A72CC"/>
    <w:rsid w:val="002A76AB"/>
    <w:rsid w:val="002A777E"/>
    <w:rsid w:val="002A7A4F"/>
    <w:rsid w:val="002A7AFE"/>
    <w:rsid w:val="002A7B83"/>
    <w:rsid w:val="002B01DB"/>
    <w:rsid w:val="002B09C0"/>
    <w:rsid w:val="002B13B3"/>
    <w:rsid w:val="002B183D"/>
    <w:rsid w:val="002B1DBF"/>
    <w:rsid w:val="002B207F"/>
    <w:rsid w:val="002B2A48"/>
    <w:rsid w:val="002B2BEE"/>
    <w:rsid w:val="002B2EAF"/>
    <w:rsid w:val="002B31AD"/>
    <w:rsid w:val="002B3EA7"/>
    <w:rsid w:val="002B4BAE"/>
    <w:rsid w:val="002B538B"/>
    <w:rsid w:val="002B581B"/>
    <w:rsid w:val="002C2892"/>
    <w:rsid w:val="002C386A"/>
    <w:rsid w:val="002C5058"/>
    <w:rsid w:val="002C539E"/>
    <w:rsid w:val="002C58AB"/>
    <w:rsid w:val="002C6D84"/>
    <w:rsid w:val="002C7D21"/>
    <w:rsid w:val="002D1564"/>
    <w:rsid w:val="002D1CA4"/>
    <w:rsid w:val="002D2C09"/>
    <w:rsid w:val="002D2C45"/>
    <w:rsid w:val="002D3208"/>
    <w:rsid w:val="002D487E"/>
    <w:rsid w:val="002D4969"/>
    <w:rsid w:val="002D4BDF"/>
    <w:rsid w:val="002D4EE1"/>
    <w:rsid w:val="002D4F49"/>
    <w:rsid w:val="002D7468"/>
    <w:rsid w:val="002D778E"/>
    <w:rsid w:val="002E04D7"/>
    <w:rsid w:val="002E06DD"/>
    <w:rsid w:val="002E171A"/>
    <w:rsid w:val="002E1E1E"/>
    <w:rsid w:val="002E29D3"/>
    <w:rsid w:val="002E2A24"/>
    <w:rsid w:val="002E336A"/>
    <w:rsid w:val="002E3535"/>
    <w:rsid w:val="002E3D4C"/>
    <w:rsid w:val="002E3D66"/>
    <w:rsid w:val="002E3F11"/>
    <w:rsid w:val="002E4B11"/>
    <w:rsid w:val="002E4F70"/>
    <w:rsid w:val="002E53B4"/>
    <w:rsid w:val="002E5886"/>
    <w:rsid w:val="002E5AD3"/>
    <w:rsid w:val="002E635D"/>
    <w:rsid w:val="002E7562"/>
    <w:rsid w:val="002F0253"/>
    <w:rsid w:val="002F071F"/>
    <w:rsid w:val="002F12F8"/>
    <w:rsid w:val="002F16D5"/>
    <w:rsid w:val="002F1A90"/>
    <w:rsid w:val="002F1C2F"/>
    <w:rsid w:val="002F23AD"/>
    <w:rsid w:val="002F3D1C"/>
    <w:rsid w:val="002F421E"/>
    <w:rsid w:val="002F4EA1"/>
    <w:rsid w:val="002F52DE"/>
    <w:rsid w:val="002F55C1"/>
    <w:rsid w:val="002F71FB"/>
    <w:rsid w:val="002F797A"/>
    <w:rsid w:val="002F7A05"/>
    <w:rsid w:val="00300483"/>
    <w:rsid w:val="00301C91"/>
    <w:rsid w:val="00303F2B"/>
    <w:rsid w:val="00304607"/>
    <w:rsid w:val="0030467A"/>
    <w:rsid w:val="00304D4E"/>
    <w:rsid w:val="00304FFD"/>
    <w:rsid w:val="00305608"/>
    <w:rsid w:val="00305B72"/>
    <w:rsid w:val="00305DCF"/>
    <w:rsid w:val="0030610A"/>
    <w:rsid w:val="00306627"/>
    <w:rsid w:val="003069DD"/>
    <w:rsid w:val="00306CAB"/>
    <w:rsid w:val="00307D00"/>
    <w:rsid w:val="0031146F"/>
    <w:rsid w:val="00311795"/>
    <w:rsid w:val="003117B1"/>
    <w:rsid w:val="00311B70"/>
    <w:rsid w:val="00311CBE"/>
    <w:rsid w:val="00312280"/>
    <w:rsid w:val="00312CD0"/>
    <w:rsid w:val="0031449F"/>
    <w:rsid w:val="003145A5"/>
    <w:rsid w:val="003148B9"/>
    <w:rsid w:val="003149AF"/>
    <w:rsid w:val="00314A2E"/>
    <w:rsid w:val="00315266"/>
    <w:rsid w:val="003156F5"/>
    <w:rsid w:val="00315EC3"/>
    <w:rsid w:val="0031693B"/>
    <w:rsid w:val="003169CE"/>
    <w:rsid w:val="00316F0A"/>
    <w:rsid w:val="00316F4D"/>
    <w:rsid w:val="00317DC7"/>
    <w:rsid w:val="003200F9"/>
    <w:rsid w:val="00320BF2"/>
    <w:rsid w:val="00320F38"/>
    <w:rsid w:val="00321183"/>
    <w:rsid w:val="00321694"/>
    <w:rsid w:val="00321F0A"/>
    <w:rsid w:val="003223CE"/>
    <w:rsid w:val="00322A2D"/>
    <w:rsid w:val="00322E80"/>
    <w:rsid w:val="00324D5B"/>
    <w:rsid w:val="00324FED"/>
    <w:rsid w:val="00325045"/>
    <w:rsid w:val="00325D91"/>
    <w:rsid w:val="003267B4"/>
    <w:rsid w:val="003306C7"/>
    <w:rsid w:val="00330C84"/>
    <w:rsid w:val="00331193"/>
    <w:rsid w:val="00331F8D"/>
    <w:rsid w:val="00332F50"/>
    <w:rsid w:val="003333D4"/>
    <w:rsid w:val="00334951"/>
    <w:rsid w:val="00336411"/>
    <w:rsid w:val="0033678D"/>
    <w:rsid w:val="0033720D"/>
    <w:rsid w:val="003373E8"/>
    <w:rsid w:val="003408DB"/>
    <w:rsid w:val="00342B3E"/>
    <w:rsid w:val="003443DD"/>
    <w:rsid w:val="00344D5A"/>
    <w:rsid w:val="00345307"/>
    <w:rsid w:val="003456FD"/>
    <w:rsid w:val="00346EB6"/>
    <w:rsid w:val="00347EDB"/>
    <w:rsid w:val="00350797"/>
    <w:rsid w:val="00351238"/>
    <w:rsid w:val="00351A85"/>
    <w:rsid w:val="003522E8"/>
    <w:rsid w:val="003527A4"/>
    <w:rsid w:val="00353989"/>
    <w:rsid w:val="003540FF"/>
    <w:rsid w:val="00355B7A"/>
    <w:rsid w:val="00355DAA"/>
    <w:rsid w:val="0035617C"/>
    <w:rsid w:val="00356E7E"/>
    <w:rsid w:val="00356EB8"/>
    <w:rsid w:val="00357B83"/>
    <w:rsid w:val="00360A05"/>
    <w:rsid w:val="003614A8"/>
    <w:rsid w:val="0036160E"/>
    <w:rsid w:val="00362217"/>
    <w:rsid w:val="00362610"/>
    <w:rsid w:val="00363830"/>
    <w:rsid w:val="00363D2D"/>
    <w:rsid w:val="00364BB6"/>
    <w:rsid w:val="00364D6B"/>
    <w:rsid w:val="00365408"/>
    <w:rsid w:val="00365CC0"/>
    <w:rsid w:val="003668DF"/>
    <w:rsid w:val="00366B23"/>
    <w:rsid w:val="003670A7"/>
    <w:rsid w:val="00367688"/>
    <w:rsid w:val="00372221"/>
    <w:rsid w:val="00372CF2"/>
    <w:rsid w:val="00374B12"/>
    <w:rsid w:val="00374C7E"/>
    <w:rsid w:val="003753FB"/>
    <w:rsid w:val="00377353"/>
    <w:rsid w:val="0037736B"/>
    <w:rsid w:val="00377DA4"/>
    <w:rsid w:val="00381F57"/>
    <w:rsid w:val="0038216E"/>
    <w:rsid w:val="003822E5"/>
    <w:rsid w:val="003830B8"/>
    <w:rsid w:val="00383262"/>
    <w:rsid w:val="0038714A"/>
    <w:rsid w:val="003877C9"/>
    <w:rsid w:val="003978FF"/>
    <w:rsid w:val="003A135E"/>
    <w:rsid w:val="003A157A"/>
    <w:rsid w:val="003A283F"/>
    <w:rsid w:val="003A2A16"/>
    <w:rsid w:val="003A2FDD"/>
    <w:rsid w:val="003A3C43"/>
    <w:rsid w:val="003A3D6E"/>
    <w:rsid w:val="003A5240"/>
    <w:rsid w:val="003A5CCC"/>
    <w:rsid w:val="003A70FF"/>
    <w:rsid w:val="003A74D2"/>
    <w:rsid w:val="003A756B"/>
    <w:rsid w:val="003A7902"/>
    <w:rsid w:val="003B23D7"/>
    <w:rsid w:val="003B34CB"/>
    <w:rsid w:val="003B3AB4"/>
    <w:rsid w:val="003B3CA8"/>
    <w:rsid w:val="003B45D5"/>
    <w:rsid w:val="003B52FE"/>
    <w:rsid w:val="003B572A"/>
    <w:rsid w:val="003B6325"/>
    <w:rsid w:val="003B6475"/>
    <w:rsid w:val="003B71E0"/>
    <w:rsid w:val="003B755E"/>
    <w:rsid w:val="003B78A4"/>
    <w:rsid w:val="003C144E"/>
    <w:rsid w:val="003C1A07"/>
    <w:rsid w:val="003C1E74"/>
    <w:rsid w:val="003C20A2"/>
    <w:rsid w:val="003C2673"/>
    <w:rsid w:val="003C27A2"/>
    <w:rsid w:val="003C567C"/>
    <w:rsid w:val="003C59B8"/>
    <w:rsid w:val="003C6809"/>
    <w:rsid w:val="003C7897"/>
    <w:rsid w:val="003C7B3C"/>
    <w:rsid w:val="003C7C50"/>
    <w:rsid w:val="003D0937"/>
    <w:rsid w:val="003D17E6"/>
    <w:rsid w:val="003D1A20"/>
    <w:rsid w:val="003D1AC9"/>
    <w:rsid w:val="003D2AC9"/>
    <w:rsid w:val="003D2CD8"/>
    <w:rsid w:val="003D325C"/>
    <w:rsid w:val="003D3724"/>
    <w:rsid w:val="003D46A7"/>
    <w:rsid w:val="003D4730"/>
    <w:rsid w:val="003D4AFE"/>
    <w:rsid w:val="003D6376"/>
    <w:rsid w:val="003D7367"/>
    <w:rsid w:val="003D739C"/>
    <w:rsid w:val="003E1235"/>
    <w:rsid w:val="003E12EE"/>
    <w:rsid w:val="003E14F8"/>
    <w:rsid w:val="003E2A35"/>
    <w:rsid w:val="003E2B56"/>
    <w:rsid w:val="003E2CE1"/>
    <w:rsid w:val="003E2DCB"/>
    <w:rsid w:val="003E4C3F"/>
    <w:rsid w:val="003E4D7C"/>
    <w:rsid w:val="003E573E"/>
    <w:rsid w:val="003E5FA8"/>
    <w:rsid w:val="003E6252"/>
    <w:rsid w:val="003F01CB"/>
    <w:rsid w:val="003F1200"/>
    <w:rsid w:val="003F1421"/>
    <w:rsid w:val="003F1844"/>
    <w:rsid w:val="003F2319"/>
    <w:rsid w:val="003F241E"/>
    <w:rsid w:val="003F28C0"/>
    <w:rsid w:val="003F3ACD"/>
    <w:rsid w:val="003F52B2"/>
    <w:rsid w:val="003F716E"/>
    <w:rsid w:val="00400061"/>
    <w:rsid w:val="004005FC"/>
    <w:rsid w:val="0040068A"/>
    <w:rsid w:val="00400813"/>
    <w:rsid w:val="004013AD"/>
    <w:rsid w:val="004016C9"/>
    <w:rsid w:val="00402215"/>
    <w:rsid w:val="00402C35"/>
    <w:rsid w:val="00402F57"/>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59"/>
    <w:rsid w:val="00410C48"/>
    <w:rsid w:val="00413627"/>
    <w:rsid w:val="00416277"/>
    <w:rsid w:val="00416E24"/>
    <w:rsid w:val="004175C4"/>
    <w:rsid w:val="0042063D"/>
    <w:rsid w:val="00422B23"/>
    <w:rsid w:val="00423A60"/>
    <w:rsid w:val="00425125"/>
    <w:rsid w:val="00426433"/>
    <w:rsid w:val="0042651C"/>
    <w:rsid w:val="00426E9B"/>
    <w:rsid w:val="00427D55"/>
    <w:rsid w:val="00432249"/>
    <w:rsid w:val="0043233C"/>
    <w:rsid w:val="004345A6"/>
    <w:rsid w:val="004358F5"/>
    <w:rsid w:val="00435B2F"/>
    <w:rsid w:val="00435E03"/>
    <w:rsid w:val="0043668B"/>
    <w:rsid w:val="004373E1"/>
    <w:rsid w:val="004374A3"/>
    <w:rsid w:val="00437A7E"/>
    <w:rsid w:val="00437B6C"/>
    <w:rsid w:val="00440144"/>
    <w:rsid w:val="0044064E"/>
    <w:rsid w:val="00440805"/>
    <w:rsid w:val="00440FD4"/>
    <w:rsid w:val="004412E1"/>
    <w:rsid w:val="00441554"/>
    <w:rsid w:val="0044250F"/>
    <w:rsid w:val="00442A5B"/>
    <w:rsid w:val="00442E48"/>
    <w:rsid w:val="004430D6"/>
    <w:rsid w:val="00443DCD"/>
    <w:rsid w:val="00443E7E"/>
    <w:rsid w:val="00444C06"/>
    <w:rsid w:val="004454DF"/>
    <w:rsid w:val="00446804"/>
    <w:rsid w:val="004478D4"/>
    <w:rsid w:val="00450380"/>
    <w:rsid w:val="004505C6"/>
    <w:rsid w:val="004520CD"/>
    <w:rsid w:val="0045239A"/>
    <w:rsid w:val="00452DF3"/>
    <w:rsid w:val="004534F5"/>
    <w:rsid w:val="00453765"/>
    <w:rsid w:val="00453F1E"/>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F59"/>
    <w:rsid w:val="00471EA5"/>
    <w:rsid w:val="004720C9"/>
    <w:rsid w:val="00472257"/>
    <w:rsid w:val="00472E49"/>
    <w:rsid w:val="004732BB"/>
    <w:rsid w:val="00474C60"/>
    <w:rsid w:val="00475944"/>
    <w:rsid w:val="00475CD3"/>
    <w:rsid w:val="00475DF0"/>
    <w:rsid w:val="00476525"/>
    <w:rsid w:val="004772E2"/>
    <w:rsid w:val="0047739F"/>
    <w:rsid w:val="004773D1"/>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830"/>
    <w:rsid w:val="00493E02"/>
    <w:rsid w:val="00494CC8"/>
    <w:rsid w:val="004955E7"/>
    <w:rsid w:val="0049589C"/>
    <w:rsid w:val="00495EF1"/>
    <w:rsid w:val="00496ED4"/>
    <w:rsid w:val="00497D4A"/>
    <w:rsid w:val="004A0441"/>
    <w:rsid w:val="004A084C"/>
    <w:rsid w:val="004A0FF1"/>
    <w:rsid w:val="004A15B3"/>
    <w:rsid w:val="004A1D01"/>
    <w:rsid w:val="004A1ED9"/>
    <w:rsid w:val="004A2A54"/>
    <w:rsid w:val="004A2EF3"/>
    <w:rsid w:val="004A3B0D"/>
    <w:rsid w:val="004A3D07"/>
    <w:rsid w:val="004A5157"/>
    <w:rsid w:val="004A52F5"/>
    <w:rsid w:val="004A5D3A"/>
    <w:rsid w:val="004A6897"/>
    <w:rsid w:val="004A692B"/>
    <w:rsid w:val="004A6EB6"/>
    <w:rsid w:val="004A70F3"/>
    <w:rsid w:val="004A794C"/>
    <w:rsid w:val="004B1E0E"/>
    <w:rsid w:val="004B3EC7"/>
    <w:rsid w:val="004B413A"/>
    <w:rsid w:val="004B5664"/>
    <w:rsid w:val="004B570B"/>
    <w:rsid w:val="004C2107"/>
    <w:rsid w:val="004C3BE2"/>
    <w:rsid w:val="004C3DF6"/>
    <w:rsid w:val="004C5FC6"/>
    <w:rsid w:val="004C6435"/>
    <w:rsid w:val="004C649B"/>
    <w:rsid w:val="004C7B9C"/>
    <w:rsid w:val="004C7D55"/>
    <w:rsid w:val="004D0055"/>
    <w:rsid w:val="004D089A"/>
    <w:rsid w:val="004D09ED"/>
    <w:rsid w:val="004D1966"/>
    <w:rsid w:val="004D3184"/>
    <w:rsid w:val="004D349D"/>
    <w:rsid w:val="004D4E30"/>
    <w:rsid w:val="004D5030"/>
    <w:rsid w:val="004D6045"/>
    <w:rsid w:val="004D7546"/>
    <w:rsid w:val="004D7EC5"/>
    <w:rsid w:val="004D7F07"/>
    <w:rsid w:val="004E02B0"/>
    <w:rsid w:val="004E0B29"/>
    <w:rsid w:val="004E0E11"/>
    <w:rsid w:val="004E0F08"/>
    <w:rsid w:val="004E1546"/>
    <w:rsid w:val="004E19DC"/>
    <w:rsid w:val="004E241A"/>
    <w:rsid w:val="004E35E8"/>
    <w:rsid w:val="004E50F0"/>
    <w:rsid w:val="004E6A03"/>
    <w:rsid w:val="004E7A59"/>
    <w:rsid w:val="004F0070"/>
    <w:rsid w:val="004F0468"/>
    <w:rsid w:val="004F0C51"/>
    <w:rsid w:val="004F263C"/>
    <w:rsid w:val="004F2BB1"/>
    <w:rsid w:val="004F2EC7"/>
    <w:rsid w:val="004F3CE8"/>
    <w:rsid w:val="004F45BB"/>
    <w:rsid w:val="004F4F7E"/>
    <w:rsid w:val="004F6BFB"/>
    <w:rsid w:val="004F7E4A"/>
    <w:rsid w:val="00500D8A"/>
    <w:rsid w:val="0050146B"/>
    <w:rsid w:val="0050147C"/>
    <w:rsid w:val="0050182B"/>
    <w:rsid w:val="00502579"/>
    <w:rsid w:val="005029F7"/>
    <w:rsid w:val="00503D4C"/>
    <w:rsid w:val="00504C0C"/>
    <w:rsid w:val="00504E48"/>
    <w:rsid w:val="00504F54"/>
    <w:rsid w:val="00506782"/>
    <w:rsid w:val="005070FF"/>
    <w:rsid w:val="005111A7"/>
    <w:rsid w:val="00512BBC"/>
    <w:rsid w:val="005134FB"/>
    <w:rsid w:val="005135FD"/>
    <w:rsid w:val="0051366C"/>
    <w:rsid w:val="0051684F"/>
    <w:rsid w:val="00516A72"/>
    <w:rsid w:val="00516A92"/>
    <w:rsid w:val="00516B9F"/>
    <w:rsid w:val="00517693"/>
    <w:rsid w:val="005205AB"/>
    <w:rsid w:val="00523378"/>
    <w:rsid w:val="0052490D"/>
    <w:rsid w:val="0052550F"/>
    <w:rsid w:val="00526C0F"/>
    <w:rsid w:val="0052702A"/>
    <w:rsid w:val="00530397"/>
    <w:rsid w:val="00530F73"/>
    <w:rsid w:val="00530FA2"/>
    <w:rsid w:val="00531352"/>
    <w:rsid w:val="00533B8E"/>
    <w:rsid w:val="00535417"/>
    <w:rsid w:val="00535833"/>
    <w:rsid w:val="00536D28"/>
    <w:rsid w:val="00536E29"/>
    <w:rsid w:val="005372C5"/>
    <w:rsid w:val="00537A26"/>
    <w:rsid w:val="00540E47"/>
    <w:rsid w:val="0054183D"/>
    <w:rsid w:val="00543283"/>
    <w:rsid w:val="005434AA"/>
    <w:rsid w:val="0054364C"/>
    <w:rsid w:val="0054458F"/>
    <w:rsid w:val="00546747"/>
    <w:rsid w:val="005467EA"/>
    <w:rsid w:val="00547510"/>
    <w:rsid w:val="00547ECC"/>
    <w:rsid w:val="00550118"/>
    <w:rsid w:val="00551D5A"/>
    <w:rsid w:val="00551EC3"/>
    <w:rsid w:val="0055473A"/>
    <w:rsid w:val="00554A44"/>
    <w:rsid w:val="00554C53"/>
    <w:rsid w:val="00554F18"/>
    <w:rsid w:val="00555220"/>
    <w:rsid w:val="005555F0"/>
    <w:rsid w:val="00555643"/>
    <w:rsid w:val="00555739"/>
    <w:rsid w:val="005567C3"/>
    <w:rsid w:val="00556E75"/>
    <w:rsid w:val="00556F2D"/>
    <w:rsid w:val="00557350"/>
    <w:rsid w:val="0056069A"/>
    <w:rsid w:val="00560C3B"/>
    <w:rsid w:val="00561D3C"/>
    <w:rsid w:val="00561EA1"/>
    <w:rsid w:val="00562799"/>
    <w:rsid w:val="00564804"/>
    <w:rsid w:val="00565598"/>
    <w:rsid w:val="0056590C"/>
    <w:rsid w:val="00565B5A"/>
    <w:rsid w:val="00567E8F"/>
    <w:rsid w:val="005702D6"/>
    <w:rsid w:val="00572588"/>
    <w:rsid w:val="00573A50"/>
    <w:rsid w:val="005746D2"/>
    <w:rsid w:val="00574E8A"/>
    <w:rsid w:val="00577775"/>
    <w:rsid w:val="00577EB8"/>
    <w:rsid w:val="0058121A"/>
    <w:rsid w:val="00581863"/>
    <w:rsid w:val="00581EA3"/>
    <w:rsid w:val="0058205A"/>
    <w:rsid w:val="0058260B"/>
    <w:rsid w:val="00584D1E"/>
    <w:rsid w:val="00586795"/>
    <w:rsid w:val="00586B82"/>
    <w:rsid w:val="00587E13"/>
    <w:rsid w:val="00590BF0"/>
    <w:rsid w:val="005933AA"/>
    <w:rsid w:val="005940AA"/>
    <w:rsid w:val="00594614"/>
    <w:rsid w:val="00594A41"/>
    <w:rsid w:val="00594E10"/>
    <w:rsid w:val="00596115"/>
    <w:rsid w:val="00596306"/>
    <w:rsid w:val="00596487"/>
    <w:rsid w:val="005A0809"/>
    <w:rsid w:val="005A0B91"/>
    <w:rsid w:val="005A1494"/>
    <w:rsid w:val="005A3590"/>
    <w:rsid w:val="005A4A1C"/>
    <w:rsid w:val="005A56AF"/>
    <w:rsid w:val="005A5BD8"/>
    <w:rsid w:val="005A692A"/>
    <w:rsid w:val="005A6AB8"/>
    <w:rsid w:val="005A73B7"/>
    <w:rsid w:val="005B11C2"/>
    <w:rsid w:val="005B180A"/>
    <w:rsid w:val="005B382C"/>
    <w:rsid w:val="005B3C11"/>
    <w:rsid w:val="005B40DA"/>
    <w:rsid w:val="005B4226"/>
    <w:rsid w:val="005B5AA4"/>
    <w:rsid w:val="005B656B"/>
    <w:rsid w:val="005B71B3"/>
    <w:rsid w:val="005B76A4"/>
    <w:rsid w:val="005C04A7"/>
    <w:rsid w:val="005C17A4"/>
    <w:rsid w:val="005C198A"/>
    <w:rsid w:val="005C27CC"/>
    <w:rsid w:val="005C370D"/>
    <w:rsid w:val="005C504E"/>
    <w:rsid w:val="005C60E4"/>
    <w:rsid w:val="005C6153"/>
    <w:rsid w:val="005C78B0"/>
    <w:rsid w:val="005C7B95"/>
    <w:rsid w:val="005D01EB"/>
    <w:rsid w:val="005D0A68"/>
    <w:rsid w:val="005D0DFB"/>
    <w:rsid w:val="005D1112"/>
    <w:rsid w:val="005D1F32"/>
    <w:rsid w:val="005D237C"/>
    <w:rsid w:val="005D259A"/>
    <w:rsid w:val="005D25E2"/>
    <w:rsid w:val="005D25FF"/>
    <w:rsid w:val="005D2632"/>
    <w:rsid w:val="005D32A9"/>
    <w:rsid w:val="005D38E0"/>
    <w:rsid w:val="005D3F32"/>
    <w:rsid w:val="005D4E3E"/>
    <w:rsid w:val="005D666C"/>
    <w:rsid w:val="005D67F7"/>
    <w:rsid w:val="005D7B50"/>
    <w:rsid w:val="005D7D7E"/>
    <w:rsid w:val="005E0B59"/>
    <w:rsid w:val="005E1105"/>
    <w:rsid w:val="005E162F"/>
    <w:rsid w:val="005E2C60"/>
    <w:rsid w:val="005E31F6"/>
    <w:rsid w:val="005E3622"/>
    <w:rsid w:val="005E60B3"/>
    <w:rsid w:val="005E60EF"/>
    <w:rsid w:val="005E676C"/>
    <w:rsid w:val="005E6CB9"/>
    <w:rsid w:val="005E7F14"/>
    <w:rsid w:val="005F0154"/>
    <w:rsid w:val="005F0176"/>
    <w:rsid w:val="005F021D"/>
    <w:rsid w:val="005F1072"/>
    <w:rsid w:val="005F1EAC"/>
    <w:rsid w:val="005F308F"/>
    <w:rsid w:val="005F4869"/>
    <w:rsid w:val="005F4BFD"/>
    <w:rsid w:val="005F5748"/>
    <w:rsid w:val="005F5834"/>
    <w:rsid w:val="005F5E11"/>
    <w:rsid w:val="005F799C"/>
    <w:rsid w:val="006003E5"/>
    <w:rsid w:val="00600E63"/>
    <w:rsid w:val="00601561"/>
    <w:rsid w:val="00601D49"/>
    <w:rsid w:val="00601E55"/>
    <w:rsid w:val="00602037"/>
    <w:rsid w:val="006029DD"/>
    <w:rsid w:val="00602C6A"/>
    <w:rsid w:val="006037A1"/>
    <w:rsid w:val="00603AF5"/>
    <w:rsid w:val="00604148"/>
    <w:rsid w:val="00606C66"/>
    <w:rsid w:val="00607634"/>
    <w:rsid w:val="00610145"/>
    <w:rsid w:val="00610285"/>
    <w:rsid w:val="00610D1F"/>
    <w:rsid w:val="006118C7"/>
    <w:rsid w:val="006122FC"/>
    <w:rsid w:val="006123C6"/>
    <w:rsid w:val="00612C02"/>
    <w:rsid w:val="00612CDD"/>
    <w:rsid w:val="0061562E"/>
    <w:rsid w:val="00616B5B"/>
    <w:rsid w:val="00616D41"/>
    <w:rsid w:val="00617292"/>
    <w:rsid w:val="006200A9"/>
    <w:rsid w:val="00620EE5"/>
    <w:rsid w:val="00622225"/>
    <w:rsid w:val="00622D03"/>
    <w:rsid w:val="00622DCD"/>
    <w:rsid w:val="00622F57"/>
    <w:rsid w:val="00623DD5"/>
    <w:rsid w:val="00623DFD"/>
    <w:rsid w:val="00624269"/>
    <w:rsid w:val="00624A34"/>
    <w:rsid w:val="0062568D"/>
    <w:rsid w:val="006256D3"/>
    <w:rsid w:val="00626502"/>
    <w:rsid w:val="006267F5"/>
    <w:rsid w:val="00627337"/>
    <w:rsid w:val="00630069"/>
    <w:rsid w:val="00630583"/>
    <w:rsid w:val="00630D2E"/>
    <w:rsid w:val="00630D39"/>
    <w:rsid w:val="00631A06"/>
    <w:rsid w:val="00631E19"/>
    <w:rsid w:val="00631E75"/>
    <w:rsid w:val="00633E76"/>
    <w:rsid w:val="00633EC9"/>
    <w:rsid w:val="006340F5"/>
    <w:rsid w:val="00634542"/>
    <w:rsid w:val="00635AB6"/>
    <w:rsid w:val="00635E4D"/>
    <w:rsid w:val="0063620C"/>
    <w:rsid w:val="0063650C"/>
    <w:rsid w:val="00637E18"/>
    <w:rsid w:val="0064032E"/>
    <w:rsid w:val="0064038D"/>
    <w:rsid w:val="00641A0B"/>
    <w:rsid w:val="00641D5A"/>
    <w:rsid w:val="00641E06"/>
    <w:rsid w:val="00642DA4"/>
    <w:rsid w:val="00643007"/>
    <w:rsid w:val="006431D0"/>
    <w:rsid w:val="006432C5"/>
    <w:rsid w:val="006436FA"/>
    <w:rsid w:val="00643852"/>
    <w:rsid w:val="00643C27"/>
    <w:rsid w:val="006454BF"/>
    <w:rsid w:val="006455E7"/>
    <w:rsid w:val="00645758"/>
    <w:rsid w:val="006461A1"/>
    <w:rsid w:val="00647422"/>
    <w:rsid w:val="00647E6B"/>
    <w:rsid w:val="00650E84"/>
    <w:rsid w:val="0065198B"/>
    <w:rsid w:val="006525AF"/>
    <w:rsid w:val="0065266A"/>
    <w:rsid w:val="00653629"/>
    <w:rsid w:val="00653F9C"/>
    <w:rsid w:val="00655470"/>
    <w:rsid w:val="006564E9"/>
    <w:rsid w:val="00656A3F"/>
    <w:rsid w:val="00656FEE"/>
    <w:rsid w:val="00657235"/>
    <w:rsid w:val="0065758F"/>
    <w:rsid w:val="00660897"/>
    <w:rsid w:val="00661028"/>
    <w:rsid w:val="006617BD"/>
    <w:rsid w:val="0066194D"/>
    <w:rsid w:val="00664695"/>
    <w:rsid w:val="00664840"/>
    <w:rsid w:val="00664B44"/>
    <w:rsid w:val="006652BF"/>
    <w:rsid w:val="0066630C"/>
    <w:rsid w:val="00667390"/>
    <w:rsid w:val="00667BBD"/>
    <w:rsid w:val="006709A8"/>
    <w:rsid w:val="00671149"/>
    <w:rsid w:val="00671615"/>
    <w:rsid w:val="00671741"/>
    <w:rsid w:val="00671766"/>
    <w:rsid w:val="00672914"/>
    <w:rsid w:val="006744C3"/>
    <w:rsid w:val="00674695"/>
    <w:rsid w:val="0067537F"/>
    <w:rsid w:val="00676410"/>
    <w:rsid w:val="006801DE"/>
    <w:rsid w:val="00680509"/>
    <w:rsid w:val="006805CB"/>
    <w:rsid w:val="00681963"/>
    <w:rsid w:val="00681CC1"/>
    <w:rsid w:val="0068233B"/>
    <w:rsid w:val="00682E11"/>
    <w:rsid w:val="00683081"/>
    <w:rsid w:val="006845C6"/>
    <w:rsid w:val="00684C95"/>
    <w:rsid w:val="00685081"/>
    <w:rsid w:val="006850D3"/>
    <w:rsid w:val="00685249"/>
    <w:rsid w:val="006856B9"/>
    <w:rsid w:val="00685BDE"/>
    <w:rsid w:val="00686085"/>
    <w:rsid w:val="00687377"/>
    <w:rsid w:val="00687C0D"/>
    <w:rsid w:val="00691237"/>
    <w:rsid w:val="006920E6"/>
    <w:rsid w:val="00692555"/>
    <w:rsid w:val="00694B89"/>
    <w:rsid w:val="00695899"/>
    <w:rsid w:val="00695C23"/>
    <w:rsid w:val="006964A3"/>
    <w:rsid w:val="00696566"/>
    <w:rsid w:val="006966BA"/>
    <w:rsid w:val="00696A13"/>
    <w:rsid w:val="0069722D"/>
    <w:rsid w:val="006A0052"/>
    <w:rsid w:val="006A0A9E"/>
    <w:rsid w:val="006A0BFD"/>
    <w:rsid w:val="006A1F1C"/>
    <w:rsid w:val="006A20BA"/>
    <w:rsid w:val="006A2ADB"/>
    <w:rsid w:val="006A3836"/>
    <w:rsid w:val="006A3AE1"/>
    <w:rsid w:val="006A3DD3"/>
    <w:rsid w:val="006A4625"/>
    <w:rsid w:val="006A47AE"/>
    <w:rsid w:val="006A5B5E"/>
    <w:rsid w:val="006A67CB"/>
    <w:rsid w:val="006B0368"/>
    <w:rsid w:val="006B0F6E"/>
    <w:rsid w:val="006B1877"/>
    <w:rsid w:val="006B1D7B"/>
    <w:rsid w:val="006B1F9C"/>
    <w:rsid w:val="006B27D4"/>
    <w:rsid w:val="006B2C9C"/>
    <w:rsid w:val="006B34D8"/>
    <w:rsid w:val="006B48EB"/>
    <w:rsid w:val="006B4C00"/>
    <w:rsid w:val="006B56FC"/>
    <w:rsid w:val="006B5901"/>
    <w:rsid w:val="006B6DDA"/>
    <w:rsid w:val="006B73D9"/>
    <w:rsid w:val="006B7DF0"/>
    <w:rsid w:val="006B7E74"/>
    <w:rsid w:val="006C0D75"/>
    <w:rsid w:val="006C0EE2"/>
    <w:rsid w:val="006C1C48"/>
    <w:rsid w:val="006C3C1D"/>
    <w:rsid w:val="006C41FF"/>
    <w:rsid w:val="006C5145"/>
    <w:rsid w:val="006C5CD7"/>
    <w:rsid w:val="006C630B"/>
    <w:rsid w:val="006C65A8"/>
    <w:rsid w:val="006D014E"/>
    <w:rsid w:val="006D05AD"/>
    <w:rsid w:val="006D0EC1"/>
    <w:rsid w:val="006D0FE4"/>
    <w:rsid w:val="006D16F8"/>
    <w:rsid w:val="006D1813"/>
    <w:rsid w:val="006D24A9"/>
    <w:rsid w:val="006D2AF3"/>
    <w:rsid w:val="006D3874"/>
    <w:rsid w:val="006D4D79"/>
    <w:rsid w:val="006D4FBD"/>
    <w:rsid w:val="006D56FF"/>
    <w:rsid w:val="006D5879"/>
    <w:rsid w:val="006D5B6F"/>
    <w:rsid w:val="006D5C6B"/>
    <w:rsid w:val="006D63FD"/>
    <w:rsid w:val="006D65B4"/>
    <w:rsid w:val="006D691E"/>
    <w:rsid w:val="006D754A"/>
    <w:rsid w:val="006D7B9C"/>
    <w:rsid w:val="006E04C6"/>
    <w:rsid w:val="006E0A65"/>
    <w:rsid w:val="006E1B01"/>
    <w:rsid w:val="006E3E3D"/>
    <w:rsid w:val="006E3E99"/>
    <w:rsid w:val="006E4836"/>
    <w:rsid w:val="006E5079"/>
    <w:rsid w:val="006E5C15"/>
    <w:rsid w:val="006E5DDD"/>
    <w:rsid w:val="006E7811"/>
    <w:rsid w:val="006F04DA"/>
    <w:rsid w:val="006F0557"/>
    <w:rsid w:val="006F0EA3"/>
    <w:rsid w:val="006F1B5D"/>
    <w:rsid w:val="006F212B"/>
    <w:rsid w:val="006F2FF8"/>
    <w:rsid w:val="006F37F7"/>
    <w:rsid w:val="006F3893"/>
    <w:rsid w:val="006F3D29"/>
    <w:rsid w:val="006F4A61"/>
    <w:rsid w:val="006F4A99"/>
    <w:rsid w:val="006F4ADC"/>
    <w:rsid w:val="006F643D"/>
    <w:rsid w:val="006F675C"/>
    <w:rsid w:val="006F6D13"/>
    <w:rsid w:val="006F7759"/>
    <w:rsid w:val="006F7D95"/>
    <w:rsid w:val="00700A3D"/>
    <w:rsid w:val="00700D41"/>
    <w:rsid w:val="00701B21"/>
    <w:rsid w:val="00702384"/>
    <w:rsid w:val="0070369A"/>
    <w:rsid w:val="00703CD3"/>
    <w:rsid w:val="00704BAE"/>
    <w:rsid w:val="00705120"/>
    <w:rsid w:val="00705807"/>
    <w:rsid w:val="00705C50"/>
    <w:rsid w:val="00705C74"/>
    <w:rsid w:val="00705C78"/>
    <w:rsid w:val="007060BF"/>
    <w:rsid w:val="007060E1"/>
    <w:rsid w:val="0070653C"/>
    <w:rsid w:val="00706824"/>
    <w:rsid w:val="00706B85"/>
    <w:rsid w:val="007071FC"/>
    <w:rsid w:val="00707C84"/>
    <w:rsid w:val="007104FA"/>
    <w:rsid w:val="007105A7"/>
    <w:rsid w:val="00710A59"/>
    <w:rsid w:val="00710FDE"/>
    <w:rsid w:val="007116C7"/>
    <w:rsid w:val="00711A1D"/>
    <w:rsid w:val="00711C5A"/>
    <w:rsid w:val="00712B66"/>
    <w:rsid w:val="00713C31"/>
    <w:rsid w:val="0071428D"/>
    <w:rsid w:val="007144C9"/>
    <w:rsid w:val="00716B3C"/>
    <w:rsid w:val="007170C2"/>
    <w:rsid w:val="00717EE4"/>
    <w:rsid w:val="00717F2D"/>
    <w:rsid w:val="00720453"/>
    <w:rsid w:val="00720853"/>
    <w:rsid w:val="00722129"/>
    <w:rsid w:val="007222A3"/>
    <w:rsid w:val="00723853"/>
    <w:rsid w:val="00724173"/>
    <w:rsid w:val="00726730"/>
    <w:rsid w:val="00730038"/>
    <w:rsid w:val="00730598"/>
    <w:rsid w:val="00730939"/>
    <w:rsid w:val="00731C24"/>
    <w:rsid w:val="0073257E"/>
    <w:rsid w:val="00732A32"/>
    <w:rsid w:val="00732B72"/>
    <w:rsid w:val="00733066"/>
    <w:rsid w:val="00733469"/>
    <w:rsid w:val="00733539"/>
    <w:rsid w:val="0073458A"/>
    <w:rsid w:val="00735557"/>
    <w:rsid w:val="0073692E"/>
    <w:rsid w:val="00736B0A"/>
    <w:rsid w:val="00737108"/>
    <w:rsid w:val="007379CE"/>
    <w:rsid w:val="007419A7"/>
    <w:rsid w:val="00741B21"/>
    <w:rsid w:val="00741DD8"/>
    <w:rsid w:val="00741E49"/>
    <w:rsid w:val="0074250D"/>
    <w:rsid w:val="007445E2"/>
    <w:rsid w:val="00745496"/>
    <w:rsid w:val="00745CBA"/>
    <w:rsid w:val="007460DA"/>
    <w:rsid w:val="0074705B"/>
    <w:rsid w:val="007470EC"/>
    <w:rsid w:val="0075020B"/>
    <w:rsid w:val="007507D1"/>
    <w:rsid w:val="00751017"/>
    <w:rsid w:val="00751960"/>
    <w:rsid w:val="007535C7"/>
    <w:rsid w:val="00756551"/>
    <w:rsid w:val="00757769"/>
    <w:rsid w:val="0076067E"/>
    <w:rsid w:val="00761BFD"/>
    <w:rsid w:val="00761D5C"/>
    <w:rsid w:val="00761FE5"/>
    <w:rsid w:val="00762476"/>
    <w:rsid w:val="00762A18"/>
    <w:rsid w:val="007632F3"/>
    <w:rsid w:val="00763AE2"/>
    <w:rsid w:val="0076467D"/>
    <w:rsid w:val="00765ABD"/>
    <w:rsid w:val="00765E7C"/>
    <w:rsid w:val="00766D90"/>
    <w:rsid w:val="00767BF3"/>
    <w:rsid w:val="00767C19"/>
    <w:rsid w:val="00767D4E"/>
    <w:rsid w:val="00770943"/>
    <w:rsid w:val="00771067"/>
    <w:rsid w:val="00772067"/>
    <w:rsid w:val="007722ED"/>
    <w:rsid w:val="0077408B"/>
    <w:rsid w:val="0077462F"/>
    <w:rsid w:val="00774AF6"/>
    <w:rsid w:val="00774EC8"/>
    <w:rsid w:val="007757D1"/>
    <w:rsid w:val="00776781"/>
    <w:rsid w:val="007776CC"/>
    <w:rsid w:val="00777CE9"/>
    <w:rsid w:val="00780D05"/>
    <w:rsid w:val="00783C7B"/>
    <w:rsid w:val="007850F7"/>
    <w:rsid w:val="0078556C"/>
    <w:rsid w:val="007855C5"/>
    <w:rsid w:val="007856D3"/>
    <w:rsid w:val="00785ABD"/>
    <w:rsid w:val="007860C6"/>
    <w:rsid w:val="00786254"/>
    <w:rsid w:val="0078660E"/>
    <w:rsid w:val="00786DB0"/>
    <w:rsid w:val="00787D47"/>
    <w:rsid w:val="0079014E"/>
    <w:rsid w:val="00790A63"/>
    <w:rsid w:val="0079148B"/>
    <w:rsid w:val="00791FF4"/>
    <w:rsid w:val="00792971"/>
    <w:rsid w:val="007935C6"/>
    <w:rsid w:val="00794129"/>
    <w:rsid w:val="007942CF"/>
    <w:rsid w:val="00794516"/>
    <w:rsid w:val="0079469B"/>
    <w:rsid w:val="00794878"/>
    <w:rsid w:val="00795512"/>
    <w:rsid w:val="00795AB7"/>
    <w:rsid w:val="00795E37"/>
    <w:rsid w:val="0079694C"/>
    <w:rsid w:val="00796D89"/>
    <w:rsid w:val="00796DA2"/>
    <w:rsid w:val="007A0415"/>
    <w:rsid w:val="007A06BA"/>
    <w:rsid w:val="007A1D21"/>
    <w:rsid w:val="007A27BD"/>
    <w:rsid w:val="007A294A"/>
    <w:rsid w:val="007A2CEF"/>
    <w:rsid w:val="007A3CDC"/>
    <w:rsid w:val="007A4C96"/>
    <w:rsid w:val="007A51A6"/>
    <w:rsid w:val="007A523D"/>
    <w:rsid w:val="007A5629"/>
    <w:rsid w:val="007A56E5"/>
    <w:rsid w:val="007A60CA"/>
    <w:rsid w:val="007A6B62"/>
    <w:rsid w:val="007A6F0F"/>
    <w:rsid w:val="007A708C"/>
    <w:rsid w:val="007A7392"/>
    <w:rsid w:val="007A75B5"/>
    <w:rsid w:val="007A7985"/>
    <w:rsid w:val="007A7ABE"/>
    <w:rsid w:val="007B03C5"/>
    <w:rsid w:val="007B26E1"/>
    <w:rsid w:val="007B3045"/>
    <w:rsid w:val="007B3471"/>
    <w:rsid w:val="007B40F2"/>
    <w:rsid w:val="007B4C0F"/>
    <w:rsid w:val="007B542F"/>
    <w:rsid w:val="007B5821"/>
    <w:rsid w:val="007B5E25"/>
    <w:rsid w:val="007B6104"/>
    <w:rsid w:val="007B62C9"/>
    <w:rsid w:val="007B6E0E"/>
    <w:rsid w:val="007C23C4"/>
    <w:rsid w:val="007C27FB"/>
    <w:rsid w:val="007C2CBB"/>
    <w:rsid w:val="007C2E64"/>
    <w:rsid w:val="007C309C"/>
    <w:rsid w:val="007C4209"/>
    <w:rsid w:val="007C5EB9"/>
    <w:rsid w:val="007C7449"/>
    <w:rsid w:val="007C7EA5"/>
    <w:rsid w:val="007D137E"/>
    <w:rsid w:val="007D1A95"/>
    <w:rsid w:val="007D245E"/>
    <w:rsid w:val="007D3764"/>
    <w:rsid w:val="007D485A"/>
    <w:rsid w:val="007D54FF"/>
    <w:rsid w:val="007D57D4"/>
    <w:rsid w:val="007D6315"/>
    <w:rsid w:val="007D724A"/>
    <w:rsid w:val="007D75A3"/>
    <w:rsid w:val="007E0103"/>
    <w:rsid w:val="007E16E2"/>
    <w:rsid w:val="007E19FE"/>
    <w:rsid w:val="007E1AAC"/>
    <w:rsid w:val="007E35A0"/>
    <w:rsid w:val="007E3B9C"/>
    <w:rsid w:val="007E4A2F"/>
    <w:rsid w:val="007E5294"/>
    <w:rsid w:val="007E5C4A"/>
    <w:rsid w:val="007E6915"/>
    <w:rsid w:val="007E74CA"/>
    <w:rsid w:val="007E7AD3"/>
    <w:rsid w:val="007F0070"/>
    <w:rsid w:val="007F0441"/>
    <w:rsid w:val="007F0E99"/>
    <w:rsid w:val="007F20F1"/>
    <w:rsid w:val="007F280B"/>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1DB"/>
    <w:rsid w:val="00812179"/>
    <w:rsid w:val="008124E2"/>
    <w:rsid w:val="00813928"/>
    <w:rsid w:val="00814F4D"/>
    <w:rsid w:val="00815124"/>
    <w:rsid w:val="00815321"/>
    <w:rsid w:val="008157A2"/>
    <w:rsid w:val="008166DB"/>
    <w:rsid w:val="008173E0"/>
    <w:rsid w:val="008175C1"/>
    <w:rsid w:val="008200D4"/>
    <w:rsid w:val="00820370"/>
    <w:rsid w:val="00820AE3"/>
    <w:rsid w:val="00820CC6"/>
    <w:rsid w:val="00822C41"/>
    <w:rsid w:val="00825043"/>
    <w:rsid w:val="00825267"/>
    <w:rsid w:val="0082607A"/>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0BA"/>
    <w:rsid w:val="0084093F"/>
    <w:rsid w:val="0084098A"/>
    <w:rsid w:val="00840DB0"/>
    <w:rsid w:val="00840EDE"/>
    <w:rsid w:val="008418A5"/>
    <w:rsid w:val="00841C9E"/>
    <w:rsid w:val="00842BC9"/>
    <w:rsid w:val="00843548"/>
    <w:rsid w:val="0084383C"/>
    <w:rsid w:val="00843CC0"/>
    <w:rsid w:val="0084451D"/>
    <w:rsid w:val="00844ADD"/>
    <w:rsid w:val="00844B47"/>
    <w:rsid w:val="0084534E"/>
    <w:rsid w:val="00846062"/>
    <w:rsid w:val="00846F3F"/>
    <w:rsid w:val="008474C1"/>
    <w:rsid w:val="00847C1C"/>
    <w:rsid w:val="0085055E"/>
    <w:rsid w:val="00850C3B"/>
    <w:rsid w:val="00851485"/>
    <w:rsid w:val="00851605"/>
    <w:rsid w:val="00851B19"/>
    <w:rsid w:val="00851EDC"/>
    <w:rsid w:val="00852CA0"/>
    <w:rsid w:val="00852D85"/>
    <w:rsid w:val="00852F6C"/>
    <w:rsid w:val="0085465C"/>
    <w:rsid w:val="00854967"/>
    <w:rsid w:val="00855313"/>
    <w:rsid w:val="0085540B"/>
    <w:rsid w:val="00855511"/>
    <w:rsid w:val="0085582C"/>
    <w:rsid w:val="00855E32"/>
    <w:rsid w:val="00855FD3"/>
    <w:rsid w:val="00857086"/>
    <w:rsid w:val="00857572"/>
    <w:rsid w:val="00860F4D"/>
    <w:rsid w:val="008611DE"/>
    <w:rsid w:val="00861375"/>
    <w:rsid w:val="00861C56"/>
    <w:rsid w:val="00861F29"/>
    <w:rsid w:val="008620A2"/>
    <w:rsid w:val="00862741"/>
    <w:rsid w:val="00862BBD"/>
    <w:rsid w:val="00862D6C"/>
    <w:rsid w:val="00863C9F"/>
    <w:rsid w:val="008645D6"/>
    <w:rsid w:val="0086552B"/>
    <w:rsid w:val="008655A2"/>
    <w:rsid w:val="0086584F"/>
    <w:rsid w:val="008671C7"/>
    <w:rsid w:val="00867EB8"/>
    <w:rsid w:val="00870335"/>
    <w:rsid w:val="00870AA2"/>
    <w:rsid w:val="008717FA"/>
    <w:rsid w:val="008728C9"/>
    <w:rsid w:val="00873D88"/>
    <w:rsid w:val="0087433B"/>
    <w:rsid w:val="00874CF2"/>
    <w:rsid w:val="0087621E"/>
    <w:rsid w:val="008767B2"/>
    <w:rsid w:val="00877328"/>
    <w:rsid w:val="0087787A"/>
    <w:rsid w:val="008802F0"/>
    <w:rsid w:val="008805D4"/>
    <w:rsid w:val="00880992"/>
    <w:rsid w:val="008814F7"/>
    <w:rsid w:val="00881692"/>
    <w:rsid w:val="00883143"/>
    <w:rsid w:val="00884EC8"/>
    <w:rsid w:val="008851EA"/>
    <w:rsid w:val="00886154"/>
    <w:rsid w:val="008865F3"/>
    <w:rsid w:val="00886C80"/>
    <w:rsid w:val="00890277"/>
    <w:rsid w:val="0089061A"/>
    <w:rsid w:val="00890B61"/>
    <w:rsid w:val="008915C6"/>
    <w:rsid w:val="00891677"/>
    <w:rsid w:val="00892DB5"/>
    <w:rsid w:val="00893376"/>
    <w:rsid w:val="00894AE1"/>
    <w:rsid w:val="00894B61"/>
    <w:rsid w:val="00894E24"/>
    <w:rsid w:val="00895255"/>
    <w:rsid w:val="00895DF1"/>
    <w:rsid w:val="00896645"/>
    <w:rsid w:val="008975D2"/>
    <w:rsid w:val="008A035B"/>
    <w:rsid w:val="008A0459"/>
    <w:rsid w:val="008A1218"/>
    <w:rsid w:val="008A15B6"/>
    <w:rsid w:val="008A1896"/>
    <w:rsid w:val="008A1A6E"/>
    <w:rsid w:val="008A202A"/>
    <w:rsid w:val="008A36C9"/>
    <w:rsid w:val="008A51F7"/>
    <w:rsid w:val="008A546E"/>
    <w:rsid w:val="008A5AF9"/>
    <w:rsid w:val="008B16DE"/>
    <w:rsid w:val="008B251F"/>
    <w:rsid w:val="008B2602"/>
    <w:rsid w:val="008B2727"/>
    <w:rsid w:val="008B2BAF"/>
    <w:rsid w:val="008B316B"/>
    <w:rsid w:val="008B5059"/>
    <w:rsid w:val="008B5BF2"/>
    <w:rsid w:val="008B686A"/>
    <w:rsid w:val="008B6934"/>
    <w:rsid w:val="008B6CF8"/>
    <w:rsid w:val="008B72F6"/>
    <w:rsid w:val="008C119E"/>
    <w:rsid w:val="008C1E24"/>
    <w:rsid w:val="008C296B"/>
    <w:rsid w:val="008C2A46"/>
    <w:rsid w:val="008C2B46"/>
    <w:rsid w:val="008C4278"/>
    <w:rsid w:val="008C43FB"/>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60C3"/>
    <w:rsid w:val="008D636F"/>
    <w:rsid w:val="008D718E"/>
    <w:rsid w:val="008D74BE"/>
    <w:rsid w:val="008E0068"/>
    <w:rsid w:val="008E0765"/>
    <w:rsid w:val="008E09C5"/>
    <w:rsid w:val="008E0AA7"/>
    <w:rsid w:val="008E1582"/>
    <w:rsid w:val="008E2355"/>
    <w:rsid w:val="008E2CCE"/>
    <w:rsid w:val="008E3151"/>
    <w:rsid w:val="008E3386"/>
    <w:rsid w:val="008E5410"/>
    <w:rsid w:val="008E5A3F"/>
    <w:rsid w:val="008E7209"/>
    <w:rsid w:val="008E7448"/>
    <w:rsid w:val="008F0B54"/>
    <w:rsid w:val="008F11BB"/>
    <w:rsid w:val="008F16FF"/>
    <w:rsid w:val="008F182F"/>
    <w:rsid w:val="008F1E95"/>
    <w:rsid w:val="008F2304"/>
    <w:rsid w:val="008F3037"/>
    <w:rsid w:val="008F3248"/>
    <w:rsid w:val="008F3B27"/>
    <w:rsid w:val="008F57DD"/>
    <w:rsid w:val="008F5AEE"/>
    <w:rsid w:val="008F6EAA"/>
    <w:rsid w:val="008F7800"/>
    <w:rsid w:val="008F7BCA"/>
    <w:rsid w:val="00900F4D"/>
    <w:rsid w:val="0090167B"/>
    <w:rsid w:val="00902DEC"/>
    <w:rsid w:val="0090342E"/>
    <w:rsid w:val="0090395A"/>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A1C"/>
    <w:rsid w:val="00917AAA"/>
    <w:rsid w:val="00917FEE"/>
    <w:rsid w:val="0092023D"/>
    <w:rsid w:val="00920472"/>
    <w:rsid w:val="00921251"/>
    <w:rsid w:val="00921861"/>
    <w:rsid w:val="0092189E"/>
    <w:rsid w:val="009219FD"/>
    <w:rsid w:val="00921DF7"/>
    <w:rsid w:val="00923529"/>
    <w:rsid w:val="009257B0"/>
    <w:rsid w:val="009258BD"/>
    <w:rsid w:val="00925DEB"/>
    <w:rsid w:val="009263C0"/>
    <w:rsid w:val="009302D4"/>
    <w:rsid w:val="009307F2"/>
    <w:rsid w:val="00930CEC"/>
    <w:rsid w:val="00930F4A"/>
    <w:rsid w:val="0093375E"/>
    <w:rsid w:val="00933BEF"/>
    <w:rsid w:val="0093787E"/>
    <w:rsid w:val="009412CC"/>
    <w:rsid w:val="009419D1"/>
    <w:rsid w:val="0094388B"/>
    <w:rsid w:val="00943D09"/>
    <w:rsid w:val="00944826"/>
    <w:rsid w:val="00944C69"/>
    <w:rsid w:val="00944F00"/>
    <w:rsid w:val="009457A1"/>
    <w:rsid w:val="00947C5D"/>
    <w:rsid w:val="00947CA9"/>
    <w:rsid w:val="00950478"/>
    <w:rsid w:val="00950888"/>
    <w:rsid w:val="00950AF9"/>
    <w:rsid w:val="00950B5F"/>
    <w:rsid w:val="00950D35"/>
    <w:rsid w:val="0095144C"/>
    <w:rsid w:val="0095165B"/>
    <w:rsid w:val="00951B17"/>
    <w:rsid w:val="00951B8D"/>
    <w:rsid w:val="009535F2"/>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4BFE"/>
    <w:rsid w:val="00965754"/>
    <w:rsid w:val="00965940"/>
    <w:rsid w:val="00965A4E"/>
    <w:rsid w:val="00966AB8"/>
    <w:rsid w:val="00966BE5"/>
    <w:rsid w:val="00966EB0"/>
    <w:rsid w:val="00967995"/>
    <w:rsid w:val="00971116"/>
    <w:rsid w:val="009726AE"/>
    <w:rsid w:val="00972E28"/>
    <w:rsid w:val="00973030"/>
    <w:rsid w:val="00973280"/>
    <w:rsid w:val="009733F3"/>
    <w:rsid w:val="009745BC"/>
    <w:rsid w:val="009748E4"/>
    <w:rsid w:val="00975EC7"/>
    <w:rsid w:val="00976D65"/>
    <w:rsid w:val="00977CE6"/>
    <w:rsid w:val="00977E6B"/>
    <w:rsid w:val="009807AC"/>
    <w:rsid w:val="00980C18"/>
    <w:rsid w:val="009810E9"/>
    <w:rsid w:val="0098141C"/>
    <w:rsid w:val="0098151D"/>
    <w:rsid w:val="00981AA9"/>
    <w:rsid w:val="00981C91"/>
    <w:rsid w:val="00982ADE"/>
    <w:rsid w:val="00983132"/>
    <w:rsid w:val="00983314"/>
    <w:rsid w:val="00983DF2"/>
    <w:rsid w:val="0098433A"/>
    <w:rsid w:val="00985675"/>
    <w:rsid w:val="00985786"/>
    <w:rsid w:val="00985939"/>
    <w:rsid w:val="0098637F"/>
    <w:rsid w:val="00986A9B"/>
    <w:rsid w:val="00986B9C"/>
    <w:rsid w:val="00987BAB"/>
    <w:rsid w:val="009903FF"/>
    <w:rsid w:val="009906BF"/>
    <w:rsid w:val="009913F3"/>
    <w:rsid w:val="00991DA1"/>
    <w:rsid w:val="00992150"/>
    <w:rsid w:val="009927F1"/>
    <w:rsid w:val="009935A9"/>
    <w:rsid w:val="009936C4"/>
    <w:rsid w:val="009939A4"/>
    <w:rsid w:val="009948ED"/>
    <w:rsid w:val="00995ADA"/>
    <w:rsid w:val="0099643A"/>
    <w:rsid w:val="00997959"/>
    <w:rsid w:val="009A0BAF"/>
    <w:rsid w:val="009A1431"/>
    <w:rsid w:val="009A153D"/>
    <w:rsid w:val="009A1634"/>
    <w:rsid w:val="009A3A34"/>
    <w:rsid w:val="009A3E52"/>
    <w:rsid w:val="009A3FE2"/>
    <w:rsid w:val="009A400C"/>
    <w:rsid w:val="009A4B2C"/>
    <w:rsid w:val="009A4E7C"/>
    <w:rsid w:val="009A5592"/>
    <w:rsid w:val="009A59BA"/>
    <w:rsid w:val="009A6417"/>
    <w:rsid w:val="009A6C00"/>
    <w:rsid w:val="009B01DF"/>
    <w:rsid w:val="009B020D"/>
    <w:rsid w:val="009B072F"/>
    <w:rsid w:val="009B07A1"/>
    <w:rsid w:val="009B09CC"/>
    <w:rsid w:val="009B173B"/>
    <w:rsid w:val="009B1A1A"/>
    <w:rsid w:val="009B2608"/>
    <w:rsid w:val="009B2A71"/>
    <w:rsid w:val="009B4027"/>
    <w:rsid w:val="009B4975"/>
    <w:rsid w:val="009B4AB4"/>
    <w:rsid w:val="009B561F"/>
    <w:rsid w:val="009B5773"/>
    <w:rsid w:val="009B5D2D"/>
    <w:rsid w:val="009B78FF"/>
    <w:rsid w:val="009C058F"/>
    <w:rsid w:val="009C2544"/>
    <w:rsid w:val="009C2B3E"/>
    <w:rsid w:val="009C2EA2"/>
    <w:rsid w:val="009C3721"/>
    <w:rsid w:val="009C4141"/>
    <w:rsid w:val="009C4B55"/>
    <w:rsid w:val="009C5D4B"/>
    <w:rsid w:val="009C5FCC"/>
    <w:rsid w:val="009C61A2"/>
    <w:rsid w:val="009C652D"/>
    <w:rsid w:val="009C6DF6"/>
    <w:rsid w:val="009C6E92"/>
    <w:rsid w:val="009C74BC"/>
    <w:rsid w:val="009D04F7"/>
    <w:rsid w:val="009D1589"/>
    <w:rsid w:val="009D2003"/>
    <w:rsid w:val="009D3004"/>
    <w:rsid w:val="009D38C2"/>
    <w:rsid w:val="009D417F"/>
    <w:rsid w:val="009D45E5"/>
    <w:rsid w:val="009D4B85"/>
    <w:rsid w:val="009D535B"/>
    <w:rsid w:val="009D630B"/>
    <w:rsid w:val="009D6CAA"/>
    <w:rsid w:val="009D6CF6"/>
    <w:rsid w:val="009D6E69"/>
    <w:rsid w:val="009D73BD"/>
    <w:rsid w:val="009E02DC"/>
    <w:rsid w:val="009E1783"/>
    <w:rsid w:val="009E1F76"/>
    <w:rsid w:val="009E2040"/>
    <w:rsid w:val="009E49AE"/>
    <w:rsid w:val="009E4DC7"/>
    <w:rsid w:val="009E660A"/>
    <w:rsid w:val="009E6B64"/>
    <w:rsid w:val="009E72E5"/>
    <w:rsid w:val="009F031F"/>
    <w:rsid w:val="009F1170"/>
    <w:rsid w:val="009F27BC"/>
    <w:rsid w:val="009F46C8"/>
    <w:rsid w:val="009F4F2A"/>
    <w:rsid w:val="009F5DE3"/>
    <w:rsid w:val="009F660B"/>
    <w:rsid w:val="009F671E"/>
    <w:rsid w:val="009F7ED1"/>
    <w:rsid w:val="00A0149B"/>
    <w:rsid w:val="00A01607"/>
    <w:rsid w:val="00A018D4"/>
    <w:rsid w:val="00A0259E"/>
    <w:rsid w:val="00A02D2D"/>
    <w:rsid w:val="00A02F9D"/>
    <w:rsid w:val="00A03767"/>
    <w:rsid w:val="00A04834"/>
    <w:rsid w:val="00A05628"/>
    <w:rsid w:val="00A07DCF"/>
    <w:rsid w:val="00A12979"/>
    <w:rsid w:val="00A131A9"/>
    <w:rsid w:val="00A1496E"/>
    <w:rsid w:val="00A14A85"/>
    <w:rsid w:val="00A14F84"/>
    <w:rsid w:val="00A16D6D"/>
    <w:rsid w:val="00A17C75"/>
    <w:rsid w:val="00A20F55"/>
    <w:rsid w:val="00A211C8"/>
    <w:rsid w:val="00A2121E"/>
    <w:rsid w:val="00A21EAC"/>
    <w:rsid w:val="00A221DE"/>
    <w:rsid w:val="00A22CB2"/>
    <w:rsid w:val="00A22EFD"/>
    <w:rsid w:val="00A23138"/>
    <w:rsid w:val="00A23940"/>
    <w:rsid w:val="00A23ECC"/>
    <w:rsid w:val="00A24CD3"/>
    <w:rsid w:val="00A25461"/>
    <w:rsid w:val="00A26367"/>
    <w:rsid w:val="00A2678A"/>
    <w:rsid w:val="00A269E1"/>
    <w:rsid w:val="00A27C1C"/>
    <w:rsid w:val="00A30F6A"/>
    <w:rsid w:val="00A32628"/>
    <w:rsid w:val="00A3283A"/>
    <w:rsid w:val="00A32AEA"/>
    <w:rsid w:val="00A32F32"/>
    <w:rsid w:val="00A33358"/>
    <w:rsid w:val="00A33E80"/>
    <w:rsid w:val="00A33EFE"/>
    <w:rsid w:val="00A35213"/>
    <w:rsid w:val="00A4148D"/>
    <w:rsid w:val="00A4329C"/>
    <w:rsid w:val="00A44937"/>
    <w:rsid w:val="00A44D0E"/>
    <w:rsid w:val="00A45912"/>
    <w:rsid w:val="00A4621D"/>
    <w:rsid w:val="00A469A5"/>
    <w:rsid w:val="00A509FB"/>
    <w:rsid w:val="00A51C19"/>
    <w:rsid w:val="00A51E04"/>
    <w:rsid w:val="00A522B5"/>
    <w:rsid w:val="00A52C31"/>
    <w:rsid w:val="00A52F37"/>
    <w:rsid w:val="00A533C5"/>
    <w:rsid w:val="00A5388C"/>
    <w:rsid w:val="00A5397B"/>
    <w:rsid w:val="00A53BE1"/>
    <w:rsid w:val="00A53EC6"/>
    <w:rsid w:val="00A54644"/>
    <w:rsid w:val="00A55921"/>
    <w:rsid w:val="00A560E3"/>
    <w:rsid w:val="00A5628F"/>
    <w:rsid w:val="00A564AF"/>
    <w:rsid w:val="00A566A8"/>
    <w:rsid w:val="00A56D0B"/>
    <w:rsid w:val="00A5775C"/>
    <w:rsid w:val="00A60E72"/>
    <w:rsid w:val="00A61F0C"/>
    <w:rsid w:val="00A61FF0"/>
    <w:rsid w:val="00A62580"/>
    <w:rsid w:val="00A63A02"/>
    <w:rsid w:val="00A63AC9"/>
    <w:rsid w:val="00A63F72"/>
    <w:rsid w:val="00A643CD"/>
    <w:rsid w:val="00A64502"/>
    <w:rsid w:val="00A64B5F"/>
    <w:rsid w:val="00A654E8"/>
    <w:rsid w:val="00A65EA0"/>
    <w:rsid w:val="00A66517"/>
    <w:rsid w:val="00A66D8D"/>
    <w:rsid w:val="00A67B0E"/>
    <w:rsid w:val="00A70112"/>
    <w:rsid w:val="00A718EF"/>
    <w:rsid w:val="00A71AA4"/>
    <w:rsid w:val="00A72134"/>
    <w:rsid w:val="00A726A8"/>
    <w:rsid w:val="00A72951"/>
    <w:rsid w:val="00A72D60"/>
    <w:rsid w:val="00A73505"/>
    <w:rsid w:val="00A75E02"/>
    <w:rsid w:val="00A76E79"/>
    <w:rsid w:val="00A7771B"/>
    <w:rsid w:val="00A77B53"/>
    <w:rsid w:val="00A77E43"/>
    <w:rsid w:val="00A811F1"/>
    <w:rsid w:val="00A82887"/>
    <w:rsid w:val="00A83010"/>
    <w:rsid w:val="00A838C5"/>
    <w:rsid w:val="00A83BF5"/>
    <w:rsid w:val="00A84CD1"/>
    <w:rsid w:val="00A85074"/>
    <w:rsid w:val="00A85E2E"/>
    <w:rsid w:val="00A861F3"/>
    <w:rsid w:val="00A86DBC"/>
    <w:rsid w:val="00A8728F"/>
    <w:rsid w:val="00A8756A"/>
    <w:rsid w:val="00A87F7D"/>
    <w:rsid w:val="00A906B7"/>
    <w:rsid w:val="00A9070E"/>
    <w:rsid w:val="00A92DD4"/>
    <w:rsid w:val="00A94902"/>
    <w:rsid w:val="00A94D0F"/>
    <w:rsid w:val="00A94F13"/>
    <w:rsid w:val="00A9568C"/>
    <w:rsid w:val="00A95BED"/>
    <w:rsid w:val="00A95EA2"/>
    <w:rsid w:val="00A96A01"/>
    <w:rsid w:val="00A9787E"/>
    <w:rsid w:val="00A97AF9"/>
    <w:rsid w:val="00AA08E8"/>
    <w:rsid w:val="00AA0DB4"/>
    <w:rsid w:val="00AA11C5"/>
    <w:rsid w:val="00AA17E2"/>
    <w:rsid w:val="00AA1F82"/>
    <w:rsid w:val="00AA21B7"/>
    <w:rsid w:val="00AA3827"/>
    <w:rsid w:val="00AA382D"/>
    <w:rsid w:val="00AA42BE"/>
    <w:rsid w:val="00AA4A2C"/>
    <w:rsid w:val="00AA59A6"/>
    <w:rsid w:val="00AA6299"/>
    <w:rsid w:val="00AA6E05"/>
    <w:rsid w:val="00AB0262"/>
    <w:rsid w:val="00AB14A1"/>
    <w:rsid w:val="00AB17BF"/>
    <w:rsid w:val="00AB202A"/>
    <w:rsid w:val="00AB2E06"/>
    <w:rsid w:val="00AB5555"/>
    <w:rsid w:val="00AB55AD"/>
    <w:rsid w:val="00AB5D1B"/>
    <w:rsid w:val="00AB6918"/>
    <w:rsid w:val="00AB6B40"/>
    <w:rsid w:val="00AB740A"/>
    <w:rsid w:val="00AC0995"/>
    <w:rsid w:val="00AC1DA5"/>
    <w:rsid w:val="00AC1E8C"/>
    <w:rsid w:val="00AC216B"/>
    <w:rsid w:val="00AC26B1"/>
    <w:rsid w:val="00AC3A93"/>
    <w:rsid w:val="00AC42B8"/>
    <w:rsid w:val="00AC45C5"/>
    <w:rsid w:val="00AC4791"/>
    <w:rsid w:val="00AC4FB6"/>
    <w:rsid w:val="00AC4FD1"/>
    <w:rsid w:val="00AC5FEF"/>
    <w:rsid w:val="00AC6036"/>
    <w:rsid w:val="00AC635B"/>
    <w:rsid w:val="00AC68DE"/>
    <w:rsid w:val="00AD0328"/>
    <w:rsid w:val="00AD07B6"/>
    <w:rsid w:val="00AD11DC"/>
    <w:rsid w:val="00AD17E9"/>
    <w:rsid w:val="00AD1966"/>
    <w:rsid w:val="00AD19E8"/>
    <w:rsid w:val="00AD213B"/>
    <w:rsid w:val="00AD2A11"/>
    <w:rsid w:val="00AD2B03"/>
    <w:rsid w:val="00AD2E07"/>
    <w:rsid w:val="00AD2E37"/>
    <w:rsid w:val="00AD38A9"/>
    <w:rsid w:val="00AD4071"/>
    <w:rsid w:val="00AD44EA"/>
    <w:rsid w:val="00AD4782"/>
    <w:rsid w:val="00AD48E4"/>
    <w:rsid w:val="00AD4DAA"/>
    <w:rsid w:val="00AD5236"/>
    <w:rsid w:val="00AD527D"/>
    <w:rsid w:val="00AD54E0"/>
    <w:rsid w:val="00AD758E"/>
    <w:rsid w:val="00AD75BE"/>
    <w:rsid w:val="00AD7AB5"/>
    <w:rsid w:val="00AE08B7"/>
    <w:rsid w:val="00AE0DBA"/>
    <w:rsid w:val="00AE1247"/>
    <w:rsid w:val="00AE160F"/>
    <w:rsid w:val="00AE21DC"/>
    <w:rsid w:val="00AE239B"/>
    <w:rsid w:val="00AE25D2"/>
    <w:rsid w:val="00AE2B47"/>
    <w:rsid w:val="00AE2CAD"/>
    <w:rsid w:val="00AE3090"/>
    <w:rsid w:val="00AE380E"/>
    <w:rsid w:val="00AE3AAD"/>
    <w:rsid w:val="00AE4189"/>
    <w:rsid w:val="00AE503A"/>
    <w:rsid w:val="00AE68E2"/>
    <w:rsid w:val="00AE70F0"/>
    <w:rsid w:val="00AE7B1A"/>
    <w:rsid w:val="00AF0157"/>
    <w:rsid w:val="00AF1B2E"/>
    <w:rsid w:val="00AF1E5A"/>
    <w:rsid w:val="00AF2EC7"/>
    <w:rsid w:val="00AF315A"/>
    <w:rsid w:val="00AF3AC0"/>
    <w:rsid w:val="00AF4F4A"/>
    <w:rsid w:val="00AF7F96"/>
    <w:rsid w:val="00B00C24"/>
    <w:rsid w:val="00B00F93"/>
    <w:rsid w:val="00B01BBE"/>
    <w:rsid w:val="00B01D09"/>
    <w:rsid w:val="00B03F92"/>
    <w:rsid w:val="00B055D8"/>
    <w:rsid w:val="00B055DE"/>
    <w:rsid w:val="00B06191"/>
    <w:rsid w:val="00B06CD6"/>
    <w:rsid w:val="00B06EBC"/>
    <w:rsid w:val="00B07ACB"/>
    <w:rsid w:val="00B11D2D"/>
    <w:rsid w:val="00B123F0"/>
    <w:rsid w:val="00B12891"/>
    <w:rsid w:val="00B141BB"/>
    <w:rsid w:val="00B146C1"/>
    <w:rsid w:val="00B146E7"/>
    <w:rsid w:val="00B156DF"/>
    <w:rsid w:val="00B15ABB"/>
    <w:rsid w:val="00B16973"/>
    <w:rsid w:val="00B16E48"/>
    <w:rsid w:val="00B2036A"/>
    <w:rsid w:val="00B21057"/>
    <w:rsid w:val="00B2202B"/>
    <w:rsid w:val="00B22D01"/>
    <w:rsid w:val="00B23422"/>
    <w:rsid w:val="00B23943"/>
    <w:rsid w:val="00B24715"/>
    <w:rsid w:val="00B24948"/>
    <w:rsid w:val="00B24CBD"/>
    <w:rsid w:val="00B25CA3"/>
    <w:rsid w:val="00B30028"/>
    <w:rsid w:val="00B31E8D"/>
    <w:rsid w:val="00B321B5"/>
    <w:rsid w:val="00B32C94"/>
    <w:rsid w:val="00B3313B"/>
    <w:rsid w:val="00B331E8"/>
    <w:rsid w:val="00B331EA"/>
    <w:rsid w:val="00B34732"/>
    <w:rsid w:val="00B353B8"/>
    <w:rsid w:val="00B35C56"/>
    <w:rsid w:val="00B36F17"/>
    <w:rsid w:val="00B372ED"/>
    <w:rsid w:val="00B40603"/>
    <w:rsid w:val="00B40AF6"/>
    <w:rsid w:val="00B41071"/>
    <w:rsid w:val="00B425C0"/>
    <w:rsid w:val="00B42DB6"/>
    <w:rsid w:val="00B437D3"/>
    <w:rsid w:val="00B44FA5"/>
    <w:rsid w:val="00B4637A"/>
    <w:rsid w:val="00B46957"/>
    <w:rsid w:val="00B46D64"/>
    <w:rsid w:val="00B46F94"/>
    <w:rsid w:val="00B47B54"/>
    <w:rsid w:val="00B50E99"/>
    <w:rsid w:val="00B50FBC"/>
    <w:rsid w:val="00B5160C"/>
    <w:rsid w:val="00B51926"/>
    <w:rsid w:val="00B51F9A"/>
    <w:rsid w:val="00B548DA"/>
    <w:rsid w:val="00B54DA7"/>
    <w:rsid w:val="00B57433"/>
    <w:rsid w:val="00B576B2"/>
    <w:rsid w:val="00B60064"/>
    <w:rsid w:val="00B600C6"/>
    <w:rsid w:val="00B60167"/>
    <w:rsid w:val="00B60FC0"/>
    <w:rsid w:val="00B61665"/>
    <w:rsid w:val="00B61A8C"/>
    <w:rsid w:val="00B63528"/>
    <w:rsid w:val="00B639CB"/>
    <w:rsid w:val="00B63DAF"/>
    <w:rsid w:val="00B63E98"/>
    <w:rsid w:val="00B65754"/>
    <w:rsid w:val="00B661AA"/>
    <w:rsid w:val="00B66242"/>
    <w:rsid w:val="00B670D3"/>
    <w:rsid w:val="00B67958"/>
    <w:rsid w:val="00B701D1"/>
    <w:rsid w:val="00B70C40"/>
    <w:rsid w:val="00B716BB"/>
    <w:rsid w:val="00B716FD"/>
    <w:rsid w:val="00B720D3"/>
    <w:rsid w:val="00B72948"/>
    <w:rsid w:val="00B734C2"/>
    <w:rsid w:val="00B73BDA"/>
    <w:rsid w:val="00B74053"/>
    <w:rsid w:val="00B765A0"/>
    <w:rsid w:val="00B76C02"/>
    <w:rsid w:val="00B77BD2"/>
    <w:rsid w:val="00B814CB"/>
    <w:rsid w:val="00B8177C"/>
    <w:rsid w:val="00B81933"/>
    <w:rsid w:val="00B81B6A"/>
    <w:rsid w:val="00B820F4"/>
    <w:rsid w:val="00B834CF"/>
    <w:rsid w:val="00B835E0"/>
    <w:rsid w:val="00B8396D"/>
    <w:rsid w:val="00B8446D"/>
    <w:rsid w:val="00B84EE4"/>
    <w:rsid w:val="00B853F2"/>
    <w:rsid w:val="00B90331"/>
    <w:rsid w:val="00B903ED"/>
    <w:rsid w:val="00B905D7"/>
    <w:rsid w:val="00B90845"/>
    <w:rsid w:val="00B90B2D"/>
    <w:rsid w:val="00B9114F"/>
    <w:rsid w:val="00B9150C"/>
    <w:rsid w:val="00B91A31"/>
    <w:rsid w:val="00B92DC3"/>
    <w:rsid w:val="00B935A1"/>
    <w:rsid w:val="00B95DAD"/>
    <w:rsid w:val="00B96BC8"/>
    <w:rsid w:val="00B96C0C"/>
    <w:rsid w:val="00B9734D"/>
    <w:rsid w:val="00B97732"/>
    <w:rsid w:val="00BA0DA5"/>
    <w:rsid w:val="00BA2782"/>
    <w:rsid w:val="00BA27F4"/>
    <w:rsid w:val="00BA2E40"/>
    <w:rsid w:val="00BA3CB7"/>
    <w:rsid w:val="00BA4037"/>
    <w:rsid w:val="00BA41DE"/>
    <w:rsid w:val="00BA4B16"/>
    <w:rsid w:val="00BA556C"/>
    <w:rsid w:val="00BA6B49"/>
    <w:rsid w:val="00BA6C11"/>
    <w:rsid w:val="00BB0F31"/>
    <w:rsid w:val="00BB15AB"/>
    <w:rsid w:val="00BB189B"/>
    <w:rsid w:val="00BB1938"/>
    <w:rsid w:val="00BB1D21"/>
    <w:rsid w:val="00BB2BE9"/>
    <w:rsid w:val="00BB2E51"/>
    <w:rsid w:val="00BB4BEA"/>
    <w:rsid w:val="00BB4C1A"/>
    <w:rsid w:val="00BB50AB"/>
    <w:rsid w:val="00BB6664"/>
    <w:rsid w:val="00BC01FC"/>
    <w:rsid w:val="00BC1E0C"/>
    <w:rsid w:val="00BC1F79"/>
    <w:rsid w:val="00BC2201"/>
    <w:rsid w:val="00BC33E5"/>
    <w:rsid w:val="00BC3C7A"/>
    <w:rsid w:val="00BC4F49"/>
    <w:rsid w:val="00BC7DC6"/>
    <w:rsid w:val="00BD0D03"/>
    <w:rsid w:val="00BD1039"/>
    <w:rsid w:val="00BD13B5"/>
    <w:rsid w:val="00BD158E"/>
    <w:rsid w:val="00BD2BB6"/>
    <w:rsid w:val="00BD2EFC"/>
    <w:rsid w:val="00BD340E"/>
    <w:rsid w:val="00BD3D2B"/>
    <w:rsid w:val="00BD3FAA"/>
    <w:rsid w:val="00BD4DDF"/>
    <w:rsid w:val="00BD58B3"/>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817"/>
    <w:rsid w:val="00BF6B8E"/>
    <w:rsid w:val="00BF795C"/>
    <w:rsid w:val="00C025A5"/>
    <w:rsid w:val="00C03C78"/>
    <w:rsid w:val="00C048F6"/>
    <w:rsid w:val="00C04FD3"/>
    <w:rsid w:val="00C063C2"/>
    <w:rsid w:val="00C065A2"/>
    <w:rsid w:val="00C076B5"/>
    <w:rsid w:val="00C07919"/>
    <w:rsid w:val="00C07A27"/>
    <w:rsid w:val="00C103F9"/>
    <w:rsid w:val="00C104AC"/>
    <w:rsid w:val="00C110E1"/>
    <w:rsid w:val="00C1198F"/>
    <w:rsid w:val="00C11FA1"/>
    <w:rsid w:val="00C12125"/>
    <w:rsid w:val="00C12E21"/>
    <w:rsid w:val="00C12E65"/>
    <w:rsid w:val="00C13C20"/>
    <w:rsid w:val="00C13F74"/>
    <w:rsid w:val="00C140BD"/>
    <w:rsid w:val="00C146D3"/>
    <w:rsid w:val="00C16216"/>
    <w:rsid w:val="00C16BE0"/>
    <w:rsid w:val="00C170D0"/>
    <w:rsid w:val="00C21C39"/>
    <w:rsid w:val="00C2325C"/>
    <w:rsid w:val="00C239ED"/>
    <w:rsid w:val="00C24D9D"/>
    <w:rsid w:val="00C25CF3"/>
    <w:rsid w:val="00C263E9"/>
    <w:rsid w:val="00C26E58"/>
    <w:rsid w:val="00C2775A"/>
    <w:rsid w:val="00C3063A"/>
    <w:rsid w:val="00C30BAD"/>
    <w:rsid w:val="00C30D14"/>
    <w:rsid w:val="00C31E8F"/>
    <w:rsid w:val="00C335DA"/>
    <w:rsid w:val="00C33D3E"/>
    <w:rsid w:val="00C362E0"/>
    <w:rsid w:val="00C36ED4"/>
    <w:rsid w:val="00C376CC"/>
    <w:rsid w:val="00C37874"/>
    <w:rsid w:val="00C37BD2"/>
    <w:rsid w:val="00C400F7"/>
    <w:rsid w:val="00C40EC6"/>
    <w:rsid w:val="00C419AD"/>
    <w:rsid w:val="00C41B5F"/>
    <w:rsid w:val="00C432DE"/>
    <w:rsid w:val="00C43339"/>
    <w:rsid w:val="00C437BA"/>
    <w:rsid w:val="00C44395"/>
    <w:rsid w:val="00C443B3"/>
    <w:rsid w:val="00C45CE8"/>
    <w:rsid w:val="00C468A5"/>
    <w:rsid w:val="00C46F06"/>
    <w:rsid w:val="00C472EA"/>
    <w:rsid w:val="00C47DA6"/>
    <w:rsid w:val="00C47DC1"/>
    <w:rsid w:val="00C50986"/>
    <w:rsid w:val="00C50ABF"/>
    <w:rsid w:val="00C50EF2"/>
    <w:rsid w:val="00C51256"/>
    <w:rsid w:val="00C51566"/>
    <w:rsid w:val="00C516B7"/>
    <w:rsid w:val="00C516C4"/>
    <w:rsid w:val="00C51C1F"/>
    <w:rsid w:val="00C52433"/>
    <w:rsid w:val="00C52D62"/>
    <w:rsid w:val="00C52EF3"/>
    <w:rsid w:val="00C533D4"/>
    <w:rsid w:val="00C53469"/>
    <w:rsid w:val="00C53524"/>
    <w:rsid w:val="00C53A4C"/>
    <w:rsid w:val="00C53DF0"/>
    <w:rsid w:val="00C5448D"/>
    <w:rsid w:val="00C5477F"/>
    <w:rsid w:val="00C547B7"/>
    <w:rsid w:val="00C54C16"/>
    <w:rsid w:val="00C5503B"/>
    <w:rsid w:val="00C55A32"/>
    <w:rsid w:val="00C564F2"/>
    <w:rsid w:val="00C56F11"/>
    <w:rsid w:val="00C61B41"/>
    <w:rsid w:val="00C61F3A"/>
    <w:rsid w:val="00C629CB"/>
    <w:rsid w:val="00C62B75"/>
    <w:rsid w:val="00C62DD0"/>
    <w:rsid w:val="00C65719"/>
    <w:rsid w:val="00C657B5"/>
    <w:rsid w:val="00C661E1"/>
    <w:rsid w:val="00C66686"/>
    <w:rsid w:val="00C678C4"/>
    <w:rsid w:val="00C71215"/>
    <w:rsid w:val="00C717E2"/>
    <w:rsid w:val="00C71DB0"/>
    <w:rsid w:val="00C7216B"/>
    <w:rsid w:val="00C727BE"/>
    <w:rsid w:val="00C732A9"/>
    <w:rsid w:val="00C73448"/>
    <w:rsid w:val="00C73E2E"/>
    <w:rsid w:val="00C74546"/>
    <w:rsid w:val="00C748E2"/>
    <w:rsid w:val="00C74929"/>
    <w:rsid w:val="00C7776C"/>
    <w:rsid w:val="00C8398D"/>
    <w:rsid w:val="00C84BC2"/>
    <w:rsid w:val="00C85139"/>
    <w:rsid w:val="00C85657"/>
    <w:rsid w:val="00C8683C"/>
    <w:rsid w:val="00C91C88"/>
    <w:rsid w:val="00C91D6A"/>
    <w:rsid w:val="00C9372C"/>
    <w:rsid w:val="00C939C3"/>
    <w:rsid w:val="00C94228"/>
    <w:rsid w:val="00C96D56"/>
    <w:rsid w:val="00C977E6"/>
    <w:rsid w:val="00C97C69"/>
    <w:rsid w:val="00CA0020"/>
    <w:rsid w:val="00CA0B2E"/>
    <w:rsid w:val="00CA18CA"/>
    <w:rsid w:val="00CA2557"/>
    <w:rsid w:val="00CA5413"/>
    <w:rsid w:val="00CA5674"/>
    <w:rsid w:val="00CA5BDA"/>
    <w:rsid w:val="00CA5C1A"/>
    <w:rsid w:val="00CA61D8"/>
    <w:rsid w:val="00CA633F"/>
    <w:rsid w:val="00CA641E"/>
    <w:rsid w:val="00CA7558"/>
    <w:rsid w:val="00CA785F"/>
    <w:rsid w:val="00CA792A"/>
    <w:rsid w:val="00CA7949"/>
    <w:rsid w:val="00CB0400"/>
    <w:rsid w:val="00CB0C6E"/>
    <w:rsid w:val="00CB0C89"/>
    <w:rsid w:val="00CB1FC5"/>
    <w:rsid w:val="00CB226B"/>
    <w:rsid w:val="00CB229B"/>
    <w:rsid w:val="00CB33B4"/>
    <w:rsid w:val="00CB3D93"/>
    <w:rsid w:val="00CB4441"/>
    <w:rsid w:val="00CB4B1A"/>
    <w:rsid w:val="00CB4E1F"/>
    <w:rsid w:val="00CB6AE7"/>
    <w:rsid w:val="00CC1063"/>
    <w:rsid w:val="00CC152E"/>
    <w:rsid w:val="00CC2493"/>
    <w:rsid w:val="00CC2C81"/>
    <w:rsid w:val="00CC3222"/>
    <w:rsid w:val="00CC355B"/>
    <w:rsid w:val="00CC35F1"/>
    <w:rsid w:val="00CC35FF"/>
    <w:rsid w:val="00CC5C35"/>
    <w:rsid w:val="00CD0E6E"/>
    <w:rsid w:val="00CD23AE"/>
    <w:rsid w:val="00CD27DF"/>
    <w:rsid w:val="00CD2D8A"/>
    <w:rsid w:val="00CD3BAC"/>
    <w:rsid w:val="00CD3CE1"/>
    <w:rsid w:val="00CD3FF2"/>
    <w:rsid w:val="00CD4A65"/>
    <w:rsid w:val="00CD531F"/>
    <w:rsid w:val="00CD57F0"/>
    <w:rsid w:val="00CD5878"/>
    <w:rsid w:val="00CD6FA3"/>
    <w:rsid w:val="00CE1174"/>
    <w:rsid w:val="00CE2184"/>
    <w:rsid w:val="00CE2D87"/>
    <w:rsid w:val="00CE3B7F"/>
    <w:rsid w:val="00CE3FA2"/>
    <w:rsid w:val="00CE41A0"/>
    <w:rsid w:val="00CE4958"/>
    <w:rsid w:val="00CE68E2"/>
    <w:rsid w:val="00CE706E"/>
    <w:rsid w:val="00CE70B1"/>
    <w:rsid w:val="00CE7AE4"/>
    <w:rsid w:val="00CE7BF9"/>
    <w:rsid w:val="00CF0A4C"/>
    <w:rsid w:val="00CF0AFE"/>
    <w:rsid w:val="00CF150A"/>
    <w:rsid w:val="00CF2225"/>
    <w:rsid w:val="00CF25E7"/>
    <w:rsid w:val="00CF26FE"/>
    <w:rsid w:val="00CF3C77"/>
    <w:rsid w:val="00CF45A2"/>
    <w:rsid w:val="00CF52E7"/>
    <w:rsid w:val="00CF64B5"/>
    <w:rsid w:val="00CF6764"/>
    <w:rsid w:val="00CF7853"/>
    <w:rsid w:val="00D004ED"/>
    <w:rsid w:val="00D0128E"/>
    <w:rsid w:val="00D01AA3"/>
    <w:rsid w:val="00D0260F"/>
    <w:rsid w:val="00D03708"/>
    <w:rsid w:val="00D06776"/>
    <w:rsid w:val="00D06E46"/>
    <w:rsid w:val="00D06F95"/>
    <w:rsid w:val="00D07CA5"/>
    <w:rsid w:val="00D1158C"/>
    <w:rsid w:val="00D11600"/>
    <w:rsid w:val="00D119A2"/>
    <w:rsid w:val="00D124B0"/>
    <w:rsid w:val="00D12E31"/>
    <w:rsid w:val="00D137F9"/>
    <w:rsid w:val="00D13F08"/>
    <w:rsid w:val="00D1458C"/>
    <w:rsid w:val="00D14F3C"/>
    <w:rsid w:val="00D1620E"/>
    <w:rsid w:val="00D16867"/>
    <w:rsid w:val="00D16EEC"/>
    <w:rsid w:val="00D177F5"/>
    <w:rsid w:val="00D2047A"/>
    <w:rsid w:val="00D20631"/>
    <w:rsid w:val="00D207FC"/>
    <w:rsid w:val="00D2260B"/>
    <w:rsid w:val="00D22D49"/>
    <w:rsid w:val="00D236FB"/>
    <w:rsid w:val="00D23930"/>
    <w:rsid w:val="00D23A23"/>
    <w:rsid w:val="00D23DD2"/>
    <w:rsid w:val="00D24D8A"/>
    <w:rsid w:val="00D24DA4"/>
    <w:rsid w:val="00D25235"/>
    <w:rsid w:val="00D25383"/>
    <w:rsid w:val="00D25670"/>
    <w:rsid w:val="00D2671A"/>
    <w:rsid w:val="00D301FF"/>
    <w:rsid w:val="00D317D0"/>
    <w:rsid w:val="00D3257F"/>
    <w:rsid w:val="00D32A01"/>
    <w:rsid w:val="00D3304D"/>
    <w:rsid w:val="00D3351F"/>
    <w:rsid w:val="00D340E2"/>
    <w:rsid w:val="00D343BB"/>
    <w:rsid w:val="00D348DC"/>
    <w:rsid w:val="00D358AC"/>
    <w:rsid w:val="00D36887"/>
    <w:rsid w:val="00D37563"/>
    <w:rsid w:val="00D379EB"/>
    <w:rsid w:val="00D400B8"/>
    <w:rsid w:val="00D4022C"/>
    <w:rsid w:val="00D40B89"/>
    <w:rsid w:val="00D41023"/>
    <w:rsid w:val="00D41C6C"/>
    <w:rsid w:val="00D42465"/>
    <w:rsid w:val="00D42928"/>
    <w:rsid w:val="00D42E5B"/>
    <w:rsid w:val="00D42E5F"/>
    <w:rsid w:val="00D439D1"/>
    <w:rsid w:val="00D43C68"/>
    <w:rsid w:val="00D444B2"/>
    <w:rsid w:val="00D453E4"/>
    <w:rsid w:val="00D46B5B"/>
    <w:rsid w:val="00D47226"/>
    <w:rsid w:val="00D50B21"/>
    <w:rsid w:val="00D51349"/>
    <w:rsid w:val="00D527AF"/>
    <w:rsid w:val="00D529E1"/>
    <w:rsid w:val="00D534C2"/>
    <w:rsid w:val="00D53687"/>
    <w:rsid w:val="00D5410F"/>
    <w:rsid w:val="00D564DF"/>
    <w:rsid w:val="00D568E4"/>
    <w:rsid w:val="00D56AF9"/>
    <w:rsid w:val="00D576DD"/>
    <w:rsid w:val="00D57CB4"/>
    <w:rsid w:val="00D61477"/>
    <w:rsid w:val="00D619E2"/>
    <w:rsid w:val="00D62036"/>
    <w:rsid w:val="00D620CC"/>
    <w:rsid w:val="00D634B8"/>
    <w:rsid w:val="00D63ABE"/>
    <w:rsid w:val="00D63EF3"/>
    <w:rsid w:val="00D64441"/>
    <w:rsid w:val="00D64F47"/>
    <w:rsid w:val="00D64FB0"/>
    <w:rsid w:val="00D65497"/>
    <w:rsid w:val="00D654DA"/>
    <w:rsid w:val="00D6609E"/>
    <w:rsid w:val="00D67A9F"/>
    <w:rsid w:val="00D67C20"/>
    <w:rsid w:val="00D7075E"/>
    <w:rsid w:val="00D70A29"/>
    <w:rsid w:val="00D70C1B"/>
    <w:rsid w:val="00D70E5C"/>
    <w:rsid w:val="00D7146C"/>
    <w:rsid w:val="00D718CD"/>
    <w:rsid w:val="00D72A3F"/>
    <w:rsid w:val="00D73A60"/>
    <w:rsid w:val="00D7416F"/>
    <w:rsid w:val="00D75196"/>
    <w:rsid w:val="00D755F2"/>
    <w:rsid w:val="00D75CC1"/>
    <w:rsid w:val="00D762AC"/>
    <w:rsid w:val="00D76720"/>
    <w:rsid w:val="00D775E7"/>
    <w:rsid w:val="00D77B9E"/>
    <w:rsid w:val="00D81CA9"/>
    <w:rsid w:val="00D82E91"/>
    <w:rsid w:val="00D839D8"/>
    <w:rsid w:val="00D83F9E"/>
    <w:rsid w:val="00D840C2"/>
    <w:rsid w:val="00D84562"/>
    <w:rsid w:val="00D85C16"/>
    <w:rsid w:val="00D860F6"/>
    <w:rsid w:val="00D86169"/>
    <w:rsid w:val="00D86CB3"/>
    <w:rsid w:val="00D8732E"/>
    <w:rsid w:val="00D87F85"/>
    <w:rsid w:val="00D911C6"/>
    <w:rsid w:val="00D91294"/>
    <w:rsid w:val="00D9186A"/>
    <w:rsid w:val="00D92D47"/>
    <w:rsid w:val="00D94213"/>
    <w:rsid w:val="00D94BEB"/>
    <w:rsid w:val="00D94EA5"/>
    <w:rsid w:val="00D95DA7"/>
    <w:rsid w:val="00D95F32"/>
    <w:rsid w:val="00D969AC"/>
    <w:rsid w:val="00D978D6"/>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F72"/>
    <w:rsid w:val="00DB3070"/>
    <w:rsid w:val="00DB4411"/>
    <w:rsid w:val="00DB466D"/>
    <w:rsid w:val="00DB5FD0"/>
    <w:rsid w:val="00DB656E"/>
    <w:rsid w:val="00DB6D5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82F"/>
    <w:rsid w:val="00DC6DF6"/>
    <w:rsid w:val="00DC7BFE"/>
    <w:rsid w:val="00DD08C7"/>
    <w:rsid w:val="00DD1A10"/>
    <w:rsid w:val="00DD200D"/>
    <w:rsid w:val="00DD2990"/>
    <w:rsid w:val="00DD2FE9"/>
    <w:rsid w:val="00DD3A7E"/>
    <w:rsid w:val="00DD434E"/>
    <w:rsid w:val="00DD4402"/>
    <w:rsid w:val="00DD60D0"/>
    <w:rsid w:val="00DD6200"/>
    <w:rsid w:val="00DD686C"/>
    <w:rsid w:val="00DD6A1C"/>
    <w:rsid w:val="00DD6E86"/>
    <w:rsid w:val="00DE0E5D"/>
    <w:rsid w:val="00DE20E7"/>
    <w:rsid w:val="00DE447F"/>
    <w:rsid w:val="00DE48F0"/>
    <w:rsid w:val="00DE4A77"/>
    <w:rsid w:val="00DE5AD6"/>
    <w:rsid w:val="00DE5F02"/>
    <w:rsid w:val="00DE68EE"/>
    <w:rsid w:val="00DE6D24"/>
    <w:rsid w:val="00DE7285"/>
    <w:rsid w:val="00DE7C40"/>
    <w:rsid w:val="00DF0EA5"/>
    <w:rsid w:val="00DF1F1D"/>
    <w:rsid w:val="00DF23A5"/>
    <w:rsid w:val="00DF2F06"/>
    <w:rsid w:val="00DF486C"/>
    <w:rsid w:val="00DF4C6E"/>
    <w:rsid w:val="00DF6666"/>
    <w:rsid w:val="00DF745E"/>
    <w:rsid w:val="00DF762E"/>
    <w:rsid w:val="00E0044E"/>
    <w:rsid w:val="00E00816"/>
    <w:rsid w:val="00E00922"/>
    <w:rsid w:val="00E0107D"/>
    <w:rsid w:val="00E0239F"/>
    <w:rsid w:val="00E0267B"/>
    <w:rsid w:val="00E03EB9"/>
    <w:rsid w:val="00E04441"/>
    <w:rsid w:val="00E05F03"/>
    <w:rsid w:val="00E06370"/>
    <w:rsid w:val="00E06B7B"/>
    <w:rsid w:val="00E06E20"/>
    <w:rsid w:val="00E07DD9"/>
    <w:rsid w:val="00E102F8"/>
    <w:rsid w:val="00E12EA5"/>
    <w:rsid w:val="00E12FCF"/>
    <w:rsid w:val="00E13273"/>
    <w:rsid w:val="00E13379"/>
    <w:rsid w:val="00E139EE"/>
    <w:rsid w:val="00E14D83"/>
    <w:rsid w:val="00E14FA6"/>
    <w:rsid w:val="00E15A0D"/>
    <w:rsid w:val="00E16640"/>
    <w:rsid w:val="00E1740F"/>
    <w:rsid w:val="00E17973"/>
    <w:rsid w:val="00E200CF"/>
    <w:rsid w:val="00E2047D"/>
    <w:rsid w:val="00E22367"/>
    <w:rsid w:val="00E24287"/>
    <w:rsid w:val="00E276C1"/>
    <w:rsid w:val="00E31367"/>
    <w:rsid w:val="00E3181C"/>
    <w:rsid w:val="00E32EF3"/>
    <w:rsid w:val="00E33E21"/>
    <w:rsid w:val="00E349BE"/>
    <w:rsid w:val="00E34BC4"/>
    <w:rsid w:val="00E350BA"/>
    <w:rsid w:val="00E3540C"/>
    <w:rsid w:val="00E3557E"/>
    <w:rsid w:val="00E35AA6"/>
    <w:rsid w:val="00E36187"/>
    <w:rsid w:val="00E36332"/>
    <w:rsid w:val="00E36AF1"/>
    <w:rsid w:val="00E36C9B"/>
    <w:rsid w:val="00E37474"/>
    <w:rsid w:val="00E37638"/>
    <w:rsid w:val="00E37E9D"/>
    <w:rsid w:val="00E41B71"/>
    <w:rsid w:val="00E41EFC"/>
    <w:rsid w:val="00E42569"/>
    <w:rsid w:val="00E434A0"/>
    <w:rsid w:val="00E44D30"/>
    <w:rsid w:val="00E4597F"/>
    <w:rsid w:val="00E46CB7"/>
    <w:rsid w:val="00E46EE3"/>
    <w:rsid w:val="00E4723D"/>
    <w:rsid w:val="00E5077C"/>
    <w:rsid w:val="00E50EC8"/>
    <w:rsid w:val="00E5159B"/>
    <w:rsid w:val="00E515C6"/>
    <w:rsid w:val="00E52E0D"/>
    <w:rsid w:val="00E52FE2"/>
    <w:rsid w:val="00E5306F"/>
    <w:rsid w:val="00E54629"/>
    <w:rsid w:val="00E54715"/>
    <w:rsid w:val="00E54D6B"/>
    <w:rsid w:val="00E54E6F"/>
    <w:rsid w:val="00E55338"/>
    <w:rsid w:val="00E566C9"/>
    <w:rsid w:val="00E569AF"/>
    <w:rsid w:val="00E5774E"/>
    <w:rsid w:val="00E57EEB"/>
    <w:rsid w:val="00E60318"/>
    <w:rsid w:val="00E60BA8"/>
    <w:rsid w:val="00E6112F"/>
    <w:rsid w:val="00E61E25"/>
    <w:rsid w:val="00E61E28"/>
    <w:rsid w:val="00E628E4"/>
    <w:rsid w:val="00E647F7"/>
    <w:rsid w:val="00E65FF5"/>
    <w:rsid w:val="00E66857"/>
    <w:rsid w:val="00E67556"/>
    <w:rsid w:val="00E67AA6"/>
    <w:rsid w:val="00E70282"/>
    <w:rsid w:val="00E7077B"/>
    <w:rsid w:val="00E709B9"/>
    <w:rsid w:val="00E70EE3"/>
    <w:rsid w:val="00E7252F"/>
    <w:rsid w:val="00E73FC2"/>
    <w:rsid w:val="00E74481"/>
    <w:rsid w:val="00E74517"/>
    <w:rsid w:val="00E755D7"/>
    <w:rsid w:val="00E7566D"/>
    <w:rsid w:val="00E76E91"/>
    <w:rsid w:val="00E774B4"/>
    <w:rsid w:val="00E778F5"/>
    <w:rsid w:val="00E80986"/>
    <w:rsid w:val="00E80E7C"/>
    <w:rsid w:val="00E80F51"/>
    <w:rsid w:val="00E8167A"/>
    <w:rsid w:val="00E81779"/>
    <w:rsid w:val="00E8205B"/>
    <w:rsid w:val="00E82444"/>
    <w:rsid w:val="00E83030"/>
    <w:rsid w:val="00E8341C"/>
    <w:rsid w:val="00E8602B"/>
    <w:rsid w:val="00E86B5F"/>
    <w:rsid w:val="00E87D05"/>
    <w:rsid w:val="00E90E68"/>
    <w:rsid w:val="00E91F96"/>
    <w:rsid w:val="00E92E99"/>
    <w:rsid w:val="00E93800"/>
    <w:rsid w:val="00E93FF7"/>
    <w:rsid w:val="00E95241"/>
    <w:rsid w:val="00E968FD"/>
    <w:rsid w:val="00E96D55"/>
    <w:rsid w:val="00E97993"/>
    <w:rsid w:val="00EA07F0"/>
    <w:rsid w:val="00EA0D5D"/>
    <w:rsid w:val="00EA10DB"/>
    <w:rsid w:val="00EA1192"/>
    <w:rsid w:val="00EA153F"/>
    <w:rsid w:val="00EA2788"/>
    <w:rsid w:val="00EA2C6E"/>
    <w:rsid w:val="00EA4964"/>
    <w:rsid w:val="00EA4CA8"/>
    <w:rsid w:val="00EA4F1A"/>
    <w:rsid w:val="00EB02DE"/>
    <w:rsid w:val="00EB0A07"/>
    <w:rsid w:val="00EB1B69"/>
    <w:rsid w:val="00EB1C78"/>
    <w:rsid w:val="00EB3A47"/>
    <w:rsid w:val="00EB3B46"/>
    <w:rsid w:val="00EB4F08"/>
    <w:rsid w:val="00EB711B"/>
    <w:rsid w:val="00EC12E7"/>
    <w:rsid w:val="00EC2E07"/>
    <w:rsid w:val="00EC3367"/>
    <w:rsid w:val="00EC43C7"/>
    <w:rsid w:val="00EC465D"/>
    <w:rsid w:val="00EC586B"/>
    <w:rsid w:val="00EC5C89"/>
    <w:rsid w:val="00EC6040"/>
    <w:rsid w:val="00EC66D2"/>
    <w:rsid w:val="00EC67E7"/>
    <w:rsid w:val="00EC707C"/>
    <w:rsid w:val="00ED0A1B"/>
    <w:rsid w:val="00ED21BC"/>
    <w:rsid w:val="00ED225D"/>
    <w:rsid w:val="00ED2FEC"/>
    <w:rsid w:val="00ED3F67"/>
    <w:rsid w:val="00ED440A"/>
    <w:rsid w:val="00ED56FA"/>
    <w:rsid w:val="00ED7971"/>
    <w:rsid w:val="00ED79B0"/>
    <w:rsid w:val="00EE0748"/>
    <w:rsid w:val="00EE29A0"/>
    <w:rsid w:val="00EE2C86"/>
    <w:rsid w:val="00EE2CEA"/>
    <w:rsid w:val="00EE2FFB"/>
    <w:rsid w:val="00EE3365"/>
    <w:rsid w:val="00EE48DF"/>
    <w:rsid w:val="00EE4AB3"/>
    <w:rsid w:val="00EE7405"/>
    <w:rsid w:val="00EE7DC1"/>
    <w:rsid w:val="00EF033E"/>
    <w:rsid w:val="00EF06EC"/>
    <w:rsid w:val="00EF09C3"/>
    <w:rsid w:val="00EF14FF"/>
    <w:rsid w:val="00EF2BFE"/>
    <w:rsid w:val="00EF2D85"/>
    <w:rsid w:val="00EF33A9"/>
    <w:rsid w:val="00EF402C"/>
    <w:rsid w:val="00EF45E0"/>
    <w:rsid w:val="00EF4E6F"/>
    <w:rsid w:val="00EF5C82"/>
    <w:rsid w:val="00EF7A15"/>
    <w:rsid w:val="00F014D1"/>
    <w:rsid w:val="00F01F8C"/>
    <w:rsid w:val="00F035A6"/>
    <w:rsid w:val="00F04AD0"/>
    <w:rsid w:val="00F04E3F"/>
    <w:rsid w:val="00F0646E"/>
    <w:rsid w:val="00F10033"/>
    <w:rsid w:val="00F10848"/>
    <w:rsid w:val="00F10B68"/>
    <w:rsid w:val="00F11F55"/>
    <w:rsid w:val="00F122EE"/>
    <w:rsid w:val="00F12DEC"/>
    <w:rsid w:val="00F13151"/>
    <w:rsid w:val="00F13AC7"/>
    <w:rsid w:val="00F14BD2"/>
    <w:rsid w:val="00F15523"/>
    <w:rsid w:val="00F15832"/>
    <w:rsid w:val="00F16391"/>
    <w:rsid w:val="00F16723"/>
    <w:rsid w:val="00F2062B"/>
    <w:rsid w:val="00F2119C"/>
    <w:rsid w:val="00F21A18"/>
    <w:rsid w:val="00F21A1A"/>
    <w:rsid w:val="00F21E61"/>
    <w:rsid w:val="00F220EA"/>
    <w:rsid w:val="00F222CD"/>
    <w:rsid w:val="00F24EA4"/>
    <w:rsid w:val="00F2625A"/>
    <w:rsid w:val="00F27C2E"/>
    <w:rsid w:val="00F31A03"/>
    <w:rsid w:val="00F3283C"/>
    <w:rsid w:val="00F32D0F"/>
    <w:rsid w:val="00F343F0"/>
    <w:rsid w:val="00F34620"/>
    <w:rsid w:val="00F34AAB"/>
    <w:rsid w:val="00F34C4D"/>
    <w:rsid w:val="00F350CF"/>
    <w:rsid w:val="00F35582"/>
    <w:rsid w:val="00F37004"/>
    <w:rsid w:val="00F376A1"/>
    <w:rsid w:val="00F3780C"/>
    <w:rsid w:val="00F37B8E"/>
    <w:rsid w:val="00F41746"/>
    <w:rsid w:val="00F41B15"/>
    <w:rsid w:val="00F41E79"/>
    <w:rsid w:val="00F4315F"/>
    <w:rsid w:val="00F445F6"/>
    <w:rsid w:val="00F4512F"/>
    <w:rsid w:val="00F45763"/>
    <w:rsid w:val="00F45BCF"/>
    <w:rsid w:val="00F45BEA"/>
    <w:rsid w:val="00F45CFE"/>
    <w:rsid w:val="00F46877"/>
    <w:rsid w:val="00F47F3E"/>
    <w:rsid w:val="00F523D7"/>
    <w:rsid w:val="00F530E6"/>
    <w:rsid w:val="00F532C7"/>
    <w:rsid w:val="00F53621"/>
    <w:rsid w:val="00F54EE5"/>
    <w:rsid w:val="00F551AD"/>
    <w:rsid w:val="00F55358"/>
    <w:rsid w:val="00F5603C"/>
    <w:rsid w:val="00F5605C"/>
    <w:rsid w:val="00F564B9"/>
    <w:rsid w:val="00F57909"/>
    <w:rsid w:val="00F57E4F"/>
    <w:rsid w:val="00F60006"/>
    <w:rsid w:val="00F612D6"/>
    <w:rsid w:val="00F6241D"/>
    <w:rsid w:val="00F63400"/>
    <w:rsid w:val="00F636C6"/>
    <w:rsid w:val="00F63A4C"/>
    <w:rsid w:val="00F6433D"/>
    <w:rsid w:val="00F64DD2"/>
    <w:rsid w:val="00F654ED"/>
    <w:rsid w:val="00F6573E"/>
    <w:rsid w:val="00F662EB"/>
    <w:rsid w:val="00F665F1"/>
    <w:rsid w:val="00F67332"/>
    <w:rsid w:val="00F67606"/>
    <w:rsid w:val="00F700E1"/>
    <w:rsid w:val="00F70327"/>
    <w:rsid w:val="00F705A3"/>
    <w:rsid w:val="00F70FEF"/>
    <w:rsid w:val="00F7296B"/>
    <w:rsid w:val="00F72FA8"/>
    <w:rsid w:val="00F75415"/>
    <w:rsid w:val="00F757A1"/>
    <w:rsid w:val="00F76D8F"/>
    <w:rsid w:val="00F773F9"/>
    <w:rsid w:val="00F8101C"/>
    <w:rsid w:val="00F817B9"/>
    <w:rsid w:val="00F81CB7"/>
    <w:rsid w:val="00F82280"/>
    <w:rsid w:val="00F8235F"/>
    <w:rsid w:val="00F82514"/>
    <w:rsid w:val="00F8312F"/>
    <w:rsid w:val="00F83A22"/>
    <w:rsid w:val="00F83A95"/>
    <w:rsid w:val="00F83A97"/>
    <w:rsid w:val="00F844F0"/>
    <w:rsid w:val="00F84895"/>
    <w:rsid w:val="00F84E9D"/>
    <w:rsid w:val="00F86519"/>
    <w:rsid w:val="00F8659E"/>
    <w:rsid w:val="00F86CE4"/>
    <w:rsid w:val="00F86F42"/>
    <w:rsid w:val="00F874BB"/>
    <w:rsid w:val="00F903D0"/>
    <w:rsid w:val="00F909CA"/>
    <w:rsid w:val="00F91941"/>
    <w:rsid w:val="00F91D6F"/>
    <w:rsid w:val="00F92BF3"/>
    <w:rsid w:val="00F92E3F"/>
    <w:rsid w:val="00F938D2"/>
    <w:rsid w:val="00F93CFE"/>
    <w:rsid w:val="00F94E76"/>
    <w:rsid w:val="00F96389"/>
    <w:rsid w:val="00F9650E"/>
    <w:rsid w:val="00F96B73"/>
    <w:rsid w:val="00F97430"/>
    <w:rsid w:val="00F977C7"/>
    <w:rsid w:val="00F97B3F"/>
    <w:rsid w:val="00FA0890"/>
    <w:rsid w:val="00FA164A"/>
    <w:rsid w:val="00FA1AE0"/>
    <w:rsid w:val="00FA2282"/>
    <w:rsid w:val="00FA3F3E"/>
    <w:rsid w:val="00FA4272"/>
    <w:rsid w:val="00FA4855"/>
    <w:rsid w:val="00FA4ACD"/>
    <w:rsid w:val="00FA53C2"/>
    <w:rsid w:val="00FA5EF0"/>
    <w:rsid w:val="00FA6428"/>
    <w:rsid w:val="00FA6F4C"/>
    <w:rsid w:val="00FA7144"/>
    <w:rsid w:val="00FA7184"/>
    <w:rsid w:val="00FA7A30"/>
    <w:rsid w:val="00FA7FA8"/>
    <w:rsid w:val="00FB158E"/>
    <w:rsid w:val="00FB1D9D"/>
    <w:rsid w:val="00FB2B8A"/>
    <w:rsid w:val="00FB2E48"/>
    <w:rsid w:val="00FB3304"/>
    <w:rsid w:val="00FB46B8"/>
    <w:rsid w:val="00FB4743"/>
    <w:rsid w:val="00FB4B38"/>
    <w:rsid w:val="00FB54BB"/>
    <w:rsid w:val="00FB5AC0"/>
    <w:rsid w:val="00FB6C91"/>
    <w:rsid w:val="00FB74E8"/>
    <w:rsid w:val="00FC0263"/>
    <w:rsid w:val="00FC0348"/>
    <w:rsid w:val="00FC0FB5"/>
    <w:rsid w:val="00FC102A"/>
    <w:rsid w:val="00FC154C"/>
    <w:rsid w:val="00FC1DBC"/>
    <w:rsid w:val="00FC1EA2"/>
    <w:rsid w:val="00FC2637"/>
    <w:rsid w:val="00FC2A27"/>
    <w:rsid w:val="00FC393B"/>
    <w:rsid w:val="00FC4052"/>
    <w:rsid w:val="00FC437F"/>
    <w:rsid w:val="00FC5252"/>
    <w:rsid w:val="00FC5E3E"/>
    <w:rsid w:val="00FC6356"/>
    <w:rsid w:val="00FC6ACD"/>
    <w:rsid w:val="00FC7D01"/>
    <w:rsid w:val="00FD0130"/>
    <w:rsid w:val="00FD0373"/>
    <w:rsid w:val="00FD0582"/>
    <w:rsid w:val="00FD0C93"/>
    <w:rsid w:val="00FD1062"/>
    <w:rsid w:val="00FD14F9"/>
    <w:rsid w:val="00FD2589"/>
    <w:rsid w:val="00FD3317"/>
    <w:rsid w:val="00FD39ED"/>
    <w:rsid w:val="00FD4876"/>
    <w:rsid w:val="00FD52A3"/>
    <w:rsid w:val="00FD68D4"/>
    <w:rsid w:val="00FE00D9"/>
    <w:rsid w:val="00FE069C"/>
    <w:rsid w:val="00FE1186"/>
    <w:rsid w:val="00FE177A"/>
    <w:rsid w:val="00FE240A"/>
    <w:rsid w:val="00FE2F04"/>
    <w:rsid w:val="00FE3E3C"/>
    <w:rsid w:val="00FE43E7"/>
    <w:rsid w:val="00FE4B1E"/>
    <w:rsid w:val="00FE4B66"/>
    <w:rsid w:val="00FE4F6E"/>
    <w:rsid w:val="00FE583F"/>
    <w:rsid w:val="00FE5CC4"/>
    <w:rsid w:val="00FE6B13"/>
    <w:rsid w:val="00FE7575"/>
    <w:rsid w:val="00FF1070"/>
    <w:rsid w:val="00FF13E2"/>
    <w:rsid w:val="00FF2237"/>
    <w:rsid w:val="00FF26F3"/>
    <w:rsid w:val="00FF3F75"/>
    <w:rsid w:val="00FF3FEA"/>
    <w:rsid w:val="00FF4953"/>
    <w:rsid w:val="00FF5FA3"/>
    <w:rsid w:val="00FF5FCE"/>
    <w:rsid w:val="00FF6177"/>
    <w:rsid w:val="00FF6AD9"/>
    <w:rsid w:val="00FF7066"/>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C86AE"/>
  <w15:chartTrackingRefBased/>
  <w15:docId w15:val="{BF594D75-29E9-4911-B220-1D4D4A1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7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rsid w:val="00FF3FEA"/>
  </w:style>
  <w:style w:type="paragraph" w:styleId="NoSpacing">
    <w:name w:val="No Spacing"/>
    <w:link w:val="NoSpacingChar"/>
    <w:uiPriority w:val="1"/>
    <w:qFormat/>
    <w:rsid w:val="00623DFD"/>
    <w:rPr>
      <w:rFonts w:ascii="Calibri" w:eastAsia="Calibri" w:hAnsi="Calibri"/>
      <w:sz w:val="22"/>
      <w:szCs w:val="22"/>
      <w:lang w:eastAsia="en-US"/>
    </w:rPr>
  </w:style>
  <w:style w:type="paragraph" w:styleId="FootnoteText">
    <w:name w:val="footnote text"/>
    <w:basedOn w:val="Normal"/>
    <w:link w:val="FootnoteTextChar"/>
    <w:unhideWhenUsed/>
    <w:rsid w:val="008C43FB"/>
    <w:rPr>
      <w:sz w:val="20"/>
      <w:szCs w:val="20"/>
    </w:rPr>
  </w:style>
  <w:style w:type="character" w:customStyle="1" w:styleId="FootnoteTextChar">
    <w:name w:val="Footnote Text Char"/>
    <w:basedOn w:val="DefaultParagraphFont"/>
    <w:link w:val="FootnoteText"/>
    <w:rsid w:val="008C43FB"/>
  </w:style>
  <w:style w:type="character" w:styleId="FootnoteReference">
    <w:name w:val="footnote reference"/>
    <w:basedOn w:val="DefaultParagraphFont"/>
    <w:uiPriority w:val="99"/>
    <w:unhideWhenUsed/>
    <w:rsid w:val="008C43FB"/>
    <w:rPr>
      <w:vertAlign w:val="superscript"/>
    </w:rPr>
  </w:style>
  <w:style w:type="paragraph" w:styleId="PlainText">
    <w:name w:val="Plain Text"/>
    <w:basedOn w:val="Normal"/>
    <w:link w:val="PlainTextChar"/>
    <w:uiPriority w:val="99"/>
    <w:semiHidden/>
    <w:unhideWhenUsed/>
    <w:rsid w:val="001E5DD7"/>
    <w:pPr>
      <w:jc w:val="both"/>
    </w:pPr>
    <w:rPr>
      <w:rFonts w:eastAsia="Calibri"/>
      <w:szCs w:val="21"/>
      <w:lang w:eastAsia="en-US"/>
    </w:rPr>
  </w:style>
  <w:style w:type="character" w:customStyle="1" w:styleId="PlainTextChar">
    <w:name w:val="Plain Text Char"/>
    <w:basedOn w:val="DefaultParagraphFont"/>
    <w:link w:val="PlainText"/>
    <w:uiPriority w:val="99"/>
    <w:semiHidden/>
    <w:rsid w:val="001E5DD7"/>
    <w:rPr>
      <w:rFonts w:eastAsia="Calibri"/>
      <w:sz w:val="24"/>
      <w:szCs w:val="21"/>
      <w:lang w:eastAsia="en-US"/>
    </w:rPr>
  </w:style>
  <w:style w:type="character" w:customStyle="1" w:styleId="NoSpacingChar">
    <w:name w:val="No Spacing Char"/>
    <w:basedOn w:val="DefaultParagraphFont"/>
    <w:link w:val="NoSpacing"/>
    <w:uiPriority w:val="1"/>
    <w:rsid w:val="00B8446D"/>
    <w:rPr>
      <w:rFonts w:ascii="Calibri" w:eastAsia="Calibri" w:hAnsi="Calibri"/>
      <w:sz w:val="22"/>
      <w:szCs w:val="22"/>
      <w:lang w:eastAsia="en-US"/>
    </w:rPr>
  </w:style>
  <w:style w:type="paragraph" w:styleId="Revision">
    <w:name w:val="Revision"/>
    <w:hidden/>
    <w:uiPriority w:val="99"/>
    <w:semiHidden/>
    <w:rsid w:val="00554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8649">
      <w:bodyDiv w:val="1"/>
      <w:marLeft w:val="0"/>
      <w:marRight w:val="0"/>
      <w:marTop w:val="0"/>
      <w:marBottom w:val="0"/>
      <w:divBdr>
        <w:top w:val="none" w:sz="0" w:space="0" w:color="auto"/>
        <w:left w:val="none" w:sz="0" w:space="0" w:color="auto"/>
        <w:bottom w:val="none" w:sz="0" w:space="0" w:color="auto"/>
        <w:right w:val="none" w:sz="0" w:space="0" w:color="auto"/>
      </w:divBdr>
      <w:divsChild>
        <w:div w:id="278492052">
          <w:marLeft w:val="0"/>
          <w:marRight w:val="0"/>
          <w:marTop w:val="0"/>
          <w:marBottom w:val="0"/>
          <w:divBdr>
            <w:top w:val="none" w:sz="0" w:space="0" w:color="auto"/>
            <w:left w:val="none" w:sz="0" w:space="0" w:color="auto"/>
            <w:bottom w:val="none" w:sz="0" w:space="0" w:color="auto"/>
            <w:right w:val="none" w:sz="0" w:space="0" w:color="auto"/>
          </w:divBdr>
          <w:divsChild>
            <w:div w:id="295456660">
              <w:marLeft w:val="0"/>
              <w:marRight w:val="0"/>
              <w:marTop w:val="0"/>
              <w:marBottom w:val="0"/>
              <w:divBdr>
                <w:top w:val="none" w:sz="0" w:space="0" w:color="auto"/>
                <w:left w:val="none" w:sz="0" w:space="0" w:color="auto"/>
                <w:bottom w:val="none" w:sz="0" w:space="0" w:color="auto"/>
                <w:right w:val="none" w:sz="0" w:space="0" w:color="auto"/>
              </w:divBdr>
              <w:divsChild>
                <w:div w:id="384724923">
                  <w:marLeft w:val="0"/>
                  <w:marRight w:val="0"/>
                  <w:marTop w:val="0"/>
                  <w:marBottom w:val="0"/>
                  <w:divBdr>
                    <w:top w:val="none" w:sz="0" w:space="0" w:color="auto"/>
                    <w:left w:val="none" w:sz="0" w:space="0" w:color="auto"/>
                    <w:bottom w:val="none" w:sz="0" w:space="0" w:color="auto"/>
                    <w:right w:val="none" w:sz="0" w:space="0" w:color="auto"/>
                  </w:divBdr>
                  <w:divsChild>
                    <w:div w:id="1378123282">
                      <w:marLeft w:val="0"/>
                      <w:marRight w:val="0"/>
                      <w:marTop w:val="0"/>
                      <w:marBottom w:val="0"/>
                      <w:divBdr>
                        <w:top w:val="none" w:sz="0" w:space="0" w:color="auto"/>
                        <w:left w:val="none" w:sz="0" w:space="0" w:color="auto"/>
                        <w:bottom w:val="none" w:sz="0" w:space="0" w:color="auto"/>
                        <w:right w:val="none" w:sz="0" w:space="0" w:color="auto"/>
                      </w:divBdr>
                      <w:divsChild>
                        <w:div w:id="1289434680">
                          <w:marLeft w:val="0"/>
                          <w:marRight w:val="0"/>
                          <w:marTop w:val="0"/>
                          <w:marBottom w:val="0"/>
                          <w:divBdr>
                            <w:top w:val="none" w:sz="0" w:space="0" w:color="auto"/>
                            <w:left w:val="none" w:sz="0" w:space="0" w:color="auto"/>
                            <w:bottom w:val="none" w:sz="0" w:space="0" w:color="auto"/>
                            <w:right w:val="none" w:sz="0" w:space="0" w:color="auto"/>
                          </w:divBdr>
                          <w:divsChild>
                            <w:div w:id="1259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un-proliferacijas-finansesanas-noversanas-likums" TargetMode="External"/><Relationship Id="rId13" Type="http://schemas.openxmlformats.org/officeDocument/2006/relationships/hyperlink" Target="https://likumi.lv/ta/id/178987-noziedzigi-iegutu-lidzeklu-legalizacijas-un-terorisma-un-proliferacijas-finansesanas-noversanas-likum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ikumi.lv/ta/id/178987-noziedzigi-iegutu-lidzeklu-legalizacijas-un-terorisma-un-proliferacijas-finansesanas-noversan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78987-noziedzigi-iegutu-lidzeklu-legalizacijas-un-terorisma-un-proliferacijas-finansesanas-noversanas-lik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178987-noziedzigi-iegutu-lidzeklu-legalizacijas-un-terorisma-un-proliferacijas-finansesanas-noversan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78987-noziedzigi-iegutu-lidzeklu-legalizacijas-un-terorisma-un-proliferacijas-finansesanas-noversan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90BE-E127-447B-B531-D04ADA02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12</Pages>
  <Words>20566</Words>
  <Characters>11724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Finanšu ministrija</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Izziņa par atzinumos sniegtajiem iebildumiem</dc:subject>
  <dc:creator>roberts.auzins@fm.gov.lv</dc:creator>
  <cp:keywords/>
  <dc:description>67083919, Roberts.Auzins@mk.gov.lv</dc:description>
  <cp:lastModifiedBy>Roberts Auziņš</cp:lastModifiedBy>
  <cp:revision>21</cp:revision>
  <cp:lastPrinted>2019-08-26T08:56:00Z</cp:lastPrinted>
  <dcterms:created xsi:type="dcterms:W3CDTF">2019-07-31T11:00:00Z</dcterms:created>
  <dcterms:modified xsi:type="dcterms:W3CDTF">2019-08-26T11:21:00Z</dcterms:modified>
</cp:coreProperties>
</file>