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D538" w14:textId="69C8E7E5" w:rsidR="00946431" w:rsidRPr="00896331" w:rsidRDefault="00DD33B9" w:rsidP="00D9627C">
      <w:pPr>
        <w:pStyle w:val="naisnod"/>
        <w:spacing w:before="0" w:after="0"/>
        <w:ind w:right="-720" w:firstLine="720"/>
        <w:rPr>
          <w:color w:val="000000"/>
        </w:rPr>
      </w:pPr>
      <w:r w:rsidRPr="00896331">
        <w:rPr>
          <w:color w:val="000000"/>
        </w:rPr>
        <w:t xml:space="preserve"> </w:t>
      </w:r>
      <w:r w:rsidR="00946431" w:rsidRPr="00896331">
        <w:rPr>
          <w:color w:val="000000"/>
        </w:rPr>
        <w:t>Izziņa par atzinumos sniegtajiem iebildumiem</w:t>
      </w:r>
    </w:p>
    <w:p w14:paraId="36079FEF" w14:textId="77777777" w:rsidR="00946431" w:rsidRPr="00896331" w:rsidRDefault="00946431" w:rsidP="00D9627C">
      <w:pPr>
        <w:pStyle w:val="naisf"/>
        <w:spacing w:before="0" w:after="0"/>
        <w:ind w:firstLine="0"/>
        <w:jc w:val="center"/>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4327"/>
      </w:tblGrid>
      <w:tr w:rsidR="00946431" w:rsidRPr="00EE1E70" w14:paraId="754196C2" w14:textId="77777777" w:rsidTr="007F4A63">
        <w:trPr>
          <w:trHeight w:val="1406"/>
          <w:tblCellSpacing w:w="0" w:type="dxa"/>
          <w:jc w:val="center"/>
        </w:trPr>
        <w:tc>
          <w:tcPr>
            <w:tcW w:w="14327" w:type="dxa"/>
            <w:tcBorders>
              <w:top w:val="nil"/>
              <w:left w:val="nil"/>
              <w:bottom w:val="single" w:sz="8" w:space="0" w:color="auto"/>
              <w:right w:val="nil"/>
            </w:tcBorders>
          </w:tcPr>
          <w:p w14:paraId="5D8F5E74" w14:textId="0D2150DD" w:rsidR="00946431" w:rsidRPr="00D16963" w:rsidRDefault="00946431" w:rsidP="00D16963">
            <w:pPr>
              <w:pStyle w:val="BodyText"/>
              <w:jc w:val="both"/>
            </w:pPr>
            <w:proofErr w:type="spellStart"/>
            <w:r w:rsidRPr="00EE1E70">
              <w:rPr>
                <w:color w:val="000000"/>
              </w:rPr>
              <w:t>Protokollēmuma</w:t>
            </w:r>
            <w:proofErr w:type="spellEnd"/>
            <w:r w:rsidRPr="00EE1E70">
              <w:rPr>
                <w:color w:val="000000"/>
              </w:rPr>
              <w:t xml:space="preserve"> projektā </w:t>
            </w:r>
            <w:r w:rsidR="0054438E">
              <w:t xml:space="preserve">“Par informatīvo ziņojumu par </w:t>
            </w:r>
            <w:r w:rsidR="0015079F" w:rsidRPr="0015079F">
              <w:t>Kohēzijas politikas Eiropas Savienības fondu investīciju aktualitātēm līdz 2019. gada augustam (pusgada ziņojums)</w:t>
            </w:r>
            <w:r w:rsidR="00D16963">
              <w:t>”</w:t>
            </w:r>
            <w:r w:rsidR="00753C73">
              <w:t>”</w:t>
            </w:r>
            <w:r w:rsidR="00D16963">
              <w:t xml:space="preserve"> </w:t>
            </w:r>
            <w:r w:rsidRPr="00EE1E70">
              <w:rPr>
                <w:color w:val="000000"/>
              </w:rPr>
              <w:t xml:space="preserve">(turpmāk – </w:t>
            </w:r>
            <w:proofErr w:type="spellStart"/>
            <w:r w:rsidRPr="00EE1E70">
              <w:rPr>
                <w:color w:val="000000"/>
              </w:rPr>
              <w:t>protokollēmuma</w:t>
            </w:r>
            <w:proofErr w:type="spellEnd"/>
            <w:r w:rsidRPr="00EE1E70">
              <w:rPr>
                <w:color w:val="000000"/>
              </w:rPr>
              <w:t xml:space="preserve"> projekts)</w:t>
            </w:r>
          </w:p>
          <w:p w14:paraId="60275EAE" w14:textId="77777777" w:rsidR="00946431" w:rsidRPr="00EE1E70" w:rsidRDefault="00946431" w:rsidP="00D9627C">
            <w:pPr>
              <w:pStyle w:val="BodyText"/>
              <w:spacing w:after="0"/>
              <w:rPr>
                <w:color w:val="000000"/>
              </w:rPr>
            </w:pPr>
            <w:r w:rsidRPr="00EE1E70">
              <w:rPr>
                <w:color w:val="000000"/>
              </w:rPr>
              <w:t>un</w:t>
            </w:r>
          </w:p>
          <w:p w14:paraId="6168318B" w14:textId="7F58A9B8" w:rsidR="00946431" w:rsidRPr="00EE1E70" w:rsidRDefault="002D3953" w:rsidP="000816D9">
            <w:pPr>
              <w:pStyle w:val="naisc"/>
              <w:jc w:val="both"/>
              <w:rPr>
                <w:color w:val="000000"/>
              </w:rPr>
            </w:pPr>
            <w:r w:rsidRPr="00EE1E70">
              <w:rPr>
                <w:color w:val="000000"/>
              </w:rPr>
              <w:t>Informatīvā ziņojuma projektā</w:t>
            </w:r>
            <w:r w:rsidR="00946431" w:rsidRPr="00EE1E70">
              <w:rPr>
                <w:color w:val="000000"/>
              </w:rPr>
              <w:t xml:space="preserve"> </w:t>
            </w:r>
            <w:r w:rsidR="00B932E9" w:rsidRPr="00EE1E70">
              <w:rPr>
                <w:color w:val="000000"/>
              </w:rPr>
              <w:t>„</w:t>
            </w:r>
            <w:r w:rsidR="000816D9">
              <w:rPr>
                <w:color w:val="000000"/>
              </w:rPr>
              <w:t>Informatīvais ziņojums p</w:t>
            </w:r>
            <w:r w:rsidR="0054438E">
              <w:rPr>
                <w:color w:val="000000"/>
              </w:rPr>
              <w:t xml:space="preserve">ar </w:t>
            </w:r>
            <w:r w:rsidR="0015079F">
              <w:rPr>
                <w:color w:val="000000" w:themeColor="text1"/>
              </w:rPr>
              <w:t>Kohēzijas politikas Eiropas Savienības fondu investīciju aktualitātēm līdz 2019. gada augustam (pusgada ziņojums)</w:t>
            </w:r>
            <w:r w:rsidR="00B932E9" w:rsidRPr="00EE1E70">
              <w:rPr>
                <w:color w:val="000000"/>
              </w:rPr>
              <w:t>”</w:t>
            </w:r>
            <w:r w:rsidR="00946431" w:rsidRPr="00EE1E70">
              <w:rPr>
                <w:color w:val="000000"/>
              </w:rPr>
              <w:t xml:space="preserve"> (turpmāk – informatīvais ziņojums)</w:t>
            </w:r>
            <w:r w:rsidR="00BE53A8">
              <w:rPr>
                <w:color w:val="000000"/>
              </w:rPr>
              <w:t>.</w:t>
            </w:r>
            <w:bookmarkStart w:id="0" w:name="_GoBack"/>
            <w:bookmarkEnd w:id="0"/>
          </w:p>
        </w:tc>
      </w:tr>
    </w:tbl>
    <w:p w14:paraId="70417494" w14:textId="77777777" w:rsidR="00946431" w:rsidRPr="00896331" w:rsidRDefault="00946431" w:rsidP="00D9627C">
      <w:pPr>
        <w:pStyle w:val="naisf"/>
        <w:spacing w:before="0" w:after="0"/>
        <w:ind w:firstLine="0"/>
        <w:rPr>
          <w:b/>
          <w:color w:val="000000"/>
        </w:rPr>
      </w:pPr>
    </w:p>
    <w:p w14:paraId="1A224562" w14:textId="77777777" w:rsidR="00946431" w:rsidRPr="00896331" w:rsidRDefault="00946431" w:rsidP="00D9627C">
      <w:pPr>
        <w:pStyle w:val="naisf"/>
        <w:spacing w:before="0" w:after="0"/>
        <w:ind w:firstLine="0"/>
        <w:jc w:val="center"/>
        <w:rPr>
          <w:b/>
          <w:color w:val="000000"/>
        </w:rPr>
      </w:pPr>
      <w:r w:rsidRPr="00896331">
        <w:rPr>
          <w:b/>
          <w:color w:val="000000"/>
        </w:rPr>
        <w:t>I Jautājumi, par kuriem saskaņošanā vienošanās nav panākta</w:t>
      </w:r>
    </w:p>
    <w:p w14:paraId="2FCC7E92" w14:textId="77777777" w:rsidR="00946431" w:rsidRPr="00896331" w:rsidRDefault="00946431" w:rsidP="00D9627C">
      <w:pPr>
        <w:pStyle w:val="naisf"/>
        <w:spacing w:before="0" w:after="0"/>
        <w:ind w:firstLine="720"/>
        <w:rPr>
          <w:color w:val="000000"/>
        </w:rPr>
      </w:pPr>
    </w:p>
    <w:tbl>
      <w:tblPr>
        <w:tblW w:w="157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410"/>
        <w:gridCol w:w="4677"/>
        <w:gridCol w:w="3119"/>
        <w:gridCol w:w="3118"/>
        <w:gridCol w:w="1547"/>
      </w:tblGrid>
      <w:tr w:rsidR="00946431" w:rsidRPr="00896331" w14:paraId="28203006" w14:textId="77777777" w:rsidTr="007F4A63">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2062D5" w14:textId="77777777" w:rsidR="00946431" w:rsidRPr="00896331" w:rsidRDefault="00946431" w:rsidP="00D9627C">
            <w:pPr>
              <w:pStyle w:val="naisc"/>
              <w:spacing w:before="0" w:after="0"/>
              <w:rPr>
                <w:color w:val="000000"/>
              </w:rPr>
            </w:pPr>
            <w:r w:rsidRPr="00896331">
              <w:rPr>
                <w:color w:val="000000"/>
              </w:rPr>
              <w:t>Nr. p.k.</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7C5D46" w14:textId="77777777" w:rsidR="00946431" w:rsidRPr="00896331" w:rsidRDefault="00946431" w:rsidP="00D9627C">
            <w:pPr>
              <w:pStyle w:val="naisc"/>
              <w:spacing w:before="0" w:after="0"/>
              <w:ind w:firstLine="12"/>
              <w:rPr>
                <w:color w:val="000000"/>
              </w:rPr>
            </w:pPr>
            <w:r w:rsidRPr="00896331">
              <w:rPr>
                <w:color w:val="000000"/>
              </w:rPr>
              <w:t>Saskaņošanai nosūtītā projekta redakcija (konkrēta punkta (panta) redakcija)</w:t>
            </w:r>
          </w:p>
        </w:tc>
        <w:tc>
          <w:tcPr>
            <w:tcW w:w="46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12FC60" w14:textId="77777777" w:rsidR="00946431" w:rsidRPr="00896331" w:rsidRDefault="00946431" w:rsidP="00D9627C">
            <w:pPr>
              <w:pStyle w:val="naisc"/>
              <w:spacing w:before="0" w:after="0"/>
              <w:ind w:right="3"/>
              <w:rPr>
                <w:color w:val="000000"/>
              </w:rPr>
            </w:pPr>
            <w:r w:rsidRPr="00896331">
              <w:rPr>
                <w:color w:val="000000"/>
              </w:rPr>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68E6AF" w14:textId="77777777" w:rsidR="00946431" w:rsidRPr="00896331" w:rsidRDefault="00946431" w:rsidP="00D9627C">
            <w:pPr>
              <w:pStyle w:val="naisc"/>
              <w:spacing w:before="0" w:after="0"/>
              <w:ind w:firstLine="21"/>
              <w:jc w:val="both"/>
              <w:rPr>
                <w:color w:val="000000"/>
              </w:rPr>
            </w:pPr>
            <w:r w:rsidRPr="00896331">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466B26C" w14:textId="77777777" w:rsidR="00946431" w:rsidRPr="00896331" w:rsidRDefault="00946431" w:rsidP="00D9627C">
            <w:pPr>
              <w:jc w:val="center"/>
              <w:rPr>
                <w:color w:val="000000"/>
              </w:rPr>
            </w:pPr>
            <w:r w:rsidRPr="00896331">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02D7B3FA" w14:textId="77777777" w:rsidR="00946431" w:rsidRPr="00896331" w:rsidRDefault="00946431" w:rsidP="00D9627C">
            <w:pPr>
              <w:jc w:val="center"/>
              <w:rPr>
                <w:color w:val="000000"/>
              </w:rPr>
            </w:pPr>
            <w:r w:rsidRPr="00896331">
              <w:rPr>
                <w:color w:val="000000"/>
              </w:rPr>
              <w:t>Projekta attiecīgā punkta (panta) galīgā redakcija</w:t>
            </w:r>
          </w:p>
        </w:tc>
      </w:tr>
      <w:tr w:rsidR="00946431" w:rsidRPr="00896331" w14:paraId="43034498" w14:textId="77777777" w:rsidTr="007F4A63">
        <w:tc>
          <w:tcPr>
            <w:tcW w:w="843" w:type="dxa"/>
            <w:tcBorders>
              <w:top w:val="single" w:sz="6" w:space="0" w:color="000000"/>
              <w:left w:val="single" w:sz="6" w:space="0" w:color="000000"/>
              <w:bottom w:val="single" w:sz="6" w:space="0" w:color="000000"/>
              <w:right w:val="single" w:sz="6" w:space="0" w:color="000000"/>
            </w:tcBorders>
          </w:tcPr>
          <w:p w14:paraId="75DF247B" w14:textId="77777777" w:rsidR="00946431" w:rsidRPr="00896331" w:rsidRDefault="00946431" w:rsidP="00D9627C">
            <w:pPr>
              <w:pStyle w:val="naisc"/>
              <w:spacing w:before="0" w:after="0"/>
              <w:rPr>
                <w:color w:val="000000"/>
              </w:rPr>
            </w:pPr>
            <w:r w:rsidRPr="00896331">
              <w:rPr>
                <w:color w:val="000000"/>
              </w:rPr>
              <w:t>1</w:t>
            </w:r>
          </w:p>
        </w:tc>
        <w:tc>
          <w:tcPr>
            <w:tcW w:w="2410" w:type="dxa"/>
            <w:tcBorders>
              <w:top w:val="single" w:sz="6" w:space="0" w:color="000000"/>
              <w:left w:val="single" w:sz="6" w:space="0" w:color="000000"/>
              <w:bottom w:val="single" w:sz="6" w:space="0" w:color="000000"/>
              <w:right w:val="single" w:sz="6" w:space="0" w:color="000000"/>
            </w:tcBorders>
          </w:tcPr>
          <w:p w14:paraId="0C876C69" w14:textId="77777777" w:rsidR="00946431" w:rsidRPr="00896331" w:rsidRDefault="00946431" w:rsidP="00D9627C">
            <w:pPr>
              <w:pStyle w:val="naisc"/>
              <w:spacing w:before="0" w:after="0"/>
              <w:ind w:firstLine="720"/>
              <w:rPr>
                <w:color w:val="000000"/>
              </w:rPr>
            </w:pPr>
            <w:r w:rsidRPr="00896331">
              <w:rPr>
                <w:color w:val="000000"/>
              </w:rPr>
              <w:t>2</w:t>
            </w:r>
          </w:p>
        </w:tc>
        <w:tc>
          <w:tcPr>
            <w:tcW w:w="4677" w:type="dxa"/>
            <w:tcBorders>
              <w:top w:val="single" w:sz="6" w:space="0" w:color="000000"/>
              <w:left w:val="single" w:sz="6" w:space="0" w:color="000000"/>
              <w:bottom w:val="single" w:sz="6" w:space="0" w:color="000000"/>
              <w:right w:val="single" w:sz="6" w:space="0" w:color="000000"/>
            </w:tcBorders>
          </w:tcPr>
          <w:p w14:paraId="4256B702" w14:textId="77777777" w:rsidR="00946431" w:rsidRPr="00896331" w:rsidRDefault="00946431" w:rsidP="00D9627C">
            <w:pPr>
              <w:pStyle w:val="naisc"/>
              <w:spacing w:before="0" w:after="0"/>
              <w:rPr>
                <w:color w:val="000000"/>
              </w:rPr>
            </w:pPr>
            <w:r w:rsidRPr="00896331">
              <w:rPr>
                <w:color w:val="000000"/>
              </w:rPr>
              <w:t>3</w:t>
            </w:r>
          </w:p>
        </w:tc>
        <w:tc>
          <w:tcPr>
            <w:tcW w:w="3119" w:type="dxa"/>
            <w:tcBorders>
              <w:top w:val="single" w:sz="6" w:space="0" w:color="000000"/>
              <w:left w:val="single" w:sz="6" w:space="0" w:color="000000"/>
              <w:bottom w:val="single" w:sz="6" w:space="0" w:color="000000"/>
              <w:right w:val="single" w:sz="6" w:space="0" w:color="000000"/>
            </w:tcBorders>
          </w:tcPr>
          <w:p w14:paraId="13B7B0C7" w14:textId="77777777" w:rsidR="00946431" w:rsidRPr="00896331" w:rsidRDefault="00946431" w:rsidP="00D9627C">
            <w:pPr>
              <w:pStyle w:val="naisc"/>
              <w:spacing w:before="0" w:after="0"/>
              <w:ind w:firstLine="34"/>
              <w:rPr>
                <w:color w:val="000000"/>
              </w:rPr>
            </w:pPr>
            <w:r w:rsidRPr="00896331">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9058F19" w14:textId="77777777" w:rsidR="00946431" w:rsidRPr="00896331" w:rsidRDefault="00946431" w:rsidP="00D9627C">
            <w:pPr>
              <w:jc w:val="center"/>
              <w:rPr>
                <w:color w:val="000000"/>
              </w:rPr>
            </w:pPr>
            <w:r w:rsidRPr="00896331">
              <w:rPr>
                <w:color w:val="000000"/>
              </w:rPr>
              <w:t>5</w:t>
            </w:r>
          </w:p>
        </w:tc>
        <w:tc>
          <w:tcPr>
            <w:tcW w:w="1547" w:type="dxa"/>
            <w:tcBorders>
              <w:top w:val="single" w:sz="4" w:space="0" w:color="auto"/>
              <w:left w:val="single" w:sz="4" w:space="0" w:color="auto"/>
              <w:bottom w:val="single" w:sz="4" w:space="0" w:color="auto"/>
            </w:tcBorders>
          </w:tcPr>
          <w:p w14:paraId="354F6C87" w14:textId="77777777" w:rsidR="00946431" w:rsidRPr="00896331" w:rsidRDefault="00946431" w:rsidP="00D9627C">
            <w:pPr>
              <w:jc w:val="center"/>
              <w:rPr>
                <w:color w:val="000000"/>
              </w:rPr>
            </w:pPr>
            <w:r w:rsidRPr="00896331">
              <w:rPr>
                <w:color w:val="000000"/>
              </w:rPr>
              <w:t>6</w:t>
            </w:r>
          </w:p>
        </w:tc>
      </w:tr>
    </w:tbl>
    <w:p w14:paraId="7A7C05B8" w14:textId="1628E0F3" w:rsidR="00A8248D" w:rsidRPr="00896331" w:rsidRDefault="00A8248D" w:rsidP="007F4A63">
      <w:pPr>
        <w:pStyle w:val="naisf"/>
        <w:spacing w:before="0" w:after="0"/>
        <w:ind w:firstLine="0"/>
        <w:rPr>
          <w:b/>
          <w:color w:val="000000"/>
        </w:rPr>
      </w:pPr>
    </w:p>
    <w:p w14:paraId="68BF3C94" w14:textId="77777777" w:rsidR="00946431" w:rsidRPr="00896331" w:rsidRDefault="00946431" w:rsidP="00D9627C">
      <w:pPr>
        <w:pStyle w:val="naisf"/>
        <w:spacing w:before="0" w:after="0"/>
        <w:ind w:firstLine="0"/>
        <w:jc w:val="center"/>
        <w:rPr>
          <w:b/>
          <w:color w:val="000000"/>
        </w:rPr>
      </w:pPr>
      <w:r w:rsidRPr="00896331">
        <w:rPr>
          <w:b/>
          <w:color w:val="000000"/>
        </w:rPr>
        <w:t xml:space="preserve">Informācija par </w:t>
      </w:r>
      <w:proofErr w:type="spellStart"/>
      <w:r w:rsidRPr="00896331">
        <w:rPr>
          <w:b/>
          <w:color w:val="000000"/>
        </w:rPr>
        <w:t>starpministriju</w:t>
      </w:r>
      <w:proofErr w:type="spellEnd"/>
      <w:r w:rsidRPr="00896331">
        <w:rPr>
          <w:b/>
          <w:color w:val="000000"/>
        </w:rPr>
        <w:t xml:space="preserve"> (starpinstitūciju) sanāksmi vai elektronisko saskaņošanu</w:t>
      </w:r>
    </w:p>
    <w:p w14:paraId="0B83D6FB" w14:textId="77777777" w:rsidR="00946431" w:rsidRPr="00896331" w:rsidRDefault="00946431" w:rsidP="00D9627C">
      <w:pPr>
        <w:pStyle w:val="naisf"/>
        <w:spacing w:before="0" w:after="0"/>
        <w:ind w:firstLine="0"/>
        <w:rPr>
          <w:b/>
          <w:color w:val="000000"/>
        </w:rPr>
      </w:pPr>
    </w:p>
    <w:tbl>
      <w:tblPr>
        <w:tblW w:w="13872" w:type="dxa"/>
        <w:tblLook w:val="00A0" w:firstRow="1" w:lastRow="0" w:firstColumn="1" w:lastColumn="0" w:noHBand="0" w:noVBand="0"/>
      </w:tblPr>
      <w:tblGrid>
        <w:gridCol w:w="7629"/>
        <w:gridCol w:w="6243"/>
      </w:tblGrid>
      <w:tr w:rsidR="00946431" w:rsidRPr="00896331" w14:paraId="4E3C8EC0" w14:textId="77777777" w:rsidTr="00AC503C">
        <w:trPr>
          <w:trHeight w:val="253"/>
        </w:trPr>
        <w:tc>
          <w:tcPr>
            <w:tcW w:w="7629" w:type="dxa"/>
          </w:tcPr>
          <w:p w14:paraId="5BDB0D29" w14:textId="77777777" w:rsidR="00946431" w:rsidRPr="00896331" w:rsidRDefault="00946431" w:rsidP="00D9627C">
            <w:pPr>
              <w:pStyle w:val="naisf"/>
              <w:spacing w:before="0" w:after="0"/>
              <w:ind w:firstLine="0"/>
              <w:rPr>
                <w:color w:val="000000"/>
              </w:rPr>
            </w:pPr>
            <w:r w:rsidRPr="00896331">
              <w:rPr>
                <w:color w:val="000000"/>
              </w:rPr>
              <w:t>Datums</w:t>
            </w:r>
          </w:p>
        </w:tc>
        <w:tc>
          <w:tcPr>
            <w:tcW w:w="6243" w:type="dxa"/>
            <w:tcBorders>
              <w:bottom w:val="single" w:sz="4" w:space="0" w:color="auto"/>
            </w:tcBorders>
            <w:shd w:val="clear" w:color="auto" w:fill="auto"/>
          </w:tcPr>
          <w:p w14:paraId="7D94BDA6" w14:textId="4DDFCEF4" w:rsidR="00946431" w:rsidRPr="00AC503C" w:rsidRDefault="00531B95" w:rsidP="00D64E7F">
            <w:pPr>
              <w:pStyle w:val="NormalWeb"/>
              <w:spacing w:before="0" w:beforeAutospacing="0" w:after="0" w:afterAutospacing="0"/>
              <w:jc w:val="both"/>
              <w:rPr>
                <w:color w:val="000000"/>
              </w:rPr>
            </w:pPr>
            <w:r w:rsidRPr="00AC503C">
              <w:rPr>
                <w:color w:val="000000"/>
              </w:rPr>
              <w:t>1</w:t>
            </w:r>
            <w:r w:rsidR="00D64E7F">
              <w:rPr>
                <w:color w:val="000000"/>
              </w:rPr>
              <w:t>6</w:t>
            </w:r>
            <w:r w:rsidR="00B81721" w:rsidRPr="00AC503C">
              <w:rPr>
                <w:color w:val="000000"/>
              </w:rPr>
              <w:t>.08</w:t>
            </w:r>
            <w:r w:rsidR="00423FDC" w:rsidRPr="00AC503C">
              <w:rPr>
                <w:color w:val="000000"/>
              </w:rPr>
              <w:t>.2019.</w:t>
            </w:r>
          </w:p>
        </w:tc>
      </w:tr>
      <w:tr w:rsidR="00946431" w:rsidRPr="00896331" w14:paraId="6C13D339" w14:textId="77777777" w:rsidTr="00CA04B5">
        <w:trPr>
          <w:trHeight w:val="253"/>
        </w:trPr>
        <w:tc>
          <w:tcPr>
            <w:tcW w:w="7629" w:type="dxa"/>
          </w:tcPr>
          <w:p w14:paraId="043D48ED" w14:textId="77777777" w:rsidR="00946431" w:rsidRPr="00896331" w:rsidRDefault="00946431" w:rsidP="00D9627C">
            <w:pPr>
              <w:pStyle w:val="naisf"/>
              <w:spacing w:before="0" w:after="0"/>
              <w:ind w:firstLine="0"/>
              <w:rPr>
                <w:color w:val="000000"/>
              </w:rPr>
            </w:pPr>
          </w:p>
        </w:tc>
        <w:tc>
          <w:tcPr>
            <w:tcW w:w="6243" w:type="dxa"/>
            <w:tcBorders>
              <w:top w:val="single" w:sz="4" w:space="0" w:color="auto"/>
            </w:tcBorders>
          </w:tcPr>
          <w:p w14:paraId="3E235229" w14:textId="77777777" w:rsidR="00946431" w:rsidRPr="00896331" w:rsidRDefault="00946431" w:rsidP="00423FDC">
            <w:pPr>
              <w:pStyle w:val="NormalWeb"/>
              <w:spacing w:before="0" w:beforeAutospacing="0" w:after="0" w:afterAutospacing="0"/>
              <w:jc w:val="both"/>
              <w:rPr>
                <w:color w:val="000000"/>
              </w:rPr>
            </w:pPr>
          </w:p>
        </w:tc>
      </w:tr>
      <w:tr w:rsidR="00946431" w:rsidRPr="00896331" w14:paraId="64416F9F" w14:textId="77777777" w:rsidTr="00423FDC">
        <w:trPr>
          <w:trHeight w:val="728"/>
        </w:trPr>
        <w:tc>
          <w:tcPr>
            <w:tcW w:w="7629" w:type="dxa"/>
          </w:tcPr>
          <w:p w14:paraId="4F9B13DD" w14:textId="77777777" w:rsidR="00946431" w:rsidRPr="00896331" w:rsidRDefault="00946431" w:rsidP="00D9627C">
            <w:pPr>
              <w:pStyle w:val="naiskr"/>
              <w:spacing w:before="0" w:after="0"/>
              <w:jc w:val="both"/>
              <w:rPr>
                <w:color w:val="000000"/>
              </w:rPr>
            </w:pPr>
            <w:r w:rsidRPr="00896331">
              <w:rPr>
                <w:color w:val="000000"/>
              </w:rPr>
              <w:t>Saskaņošanas dalībnieki</w:t>
            </w:r>
          </w:p>
        </w:tc>
        <w:tc>
          <w:tcPr>
            <w:tcW w:w="6243" w:type="dxa"/>
            <w:tcBorders>
              <w:bottom w:val="single" w:sz="4" w:space="0" w:color="auto"/>
            </w:tcBorders>
          </w:tcPr>
          <w:p w14:paraId="7818A366" w14:textId="17B882A9" w:rsidR="00946431" w:rsidRPr="00D16963" w:rsidRDefault="00D16963" w:rsidP="00A42369">
            <w:pPr>
              <w:spacing w:after="120"/>
              <w:jc w:val="both"/>
              <w:rPr>
                <w:color w:val="000000"/>
              </w:rPr>
            </w:pPr>
            <w:r w:rsidRPr="00D16963">
              <w:rPr>
                <w:color w:val="000000"/>
              </w:rPr>
              <w:t>Ekonomikas ministrija</w:t>
            </w:r>
            <w:r>
              <w:rPr>
                <w:color w:val="000000"/>
              </w:rPr>
              <w:t xml:space="preserve">, </w:t>
            </w:r>
            <w:proofErr w:type="spellStart"/>
            <w:r w:rsidRPr="00D16963">
              <w:rPr>
                <w:color w:val="000000"/>
              </w:rPr>
              <w:t>Iekšlietu</w:t>
            </w:r>
            <w:proofErr w:type="spellEnd"/>
            <w:r w:rsidRPr="00D16963">
              <w:rPr>
                <w:color w:val="000000"/>
              </w:rPr>
              <w:t xml:space="preserve"> ministrija</w:t>
            </w:r>
            <w:r>
              <w:rPr>
                <w:color w:val="000000"/>
              </w:rPr>
              <w:t xml:space="preserve">, </w:t>
            </w:r>
            <w:r w:rsidRPr="00D16963">
              <w:rPr>
                <w:color w:val="000000"/>
              </w:rPr>
              <w:t>Izglītības un zinātnes ministrija</w:t>
            </w:r>
            <w:r>
              <w:rPr>
                <w:color w:val="000000"/>
              </w:rPr>
              <w:t xml:space="preserve">, </w:t>
            </w:r>
            <w:r w:rsidRPr="00D16963">
              <w:rPr>
                <w:color w:val="000000"/>
              </w:rPr>
              <w:t>Kultūras ministrija</w:t>
            </w:r>
            <w:r>
              <w:rPr>
                <w:color w:val="000000"/>
              </w:rPr>
              <w:t xml:space="preserve">, </w:t>
            </w:r>
            <w:r w:rsidRPr="00D16963">
              <w:rPr>
                <w:color w:val="000000"/>
              </w:rPr>
              <w:t>Labklājības ministrija</w:t>
            </w:r>
            <w:r>
              <w:rPr>
                <w:color w:val="000000"/>
              </w:rPr>
              <w:t xml:space="preserve">, </w:t>
            </w:r>
            <w:r w:rsidRPr="00D16963">
              <w:rPr>
                <w:color w:val="000000"/>
              </w:rPr>
              <w:t>Satiksmes ministrija</w:t>
            </w:r>
            <w:r>
              <w:rPr>
                <w:color w:val="000000"/>
              </w:rPr>
              <w:t xml:space="preserve">, </w:t>
            </w:r>
            <w:r w:rsidRPr="00D16963">
              <w:rPr>
                <w:color w:val="000000"/>
              </w:rPr>
              <w:t>Tieslietu ministrija</w:t>
            </w:r>
            <w:r>
              <w:rPr>
                <w:color w:val="000000"/>
              </w:rPr>
              <w:t xml:space="preserve">, Valsts kanceleja, </w:t>
            </w:r>
            <w:r w:rsidRPr="00D16963">
              <w:rPr>
                <w:color w:val="000000"/>
              </w:rPr>
              <w:t>Veselības ministrija</w:t>
            </w:r>
            <w:r>
              <w:rPr>
                <w:color w:val="000000"/>
              </w:rPr>
              <w:t xml:space="preserve">, </w:t>
            </w:r>
            <w:r w:rsidRPr="00D16963">
              <w:rPr>
                <w:color w:val="000000"/>
              </w:rPr>
              <w:t>Vides aizsardzības un reģionālās attīstības ministrija</w:t>
            </w:r>
            <w:r>
              <w:rPr>
                <w:color w:val="000000"/>
              </w:rPr>
              <w:t xml:space="preserve">, </w:t>
            </w:r>
            <w:r w:rsidRPr="00D16963">
              <w:rPr>
                <w:color w:val="000000"/>
              </w:rPr>
              <w:t>Zemkopības ministrija</w:t>
            </w:r>
          </w:p>
        </w:tc>
      </w:tr>
    </w:tbl>
    <w:p w14:paraId="74FEFC3E" w14:textId="77777777" w:rsidR="00946431" w:rsidRPr="00896331" w:rsidRDefault="00946431" w:rsidP="00D9627C">
      <w:pPr>
        <w:pStyle w:val="naiskr"/>
        <w:spacing w:before="0" w:after="0"/>
        <w:jc w:val="both"/>
        <w:rPr>
          <w:color w:val="000000"/>
        </w:rPr>
      </w:pPr>
    </w:p>
    <w:tbl>
      <w:tblPr>
        <w:tblW w:w="13716" w:type="dxa"/>
        <w:tblLook w:val="00A0" w:firstRow="1" w:lastRow="0" w:firstColumn="1" w:lastColumn="0" w:noHBand="0" w:noVBand="0"/>
      </w:tblPr>
      <w:tblGrid>
        <w:gridCol w:w="7479"/>
        <w:gridCol w:w="284"/>
        <w:gridCol w:w="5953"/>
      </w:tblGrid>
      <w:tr w:rsidR="00946431" w:rsidRPr="00896331" w14:paraId="5DEE531F" w14:textId="77777777" w:rsidTr="00704D6C">
        <w:trPr>
          <w:trHeight w:val="285"/>
        </w:trPr>
        <w:tc>
          <w:tcPr>
            <w:tcW w:w="7479" w:type="dxa"/>
          </w:tcPr>
          <w:p w14:paraId="751FCF61" w14:textId="77777777" w:rsidR="00946431" w:rsidRPr="00896331" w:rsidRDefault="00946431" w:rsidP="00D9627C">
            <w:pPr>
              <w:pStyle w:val="naiskr"/>
              <w:spacing w:before="0" w:after="0"/>
              <w:jc w:val="both"/>
              <w:rPr>
                <w:color w:val="000000"/>
              </w:rPr>
            </w:pPr>
            <w:r w:rsidRPr="00896331">
              <w:rPr>
                <w:color w:val="000000"/>
              </w:rPr>
              <w:t>Saskaņošanas dalībnieki izskatīja šādu ministriju (citu institūciju) iebildumus</w:t>
            </w:r>
          </w:p>
        </w:tc>
        <w:tc>
          <w:tcPr>
            <w:tcW w:w="284" w:type="dxa"/>
            <w:tcBorders>
              <w:bottom w:val="single" w:sz="4" w:space="0" w:color="auto"/>
            </w:tcBorders>
          </w:tcPr>
          <w:p w14:paraId="6063BBFD" w14:textId="77777777" w:rsidR="00946431" w:rsidRPr="00423FDC" w:rsidRDefault="00946431" w:rsidP="00D9627C">
            <w:pPr>
              <w:pStyle w:val="naiskr"/>
              <w:spacing w:before="0" w:after="0"/>
              <w:jc w:val="both"/>
              <w:rPr>
                <w:color w:val="000000"/>
              </w:rPr>
            </w:pPr>
          </w:p>
        </w:tc>
        <w:tc>
          <w:tcPr>
            <w:tcW w:w="5953" w:type="dxa"/>
            <w:tcBorders>
              <w:bottom w:val="single" w:sz="4" w:space="0" w:color="auto"/>
            </w:tcBorders>
          </w:tcPr>
          <w:p w14:paraId="6D2FCD92" w14:textId="22D64254" w:rsidR="00946431" w:rsidRPr="00423FDC" w:rsidRDefault="003F0899" w:rsidP="00A42369">
            <w:pPr>
              <w:pStyle w:val="naiskr"/>
              <w:spacing w:before="0" w:after="0"/>
              <w:ind w:left="-108"/>
              <w:jc w:val="both"/>
              <w:rPr>
                <w:color w:val="000000"/>
              </w:rPr>
            </w:pPr>
            <w:r w:rsidRPr="00D16963">
              <w:rPr>
                <w:color w:val="000000"/>
                <w:szCs w:val="20"/>
              </w:rPr>
              <w:t>Labklājības ministrijas</w:t>
            </w:r>
            <w:r w:rsidR="001C3F61">
              <w:rPr>
                <w:color w:val="000000"/>
                <w:szCs w:val="20"/>
              </w:rPr>
              <w:t>, Tieslietu ministrijas</w:t>
            </w:r>
          </w:p>
        </w:tc>
      </w:tr>
      <w:tr w:rsidR="00946431" w:rsidRPr="00896331" w14:paraId="6270F883" w14:textId="77777777" w:rsidTr="00B93C84">
        <w:tc>
          <w:tcPr>
            <w:tcW w:w="7479" w:type="dxa"/>
          </w:tcPr>
          <w:p w14:paraId="774B0142" w14:textId="77777777" w:rsidR="00946431" w:rsidRPr="00896331" w:rsidRDefault="00946431" w:rsidP="00D9627C">
            <w:pPr>
              <w:pStyle w:val="naiskr"/>
              <w:spacing w:before="0" w:after="0"/>
              <w:jc w:val="both"/>
              <w:rPr>
                <w:color w:val="000000"/>
              </w:rPr>
            </w:pPr>
          </w:p>
          <w:p w14:paraId="137C344B" w14:textId="77777777" w:rsidR="00946431" w:rsidRPr="00896331" w:rsidRDefault="00946431" w:rsidP="00D9627C">
            <w:pPr>
              <w:pStyle w:val="naiskr"/>
              <w:spacing w:before="0" w:after="0"/>
              <w:jc w:val="both"/>
              <w:rPr>
                <w:color w:val="000000"/>
              </w:rPr>
            </w:pPr>
            <w:r w:rsidRPr="00896331">
              <w:rPr>
                <w:color w:val="000000"/>
              </w:rPr>
              <w:t>Ministrijas (citas institūcijas), kuras nav ieradušās uz sanāksmi vai kuras nav atbildējušas uz uzaicinājumu piedalīties elektroniskajā saskaņošanā</w:t>
            </w:r>
          </w:p>
        </w:tc>
        <w:tc>
          <w:tcPr>
            <w:tcW w:w="6237" w:type="dxa"/>
            <w:gridSpan w:val="2"/>
          </w:tcPr>
          <w:p w14:paraId="1EEEE9B4" w14:textId="77777777" w:rsidR="00946431" w:rsidRPr="00896331" w:rsidRDefault="00946431" w:rsidP="00D9627C">
            <w:pPr>
              <w:pStyle w:val="naiskr"/>
              <w:spacing w:before="0" w:after="0"/>
              <w:ind w:left="-108"/>
              <w:jc w:val="both"/>
              <w:rPr>
                <w:color w:val="000000"/>
              </w:rPr>
            </w:pPr>
          </w:p>
          <w:p w14:paraId="4E886AAB" w14:textId="77777777" w:rsidR="00946431" w:rsidRPr="00896331" w:rsidRDefault="00946431" w:rsidP="00D9627C">
            <w:pPr>
              <w:pStyle w:val="naiskr"/>
              <w:spacing w:before="0" w:after="0"/>
              <w:ind w:left="176"/>
              <w:jc w:val="both"/>
              <w:rPr>
                <w:color w:val="000000"/>
              </w:rPr>
            </w:pPr>
            <w:r w:rsidRPr="00896331">
              <w:rPr>
                <w:color w:val="000000"/>
              </w:rPr>
              <w:t>-</w:t>
            </w:r>
          </w:p>
        </w:tc>
      </w:tr>
    </w:tbl>
    <w:p w14:paraId="4D76618C" w14:textId="77777777" w:rsidR="00704D6C" w:rsidRPr="00896331" w:rsidRDefault="00704D6C" w:rsidP="00D9627C">
      <w:pPr>
        <w:pStyle w:val="naisf"/>
        <w:spacing w:before="0" w:after="0"/>
        <w:ind w:firstLine="0"/>
        <w:rPr>
          <w:b/>
          <w:color w:val="000000"/>
        </w:rPr>
      </w:pPr>
    </w:p>
    <w:p w14:paraId="5A099D54" w14:textId="77777777" w:rsidR="00704D6C" w:rsidRPr="00896331" w:rsidRDefault="00704D6C" w:rsidP="00D9627C">
      <w:pPr>
        <w:pStyle w:val="naisf"/>
        <w:spacing w:before="0" w:after="0"/>
        <w:ind w:firstLine="0"/>
        <w:rPr>
          <w:b/>
          <w:color w:val="000000"/>
        </w:rPr>
      </w:pPr>
    </w:p>
    <w:p w14:paraId="79E9C3AF" w14:textId="3C9089E0" w:rsidR="00966B81" w:rsidRPr="00920A6C" w:rsidRDefault="00946431" w:rsidP="00920A6C">
      <w:pPr>
        <w:pStyle w:val="naisf"/>
        <w:spacing w:before="0" w:after="0"/>
        <w:ind w:firstLine="0"/>
        <w:jc w:val="center"/>
        <w:rPr>
          <w:b/>
          <w:color w:val="000000"/>
        </w:rPr>
      </w:pPr>
      <w:r w:rsidRPr="00896331">
        <w:rPr>
          <w:b/>
          <w:color w:val="000000"/>
        </w:rPr>
        <w:t>II Jautājumi, par kuriem saskaņošanā vienošanās ir panākta</w:t>
      </w:r>
    </w:p>
    <w:p w14:paraId="4D0B745F" w14:textId="77777777" w:rsidR="00966B81" w:rsidRPr="00966B81" w:rsidRDefault="00966B81" w:rsidP="00966B81"/>
    <w:p w14:paraId="56C285DE" w14:textId="7F9688CF" w:rsidR="00946431" w:rsidRPr="00966B81" w:rsidRDefault="00946431" w:rsidP="00966B81">
      <w:pPr>
        <w:ind w:firstLine="720"/>
      </w:pP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835"/>
        <w:gridCol w:w="5103"/>
        <w:gridCol w:w="3402"/>
        <w:gridCol w:w="3544"/>
      </w:tblGrid>
      <w:tr w:rsidR="00620EBF" w:rsidRPr="00AD684B" w14:paraId="7F31BF3C" w14:textId="77777777" w:rsidTr="005F6A44">
        <w:trPr>
          <w:tblHeader/>
        </w:trPr>
        <w:tc>
          <w:tcPr>
            <w:tcW w:w="704" w:type="dxa"/>
            <w:vAlign w:val="center"/>
          </w:tcPr>
          <w:p w14:paraId="2F24B020" w14:textId="77777777" w:rsidR="00946431" w:rsidRPr="00AD684B" w:rsidRDefault="00946431" w:rsidP="00D9627C">
            <w:pPr>
              <w:pStyle w:val="naisc"/>
              <w:spacing w:before="0" w:after="0"/>
              <w:jc w:val="left"/>
            </w:pPr>
            <w:r w:rsidRPr="00AD684B">
              <w:t>Nr. p.k.</w:t>
            </w:r>
          </w:p>
        </w:tc>
        <w:tc>
          <w:tcPr>
            <w:tcW w:w="2835" w:type="dxa"/>
            <w:vAlign w:val="center"/>
          </w:tcPr>
          <w:p w14:paraId="2D857F70" w14:textId="77777777" w:rsidR="00946431" w:rsidRPr="00AD684B" w:rsidRDefault="00946431" w:rsidP="00D9627C">
            <w:pPr>
              <w:pStyle w:val="naisc"/>
              <w:spacing w:before="0" w:after="0"/>
              <w:ind w:firstLine="12"/>
            </w:pPr>
            <w:r w:rsidRPr="00AD684B">
              <w:t>Saskaņošanai nosūtītā projekta redakcija (konkrēta punkta (panta) redakcija)</w:t>
            </w:r>
          </w:p>
        </w:tc>
        <w:tc>
          <w:tcPr>
            <w:tcW w:w="5103" w:type="dxa"/>
            <w:vAlign w:val="center"/>
          </w:tcPr>
          <w:p w14:paraId="7576ADEC" w14:textId="77777777" w:rsidR="00946431" w:rsidRPr="00C3187A" w:rsidRDefault="00946431" w:rsidP="00D9627C">
            <w:pPr>
              <w:pStyle w:val="naisc"/>
              <w:spacing w:before="0" w:after="0"/>
              <w:ind w:right="3"/>
            </w:pPr>
            <w:r w:rsidRPr="00C3187A">
              <w:t>Atzinumā norādītais ministrijas (citas institūcijas) iebildums, kā arī saskaņošanā papildus izteiktais iebildums par projekta konkrēto punktu (pantu)</w:t>
            </w:r>
          </w:p>
        </w:tc>
        <w:tc>
          <w:tcPr>
            <w:tcW w:w="3402" w:type="dxa"/>
            <w:vAlign w:val="center"/>
          </w:tcPr>
          <w:p w14:paraId="64FB2673" w14:textId="77777777" w:rsidR="00946431" w:rsidRPr="00AD684B" w:rsidRDefault="00946431" w:rsidP="00D9627C">
            <w:pPr>
              <w:pStyle w:val="naisc"/>
              <w:spacing w:before="0" w:after="0"/>
              <w:ind w:firstLine="21"/>
            </w:pPr>
            <w:r w:rsidRPr="00AD684B">
              <w:t>Atbildīgās ministrijas norāde par to, ka iebildums ir ņemts vērā, vai informācija par saskaņošanā panākto alternatīvo risinājumu</w:t>
            </w:r>
          </w:p>
        </w:tc>
        <w:tc>
          <w:tcPr>
            <w:tcW w:w="3544" w:type="dxa"/>
            <w:vAlign w:val="center"/>
          </w:tcPr>
          <w:p w14:paraId="11FF0364" w14:textId="77777777" w:rsidR="00946431" w:rsidRPr="00AD684B" w:rsidRDefault="00946431" w:rsidP="00D9627C">
            <w:pPr>
              <w:jc w:val="center"/>
            </w:pPr>
            <w:r w:rsidRPr="00AD684B">
              <w:t>Projekta attiecīgā punkta (panta) galīgā redakcija</w:t>
            </w:r>
          </w:p>
        </w:tc>
      </w:tr>
      <w:tr w:rsidR="00620EBF" w:rsidRPr="00AD684B" w14:paraId="71B0BA00" w14:textId="77777777" w:rsidTr="0003166A">
        <w:trPr>
          <w:trHeight w:val="245"/>
        </w:trPr>
        <w:tc>
          <w:tcPr>
            <w:tcW w:w="704" w:type="dxa"/>
          </w:tcPr>
          <w:p w14:paraId="32824B92" w14:textId="6550CAEA" w:rsidR="00946431" w:rsidRPr="00AD684B" w:rsidRDefault="00D43E4C" w:rsidP="00D9627C">
            <w:pPr>
              <w:pStyle w:val="naisc"/>
              <w:spacing w:before="0" w:after="0"/>
              <w:ind w:left="360"/>
            </w:pPr>
            <w:r w:rsidRPr="00AD684B">
              <w:t>1</w:t>
            </w:r>
          </w:p>
        </w:tc>
        <w:tc>
          <w:tcPr>
            <w:tcW w:w="2835" w:type="dxa"/>
          </w:tcPr>
          <w:p w14:paraId="4B99F3BC" w14:textId="77777777" w:rsidR="00946431" w:rsidRPr="00AD684B" w:rsidRDefault="00946431" w:rsidP="00C3187A">
            <w:pPr>
              <w:pStyle w:val="naisc"/>
              <w:spacing w:before="0" w:after="0"/>
              <w:ind w:firstLine="720"/>
            </w:pPr>
            <w:r w:rsidRPr="00AD684B">
              <w:t>2</w:t>
            </w:r>
          </w:p>
        </w:tc>
        <w:tc>
          <w:tcPr>
            <w:tcW w:w="5103" w:type="dxa"/>
          </w:tcPr>
          <w:p w14:paraId="6C284903" w14:textId="77777777" w:rsidR="00946431" w:rsidRPr="00C3187A" w:rsidRDefault="00946431" w:rsidP="00D9627C">
            <w:pPr>
              <w:pStyle w:val="naisc"/>
              <w:spacing w:before="0" w:after="0"/>
            </w:pPr>
            <w:r w:rsidRPr="00C3187A">
              <w:t>3</w:t>
            </w:r>
          </w:p>
        </w:tc>
        <w:tc>
          <w:tcPr>
            <w:tcW w:w="3402" w:type="dxa"/>
          </w:tcPr>
          <w:p w14:paraId="6085F07F" w14:textId="77777777" w:rsidR="00946431" w:rsidRPr="00AD684B" w:rsidRDefault="00946431" w:rsidP="00D9627C">
            <w:pPr>
              <w:pStyle w:val="naisc"/>
              <w:spacing w:before="0" w:after="0"/>
              <w:ind w:firstLine="34"/>
            </w:pPr>
            <w:r w:rsidRPr="00AD684B">
              <w:t>4</w:t>
            </w:r>
          </w:p>
        </w:tc>
        <w:tc>
          <w:tcPr>
            <w:tcW w:w="3544" w:type="dxa"/>
          </w:tcPr>
          <w:p w14:paraId="0D683472" w14:textId="77777777" w:rsidR="00946431" w:rsidRPr="00AD684B" w:rsidRDefault="00946431" w:rsidP="00D9627C">
            <w:pPr>
              <w:jc w:val="center"/>
            </w:pPr>
            <w:r w:rsidRPr="00AD684B">
              <w:t>5</w:t>
            </w:r>
          </w:p>
        </w:tc>
      </w:tr>
      <w:tr w:rsidR="003B30BA" w14:paraId="46D277CC" w14:textId="77777777" w:rsidTr="0003166A">
        <w:trPr>
          <w:trHeight w:val="699"/>
        </w:trPr>
        <w:tc>
          <w:tcPr>
            <w:tcW w:w="704" w:type="dxa"/>
            <w:tcBorders>
              <w:top w:val="single" w:sz="4" w:space="0" w:color="auto"/>
              <w:left w:val="single" w:sz="4" w:space="0" w:color="auto"/>
              <w:bottom w:val="single" w:sz="4" w:space="0" w:color="auto"/>
              <w:right w:val="single" w:sz="4" w:space="0" w:color="auto"/>
            </w:tcBorders>
          </w:tcPr>
          <w:p w14:paraId="4FCD91CA" w14:textId="77777777" w:rsidR="003B30BA" w:rsidRDefault="003B30BA" w:rsidP="003B30BA">
            <w:pPr>
              <w:pStyle w:val="naisc"/>
              <w:numPr>
                <w:ilvl w:val="0"/>
                <w:numId w:val="36"/>
              </w:numPr>
              <w:spacing w:before="0" w:after="0"/>
              <w:ind w:left="313"/>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1C5EE361" w14:textId="0B6BDB59" w:rsidR="003B30BA" w:rsidRDefault="000E597B" w:rsidP="003B30BA">
            <w:pPr>
              <w:jc w:val="both"/>
              <w:rPr>
                <w:rFonts w:eastAsiaTheme="minorHAnsi"/>
                <w:lang w:eastAsia="en-US"/>
              </w:rPr>
            </w:pPr>
            <w:r>
              <w:t>I</w:t>
            </w:r>
            <w:r w:rsidRPr="00084C74">
              <w:t>nformatīvā ziņojuma 3.sadaļ</w:t>
            </w:r>
            <w:r>
              <w:t>a</w:t>
            </w:r>
            <w:r w:rsidRPr="00084C74">
              <w:t xml:space="preserve"> “2014.-2020.gada plānošanas perioda ES fondu investīciju aktualitātes”</w:t>
            </w:r>
          </w:p>
        </w:tc>
        <w:tc>
          <w:tcPr>
            <w:tcW w:w="5103" w:type="dxa"/>
            <w:tcBorders>
              <w:top w:val="single" w:sz="4" w:space="0" w:color="auto"/>
              <w:left w:val="single" w:sz="4" w:space="0" w:color="auto"/>
              <w:bottom w:val="single" w:sz="4" w:space="0" w:color="auto"/>
              <w:right w:val="single" w:sz="4" w:space="0" w:color="auto"/>
            </w:tcBorders>
          </w:tcPr>
          <w:p w14:paraId="06DA7278" w14:textId="77432D28" w:rsidR="00AA0B01" w:rsidRPr="00EC0463" w:rsidRDefault="00AA0B01" w:rsidP="00AA0B01">
            <w:pPr>
              <w:widowControl w:val="0"/>
              <w:jc w:val="both"/>
              <w:rPr>
                <w:b/>
              </w:rPr>
            </w:pPr>
            <w:r w:rsidRPr="00EC0463">
              <w:rPr>
                <w:b/>
              </w:rPr>
              <w:t>L</w:t>
            </w:r>
            <w:r w:rsidR="00EC0463" w:rsidRPr="00EC0463">
              <w:rPr>
                <w:b/>
              </w:rPr>
              <w:t>abklājības ministrija</w:t>
            </w:r>
          </w:p>
          <w:p w14:paraId="2F8DCAD8" w14:textId="26AD99E1" w:rsidR="003B30BA" w:rsidRPr="000E597B" w:rsidRDefault="000E597B" w:rsidP="00AA0B01">
            <w:pPr>
              <w:widowControl w:val="0"/>
              <w:jc w:val="both"/>
            </w:pPr>
            <w:r>
              <w:t>ar informāciju par 2019.</w:t>
            </w:r>
            <w:r w:rsidR="00A260D2">
              <w:t> </w:t>
            </w:r>
            <w:r>
              <w:t>gada 13.</w:t>
            </w:r>
            <w:r w:rsidR="00A260D2">
              <w:t> </w:t>
            </w:r>
            <w:r>
              <w:t xml:space="preserve">augustā plānoto ministru semināru, kura ietvaros plānots pārrunāt ministriju iesniegtos priekšlikumus snieguma rezerves izmantošanai un citām finanšu, tai skaitā līdzšinēji konstatēto neatbilstoši veikto izdevumu, pārdalēm (piemēram, informatīvā ziņojuma 12.lpp). Papildus aicinām arī papildināt </w:t>
            </w:r>
            <w:proofErr w:type="spellStart"/>
            <w:r>
              <w:t>protokollēmuma</w:t>
            </w:r>
            <w:proofErr w:type="spellEnd"/>
            <w:r>
              <w:t xml:space="preserve"> projektu ar lēmumu, kas ļautu tām ministrijām, attiecībā uz kuru priekšlikumiem tiks panākts konceptuāls atbalsts</w:t>
            </w:r>
            <w:r w:rsidRPr="00EF1DAF">
              <w:t xml:space="preserve"> </w:t>
            </w:r>
            <w:r>
              <w:t>iepriekš minētajā seminārā, virzīt atbilstošus grozījumus to pārziņas Ministru kabineta noteikumos par specifisko atba</w:t>
            </w:r>
            <w:r w:rsidR="00762278">
              <w:t>lsta mērķu/pasākumu īstenošanu;</w:t>
            </w:r>
          </w:p>
        </w:tc>
        <w:tc>
          <w:tcPr>
            <w:tcW w:w="3402" w:type="dxa"/>
            <w:tcBorders>
              <w:top w:val="single" w:sz="4" w:space="0" w:color="auto"/>
              <w:left w:val="single" w:sz="4" w:space="0" w:color="auto"/>
              <w:bottom w:val="single" w:sz="4" w:space="0" w:color="auto"/>
              <w:right w:val="single" w:sz="4" w:space="0" w:color="auto"/>
            </w:tcBorders>
          </w:tcPr>
          <w:p w14:paraId="1461BEE6" w14:textId="18225F67" w:rsidR="003B30BA" w:rsidRPr="00DB0D08" w:rsidRDefault="00B62683" w:rsidP="00DB0D08">
            <w:pPr>
              <w:pStyle w:val="naisc"/>
              <w:spacing w:before="0" w:after="0"/>
              <w:jc w:val="both"/>
              <w:rPr>
                <w:b/>
                <w:lang w:eastAsia="en-US"/>
              </w:rPr>
            </w:pPr>
            <w:r w:rsidRPr="00DB0D08">
              <w:rPr>
                <w:b/>
                <w:lang w:eastAsia="en-US"/>
              </w:rPr>
              <w:t>Nav ņemts vērā.</w:t>
            </w:r>
            <w:r w:rsidR="00FC3D54" w:rsidRPr="00DB0D08">
              <w:rPr>
                <w:b/>
                <w:lang w:eastAsia="en-US"/>
              </w:rPr>
              <w:t xml:space="preserve"> Skaidrojam.</w:t>
            </w:r>
          </w:p>
          <w:p w14:paraId="45A3B8C2" w14:textId="77777777" w:rsidR="00B62683" w:rsidRDefault="000B0B85" w:rsidP="00A260D2">
            <w:pPr>
              <w:pStyle w:val="NoSpacing"/>
              <w:jc w:val="both"/>
              <w:rPr>
                <w:rFonts w:ascii="Times New Roman" w:hAnsi="Times New Roman" w:cs="Times New Roman"/>
                <w:sz w:val="24"/>
                <w:szCs w:val="24"/>
              </w:rPr>
            </w:pPr>
            <w:r w:rsidRPr="00DB0D08">
              <w:rPr>
                <w:rFonts w:ascii="Times New Roman" w:hAnsi="Times New Roman" w:cs="Times New Roman"/>
                <w:sz w:val="24"/>
                <w:szCs w:val="24"/>
              </w:rPr>
              <w:t xml:space="preserve">Vēršam uzmanību, ka šis </w:t>
            </w:r>
            <w:r w:rsidR="00705FB9">
              <w:rPr>
                <w:rFonts w:ascii="Times New Roman" w:hAnsi="Times New Roman" w:cs="Times New Roman"/>
                <w:sz w:val="24"/>
                <w:szCs w:val="24"/>
              </w:rPr>
              <w:t xml:space="preserve">informatīvais </w:t>
            </w:r>
            <w:r w:rsidRPr="00DB0D08">
              <w:rPr>
                <w:rFonts w:ascii="Times New Roman" w:hAnsi="Times New Roman" w:cs="Times New Roman"/>
                <w:sz w:val="24"/>
                <w:szCs w:val="24"/>
              </w:rPr>
              <w:t xml:space="preserve">ziņojums tiks iesniegts </w:t>
            </w:r>
            <w:r w:rsidR="00A76E07">
              <w:rPr>
                <w:rFonts w:ascii="Times New Roman" w:hAnsi="Times New Roman" w:cs="Times New Roman"/>
                <w:sz w:val="24"/>
                <w:szCs w:val="24"/>
              </w:rPr>
              <w:t xml:space="preserve">Ministru kabinetā (turpmāk - </w:t>
            </w:r>
            <w:r w:rsidRPr="00DB0D08">
              <w:rPr>
                <w:rFonts w:ascii="Times New Roman" w:hAnsi="Times New Roman" w:cs="Times New Roman"/>
                <w:sz w:val="24"/>
                <w:szCs w:val="24"/>
              </w:rPr>
              <w:t>MK</w:t>
            </w:r>
            <w:r w:rsidR="00A76E07">
              <w:rPr>
                <w:rFonts w:ascii="Times New Roman" w:hAnsi="Times New Roman" w:cs="Times New Roman"/>
                <w:sz w:val="24"/>
                <w:szCs w:val="24"/>
              </w:rPr>
              <w:t>)</w:t>
            </w:r>
            <w:r w:rsidR="0003166A">
              <w:rPr>
                <w:rFonts w:ascii="Times New Roman" w:hAnsi="Times New Roman" w:cs="Times New Roman"/>
                <w:sz w:val="24"/>
                <w:szCs w:val="24"/>
              </w:rPr>
              <w:t xml:space="preserve"> 2019. gada</w:t>
            </w:r>
            <w:r w:rsidRPr="00DB0D08">
              <w:rPr>
                <w:rFonts w:ascii="Times New Roman" w:hAnsi="Times New Roman" w:cs="Times New Roman"/>
                <w:sz w:val="24"/>
                <w:szCs w:val="24"/>
              </w:rPr>
              <w:t xml:space="preserve"> augusta beigās, t.i. MK noteiktā termiņā līdz 1. septembrim. P</w:t>
            </w:r>
            <w:r w:rsidR="00FC3D54" w:rsidRPr="00DB0D08">
              <w:rPr>
                <w:rFonts w:ascii="Times New Roman" w:hAnsi="Times New Roman" w:cs="Times New Roman"/>
                <w:sz w:val="24"/>
                <w:szCs w:val="24"/>
              </w:rPr>
              <w:t xml:space="preserve">aredzētā rīcība jau ir minēta </w:t>
            </w:r>
            <w:r w:rsidR="00A76E07">
              <w:rPr>
                <w:rFonts w:ascii="Times New Roman" w:hAnsi="Times New Roman" w:cs="Times New Roman"/>
                <w:sz w:val="24"/>
                <w:szCs w:val="24"/>
              </w:rPr>
              <w:t xml:space="preserve">informatīvā </w:t>
            </w:r>
            <w:r w:rsidR="00FC3D54" w:rsidRPr="00DB0D08">
              <w:rPr>
                <w:rFonts w:ascii="Times New Roman" w:hAnsi="Times New Roman" w:cs="Times New Roman"/>
                <w:sz w:val="24"/>
                <w:szCs w:val="24"/>
              </w:rPr>
              <w:t xml:space="preserve">ziņojuma 12. lpp., t.i. </w:t>
            </w:r>
            <w:r w:rsidR="00B62683" w:rsidRPr="00DB0D08">
              <w:rPr>
                <w:rFonts w:ascii="Times New Roman" w:hAnsi="Times New Roman" w:cs="Times New Roman"/>
                <w:sz w:val="24"/>
                <w:szCs w:val="24"/>
              </w:rPr>
              <w:t>valdība jau</w:t>
            </w:r>
            <w:r w:rsidR="00FC3D54" w:rsidRPr="00DB0D08">
              <w:rPr>
                <w:rFonts w:ascii="Times New Roman" w:hAnsi="Times New Roman" w:cs="Times New Roman"/>
                <w:sz w:val="24"/>
                <w:szCs w:val="24"/>
              </w:rPr>
              <w:t xml:space="preserve"> 2019. gada 23. aprīlī</w:t>
            </w:r>
            <w:r w:rsidR="00FC3D54" w:rsidRPr="00DB0D08">
              <w:rPr>
                <w:rStyle w:val="FootnoteReference"/>
                <w:rFonts w:ascii="Times New Roman" w:hAnsi="Times New Roman" w:cs="Times New Roman"/>
                <w:sz w:val="24"/>
                <w:szCs w:val="24"/>
              </w:rPr>
              <w:footnoteReference w:id="1"/>
            </w:r>
            <w:r w:rsidR="00FC3D54" w:rsidRPr="00DB0D08">
              <w:rPr>
                <w:rFonts w:ascii="Times New Roman" w:hAnsi="Times New Roman" w:cs="Times New Roman"/>
                <w:sz w:val="24"/>
                <w:szCs w:val="24"/>
              </w:rPr>
              <w:t>,</w:t>
            </w:r>
            <w:r w:rsidR="00B62683" w:rsidRPr="00DB0D08">
              <w:rPr>
                <w:rFonts w:ascii="Times New Roman" w:hAnsi="Times New Roman" w:cs="Times New Roman"/>
                <w:sz w:val="24"/>
                <w:szCs w:val="24"/>
              </w:rPr>
              <w:t xml:space="preserve"> ir lēmusi par konkrētu rīcību</w:t>
            </w:r>
            <w:r w:rsidR="00FC3D54" w:rsidRPr="00DB0D08">
              <w:rPr>
                <w:rFonts w:ascii="Times New Roman" w:hAnsi="Times New Roman" w:cs="Times New Roman"/>
                <w:sz w:val="24"/>
                <w:szCs w:val="24"/>
              </w:rPr>
              <w:t>/</w:t>
            </w:r>
            <w:r w:rsidR="00E87C26" w:rsidRPr="00DB0D08">
              <w:rPr>
                <w:rFonts w:ascii="Times New Roman" w:hAnsi="Times New Roman" w:cs="Times New Roman"/>
                <w:sz w:val="24"/>
                <w:szCs w:val="24"/>
              </w:rPr>
              <w:t xml:space="preserve">kārtību un laika grafiku, kad plānots valdībā noteiktā kārtībā izskatīt un lemt par </w:t>
            </w:r>
            <w:r w:rsidR="00A76E07">
              <w:rPr>
                <w:rFonts w:ascii="Times New Roman" w:hAnsi="Times New Roman" w:cs="Times New Roman"/>
                <w:sz w:val="24"/>
                <w:szCs w:val="24"/>
              </w:rPr>
              <w:t xml:space="preserve">Eiropas Savienības (turpmāk – </w:t>
            </w:r>
            <w:r w:rsidR="00E87C26" w:rsidRPr="00DB0D08">
              <w:rPr>
                <w:rFonts w:ascii="Times New Roman" w:hAnsi="Times New Roman" w:cs="Times New Roman"/>
                <w:sz w:val="24"/>
                <w:szCs w:val="24"/>
              </w:rPr>
              <w:t>ES</w:t>
            </w:r>
            <w:r w:rsidR="00A76E07">
              <w:rPr>
                <w:rFonts w:ascii="Times New Roman" w:hAnsi="Times New Roman" w:cs="Times New Roman"/>
                <w:sz w:val="24"/>
                <w:szCs w:val="24"/>
              </w:rPr>
              <w:t>)</w:t>
            </w:r>
            <w:r w:rsidR="00E87C26" w:rsidRPr="00DB0D08">
              <w:rPr>
                <w:rFonts w:ascii="Times New Roman" w:hAnsi="Times New Roman" w:cs="Times New Roman"/>
                <w:sz w:val="24"/>
                <w:szCs w:val="24"/>
              </w:rPr>
              <w:t xml:space="preserve"> fondu finansējuma jautājumiem</w:t>
            </w:r>
            <w:r w:rsidR="00FC3D54" w:rsidRPr="00DB0D08">
              <w:rPr>
                <w:rFonts w:ascii="Times New Roman" w:hAnsi="Times New Roman" w:cs="Times New Roman"/>
                <w:sz w:val="24"/>
                <w:szCs w:val="24"/>
              </w:rPr>
              <w:t xml:space="preserve">, t.i. </w:t>
            </w:r>
            <w:r w:rsidR="00A76E07">
              <w:rPr>
                <w:rFonts w:ascii="Times New Roman" w:hAnsi="Times New Roman" w:cs="Times New Roman"/>
                <w:sz w:val="24"/>
                <w:szCs w:val="24"/>
              </w:rPr>
              <w:t>Finanšu ministrija (turpmāk –</w:t>
            </w:r>
            <w:r w:rsidR="00762278">
              <w:rPr>
                <w:rFonts w:ascii="Times New Roman" w:hAnsi="Times New Roman" w:cs="Times New Roman"/>
                <w:sz w:val="24"/>
                <w:szCs w:val="24"/>
              </w:rPr>
              <w:t xml:space="preserve"> </w:t>
            </w:r>
            <w:r w:rsidR="00E87C26" w:rsidRPr="00DB0D08">
              <w:rPr>
                <w:rFonts w:ascii="Times New Roman" w:hAnsi="Times New Roman" w:cs="Times New Roman"/>
                <w:sz w:val="24"/>
                <w:szCs w:val="24"/>
              </w:rPr>
              <w:t>FM</w:t>
            </w:r>
            <w:r w:rsidR="00A76E07">
              <w:rPr>
                <w:rFonts w:ascii="Times New Roman" w:hAnsi="Times New Roman" w:cs="Times New Roman"/>
                <w:sz w:val="24"/>
                <w:szCs w:val="24"/>
              </w:rPr>
              <w:t>)</w:t>
            </w:r>
            <w:r w:rsidR="00E87C26" w:rsidRPr="00DB0D08">
              <w:rPr>
                <w:rFonts w:ascii="Times New Roman" w:hAnsi="Times New Roman" w:cs="Times New Roman"/>
                <w:sz w:val="24"/>
                <w:szCs w:val="24"/>
              </w:rPr>
              <w:t xml:space="preserve"> sagatavos un līdz 2019. gada 30. septembrim noteiktā kārtībā iesniegs MK apkopojošu ziņojumu ar priekšlikumiem </w:t>
            </w:r>
            <w:r w:rsidR="00E87C26" w:rsidRPr="00DB0D08">
              <w:rPr>
                <w:rFonts w:ascii="Times New Roman" w:hAnsi="Times New Roman" w:cs="Times New Roman"/>
                <w:sz w:val="24"/>
                <w:szCs w:val="24"/>
              </w:rPr>
              <w:lastRenderedPageBreak/>
              <w:t>snieguma rezerves un finansējuma atlikumu turpmākai izmantošanai.</w:t>
            </w:r>
            <w:r w:rsidR="00FC3D54" w:rsidRPr="00DB0D08">
              <w:rPr>
                <w:rFonts w:ascii="Times New Roman" w:hAnsi="Times New Roman" w:cs="Times New Roman"/>
                <w:sz w:val="24"/>
                <w:szCs w:val="24"/>
              </w:rPr>
              <w:t xml:space="preserve"> Skaidrojam, ka minētā FM ziņojuma izstrādes procesi pirms tā oficiālas izsūtīšanas saskaņošanai iestādēm noteiktā kārtībā, ir neformālas dažādu līmeņu iepriekšējas konsultācijas, diskusijas. </w:t>
            </w:r>
            <w:r w:rsidRPr="00DB0D08">
              <w:rPr>
                <w:rFonts w:ascii="Times New Roman" w:hAnsi="Times New Roman" w:cs="Times New Roman"/>
                <w:sz w:val="24"/>
                <w:szCs w:val="24"/>
              </w:rPr>
              <w:t>N</w:t>
            </w:r>
            <w:r w:rsidR="00FC3D54" w:rsidRPr="00DB0D08">
              <w:rPr>
                <w:rFonts w:ascii="Times New Roman" w:hAnsi="Times New Roman" w:cs="Times New Roman"/>
                <w:sz w:val="24"/>
                <w:szCs w:val="24"/>
              </w:rPr>
              <w:t xml:space="preserve">eformālie procesi, </w:t>
            </w:r>
            <w:r w:rsidRPr="00DB0D08">
              <w:rPr>
                <w:rFonts w:ascii="Times New Roman" w:hAnsi="Times New Roman" w:cs="Times New Roman"/>
                <w:sz w:val="24"/>
                <w:szCs w:val="24"/>
              </w:rPr>
              <w:t xml:space="preserve">jo īpaši kas nav </w:t>
            </w:r>
            <w:r w:rsidR="00855C2D" w:rsidRPr="00DB0D08">
              <w:rPr>
                <w:rFonts w:ascii="Times New Roman" w:hAnsi="Times New Roman" w:cs="Times New Roman"/>
                <w:sz w:val="24"/>
                <w:szCs w:val="24"/>
              </w:rPr>
              <w:t>FM</w:t>
            </w:r>
            <w:r w:rsidRPr="00DB0D08">
              <w:rPr>
                <w:rFonts w:ascii="Times New Roman" w:hAnsi="Times New Roman" w:cs="Times New Roman"/>
                <w:sz w:val="24"/>
                <w:szCs w:val="24"/>
              </w:rPr>
              <w:t xml:space="preserve"> atbildībā, nav </w:t>
            </w:r>
            <w:r w:rsidR="00855C2D" w:rsidRPr="00DB0D08">
              <w:rPr>
                <w:rFonts w:ascii="Times New Roman" w:hAnsi="Times New Roman" w:cs="Times New Roman"/>
                <w:sz w:val="24"/>
                <w:szCs w:val="24"/>
              </w:rPr>
              <w:t>iekļauj</w:t>
            </w:r>
            <w:r w:rsidRPr="00DB0D08">
              <w:rPr>
                <w:rFonts w:ascii="Times New Roman" w:hAnsi="Times New Roman" w:cs="Times New Roman"/>
                <w:sz w:val="24"/>
                <w:szCs w:val="24"/>
              </w:rPr>
              <w:t>ami</w:t>
            </w:r>
            <w:r w:rsidR="00855C2D" w:rsidRPr="00DB0D08">
              <w:rPr>
                <w:rFonts w:ascii="Times New Roman" w:hAnsi="Times New Roman" w:cs="Times New Roman"/>
                <w:sz w:val="24"/>
                <w:szCs w:val="24"/>
              </w:rPr>
              <w:t xml:space="preserve"> MK </w:t>
            </w:r>
            <w:r w:rsidR="00A76E07">
              <w:rPr>
                <w:rFonts w:ascii="Times New Roman" w:hAnsi="Times New Roman" w:cs="Times New Roman"/>
                <w:sz w:val="24"/>
                <w:szCs w:val="24"/>
              </w:rPr>
              <w:t xml:space="preserve">informatīvajā </w:t>
            </w:r>
            <w:r w:rsidR="00855C2D" w:rsidRPr="00DB0D08">
              <w:rPr>
                <w:rFonts w:ascii="Times New Roman" w:hAnsi="Times New Roman" w:cs="Times New Roman"/>
                <w:sz w:val="24"/>
                <w:szCs w:val="24"/>
              </w:rPr>
              <w:t>ziņojumā.</w:t>
            </w:r>
            <w:r w:rsidR="00A76E07" w:rsidRPr="00A05524">
              <w:rPr>
                <w:rFonts w:ascii="Times New Roman" w:hAnsi="Times New Roman" w:cs="Times New Roman"/>
                <w:sz w:val="24"/>
                <w:szCs w:val="24"/>
              </w:rPr>
              <w:t xml:space="preserve"> </w:t>
            </w:r>
            <w:r w:rsidR="00A05524" w:rsidRPr="00DC41D0">
              <w:rPr>
                <w:rFonts w:ascii="Times New Roman" w:hAnsi="Times New Roman" w:cs="Times New Roman"/>
                <w:sz w:val="24"/>
                <w:szCs w:val="24"/>
              </w:rPr>
              <w:t xml:space="preserve">Specifiskā atbalsta mērķa </w:t>
            </w:r>
            <w:r w:rsidR="00A76E07" w:rsidRPr="00DC41D0">
              <w:rPr>
                <w:rFonts w:ascii="Times New Roman" w:hAnsi="Times New Roman" w:cs="Times New Roman"/>
                <w:sz w:val="24"/>
                <w:szCs w:val="24"/>
              </w:rPr>
              <w:t xml:space="preserve">MK noteikumus LM var izlemt virzīt paralēli, ja uzskata par lietderīgu, vienlaikus apzinoties paredzēto kārtību, kad MK lemtu kompleksi, izskatot </w:t>
            </w:r>
            <w:r w:rsidR="00A260D2" w:rsidRPr="00DC41D0">
              <w:rPr>
                <w:rFonts w:ascii="Times New Roman" w:hAnsi="Times New Roman" w:cs="Times New Roman"/>
                <w:sz w:val="24"/>
                <w:szCs w:val="24"/>
              </w:rPr>
              <w:t>FM iesniegto ziņojumu MK</w:t>
            </w:r>
            <w:r w:rsidR="00A260D2">
              <w:rPr>
                <w:rFonts w:ascii="Times New Roman" w:hAnsi="Times New Roman" w:cs="Times New Roman"/>
                <w:sz w:val="24"/>
                <w:szCs w:val="24"/>
              </w:rPr>
              <w:t xml:space="preserve"> </w:t>
            </w:r>
            <w:r w:rsidR="00A76E07" w:rsidRPr="00DC41D0">
              <w:rPr>
                <w:rFonts w:ascii="Times New Roman" w:hAnsi="Times New Roman" w:cs="Times New Roman"/>
                <w:sz w:val="24"/>
                <w:szCs w:val="24"/>
              </w:rPr>
              <w:t xml:space="preserve">līdz </w:t>
            </w:r>
            <w:r w:rsidR="00A260D2">
              <w:rPr>
                <w:rFonts w:ascii="Times New Roman" w:hAnsi="Times New Roman" w:cs="Times New Roman"/>
                <w:sz w:val="24"/>
                <w:szCs w:val="24"/>
              </w:rPr>
              <w:t xml:space="preserve">2019. gada </w:t>
            </w:r>
            <w:r w:rsidR="00A76E07" w:rsidRPr="00DC41D0">
              <w:rPr>
                <w:rFonts w:ascii="Times New Roman" w:hAnsi="Times New Roman" w:cs="Times New Roman"/>
                <w:sz w:val="24"/>
                <w:szCs w:val="24"/>
              </w:rPr>
              <w:t>31.</w:t>
            </w:r>
            <w:r w:rsidR="00A260D2">
              <w:rPr>
                <w:rFonts w:ascii="Times New Roman" w:hAnsi="Times New Roman" w:cs="Times New Roman"/>
                <w:sz w:val="24"/>
                <w:szCs w:val="24"/>
              </w:rPr>
              <w:t> septembrim</w:t>
            </w:r>
            <w:r w:rsidR="00A76E07" w:rsidRPr="00DC41D0">
              <w:rPr>
                <w:rFonts w:ascii="Times New Roman" w:hAnsi="Times New Roman" w:cs="Times New Roman"/>
                <w:sz w:val="24"/>
                <w:szCs w:val="24"/>
              </w:rPr>
              <w:t>.</w:t>
            </w:r>
          </w:p>
          <w:p w14:paraId="6DAB8F84" w14:textId="32C798B4" w:rsidR="002450CE" w:rsidRPr="002450CE" w:rsidRDefault="002450CE" w:rsidP="002450CE">
            <w:pPr>
              <w:pStyle w:val="naisc"/>
              <w:spacing w:before="0" w:after="0"/>
              <w:jc w:val="both"/>
              <w:rPr>
                <w:b/>
                <w:iCs/>
              </w:rPr>
            </w:pPr>
            <w:r w:rsidRPr="00B34D5E">
              <w:rPr>
                <w:b/>
                <w:iCs/>
              </w:rPr>
              <w:t xml:space="preserve">Elektroniskās saskaņošanas laikā </w:t>
            </w:r>
            <w:r>
              <w:rPr>
                <w:b/>
                <w:iCs/>
              </w:rPr>
              <w:t xml:space="preserve">13.08.2019. panākta vienošanās, ka </w:t>
            </w:r>
            <w:r w:rsidRPr="00DF2DA4">
              <w:rPr>
                <w:b/>
              </w:rPr>
              <w:t xml:space="preserve">Labklājības ministrija </w:t>
            </w:r>
            <w:r>
              <w:rPr>
                <w:b/>
              </w:rPr>
              <w:t>neuztur</w:t>
            </w:r>
            <w:r w:rsidRPr="00DF2DA4">
              <w:rPr>
                <w:b/>
              </w:rPr>
              <w:t xml:space="preserve"> iebildumu</w:t>
            </w:r>
            <w:r>
              <w:rPr>
                <w:b/>
              </w:rPr>
              <w:t xml:space="preserve">, pieņem </w:t>
            </w:r>
            <w:r w:rsidRPr="00DF2DA4">
              <w:rPr>
                <w:b/>
              </w:rPr>
              <w:t>zināšanai</w:t>
            </w:r>
            <w:r>
              <w:rPr>
                <w:b/>
              </w:rPr>
              <w:t xml:space="preserve"> skaidrojumu</w:t>
            </w:r>
            <w:r w:rsidRPr="00B34D5E">
              <w:rPr>
                <w:b/>
                <w:iCs/>
              </w:rPr>
              <w:t>.</w:t>
            </w:r>
          </w:p>
        </w:tc>
        <w:tc>
          <w:tcPr>
            <w:tcW w:w="3544" w:type="dxa"/>
            <w:tcBorders>
              <w:top w:val="single" w:sz="4" w:space="0" w:color="auto"/>
              <w:left w:val="single" w:sz="4" w:space="0" w:color="auto"/>
              <w:bottom w:val="single" w:sz="4" w:space="0" w:color="auto"/>
              <w:right w:val="single" w:sz="4" w:space="0" w:color="auto"/>
            </w:tcBorders>
          </w:tcPr>
          <w:p w14:paraId="69ADACFE" w14:textId="3A64A07D" w:rsidR="003B30BA" w:rsidRDefault="00762278" w:rsidP="00762278">
            <w:pPr>
              <w:pStyle w:val="Default"/>
              <w:jc w:val="center"/>
            </w:pPr>
            <w:r>
              <w:lastRenderedPageBreak/>
              <w:t>-</w:t>
            </w:r>
          </w:p>
        </w:tc>
      </w:tr>
      <w:tr w:rsidR="00C97FF8" w14:paraId="7CA8EAB5" w14:textId="77777777" w:rsidTr="0003166A">
        <w:trPr>
          <w:trHeight w:val="699"/>
        </w:trPr>
        <w:tc>
          <w:tcPr>
            <w:tcW w:w="704" w:type="dxa"/>
            <w:tcBorders>
              <w:top w:val="single" w:sz="4" w:space="0" w:color="auto"/>
              <w:left w:val="single" w:sz="4" w:space="0" w:color="auto"/>
              <w:bottom w:val="single" w:sz="4" w:space="0" w:color="auto"/>
              <w:right w:val="single" w:sz="4" w:space="0" w:color="auto"/>
            </w:tcBorders>
          </w:tcPr>
          <w:p w14:paraId="134A99B0" w14:textId="77777777" w:rsidR="00C97FF8" w:rsidRDefault="00C97FF8" w:rsidP="00C97FF8">
            <w:pPr>
              <w:pStyle w:val="naisc"/>
              <w:numPr>
                <w:ilvl w:val="0"/>
                <w:numId w:val="36"/>
              </w:numPr>
              <w:spacing w:before="0" w:after="0"/>
              <w:ind w:left="313"/>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2FF6C0D7" w14:textId="27495B4E" w:rsidR="00C97FF8" w:rsidRDefault="000E597B" w:rsidP="002823CA">
            <w:pPr>
              <w:jc w:val="both"/>
              <w:rPr>
                <w:rFonts w:eastAsiaTheme="minorHAnsi"/>
                <w:lang w:eastAsia="en-US"/>
              </w:rPr>
            </w:pPr>
            <w:r>
              <w:t>I</w:t>
            </w:r>
            <w:r w:rsidRPr="00084C74">
              <w:t>nformatīvā ziņojuma 3.sadaļ</w:t>
            </w:r>
            <w:r>
              <w:t>a</w:t>
            </w:r>
            <w:r w:rsidRPr="00084C74">
              <w:t xml:space="preserve"> “2014.-2020.gada plānošanas perioda ES fondu investīciju aktualitātes”</w:t>
            </w:r>
          </w:p>
        </w:tc>
        <w:tc>
          <w:tcPr>
            <w:tcW w:w="5103" w:type="dxa"/>
            <w:tcBorders>
              <w:top w:val="single" w:sz="4" w:space="0" w:color="auto"/>
              <w:left w:val="single" w:sz="4" w:space="0" w:color="auto"/>
              <w:bottom w:val="single" w:sz="4" w:space="0" w:color="auto"/>
              <w:right w:val="single" w:sz="4" w:space="0" w:color="auto"/>
            </w:tcBorders>
          </w:tcPr>
          <w:p w14:paraId="4250C7A8" w14:textId="77777777" w:rsidR="00EC0463" w:rsidRPr="00EC0463" w:rsidRDefault="00EC0463" w:rsidP="00EC0463">
            <w:pPr>
              <w:widowControl w:val="0"/>
              <w:jc w:val="both"/>
              <w:rPr>
                <w:b/>
              </w:rPr>
            </w:pPr>
            <w:r w:rsidRPr="00EC0463">
              <w:rPr>
                <w:b/>
              </w:rPr>
              <w:t>Labklājības ministrija</w:t>
            </w:r>
          </w:p>
          <w:p w14:paraId="3F95E275" w14:textId="69CE354D" w:rsidR="00C97FF8" w:rsidRDefault="000E597B" w:rsidP="00AA0B01">
            <w:pPr>
              <w:spacing w:after="120"/>
              <w:jc w:val="both"/>
              <w:rPr>
                <w:b/>
                <w:lang w:eastAsia="en-US"/>
              </w:rPr>
            </w:pPr>
            <w:r>
              <w:t>tabulā</w:t>
            </w:r>
            <w:r w:rsidRPr="00084C74">
              <w:t xml:space="preserve"> nr.1.</w:t>
            </w:r>
            <w:r>
              <w:t xml:space="preserve"> “</w:t>
            </w:r>
            <w:r w:rsidRPr="00084C74">
              <w:t>ES fondu 2014.-2020.gada plānošanas perioda 2018.gada starpposma finanšu mērķa izpilde” (informatīvā ziņojuma 12.</w:t>
            </w:r>
            <w:r>
              <w:t xml:space="preserve"> un 13.l</w:t>
            </w:r>
            <w:r w:rsidRPr="00084C74">
              <w:t>pp)</w:t>
            </w:r>
            <w:r>
              <w:t xml:space="preserve"> norādot informāciju arī par 9.prioritārā virziena “Sociālā iekļaušana un nabadzības apkarošana” Eiropas Sociālā fonda finansējuma daļai noteiktā starpposma mērķa izpildi.</w:t>
            </w:r>
          </w:p>
        </w:tc>
        <w:tc>
          <w:tcPr>
            <w:tcW w:w="3402" w:type="dxa"/>
            <w:tcBorders>
              <w:top w:val="single" w:sz="4" w:space="0" w:color="auto"/>
              <w:left w:val="single" w:sz="4" w:space="0" w:color="auto"/>
              <w:bottom w:val="single" w:sz="4" w:space="0" w:color="auto"/>
              <w:right w:val="single" w:sz="4" w:space="0" w:color="auto"/>
            </w:tcBorders>
          </w:tcPr>
          <w:p w14:paraId="7EB50D3D" w14:textId="77777777" w:rsidR="00CF4870" w:rsidRDefault="004151EE" w:rsidP="00AA0B01">
            <w:pPr>
              <w:pStyle w:val="naisc"/>
              <w:spacing w:before="0" w:after="0"/>
              <w:jc w:val="left"/>
            </w:pPr>
            <w:r>
              <w:rPr>
                <w:b/>
                <w:lang w:eastAsia="en-US"/>
              </w:rPr>
              <w:t>Ņemts vērā</w:t>
            </w:r>
            <w:r w:rsidR="00CF4870">
              <w:t xml:space="preserve"> </w:t>
            </w:r>
          </w:p>
          <w:p w14:paraId="741D77C5" w14:textId="14130D8D" w:rsidR="004151EE" w:rsidRPr="004151EE" w:rsidRDefault="00CF4870" w:rsidP="00A42369">
            <w:pPr>
              <w:pStyle w:val="naisc"/>
              <w:spacing w:before="0" w:after="0"/>
              <w:jc w:val="both"/>
              <w:rPr>
                <w:b/>
                <w:lang w:eastAsia="en-US"/>
              </w:rPr>
            </w:pPr>
            <w:r>
              <w:t>Tabula Nr. 1 papildināta ar 9. prioritārā virziena ESF starpposma finanšu mērķa izpildi</w:t>
            </w:r>
            <w:r w:rsidR="00B34D5E">
              <w:t>.</w:t>
            </w:r>
          </w:p>
        </w:tc>
        <w:tc>
          <w:tcPr>
            <w:tcW w:w="3544" w:type="dxa"/>
            <w:tcBorders>
              <w:top w:val="single" w:sz="4" w:space="0" w:color="auto"/>
              <w:left w:val="single" w:sz="4" w:space="0" w:color="auto"/>
              <w:bottom w:val="single" w:sz="4" w:space="0" w:color="auto"/>
              <w:right w:val="single" w:sz="4" w:space="0" w:color="auto"/>
            </w:tcBorders>
          </w:tcPr>
          <w:p w14:paraId="2988B588" w14:textId="16EAF1B1" w:rsidR="00C97FF8" w:rsidRDefault="00CF4870" w:rsidP="000A21E0">
            <w:pPr>
              <w:pStyle w:val="Default"/>
              <w:jc w:val="both"/>
            </w:pPr>
            <w:r>
              <w:t>Skatīt informatīvā ziņojuma</w:t>
            </w:r>
            <w:r w:rsidR="00AC503C">
              <w:t xml:space="preserve"> </w:t>
            </w:r>
            <w:r w:rsidRPr="00CF4870">
              <w:t>sadaļa</w:t>
            </w:r>
            <w:r>
              <w:t>s</w:t>
            </w:r>
            <w:r w:rsidRPr="00CF4870">
              <w:t xml:space="preserve"> “2014.-2020.gada plānošanas perioda ES fondu investīciju aktualitātes”</w:t>
            </w:r>
            <w:r>
              <w:t xml:space="preserve"> tabulu Nr.1</w:t>
            </w:r>
            <w:r w:rsidR="000A21E0">
              <w:t>, 13-14.lpp.</w:t>
            </w:r>
          </w:p>
        </w:tc>
      </w:tr>
      <w:tr w:rsidR="00C97FF8" w14:paraId="32801704" w14:textId="77777777" w:rsidTr="0003166A">
        <w:trPr>
          <w:trHeight w:val="699"/>
        </w:trPr>
        <w:tc>
          <w:tcPr>
            <w:tcW w:w="704" w:type="dxa"/>
            <w:tcBorders>
              <w:top w:val="single" w:sz="4" w:space="0" w:color="auto"/>
              <w:left w:val="single" w:sz="4" w:space="0" w:color="auto"/>
              <w:bottom w:val="single" w:sz="4" w:space="0" w:color="auto"/>
              <w:right w:val="single" w:sz="4" w:space="0" w:color="auto"/>
            </w:tcBorders>
          </w:tcPr>
          <w:p w14:paraId="77412CD1" w14:textId="77777777" w:rsidR="00C97FF8" w:rsidRDefault="00C97FF8" w:rsidP="00C97FF8">
            <w:pPr>
              <w:pStyle w:val="naisc"/>
              <w:numPr>
                <w:ilvl w:val="0"/>
                <w:numId w:val="36"/>
              </w:numPr>
              <w:spacing w:before="0" w:after="0"/>
              <w:ind w:left="313"/>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1A6152ED" w14:textId="51ABFCF9" w:rsidR="00C97FF8" w:rsidRDefault="000E597B" w:rsidP="002823CA">
            <w:pPr>
              <w:jc w:val="both"/>
              <w:rPr>
                <w:rFonts w:eastAsiaTheme="minorHAnsi"/>
                <w:lang w:eastAsia="en-US"/>
              </w:rPr>
            </w:pPr>
            <w:r>
              <w:t>I</w:t>
            </w:r>
            <w:r w:rsidRPr="00084C74">
              <w:t>nformatīvā ziņojuma 3.sadaļ</w:t>
            </w:r>
            <w:r>
              <w:t>a</w:t>
            </w:r>
            <w:r w:rsidRPr="00084C74">
              <w:t xml:space="preserve"> “2014.-2020.gada plānošanas perioda ES fondu investīciju aktualitātes”</w:t>
            </w:r>
          </w:p>
        </w:tc>
        <w:tc>
          <w:tcPr>
            <w:tcW w:w="5103" w:type="dxa"/>
            <w:tcBorders>
              <w:top w:val="single" w:sz="4" w:space="0" w:color="auto"/>
              <w:left w:val="single" w:sz="4" w:space="0" w:color="auto"/>
              <w:bottom w:val="single" w:sz="4" w:space="0" w:color="auto"/>
              <w:right w:val="single" w:sz="4" w:space="0" w:color="auto"/>
            </w:tcBorders>
          </w:tcPr>
          <w:p w14:paraId="56AAF1BC" w14:textId="77777777" w:rsidR="00DB0D08" w:rsidRPr="00DB0D08" w:rsidRDefault="00DB0D08" w:rsidP="00AA0B01">
            <w:pPr>
              <w:widowControl w:val="0"/>
              <w:jc w:val="both"/>
              <w:rPr>
                <w:b/>
              </w:rPr>
            </w:pPr>
            <w:r w:rsidRPr="00DB0D08">
              <w:rPr>
                <w:b/>
              </w:rPr>
              <w:t>Labklājības ministrija</w:t>
            </w:r>
          </w:p>
          <w:p w14:paraId="11AB011E" w14:textId="0A2A707B" w:rsidR="00C97FF8" w:rsidRPr="000E597B" w:rsidRDefault="000E597B" w:rsidP="00AA0B01">
            <w:pPr>
              <w:widowControl w:val="0"/>
              <w:jc w:val="both"/>
            </w:pPr>
            <w:r>
              <w:t>attiecībā uz Centrālās finanšu un līgumu aģentūras aktualitātēm, investīciju labās prakses un sasniegumu piemēriem pie plānošanas periodā kumulatīvi līdz 2019.</w:t>
            </w:r>
            <w:r w:rsidR="0003166A">
              <w:t> </w:t>
            </w:r>
            <w:r>
              <w:t>gada vidum pabeigtajiem 310 projektiem minot arī labklājības nozarē noslēgušos projektu “Jauniešu garantija”, kura ietvaros tika dota iespēja vairāk kā 19 000 jauniešiem bezdarbniekiem iesaistīties a</w:t>
            </w:r>
            <w:r w:rsidRPr="00F35F80">
              <w:t>ktīvās darba tirgus politikas pasākum</w:t>
            </w:r>
            <w:r>
              <w:t>os, veicinot</w:t>
            </w:r>
            <w:r w:rsidRPr="00F35F80">
              <w:t xml:space="preserve"> </w:t>
            </w:r>
            <w:r>
              <w:t xml:space="preserve">to </w:t>
            </w:r>
            <w:r w:rsidRPr="00F35F80">
              <w:t>nodarbinātīb</w:t>
            </w:r>
            <w:r>
              <w:t>u.</w:t>
            </w:r>
          </w:p>
        </w:tc>
        <w:tc>
          <w:tcPr>
            <w:tcW w:w="3402" w:type="dxa"/>
            <w:tcBorders>
              <w:top w:val="single" w:sz="4" w:space="0" w:color="auto"/>
              <w:left w:val="single" w:sz="4" w:space="0" w:color="auto"/>
              <w:bottom w:val="single" w:sz="4" w:space="0" w:color="auto"/>
              <w:right w:val="single" w:sz="4" w:space="0" w:color="auto"/>
            </w:tcBorders>
          </w:tcPr>
          <w:p w14:paraId="4556FB12" w14:textId="77777777" w:rsidR="00CF4870" w:rsidRDefault="00762278" w:rsidP="00DB0D08">
            <w:pPr>
              <w:pStyle w:val="naisc"/>
              <w:spacing w:before="0" w:after="0"/>
              <w:jc w:val="both"/>
            </w:pPr>
            <w:r>
              <w:rPr>
                <w:b/>
                <w:lang w:eastAsia="en-US"/>
              </w:rPr>
              <w:t>Ņemts vērā</w:t>
            </w:r>
            <w:r w:rsidR="00CF4870">
              <w:t xml:space="preserve"> </w:t>
            </w:r>
          </w:p>
          <w:p w14:paraId="2387C059" w14:textId="69E2505E" w:rsidR="004C0BED" w:rsidRPr="003B1AA5" w:rsidRDefault="00A42369" w:rsidP="00072679">
            <w:pPr>
              <w:pStyle w:val="naisc"/>
              <w:spacing w:before="0" w:after="0"/>
              <w:jc w:val="both"/>
              <w:rPr>
                <w:b/>
                <w:lang w:eastAsia="en-US"/>
              </w:rPr>
            </w:pPr>
            <w:r>
              <w:t xml:space="preserve">Iebildums elektroniski 12.08.2019. saskaņots ar Centrālo finanšu un līgumu aģentūru (turpmāk – CFLA). </w:t>
            </w:r>
            <w:r w:rsidR="00072679">
              <w:t>Informatīvā z</w:t>
            </w:r>
            <w:r w:rsidR="00CF4870">
              <w:t>iņojum</w:t>
            </w:r>
            <w:r>
              <w:t>a redakcija</w:t>
            </w:r>
            <w:r w:rsidR="00CF4870">
              <w:t xml:space="preserve"> papildināt</w:t>
            </w:r>
            <w:r>
              <w:t>a</w:t>
            </w:r>
            <w:r w:rsidR="00CF4870">
              <w:t xml:space="preserve"> ar informāciju par noslēgtajiem projektiem. </w:t>
            </w:r>
          </w:p>
        </w:tc>
        <w:tc>
          <w:tcPr>
            <w:tcW w:w="3544" w:type="dxa"/>
            <w:tcBorders>
              <w:top w:val="single" w:sz="4" w:space="0" w:color="auto"/>
              <w:left w:val="single" w:sz="4" w:space="0" w:color="auto"/>
              <w:bottom w:val="single" w:sz="4" w:space="0" w:color="auto"/>
              <w:right w:val="single" w:sz="4" w:space="0" w:color="auto"/>
            </w:tcBorders>
          </w:tcPr>
          <w:p w14:paraId="2CC851DA" w14:textId="3CF93770" w:rsidR="00A42369" w:rsidRDefault="005F6A44" w:rsidP="00A917F5">
            <w:pPr>
              <w:pStyle w:val="Default"/>
              <w:jc w:val="both"/>
            </w:pPr>
            <w:r>
              <w:t xml:space="preserve">Skatīt </w:t>
            </w:r>
            <w:r w:rsidR="00072679">
              <w:t xml:space="preserve">informatīvā ziņojuma </w:t>
            </w:r>
            <w:proofErr w:type="spellStart"/>
            <w:r w:rsidR="00072679">
              <w:t>apakšsadaļu</w:t>
            </w:r>
            <w:proofErr w:type="spellEnd"/>
            <w:r w:rsidR="00AC503C">
              <w:t xml:space="preserve"> </w:t>
            </w:r>
            <w:r w:rsidR="00072679">
              <w:t>“</w:t>
            </w:r>
            <w:r w:rsidR="00072679" w:rsidRPr="00072679">
              <w:t>CFLA aktualitātes, investīciju labās prakses un sasniegumu piemēri</w:t>
            </w:r>
            <w:r w:rsidR="004923FF">
              <w:t>” 17</w:t>
            </w:r>
            <w:r w:rsidR="00072679">
              <w:t>.lpp</w:t>
            </w:r>
            <w:r w:rsidR="000A21E0">
              <w:t>.</w:t>
            </w:r>
          </w:p>
          <w:p w14:paraId="29EADF2A" w14:textId="427BD6F0" w:rsidR="00C05F35" w:rsidRDefault="00C05F35" w:rsidP="00A917F5">
            <w:pPr>
              <w:pStyle w:val="Default"/>
              <w:jc w:val="both"/>
            </w:pPr>
          </w:p>
        </w:tc>
      </w:tr>
      <w:tr w:rsidR="00C97FF8" w14:paraId="13F7BFDE" w14:textId="77777777" w:rsidTr="0003166A">
        <w:trPr>
          <w:trHeight w:val="699"/>
        </w:trPr>
        <w:tc>
          <w:tcPr>
            <w:tcW w:w="704" w:type="dxa"/>
            <w:tcBorders>
              <w:top w:val="single" w:sz="4" w:space="0" w:color="auto"/>
              <w:left w:val="single" w:sz="4" w:space="0" w:color="auto"/>
              <w:bottom w:val="single" w:sz="4" w:space="0" w:color="auto"/>
              <w:right w:val="single" w:sz="4" w:space="0" w:color="auto"/>
            </w:tcBorders>
          </w:tcPr>
          <w:p w14:paraId="76FFB63D" w14:textId="77777777" w:rsidR="00C97FF8" w:rsidRDefault="00C97FF8" w:rsidP="00C97FF8">
            <w:pPr>
              <w:pStyle w:val="naisc"/>
              <w:numPr>
                <w:ilvl w:val="0"/>
                <w:numId w:val="36"/>
              </w:numPr>
              <w:spacing w:before="0" w:after="0"/>
              <w:ind w:left="313"/>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4AFF2E6E" w14:textId="0B1E1809" w:rsidR="00C97FF8" w:rsidRDefault="000E597B" w:rsidP="002823CA">
            <w:pPr>
              <w:jc w:val="both"/>
              <w:rPr>
                <w:rFonts w:eastAsiaTheme="minorHAnsi"/>
                <w:lang w:eastAsia="en-US"/>
              </w:rPr>
            </w:pPr>
            <w:r>
              <w:t>I</w:t>
            </w:r>
            <w:r w:rsidRPr="00084C74">
              <w:t>nformatīvā ziņojuma 3.sadaļ</w:t>
            </w:r>
            <w:r>
              <w:t>a</w:t>
            </w:r>
            <w:r w:rsidRPr="00084C74">
              <w:t xml:space="preserve"> “2014.-2020.gada plānošanas perioda ES fondu investīciju aktualitātes”</w:t>
            </w:r>
          </w:p>
        </w:tc>
        <w:tc>
          <w:tcPr>
            <w:tcW w:w="5103" w:type="dxa"/>
            <w:tcBorders>
              <w:top w:val="single" w:sz="4" w:space="0" w:color="auto"/>
              <w:left w:val="single" w:sz="4" w:space="0" w:color="auto"/>
              <w:bottom w:val="single" w:sz="4" w:space="0" w:color="auto"/>
              <w:right w:val="single" w:sz="4" w:space="0" w:color="auto"/>
            </w:tcBorders>
          </w:tcPr>
          <w:p w14:paraId="7AFCC797" w14:textId="77777777" w:rsidR="00EC0463" w:rsidRPr="00EC0463" w:rsidRDefault="00EC0463" w:rsidP="00EC0463">
            <w:pPr>
              <w:widowControl w:val="0"/>
              <w:jc w:val="both"/>
              <w:rPr>
                <w:b/>
              </w:rPr>
            </w:pPr>
            <w:r w:rsidRPr="00EC0463">
              <w:rPr>
                <w:b/>
              </w:rPr>
              <w:t>Labklājības ministrija</w:t>
            </w:r>
          </w:p>
          <w:p w14:paraId="355B92D2" w14:textId="0935978F" w:rsidR="00C97FF8" w:rsidRDefault="000E597B" w:rsidP="00762278">
            <w:pPr>
              <w:pStyle w:val="BodyText2"/>
              <w:spacing w:line="240" w:lineRule="auto"/>
              <w:jc w:val="both"/>
              <w:rPr>
                <w:b/>
                <w:szCs w:val="22"/>
                <w:lang w:eastAsia="en-US"/>
              </w:rPr>
            </w:pPr>
            <w:r w:rsidRPr="00EF1DAF">
              <w:t>attiecībā uz gadījumiem, kad, iestājoties finanšu disciplīnas piemērošanas nosacījumiem, ir piemērojami izņēmumi saskaņā ar normatīvo regulējumu, minot kā piemēru labklājības nozarē īstenoto Valsts izglītības attīstības aģentūras projektu “Sākotnējās profesionālās izglītības programmu īstenošana Jauniešu garantijas ietvaros” (minētā pr</w:t>
            </w:r>
            <w:r w:rsidR="00530CA5">
              <w:t>ojekta īstenošana atbilstoši 2019</w:t>
            </w:r>
            <w:r w:rsidRPr="00EF1DAF">
              <w:t>.</w:t>
            </w:r>
            <w:r w:rsidR="00530CA5">
              <w:t xml:space="preserve"> gada</w:t>
            </w:r>
            <w:r w:rsidRPr="00EF1DAF">
              <w:t xml:space="preserve"> 16.aprīļa Ministru kabineta sēdes protokola Nr.20 </w:t>
            </w:r>
            <w:bookmarkStart w:id="1" w:name="32"/>
            <w:r w:rsidRPr="00EF1DAF">
              <w:t>32.§</w:t>
            </w:r>
            <w:bookmarkEnd w:id="1"/>
            <w:r w:rsidRPr="00EF1DAF">
              <w:t xml:space="preserve"> </w:t>
            </w:r>
            <w:r>
              <w:t>“</w:t>
            </w:r>
            <w:r w:rsidRPr="00EF1DAF">
              <w:t>Informatīvais ziņojums “Par Jauniešu garantijas īstenošanas progresu”</w:t>
            </w:r>
            <w:r>
              <w:t>”</w:t>
            </w:r>
            <w:r w:rsidRPr="00EF1DAF">
              <w:t xml:space="preserve"> 2.punktam pagarināta līdz 2021.gada 31.janvārim specifiskajam atbalsta mērķim piešķirtā finansējuma ietvaros</w:t>
            </w:r>
            <w:r>
              <w:t>, kas attiecīgi var radīt apstākļus, kad ir pamatots iemesls pārskatīt plānoto maksājumu pieprasījumu iesniegšanas grafiku</w:t>
            </w:r>
            <w:r w:rsidRPr="00EF1DAF">
              <w:t>)</w:t>
            </w:r>
            <w:r>
              <w:t>.</w:t>
            </w:r>
          </w:p>
        </w:tc>
        <w:tc>
          <w:tcPr>
            <w:tcW w:w="3402" w:type="dxa"/>
            <w:tcBorders>
              <w:top w:val="single" w:sz="4" w:space="0" w:color="auto"/>
              <w:left w:val="single" w:sz="4" w:space="0" w:color="auto"/>
              <w:bottom w:val="single" w:sz="4" w:space="0" w:color="auto"/>
              <w:right w:val="single" w:sz="4" w:space="0" w:color="auto"/>
            </w:tcBorders>
          </w:tcPr>
          <w:p w14:paraId="6D821B0A" w14:textId="77777777" w:rsidR="00B34D5E" w:rsidRDefault="00855C2D" w:rsidP="00855C2D">
            <w:pPr>
              <w:pStyle w:val="naisc"/>
              <w:spacing w:before="0" w:after="0"/>
              <w:jc w:val="both"/>
              <w:rPr>
                <w:b/>
                <w:lang w:eastAsia="en-US"/>
              </w:rPr>
            </w:pPr>
            <w:r w:rsidRPr="00E87C26">
              <w:rPr>
                <w:b/>
                <w:lang w:eastAsia="en-US"/>
              </w:rPr>
              <w:t>Nav ņemts vērā.</w:t>
            </w:r>
            <w:r>
              <w:rPr>
                <w:b/>
                <w:lang w:eastAsia="en-US"/>
              </w:rPr>
              <w:t xml:space="preserve"> Skaidrojam.</w:t>
            </w:r>
            <w:r w:rsidR="00B34D5E">
              <w:rPr>
                <w:b/>
                <w:lang w:eastAsia="en-US"/>
              </w:rPr>
              <w:t xml:space="preserve"> </w:t>
            </w:r>
          </w:p>
          <w:p w14:paraId="18406F0F" w14:textId="77777777" w:rsidR="00C97FF8" w:rsidRDefault="00A76E07" w:rsidP="00A76E07">
            <w:pPr>
              <w:pStyle w:val="naisc"/>
              <w:spacing w:before="0" w:after="0"/>
              <w:jc w:val="both"/>
            </w:pPr>
            <w:r>
              <w:t>Informatīvā z</w:t>
            </w:r>
            <w:r w:rsidR="00855C2D">
              <w:t xml:space="preserve">iņojuma mērķis ir sniegt valdībai un plašākai sabiedrībai iespējami koncentrētu informāciju par svarīgākajām aktualitātēm ES fondu investīciju ieviešanā, izvairoties no projektu līmeņa detalizācijas un no iepriekš valdībai jau ziņotās informācijas dublēšanas. Attiecīgi </w:t>
            </w:r>
            <w:r>
              <w:t xml:space="preserve">informatīvajā </w:t>
            </w:r>
            <w:r w:rsidR="00855C2D">
              <w:t>ziņojumā nav nepieciešams uzskaitīt visus jau iepriekš valdībā pieņemtos lēmumus, ja nepastāv kāda aktuāla nozīmīga problēma, kas būtu jārisina valdības līmen</w:t>
            </w:r>
            <w:r w:rsidR="006F5F8C">
              <w:t>ī vai par to jāinformē sabiedrība.</w:t>
            </w:r>
            <w:r w:rsidR="00855C2D">
              <w:t xml:space="preserve"> </w:t>
            </w:r>
            <w:r w:rsidR="00052ED5" w:rsidRPr="00052ED5">
              <w:t xml:space="preserve">Finanšu disciplīnas informatīvajā tabulā tiek attēlota reālā situācija projekta līmenī konkrētā laika periodā ar mērķi informēt par iespējamajiem riskiem. Par disciplīnas iestāšanos CFLA </w:t>
            </w:r>
            <w:r w:rsidR="00052ED5" w:rsidRPr="00052ED5">
              <w:lastRenderedPageBreak/>
              <w:t>lems gada nogalē. Projektos, kuriem CFLA pie maksājumu plāniem vai līguma termiņa pagarinājumiem ir norādījusi, ka ir izvērtēti un attiecināmi finanšu disciplīnas izņēmuma gadījumi, turpmāk komentāru ailē tiks norādīta informācija par izņēmuma gadījumu.</w:t>
            </w:r>
          </w:p>
          <w:p w14:paraId="151C4368" w14:textId="15D23FAB" w:rsidR="002450CE" w:rsidRPr="00C73912" w:rsidRDefault="002450CE" w:rsidP="002450CE">
            <w:pPr>
              <w:pStyle w:val="naisc"/>
              <w:spacing w:before="0" w:after="0"/>
              <w:jc w:val="both"/>
              <w:rPr>
                <w:b/>
                <w:lang w:eastAsia="en-US"/>
              </w:rPr>
            </w:pPr>
            <w:r w:rsidRPr="00B34D5E">
              <w:rPr>
                <w:b/>
                <w:iCs/>
              </w:rPr>
              <w:t xml:space="preserve">Elektroniskās saskaņošanas laikā </w:t>
            </w:r>
            <w:r>
              <w:rPr>
                <w:b/>
                <w:iCs/>
              </w:rPr>
              <w:t xml:space="preserve">13.08.2019. panākta vienošanās, ka </w:t>
            </w:r>
            <w:r w:rsidRPr="0022023B">
              <w:rPr>
                <w:b/>
              </w:rPr>
              <w:t xml:space="preserve">Labklājības ministrija </w:t>
            </w:r>
            <w:r>
              <w:rPr>
                <w:b/>
              </w:rPr>
              <w:t>neuztur</w:t>
            </w:r>
            <w:r w:rsidRPr="0022023B">
              <w:rPr>
                <w:b/>
              </w:rPr>
              <w:t xml:space="preserve"> iebildumu</w:t>
            </w:r>
            <w:r>
              <w:rPr>
                <w:b/>
              </w:rPr>
              <w:t xml:space="preserve">, pieņem </w:t>
            </w:r>
            <w:r w:rsidRPr="0022023B">
              <w:rPr>
                <w:b/>
              </w:rPr>
              <w:t>zināšanai</w:t>
            </w:r>
            <w:r>
              <w:rPr>
                <w:b/>
              </w:rPr>
              <w:t xml:space="preserve"> skaidrojumu</w:t>
            </w:r>
            <w:r w:rsidRPr="00B34D5E">
              <w:rPr>
                <w:b/>
                <w:iCs/>
              </w:rPr>
              <w:t>.</w:t>
            </w:r>
          </w:p>
        </w:tc>
        <w:tc>
          <w:tcPr>
            <w:tcW w:w="3544" w:type="dxa"/>
            <w:tcBorders>
              <w:top w:val="single" w:sz="4" w:space="0" w:color="auto"/>
              <w:left w:val="single" w:sz="4" w:space="0" w:color="auto"/>
              <w:bottom w:val="single" w:sz="4" w:space="0" w:color="auto"/>
              <w:right w:val="single" w:sz="4" w:space="0" w:color="auto"/>
            </w:tcBorders>
          </w:tcPr>
          <w:p w14:paraId="78529A56" w14:textId="11AC5EC8" w:rsidR="00C97FF8" w:rsidRPr="00C73912" w:rsidRDefault="00CF4870" w:rsidP="00CF4870">
            <w:pPr>
              <w:pStyle w:val="Default"/>
              <w:jc w:val="center"/>
              <w:rPr>
                <w:color w:val="auto"/>
              </w:rPr>
            </w:pPr>
            <w:r>
              <w:rPr>
                <w:color w:val="auto"/>
              </w:rPr>
              <w:lastRenderedPageBreak/>
              <w:t>-</w:t>
            </w:r>
          </w:p>
        </w:tc>
      </w:tr>
      <w:tr w:rsidR="00C97FF8" w14:paraId="7C951434" w14:textId="77777777" w:rsidTr="0003166A">
        <w:trPr>
          <w:trHeight w:val="699"/>
        </w:trPr>
        <w:tc>
          <w:tcPr>
            <w:tcW w:w="704" w:type="dxa"/>
            <w:tcBorders>
              <w:top w:val="single" w:sz="4" w:space="0" w:color="auto"/>
              <w:left w:val="single" w:sz="4" w:space="0" w:color="auto"/>
              <w:bottom w:val="single" w:sz="4" w:space="0" w:color="auto"/>
              <w:right w:val="single" w:sz="4" w:space="0" w:color="auto"/>
            </w:tcBorders>
          </w:tcPr>
          <w:p w14:paraId="22886D69" w14:textId="77777777" w:rsidR="00C97FF8" w:rsidRDefault="00C97FF8" w:rsidP="00C97FF8">
            <w:pPr>
              <w:pStyle w:val="naisc"/>
              <w:numPr>
                <w:ilvl w:val="0"/>
                <w:numId w:val="36"/>
              </w:numPr>
              <w:spacing w:before="0" w:after="0"/>
              <w:ind w:left="313"/>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66DA0CBD" w14:textId="6FEEACA1" w:rsidR="00C97FF8" w:rsidRDefault="000E597B" w:rsidP="002823CA">
            <w:pPr>
              <w:jc w:val="both"/>
              <w:rPr>
                <w:rFonts w:eastAsiaTheme="minorHAnsi"/>
                <w:lang w:eastAsia="en-US"/>
              </w:rPr>
            </w:pPr>
            <w:r>
              <w:t>I</w:t>
            </w:r>
            <w:r w:rsidRPr="00084C74">
              <w:t>nformatīvā ziņojuma 3.sadaļ</w:t>
            </w:r>
            <w:r>
              <w:t>a</w:t>
            </w:r>
            <w:r w:rsidRPr="00084C74">
              <w:t xml:space="preserve"> “2014.-2020.gada plānošanas perioda ES fondu investīciju aktualitātes”</w:t>
            </w:r>
          </w:p>
        </w:tc>
        <w:tc>
          <w:tcPr>
            <w:tcW w:w="5103" w:type="dxa"/>
            <w:tcBorders>
              <w:top w:val="single" w:sz="4" w:space="0" w:color="auto"/>
              <w:left w:val="single" w:sz="4" w:space="0" w:color="auto"/>
              <w:bottom w:val="single" w:sz="4" w:space="0" w:color="auto"/>
              <w:right w:val="single" w:sz="4" w:space="0" w:color="auto"/>
            </w:tcBorders>
          </w:tcPr>
          <w:p w14:paraId="72380348" w14:textId="77777777" w:rsidR="00EC0463" w:rsidRPr="00EC0463" w:rsidRDefault="00EC0463" w:rsidP="00EC0463">
            <w:pPr>
              <w:widowControl w:val="0"/>
              <w:jc w:val="both"/>
              <w:rPr>
                <w:b/>
              </w:rPr>
            </w:pPr>
            <w:r w:rsidRPr="00EC0463">
              <w:rPr>
                <w:b/>
              </w:rPr>
              <w:t>Labklājības ministrija</w:t>
            </w:r>
          </w:p>
          <w:p w14:paraId="4A2474B3" w14:textId="6A79681E" w:rsidR="00C97FF8" w:rsidRPr="00762278" w:rsidRDefault="000E597B" w:rsidP="00762278">
            <w:pPr>
              <w:widowControl w:val="0"/>
              <w:jc w:val="both"/>
            </w:pPr>
            <w:r>
              <w:t>p</w:t>
            </w:r>
            <w:r w:rsidRPr="007D6818">
              <w:t xml:space="preserve">apildus vēlamies vērst uzmanību, ka </w:t>
            </w:r>
            <w:r>
              <w:t>informatīvā ziņojuma 21.lpp</w:t>
            </w:r>
            <w:r w:rsidRPr="007D6818">
              <w:t xml:space="preserve"> pieminētais objektīvais gadījums – t.i., iepriekš neparedzēti aizdevumu ierobežojumi pašvaldību projektos, ne tikai var negatīvi ietekmēt finansējuma saņēmēju maksājumu pieprasījumu iesniegšanas plānu izpildi (tādējādi radot apstākļus finanšu disciplīnas pasākumu piemērošanai), bet var radīt arī citas negatīvas sekas</w:t>
            </w:r>
            <w:r>
              <w:t>.</w:t>
            </w:r>
            <w:r w:rsidRPr="007D6818">
              <w:t xml:space="preserve"> </w:t>
            </w:r>
            <w:r>
              <w:t xml:space="preserve">Minētais var </w:t>
            </w:r>
            <w:r w:rsidRPr="007D6818">
              <w:t xml:space="preserve">kavēt 9.3.1.1.pasākuma “Pakalpojumu infrastruktūras attīstība </w:t>
            </w:r>
            <w:proofErr w:type="spellStart"/>
            <w:r w:rsidRPr="007D6818">
              <w:t>deinstitucionalizācijas</w:t>
            </w:r>
            <w:proofErr w:type="spellEnd"/>
            <w:r w:rsidRPr="007D6818">
              <w:t xml:space="preserve"> plānu īstenošanai” projektu uzsākšanu</w:t>
            </w:r>
            <w:r>
              <w:t xml:space="preserve"> kopumā</w:t>
            </w:r>
            <w:r w:rsidRPr="007D6818">
              <w:t>, jo pašvaldības ir spiestas pārskatīt sabiedrībā balstītu sociālo pakalpojumu infrastruktūras attīstības risinājumus un infrastruktūras objektus, kuros veicamas investīcijas</w:t>
            </w:r>
            <w:r>
              <w:t>,</w:t>
            </w:r>
            <w:r w:rsidRPr="007D6818">
              <w:t xml:space="preserve"> pēc iespējas </w:t>
            </w:r>
            <w:r>
              <w:t>sa</w:t>
            </w:r>
            <w:r w:rsidRPr="007D6818">
              <w:t>maz</w:t>
            </w:r>
            <w:r>
              <w:t>inot</w:t>
            </w:r>
            <w:r w:rsidRPr="007D6818">
              <w:t xml:space="preserve"> neattiecinām</w:t>
            </w:r>
            <w:r>
              <w:t>ās</w:t>
            </w:r>
            <w:r w:rsidRPr="007D6818">
              <w:t xml:space="preserve"> izmaks</w:t>
            </w:r>
            <w:r>
              <w:t xml:space="preserve">as. Iespējams, </w:t>
            </w:r>
            <w:r w:rsidRPr="007D6818">
              <w:t xml:space="preserve">var </w:t>
            </w:r>
            <w:r>
              <w:t xml:space="preserve">atkārtoti </w:t>
            </w:r>
            <w:r w:rsidRPr="007D6818">
              <w:t xml:space="preserve">aktualizēties jautājums par pašvaldību atteikšanos īstenot projektus un rezultātā mērķa grupa (cilvēki ar garīga rakstura traucējumiem, bērni ar funkcionāliem traucējumiem un </w:t>
            </w:r>
            <w:proofErr w:type="spellStart"/>
            <w:r w:rsidRPr="007D6818">
              <w:t>ārpusģimenes</w:t>
            </w:r>
            <w:proofErr w:type="spellEnd"/>
            <w:r w:rsidRPr="007D6818">
              <w:t xml:space="preserve"> </w:t>
            </w:r>
            <w:r w:rsidRPr="007D6818">
              <w:lastRenderedPageBreak/>
              <w:t>aprūpē esoši bērni), kas ir vismazāk aizsargātākās sabiedrības grupas, nesaņems pakalpojumu</w:t>
            </w:r>
            <w:r>
              <w:t>s</w:t>
            </w:r>
            <w:r w:rsidRPr="007D6818">
              <w:t>. Līdz ar to lūdzam papildināt informatīvo ziņojumu, iekļaujot atbilstoš</w:t>
            </w:r>
            <w:r>
              <w:t>u</w:t>
            </w:r>
            <w:r w:rsidRPr="007D6818">
              <w:t xml:space="preserve"> informāciju arī par labklājības nozarē īstenotā 9.3.1.1.pasākuma “Pakalpojumu infrastruktūras attīstība </w:t>
            </w:r>
            <w:proofErr w:type="spellStart"/>
            <w:r w:rsidRPr="007D6818">
              <w:t>deinstitucionalizācijas</w:t>
            </w:r>
            <w:proofErr w:type="spellEnd"/>
            <w:r w:rsidRPr="007D6818">
              <w:t xml:space="preserve"> plānu īstenošanai” riskiem, kas saistīti ar valsts kases aizdevumu ierobežojumiem pašvaldībām </w:t>
            </w:r>
            <w:proofErr w:type="spellStart"/>
            <w:r w:rsidRPr="007D6818">
              <w:t>neattiecamo</w:t>
            </w:r>
            <w:proofErr w:type="spellEnd"/>
            <w:r w:rsidRPr="007D6818">
              <w:t xml:space="preserve"> izmaksu segšanai</w:t>
            </w:r>
            <w:r>
              <w:t xml:space="preserve"> un</w:t>
            </w:r>
            <w:r w:rsidRPr="007D6818">
              <w:t xml:space="preserve"> kas kritiski nepieciešamas atsevišķu pašvaldību projektu īstenošanai </w:t>
            </w:r>
            <w:r>
              <w:t>(informācija iesniegta Finanšu ministrijai tai skaitā ar 2019.</w:t>
            </w:r>
            <w:r w:rsidR="0003166A">
              <w:t> </w:t>
            </w:r>
            <w:r>
              <w:t>gada 21.</w:t>
            </w:r>
            <w:r w:rsidR="0003166A">
              <w:t> </w:t>
            </w:r>
            <w:r>
              <w:t>jūnija LM vēstuli Nr.</w:t>
            </w:r>
            <w:r w:rsidRPr="00FF7BBC">
              <w:t>38-3-01/1150</w:t>
            </w:r>
            <w:r>
              <w:t xml:space="preserve">, sniedzot Finanšu ministrijai </w:t>
            </w:r>
            <w:r w:rsidRPr="00BB73FB">
              <w:rPr>
                <w:bCs/>
              </w:rPr>
              <w:t>informācij</w:t>
            </w:r>
            <w:r>
              <w:rPr>
                <w:bCs/>
              </w:rPr>
              <w:t>u</w:t>
            </w:r>
            <w:r w:rsidRPr="00BB73FB">
              <w:rPr>
                <w:bCs/>
              </w:rPr>
              <w:t xml:space="preserve"> un </w:t>
            </w:r>
            <w:r w:rsidRPr="006F2982">
              <w:t>priekšlikumus 9.3.1.1.pasākuma īstenošanai</w:t>
            </w:r>
            <w:r w:rsidR="00762278">
              <w:t>).</w:t>
            </w:r>
          </w:p>
        </w:tc>
        <w:tc>
          <w:tcPr>
            <w:tcW w:w="3402" w:type="dxa"/>
            <w:tcBorders>
              <w:top w:val="single" w:sz="4" w:space="0" w:color="auto"/>
              <w:left w:val="single" w:sz="4" w:space="0" w:color="auto"/>
              <w:bottom w:val="single" w:sz="4" w:space="0" w:color="auto"/>
              <w:right w:val="single" w:sz="4" w:space="0" w:color="auto"/>
            </w:tcBorders>
          </w:tcPr>
          <w:p w14:paraId="18D0666F" w14:textId="5EE50276" w:rsidR="00A76E07" w:rsidRPr="00F609FB" w:rsidRDefault="00F609FB" w:rsidP="00A76E07">
            <w:pPr>
              <w:pStyle w:val="naisc"/>
              <w:spacing w:before="0" w:after="0"/>
              <w:jc w:val="both"/>
              <w:rPr>
                <w:b/>
                <w:lang w:eastAsia="en-US"/>
              </w:rPr>
            </w:pPr>
            <w:r w:rsidRPr="00F609FB">
              <w:rPr>
                <w:b/>
                <w:lang w:eastAsia="en-US"/>
              </w:rPr>
              <w:lastRenderedPageBreak/>
              <w:t>Ņemts vērā</w:t>
            </w:r>
          </w:p>
          <w:p w14:paraId="739DD9DB" w14:textId="22ABC0E2" w:rsidR="00F609FB" w:rsidRPr="00AA0B01" w:rsidRDefault="00F609FB" w:rsidP="00F609FB">
            <w:pPr>
              <w:pStyle w:val="naisc"/>
              <w:spacing w:before="0" w:after="0"/>
              <w:jc w:val="both"/>
              <w:rPr>
                <w:lang w:eastAsia="en-US"/>
              </w:rPr>
            </w:pPr>
            <w:r w:rsidRPr="00F609FB">
              <w:rPr>
                <w:lang w:eastAsia="en-US"/>
              </w:rPr>
              <w:t>Informatīvā ziņojuma sadaļa “2014.-2020.gada plānošanas perioda ES fondu investīciju aktualitātes”</w:t>
            </w:r>
            <w:r>
              <w:rPr>
                <w:lang w:eastAsia="en-US"/>
              </w:rPr>
              <w:t xml:space="preserve"> papildināta par esošo situāciju saistībā ar pašvaldību aizņēmumiem. </w:t>
            </w:r>
          </w:p>
        </w:tc>
        <w:tc>
          <w:tcPr>
            <w:tcW w:w="3544" w:type="dxa"/>
            <w:tcBorders>
              <w:top w:val="single" w:sz="4" w:space="0" w:color="auto"/>
              <w:left w:val="single" w:sz="4" w:space="0" w:color="auto"/>
              <w:bottom w:val="single" w:sz="4" w:space="0" w:color="auto"/>
              <w:right w:val="single" w:sz="4" w:space="0" w:color="auto"/>
            </w:tcBorders>
          </w:tcPr>
          <w:p w14:paraId="09BB96CE" w14:textId="401990B0" w:rsidR="00C97FF8" w:rsidRDefault="00F609FB" w:rsidP="00F609FB">
            <w:pPr>
              <w:pStyle w:val="Default"/>
              <w:jc w:val="both"/>
            </w:pPr>
            <w:r>
              <w:t xml:space="preserve">Skatīt informatīvā ziņojuma </w:t>
            </w:r>
            <w:proofErr w:type="spellStart"/>
            <w:r>
              <w:t>apakšsadaļu</w:t>
            </w:r>
            <w:proofErr w:type="spellEnd"/>
            <w:r w:rsidRPr="00F609FB">
              <w:t xml:space="preserve"> </w:t>
            </w:r>
            <w:r>
              <w:t>“</w:t>
            </w:r>
            <w:r w:rsidRPr="00F609FB">
              <w:t>Projektu ieviešanas un finanšu disciplīnas kvalitāte</w:t>
            </w:r>
            <w:r>
              <w:t>”</w:t>
            </w:r>
            <w:r w:rsidR="004923FF">
              <w:t xml:space="preserve"> 21</w:t>
            </w:r>
            <w:r w:rsidR="000A21E0">
              <w:t>.lpp.</w:t>
            </w:r>
          </w:p>
        </w:tc>
      </w:tr>
      <w:tr w:rsidR="00C97FF8" w14:paraId="1DE06E76" w14:textId="77777777" w:rsidTr="0003166A">
        <w:trPr>
          <w:trHeight w:val="699"/>
        </w:trPr>
        <w:tc>
          <w:tcPr>
            <w:tcW w:w="704" w:type="dxa"/>
            <w:tcBorders>
              <w:top w:val="single" w:sz="4" w:space="0" w:color="auto"/>
              <w:left w:val="single" w:sz="4" w:space="0" w:color="auto"/>
              <w:bottom w:val="single" w:sz="4" w:space="0" w:color="auto"/>
              <w:right w:val="single" w:sz="4" w:space="0" w:color="auto"/>
            </w:tcBorders>
          </w:tcPr>
          <w:p w14:paraId="7E351802" w14:textId="77777777" w:rsidR="00C97FF8" w:rsidRDefault="00C97FF8" w:rsidP="00C97FF8">
            <w:pPr>
              <w:pStyle w:val="naisc"/>
              <w:numPr>
                <w:ilvl w:val="0"/>
                <w:numId w:val="36"/>
              </w:numPr>
              <w:spacing w:before="0" w:after="0"/>
              <w:ind w:left="313"/>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55E6EE26" w14:textId="47452A69" w:rsidR="000E597B" w:rsidRDefault="000E597B" w:rsidP="002823CA">
            <w:pPr>
              <w:jc w:val="both"/>
              <w:rPr>
                <w:rFonts w:eastAsiaTheme="minorHAnsi"/>
                <w:lang w:eastAsia="en-US"/>
              </w:rPr>
            </w:pPr>
            <w:r>
              <w:t>I</w:t>
            </w:r>
            <w:r w:rsidRPr="00271B78">
              <w:t>nformatīvā ziņojuma 7.sadaļā “ES fondu vadības un kontroles sistēma”</w:t>
            </w:r>
          </w:p>
          <w:p w14:paraId="5C56C1FE" w14:textId="77777777" w:rsidR="00C97FF8" w:rsidRPr="000E597B" w:rsidRDefault="00C97FF8" w:rsidP="000E597B">
            <w:pPr>
              <w:ind w:firstLine="720"/>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tcPr>
          <w:p w14:paraId="0F29A0C5" w14:textId="77777777" w:rsidR="00EC0463" w:rsidRPr="00EC0463" w:rsidRDefault="00EC0463" w:rsidP="00EC0463">
            <w:pPr>
              <w:widowControl w:val="0"/>
              <w:jc w:val="both"/>
              <w:rPr>
                <w:b/>
              </w:rPr>
            </w:pPr>
            <w:r w:rsidRPr="00EC0463">
              <w:rPr>
                <w:b/>
              </w:rPr>
              <w:t>Labklājības ministrija</w:t>
            </w:r>
          </w:p>
          <w:p w14:paraId="36D242DA" w14:textId="410F8C7B" w:rsidR="00C97FF8" w:rsidRDefault="000E597B" w:rsidP="00AA0B01">
            <w:pPr>
              <w:pStyle w:val="BodyText2"/>
              <w:spacing w:line="240" w:lineRule="auto"/>
              <w:jc w:val="both"/>
              <w:rPr>
                <w:b/>
                <w:szCs w:val="22"/>
                <w:lang w:eastAsia="en-US"/>
              </w:rPr>
            </w:pPr>
            <w:r w:rsidRPr="00271B78">
              <w:t>attiecībā uz KP</w:t>
            </w:r>
            <w:r>
              <w:t xml:space="preserve"> </w:t>
            </w:r>
            <w:r w:rsidRPr="00271B78">
              <w:t xml:space="preserve">VIS procesu vienkāršošanu </w:t>
            </w:r>
            <w:r>
              <w:t xml:space="preserve">(informatīvā ziņojuma 28.lpp) </w:t>
            </w:r>
            <w:r w:rsidRPr="00271B78">
              <w:t xml:space="preserve">norādot, ka līdztekus šiem lietojamības uzlabojumiem atsevišķi finansējuma saņēmēji saskaras ar problēmām – proti, </w:t>
            </w:r>
            <w:r>
              <w:t xml:space="preserve">nodrošinot </w:t>
            </w:r>
            <w:r w:rsidRPr="00271B78">
              <w:t>automātisk</w:t>
            </w:r>
            <w:r>
              <w:t>u</w:t>
            </w:r>
            <w:r w:rsidRPr="00271B78">
              <w:t xml:space="preserve"> datu ielas</w:t>
            </w:r>
            <w:r>
              <w:t>īšanu</w:t>
            </w:r>
            <w:r w:rsidRPr="00271B78">
              <w:t xml:space="preserve"> no atbilstošajām valsts datu bāzēm, </w:t>
            </w:r>
            <w:r>
              <w:t>šie datu lauki tiek izslēgti no finansējuma saņēmējam pieejamiem datu laukiem</w:t>
            </w:r>
            <w:r w:rsidRPr="00271B78">
              <w:t xml:space="preserve"> un iepriekš finansējuma saņēmēja uzkrāt</w:t>
            </w:r>
            <w:r>
              <w:t>ā</w:t>
            </w:r>
            <w:r w:rsidRPr="00271B78">
              <w:t>/ievadīt</w:t>
            </w:r>
            <w:r>
              <w:t>ā</w:t>
            </w:r>
            <w:r w:rsidRPr="00271B78">
              <w:t xml:space="preserve"> informācija </w:t>
            </w:r>
            <w:r>
              <w:t xml:space="preserve">ir </w:t>
            </w:r>
            <w:r w:rsidRPr="00271B78">
              <w:t>dzē</w:t>
            </w:r>
            <w:r>
              <w:t>sta</w:t>
            </w:r>
            <w:r w:rsidRPr="00271B78">
              <w:t xml:space="preserve">. </w:t>
            </w:r>
            <w:r>
              <w:t>Ī</w:t>
            </w:r>
            <w:r w:rsidRPr="00271B78">
              <w:t>paši šī problēma ir aktuāla gadījumos, kad automātiski ielas</w:t>
            </w:r>
            <w:r>
              <w:t xml:space="preserve">āmos </w:t>
            </w:r>
            <w:r w:rsidRPr="00271B78">
              <w:t>dat</w:t>
            </w:r>
            <w:r>
              <w:t>u laukus finansējuma saņēmējs iepriekš ir izmantojis, lai fiksētu</w:t>
            </w:r>
            <w:r w:rsidRPr="00271B78">
              <w:t xml:space="preserve"> dalībnieka atbilstīb</w:t>
            </w:r>
            <w:r>
              <w:t>u</w:t>
            </w:r>
            <w:r w:rsidRPr="00271B78">
              <w:t xml:space="preserve"> mērķa grupai </w:t>
            </w:r>
            <w:r>
              <w:t>un uzkrātu informāciju par faktiem, kas to pierāda</w:t>
            </w:r>
            <w:r w:rsidRPr="00271B78">
              <w:t xml:space="preserve"> (LM šobrīd apzina tos savas pārziņas projektus, kurus šī problēma ir </w:t>
            </w:r>
            <w:proofErr w:type="spellStart"/>
            <w:r w:rsidRPr="00271B78">
              <w:t>skārusi</w:t>
            </w:r>
            <w:proofErr w:type="spellEnd"/>
            <w:r w:rsidRPr="00271B78">
              <w:t xml:space="preserve"> vissmagāk, informāciju iesniegsim Finanšu ministrijai un Centrālai finanšu līgumu aģentūrai atsevišķi)</w:t>
            </w:r>
            <w:r>
              <w:t>;</w:t>
            </w:r>
          </w:p>
        </w:tc>
        <w:tc>
          <w:tcPr>
            <w:tcW w:w="3402" w:type="dxa"/>
            <w:tcBorders>
              <w:top w:val="single" w:sz="4" w:space="0" w:color="auto"/>
              <w:left w:val="single" w:sz="4" w:space="0" w:color="auto"/>
              <w:bottom w:val="single" w:sz="4" w:space="0" w:color="auto"/>
              <w:right w:val="single" w:sz="4" w:space="0" w:color="auto"/>
            </w:tcBorders>
          </w:tcPr>
          <w:p w14:paraId="21B5EA63" w14:textId="77777777" w:rsidR="00F609FB" w:rsidRDefault="00A84221" w:rsidP="004C0BED">
            <w:pPr>
              <w:pStyle w:val="naisc"/>
              <w:spacing w:before="0" w:after="0"/>
              <w:jc w:val="both"/>
              <w:rPr>
                <w:b/>
                <w:lang w:eastAsia="en-US"/>
              </w:rPr>
            </w:pPr>
            <w:r>
              <w:rPr>
                <w:b/>
                <w:lang w:eastAsia="en-US"/>
              </w:rPr>
              <w:t>Ņ</w:t>
            </w:r>
            <w:r w:rsidRPr="00E87C26">
              <w:rPr>
                <w:b/>
                <w:lang w:eastAsia="en-US"/>
              </w:rPr>
              <w:t>emts vērā</w:t>
            </w:r>
          </w:p>
          <w:p w14:paraId="27A108B1" w14:textId="3650BB78" w:rsidR="004C0BED" w:rsidRPr="009F78EA" w:rsidRDefault="00F609FB" w:rsidP="004C0BED">
            <w:pPr>
              <w:pStyle w:val="naisc"/>
              <w:spacing w:before="0" w:after="0"/>
              <w:jc w:val="both"/>
              <w:rPr>
                <w:lang w:eastAsia="en-US"/>
              </w:rPr>
            </w:pPr>
            <w:r w:rsidRPr="009F78EA">
              <w:rPr>
                <w:lang w:eastAsia="en-US"/>
              </w:rPr>
              <w:t xml:space="preserve">Informatīvā ziņojuma </w:t>
            </w:r>
            <w:proofErr w:type="spellStart"/>
            <w:r w:rsidRPr="009F78EA">
              <w:rPr>
                <w:lang w:eastAsia="en-US"/>
              </w:rPr>
              <w:t>apakšsadaļa</w:t>
            </w:r>
            <w:proofErr w:type="spellEnd"/>
            <w:r w:rsidRPr="009F78EA">
              <w:rPr>
                <w:lang w:eastAsia="en-US"/>
              </w:rPr>
              <w:t xml:space="preserve"> </w:t>
            </w:r>
            <w:r w:rsidRPr="00F609FB">
              <w:t>“</w:t>
            </w:r>
            <w:r w:rsidRPr="009F78EA">
              <w:rPr>
                <w:lang w:eastAsia="en-US"/>
              </w:rPr>
              <w:t>ES fondu 2014. – 2020. gada plānošanas periods” papildināta</w:t>
            </w:r>
            <w:r w:rsidR="00387CF4">
              <w:rPr>
                <w:lang w:eastAsia="en-US"/>
              </w:rPr>
              <w:t>.</w:t>
            </w:r>
          </w:p>
          <w:p w14:paraId="60CFB126" w14:textId="00EDC87A" w:rsidR="00C97FF8" w:rsidRDefault="00C97FF8" w:rsidP="00246767">
            <w:pPr>
              <w:pStyle w:val="naisc"/>
              <w:jc w:val="both"/>
              <w:rPr>
                <w:b/>
                <w:lang w:eastAsia="en-US"/>
              </w:rPr>
            </w:pPr>
          </w:p>
        </w:tc>
        <w:tc>
          <w:tcPr>
            <w:tcW w:w="3544" w:type="dxa"/>
            <w:tcBorders>
              <w:top w:val="single" w:sz="4" w:space="0" w:color="auto"/>
              <w:left w:val="single" w:sz="4" w:space="0" w:color="auto"/>
              <w:bottom w:val="single" w:sz="4" w:space="0" w:color="auto"/>
              <w:right w:val="single" w:sz="4" w:space="0" w:color="auto"/>
            </w:tcBorders>
          </w:tcPr>
          <w:p w14:paraId="1ACBF771" w14:textId="4B2972FC" w:rsidR="00C97FF8" w:rsidRDefault="000A21E0" w:rsidP="000A21E0">
            <w:pPr>
              <w:pStyle w:val="Default"/>
              <w:jc w:val="both"/>
            </w:pPr>
            <w:r>
              <w:t xml:space="preserve">Skatīt informatīvā ziņojuma </w:t>
            </w:r>
            <w:proofErr w:type="spellStart"/>
            <w:r>
              <w:t>apakšsadaļu</w:t>
            </w:r>
            <w:proofErr w:type="spellEnd"/>
            <w:r w:rsidRPr="000A21E0">
              <w:t xml:space="preserve"> “ES fondu 2014. – 2020. gada plānošanas periods” </w:t>
            </w:r>
            <w:r w:rsidR="004923FF">
              <w:t>31</w:t>
            </w:r>
            <w:r>
              <w:t>.lpp.</w:t>
            </w:r>
          </w:p>
        </w:tc>
      </w:tr>
      <w:tr w:rsidR="00C97FF8" w14:paraId="66015CA2" w14:textId="77777777" w:rsidTr="0003166A">
        <w:trPr>
          <w:trHeight w:val="418"/>
        </w:trPr>
        <w:tc>
          <w:tcPr>
            <w:tcW w:w="704" w:type="dxa"/>
            <w:tcBorders>
              <w:top w:val="single" w:sz="4" w:space="0" w:color="auto"/>
              <w:left w:val="single" w:sz="4" w:space="0" w:color="auto"/>
              <w:bottom w:val="single" w:sz="4" w:space="0" w:color="auto"/>
              <w:right w:val="single" w:sz="4" w:space="0" w:color="auto"/>
            </w:tcBorders>
          </w:tcPr>
          <w:p w14:paraId="45FA787D" w14:textId="77777777" w:rsidR="00C97FF8" w:rsidRDefault="00C97FF8" w:rsidP="00C97FF8">
            <w:pPr>
              <w:pStyle w:val="naisc"/>
              <w:numPr>
                <w:ilvl w:val="0"/>
                <w:numId w:val="36"/>
              </w:numPr>
              <w:spacing w:before="0" w:after="0"/>
              <w:ind w:left="313"/>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01902C79" w14:textId="2C21E127" w:rsidR="000E597B" w:rsidRDefault="000E597B" w:rsidP="000E597B">
            <w:pPr>
              <w:jc w:val="both"/>
              <w:rPr>
                <w:rFonts w:eastAsiaTheme="minorHAnsi"/>
                <w:lang w:eastAsia="en-US"/>
              </w:rPr>
            </w:pPr>
            <w:r>
              <w:t>I</w:t>
            </w:r>
            <w:r w:rsidRPr="00271B78">
              <w:t>nformatīvā ziņojuma 7.sadaļā “ES fondu vadības un kontroles sistēma”</w:t>
            </w:r>
          </w:p>
          <w:p w14:paraId="34ED2229" w14:textId="1F731E5E" w:rsidR="00C97FF8" w:rsidRDefault="00C97FF8" w:rsidP="002823CA">
            <w:pPr>
              <w:jc w:val="both"/>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tcPr>
          <w:p w14:paraId="3F296C80" w14:textId="77777777" w:rsidR="00EC0463" w:rsidRPr="00EC0463" w:rsidRDefault="00EC0463" w:rsidP="00EC0463">
            <w:pPr>
              <w:widowControl w:val="0"/>
              <w:jc w:val="both"/>
              <w:rPr>
                <w:b/>
              </w:rPr>
            </w:pPr>
            <w:r w:rsidRPr="00EC0463">
              <w:rPr>
                <w:b/>
              </w:rPr>
              <w:t>Labklājības ministrija</w:t>
            </w:r>
          </w:p>
          <w:p w14:paraId="40801C4E" w14:textId="0DC4E16E" w:rsidR="00C97FF8" w:rsidRDefault="000E597B" w:rsidP="00AA0B01">
            <w:pPr>
              <w:widowControl w:val="0"/>
              <w:jc w:val="both"/>
            </w:pPr>
            <w:r>
              <w:t>informācijas nepārprotamībai attiecībā uz aktualizētajām un izstrādē esošajām vienas vienības metodikām, norādot to nosaukumu vai satura atklāstu, kā arī papildinot informatīvo ziņojumu (informatīvā ziņojuma 29.lpp) ar atbilstošu norādi uz t</w:t>
            </w:r>
            <w:r w:rsidR="00530CA5">
              <w:t>īmekļa vietni, kur pieejamas 2019. gada</w:t>
            </w:r>
            <w:r>
              <w:t>. 12.aprīlī apstiprinātās aktualizētās vienkāršoto izmaksu metodikas.</w:t>
            </w:r>
          </w:p>
        </w:tc>
        <w:tc>
          <w:tcPr>
            <w:tcW w:w="3402" w:type="dxa"/>
            <w:tcBorders>
              <w:top w:val="single" w:sz="4" w:space="0" w:color="auto"/>
              <w:left w:val="single" w:sz="4" w:space="0" w:color="auto"/>
              <w:bottom w:val="single" w:sz="4" w:space="0" w:color="auto"/>
              <w:right w:val="single" w:sz="4" w:space="0" w:color="auto"/>
            </w:tcBorders>
          </w:tcPr>
          <w:p w14:paraId="43BCF084" w14:textId="77777777" w:rsidR="0064073C" w:rsidRDefault="00E25FDA" w:rsidP="00AA0B01">
            <w:pPr>
              <w:pStyle w:val="naisc"/>
              <w:spacing w:before="0" w:after="0"/>
              <w:jc w:val="left"/>
            </w:pPr>
            <w:r>
              <w:rPr>
                <w:b/>
                <w:lang w:eastAsia="en-US"/>
              </w:rPr>
              <w:t>Ņemts vērā</w:t>
            </w:r>
            <w:r w:rsidR="0064073C">
              <w:t xml:space="preserve"> </w:t>
            </w:r>
          </w:p>
          <w:p w14:paraId="362E7D56" w14:textId="5FD18E21" w:rsidR="00E25FDA" w:rsidRPr="00E25FDA" w:rsidRDefault="0064073C" w:rsidP="009F78EA">
            <w:pPr>
              <w:pStyle w:val="naisc"/>
              <w:spacing w:before="0" w:after="0"/>
              <w:jc w:val="both"/>
              <w:rPr>
                <w:b/>
                <w:lang w:eastAsia="en-US"/>
              </w:rPr>
            </w:pPr>
            <w:r>
              <w:t>Informatīvajā ziņojumā pievienota norāde uz tīmekļa vietni, kur pieejamas 2019. gada 12.</w:t>
            </w:r>
            <w:r w:rsidR="00071188">
              <w:t> </w:t>
            </w:r>
            <w:r>
              <w:t>aprīlī apstiprinātās aktualizētās vienkāršoto izmaksu metodikas.</w:t>
            </w:r>
          </w:p>
        </w:tc>
        <w:tc>
          <w:tcPr>
            <w:tcW w:w="3544" w:type="dxa"/>
            <w:tcBorders>
              <w:top w:val="single" w:sz="4" w:space="0" w:color="auto"/>
              <w:left w:val="single" w:sz="4" w:space="0" w:color="auto"/>
              <w:bottom w:val="single" w:sz="4" w:space="0" w:color="auto"/>
              <w:right w:val="single" w:sz="4" w:space="0" w:color="auto"/>
            </w:tcBorders>
          </w:tcPr>
          <w:p w14:paraId="308B2B1A" w14:textId="7B08A12D" w:rsidR="00C97FF8" w:rsidRDefault="0064073C" w:rsidP="009F78EA">
            <w:pPr>
              <w:pStyle w:val="Default"/>
              <w:jc w:val="both"/>
            </w:pPr>
            <w:r>
              <w:t xml:space="preserve">Skatīt informatīvā ziņojuma </w:t>
            </w:r>
            <w:proofErr w:type="spellStart"/>
            <w:r>
              <w:t>apakšsadaļu</w:t>
            </w:r>
            <w:proofErr w:type="spellEnd"/>
            <w:r>
              <w:t xml:space="preserve"> “</w:t>
            </w:r>
            <w:r w:rsidRPr="0064073C">
              <w:t>Stiprināta normatīvā bāze un metodikas ES fondu ieviešanā</w:t>
            </w:r>
            <w:r>
              <w:t>”</w:t>
            </w:r>
            <w:r w:rsidR="000A21E0">
              <w:t xml:space="preserve"> 33.lpp.</w:t>
            </w:r>
          </w:p>
        </w:tc>
      </w:tr>
      <w:tr w:rsidR="001C3F61" w14:paraId="062E6ADF" w14:textId="77777777" w:rsidTr="0003166A">
        <w:trPr>
          <w:trHeight w:val="418"/>
        </w:trPr>
        <w:tc>
          <w:tcPr>
            <w:tcW w:w="704" w:type="dxa"/>
            <w:tcBorders>
              <w:top w:val="single" w:sz="4" w:space="0" w:color="auto"/>
              <w:left w:val="single" w:sz="4" w:space="0" w:color="auto"/>
              <w:bottom w:val="single" w:sz="4" w:space="0" w:color="auto"/>
              <w:right w:val="single" w:sz="4" w:space="0" w:color="auto"/>
            </w:tcBorders>
          </w:tcPr>
          <w:p w14:paraId="61B51F5E" w14:textId="77777777" w:rsidR="001C3F61" w:rsidRDefault="001C3F61" w:rsidP="00C97FF8">
            <w:pPr>
              <w:pStyle w:val="naisc"/>
              <w:numPr>
                <w:ilvl w:val="0"/>
                <w:numId w:val="36"/>
              </w:numPr>
              <w:spacing w:before="0" w:after="0"/>
              <w:ind w:left="313"/>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7C814DF5" w14:textId="1A24361D" w:rsidR="001C3F61" w:rsidRDefault="001C3F61" w:rsidP="001C3F61">
            <w:pPr>
              <w:jc w:val="both"/>
            </w:pPr>
            <w:r>
              <w:t>Informatīvā ziņojuma 6.sadaļā “</w:t>
            </w:r>
            <w:r w:rsidRPr="001C3F61">
              <w:t>Projektos konstatētie pārkāpumi ar finansiālu ietekmi</w:t>
            </w:r>
            <w:r>
              <w:t xml:space="preserve">” un </w:t>
            </w:r>
            <w:proofErr w:type="spellStart"/>
            <w:r>
              <w:t>protokollēmuma</w:t>
            </w:r>
            <w:proofErr w:type="spellEnd"/>
            <w:r>
              <w:t xml:space="preserve"> 2. punkts</w:t>
            </w:r>
          </w:p>
        </w:tc>
        <w:tc>
          <w:tcPr>
            <w:tcW w:w="5103" w:type="dxa"/>
            <w:tcBorders>
              <w:top w:val="single" w:sz="4" w:space="0" w:color="auto"/>
              <w:left w:val="single" w:sz="4" w:space="0" w:color="auto"/>
              <w:bottom w:val="single" w:sz="4" w:space="0" w:color="auto"/>
              <w:right w:val="single" w:sz="4" w:space="0" w:color="auto"/>
            </w:tcBorders>
          </w:tcPr>
          <w:p w14:paraId="145BD9C5" w14:textId="77777777" w:rsidR="001C3F61" w:rsidRDefault="001C3F61" w:rsidP="00EC0463">
            <w:pPr>
              <w:widowControl w:val="0"/>
              <w:jc w:val="both"/>
              <w:rPr>
                <w:b/>
              </w:rPr>
            </w:pPr>
            <w:r>
              <w:rPr>
                <w:b/>
              </w:rPr>
              <w:t>Tieslietu ministrija</w:t>
            </w:r>
          </w:p>
          <w:p w14:paraId="39F74C38" w14:textId="63D0F85B" w:rsidR="001C3F61" w:rsidRPr="00CC046D" w:rsidRDefault="001C3F61" w:rsidP="001C3F61">
            <w:pPr>
              <w:jc w:val="both"/>
              <w:rPr>
                <w:iCs/>
              </w:rPr>
            </w:pPr>
            <w:r w:rsidRPr="00CC046D">
              <w:rPr>
                <w:iCs/>
              </w:rPr>
              <w:t xml:space="preserve">Lūdzam ziņojuma 6. sadaļā 26. un 27. lpp. un lēmuma projekta 2. punktā savstarpēji saskaņot un konsekventi norādīt finansējuma apmēru, kuru paredzēts pārskaitīt </w:t>
            </w:r>
            <w:proofErr w:type="spellStart"/>
            <w:r w:rsidRPr="00CC046D">
              <w:rPr>
                <w:iCs/>
              </w:rPr>
              <w:t>donorvalstīm</w:t>
            </w:r>
            <w:proofErr w:type="spellEnd"/>
            <w:r w:rsidRPr="00CC046D">
              <w:rPr>
                <w:iCs/>
              </w:rPr>
              <w:t xml:space="preserve"> saskaņā ar lēmuma projekta 2.3. apakšpunktu, jo konkrētā summa ziņojumā nav norādīta konsekventi – vienuviet tā norādīta 1 204 150 </w:t>
            </w:r>
            <w:proofErr w:type="spellStart"/>
            <w:r w:rsidRPr="00CC046D">
              <w:rPr>
                <w:i/>
              </w:rPr>
              <w:t>euro</w:t>
            </w:r>
            <w:proofErr w:type="spellEnd"/>
            <w:r w:rsidRPr="00CC046D">
              <w:rPr>
                <w:iCs/>
              </w:rPr>
              <w:t>, bet citviet 1,2 milj. </w:t>
            </w:r>
            <w:proofErr w:type="spellStart"/>
            <w:r w:rsidRPr="00CC046D">
              <w:rPr>
                <w:i/>
              </w:rPr>
              <w:t>euro</w:t>
            </w:r>
            <w:proofErr w:type="spellEnd"/>
            <w:r w:rsidRPr="00CC046D">
              <w:rPr>
                <w:iCs/>
              </w:rPr>
              <w:t xml:space="preserve">. Tāpat līdzīgi lūdzam konsekventi norādīt konkrēto adresātu, kam attiecīgo finansējumu paredzēts pārskaitīt – </w:t>
            </w:r>
            <w:proofErr w:type="spellStart"/>
            <w:r w:rsidRPr="00CC046D">
              <w:rPr>
                <w:iCs/>
              </w:rPr>
              <w:t>donorvalstīm</w:t>
            </w:r>
            <w:proofErr w:type="spellEnd"/>
            <w:r w:rsidRPr="00CC046D">
              <w:rPr>
                <w:iCs/>
              </w:rPr>
              <w:t xml:space="preserve"> (ziņojumā papildus norādīts arī – donoriem) vai Finanšu instrumenta birojam.</w:t>
            </w:r>
          </w:p>
          <w:p w14:paraId="0798B707" w14:textId="3BB11ABF" w:rsidR="001C3F61" w:rsidRPr="00EC0463" w:rsidRDefault="001C3F61" w:rsidP="00EC0463">
            <w:pPr>
              <w:widowControl w:val="0"/>
              <w:jc w:val="both"/>
              <w:rPr>
                <w:b/>
              </w:rPr>
            </w:pPr>
          </w:p>
        </w:tc>
        <w:tc>
          <w:tcPr>
            <w:tcW w:w="3402" w:type="dxa"/>
            <w:tcBorders>
              <w:top w:val="single" w:sz="4" w:space="0" w:color="auto"/>
              <w:left w:val="single" w:sz="4" w:space="0" w:color="auto"/>
              <w:bottom w:val="single" w:sz="4" w:space="0" w:color="auto"/>
              <w:right w:val="single" w:sz="4" w:space="0" w:color="auto"/>
            </w:tcBorders>
          </w:tcPr>
          <w:p w14:paraId="064D1124" w14:textId="6AB28881" w:rsidR="004C0BED" w:rsidRDefault="00DB7A72" w:rsidP="004C0BED">
            <w:pPr>
              <w:pStyle w:val="naisc"/>
              <w:spacing w:before="0" w:after="0"/>
              <w:jc w:val="left"/>
              <w:rPr>
                <w:lang w:eastAsia="en-US"/>
              </w:rPr>
            </w:pPr>
            <w:r w:rsidRPr="00DB7A72">
              <w:rPr>
                <w:b/>
                <w:lang w:eastAsia="en-US"/>
              </w:rPr>
              <w:t>Ņemts vērā</w:t>
            </w:r>
          </w:p>
          <w:p w14:paraId="08B24750" w14:textId="3632983C" w:rsidR="00DB7A72" w:rsidRDefault="0064073C" w:rsidP="000A21E0">
            <w:pPr>
              <w:pStyle w:val="naisc"/>
              <w:spacing w:before="0" w:after="0"/>
              <w:jc w:val="both"/>
              <w:rPr>
                <w:lang w:eastAsia="en-US"/>
              </w:rPr>
            </w:pPr>
            <w:r>
              <w:t xml:space="preserve">Informatīvā ziņojumā precizēts finansējuma apmērs atbilstoši </w:t>
            </w:r>
            <w:proofErr w:type="spellStart"/>
            <w:r>
              <w:t>protokollēmumam</w:t>
            </w:r>
            <w:proofErr w:type="spellEnd"/>
            <w:r>
              <w:t xml:space="preserve"> uz </w:t>
            </w:r>
            <w:r w:rsidR="00387CF4">
              <w:t>1 </w:t>
            </w:r>
            <w:r w:rsidRPr="00700E99">
              <w:t>204</w:t>
            </w:r>
            <w:r w:rsidR="00071188">
              <w:t> </w:t>
            </w:r>
            <w:r w:rsidRPr="00700E99">
              <w:t>150</w:t>
            </w:r>
            <w:r w:rsidR="00387CF4">
              <w:rPr>
                <w:i/>
              </w:rPr>
              <w:t> </w:t>
            </w:r>
            <w:proofErr w:type="spellStart"/>
            <w:r w:rsidRPr="00700E99">
              <w:rPr>
                <w:i/>
              </w:rPr>
              <w:t>euro</w:t>
            </w:r>
            <w:proofErr w:type="spellEnd"/>
            <w:r>
              <w:t xml:space="preserve">, kā arī visā tekstā precizēts, ka </w:t>
            </w:r>
            <w:r w:rsidRPr="00700E99">
              <w:t>fin</w:t>
            </w:r>
            <w:r>
              <w:t xml:space="preserve">ansējumu paredzēts pārskaitīt </w:t>
            </w:r>
            <w:proofErr w:type="spellStart"/>
            <w:r w:rsidRPr="00700E99">
              <w:t>donorvalstīm</w:t>
            </w:r>
            <w:proofErr w:type="spellEnd"/>
            <w:r>
              <w:t>.</w:t>
            </w:r>
          </w:p>
        </w:tc>
        <w:tc>
          <w:tcPr>
            <w:tcW w:w="3544" w:type="dxa"/>
            <w:tcBorders>
              <w:top w:val="single" w:sz="4" w:space="0" w:color="auto"/>
              <w:left w:val="single" w:sz="4" w:space="0" w:color="auto"/>
              <w:bottom w:val="single" w:sz="4" w:space="0" w:color="auto"/>
              <w:right w:val="single" w:sz="4" w:space="0" w:color="auto"/>
            </w:tcBorders>
          </w:tcPr>
          <w:p w14:paraId="3A666B48" w14:textId="3F308CA2" w:rsidR="001C3F61" w:rsidRDefault="0064073C" w:rsidP="009F78EA">
            <w:pPr>
              <w:pStyle w:val="Default"/>
              <w:jc w:val="both"/>
            </w:pPr>
            <w:r>
              <w:t xml:space="preserve">Skatīt informatīvā ziņojuma </w:t>
            </w:r>
            <w:proofErr w:type="spellStart"/>
            <w:r>
              <w:t>apakšsadaļu</w:t>
            </w:r>
            <w:proofErr w:type="spellEnd"/>
            <w:r>
              <w:t xml:space="preserve"> “</w:t>
            </w:r>
            <w:r w:rsidRPr="0064073C">
              <w:t xml:space="preserve">EEZ/Norvēģijas finanšu instrumentu 2009.-2014. gada perioda atmaksas </w:t>
            </w:r>
            <w:proofErr w:type="spellStart"/>
            <w:r w:rsidRPr="0064073C">
              <w:t>donorvalstīm</w:t>
            </w:r>
            <w:proofErr w:type="spellEnd"/>
            <w:r>
              <w:t>”</w:t>
            </w:r>
            <w:r w:rsidR="000A21E0">
              <w:t xml:space="preserve"> 30-31.lpp.</w:t>
            </w:r>
          </w:p>
        </w:tc>
      </w:tr>
      <w:tr w:rsidR="001C3F61" w14:paraId="343BCE38" w14:textId="77777777" w:rsidTr="0003166A">
        <w:trPr>
          <w:trHeight w:val="418"/>
        </w:trPr>
        <w:tc>
          <w:tcPr>
            <w:tcW w:w="704" w:type="dxa"/>
            <w:tcBorders>
              <w:top w:val="single" w:sz="4" w:space="0" w:color="auto"/>
              <w:left w:val="single" w:sz="4" w:space="0" w:color="auto"/>
              <w:bottom w:val="single" w:sz="4" w:space="0" w:color="auto"/>
              <w:right w:val="single" w:sz="4" w:space="0" w:color="auto"/>
            </w:tcBorders>
          </w:tcPr>
          <w:p w14:paraId="33CF562A" w14:textId="77777777" w:rsidR="001C3F61" w:rsidRDefault="001C3F61" w:rsidP="00C97FF8">
            <w:pPr>
              <w:pStyle w:val="naisc"/>
              <w:numPr>
                <w:ilvl w:val="0"/>
                <w:numId w:val="36"/>
              </w:numPr>
              <w:spacing w:before="0" w:after="0"/>
              <w:ind w:left="313"/>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34294F04" w14:textId="49697FCA" w:rsidR="001C3F61" w:rsidRDefault="001C3F61" w:rsidP="001C3F61">
            <w:pPr>
              <w:jc w:val="both"/>
            </w:pPr>
            <w:r>
              <w:t xml:space="preserve">Informatīvā ziņojuma 6.sadaļā “Projektos konstatētie pārkāpumi ar finansiālu ietekmi” </w:t>
            </w:r>
          </w:p>
        </w:tc>
        <w:tc>
          <w:tcPr>
            <w:tcW w:w="5103" w:type="dxa"/>
            <w:tcBorders>
              <w:top w:val="single" w:sz="4" w:space="0" w:color="auto"/>
              <w:left w:val="single" w:sz="4" w:space="0" w:color="auto"/>
              <w:bottom w:val="single" w:sz="4" w:space="0" w:color="auto"/>
              <w:right w:val="single" w:sz="4" w:space="0" w:color="auto"/>
            </w:tcBorders>
          </w:tcPr>
          <w:p w14:paraId="076C004F" w14:textId="094BADB9" w:rsidR="001C3F61" w:rsidRPr="001C3F61" w:rsidRDefault="001C3F61" w:rsidP="001C3F61">
            <w:pPr>
              <w:rPr>
                <w:b/>
                <w:iCs/>
              </w:rPr>
            </w:pPr>
            <w:r w:rsidRPr="001C3F61">
              <w:rPr>
                <w:b/>
                <w:iCs/>
              </w:rPr>
              <w:t>Tieslietu ministrija</w:t>
            </w:r>
          </w:p>
          <w:p w14:paraId="2FC92A6A" w14:textId="0BDF0FC0" w:rsidR="001C3F61" w:rsidRPr="001C3F61" w:rsidRDefault="001C3F61" w:rsidP="001C3F61">
            <w:pPr>
              <w:jc w:val="both"/>
              <w:rPr>
                <w:iCs/>
              </w:rPr>
            </w:pPr>
            <w:r w:rsidRPr="00CC046D">
              <w:rPr>
                <w:iCs/>
              </w:rPr>
              <w:t xml:space="preserve">Vienlaikus lūdzam izvērtēt un nepieciešamības gadījumā precizēt ziņojuma 6. sadaļā 27. lpp. norādīto, ka </w:t>
            </w:r>
            <w:proofErr w:type="spellStart"/>
            <w:r w:rsidRPr="00CC046D">
              <w:rPr>
                <w:iCs/>
              </w:rPr>
              <w:t>donorvalstis</w:t>
            </w:r>
            <w:proofErr w:type="spellEnd"/>
            <w:r w:rsidRPr="00CC046D">
              <w:rPr>
                <w:iCs/>
              </w:rPr>
              <w:t xml:space="preserve"> var lemt par </w:t>
            </w:r>
            <w:r w:rsidRPr="00CC046D">
              <w:rPr>
                <w:iCs/>
                <w:u w:val="single"/>
              </w:rPr>
              <w:t>soda naudas</w:t>
            </w:r>
            <w:r w:rsidRPr="00CC046D">
              <w:rPr>
                <w:iCs/>
              </w:rPr>
              <w:t xml:space="preserve"> piemērošanu, jo</w:t>
            </w:r>
            <w:r w:rsidRPr="00CC046D">
              <w:t xml:space="preserve"> no </w:t>
            </w:r>
            <w:r w:rsidRPr="00CC046D">
              <w:rPr>
                <w:iCs/>
              </w:rPr>
              <w:t xml:space="preserve">Eiropas Ekonomikas zonas finanšu instrumenta komitejas 2011. gada 13. janvārī apstiprinātajiem noteikumiem par Eiropas Ekonomikas zonas finanšu instrumenta ieviešanu 2009.–2014. gadā </w:t>
            </w:r>
            <w:proofErr w:type="spellStart"/>
            <w:r w:rsidRPr="00CC046D">
              <w:rPr>
                <w:iCs/>
              </w:rPr>
              <w:t>pirmšķietami</w:t>
            </w:r>
            <w:proofErr w:type="spellEnd"/>
            <w:r w:rsidRPr="00CC046D">
              <w:rPr>
                <w:iCs/>
              </w:rPr>
              <w:t xml:space="preserve"> neizriet soda naudas piemērošanas iespēja.</w:t>
            </w:r>
          </w:p>
        </w:tc>
        <w:tc>
          <w:tcPr>
            <w:tcW w:w="3402" w:type="dxa"/>
            <w:tcBorders>
              <w:top w:val="single" w:sz="4" w:space="0" w:color="auto"/>
              <w:left w:val="single" w:sz="4" w:space="0" w:color="auto"/>
              <w:bottom w:val="single" w:sz="4" w:space="0" w:color="auto"/>
              <w:right w:val="single" w:sz="4" w:space="0" w:color="auto"/>
            </w:tcBorders>
          </w:tcPr>
          <w:p w14:paraId="3AADBD05" w14:textId="3B426F6E" w:rsidR="0031295C" w:rsidRPr="0031295C" w:rsidRDefault="0031295C" w:rsidP="00AA0B01">
            <w:pPr>
              <w:pStyle w:val="naisc"/>
              <w:spacing w:before="0" w:after="0"/>
              <w:jc w:val="left"/>
              <w:rPr>
                <w:b/>
                <w:lang w:eastAsia="en-US"/>
              </w:rPr>
            </w:pPr>
            <w:r w:rsidRPr="0031295C">
              <w:rPr>
                <w:b/>
                <w:lang w:eastAsia="en-US"/>
              </w:rPr>
              <w:t>Ņemts vērā</w:t>
            </w:r>
          </w:p>
          <w:p w14:paraId="536CF5CE" w14:textId="0A2052DF" w:rsidR="0031295C" w:rsidRDefault="0064073C" w:rsidP="000A21E0">
            <w:pPr>
              <w:pStyle w:val="naisc"/>
              <w:spacing w:before="0" w:after="0"/>
              <w:jc w:val="both"/>
              <w:rPr>
                <w:lang w:eastAsia="en-US"/>
              </w:rPr>
            </w:pPr>
            <w:r>
              <w:t>P</w:t>
            </w:r>
            <w:r w:rsidR="000A21E0">
              <w:t xml:space="preserve">recizēts Informatīvā ziņojuma </w:t>
            </w:r>
            <w:proofErr w:type="spellStart"/>
            <w:r w:rsidR="000A21E0">
              <w:t>apakšsadaļas</w:t>
            </w:r>
            <w:proofErr w:type="spellEnd"/>
            <w:r w:rsidR="00AC503C">
              <w:t xml:space="preserve"> </w:t>
            </w:r>
            <w:r w:rsidR="000A21E0">
              <w:t>“</w:t>
            </w:r>
            <w:r w:rsidR="000A21E0" w:rsidRPr="000A21E0">
              <w:t xml:space="preserve">EEZ/Norvēģijas finanšu instrumentu 2009.-2014. gada perioda atmaksas </w:t>
            </w:r>
            <w:proofErr w:type="spellStart"/>
            <w:r w:rsidR="000A21E0" w:rsidRPr="000A21E0">
              <w:t>donorvalstīm</w:t>
            </w:r>
            <w:proofErr w:type="spellEnd"/>
            <w:r w:rsidR="000A21E0">
              <w:t xml:space="preserve">” </w:t>
            </w:r>
            <w:r>
              <w:t>pēdējais teikums</w:t>
            </w:r>
            <w:r w:rsidR="000A21E0">
              <w:t>,</w:t>
            </w:r>
            <w:r>
              <w:t xml:space="preserve"> papildinot ar atsauci uz konkrētu </w:t>
            </w:r>
            <w:proofErr w:type="spellStart"/>
            <w:r>
              <w:t>donorvalstu</w:t>
            </w:r>
            <w:proofErr w:type="spellEnd"/>
            <w:r>
              <w:t xml:space="preserve"> noteikumu punktu, kurš atrunā nokavējuma naudas piemērošanu, kā arī zemsvītras atsaucē citēta </w:t>
            </w:r>
            <w:proofErr w:type="spellStart"/>
            <w:r>
              <w:t>donorvalstu</w:t>
            </w:r>
            <w:proofErr w:type="spellEnd"/>
            <w:r>
              <w:t xml:space="preserve"> </w:t>
            </w:r>
            <w:r>
              <w:lastRenderedPageBreak/>
              <w:t>noteikumu 12.5.panta 5.punkta daļa.</w:t>
            </w:r>
          </w:p>
        </w:tc>
        <w:tc>
          <w:tcPr>
            <w:tcW w:w="3544" w:type="dxa"/>
            <w:tcBorders>
              <w:top w:val="single" w:sz="4" w:space="0" w:color="auto"/>
              <w:left w:val="single" w:sz="4" w:space="0" w:color="auto"/>
              <w:bottom w:val="single" w:sz="4" w:space="0" w:color="auto"/>
              <w:right w:val="single" w:sz="4" w:space="0" w:color="auto"/>
            </w:tcBorders>
          </w:tcPr>
          <w:p w14:paraId="0146CFAC" w14:textId="77777777" w:rsidR="000A21E0" w:rsidRDefault="000A21E0" w:rsidP="000A21E0">
            <w:pPr>
              <w:pStyle w:val="Default"/>
              <w:jc w:val="both"/>
            </w:pPr>
            <w:r>
              <w:lastRenderedPageBreak/>
              <w:t xml:space="preserve">Skatīt informatīvā ziņojuma </w:t>
            </w:r>
            <w:proofErr w:type="spellStart"/>
            <w:r>
              <w:t>apakšsadaļu</w:t>
            </w:r>
            <w:proofErr w:type="spellEnd"/>
            <w:r>
              <w:t xml:space="preserve"> “ </w:t>
            </w:r>
            <w:r w:rsidRPr="000A21E0">
              <w:t xml:space="preserve">EEZ/Norvēģijas finanšu instrumentu 2009.-2014. gada perioda atmaksas </w:t>
            </w:r>
            <w:proofErr w:type="spellStart"/>
            <w:r w:rsidRPr="000A21E0">
              <w:t>donorvalstīm</w:t>
            </w:r>
            <w:proofErr w:type="spellEnd"/>
            <w:r>
              <w:t>” 31.lpp.</w:t>
            </w:r>
          </w:p>
          <w:p w14:paraId="161EBCC0" w14:textId="28525AC1" w:rsidR="001C3F61" w:rsidRDefault="001C3F61" w:rsidP="000A21E0">
            <w:pPr>
              <w:pStyle w:val="Default"/>
              <w:jc w:val="both"/>
            </w:pPr>
          </w:p>
        </w:tc>
      </w:tr>
      <w:tr w:rsidR="00F971AB" w14:paraId="60E4B742" w14:textId="77777777" w:rsidTr="00FE626D">
        <w:trPr>
          <w:trHeight w:val="418"/>
        </w:trPr>
        <w:tc>
          <w:tcPr>
            <w:tcW w:w="704" w:type="dxa"/>
            <w:vMerge w:val="restart"/>
            <w:tcBorders>
              <w:top w:val="single" w:sz="4" w:space="0" w:color="auto"/>
              <w:left w:val="single" w:sz="4" w:space="0" w:color="auto"/>
              <w:right w:val="single" w:sz="4" w:space="0" w:color="auto"/>
            </w:tcBorders>
          </w:tcPr>
          <w:p w14:paraId="0E67FF78" w14:textId="77777777" w:rsidR="00F971AB" w:rsidRDefault="00F971AB" w:rsidP="00F971AB">
            <w:pPr>
              <w:pStyle w:val="naisc"/>
              <w:numPr>
                <w:ilvl w:val="0"/>
                <w:numId w:val="36"/>
              </w:numPr>
              <w:spacing w:before="0" w:after="0"/>
              <w:ind w:left="313"/>
              <w:rPr>
                <w:lang w:eastAsia="en-US"/>
              </w:rPr>
            </w:pPr>
          </w:p>
        </w:tc>
        <w:tc>
          <w:tcPr>
            <w:tcW w:w="2835" w:type="dxa"/>
            <w:vMerge w:val="restart"/>
            <w:tcBorders>
              <w:top w:val="single" w:sz="4" w:space="0" w:color="auto"/>
              <w:left w:val="single" w:sz="4" w:space="0" w:color="auto"/>
              <w:right w:val="single" w:sz="4" w:space="0" w:color="auto"/>
            </w:tcBorders>
          </w:tcPr>
          <w:p w14:paraId="1BE35411" w14:textId="77777777" w:rsidR="00F971AB" w:rsidRDefault="00F971AB" w:rsidP="00F971AB">
            <w:pPr>
              <w:jc w:val="both"/>
            </w:pPr>
            <w:r w:rsidRPr="00F971AB">
              <w:t>Informatīvā ziņojuma 6.sadaļā “Projektos konstatētie pārkāpumi ar finansiālu ietekmi”</w:t>
            </w:r>
          </w:p>
          <w:p w14:paraId="765EEB1A" w14:textId="77777777" w:rsidR="00AE0B22" w:rsidRDefault="00AE0B22" w:rsidP="00F971AB">
            <w:pPr>
              <w:jc w:val="both"/>
            </w:pPr>
          </w:p>
          <w:p w14:paraId="46C06999" w14:textId="4F992582" w:rsidR="00AE0B22" w:rsidRPr="00AE0B22" w:rsidRDefault="00AE0B22" w:rsidP="00AE0B22">
            <w:pPr>
              <w:rPr>
                <w:b/>
              </w:rPr>
            </w:pPr>
            <w:r w:rsidRPr="00AE0B22">
              <w:rPr>
                <w:b/>
              </w:rPr>
              <w:t>Papildināts p</w:t>
            </w:r>
            <w:r>
              <w:rPr>
                <w:b/>
              </w:rPr>
              <w:t>ēc otrreiz</w:t>
            </w:r>
            <w:r w:rsidRPr="00AE0B22">
              <w:rPr>
                <w:b/>
              </w:rPr>
              <w:t>ējas saskaņošanas 2019. gada 23. augustā</w:t>
            </w:r>
            <w:r w:rsidR="00C90B3B">
              <w:rPr>
                <w:b/>
              </w:rPr>
              <w:t>, skatīt izziņas 10.1.punktu</w:t>
            </w:r>
          </w:p>
        </w:tc>
        <w:tc>
          <w:tcPr>
            <w:tcW w:w="5103" w:type="dxa"/>
            <w:tcBorders>
              <w:top w:val="single" w:sz="4" w:space="0" w:color="auto"/>
              <w:left w:val="single" w:sz="4" w:space="0" w:color="auto"/>
              <w:bottom w:val="single" w:sz="4" w:space="0" w:color="auto"/>
              <w:right w:val="single" w:sz="4" w:space="0" w:color="auto"/>
            </w:tcBorders>
          </w:tcPr>
          <w:p w14:paraId="3AFF22C9" w14:textId="77777777" w:rsidR="00F971AB" w:rsidRDefault="00F971AB" w:rsidP="00F971AB">
            <w:pPr>
              <w:rPr>
                <w:b/>
                <w:iCs/>
              </w:rPr>
            </w:pPr>
            <w:r w:rsidRPr="001C3F61">
              <w:rPr>
                <w:b/>
                <w:iCs/>
              </w:rPr>
              <w:t>Tieslietu ministrija</w:t>
            </w:r>
            <w:r>
              <w:rPr>
                <w:b/>
                <w:iCs/>
              </w:rPr>
              <w:t xml:space="preserve"> </w:t>
            </w:r>
          </w:p>
          <w:p w14:paraId="5E9FE59A" w14:textId="68E655DA" w:rsidR="00F971AB" w:rsidRPr="001C3F61" w:rsidRDefault="00F971AB" w:rsidP="00F971AB">
            <w:pPr>
              <w:jc w:val="both"/>
              <w:rPr>
                <w:b/>
                <w:iCs/>
              </w:rPr>
            </w:pPr>
            <w:r w:rsidRPr="001C3F61">
              <w:t xml:space="preserve">No ziņojuma 6. sadaļas izriet, ka atbilstoši Latvijas Investīciju un attīstības aģentūras un Ekonomikas ministrijas norādītajam projektā Nr. DMS/3.4.4.1.0/12/09/641 "Daudzdzīvokļu dzīvojamās mājas Teātra ielā 4, Balvi, energoefektivitātes paaugstināšana" procesa izdevumi neatbilstoši veikto izdevumu atgūšanai no daudzdzīvokļu mājas dzīvokļu īpašniekiem ievērojami pārsniedz sagaidāmos ieguvumus. Proti, tikai Latvijas Investīciju un attīstības aģentūrai nepieciešamie izdevumi, neņemot vērā citas budžeta iestādes un resursus, ir lielāki nekā atgūstamā summa, līdz ar to šāda līdzekļu izmantošana ir nelietderīga, un attiecīgi neatbilstoši veiktie izdevumi būtu jāuzskata par atgūtiem un jāattiecina uz Eiropas Savienības struktūrfondu un Kohēzijas fonda 2007.–2013. gada plānošanas perioda </w:t>
            </w:r>
            <w:proofErr w:type="spellStart"/>
            <w:r w:rsidRPr="001C3F61">
              <w:t>virssaistībām</w:t>
            </w:r>
            <w:proofErr w:type="spellEnd"/>
            <w:r w:rsidRPr="001C3F61">
              <w:t xml:space="preserve">. Ziņojumā norādītais sasaucas ar lēmuma projekta 3. punktu, no kura izriet atļauja Latvijas Investīciju un attīstības aģentūrai neturpināt finansējuma piedziņu no daudzdzīvokļu mājas dzīvokļu īpašniekiem par 26 892,28 </w:t>
            </w:r>
            <w:proofErr w:type="spellStart"/>
            <w:r w:rsidRPr="00A260D2">
              <w:rPr>
                <w:i/>
              </w:rPr>
              <w:t>euro</w:t>
            </w:r>
            <w:proofErr w:type="spellEnd"/>
            <w:r w:rsidRPr="001C3F61">
              <w:t xml:space="preserve"> projektā un attiecināt tos uz attiecīgā plānošanas perioda </w:t>
            </w:r>
            <w:proofErr w:type="spellStart"/>
            <w:r w:rsidRPr="001C3F61">
              <w:t>virssaistībām</w:t>
            </w:r>
            <w:proofErr w:type="spellEnd"/>
            <w:r w:rsidRPr="001C3F61">
              <w:t>. Tomēr vēršam uzmanību uz vairākiem apsvērumiem:</w:t>
            </w:r>
          </w:p>
        </w:tc>
        <w:tc>
          <w:tcPr>
            <w:tcW w:w="3402" w:type="dxa"/>
            <w:tcBorders>
              <w:top w:val="single" w:sz="4" w:space="0" w:color="auto"/>
              <w:left w:val="single" w:sz="4" w:space="0" w:color="auto"/>
              <w:bottom w:val="single" w:sz="4" w:space="0" w:color="auto"/>
              <w:right w:val="single" w:sz="4" w:space="0" w:color="auto"/>
            </w:tcBorders>
          </w:tcPr>
          <w:p w14:paraId="66B0327F" w14:textId="77777777" w:rsidR="00F971AB" w:rsidRPr="009F78EA" w:rsidRDefault="00F971AB" w:rsidP="00F971AB">
            <w:pPr>
              <w:pStyle w:val="naisc"/>
              <w:spacing w:before="0" w:after="0"/>
              <w:jc w:val="left"/>
              <w:rPr>
                <w:b/>
                <w:lang w:eastAsia="en-US"/>
              </w:rPr>
            </w:pPr>
            <w:r w:rsidRPr="009F78EA">
              <w:rPr>
                <w:b/>
                <w:lang w:eastAsia="en-US"/>
              </w:rPr>
              <w:t>Ņemts vērā</w:t>
            </w:r>
          </w:p>
          <w:p w14:paraId="108E3291" w14:textId="77777777" w:rsidR="00F971AB" w:rsidRDefault="00F971AB" w:rsidP="00F971AB">
            <w:pPr>
              <w:pStyle w:val="Default"/>
              <w:jc w:val="both"/>
            </w:pPr>
            <w:r w:rsidRPr="00E93582">
              <w:t xml:space="preserve">Informatīvā ziņojuma </w:t>
            </w:r>
            <w:proofErr w:type="spellStart"/>
            <w:r>
              <w:t>apakšsadaļā</w:t>
            </w:r>
            <w:proofErr w:type="spellEnd"/>
            <w:r>
              <w:t xml:space="preserve"> “</w:t>
            </w:r>
            <w:r w:rsidRPr="00E93582">
              <w:t>ES fondu 2007. – 2013. gada plānošanas periods</w:t>
            </w:r>
            <w:r>
              <w:t xml:space="preserve">” informācija par konkrēto projekta gadījumu ir papildināta, skaidrāk aprakstot Ekonomikas ministrijas (turpmāk – EM) un Latvijas Investīciju un attīstības aģentūras (turpmāk – LIAA) sniegto informāciju par situācijas būtību. </w:t>
            </w:r>
          </w:p>
          <w:p w14:paraId="3A36B05B" w14:textId="7F034713" w:rsidR="00F971AB" w:rsidRDefault="00F971AB" w:rsidP="00F971AB">
            <w:pPr>
              <w:pStyle w:val="Default"/>
              <w:jc w:val="both"/>
            </w:pPr>
            <w:r>
              <w:t>Elektroniski saskaņota ar EM</w:t>
            </w:r>
            <w:r w:rsidRPr="00F95459">
              <w:t xml:space="preserve"> un </w:t>
            </w:r>
            <w:r>
              <w:t>LIAA 16.08.2019.</w:t>
            </w:r>
          </w:p>
          <w:p w14:paraId="373828AD" w14:textId="59C19A0C" w:rsidR="00F971AB" w:rsidRPr="0031295C" w:rsidRDefault="00F971AB" w:rsidP="00F971AB">
            <w:pPr>
              <w:pStyle w:val="naisc"/>
              <w:spacing w:before="0" w:after="0"/>
              <w:jc w:val="left"/>
              <w:rPr>
                <w:b/>
                <w:lang w:eastAsia="en-US"/>
              </w:rPr>
            </w:pPr>
          </w:p>
        </w:tc>
        <w:tc>
          <w:tcPr>
            <w:tcW w:w="3544" w:type="dxa"/>
            <w:tcBorders>
              <w:top w:val="single" w:sz="4" w:space="0" w:color="auto"/>
              <w:left w:val="single" w:sz="4" w:space="0" w:color="auto"/>
              <w:bottom w:val="single" w:sz="4" w:space="0" w:color="auto"/>
              <w:right w:val="single" w:sz="4" w:space="0" w:color="auto"/>
            </w:tcBorders>
          </w:tcPr>
          <w:p w14:paraId="007D45A0" w14:textId="1DE8B01A" w:rsidR="00F971AB" w:rsidRDefault="00F971AB" w:rsidP="00F971AB">
            <w:pPr>
              <w:pStyle w:val="Default"/>
              <w:jc w:val="both"/>
            </w:pPr>
            <w:r w:rsidRPr="00F971AB">
              <w:t xml:space="preserve">Skatīt informatīvā ziņojuma </w:t>
            </w:r>
            <w:proofErr w:type="spellStart"/>
            <w:r w:rsidRPr="00F971AB">
              <w:t>apakšsadaļu</w:t>
            </w:r>
            <w:proofErr w:type="spellEnd"/>
            <w:r w:rsidRPr="00F971AB">
              <w:t xml:space="preserve"> “ES fondu 2007. – 2</w:t>
            </w:r>
            <w:r w:rsidR="005A384D">
              <w:t>013. gada plānošanas periods” 27-29</w:t>
            </w:r>
            <w:r w:rsidRPr="00F971AB">
              <w:t>.lpp.</w:t>
            </w:r>
          </w:p>
        </w:tc>
      </w:tr>
      <w:tr w:rsidR="00F971AB" w14:paraId="559DD85C" w14:textId="77777777" w:rsidTr="0003166A">
        <w:trPr>
          <w:trHeight w:val="418"/>
        </w:trPr>
        <w:tc>
          <w:tcPr>
            <w:tcW w:w="704" w:type="dxa"/>
            <w:vMerge/>
            <w:tcBorders>
              <w:left w:val="single" w:sz="4" w:space="0" w:color="auto"/>
              <w:right w:val="single" w:sz="4" w:space="0" w:color="auto"/>
            </w:tcBorders>
          </w:tcPr>
          <w:p w14:paraId="20F3280C" w14:textId="77777777" w:rsidR="00F971AB" w:rsidRDefault="00F971AB" w:rsidP="00F971AB">
            <w:pPr>
              <w:pStyle w:val="naisc"/>
              <w:spacing w:before="0" w:after="0"/>
              <w:ind w:left="313"/>
              <w:jc w:val="left"/>
              <w:rPr>
                <w:lang w:eastAsia="en-US"/>
              </w:rPr>
            </w:pPr>
          </w:p>
        </w:tc>
        <w:tc>
          <w:tcPr>
            <w:tcW w:w="2835" w:type="dxa"/>
            <w:vMerge/>
            <w:tcBorders>
              <w:left w:val="single" w:sz="4" w:space="0" w:color="auto"/>
              <w:right w:val="single" w:sz="4" w:space="0" w:color="auto"/>
            </w:tcBorders>
          </w:tcPr>
          <w:p w14:paraId="2B542AC1" w14:textId="77777777" w:rsidR="00F971AB" w:rsidRDefault="00F971AB" w:rsidP="00F971AB">
            <w:pPr>
              <w:jc w:val="both"/>
            </w:pPr>
          </w:p>
        </w:tc>
        <w:tc>
          <w:tcPr>
            <w:tcW w:w="5103" w:type="dxa"/>
            <w:tcBorders>
              <w:top w:val="single" w:sz="4" w:space="0" w:color="auto"/>
              <w:left w:val="single" w:sz="4" w:space="0" w:color="auto"/>
              <w:bottom w:val="single" w:sz="4" w:space="0" w:color="auto"/>
              <w:right w:val="single" w:sz="4" w:space="0" w:color="auto"/>
            </w:tcBorders>
          </w:tcPr>
          <w:p w14:paraId="56F8F226" w14:textId="0041B64E" w:rsidR="00F971AB" w:rsidRPr="003D4DDD" w:rsidRDefault="00F971AB" w:rsidP="00F971AB">
            <w:pPr>
              <w:widowControl w:val="0"/>
              <w:jc w:val="both"/>
              <w:rPr>
                <w:highlight w:val="yellow"/>
              </w:rPr>
            </w:pPr>
            <w:r w:rsidRPr="002450CE">
              <w:t xml:space="preserve">pirmkārt, no normatīvajiem aktiem </w:t>
            </w:r>
            <w:proofErr w:type="spellStart"/>
            <w:r w:rsidRPr="002450CE">
              <w:t>pirmšķietami</w:t>
            </w:r>
            <w:proofErr w:type="spellEnd"/>
            <w:r w:rsidRPr="002450CE">
              <w:t xml:space="preserve"> neizriet sadarbības iestādes un atbildīgās iestādes rīcības brīvība, izlemjot jautājumu par neatbilstoši veikto izdevumu atgūšanu. Tieši otrādi, no Eiropas Savienības struktūrfondu un Kohēzijas fonda vadības likuma (19. panta ceturtā daļa, 24. un 25. pants) un Ministru kabineta 2010. gada 10. augusta </w:t>
            </w:r>
            <w:r w:rsidRPr="002450CE">
              <w:lastRenderedPageBreak/>
              <w:t>noteikumiem Nr. 740 "Kārtība, kādā ziņo par Eiropas Savienības struktūrfondu un Kohēzijas fonda ieviešanā konstatētajām neatbilstībām, pieņem lēmumu par piešķirtā finansējuma izlietojumu un atgūst neatbilstošos izdevumus" (25. punkts) nepārprotami izriet minēto iestāžu pienākums, iestājoties eventuāliem priekšnoteikumiem, ieturēt, norakstīt vai atgūt neatbilstoši veiktos izdevumus. Attiecīgi nav saprotams tiesiskais pamats neatbilstošo izdevumu neatgūšanai konkrētajā gadījumā;</w:t>
            </w:r>
          </w:p>
        </w:tc>
        <w:tc>
          <w:tcPr>
            <w:tcW w:w="3402" w:type="dxa"/>
            <w:tcBorders>
              <w:left w:val="single" w:sz="4" w:space="0" w:color="auto"/>
              <w:right w:val="single" w:sz="4" w:space="0" w:color="auto"/>
            </w:tcBorders>
          </w:tcPr>
          <w:p w14:paraId="65F2C7AD" w14:textId="39E4899C" w:rsidR="00F971AB" w:rsidRDefault="00F971AB" w:rsidP="00F971AB">
            <w:pPr>
              <w:pStyle w:val="naisc"/>
              <w:jc w:val="both"/>
              <w:rPr>
                <w:lang w:eastAsia="en-US"/>
              </w:rPr>
            </w:pPr>
            <w:r>
              <w:rPr>
                <w:lang w:eastAsia="en-US"/>
              </w:rPr>
              <w:lastRenderedPageBreak/>
              <w:t xml:space="preserve">Skaidrojam, ka atbilstoši Publiskas personas finanšu līdzekļu un mantas izšķērdēšanas novēršanas likuma 3.pantam, Publiska persona, kā arī kapitālsabiedrība rīkojas ar </w:t>
            </w:r>
            <w:r>
              <w:rPr>
                <w:lang w:eastAsia="en-US"/>
              </w:rPr>
              <w:lastRenderedPageBreak/>
              <w:t>finanšu līdzekļiem un mantu lietderīgi, tas ir:</w:t>
            </w:r>
          </w:p>
          <w:p w14:paraId="4FD85EC5" w14:textId="77777777" w:rsidR="00F971AB" w:rsidRDefault="00F971AB" w:rsidP="00F971AB">
            <w:pPr>
              <w:pStyle w:val="naisc"/>
              <w:numPr>
                <w:ilvl w:val="0"/>
                <w:numId w:val="39"/>
              </w:numPr>
              <w:ind w:left="320"/>
              <w:jc w:val="both"/>
              <w:rPr>
                <w:lang w:eastAsia="en-US"/>
              </w:rPr>
            </w:pPr>
            <w:r>
              <w:rPr>
                <w:lang w:eastAsia="en-US"/>
              </w:rPr>
              <w:t>rīcībai jābūt tādai, lai mērķi sasniegtu ar mazāko finanšu līdzekļu un mantas izlietojumu;</w:t>
            </w:r>
          </w:p>
          <w:p w14:paraId="727A7AEE" w14:textId="77777777" w:rsidR="00F971AB" w:rsidRDefault="00F971AB" w:rsidP="00F971AB">
            <w:pPr>
              <w:pStyle w:val="naisc"/>
              <w:numPr>
                <w:ilvl w:val="0"/>
                <w:numId w:val="39"/>
              </w:numPr>
              <w:ind w:left="320"/>
              <w:jc w:val="both"/>
              <w:rPr>
                <w:lang w:eastAsia="en-US"/>
              </w:rPr>
            </w:pPr>
            <w:r>
              <w:rPr>
                <w:lang w:eastAsia="en-US"/>
              </w:rPr>
              <w:t>manta atsavināma un nododama īpašumā vai lietošanā citai personai par iespējami augstāku cenu;</w:t>
            </w:r>
          </w:p>
          <w:p w14:paraId="50BCCF85" w14:textId="554FD3BA" w:rsidR="00F971AB" w:rsidRDefault="00F971AB" w:rsidP="00F971AB">
            <w:pPr>
              <w:pStyle w:val="naisc"/>
              <w:numPr>
                <w:ilvl w:val="0"/>
                <w:numId w:val="39"/>
              </w:numPr>
              <w:ind w:left="320"/>
              <w:jc w:val="both"/>
              <w:rPr>
                <w:lang w:eastAsia="en-US"/>
              </w:rPr>
            </w:pPr>
            <w:r>
              <w:rPr>
                <w:lang w:eastAsia="en-US"/>
              </w:rPr>
              <w:t>manta iegūstama īpašumā vai lietošanā par izdevīgāko cenu.</w:t>
            </w:r>
          </w:p>
          <w:p w14:paraId="276E72F3" w14:textId="70BCBBDF" w:rsidR="00F971AB" w:rsidRDefault="00F971AB" w:rsidP="00F971AB">
            <w:pPr>
              <w:pStyle w:val="naisc"/>
              <w:spacing w:before="0" w:after="0"/>
              <w:jc w:val="both"/>
              <w:rPr>
                <w:lang w:eastAsia="en-US"/>
              </w:rPr>
            </w:pPr>
            <w:r>
              <w:rPr>
                <w:lang w:eastAsia="en-US"/>
              </w:rPr>
              <w:t>Ņemot vērā iepriekš minēto, no daudzdzīvokļu mājas dzīvokļu īpašniekiem nav l</w:t>
            </w:r>
            <w:r w:rsidR="00EB38C4">
              <w:rPr>
                <w:lang w:eastAsia="en-US"/>
              </w:rPr>
              <w:t xml:space="preserve">ietderīgi tiesas ceļā atgūt 26892,28 </w:t>
            </w:r>
            <w:proofErr w:type="spellStart"/>
            <w:r w:rsidRPr="002450CE">
              <w:rPr>
                <w:i/>
                <w:lang w:eastAsia="en-US"/>
              </w:rPr>
              <w:t>euro</w:t>
            </w:r>
            <w:proofErr w:type="spellEnd"/>
            <w:r>
              <w:rPr>
                <w:lang w:eastAsia="en-US"/>
              </w:rPr>
              <w:t>, jo izdevumi līdzekļu atgūšanai pārsniedz pat 2 reizes, kas nebūtu uzskatāma par lietderīgu un efektīvāko publisko līdzekļu labākās izmantošanas un neizšķērdēšanas risinājumu.</w:t>
            </w:r>
          </w:p>
        </w:tc>
        <w:tc>
          <w:tcPr>
            <w:tcW w:w="3544" w:type="dxa"/>
            <w:tcBorders>
              <w:left w:val="single" w:sz="4" w:space="0" w:color="auto"/>
              <w:right w:val="single" w:sz="4" w:space="0" w:color="auto"/>
            </w:tcBorders>
          </w:tcPr>
          <w:p w14:paraId="533C9145" w14:textId="792D0F05" w:rsidR="00F971AB" w:rsidRDefault="00F971AB" w:rsidP="00F971AB">
            <w:pPr>
              <w:pStyle w:val="Default"/>
              <w:jc w:val="both"/>
            </w:pPr>
            <w:r w:rsidRPr="00F971AB">
              <w:lastRenderedPageBreak/>
              <w:t xml:space="preserve">Skatīt informatīvā ziņojuma </w:t>
            </w:r>
            <w:proofErr w:type="spellStart"/>
            <w:r w:rsidRPr="00F971AB">
              <w:t>apakšsadaļu</w:t>
            </w:r>
            <w:proofErr w:type="spellEnd"/>
            <w:r w:rsidRPr="00F971AB">
              <w:t xml:space="preserve"> “ES fondu 2007. – 2013. gada plānošanas periods” 28-33.lpp.</w:t>
            </w:r>
          </w:p>
        </w:tc>
      </w:tr>
      <w:tr w:rsidR="00F971AB" w14:paraId="4F9456DA" w14:textId="77777777" w:rsidTr="0003166A">
        <w:trPr>
          <w:trHeight w:val="418"/>
        </w:trPr>
        <w:tc>
          <w:tcPr>
            <w:tcW w:w="704" w:type="dxa"/>
            <w:vMerge/>
            <w:tcBorders>
              <w:left w:val="single" w:sz="4" w:space="0" w:color="auto"/>
              <w:right w:val="single" w:sz="4" w:space="0" w:color="auto"/>
            </w:tcBorders>
          </w:tcPr>
          <w:p w14:paraId="3E7F4ECE" w14:textId="77777777" w:rsidR="00F971AB" w:rsidRDefault="00F971AB" w:rsidP="00F971AB">
            <w:pPr>
              <w:pStyle w:val="naisc"/>
              <w:spacing w:before="0" w:after="0"/>
              <w:ind w:left="313"/>
              <w:jc w:val="left"/>
              <w:rPr>
                <w:lang w:eastAsia="en-US"/>
              </w:rPr>
            </w:pPr>
          </w:p>
        </w:tc>
        <w:tc>
          <w:tcPr>
            <w:tcW w:w="2835" w:type="dxa"/>
            <w:vMerge/>
            <w:tcBorders>
              <w:left w:val="single" w:sz="4" w:space="0" w:color="auto"/>
              <w:right w:val="single" w:sz="4" w:space="0" w:color="auto"/>
            </w:tcBorders>
          </w:tcPr>
          <w:p w14:paraId="34FF114C" w14:textId="77777777" w:rsidR="00F971AB" w:rsidRDefault="00F971AB" w:rsidP="00F971AB">
            <w:pPr>
              <w:jc w:val="both"/>
            </w:pPr>
          </w:p>
        </w:tc>
        <w:tc>
          <w:tcPr>
            <w:tcW w:w="5103" w:type="dxa"/>
            <w:tcBorders>
              <w:top w:val="single" w:sz="4" w:space="0" w:color="auto"/>
              <w:left w:val="single" w:sz="4" w:space="0" w:color="auto"/>
              <w:bottom w:val="single" w:sz="4" w:space="0" w:color="auto"/>
              <w:right w:val="single" w:sz="4" w:space="0" w:color="auto"/>
            </w:tcBorders>
          </w:tcPr>
          <w:p w14:paraId="38476FFE" w14:textId="637010E4" w:rsidR="00F971AB" w:rsidRPr="00DB6DBE" w:rsidRDefault="00F971AB" w:rsidP="00F971AB">
            <w:pPr>
              <w:jc w:val="both"/>
              <w:rPr>
                <w:iCs/>
              </w:rPr>
            </w:pPr>
            <w:r w:rsidRPr="00CC046D">
              <w:rPr>
                <w:iCs/>
              </w:rPr>
              <w:t>otrkārt, vēršam uzmanību, ka</w:t>
            </w:r>
            <w:r w:rsidRPr="00CC046D">
              <w:t xml:space="preserve"> </w:t>
            </w:r>
            <w:r w:rsidRPr="00CC046D">
              <w:rPr>
                <w:iCs/>
              </w:rPr>
              <w:t xml:space="preserve">nacionālo tiesību izpratnē ar </w:t>
            </w:r>
            <w:proofErr w:type="spellStart"/>
            <w:r w:rsidRPr="00CC046D">
              <w:rPr>
                <w:iCs/>
              </w:rPr>
              <w:t>virssaistībām</w:t>
            </w:r>
            <w:proofErr w:type="spellEnd"/>
            <w:r w:rsidRPr="00CC046D">
              <w:rPr>
                <w:iCs/>
              </w:rPr>
              <w:t xml:space="preserve"> tiek saprastas saistības veikt maksājumus no valsts budžeta attiecināmo izdevumu segšanai, kas pārsniedz Eiropas Savienības fonda finansējuma un attiecināmā valsts budžeta līdzfinansējuma summu, tādēļ, ja konkrētie izdevumi 26 892,28 </w:t>
            </w:r>
            <w:proofErr w:type="spellStart"/>
            <w:r w:rsidRPr="00CC046D">
              <w:rPr>
                <w:i/>
              </w:rPr>
              <w:t>euro</w:t>
            </w:r>
            <w:proofErr w:type="spellEnd"/>
            <w:r>
              <w:rPr>
                <w:iCs/>
              </w:rPr>
              <w:t>,</w:t>
            </w:r>
            <w:r w:rsidRPr="00CC046D">
              <w:rPr>
                <w:iCs/>
              </w:rPr>
              <w:t xml:space="preserve"> nav uzskatāmi par attiecināmiem, tad līdz ar to pastāv pamats apšaubīt šādu izdevumu attiecināšanas uz </w:t>
            </w:r>
            <w:proofErr w:type="spellStart"/>
            <w:r w:rsidRPr="00CC046D">
              <w:rPr>
                <w:iCs/>
              </w:rPr>
              <w:t>virssaistībām</w:t>
            </w:r>
            <w:proofErr w:type="spellEnd"/>
            <w:r w:rsidRPr="00CC046D">
              <w:rPr>
                <w:iCs/>
              </w:rPr>
              <w:t xml:space="preserve"> pamatotību;</w:t>
            </w:r>
          </w:p>
        </w:tc>
        <w:tc>
          <w:tcPr>
            <w:tcW w:w="3402" w:type="dxa"/>
            <w:tcBorders>
              <w:left w:val="single" w:sz="4" w:space="0" w:color="auto"/>
              <w:right w:val="single" w:sz="4" w:space="0" w:color="auto"/>
            </w:tcBorders>
          </w:tcPr>
          <w:p w14:paraId="27A045E2" w14:textId="6163B497" w:rsidR="00F971AB" w:rsidRDefault="00F971AB" w:rsidP="00F971AB">
            <w:pPr>
              <w:pStyle w:val="naisc"/>
              <w:spacing w:before="0" w:after="0"/>
              <w:jc w:val="both"/>
              <w:rPr>
                <w:lang w:eastAsia="en-US"/>
              </w:rPr>
            </w:pPr>
            <w:r>
              <w:rPr>
                <w:lang w:eastAsia="en-US"/>
              </w:rPr>
              <w:t>Skaidrojam, ka</w:t>
            </w:r>
            <w:r>
              <w:t xml:space="preserve"> </w:t>
            </w:r>
            <w:r>
              <w:rPr>
                <w:lang w:eastAsia="en-US"/>
              </w:rPr>
              <w:t xml:space="preserve">neatbilstoši veikto izdevumi </w:t>
            </w:r>
            <w:r w:rsidRPr="00997FCB">
              <w:rPr>
                <w:lang w:eastAsia="en-US"/>
              </w:rPr>
              <w:t xml:space="preserve">26 892,28 </w:t>
            </w:r>
            <w:proofErr w:type="spellStart"/>
            <w:r w:rsidRPr="003D4DDD">
              <w:rPr>
                <w:i/>
                <w:lang w:eastAsia="en-US"/>
              </w:rPr>
              <w:t>euro</w:t>
            </w:r>
            <w:proofErr w:type="spellEnd"/>
            <w:r>
              <w:rPr>
                <w:i/>
                <w:lang w:eastAsia="en-US"/>
              </w:rPr>
              <w:t xml:space="preserve">, </w:t>
            </w:r>
            <w:r w:rsidRPr="003D4DDD">
              <w:rPr>
                <w:lang w:eastAsia="en-US"/>
              </w:rPr>
              <w:t xml:space="preserve">ko </w:t>
            </w:r>
            <w:r>
              <w:rPr>
                <w:lang w:eastAsia="en-US"/>
              </w:rPr>
              <w:t xml:space="preserve">EM un LIAA ierosina kā izņēmuma gadījumu segt no </w:t>
            </w:r>
            <w:r w:rsidRPr="00997FCB">
              <w:rPr>
                <w:lang w:eastAsia="en-US"/>
              </w:rPr>
              <w:t>valsts budžeta līdzekļiem</w:t>
            </w:r>
            <w:r>
              <w:rPr>
                <w:lang w:eastAsia="en-US"/>
              </w:rPr>
              <w:t xml:space="preserve">, ir tiešā veidā saistīti projekta izdevumiem, t.i. šī summa ir izmaksāta projektā kā avansa maksājums saskaņā ar starp LIAA un projekta īstenotāju noslēgto līgumu par projekta </w:t>
            </w:r>
            <w:r>
              <w:rPr>
                <w:lang w:eastAsia="en-US"/>
              </w:rPr>
              <w:lastRenderedPageBreak/>
              <w:t xml:space="preserve">īstenošanu. Informatīvā ziņojuma redakcija papildināta, skaidrāk aprakstot projekta situāciju. </w:t>
            </w:r>
          </w:p>
        </w:tc>
        <w:tc>
          <w:tcPr>
            <w:tcW w:w="3544" w:type="dxa"/>
            <w:tcBorders>
              <w:left w:val="single" w:sz="4" w:space="0" w:color="auto"/>
              <w:right w:val="single" w:sz="4" w:space="0" w:color="auto"/>
            </w:tcBorders>
          </w:tcPr>
          <w:p w14:paraId="4AA5A413" w14:textId="59F61640" w:rsidR="00F971AB" w:rsidRDefault="00F971AB" w:rsidP="00F971AB">
            <w:pPr>
              <w:pStyle w:val="Default"/>
              <w:jc w:val="both"/>
            </w:pPr>
            <w:r>
              <w:lastRenderedPageBreak/>
              <w:t xml:space="preserve">Skatīt informatīvā ziņojuma </w:t>
            </w:r>
            <w:proofErr w:type="spellStart"/>
            <w:r>
              <w:t>apakšsadaļu</w:t>
            </w:r>
            <w:proofErr w:type="spellEnd"/>
            <w:r w:rsidRPr="003D4DDD">
              <w:t xml:space="preserve"> “ES fondu 2007. – 2013. gada plānošanas periods”</w:t>
            </w:r>
            <w:r w:rsidR="005A384D">
              <w:t xml:space="preserve"> 27-29</w:t>
            </w:r>
            <w:r>
              <w:t>.lpp.</w:t>
            </w:r>
          </w:p>
        </w:tc>
      </w:tr>
      <w:tr w:rsidR="00F971AB" w14:paraId="5086D905" w14:textId="77777777" w:rsidTr="0003166A">
        <w:trPr>
          <w:trHeight w:val="418"/>
        </w:trPr>
        <w:tc>
          <w:tcPr>
            <w:tcW w:w="704" w:type="dxa"/>
            <w:vMerge/>
            <w:tcBorders>
              <w:left w:val="single" w:sz="4" w:space="0" w:color="auto"/>
              <w:right w:val="single" w:sz="4" w:space="0" w:color="auto"/>
            </w:tcBorders>
          </w:tcPr>
          <w:p w14:paraId="5F8D195B" w14:textId="77777777" w:rsidR="00F971AB" w:rsidRDefault="00F971AB" w:rsidP="00F971AB">
            <w:pPr>
              <w:pStyle w:val="naisc"/>
              <w:spacing w:before="0" w:after="0"/>
              <w:ind w:left="313"/>
              <w:jc w:val="left"/>
              <w:rPr>
                <w:lang w:eastAsia="en-US"/>
              </w:rPr>
            </w:pPr>
          </w:p>
        </w:tc>
        <w:tc>
          <w:tcPr>
            <w:tcW w:w="2835" w:type="dxa"/>
            <w:vMerge/>
            <w:tcBorders>
              <w:left w:val="single" w:sz="4" w:space="0" w:color="auto"/>
              <w:right w:val="single" w:sz="4" w:space="0" w:color="auto"/>
            </w:tcBorders>
          </w:tcPr>
          <w:p w14:paraId="43129F9C" w14:textId="77777777" w:rsidR="00F971AB" w:rsidRDefault="00F971AB" w:rsidP="00F971AB">
            <w:pPr>
              <w:jc w:val="both"/>
            </w:pPr>
          </w:p>
        </w:tc>
        <w:tc>
          <w:tcPr>
            <w:tcW w:w="5103" w:type="dxa"/>
            <w:tcBorders>
              <w:top w:val="single" w:sz="4" w:space="0" w:color="auto"/>
              <w:left w:val="single" w:sz="4" w:space="0" w:color="auto"/>
              <w:bottom w:val="single" w:sz="4" w:space="0" w:color="auto"/>
              <w:right w:val="single" w:sz="4" w:space="0" w:color="auto"/>
            </w:tcBorders>
          </w:tcPr>
          <w:p w14:paraId="3C820A06" w14:textId="4FCFEA7B" w:rsidR="00F971AB" w:rsidRPr="00EC0463" w:rsidRDefault="00F971AB" w:rsidP="00F971AB">
            <w:pPr>
              <w:widowControl w:val="0"/>
              <w:jc w:val="both"/>
              <w:rPr>
                <w:b/>
              </w:rPr>
            </w:pPr>
            <w:r w:rsidRPr="00CC046D">
              <w:rPr>
                <w:iCs/>
              </w:rPr>
              <w:t>treškārt, no ziņojuma neizriet pamatots un aprēķinos balstīts skaidrojums, kādēļ S</w:t>
            </w:r>
            <w:r>
              <w:rPr>
                <w:iCs/>
              </w:rPr>
              <w:t>abiedrība ar ierobežotu atbildību</w:t>
            </w:r>
            <w:r w:rsidRPr="00CC046D">
              <w:rPr>
                <w:iCs/>
              </w:rPr>
              <w:t> "</w:t>
            </w:r>
            <w:proofErr w:type="spellStart"/>
            <w:r w:rsidRPr="00CC046D">
              <w:rPr>
                <w:iCs/>
              </w:rPr>
              <w:t>Energo</w:t>
            </w:r>
            <w:proofErr w:type="spellEnd"/>
            <w:r w:rsidRPr="00CC046D">
              <w:rPr>
                <w:iCs/>
              </w:rPr>
              <w:t xml:space="preserve"> pārvalde" maksātnespējas procesa uzsākšana pati par sevi, kā arī nepieciešamība vērsties pie daudzdzīvokļu mājas dzīvokļu īpašniekiem (no ziņojuma un lēmuma projekta kopsakarā nav nepārprotami skaidrs, vai attiecīgā vēršanās jau ir notikusi), pieprasot atmaksāt saņemto atbalsta finansējumu, padara neatbilstošo izdevumu atgūšanu par nelietderīgu. Savukārt, neesot pieejamiem konkrētiem aprēķiniem, ir apšaubāms arī ziņojumā norādītais, ka neatbilstošo izdevumu atgūšanas izmaksas ir nesamērīgi dārgākas (valstij neizdevīgākas) nekā sagaidāmais ieguvums, ņemot vērā neatbilstošo izdevumu salīdzinoši ievērojamo apmēru.</w:t>
            </w:r>
          </w:p>
        </w:tc>
        <w:tc>
          <w:tcPr>
            <w:tcW w:w="3402" w:type="dxa"/>
            <w:tcBorders>
              <w:left w:val="single" w:sz="4" w:space="0" w:color="auto"/>
              <w:right w:val="single" w:sz="4" w:space="0" w:color="auto"/>
            </w:tcBorders>
          </w:tcPr>
          <w:p w14:paraId="1E2495A2" w14:textId="4DCBD05C" w:rsidR="00F971AB" w:rsidRDefault="00F971AB" w:rsidP="00F971AB">
            <w:pPr>
              <w:pStyle w:val="naisc"/>
              <w:spacing w:before="0" w:after="0"/>
              <w:jc w:val="left"/>
              <w:rPr>
                <w:b/>
                <w:lang w:eastAsia="en-US"/>
              </w:rPr>
            </w:pPr>
            <w:r w:rsidRPr="003D4DDD">
              <w:rPr>
                <w:b/>
                <w:lang w:eastAsia="en-US"/>
              </w:rPr>
              <w:t>Ņemts vērā</w:t>
            </w:r>
          </w:p>
          <w:p w14:paraId="1F054B3E" w14:textId="6D13E485" w:rsidR="00F971AB" w:rsidRPr="00F971AB" w:rsidRDefault="00F971AB" w:rsidP="00F971AB">
            <w:pPr>
              <w:pStyle w:val="naisc"/>
              <w:spacing w:before="0" w:after="0"/>
              <w:jc w:val="both"/>
              <w:rPr>
                <w:lang w:eastAsia="en-US"/>
              </w:rPr>
            </w:pPr>
            <w:r>
              <w:rPr>
                <w:lang w:eastAsia="en-US"/>
              </w:rPr>
              <w:t xml:space="preserve">Skaidrojam, ka </w:t>
            </w:r>
            <w:r w:rsidRPr="00F971AB">
              <w:rPr>
                <w:lang w:eastAsia="en-US"/>
              </w:rPr>
              <w:t>LIAA ir veikuši detalizētu aprēķinu. Detalizētas informācijas nepieciešamības gadījumā aicinām vērsties tieši LIAA vai EM (informācija iesniegta arī FM).</w:t>
            </w:r>
          </w:p>
          <w:p w14:paraId="63C766AA" w14:textId="61039E26" w:rsidR="00F971AB" w:rsidRDefault="00F971AB" w:rsidP="00F971AB">
            <w:pPr>
              <w:pStyle w:val="naisc"/>
              <w:spacing w:before="0" w:after="0"/>
              <w:jc w:val="both"/>
              <w:rPr>
                <w:lang w:eastAsia="en-US"/>
              </w:rPr>
            </w:pPr>
            <w:r w:rsidRPr="003D4DDD">
              <w:rPr>
                <w:lang w:eastAsia="en-US"/>
              </w:rPr>
              <w:t>Informatīvā ziņojuma redakcija papildināta, skaidrāk aprakstot projekta situāciju.</w:t>
            </w:r>
          </w:p>
        </w:tc>
        <w:tc>
          <w:tcPr>
            <w:tcW w:w="3544" w:type="dxa"/>
            <w:tcBorders>
              <w:left w:val="single" w:sz="4" w:space="0" w:color="auto"/>
              <w:right w:val="single" w:sz="4" w:space="0" w:color="auto"/>
            </w:tcBorders>
          </w:tcPr>
          <w:p w14:paraId="73BA6378" w14:textId="759C5EB7" w:rsidR="00F971AB" w:rsidRDefault="00F971AB" w:rsidP="00F971AB">
            <w:pPr>
              <w:pStyle w:val="Default"/>
              <w:jc w:val="both"/>
            </w:pPr>
            <w:r w:rsidRPr="003D4DDD">
              <w:t xml:space="preserve">Skatīt informatīvā ziņojuma </w:t>
            </w:r>
            <w:proofErr w:type="spellStart"/>
            <w:r w:rsidRPr="003D4DDD">
              <w:t>apakšsadaļu</w:t>
            </w:r>
            <w:proofErr w:type="spellEnd"/>
            <w:r w:rsidRPr="003D4DDD">
              <w:t xml:space="preserve"> “ES fondu 2007. – 2013. gada plānošanas periods” 2</w:t>
            </w:r>
            <w:r w:rsidR="005A384D">
              <w:t>7-29</w:t>
            </w:r>
            <w:r w:rsidRPr="003D4DDD">
              <w:t>.lpp.</w:t>
            </w:r>
          </w:p>
        </w:tc>
      </w:tr>
      <w:tr w:rsidR="00F971AB" w14:paraId="0C600E46" w14:textId="77777777" w:rsidTr="0003166A">
        <w:trPr>
          <w:trHeight w:val="418"/>
        </w:trPr>
        <w:tc>
          <w:tcPr>
            <w:tcW w:w="704" w:type="dxa"/>
            <w:vMerge/>
            <w:tcBorders>
              <w:left w:val="single" w:sz="4" w:space="0" w:color="auto"/>
              <w:bottom w:val="single" w:sz="4" w:space="0" w:color="auto"/>
              <w:right w:val="single" w:sz="4" w:space="0" w:color="auto"/>
            </w:tcBorders>
          </w:tcPr>
          <w:p w14:paraId="4AFB7204" w14:textId="77777777" w:rsidR="00F971AB" w:rsidRDefault="00F971AB" w:rsidP="00F971AB">
            <w:pPr>
              <w:pStyle w:val="naisc"/>
              <w:spacing w:before="0" w:after="0"/>
              <w:ind w:left="313"/>
              <w:jc w:val="left"/>
              <w:rPr>
                <w:lang w:eastAsia="en-US"/>
              </w:rPr>
            </w:pPr>
          </w:p>
        </w:tc>
        <w:tc>
          <w:tcPr>
            <w:tcW w:w="2835" w:type="dxa"/>
            <w:vMerge/>
            <w:tcBorders>
              <w:left w:val="single" w:sz="4" w:space="0" w:color="auto"/>
              <w:bottom w:val="single" w:sz="4" w:space="0" w:color="auto"/>
              <w:right w:val="single" w:sz="4" w:space="0" w:color="auto"/>
            </w:tcBorders>
          </w:tcPr>
          <w:p w14:paraId="2B51E3E3" w14:textId="77777777" w:rsidR="00F971AB" w:rsidRDefault="00F971AB" w:rsidP="00F971AB">
            <w:pPr>
              <w:jc w:val="both"/>
            </w:pPr>
          </w:p>
        </w:tc>
        <w:tc>
          <w:tcPr>
            <w:tcW w:w="5103" w:type="dxa"/>
            <w:tcBorders>
              <w:top w:val="single" w:sz="4" w:space="0" w:color="auto"/>
              <w:left w:val="single" w:sz="4" w:space="0" w:color="auto"/>
              <w:bottom w:val="single" w:sz="4" w:space="0" w:color="auto"/>
              <w:right w:val="single" w:sz="4" w:space="0" w:color="auto"/>
            </w:tcBorders>
          </w:tcPr>
          <w:p w14:paraId="7FA04C89" w14:textId="61AD4E79" w:rsidR="00F971AB" w:rsidRPr="00CC046D" w:rsidRDefault="00F971AB" w:rsidP="00F971AB">
            <w:pPr>
              <w:jc w:val="both"/>
              <w:rPr>
                <w:iCs/>
              </w:rPr>
            </w:pPr>
            <w:r w:rsidRPr="00AE0DE7">
              <w:rPr>
                <w:iCs/>
              </w:rPr>
              <w:t>Ievērojot minēto, lūdzam papildināt ziņojumu ar izvērstāku pamatojumu, ņemot vērā minētos apsvērumus, un nepieciešamības gadījumā precizēt lēmuma projektu.</w:t>
            </w:r>
          </w:p>
        </w:tc>
        <w:tc>
          <w:tcPr>
            <w:tcW w:w="3402" w:type="dxa"/>
            <w:tcBorders>
              <w:left w:val="single" w:sz="4" w:space="0" w:color="auto"/>
              <w:bottom w:val="single" w:sz="4" w:space="0" w:color="auto"/>
              <w:right w:val="single" w:sz="4" w:space="0" w:color="auto"/>
            </w:tcBorders>
          </w:tcPr>
          <w:p w14:paraId="57495FE6" w14:textId="646240AD" w:rsidR="00F971AB" w:rsidRPr="00F971AB" w:rsidRDefault="00F971AB" w:rsidP="00F971AB">
            <w:pPr>
              <w:pStyle w:val="naisc"/>
              <w:spacing w:before="0" w:after="0"/>
              <w:jc w:val="both"/>
              <w:rPr>
                <w:b/>
                <w:lang w:eastAsia="en-US"/>
              </w:rPr>
            </w:pPr>
            <w:r w:rsidRPr="00F971AB">
              <w:rPr>
                <w:b/>
                <w:lang w:eastAsia="en-US"/>
              </w:rPr>
              <w:t>Ņemts vērā</w:t>
            </w:r>
          </w:p>
          <w:p w14:paraId="43A51224" w14:textId="738F30A0" w:rsidR="00F971AB" w:rsidRDefault="00F971AB" w:rsidP="00F971AB">
            <w:pPr>
              <w:pStyle w:val="naisc"/>
              <w:spacing w:before="0" w:after="0"/>
              <w:jc w:val="both"/>
              <w:rPr>
                <w:lang w:eastAsia="en-US"/>
              </w:rPr>
            </w:pPr>
            <w:r w:rsidRPr="003D4DDD">
              <w:rPr>
                <w:lang w:eastAsia="en-US"/>
              </w:rPr>
              <w:t>Informatīvā ziņojuma redakcija papildināta, skaidrāk aprakstot projekta situāciju.</w:t>
            </w:r>
          </w:p>
        </w:tc>
        <w:tc>
          <w:tcPr>
            <w:tcW w:w="3544" w:type="dxa"/>
            <w:tcBorders>
              <w:left w:val="single" w:sz="4" w:space="0" w:color="auto"/>
              <w:bottom w:val="single" w:sz="4" w:space="0" w:color="auto"/>
              <w:right w:val="single" w:sz="4" w:space="0" w:color="auto"/>
            </w:tcBorders>
          </w:tcPr>
          <w:p w14:paraId="2EB5B7FC" w14:textId="532EA732" w:rsidR="00F971AB" w:rsidRDefault="00F971AB" w:rsidP="00F971AB">
            <w:pPr>
              <w:pStyle w:val="Default"/>
              <w:jc w:val="both"/>
            </w:pPr>
            <w:r w:rsidRPr="003D4DDD">
              <w:t xml:space="preserve">Skatīt informatīvā ziņojuma </w:t>
            </w:r>
            <w:proofErr w:type="spellStart"/>
            <w:r w:rsidRPr="003D4DDD">
              <w:t>apakšsadaļu</w:t>
            </w:r>
            <w:proofErr w:type="spellEnd"/>
            <w:r w:rsidRPr="003D4DDD">
              <w:t xml:space="preserve"> “ES fondu 2007. – 2013. gada plānoša</w:t>
            </w:r>
            <w:r w:rsidR="005A384D">
              <w:t>nas periods” 27-29</w:t>
            </w:r>
            <w:r w:rsidRPr="003D4DDD">
              <w:t>.lpp.</w:t>
            </w:r>
          </w:p>
        </w:tc>
      </w:tr>
      <w:tr w:rsidR="00706ECB" w14:paraId="2CDB106F" w14:textId="77777777" w:rsidTr="00706ECB">
        <w:trPr>
          <w:trHeight w:val="4695"/>
        </w:trPr>
        <w:tc>
          <w:tcPr>
            <w:tcW w:w="704" w:type="dxa"/>
            <w:vMerge w:val="restart"/>
            <w:tcBorders>
              <w:left w:val="single" w:sz="4" w:space="0" w:color="auto"/>
              <w:right w:val="single" w:sz="4" w:space="0" w:color="auto"/>
            </w:tcBorders>
          </w:tcPr>
          <w:p w14:paraId="0D1BF822" w14:textId="5542F67A" w:rsidR="00706ECB" w:rsidRDefault="00706ECB" w:rsidP="00AE0B22">
            <w:pPr>
              <w:pStyle w:val="naisc"/>
              <w:spacing w:before="0" w:after="0"/>
              <w:jc w:val="left"/>
              <w:rPr>
                <w:lang w:eastAsia="en-US"/>
              </w:rPr>
            </w:pPr>
            <w:r>
              <w:rPr>
                <w:lang w:eastAsia="en-US"/>
              </w:rPr>
              <w:lastRenderedPageBreak/>
              <w:t>10.1.</w:t>
            </w:r>
          </w:p>
        </w:tc>
        <w:tc>
          <w:tcPr>
            <w:tcW w:w="2835" w:type="dxa"/>
            <w:vMerge w:val="restart"/>
            <w:tcBorders>
              <w:left w:val="single" w:sz="4" w:space="0" w:color="auto"/>
              <w:right w:val="single" w:sz="4" w:space="0" w:color="auto"/>
            </w:tcBorders>
          </w:tcPr>
          <w:p w14:paraId="1FDE2B42" w14:textId="732096B8" w:rsidR="00706ECB" w:rsidRDefault="00706ECB" w:rsidP="00AE0B22">
            <w:pPr>
              <w:jc w:val="both"/>
            </w:pPr>
            <w:r w:rsidRPr="00F971AB">
              <w:t>Informatīvā ziņojuma 6.sadaļā “Projektos konstatētie pārkāpumi ar finansiālu ietekmi”</w:t>
            </w:r>
            <w:r w:rsidRPr="00AE0B22">
              <w:rPr>
                <w:b/>
              </w:rPr>
              <w:t xml:space="preserve"> p</w:t>
            </w:r>
            <w:r>
              <w:rPr>
                <w:b/>
              </w:rPr>
              <w:t>ēc otrreiz</w:t>
            </w:r>
            <w:r w:rsidRPr="00AE0B22">
              <w:rPr>
                <w:b/>
              </w:rPr>
              <w:t>ējas saskaņošanas 2019. gada 23. augustā</w:t>
            </w:r>
            <w:r>
              <w:rPr>
                <w:b/>
              </w:rPr>
              <w:t>.</w:t>
            </w:r>
          </w:p>
          <w:p w14:paraId="050AE04F" w14:textId="6B521418" w:rsidR="00706ECB" w:rsidRDefault="00706ECB" w:rsidP="00F971AB">
            <w:pPr>
              <w:jc w:val="both"/>
            </w:pPr>
          </w:p>
        </w:tc>
        <w:tc>
          <w:tcPr>
            <w:tcW w:w="5103" w:type="dxa"/>
            <w:tcBorders>
              <w:top w:val="single" w:sz="4" w:space="0" w:color="auto"/>
              <w:left w:val="single" w:sz="4" w:space="0" w:color="auto"/>
              <w:bottom w:val="single" w:sz="4" w:space="0" w:color="auto"/>
              <w:right w:val="single" w:sz="4" w:space="0" w:color="auto"/>
            </w:tcBorders>
          </w:tcPr>
          <w:p w14:paraId="1D52AFD1" w14:textId="0DD5508E" w:rsidR="00FA469D" w:rsidRPr="00C90B3B" w:rsidRDefault="00FA469D" w:rsidP="00706ECB">
            <w:pPr>
              <w:jc w:val="both"/>
              <w:rPr>
                <w:b/>
              </w:rPr>
            </w:pPr>
            <w:r w:rsidRPr="00C90B3B">
              <w:rPr>
                <w:b/>
              </w:rPr>
              <w:t>Tieslietu ministrijas</w:t>
            </w:r>
            <w:r w:rsidR="00C90B3B">
              <w:rPr>
                <w:b/>
              </w:rPr>
              <w:t xml:space="preserve"> </w:t>
            </w:r>
            <w:r w:rsidRPr="00C90B3B">
              <w:rPr>
                <w:b/>
              </w:rPr>
              <w:t>iebildums</w:t>
            </w:r>
          </w:p>
          <w:p w14:paraId="0C6627A0" w14:textId="712115EA" w:rsidR="00706ECB" w:rsidRPr="00706ECB" w:rsidRDefault="00706ECB" w:rsidP="00706ECB">
            <w:pPr>
              <w:jc w:val="both"/>
              <w:rPr>
                <w:iCs/>
              </w:rPr>
            </w:pPr>
            <w:r>
              <w:t>Projektā Nr. DMS/3.4.4.1.0/12/09/641 "Daudzdzīvokļu dzīvojamās mājas Teātra ielā 4, Balvi, energoefektivitātes paaugstināšana" neturpināt neatbilstoši veikto izdevumu 26 892,28 </w:t>
            </w:r>
            <w:proofErr w:type="spellStart"/>
            <w:r>
              <w:rPr>
                <w:i/>
                <w:iCs/>
              </w:rPr>
              <w:t>euro</w:t>
            </w:r>
            <w:proofErr w:type="spellEnd"/>
            <w:r>
              <w:t xml:space="preserve"> piedziņu no daudzdzīvokļu mājas dzīvokļu īpašniekiem un attiecināt tos uz attiecīgā plānošanas perioda </w:t>
            </w:r>
            <w:proofErr w:type="spellStart"/>
            <w:r>
              <w:t>virssaistībām</w:t>
            </w:r>
            <w:proofErr w:type="spellEnd"/>
            <w:r>
              <w:t xml:space="preserve"> (sk. ziņojuma </w:t>
            </w:r>
            <w:proofErr w:type="spellStart"/>
            <w:r>
              <w:t>apakšsadaļu</w:t>
            </w:r>
            <w:proofErr w:type="spellEnd"/>
            <w:r>
              <w:t xml:space="preserve"> "ES fondu 2007.–2013. gada plānošanas periods", lēmuma projekta 3. punktu), vienlaikus tomēr uzskatām, ka ziņojumā norādītais pamatojums nav pietiekams secinājuma izdarīšanai, ka lēmuma projekta 3. punktā minētais risinājums ir juridiski korekts. Saistībā ar minēto vēršam uzmanību, ka:</w:t>
            </w:r>
          </w:p>
        </w:tc>
        <w:tc>
          <w:tcPr>
            <w:tcW w:w="3402" w:type="dxa"/>
            <w:vMerge w:val="restart"/>
            <w:tcBorders>
              <w:left w:val="single" w:sz="4" w:space="0" w:color="auto"/>
              <w:right w:val="single" w:sz="4" w:space="0" w:color="auto"/>
            </w:tcBorders>
          </w:tcPr>
          <w:p w14:paraId="7062D244" w14:textId="43DE3388" w:rsidR="00706ECB" w:rsidRPr="00AE0B22" w:rsidRDefault="00706ECB" w:rsidP="00AE0B22">
            <w:pPr>
              <w:pStyle w:val="naisc"/>
              <w:spacing w:before="0" w:after="0"/>
              <w:jc w:val="both"/>
              <w:rPr>
                <w:b/>
                <w:lang w:eastAsia="en-US"/>
              </w:rPr>
            </w:pPr>
            <w:r w:rsidRPr="00AE0B22">
              <w:rPr>
                <w:b/>
                <w:lang w:eastAsia="en-US"/>
              </w:rPr>
              <w:t>Ņem</w:t>
            </w:r>
            <w:r w:rsidR="00FA469D">
              <w:rPr>
                <w:b/>
                <w:lang w:eastAsia="en-US"/>
              </w:rPr>
              <w:t>ot</w:t>
            </w:r>
            <w:r w:rsidRPr="00AE0B22">
              <w:rPr>
                <w:b/>
                <w:lang w:eastAsia="en-US"/>
              </w:rPr>
              <w:t xml:space="preserve"> vērā</w:t>
            </w:r>
            <w:r w:rsidR="00FA469D">
              <w:rPr>
                <w:b/>
                <w:lang w:eastAsia="en-US"/>
              </w:rPr>
              <w:t xml:space="preserve"> Tieslietu ministrijas (turpmāk – TM) sniegto skaidrojumu, s</w:t>
            </w:r>
            <w:r w:rsidRPr="00AE0B22">
              <w:rPr>
                <w:b/>
                <w:lang w:eastAsia="en-US"/>
              </w:rPr>
              <w:t xml:space="preserve">adaļa no informatīvā ziņojuma un </w:t>
            </w:r>
            <w:proofErr w:type="spellStart"/>
            <w:r w:rsidRPr="00AE0B22">
              <w:rPr>
                <w:b/>
                <w:lang w:eastAsia="en-US"/>
              </w:rPr>
              <w:t>protokolēmuma</w:t>
            </w:r>
            <w:proofErr w:type="spellEnd"/>
            <w:r w:rsidRPr="00AE0B22">
              <w:rPr>
                <w:b/>
                <w:lang w:eastAsia="en-US"/>
              </w:rPr>
              <w:t xml:space="preserve"> projekta dzēsta. </w:t>
            </w:r>
          </w:p>
          <w:p w14:paraId="1A29669A" w14:textId="7F323BEB" w:rsidR="00706ECB" w:rsidRPr="00AE0B22" w:rsidRDefault="00706ECB" w:rsidP="00C90B3B">
            <w:pPr>
              <w:jc w:val="both"/>
            </w:pPr>
            <w:r w:rsidRPr="00AE0B22">
              <w:t xml:space="preserve">Informējam, ka FM </w:t>
            </w:r>
            <w:r w:rsidR="00C90B3B">
              <w:t xml:space="preserve">ir </w:t>
            </w:r>
            <w:r w:rsidRPr="00AE0B22">
              <w:t>aicinājusi EM izskatīt TM  uzturētos iebildumus pēc būtības,  un nepieciešamības gadījumā aicin</w:t>
            </w:r>
            <w:r w:rsidR="00C90B3B">
              <w:t>a</w:t>
            </w:r>
            <w:r w:rsidRPr="00AE0B22">
              <w:t xml:space="preserve"> abas iestādes uz savstarpēju dialogu.  </w:t>
            </w:r>
          </w:p>
          <w:p w14:paraId="4151EB00" w14:textId="77777777" w:rsidR="00706ECB" w:rsidRPr="00AE0B22" w:rsidRDefault="00706ECB" w:rsidP="00AE0B22"/>
          <w:p w14:paraId="35D38177" w14:textId="0AD15FDE" w:rsidR="00706ECB" w:rsidRPr="00AE0B22" w:rsidRDefault="00706ECB" w:rsidP="00FD5172">
            <w:pPr>
              <w:jc w:val="both"/>
              <w:rPr>
                <w:b/>
                <w:lang w:eastAsia="en-US"/>
              </w:rPr>
            </w:pPr>
            <w:r w:rsidRPr="00AE0B22">
              <w:t xml:space="preserve">FM </w:t>
            </w:r>
            <w:r w:rsidR="00C90B3B">
              <w:t>aicina</w:t>
            </w:r>
            <w:r w:rsidRPr="00AE0B22">
              <w:t xml:space="preserve"> EM izvērtēt nepieciešamību šai informācijai piešķirt ierobežotas pieejamības statusu un</w:t>
            </w:r>
            <w:r>
              <w:t xml:space="preserve">, gadījumā, ja tiks uzturēts pieprasījums neturpināt piedziņu, </w:t>
            </w:r>
            <w:r w:rsidRPr="00AE0B22">
              <w:t xml:space="preserve"> virzīt šo jautājumu kā atsevišķu ziņojumu izskatīšanai MK.</w:t>
            </w:r>
          </w:p>
        </w:tc>
        <w:tc>
          <w:tcPr>
            <w:tcW w:w="3544" w:type="dxa"/>
            <w:vMerge w:val="restart"/>
            <w:tcBorders>
              <w:left w:val="single" w:sz="4" w:space="0" w:color="auto"/>
              <w:right w:val="single" w:sz="4" w:space="0" w:color="auto"/>
            </w:tcBorders>
          </w:tcPr>
          <w:p w14:paraId="0E1A9537" w14:textId="7EA3D89F" w:rsidR="00706ECB" w:rsidRPr="003D4DDD" w:rsidRDefault="00C90B3B" w:rsidP="00C90B3B">
            <w:pPr>
              <w:pStyle w:val="Default"/>
              <w:jc w:val="both"/>
            </w:pPr>
            <w:r>
              <w:t>S</w:t>
            </w:r>
            <w:r w:rsidR="00FA469D">
              <w:t xml:space="preserve">katīt precizēto MK </w:t>
            </w:r>
            <w:proofErr w:type="spellStart"/>
            <w:r w:rsidR="00FA469D">
              <w:t>protokollēmumu</w:t>
            </w:r>
            <w:proofErr w:type="spellEnd"/>
            <w:r w:rsidR="00FA469D">
              <w:t xml:space="preserve"> un </w:t>
            </w:r>
            <w:r w:rsidR="0019498F">
              <w:t>informatīvo ziņojumu.</w:t>
            </w:r>
          </w:p>
        </w:tc>
      </w:tr>
      <w:tr w:rsidR="00706ECB" w14:paraId="285FDCA6" w14:textId="77777777" w:rsidTr="0052466A">
        <w:trPr>
          <w:trHeight w:val="4695"/>
        </w:trPr>
        <w:tc>
          <w:tcPr>
            <w:tcW w:w="704" w:type="dxa"/>
            <w:vMerge/>
            <w:tcBorders>
              <w:left w:val="single" w:sz="4" w:space="0" w:color="auto"/>
              <w:right w:val="single" w:sz="4" w:space="0" w:color="auto"/>
            </w:tcBorders>
          </w:tcPr>
          <w:p w14:paraId="4C1EDE46" w14:textId="77777777" w:rsidR="00706ECB" w:rsidRDefault="00706ECB" w:rsidP="00AE0B22">
            <w:pPr>
              <w:pStyle w:val="naisc"/>
              <w:spacing w:before="0" w:after="0"/>
              <w:jc w:val="left"/>
              <w:rPr>
                <w:lang w:eastAsia="en-US"/>
              </w:rPr>
            </w:pPr>
          </w:p>
        </w:tc>
        <w:tc>
          <w:tcPr>
            <w:tcW w:w="2835" w:type="dxa"/>
            <w:vMerge/>
            <w:tcBorders>
              <w:left w:val="single" w:sz="4" w:space="0" w:color="auto"/>
              <w:right w:val="single" w:sz="4" w:space="0" w:color="auto"/>
            </w:tcBorders>
          </w:tcPr>
          <w:p w14:paraId="5741FD58" w14:textId="77777777" w:rsidR="00706ECB" w:rsidRPr="00F971AB" w:rsidRDefault="00706ECB" w:rsidP="00AE0B22">
            <w:pPr>
              <w:jc w:val="both"/>
            </w:pPr>
          </w:p>
        </w:tc>
        <w:tc>
          <w:tcPr>
            <w:tcW w:w="5103" w:type="dxa"/>
            <w:tcBorders>
              <w:top w:val="single" w:sz="4" w:space="0" w:color="auto"/>
              <w:left w:val="single" w:sz="4" w:space="0" w:color="auto"/>
              <w:bottom w:val="single" w:sz="4" w:space="0" w:color="auto"/>
              <w:right w:val="single" w:sz="4" w:space="0" w:color="auto"/>
            </w:tcBorders>
          </w:tcPr>
          <w:p w14:paraId="19A1089D" w14:textId="1139DC30" w:rsidR="00706ECB" w:rsidRDefault="00706ECB" w:rsidP="00706ECB">
            <w:pPr>
              <w:jc w:val="both"/>
            </w:pPr>
            <w:r>
              <w:t xml:space="preserve">pirmkārt, no ziņojuma joprojām skaidri neizriet, kāds ir izraudzītā risinājuma – neatgūt neatbilstošos izdevumus – tiesiskais pamats. Izziņā norādīts uz Publiskas personas finanšu līdzekļu un mantas izšķērdēšanas novēršanas likuma 3. pantu, tomēr izziņā nav precizēts konkrēts šī panta punkts (tiesību norma), kā arī dots juridisks novērtējums tam, kādēļ pants attiecināms uz ziņojumā norādītajiem apstākļiem, t.i., neatklājot tādus apstākļus, kuriem juridisko seku ziņā šī tiesību norma (precīzāk – šajā pantā ietvertās tiesību normas) būtu piemērojama. Turklāt uzsveram, ka pat gadījumā, ja minētā likuma normas būtu attiecināmas uz ziņojumā norādītajiem apstākļiem, konkrētu valsts rīcību šajā gadījumā tāpat tieši paredz, un tādēļ uzskatām, ka piemērojams būtu tieši Eiropas Savienības struktūrfondu un Kohēzijas fonda vadības likums (19. panta ceturtā </w:t>
            </w:r>
            <w:r>
              <w:lastRenderedPageBreak/>
              <w:t>daļa, 24. un 25. pants) un uz tā pamata izdotie Ministru kabineta 2010. gada 10. augusta noteikumi Nr. 740 "Kārtība, kādā ziņo par Eiropas Savienības struktūrfondu un Kohēzijas fonda ieviešanā konstatētajām neatbilstībām, pieņem lēmumu par piešķirtā finansējuma izlietojumu un atgūst neatbilstošos izdevumus" (25. punkts) (turpmāk – noteikumi Nr. 740). Saistībā ar minēto vēršam uzmanību, ka nav pamatota ziņojumā ietvertā norāde, ka precīza kārtība rīcībai šādos gadījumos noteikumos Nr. 740 nav atrunāta, jo noteikumu Nr. 740 25. punkts nepārprotami noteic konkrētu rīcību ziņojumā norādītajos apstākļos, bet šķēršļi tā attiecināšanai uz šo gadījumu nav motivēti;</w:t>
            </w:r>
          </w:p>
        </w:tc>
        <w:tc>
          <w:tcPr>
            <w:tcW w:w="3402" w:type="dxa"/>
            <w:vMerge/>
            <w:tcBorders>
              <w:left w:val="single" w:sz="4" w:space="0" w:color="auto"/>
              <w:right w:val="single" w:sz="4" w:space="0" w:color="auto"/>
            </w:tcBorders>
          </w:tcPr>
          <w:p w14:paraId="51D43B3D" w14:textId="77777777" w:rsidR="00706ECB" w:rsidRPr="00AE0B22" w:rsidDel="00706ECB" w:rsidRDefault="00706ECB" w:rsidP="00AE0B22">
            <w:pPr>
              <w:pStyle w:val="naisc"/>
              <w:spacing w:before="0" w:after="0"/>
              <w:jc w:val="both"/>
              <w:rPr>
                <w:b/>
                <w:lang w:eastAsia="en-US"/>
              </w:rPr>
            </w:pPr>
          </w:p>
        </w:tc>
        <w:tc>
          <w:tcPr>
            <w:tcW w:w="3544" w:type="dxa"/>
            <w:vMerge/>
            <w:tcBorders>
              <w:left w:val="single" w:sz="4" w:space="0" w:color="auto"/>
              <w:right w:val="single" w:sz="4" w:space="0" w:color="auto"/>
            </w:tcBorders>
          </w:tcPr>
          <w:p w14:paraId="55F16295" w14:textId="77777777" w:rsidR="00706ECB" w:rsidRDefault="00706ECB" w:rsidP="00F971AB">
            <w:pPr>
              <w:pStyle w:val="Default"/>
              <w:jc w:val="both"/>
            </w:pPr>
          </w:p>
        </w:tc>
      </w:tr>
      <w:tr w:rsidR="00706ECB" w14:paraId="066D1F3D" w14:textId="77777777" w:rsidTr="00FD5172">
        <w:trPr>
          <w:trHeight w:val="699"/>
        </w:trPr>
        <w:tc>
          <w:tcPr>
            <w:tcW w:w="704" w:type="dxa"/>
            <w:vMerge/>
            <w:tcBorders>
              <w:left w:val="single" w:sz="4" w:space="0" w:color="auto"/>
              <w:right w:val="single" w:sz="4" w:space="0" w:color="auto"/>
            </w:tcBorders>
          </w:tcPr>
          <w:p w14:paraId="2E229893" w14:textId="77777777" w:rsidR="00706ECB" w:rsidRDefault="00706ECB" w:rsidP="00AE0B22">
            <w:pPr>
              <w:pStyle w:val="naisc"/>
              <w:spacing w:before="0" w:after="0"/>
              <w:jc w:val="left"/>
              <w:rPr>
                <w:lang w:eastAsia="en-US"/>
              </w:rPr>
            </w:pPr>
          </w:p>
        </w:tc>
        <w:tc>
          <w:tcPr>
            <w:tcW w:w="2835" w:type="dxa"/>
            <w:vMerge/>
            <w:tcBorders>
              <w:left w:val="single" w:sz="4" w:space="0" w:color="auto"/>
              <w:right w:val="single" w:sz="4" w:space="0" w:color="auto"/>
            </w:tcBorders>
          </w:tcPr>
          <w:p w14:paraId="0043F880" w14:textId="77777777" w:rsidR="00706ECB" w:rsidRPr="00F971AB" w:rsidRDefault="00706ECB" w:rsidP="00AE0B22">
            <w:pPr>
              <w:jc w:val="both"/>
            </w:pPr>
          </w:p>
        </w:tc>
        <w:tc>
          <w:tcPr>
            <w:tcW w:w="5103" w:type="dxa"/>
            <w:tcBorders>
              <w:top w:val="single" w:sz="4" w:space="0" w:color="auto"/>
              <w:left w:val="single" w:sz="4" w:space="0" w:color="auto"/>
              <w:bottom w:val="single" w:sz="4" w:space="0" w:color="auto"/>
              <w:right w:val="single" w:sz="4" w:space="0" w:color="auto"/>
            </w:tcBorders>
          </w:tcPr>
          <w:p w14:paraId="4AA109B6" w14:textId="02F37B4E" w:rsidR="00706ECB" w:rsidRPr="00AE0DE7" w:rsidRDefault="00706ECB" w:rsidP="00F971AB">
            <w:pPr>
              <w:jc w:val="both"/>
              <w:rPr>
                <w:iCs/>
              </w:rPr>
            </w:pPr>
            <w:r>
              <w:t>otrkārt, no ziņojuma joprojām neizriet pamatojums tam, kādēļ vēršanās pret pārvaldnieku – SIA "</w:t>
            </w:r>
            <w:proofErr w:type="spellStart"/>
            <w:r>
              <w:t>Energo</w:t>
            </w:r>
            <w:proofErr w:type="spellEnd"/>
            <w:r>
              <w:t xml:space="preserve"> pārvalde", lai atgūtu neatbilstošos izdevumus, nav iespējama, jo minētās sabiedrības maksātnespējas process, tas, ka vienīgais tās valdes loceklis atsavinājis savas kapitāldaļas minētajai sabiedrībai un nav veikta tās pilnvarotās personas maiņa, pats par sevi vēl nenorāda uz juridiskiem šķēršļiem vērsties pret minēto sabiedrību normatīvajos tiesību aktos noteiktajā kārtībā. No ziņojuma izriet, ka šobrīd norisinās SIA "</w:t>
            </w:r>
            <w:proofErr w:type="spellStart"/>
            <w:r>
              <w:t>Energo</w:t>
            </w:r>
            <w:proofErr w:type="spellEnd"/>
            <w:r>
              <w:t xml:space="preserve"> pārvalde" maksātnespējas process, tātad maksātnespējīgās juridiskās personas pārvaldes institūcijas pilnvaras atbilstoši Maksātnespējas likumam īsteno maksātnespējas administrators, kura kompetencē cita starpā saskaņā ar minētā likuma 67. panta 6. punktu ir arī amatpersonu </w:t>
            </w:r>
            <w:r>
              <w:lastRenderedPageBreak/>
              <w:t>parādnieka pārvaldes darba veikšanai iecelšana un to kompetences noteikšana</w:t>
            </w:r>
            <w:r w:rsidR="00C90B3B">
              <w:rPr>
                <w:iCs/>
              </w:rPr>
              <w:t>;</w:t>
            </w:r>
          </w:p>
        </w:tc>
        <w:tc>
          <w:tcPr>
            <w:tcW w:w="3402" w:type="dxa"/>
            <w:vMerge/>
            <w:tcBorders>
              <w:left w:val="single" w:sz="4" w:space="0" w:color="auto"/>
              <w:right w:val="single" w:sz="4" w:space="0" w:color="auto"/>
            </w:tcBorders>
          </w:tcPr>
          <w:p w14:paraId="1EFE6256" w14:textId="77777777" w:rsidR="00706ECB" w:rsidRPr="00AE0B22" w:rsidDel="00706ECB" w:rsidRDefault="00706ECB" w:rsidP="00AE0B22">
            <w:pPr>
              <w:pStyle w:val="naisc"/>
              <w:spacing w:before="0" w:after="0"/>
              <w:jc w:val="both"/>
              <w:rPr>
                <w:b/>
                <w:lang w:eastAsia="en-US"/>
              </w:rPr>
            </w:pPr>
          </w:p>
        </w:tc>
        <w:tc>
          <w:tcPr>
            <w:tcW w:w="3544" w:type="dxa"/>
            <w:vMerge/>
            <w:tcBorders>
              <w:left w:val="single" w:sz="4" w:space="0" w:color="auto"/>
              <w:right w:val="single" w:sz="4" w:space="0" w:color="auto"/>
            </w:tcBorders>
          </w:tcPr>
          <w:p w14:paraId="200F4F97" w14:textId="77777777" w:rsidR="00706ECB" w:rsidRDefault="00706ECB" w:rsidP="00F971AB">
            <w:pPr>
              <w:pStyle w:val="Default"/>
              <w:jc w:val="both"/>
            </w:pPr>
          </w:p>
        </w:tc>
      </w:tr>
      <w:tr w:rsidR="00706ECB" w14:paraId="3AB8AAB6" w14:textId="77777777" w:rsidTr="008E087A">
        <w:trPr>
          <w:trHeight w:val="825"/>
        </w:trPr>
        <w:tc>
          <w:tcPr>
            <w:tcW w:w="704" w:type="dxa"/>
            <w:vMerge/>
            <w:tcBorders>
              <w:left w:val="single" w:sz="4" w:space="0" w:color="auto"/>
              <w:right w:val="single" w:sz="4" w:space="0" w:color="auto"/>
            </w:tcBorders>
          </w:tcPr>
          <w:p w14:paraId="2354104C" w14:textId="77777777" w:rsidR="00706ECB" w:rsidRDefault="00706ECB" w:rsidP="00AE0B22">
            <w:pPr>
              <w:pStyle w:val="naisc"/>
              <w:spacing w:before="0" w:after="0"/>
              <w:jc w:val="left"/>
              <w:rPr>
                <w:lang w:eastAsia="en-US"/>
              </w:rPr>
            </w:pPr>
          </w:p>
        </w:tc>
        <w:tc>
          <w:tcPr>
            <w:tcW w:w="2835" w:type="dxa"/>
            <w:vMerge/>
            <w:tcBorders>
              <w:left w:val="single" w:sz="4" w:space="0" w:color="auto"/>
              <w:right w:val="single" w:sz="4" w:space="0" w:color="auto"/>
            </w:tcBorders>
          </w:tcPr>
          <w:p w14:paraId="6B0202BB" w14:textId="77777777" w:rsidR="00706ECB" w:rsidRPr="00F971AB" w:rsidRDefault="00706ECB" w:rsidP="00AE0B22">
            <w:pPr>
              <w:jc w:val="both"/>
            </w:pPr>
          </w:p>
        </w:tc>
        <w:tc>
          <w:tcPr>
            <w:tcW w:w="5103" w:type="dxa"/>
            <w:tcBorders>
              <w:top w:val="single" w:sz="4" w:space="0" w:color="auto"/>
              <w:left w:val="single" w:sz="4" w:space="0" w:color="auto"/>
              <w:bottom w:val="single" w:sz="4" w:space="0" w:color="auto"/>
              <w:right w:val="single" w:sz="4" w:space="0" w:color="auto"/>
            </w:tcBorders>
          </w:tcPr>
          <w:p w14:paraId="564DCC38" w14:textId="77777777" w:rsidR="00706ECB" w:rsidRDefault="00706ECB" w:rsidP="00706ECB">
            <w:pPr>
              <w:jc w:val="both"/>
              <w:rPr>
                <w:szCs w:val="22"/>
              </w:rPr>
            </w:pPr>
            <w:r>
              <w:t xml:space="preserve">treškārt, ziņojumā norādīts, ka piedziņa pret daudzdzīvokļu mājas dzīvokļu īpašniekiem ir nesamērīga. Saistībā ar minēto vēršam uzmanību, ka samērīguma princips noteiktos dzīves gadījumos pieļauj tiesību piemērotājam iespēju atkāpties no tiesību normas tiesisko seku īstenošanas gadījumā, ja tiesību norma neparedz rīcības brīvību. Šajā sakarā, piemēram, arī Satversmes tiesa ir cita starpā norādījusi, ka tiesību piemērotājam tiesisko seku samērīgums ir jāapsver ikviena administratīvā akta izdošanas gadījumā un jāizvēlas sekas, kuras sasniedz tiesību mērķi – taisnīgumu. Netipiskajos gadījumos iestādei ir tiesības atkāpties no tiesisko seku īstenošanas. Tomēr šādai atkāpei ir jābūt pamatotai ar īpašiem, uzrādāmiem un pārliecinošiem argumentiem. Viens no šādiem gadījumiem varētu būt samērīguma pārbaude tad, ja ar obligāto administratīvo aktu tiek ierobežotas personas </w:t>
            </w:r>
            <w:proofErr w:type="spellStart"/>
            <w:r>
              <w:t>pamattiesības</w:t>
            </w:r>
            <w:proofErr w:type="spellEnd"/>
            <w:r>
              <w:t xml:space="preserve"> (sk. </w:t>
            </w:r>
            <w:r>
              <w:rPr>
                <w:i/>
                <w:iCs/>
              </w:rPr>
              <w:t>Satversmes tiesas 2007. gada 28. februāra lēmuma lietā Nr. 2006-41-01 13.–15. punktu</w:t>
            </w:r>
            <w:r>
              <w:t xml:space="preserve">). Vienlaikus juridiskajā literatūrā atzīts, ka tāda lēmuma pieņemšana, kas ir pretējs likuma normas vārdiskajam tekstam, varētu tikt attaisnota tikai tad, ja pretējā gadījumā lēmums būtu klaji nesamērīgs (sk. </w:t>
            </w:r>
            <w:r>
              <w:rPr>
                <w:i/>
                <w:iCs/>
              </w:rPr>
              <w:t>Levits E. Samērīguma princips un obligātais administratīvais akts. Jurista Vārds, 27.03.2007., Nr. 13.</w:t>
            </w:r>
            <w:r>
              <w:t>).</w:t>
            </w:r>
          </w:p>
          <w:p w14:paraId="472FB8F1" w14:textId="77777777" w:rsidR="00706ECB" w:rsidRPr="00AE0DE7" w:rsidRDefault="00706ECB" w:rsidP="00F971AB">
            <w:pPr>
              <w:jc w:val="both"/>
              <w:rPr>
                <w:iCs/>
              </w:rPr>
            </w:pPr>
          </w:p>
        </w:tc>
        <w:tc>
          <w:tcPr>
            <w:tcW w:w="3402" w:type="dxa"/>
            <w:vMerge/>
            <w:tcBorders>
              <w:left w:val="single" w:sz="4" w:space="0" w:color="auto"/>
              <w:right w:val="single" w:sz="4" w:space="0" w:color="auto"/>
            </w:tcBorders>
          </w:tcPr>
          <w:p w14:paraId="0CD6DCE1" w14:textId="77777777" w:rsidR="00706ECB" w:rsidRPr="00AE0B22" w:rsidDel="00706ECB" w:rsidRDefault="00706ECB" w:rsidP="00AE0B22">
            <w:pPr>
              <w:pStyle w:val="naisc"/>
              <w:spacing w:before="0" w:after="0"/>
              <w:jc w:val="both"/>
              <w:rPr>
                <w:b/>
                <w:lang w:eastAsia="en-US"/>
              </w:rPr>
            </w:pPr>
          </w:p>
        </w:tc>
        <w:tc>
          <w:tcPr>
            <w:tcW w:w="3544" w:type="dxa"/>
            <w:vMerge/>
            <w:tcBorders>
              <w:left w:val="single" w:sz="4" w:space="0" w:color="auto"/>
              <w:right w:val="single" w:sz="4" w:space="0" w:color="auto"/>
            </w:tcBorders>
          </w:tcPr>
          <w:p w14:paraId="29E469B9" w14:textId="77777777" w:rsidR="00706ECB" w:rsidRDefault="00706ECB" w:rsidP="00F971AB">
            <w:pPr>
              <w:pStyle w:val="Default"/>
              <w:jc w:val="both"/>
            </w:pPr>
          </w:p>
        </w:tc>
      </w:tr>
      <w:tr w:rsidR="00706ECB" w14:paraId="056C3567" w14:textId="77777777" w:rsidTr="0003166A">
        <w:trPr>
          <w:trHeight w:val="825"/>
        </w:trPr>
        <w:tc>
          <w:tcPr>
            <w:tcW w:w="704" w:type="dxa"/>
            <w:vMerge/>
            <w:tcBorders>
              <w:left w:val="single" w:sz="4" w:space="0" w:color="auto"/>
              <w:bottom w:val="single" w:sz="4" w:space="0" w:color="auto"/>
              <w:right w:val="single" w:sz="4" w:space="0" w:color="auto"/>
            </w:tcBorders>
          </w:tcPr>
          <w:p w14:paraId="23A4AEE0" w14:textId="77777777" w:rsidR="00706ECB" w:rsidRDefault="00706ECB" w:rsidP="00AE0B22">
            <w:pPr>
              <w:pStyle w:val="naisc"/>
              <w:spacing w:before="0" w:after="0"/>
              <w:jc w:val="left"/>
              <w:rPr>
                <w:lang w:eastAsia="en-US"/>
              </w:rPr>
            </w:pPr>
          </w:p>
        </w:tc>
        <w:tc>
          <w:tcPr>
            <w:tcW w:w="2835" w:type="dxa"/>
            <w:vMerge/>
            <w:tcBorders>
              <w:left w:val="single" w:sz="4" w:space="0" w:color="auto"/>
              <w:bottom w:val="single" w:sz="4" w:space="0" w:color="auto"/>
              <w:right w:val="single" w:sz="4" w:space="0" w:color="auto"/>
            </w:tcBorders>
          </w:tcPr>
          <w:p w14:paraId="7FD58809" w14:textId="77777777" w:rsidR="00706ECB" w:rsidRPr="00F971AB" w:rsidRDefault="00706ECB" w:rsidP="00AE0B22">
            <w:pPr>
              <w:jc w:val="both"/>
            </w:pPr>
          </w:p>
        </w:tc>
        <w:tc>
          <w:tcPr>
            <w:tcW w:w="5103" w:type="dxa"/>
            <w:tcBorders>
              <w:top w:val="single" w:sz="4" w:space="0" w:color="auto"/>
              <w:left w:val="single" w:sz="4" w:space="0" w:color="auto"/>
              <w:bottom w:val="single" w:sz="4" w:space="0" w:color="auto"/>
              <w:right w:val="single" w:sz="4" w:space="0" w:color="auto"/>
            </w:tcBorders>
          </w:tcPr>
          <w:p w14:paraId="0E26B1B0" w14:textId="77777777" w:rsidR="00EA2C94" w:rsidRDefault="00EA2C94" w:rsidP="00EA2C94">
            <w:pPr>
              <w:ind w:firstLine="720"/>
              <w:jc w:val="both"/>
              <w:rPr>
                <w:szCs w:val="22"/>
              </w:rPr>
            </w:pPr>
            <w:r>
              <w:t xml:space="preserve">Konkrētajā gadījumā, no ziņojumā minētajiem apstākļiem, nav konstatējams pamats atkāpties no tiesisko seku, kādas paredzētas </w:t>
            </w:r>
            <w:r>
              <w:lastRenderedPageBreak/>
              <w:t>Eiropas Savienības struktūrfondu un Kohēzijas fonda vadības likumā un noteikumos Nr. 740, īstenošanas, proti, nav konstatējami tādi apstākļi, kuros minēto tiesību normu piemērošanas rezultāts būtu klaji nesamērīgs.</w:t>
            </w:r>
          </w:p>
          <w:p w14:paraId="7D7B5878" w14:textId="77777777" w:rsidR="00EA2C94" w:rsidRDefault="00EA2C94" w:rsidP="00EA2C94">
            <w:pPr>
              <w:ind w:firstLine="720"/>
              <w:jc w:val="both"/>
            </w:pPr>
            <w:r>
              <w:t>Norādām, ka noteikumu Nr. 740 25.2. apakšpunktā noteikts, ja neatbilstoši veiktos izdevumus nav iespējams ieturēt saskaņā ar šo noteikumu 25.1. apakšpunktu un vienam projektam vienas neatbilstības gadījumā neatbilstoši veikto izdevumu summa nepārsniedz 120 </w:t>
            </w:r>
            <w:proofErr w:type="spellStart"/>
            <w:r>
              <w:rPr>
                <w:i/>
                <w:iCs/>
              </w:rPr>
              <w:t>euro</w:t>
            </w:r>
            <w:proofErr w:type="spellEnd"/>
            <w:r>
              <w:t xml:space="preserve">, neatbilstoši veiktos izdevumus var norakstīt izdevumos. Tātad secināms, ka minētajos noteikumos, balstoties uz lietderības apsvērumiem, ir izvērtēts maksimālais izdevumu apmērs, kādu ir pieļaujams norakstīt, un attiecīgi kādā gadījumā nav jāveic atgūšanas darbības – līgumslēdzējs (noteikumu Nr. 740 izpratnē) vienojas ar finansējuma saņēmēju civiltiesiskā kārtībā vai izdod administratīvo aktu par neatbilstoši veikto izdevumu atgūšanu –, kas izriet no 25.3. apakšpunkta. Turklāt salīdzinājumam šis apmērs – 120 </w:t>
            </w:r>
            <w:proofErr w:type="spellStart"/>
            <w:r>
              <w:rPr>
                <w:i/>
                <w:iCs/>
              </w:rPr>
              <w:t>euro</w:t>
            </w:r>
            <w:proofErr w:type="spellEnd"/>
            <w:r>
              <w:t xml:space="preserve"> –, kas ir attiecināms uz vienu projektu, ir</w:t>
            </w:r>
            <w:r>
              <w:rPr>
                <w:i/>
                <w:iCs/>
              </w:rPr>
              <w:t xml:space="preserve"> </w:t>
            </w:r>
            <w:r>
              <w:t>vairākas reizes mazāks, nekā ziņojumā norādītā, par katru daudzdzīvokļu mājas dzīvokli vidēji atgūstamā summa – 488,95 </w:t>
            </w:r>
            <w:proofErr w:type="spellStart"/>
            <w:r>
              <w:rPr>
                <w:i/>
                <w:iCs/>
              </w:rPr>
              <w:t>euro</w:t>
            </w:r>
            <w:proofErr w:type="spellEnd"/>
            <w:r>
              <w:t xml:space="preserve">. Tādējādi secināms, ka lietderības apsvērumi par neatbilstošo izdevumu atgūšanu ir tikuši jau atbilstoši izdarīti, pieņemot regulējumu, kas noteikts Eiropas Savienības struktūrfondu un Kohēzijas fonda vadības likumā un noteikumos Nr. 740. Līdz ar to ziņojumā norādīto gadījumu nevar atzīt par netipisku. Šeit papildus norādām, ka ziņojumā pie potenciālajiem neatbilstošo izdevumu atgūšanas izdevumiem norādīta </w:t>
            </w:r>
            <w:r>
              <w:rPr>
                <w:u w:val="single"/>
              </w:rPr>
              <w:t xml:space="preserve">maksimālā iespējamā </w:t>
            </w:r>
            <w:r>
              <w:rPr>
                <w:u w:val="single"/>
              </w:rPr>
              <w:lastRenderedPageBreak/>
              <w:t>izdevumu summa</w:t>
            </w:r>
            <w:r>
              <w:t xml:space="preserve"> (ziņojumā gan norādīts uz iespējamiem papildu izdevumiem) – 57 371, 60 </w:t>
            </w:r>
            <w:proofErr w:type="spellStart"/>
            <w:r>
              <w:rPr>
                <w:i/>
                <w:iCs/>
              </w:rPr>
              <w:t>euro</w:t>
            </w:r>
            <w:proofErr w:type="spellEnd"/>
            <w:r>
              <w:t>, kas ietver sevī vairākus pieņēmumus, proti, ka tiesvedība ar dzīvokļu īpašniekiem norisināsies trijās tiesu instancēs, katrs dzīvokļu īpašnieks vērsīsies ar sūdzību, kura būs jāizskata un uz kuru būs jāsagatavo atbilde, tiesāšanās izdevumi civilprocesā netiks atlīdzināti u.tml., attiecīgi atgūšanas faktiskās izmaksas varētu būt arī ievērojami zemākas, kas ziņojumā nav analizēts. Tāpat uzskatām, ka arī vēršanās pret daudzdzīvokļu mājas dzīvokļu īpašniekiem (dzīvokļu īpašnieku kopību), lai atgūtu neatbilstošos izdevumus,  tādēļ, ka nav iespējama vēršanās pret pārvaldnieku, nepadara konkrēto gadījumu netipisku, kas nebūtu ņemts vērā, nosakot spēkā esošo normatīvajos tiesību aktos noteikto neatbilstošo izdevumu atgūšanas kārtību.</w:t>
            </w:r>
          </w:p>
          <w:p w14:paraId="7FFDE1E2" w14:textId="77777777" w:rsidR="00EA2C94" w:rsidRDefault="00EA2C94" w:rsidP="00EA2C94">
            <w:pPr>
              <w:ind w:firstLine="720"/>
              <w:jc w:val="both"/>
            </w:pPr>
            <w:r>
              <w:t xml:space="preserve">Papildus norādām, ka pārvaldnieks ir nevis patstāvīgs subjekts, bet dzīvojamās mājas īpašnieka (daudzdzīvokļu dzīvojamās mājas gadījumā tātad visu </w:t>
            </w:r>
            <w:bookmarkStart w:id="2" w:name="_Hlk17356639"/>
            <w:r>
              <w:t>dzīvokļu īpašnieku kopuma</w:t>
            </w:r>
            <w:bookmarkEnd w:id="2"/>
            <w:r>
              <w:t xml:space="preserve">) pārstāvis, kā arī, patstāvīgi slēdzot līgumus dzīvojamās mājas īpašnieka vietā, pārvaldnieks neuzņemas saistības sev, bet dzīvojamās mājas īpašniekam, kura vietā tas rīkojas kā pilnvarnieks (sal. </w:t>
            </w:r>
            <w:r>
              <w:rPr>
                <w:i/>
                <w:iCs/>
              </w:rPr>
              <w:t>Augstākās tiesas Administratīvo lietu departamenta 2013. gada 2. decembra spriedums lietā Nr. SKA-706/2013</w:t>
            </w:r>
            <w:r>
              <w:t xml:space="preserve">). Attiecīgi, ņemot vērā minēto un dzīvokļu īpašnieku kopības normatīvajos tiesību aktos noteiktās pilnvaras un atbildību, nav pamatota ziņojumā ietvertā norāde, ka daudzdzīvokļu mājas dzīvokļu īpašnieki ir izpildījusi visas no viņiem atkarīgās un normatīvajos aktos noteiktās darbības projektu īstenošanā un vēl jo vairāk – ka attiecīgie </w:t>
            </w:r>
            <w:r>
              <w:lastRenderedPageBreak/>
              <w:t>iedzīvotāji nevarēja ietekmēt SIA "</w:t>
            </w:r>
            <w:proofErr w:type="spellStart"/>
            <w:r>
              <w:t>Energo</w:t>
            </w:r>
            <w:proofErr w:type="spellEnd"/>
            <w:r>
              <w:t xml:space="preserve"> pārvalde" rīcību. Turklāt šeit ņemams vērā arī tas, ka dzīvokļu īpašnieki konkrētajā gadījumā ir guvuši labumu no projekta ietvaros veiktajām darbībām, kā arī līgumslēdzējam normatīvajos aktos ir paredzēta tiesiska iespēja vienoties ar finansējuma saņēmēju par pakāpenisku neatbilstoši veikto izdevumu atmaksu, vienojoties par atmaksas grafiku. Līdz ar to nav pamata atzīt, ka neatbilstošo izdevumu atgūšana būtu netaisnīga un nesamērīga.</w:t>
            </w:r>
          </w:p>
          <w:p w14:paraId="6330D794" w14:textId="77777777" w:rsidR="00706ECB" w:rsidRDefault="00706ECB" w:rsidP="00706ECB">
            <w:pPr>
              <w:jc w:val="both"/>
              <w:rPr>
                <w:szCs w:val="22"/>
              </w:rPr>
            </w:pPr>
            <w:r>
              <w:t>Ievērojot minēto, lūdzam izvērtēt un papildināt ziņojumu ar atbilstošu pamatojumu par minētajiem apsvērumiem. Ja minēto pamatojumu nav iespējams sniegt, lūdzam attiecīgi precizēt ziņojumu un lēmuma projektu.</w:t>
            </w:r>
          </w:p>
          <w:p w14:paraId="3DD0B81B" w14:textId="77777777" w:rsidR="00706ECB" w:rsidRPr="00AE0DE7" w:rsidRDefault="00706ECB" w:rsidP="00F971AB">
            <w:pPr>
              <w:jc w:val="both"/>
              <w:rPr>
                <w:iCs/>
              </w:rPr>
            </w:pPr>
          </w:p>
        </w:tc>
        <w:tc>
          <w:tcPr>
            <w:tcW w:w="3402" w:type="dxa"/>
            <w:vMerge/>
            <w:tcBorders>
              <w:left w:val="single" w:sz="4" w:space="0" w:color="auto"/>
              <w:bottom w:val="single" w:sz="4" w:space="0" w:color="auto"/>
              <w:right w:val="single" w:sz="4" w:space="0" w:color="auto"/>
            </w:tcBorders>
          </w:tcPr>
          <w:p w14:paraId="0B33C0F3" w14:textId="77777777" w:rsidR="00706ECB" w:rsidRPr="00AE0B22" w:rsidDel="00706ECB" w:rsidRDefault="00706ECB" w:rsidP="00AE0B22">
            <w:pPr>
              <w:pStyle w:val="naisc"/>
              <w:spacing w:before="0" w:after="0"/>
              <w:jc w:val="both"/>
              <w:rPr>
                <w:b/>
                <w:lang w:eastAsia="en-US"/>
              </w:rPr>
            </w:pPr>
          </w:p>
        </w:tc>
        <w:tc>
          <w:tcPr>
            <w:tcW w:w="3544" w:type="dxa"/>
            <w:vMerge/>
            <w:tcBorders>
              <w:left w:val="single" w:sz="4" w:space="0" w:color="auto"/>
              <w:bottom w:val="single" w:sz="4" w:space="0" w:color="auto"/>
              <w:right w:val="single" w:sz="4" w:space="0" w:color="auto"/>
            </w:tcBorders>
          </w:tcPr>
          <w:p w14:paraId="5B7DD549" w14:textId="77777777" w:rsidR="00706ECB" w:rsidRDefault="00706ECB" w:rsidP="00F971AB">
            <w:pPr>
              <w:pStyle w:val="Default"/>
              <w:jc w:val="both"/>
            </w:pPr>
          </w:p>
        </w:tc>
      </w:tr>
      <w:tr w:rsidR="00F971AB" w14:paraId="064C9417" w14:textId="77777777" w:rsidTr="0003166A">
        <w:trPr>
          <w:trHeight w:val="699"/>
        </w:trPr>
        <w:tc>
          <w:tcPr>
            <w:tcW w:w="704" w:type="dxa"/>
            <w:tcBorders>
              <w:top w:val="single" w:sz="4" w:space="0" w:color="auto"/>
              <w:left w:val="single" w:sz="4" w:space="0" w:color="auto"/>
              <w:bottom w:val="single" w:sz="4" w:space="0" w:color="auto"/>
              <w:right w:val="single" w:sz="4" w:space="0" w:color="auto"/>
            </w:tcBorders>
          </w:tcPr>
          <w:p w14:paraId="5D4BAB09" w14:textId="77777777" w:rsidR="00F971AB" w:rsidRDefault="00F971AB" w:rsidP="00F971AB">
            <w:pPr>
              <w:pStyle w:val="naisc"/>
              <w:numPr>
                <w:ilvl w:val="0"/>
                <w:numId w:val="36"/>
              </w:numPr>
              <w:spacing w:before="0" w:after="0"/>
              <w:ind w:left="313"/>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3AED5F99" w14:textId="4C6CF8E8" w:rsidR="00F971AB" w:rsidRDefault="00F971AB" w:rsidP="00F971AB">
            <w:pPr>
              <w:jc w:val="both"/>
              <w:rPr>
                <w:rFonts w:eastAsiaTheme="minorHAnsi"/>
                <w:lang w:eastAsia="en-US"/>
              </w:rPr>
            </w:pPr>
            <w:r>
              <w:rPr>
                <w:rFonts w:eastAsiaTheme="minorHAnsi"/>
                <w:lang w:eastAsia="en-US"/>
              </w:rPr>
              <w:t xml:space="preserve">Informatīvā ziņojuma 3.sadaļā </w:t>
            </w:r>
            <w:r w:rsidRPr="00DB6DBE">
              <w:rPr>
                <w:rFonts w:eastAsiaTheme="minorHAnsi"/>
                <w:lang w:eastAsia="en-US"/>
              </w:rPr>
              <w:t>“</w:t>
            </w:r>
            <w:r w:rsidRPr="00DB28C3">
              <w:t>2014. - 2020. gada plānošanas perioda ES fondu investīciju aktualitātes</w:t>
            </w:r>
            <w:r w:rsidRPr="00DB6DBE">
              <w:rPr>
                <w:rFonts w:eastAsiaTheme="minorHAnsi"/>
                <w:lang w:eastAsia="en-US"/>
              </w:rPr>
              <w:t xml:space="preserve"> ”</w:t>
            </w:r>
          </w:p>
        </w:tc>
        <w:tc>
          <w:tcPr>
            <w:tcW w:w="5103" w:type="dxa"/>
            <w:tcBorders>
              <w:top w:val="single" w:sz="4" w:space="0" w:color="auto"/>
              <w:left w:val="single" w:sz="4" w:space="0" w:color="auto"/>
              <w:bottom w:val="single" w:sz="4" w:space="0" w:color="auto"/>
              <w:right w:val="single" w:sz="4" w:space="0" w:color="auto"/>
            </w:tcBorders>
          </w:tcPr>
          <w:p w14:paraId="15EEBFBE" w14:textId="77777777" w:rsidR="00F971AB" w:rsidRPr="00DB6DBE" w:rsidRDefault="00F971AB" w:rsidP="00F971AB">
            <w:pPr>
              <w:widowControl w:val="0"/>
              <w:jc w:val="both"/>
              <w:rPr>
                <w:b/>
                <w:lang w:eastAsia="en-US"/>
              </w:rPr>
            </w:pPr>
            <w:r w:rsidRPr="00DB6DBE">
              <w:rPr>
                <w:b/>
                <w:lang w:eastAsia="en-US"/>
              </w:rPr>
              <w:t>Tieslietu ministrija</w:t>
            </w:r>
          </w:p>
          <w:p w14:paraId="282F252E" w14:textId="46F507B3" w:rsidR="00F971AB" w:rsidRDefault="00F971AB" w:rsidP="00F971AB">
            <w:pPr>
              <w:widowControl w:val="0"/>
              <w:jc w:val="both"/>
              <w:rPr>
                <w:lang w:eastAsia="en-US"/>
              </w:rPr>
            </w:pPr>
            <w:r w:rsidRPr="00DB6DBE">
              <w:rPr>
                <w:lang w:eastAsia="en-US"/>
              </w:rPr>
              <w:t xml:space="preserve">Saskaņā ar Ministru kabineta 2009. gada 7. aprīļa noteikumu Nr. 300 "Ministru kabineta kārtības rullis" 10. punktu ministrijas, īpašu uzdevumu ministra sekretariāta, Ministru prezidenta biedra biroja, Valsts kancelejas vai Ministru prezidenta padotībā esošas valsts pārvaldes iestādes izstrādāto šo noteikumu 2. punktā minēto dokumentu izskatīšanai Ministru kabineta komitejas sēdē vai Ministru kabineta sēdē ir tiesīgs iesniegt Ministru kabineta loceklis. Attiecīgi lūdzam precizēt ziņojuma 3. sadaļā 12. lpp. norādīto, ka Finanšu ministrija iesniegs Ministru kabinetā apkopojošu ziņojumu ar priekšlikumiem snieguma rezerves un finansējuma atlikumu tālākai izmantošanai. Tāpat līdzīgi lūdzam precizēt ziņojumu sadaļā "Citas definīcijas un skaidrojumi:" 5. lpp., kur noteikts, ka pienākums iesniegt informatīvo ziņojumu ir Finanšu ministrijai. Šeit papildus norādām, ka </w:t>
            </w:r>
            <w:r w:rsidRPr="00DB6DBE">
              <w:rPr>
                <w:lang w:eastAsia="en-US"/>
              </w:rPr>
              <w:lastRenderedPageBreak/>
              <w:t xml:space="preserve">atbilstoši Ministru kabineta 2014. gada 16. septembra sēdes </w:t>
            </w:r>
            <w:proofErr w:type="spellStart"/>
            <w:r w:rsidRPr="00DB6DBE">
              <w:rPr>
                <w:lang w:eastAsia="en-US"/>
              </w:rPr>
              <w:t>protokollēmuma</w:t>
            </w:r>
            <w:proofErr w:type="spellEnd"/>
            <w:r w:rsidRPr="00DB6DBE">
              <w:rPr>
                <w:lang w:eastAsia="en-US"/>
              </w:rPr>
              <w:t xml:space="preserve"> 49., 57. § 4. punktam Finanšu ministrijai uzdots izstrādāt un finanšu ministram divas reizes gadā – līdz 1. martam un 1. septembrim – iesniegt noteiktā kārtībā Ministru kabinetā informatīvo ziņojumu par Eiropas Savienības struktūrfondu un Kohēzijas fonda, Eiropas Ekonomikas zonas finanšu instrumenta, Norvēģijas finanšu instrumenta un Latvijas un Šveices sadarbības programmas apguvi.</w:t>
            </w:r>
          </w:p>
        </w:tc>
        <w:tc>
          <w:tcPr>
            <w:tcW w:w="3402" w:type="dxa"/>
            <w:tcBorders>
              <w:top w:val="single" w:sz="4" w:space="0" w:color="auto"/>
              <w:left w:val="single" w:sz="4" w:space="0" w:color="auto"/>
              <w:bottom w:val="single" w:sz="4" w:space="0" w:color="auto"/>
              <w:right w:val="single" w:sz="4" w:space="0" w:color="auto"/>
            </w:tcBorders>
          </w:tcPr>
          <w:p w14:paraId="754EF7E8" w14:textId="77777777" w:rsidR="00F971AB" w:rsidRDefault="00F971AB" w:rsidP="00F971AB">
            <w:pPr>
              <w:pStyle w:val="naisc"/>
              <w:spacing w:before="0" w:after="0"/>
              <w:jc w:val="both"/>
              <w:rPr>
                <w:b/>
                <w:lang w:eastAsia="en-US"/>
              </w:rPr>
            </w:pPr>
            <w:r w:rsidRPr="009573FC">
              <w:rPr>
                <w:b/>
                <w:lang w:eastAsia="en-US"/>
              </w:rPr>
              <w:lastRenderedPageBreak/>
              <w:t>Ņemts vērā</w:t>
            </w:r>
          </w:p>
          <w:p w14:paraId="33B21AA5" w14:textId="2A5AC402" w:rsidR="00F971AB" w:rsidRPr="009F78EA" w:rsidRDefault="00F971AB" w:rsidP="00F971AB">
            <w:pPr>
              <w:pStyle w:val="naisc"/>
              <w:spacing w:before="0" w:after="0"/>
              <w:jc w:val="both"/>
              <w:rPr>
                <w:lang w:eastAsia="en-US"/>
              </w:rPr>
            </w:pPr>
            <w:r>
              <w:rPr>
                <w:lang w:eastAsia="en-US"/>
              </w:rPr>
              <w:t xml:space="preserve">Informatīvā ziņojuma </w:t>
            </w:r>
            <w:r w:rsidRPr="009F78EA">
              <w:rPr>
                <w:lang w:eastAsia="en-US"/>
              </w:rPr>
              <w:t>sadaļā “2014. - 2020. gada plānošanas perioda ES fondu investīciju aktualitātes</w:t>
            </w:r>
            <w:r>
              <w:rPr>
                <w:lang w:eastAsia="en-US"/>
              </w:rPr>
              <w:t xml:space="preserve"> un sadaļā “Citi skaidrojumi” informācija precizēta.</w:t>
            </w:r>
          </w:p>
        </w:tc>
        <w:tc>
          <w:tcPr>
            <w:tcW w:w="3544" w:type="dxa"/>
            <w:tcBorders>
              <w:top w:val="single" w:sz="4" w:space="0" w:color="auto"/>
              <w:left w:val="single" w:sz="4" w:space="0" w:color="auto"/>
              <w:bottom w:val="single" w:sz="4" w:space="0" w:color="auto"/>
              <w:right w:val="single" w:sz="4" w:space="0" w:color="auto"/>
            </w:tcBorders>
          </w:tcPr>
          <w:p w14:paraId="2D5FF524" w14:textId="13F3CB32" w:rsidR="00F971AB" w:rsidRDefault="00F971AB" w:rsidP="00F971AB">
            <w:pPr>
              <w:pStyle w:val="Default"/>
              <w:jc w:val="both"/>
            </w:pPr>
            <w:r>
              <w:t>Skatīt i</w:t>
            </w:r>
            <w:r w:rsidRPr="00FA6CDE">
              <w:t>nformatīvā ziņojuma sadaļ</w:t>
            </w:r>
            <w:r>
              <w:t>u</w:t>
            </w:r>
            <w:r w:rsidRPr="00FA6CDE">
              <w:t xml:space="preserve"> “2014. - 2020. gada plānošanas perioda ES fondu investīciju aktualitātes</w:t>
            </w:r>
            <w:r>
              <w:t>” 13.lpp un sadaļu</w:t>
            </w:r>
            <w:r w:rsidRPr="00FA6CDE">
              <w:t xml:space="preserve"> “Citi skaidrojumi”</w:t>
            </w:r>
            <w:r>
              <w:t xml:space="preserve"> 5.lpp.</w:t>
            </w:r>
          </w:p>
          <w:p w14:paraId="52B509FA" w14:textId="347A008A" w:rsidR="00F971AB" w:rsidRDefault="00F971AB" w:rsidP="00F971AB">
            <w:pPr>
              <w:pStyle w:val="Default"/>
              <w:jc w:val="both"/>
            </w:pPr>
          </w:p>
        </w:tc>
      </w:tr>
      <w:tr w:rsidR="00F971AB" w14:paraId="39376609" w14:textId="77777777" w:rsidTr="0003166A">
        <w:trPr>
          <w:trHeight w:val="699"/>
        </w:trPr>
        <w:tc>
          <w:tcPr>
            <w:tcW w:w="704" w:type="dxa"/>
            <w:tcBorders>
              <w:top w:val="single" w:sz="4" w:space="0" w:color="auto"/>
              <w:left w:val="single" w:sz="4" w:space="0" w:color="auto"/>
              <w:bottom w:val="single" w:sz="4" w:space="0" w:color="auto"/>
              <w:right w:val="single" w:sz="4" w:space="0" w:color="auto"/>
            </w:tcBorders>
          </w:tcPr>
          <w:p w14:paraId="64D34D95" w14:textId="77777777" w:rsidR="00F971AB" w:rsidRDefault="00F971AB" w:rsidP="00F971AB">
            <w:pPr>
              <w:pStyle w:val="naisc"/>
              <w:numPr>
                <w:ilvl w:val="0"/>
                <w:numId w:val="36"/>
              </w:numPr>
              <w:spacing w:before="0" w:after="0"/>
              <w:ind w:left="313"/>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19543834" w14:textId="6A7CAF6D" w:rsidR="00F971AB" w:rsidRDefault="00F971AB" w:rsidP="00F971AB">
            <w:pPr>
              <w:jc w:val="both"/>
              <w:rPr>
                <w:rFonts w:eastAsiaTheme="minorHAnsi"/>
                <w:lang w:eastAsia="en-US"/>
              </w:rPr>
            </w:pPr>
            <w:r>
              <w:rPr>
                <w:rFonts w:eastAsiaTheme="minorHAnsi"/>
                <w:lang w:eastAsia="en-US"/>
              </w:rPr>
              <w:t>Informatīvais ziņojums</w:t>
            </w:r>
          </w:p>
        </w:tc>
        <w:tc>
          <w:tcPr>
            <w:tcW w:w="5103" w:type="dxa"/>
            <w:tcBorders>
              <w:top w:val="single" w:sz="4" w:space="0" w:color="auto"/>
              <w:left w:val="single" w:sz="4" w:space="0" w:color="auto"/>
              <w:bottom w:val="single" w:sz="4" w:space="0" w:color="auto"/>
              <w:right w:val="single" w:sz="4" w:space="0" w:color="auto"/>
            </w:tcBorders>
          </w:tcPr>
          <w:p w14:paraId="771A5BCE" w14:textId="77777777" w:rsidR="00F971AB" w:rsidRPr="00DB6DBE" w:rsidRDefault="00F971AB" w:rsidP="00F971AB">
            <w:pPr>
              <w:widowControl w:val="0"/>
              <w:jc w:val="both"/>
              <w:rPr>
                <w:b/>
                <w:lang w:eastAsia="en-US"/>
              </w:rPr>
            </w:pPr>
            <w:r w:rsidRPr="00DB6DBE">
              <w:rPr>
                <w:b/>
                <w:lang w:eastAsia="en-US"/>
              </w:rPr>
              <w:t>Tieslietu ministrija</w:t>
            </w:r>
          </w:p>
          <w:p w14:paraId="17BCA9C6" w14:textId="77777777" w:rsidR="00F971AB" w:rsidRPr="00CC046D" w:rsidRDefault="00F971AB" w:rsidP="00F971AB">
            <w:pPr>
              <w:jc w:val="both"/>
              <w:rPr>
                <w:iCs/>
              </w:rPr>
            </w:pPr>
            <w:r w:rsidRPr="00CC046D">
              <w:rPr>
                <w:iCs/>
              </w:rPr>
              <w:t>Vēršam uzmanību, ka ziņojumā vairākos gadījumos nav ievērotas juridiskās tehnikas prasības saīsinājumu lietošanai, apgrūtinot ziņojuma skaidrību un nepārprotamu izpratni. Proti, nav noformētas atsauces, piem., attiecībā uz Izglītības un zinātnes ministriju (ziņojuma 5. sadaļā 21. lpp.), "FI" (ziņojuma 7. sadaļā 27. lpp.), kā arī nav vai nav konsekventi lietotas izveidotās atsauces attiecībā uz informāciju un komunikāciju tehnoloģijām (ziņojuma 3. sadaļā 18. lpp.)</w:t>
            </w:r>
            <w:r w:rsidRPr="00CC046D">
              <w:t xml:space="preserve">, </w:t>
            </w:r>
            <w:r w:rsidRPr="00CC046D">
              <w:rPr>
                <w:iCs/>
              </w:rPr>
              <w:t>Eiropas Parlamenta un Padomes 2013. gada 17. decembra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1303/2013) (ziņojuma 3. sadaļā 14. lpp.)</w:t>
            </w:r>
            <w:r>
              <w:rPr>
                <w:iCs/>
              </w:rPr>
              <w:t>,</w:t>
            </w:r>
            <w:r w:rsidRPr="00CC046D">
              <w:rPr>
                <w:iCs/>
              </w:rPr>
              <w:t xml:space="preserve"> un projektu (ziņojuma 5. sadaļā 26. lpp.).</w:t>
            </w:r>
          </w:p>
          <w:p w14:paraId="3BC9C0A9" w14:textId="77777777" w:rsidR="00F971AB" w:rsidRPr="00CC046D" w:rsidRDefault="00F971AB" w:rsidP="00F971AB">
            <w:pPr>
              <w:jc w:val="both"/>
              <w:rPr>
                <w:iCs/>
              </w:rPr>
            </w:pPr>
            <w:r w:rsidRPr="00CC046D">
              <w:rPr>
                <w:iCs/>
              </w:rPr>
              <w:lastRenderedPageBreak/>
              <w:t>Ievērojot minēto, lūdzam pārskatīt un visā ziņojumā lietotos saīsinājumus noformēt atbilstoši juridiskās tehnikas prasībai – lietoto saīsinājumu pirmo reizi rakstot, atšifrē, iekavās norādot tā turpmāko lietojumu – vai norādot tos ziņojumā sadaļā "Saīsinājumi" un turpmāk pamattekstā konsekventi ievērojot.</w:t>
            </w:r>
          </w:p>
          <w:p w14:paraId="4EFCEC05" w14:textId="77777777" w:rsidR="00F971AB" w:rsidRDefault="00F971AB" w:rsidP="00F971AB">
            <w:pPr>
              <w:widowControl w:val="0"/>
              <w:jc w:val="both"/>
              <w:rPr>
                <w:lang w:eastAsia="en-US"/>
              </w:rPr>
            </w:pPr>
          </w:p>
        </w:tc>
        <w:tc>
          <w:tcPr>
            <w:tcW w:w="3402" w:type="dxa"/>
            <w:tcBorders>
              <w:top w:val="single" w:sz="4" w:space="0" w:color="auto"/>
              <w:left w:val="single" w:sz="4" w:space="0" w:color="auto"/>
              <w:bottom w:val="single" w:sz="4" w:space="0" w:color="auto"/>
              <w:right w:val="single" w:sz="4" w:space="0" w:color="auto"/>
            </w:tcBorders>
          </w:tcPr>
          <w:p w14:paraId="60335471" w14:textId="271AC179" w:rsidR="00F971AB" w:rsidRDefault="00F971AB" w:rsidP="00F971AB">
            <w:pPr>
              <w:pStyle w:val="naisc"/>
              <w:spacing w:before="0" w:after="0"/>
              <w:jc w:val="both"/>
              <w:rPr>
                <w:b/>
                <w:lang w:eastAsia="en-US"/>
              </w:rPr>
            </w:pPr>
            <w:r>
              <w:rPr>
                <w:b/>
                <w:lang w:eastAsia="en-US"/>
              </w:rPr>
              <w:lastRenderedPageBreak/>
              <w:t>Ņemts vērā</w:t>
            </w:r>
          </w:p>
          <w:p w14:paraId="57F76072" w14:textId="3CD00755" w:rsidR="00F971AB" w:rsidRDefault="00F971AB" w:rsidP="00F971AB">
            <w:pPr>
              <w:pStyle w:val="naisc"/>
              <w:spacing w:before="0" w:after="0"/>
              <w:jc w:val="both"/>
              <w:rPr>
                <w:lang w:eastAsia="en-US"/>
              </w:rPr>
            </w:pPr>
            <w:r>
              <w:t>Visā ziņojumā veikti labojumi saīsinājumu korektai lietošanai.</w:t>
            </w:r>
          </w:p>
        </w:tc>
        <w:tc>
          <w:tcPr>
            <w:tcW w:w="3544" w:type="dxa"/>
            <w:tcBorders>
              <w:top w:val="single" w:sz="4" w:space="0" w:color="auto"/>
              <w:left w:val="single" w:sz="4" w:space="0" w:color="auto"/>
              <w:bottom w:val="single" w:sz="4" w:space="0" w:color="auto"/>
              <w:right w:val="single" w:sz="4" w:space="0" w:color="auto"/>
            </w:tcBorders>
          </w:tcPr>
          <w:p w14:paraId="483BCD14" w14:textId="5FD42F11" w:rsidR="00F971AB" w:rsidRDefault="00F971AB" w:rsidP="00F971AB">
            <w:pPr>
              <w:pStyle w:val="Default"/>
              <w:jc w:val="center"/>
            </w:pPr>
            <w:r>
              <w:t>-</w:t>
            </w:r>
          </w:p>
        </w:tc>
      </w:tr>
      <w:tr w:rsidR="00F971AB" w14:paraId="7DF9D655" w14:textId="77777777" w:rsidTr="0003166A">
        <w:trPr>
          <w:trHeight w:val="699"/>
        </w:trPr>
        <w:tc>
          <w:tcPr>
            <w:tcW w:w="704" w:type="dxa"/>
            <w:tcBorders>
              <w:top w:val="single" w:sz="4" w:space="0" w:color="auto"/>
              <w:left w:val="single" w:sz="4" w:space="0" w:color="auto"/>
              <w:bottom w:val="single" w:sz="4" w:space="0" w:color="auto"/>
              <w:right w:val="single" w:sz="4" w:space="0" w:color="auto"/>
            </w:tcBorders>
          </w:tcPr>
          <w:p w14:paraId="0BB70AA7" w14:textId="77777777" w:rsidR="00F971AB" w:rsidRDefault="00F971AB" w:rsidP="00F971AB">
            <w:pPr>
              <w:pStyle w:val="naisc"/>
              <w:numPr>
                <w:ilvl w:val="0"/>
                <w:numId w:val="36"/>
              </w:numPr>
              <w:spacing w:before="0" w:after="0"/>
              <w:ind w:left="313"/>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08206B0F" w14:textId="4D218100" w:rsidR="00F971AB" w:rsidRDefault="00F971AB" w:rsidP="00F971AB">
            <w:pPr>
              <w:jc w:val="both"/>
              <w:rPr>
                <w:rFonts w:eastAsiaTheme="minorHAnsi"/>
                <w:lang w:eastAsia="en-US"/>
              </w:rPr>
            </w:pPr>
            <w:r w:rsidRPr="00DB6DBE">
              <w:rPr>
                <w:rFonts w:eastAsiaTheme="minorHAnsi"/>
                <w:lang w:eastAsia="en-US"/>
              </w:rPr>
              <w:t>Informatīvā ziņojuma 6.sadaļā “Projektos konstatētie pārkāpumi ar finansiālu ietekmi”</w:t>
            </w:r>
          </w:p>
        </w:tc>
        <w:tc>
          <w:tcPr>
            <w:tcW w:w="5103" w:type="dxa"/>
            <w:tcBorders>
              <w:top w:val="single" w:sz="4" w:space="0" w:color="auto"/>
              <w:left w:val="single" w:sz="4" w:space="0" w:color="auto"/>
              <w:bottom w:val="single" w:sz="4" w:space="0" w:color="auto"/>
              <w:right w:val="single" w:sz="4" w:space="0" w:color="auto"/>
            </w:tcBorders>
          </w:tcPr>
          <w:p w14:paraId="305415AB" w14:textId="77777777" w:rsidR="00F971AB" w:rsidRPr="00DB6DBE" w:rsidRDefault="00F971AB" w:rsidP="00F971AB">
            <w:pPr>
              <w:widowControl w:val="0"/>
              <w:jc w:val="both"/>
              <w:rPr>
                <w:b/>
                <w:lang w:eastAsia="en-US"/>
              </w:rPr>
            </w:pPr>
            <w:r w:rsidRPr="00DB6DBE">
              <w:rPr>
                <w:b/>
                <w:lang w:eastAsia="en-US"/>
              </w:rPr>
              <w:t>Tieslietu ministrija</w:t>
            </w:r>
          </w:p>
          <w:p w14:paraId="5EB7CF60" w14:textId="3544CBB4" w:rsidR="00F971AB" w:rsidRDefault="00F971AB" w:rsidP="00F971AB">
            <w:pPr>
              <w:widowControl w:val="0"/>
              <w:jc w:val="both"/>
              <w:rPr>
                <w:lang w:eastAsia="en-US"/>
              </w:rPr>
            </w:pPr>
            <w:r w:rsidRPr="00CC046D">
              <w:rPr>
                <w:iCs/>
              </w:rPr>
              <w:t>Lūdzam ziņojuma 6. sadaļā 22. lpp. korekti norādīt</w:t>
            </w:r>
            <w:r w:rsidRPr="00CC046D">
              <w:t xml:space="preserve"> konkrētu </w:t>
            </w:r>
            <w:r w:rsidRPr="00CC046D">
              <w:rPr>
                <w:iCs/>
              </w:rPr>
              <w:t>regulas Nr. 1303/2013 normu, jo minētajā regulā nav 36. punkta.</w:t>
            </w:r>
          </w:p>
        </w:tc>
        <w:tc>
          <w:tcPr>
            <w:tcW w:w="3402" w:type="dxa"/>
            <w:tcBorders>
              <w:top w:val="single" w:sz="4" w:space="0" w:color="auto"/>
              <w:left w:val="single" w:sz="4" w:space="0" w:color="auto"/>
              <w:bottom w:val="single" w:sz="4" w:space="0" w:color="auto"/>
              <w:right w:val="single" w:sz="4" w:space="0" w:color="auto"/>
            </w:tcBorders>
          </w:tcPr>
          <w:p w14:paraId="7D045F04" w14:textId="3D782C4F" w:rsidR="00F971AB" w:rsidRDefault="00F971AB" w:rsidP="00F971AB">
            <w:pPr>
              <w:pStyle w:val="naisc"/>
              <w:spacing w:before="0" w:after="0"/>
              <w:jc w:val="both"/>
            </w:pPr>
            <w:r w:rsidRPr="00200E28">
              <w:rPr>
                <w:b/>
                <w:lang w:eastAsia="en-US"/>
              </w:rPr>
              <w:t>Ņemts vērā</w:t>
            </w:r>
          </w:p>
          <w:p w14:paraId="4C9B872B" w14:textId="5B333BE3" w:rsidR="00F971AB" w:rsidRPr="00200E28" w:rsidRDefault="00F971AB" w:rsidP="00F971AB">
            <w:pPr>
              <w:pStyle w:val="naisc"/>
              <w:spacing w:before="0" w:after="0"/>
              <w:jc w:val="both"/>
              <w:rPr>
                <w:b/>
                <w:lang w:eastAsia="en-US"/>
              </w:rPr>
            </w:pPr>
            <w:r w:rsidRPr="00200E28">
              <w:t xml:space="preserve">Informatīvā ziņojuma sadaļā </w:t>
            </w:r>
            <w:r w:rsidRPr="009F78EA">
              <w:t>“Projektos konstatētie pārkāpumi ar finansiālu ietekmi”</w:t>
            </w:r>
            <w:r>
              <w:t xml:space="preserve"> zemsvītras atsaucē </w:t>
            </w:r>
            <w:r w:rsidRPr="00200E28">
              <w:t>ir precizēta attiecīgās regulas norma.</w:t>
            </w:r>
          </w:p>
        </w:tc>
        <w:tc>
          <w:tcPr>
            <w:tcW w:w="3544" w:type="dxa"/>
            <w:tcBorders>
              <w:top w:val="single" w:sz="4" w:space="0" w:color="auto"/>
              <w:left w:val="single" w:sz="4" w:space="0" w:color="auto"/>
              <w:bottom w:val="single" w:sz="4" w:space="0" w:color="auto"/>
              <w:right w:val="single" w:sz="4" w:space="0" w:color="auto"/>
            </w:tcBorders>
          </w:tcPr>
          <w:p w14:paraId="059D48AD" w14:textId="694EAACA" w:rsidR="00F971AB" w:rsidRDefault="00F971AB" w:rsidP="00F971AB">
            <w:pPr>
              <w:pStyle w:val="Default"/>
              <w:jc w:val="both"/>
            </w:pPr>
            <w:r>
              <w:t>Skatīt i</w:t>
            </w:r>
            <w:r w:rsidRPr="00FA6CDE">
              <w:t xml:space="preserve">nformatīvā ziņojuma </w:t>
            </w:r>
            <w:proofErr w:type="spellStart"/>
            <w:r>
              <w:t>apakš</w:t>
            </w:r>
            <w:r w:rsidRPr="00FA6CDE">
              <w:t>sadaļ</w:t>
            </w:r>
            <w:r>
              <w:t>u</w:t>
            </w:r>
            <w:proofErr w:type="spellEnd"/>
            <w:r w:rsidRPr="00FA6CDE">
              <w:t xml:space="preserve"> “</w:t>
            </w:r>
            <w:r>
              <w:t xml:space="preserve"> </w:t>
            </w:r>
            <w:r w:rsidRPr="00FA6CDE">
              <w:t xml:space="preserve">ES fondu 2014. – 2020. gada plānošanas periods” </w:t>
            </w:r>
            <w:r w:rsidR="0061403A">
              <w:t>24</w:t>
            </w:r>
            <w:r>
              <w:t>.lpp.</w:t>
            </w:r>
          </w:p>
        </w:tc>
      </w:tr>
      <w:tr w:rsidR="00F971AB" w14:paraId="4B3DC6E4" w14:textId="77777777" w:rsidTr="0003166A">
        <w:trPr>
          <w:trHeight w:val="699"/>
        </w:trPr>
        <w:tc>
          <w:tcPr>
            <w:tcW w:w="704" w:type="dxa"/>
            <w:tcBorders>
              <w:top w:val="single" w:sz="4" w:space="0" w:color="auto"/>
              <w:left w:val="single" w:sz="4" w:space="0" w:color="auto"/>
              <w:bottom w:val="single" w:sz="4" w:space="0" w:color="auto"/>
              <w:right w:val="single" w:sz="4" w:space="0" w:color="auto"/>
            </w:tcBorders>
          </w:tcPr>
          <w:p w14:paraId="15E5E0F9" w14:textId="77777777" w:rsidR="00F971AB" w:rsidRDefault="00F971AB" w:rsidP="00F971AB">
            <w:pPr>
              <w:pStyle w:val="naisc"/>
              <w:numPr>
                <w:ilvl w:val="0"/>
                <w:numId w:val="36"/>
              </w:numPr>
              <w:spacing w:before="0" w:after="0"/>
              <w:ind w:left="313"/>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2EF47E62" w14:textId="0B6CD4CA" w:rsidR="00F971AB" w:rsidRDefault="00F971AB" w:rsidP="00F971AB">
            <w:pPr>
              <w:jc w:val="both"/>
              <w:rPr>
                <w:rFonts w:eastAsiaTheme="minorHAnsi"/>
                <w:lang w:eastAsia="en-US"/>
              </w:rPr>
            </w:pPr>
            <w:r w:rsidRPr="00DB6DBE">
              <w:rPr>
                <w:rFonts w:eastAsiaTheme="minorHAnsi"/>
                <w:lang w:eastAsia="en-US"/>
              </w:rPr>
              <w:t>Informatīvā ziņojuma 6.sadaļā “Projektos konstatētie pārkāpumi ar finansiālu ietekmi”</w:t>
            </w:r>
          </w:p>
        </w:tc>
        <w:tc>
          <w:tcPr>
            <w:tcW w:w="5103" w:type="dxa"/>
            <w:tcBorders>
              <w:top w:val="single" w:sz="4" w:space="0" w:color="auto"/>
              <w:left w:val="single" w:sz="4" w:space="0" w:color="auto"/>
              <w:bottom w:val="single" w:sz="4" w:space="0" w:color="auto"/>
              <w:right w:val="single" w:sz="4" w:space="0" w:color="auto"/>
            </w:tcBorders>
          </w:tcPr>
          <w:p w14:paraId="5770E3E6" w14:textId="77777777" w:rsidR="00F971AB" w:rsidRPr="00DB6DBE" w:rsidRDefault="00F971AB" w:rsidP="00F971AB">
            <w:pPr>
              <w:widowControl w:val="0"/>
              <w:jc w:val="both"/>
              <w:rPr>
                <w:b/>
                <w:lang w:eastAsia="en-US"/>
              </w:rPr>
            </w:pPr>
            <w:r w:rsidRPr="00DB6DBE">
              <w:rPr>
                <w:b/>
                <w:lang w:eastAsia="en-US"/>
              </w:rPr>
              <w:t>Tieslietu ministrija</w:t>
            </w:r>
          </w:p>
          <w:p w14:paraId="74A14BD7" w14:textId="4F568827" w:rsidR="00F971AB" w:rsidRDefault="00F971AB" w:rsidP="00F971AB">
            <w:pPr>
              <w:widowControl w:val="0"/>
              <w:jc w:val="both"/>
              <w:rPr>
                <w:lang w:eastAsia="en-US"/>
              </w:rPr>
            </w:pPr>
            <w:r w:rsidRPr="00176A95">
              <w:t>Lūdzam ziņojuma 6. sadaļā 26. lpp. korekti atsaukties uz Ministru kabineta 2013. gada 29. janvāra noteikumiem Nr. 67 "Eiropas Ekonomikas zonas finanšu instrumenta un Norvēģijas finanšu instrumenta 2009.–2014. gada perioda uzraudzības noteikumi", bet 7. sadaļas 29. lpp. – uz Ministru kabineta 2015. gada</w:t>
            </w:r>
            <w:r w:rsidRPr="00CC046D">
              <w:rPr>
                <w:iCs/>
              </w:rPr>
              <w:t xml:space="preserve"> 10. februāra noteikumiem "Grozījumi Ministru kabineta 2015. gada 10. februāra noteikumos Nr. 77 "Eiropas Savienības struktūrfondu un Kohēzijas fonda projektu pārbaužu veikšanas kārtība 2014.–2020. gada plānošanas periodā"". Norādām, ka atbilstoši juridiskās tehnikas prasībām juridiskā dokumenta tekstā ir norādāms pilns Latvijas normatīvo aktu nosaukums, izvairoties no saīsinājumu lietošanas to pierakstā.</w:t>
            </w:r>
          </w:p>
        </w:tc>
        <w:tc>
          <w:tcPr>
            <w:tcW w:w="3402" w:type="dxa"/>
            <w:tcBorders>
              <w:top w:val="single" w:sz="4" w:space="0" w:color="auto"/>
              <w:left w:val="single" w:sz="4" w:space="0" w:color="auto"/>
              <w:bottom w:val="single" w:sz="4" w:space="0" w:color="auto"/>
              <w:right w:val="single" w:sz="4" w:space="0" w:color="auto"/>
            </w:tcBorders>
          </w:tcPr>
          <w:p w14:paraId="016ABB86" w14:textId="77777777" w:rsidR="00F971AB" w:rsidRDefault="00F971AB" w:rsidP="00F971AB">
            <w:pPr>
              <w:pStyle w:val="naisc"/>
              <w:spacing w:before="0" w:after="0"/>
              <w:jc w:val="both"/>
              <w:rPr>
                <w:b/>
                <w:lang w:eastAsia="en-US"/>
              </w:rPr>
            </w:pPr>
            <w:r w:rsidRPr="009E31F3">
              <w:rPr>
                <w:b/>
                <w:lang w:eastAsia="en-US"/>
              </w:rPr>
              <w:t>Ņemts vērā</w:t>
            </w:r>
          </w:p>
          <w:p w14:paraId="5A896EA2" w14:textId="05F6ED0C" w:rsidR="00F971AB" w:rsidRDefault="00F971AB" w:rsidP="00F971AB">
            <w:pPr>
              <w:pStyle w:val="Default"/>
              <w:jc w:val="both"/>
            </w:pPr>
            <w:r>
              <w:t xml:space="preserve">Informatīvā ziņojuma </w:t>
            </w:r>
            <w:proofErr w:type="spellStart"/>
            <w:r>
              <w:t>apakš</w:t>
            </w:r>
            <w:r w:rsidRPr="00200E28">
              <w:t>sadaļā</w:t>
            </w:r>
            <w:proofErr w:type="spellEnd"/>
            <w:r>
              <w:t xml:space="preserve"> “</w:t>
            </w:r>
            <w:r w:rsidRPr="00FA6CDE">
              <w:t>EEZ/Norvēģijas finanšu instrumentu 2009.-2014.</w:t>
            </w:r>
            <w:r>
              <w:t> </w:t>
            </w:r>
            <w:r w:rsidRPr="00FA6CDE">
              <w:t xml:space="preserve">gada perioda atmaksas </w:t>
            </w:r>
            <w:proofErr w:type="spellStart"/>
            <w:r w:rsidRPr="00FA6CDE">
              <w:t>donorvalstīm</w:t>
            </w:r>
            <w:proofErr w:type="spellEnd"/>
            <w:r>
              <w:t>” precizēta atsauce uz MK</w:t>
            </w:r>
            <w:r w:rsidRPr="00200E28">
              <w:t xml:space="preserve"> 2013. gada 29. janvāra noteikumiem Nr. 67 "Eiropas Ekonomikas zonas finanšu instrumenta un Norvēģijas finanšu instrumenta 2009.–2014. gada perioda uzraudzības noteikumi".</w:t>
            </w:r>
            <w:r>
              <w:t xml:space="preserve"> </w:t>
            </w:r>
          </w:p>
          <w:p w14:paraId="7C7C5283" w14:textId="677720A4" w:rsidR="00F971AB" w:rsidRDefault="00F971AB" w:rsidP="00F971AB">
            <w:pPr>
              <w:pStyle w:val="naisc"/>
              <w:spacing w:before="0" w:after="0"/>
              <w:jc w:val="both"/>
            </w:pPr>
            <w:r>
              <w:t xml:space="preserve">Informatīvā ziņojuma </w:t>
            </w:r>
            <w:proofErr w:type="spellStart"/>
            <w:r>
              <w:t>apakšsadaļā</w:t>
            </w:r>
            <w:proofErr w:type="spellEnd"/>
            <w:r>
              <w:t xml:space="preserve"> “</w:t>
            </w:r>
            <w:r w:rsidRPr="00EC64D5">
              <w:t>Stiprināta normatīvā bāze un metodikas ES fondu ieviešanā</w:t>
            </w:r>
            <w:r>
              <w:t xml:space="preserve">” precizēta atsauce uz </w:t>
            </w:r>
            <w:r w:rsidRPr="00200E28">
              <w:t>MK 2019. gada 26.</w:t>
            </w:r>
            <w:r>
              <w:t> </w:t>
            </w:r>
            <w:r w:rsidRPr="00200E28">
              <w:t>marta noteikumi</w:t>
            </w:r>
            <w:r>
              <w:t>em</w:t>
            </w:r>
            <w:r w:rsidRPr="00200E28">
              <w:t xml:space="preserve"> Nr.129 "Grozījumi MK 2015. gada 10.</w:t>
            </w:r>
            <w:r>
              <w:t> </w:t>
            </w:r>
            <w:r w:rsidRPr="00200E28">
              <w:t>februāra noteikumos Nr. 77</w:t>
            </w:r>
            <w:r>
              <w:t>.</w:t>
            </w:r>
          </w:p>
          <w:p w14:paraId="6AE779EE" w14:textId="4DC1B03F" w:rsidR="00F971AB" w:rsidRPr="009E31F3" w:rsidRDefault="00F971AB" w:rsidP="00F971AB">
            <w:pPr>
              <w:pStyle w:val="naisc"/>
              <w:spacing w:before="0" w:after="0"/>
              <w:jc w:val="both"/>
              <w:rPr>
                <w:lang w:eastAsia="en-US"/>
              </w:rPr>
            </w:pPr>
            <w:r w:rsidRPr="00EC64D5">
              <w:rPr>
                <w:lang w:eastAsia="en-US"/>
              </w:rPr>
              <w:lastRenderedPageBreak/>
              <w:t>Vēršam uzmanību, ka ziņojuma tekstā ir lietots MK noteikumu saīsinājumu, bet pilnais nosaukums ir papildināts sadaļā “Citi skaidrojumi”</w:t>
            </w:r>
            <w:r>
              <w:rPr>
                <w:lang w:eastAsia="en-US"/>
              </w:rPr>
              <w:t>.</w:t>
            </w:r>
          </w:p>
        </w:tc>
        <w:tc>
          <w:tcPr>
            <w:tcW w:w="3544" w:type="dxa"/>
            <w:tcBorders>
              <w:top w:val="single" w:sz="4" w:space="0" w:color="auto"/>
              <w:left w:val="single" w:sz="4" w:space="0" w:color="auto"/>
              <w:bottom w:val="single" w:sz="4" w:space="0" w:color="auto"/>
              <w:right w:val="single" w:sz="4" w:space="0" w:color="auto"/>
            </w:tcBorders>
          </w:tcPr>
          <w:p w14:paraId="4D3D7EFE" w14:textId="476AA7C0" w:rsidR="00F971AB" w:rsidRDefault="00F971AB" w:rsidP="00F971AB">
            <w:pPr>
              <w:pStyle w:val="Default"/>
              <w:jc w:val="both"/>
            </w:pPr>
            <w:r>
              <w:lastRenderedPageBreak/>
              <w:t xml:space="preserve">Skatīt precizējumus informatīvā ziņojuma </w:t>
            </w:r>
            <w:proofErr w:type="spellStart"/>
            <w:r>
              <w:t>apakšsadaļā</w:t>
            </w:r>
            <w:proofErr w:type="spellEnd"/>
            <w:r>
              <w:t xml:space="preserve"> “</w:t>
            </w:r>
            <w:r w:rsidRPr="00EC64D5">
              <w:t xml:space="preserve">EEZ/Norvēģijas finanšu instrumentu 2009.-2014. gada perioda atmaksas </w:t>
            </w:r>
            <w:proofErr w:type="spellStart"/>
            <w:r w:rsidRPr="00EC64D5">
              <w:t>donorvalstīm</w:t>
            </w:r>
            <w:proofErr w:type="spellEnd"/>
            <w:r>
              <w:t xml:space="preserve">” 30.lpp, </w:t>
            </w:r>
            <w:proofErr w:type="spellStart"/>
            <w:r>
              <w:t>apakšsadaļā</w:t>
            </w:r>
            <w:proofErr w:type="spellEnd"/>
            <w:r>
              <w:t xml:space="preserve"> “</w:t>
            </w:r>
            <w:r w:rsidRPr="00EC64D5">
              <w:t>Stiprināta normatīvā bāze un metodikas ES fondu ieviešanā</w:t>
            </w:r>
            <w:r w:rsidR="0061403A">
              <w:t>” 32</w:t>
            </w:r>
            <w:r>
              <w:t>.lpp un sa</w:t>
            </w:r>
            <w:r w:rsidR="0061403A">
              <w:t>daļā “Citi skaidrojumi” 6</w:t>
            </w:r>
            <w:r>
              <w:t>.lpp.</w:t>
            </w:r>
          </w:p>
        </w:tc>
      </w:tr>
      <w:tr w:rsidR="00F971AB" w14:paraId="73BD1068" w14:textId="77777777" w:rsidTr="0003166A">
        <w:trPr>
          <w:trHeight w:val="394"/>
        </w:trPr>
        <w:tc>
          <w:tcPr>
            <w:tcW w:w="704" w:type="dxa"/>
            <w:tcBorders>
              <w:top w:val="single" w:sz="4" w:space="0" w:color="auto"/>
              <w:left w:val="single" w:sz="4" w:space="0" w:color="auto"/>
              <w:bottom w:val="single" w:sz="4" w:space="0" w:color="auto"/>
              <w:right w:val="single" w:sz="4" w:space="0" w:color="auto"/>
            </w:tcBorders>
          </w:tcPr>
          <w:p w14:paraId="35258CD5" w14:textId="77777777" w:rsidR="00F971AB" w:rsidRDefault="00F971AB" w:rsidP="00F971AB">
            <w:pPr>
              <w:pStyle w:val="naisc"/>
              <w:numPr>
                <w:ilvl w:val="0"/>
                <w:numId w:val="36"/>
              </w:numPr>
              <w:spacing w:before="0" w:after="0"/>
              <w:ind w:left="313"/>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7C98A7BC" w14:textId="4CF9D8E7" w:rsidR="00F971AB" w:rsidRDefault="00F971AB" w:rsidP="00F971AB">
            <w:pPr>
              <w:jc w:val="both"/>
              <w:rPr>
                <w:rFonts w:eastAsiaTheme="minorHAnsi"/>
                <w:lang w:eastAsia="en-US"/>
              </w:rPr>
            </w:pPr>
            <w:r>
              <w:rPr>
                <w:rFonts w:eastAsiaTheme="minorHAnsi"/>
                <w:lang w:eastAsia="en-US"/>
              </w:rPr>
              <w:t>Informatīvais ziņojums</w:t>
            </w:r>
          </w:p>
        </w:tc>
        <w:tc>
          <w:tcPr>
            <w:tcW w:w="5103" w:type="dxa"/>
            <w:tcBorders>
              <w:top w:val="single" w:sz="4" w:space="0" w:color="auto"/>
              <w:left w:val="single" w:sz="4" w:space="0" w:color="auto"/>
              <w:bottom w:val="single" w:sz="4" w:space="0" w:color="auto"/>
              <w:right w:val="single" w:sz="4" w:space="0" w:color="auto"/>
            </w:tcBorders>
          </w:tcPr>
          <w:p w14:paraId="324FB314" w14:textId="77777777" w:rsidR="008A5CD1" w:rsidRDefault="00F971AB" w:rsidP="008A5CD1">
            <w:pPr>
              <w:widowControl w:val="0"/>
              <w:spacing w:after="200"/>
              <w:jc w:val="both"/>
              <w:rPr>
                <w:b/>
              </w:rPr>
            </w:pPr>
            <w:r w:rsidRPr="00724310">
              <w:rPr>
                <w:b/>
              </w:rPr>
              <w:t>Finanšu ministrija</w:t>
            </w:r>
          </w:p>
          <w:p w14:paraId="0767C7C5" w14:textId="5DC38EF2" w:rsidR="00F971AB" w:rsidRPr="008A5CD1" w:rsidRDefault="00F971AB" w:rsidP="008A5CD1">
            <w:pPr>
              <w:widowControl w:val="0"/>
              <w:spacing w:after="200"/>
              <w:jc w:val="both"/>
              <w:rPr>
                <w:b/>
              </w:rPr>
            </w:pPr>
            <w:r>
              <w:t>Informatīvais z</w:t>
            </w:r>
            <w:r w:rsidRPr="00953CDC">
              <w:t>i</w:t>
            </w:r>
            <w:r>
              <w:t>ņojums papildināts ar augusta</w:t>
            </w:r>
            <w:r w:rsidRPr="00953CDC">
              <w:t xml:space="preserve"> ikmēneša</w:t>
            </w:r>
            <w:r>
              <w:t xml:space="preserve"> aktuālo</w:t>
            </w:r>
            <w:r w:rsidRPr="00953CDC">
              <w:t xml:space="preserve"> informāciju, izpildot MK 2015. gada 10. marta sēdes </w:t>
            </w:r>
            <w:proofErr w:type="spellStart"/>
            <w:r w:rsidRPr="00953CDC">
              <w:t>protokollēmuma</w:t>
            </w:r>
            <w:proofErr w:type="spellEnd"/>
            <w:r w:rsidRPr="00953CDC">
              <w:t xml:space="preserve"> (prot.</w:t>
            </w:r>
            <w:r>
              <w:t xml:space="preserve"> </w:t>
            </w:r>
            <w:r w:rsidRPr="00953CDC">
              <w:t>Nr. 14, 27. §) 11. punktu.</w:t>
            </w:r>
          </w:p>
        </w:tc>
        <w:tc>
          <w:tcPr>
            <w:tcW w:w="3402" w:type="dxa"/>
            <w:tcBorders>
              <w:top w:val="single" w:sz="4" w:space="0" w:color="auto"/>
              <w:left w:val="single" w:sz="4" w:space="0" w:color="auto"/>
              <w:bottom w:val="single" w:sz="4" w:space="0" w:color="auto"/>
              <w:right w:val="single" w:sz="4" w:space="0" w:color="auto"/>
            </w:tcBorders>
          </w:tcPr>
          <w:p w14:paraId="33677668" w14:textId="080FC707" w:rsidR="00F971AB" w:rsidRPr="001113EE" w:rsidRDefault="00F971AB" w:rsidP="00F971AB">
            <w:pPr>
              <w:jc w:val="center"/>
              <w:rPr>
                <w:b/>
                <w:szCs w:val="22"/>
                <w:lang w:eastAsia="en-US"/>
              </w:rPr>
            </w:pPr>
            <w:r>
              <w:rPr>
                <w:b/>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14:paraId="23364335" w14:textId="1263A070" w:rsidR="00F971AB" w:rsidRDefault="00F971AB" w:rsidP="00F971AB">
            <w:pPr>
              <w:pStyle w:val="Default"/>
              <w:rPr>
                <w:szCs w:val="22"/>
              </w:rPr>
            </w:pPr>
            <w:r w:rsidRPr="00177FA2">
              <w:rPr>
                <w:szCs w:val="22"/>
              </w:rPr>
              <w:t>Skatīt aktualizēto informāciju informatīvajā ziņojumā</w:t>
            </w:r>
            <w:r w:rsidR="008A5CD1">
              <w:rPr>
                <w:szCs w:val="22"/>
              </w:rPr>
              <w:t>, galvenokārt, kopsavilkumā un 3. sadaļā</w:t>
            </w:r>
            <w:r w:rsidRPr="00177FA2">
              <w:rPr>
                <w:szCs w:val="22"/>
              </w:rPr>
              <w:t>.</w:t>
            </w:r>
          </w:p>
        </w:tc>
      </w:tr>
    </w:tbl>
    <w:p w14:paraId="3721452C" w14:textId="77777777" w:rsidR="00E27894" w:rsidRDefault="00E27894" w:rsidP="002A700F">
      <w:pPr>
        <w:pStyle w:val="naisf"/>
        <w:spacing w:before="0" w:after="0"/>
        <w:ind w:firstLine="0"/>
        <w:rPr>
          <w:color w:val="000000"/>
        </w:rPr>
      </w:pPr>
    </w:p>
    <w:p w14:paraId="7C75C991" w14:textId="77777777" w:rsidR="003C1D14" w:rsidRDefault="003C1D14" w:rsidP="00CA1528">
      <w:pPr>
        <w:pStyle w:val="naisf"/>
        <w:spacing w:before="0" w:after="0"/>
        <w:ind w:firstLine="0"/>
        <w:rPr>
          <w:color w:val="000000"/>
        </w:rPr>
      </w:pPr>
    </w:p>
    <w:p w14:paraId="6AF7B7BE" w14:textId="35D30BBB" w:rsidR="007F4A63" w:rsidRPr="00896331" w:rsidRDefault="00946431" w:rsidP="007F4A63">
      <w:pPr>
        <w:pStyle w:val="naisf"/>
        <w:spacing w:before="0" w:after="0"/>
        <w:rPr>
          <w:color w:val="000000"/>
        </w:rPr>
      </w:pPr>
      <w:r w:rsidRPr="00896331">
        <w:rPr>
          <w:color w:val="000000"/>
        </w:rPr>
        <w:t>Atbildīgā amatpersona _______________________________________________________</w:t>
      </w:r>
    </w:p>
    <w:p w14:paraId="433AD3D6" w14:textId="45145CD1" w:rsidR="007F4A63" w:rsidRPr="00DA6BB5" w:rsidRDefault="00946431" w:rsidP="00DA6BB5">
      <w:pPr>
        <w:pStyle w:val="naisf"/>
        <w:spacing w:before="0" w:after="0"/>
        <w:ind w:firstLine="0"/>
        <w:rPr>
          <w:color w:val="000000"/>
        </w:rPr>
      </w:pPr>
      <w:r w:rsidRPr="00896331">
        <w:rPr>
          <w:color w:val="000000"/>
        </w:rPr>
        <w:tab/>
      </w:r>
      <w:r w:rsidRPr="00896331">
        <w:rPr>
          <w:color w:val="000000"/>
        </w:rPr>
        <w:tab/>
      </w:r>
      <w:r w:rsidRPr="00896331">
        <w:rPr>
          <w:color w:val="000000"/>
        </w:rPr>
        <w:tab/>
      </w:r>
      <w:r w:rsidR="00AE0DE7">
        <w:rPr>
          <w:color w:val="000000"/>
        </w:rPr>
        <w:tab/>
      </w:r>
      <w:r w:rsidR="00AE0DE7">
        <w:rPr>
          <w:color w:val="000000"/>
        </w:rPr>
        <w:tab/>
      </w:r>
      <w:r w:rsidR="00AE0DE7">
        <w:rPr>
          <w:color w:val="000000"/>
        </w:rPr>
        <w:tab/>
      </w:r>
      <w:r w:rsidRPr="00896331">
        <w:rPr>
          <w:color w:val="000000"/>
        </w:rPr>
        <w:t>(paraksts)</w:t>
      </w:r>
    </w:p>
    <w:p w14:paraId="356F39DD" w14:textId="77777777" w:rsidR="00E70F29" w:rsidRDefault="00E70F29" w:rsidP="00D9627C">
      <w:pPr>
        <w:tabs>
          <w:tab w:val="center" w:pos="4153"/>
          <w:tab w:val="right" w:pos="8306"/>
        </w:tabs>
        <w:rPr>
          <w:color w:val="000000"/>
          <w:highlight w:val="yellow"/>
        </w:rPr>
      </w:pPr>
    </w:p>
    <w:p w14:paraId="0C0781FD" w14:textId="77777777" w:rsidR="00B81721" w:rsidRPr="00B81721" w:rsidRDefault="000816D9" w:rsidP="00B81721">
      <w:pPr>
        <w:tabs>
          <w:tab w:val="right" w:pos="9072"/>
        </w:tabs>
        <w:suppressAutoHyphens/>
        <w:rPr>
          <w:rFonts w:eastAsia="Calibri"/>
          <w:color w:val="002060"/>
          <w:lang w:eastAsia="ar-SA"/>
        </w:rPr>
      </w:pPr>
      <w:hyperlink r:id="rId8" w:history="1">
        <w:r w:rsidR="00B81721" w:rsidRPr="00B81721">
          <w:rPr>
            <w:rFonts w:eastAsia="Calibri" w:cs="DokChampa"/>
            <w:color w:val="002060"/>
            <w:u w:val="single"/>
            <w:lang w:eastAsia="en-US"/>
          </w:rPr>
          <w:t>Astra.Rudolfa@fm.gov.lv</w:t>
        </w:r>
      </w:hyperlink>
    </w:p>
    <w:p w14:paraId="17126CD4" w14:textId="77777777" w:rsidR="00B81721" w:rsidRPr="00B81721" w:rsidRDefault="00B81721" w:rsidP="00B81721">
      <w:pPr>
        <w:rPr>
          <w:rFonts w:eastAsia="Calibri" w:cs="DokChampa"/>
          <w:szCs w:val="22"/>
          <w:lang w:eastAsia="en-US"/>
        </w:rPr>
      </w:pPr>
      <w:r w:rsidRPr="00B81721">
        <w:rPr>
          <w:rFonts w:eastAsia="Calibri" w:cs="DokChampa"/>
          <w:szCs w:val="22"/>
          <w:lang w:eastAsia="en-US"/>
        </w:rPr>
        <w:t>Rūdolfa 67083925</w:t>
      </w:r>
    </w:p>
    <w:p w14:paraId="0FE4123A" w14:textId="66C41932" w:rsidR="00AD3626" w:rsidRPr="00896331" w:rsidRDefault="00AD3626" w:rsidP="00B81721">
      <w:pPr>
        <w:tabs>
          <w:tab w:val="center" w:pos="4153"/>
          <w:tab w:val="right" w:pos="8306"/>
        </w:tabs>
      </w:pPr>
    </w:p>
    <w:sectPr w:rsidR="00AD3626" w:rsidRPr="00896331" w:rsidSect="00815C6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6" w:right="720" w:bottom="709"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E653E" w14:textId="77777777" w:rsidR="00C062E6" w:rsidRDefault="00C062E6">
      <w:r>
        <w:separator/>
      </w:r>
    </w:p>
  </w:endnote>
  <w:endnote w:type="continuationSeparator" w:id="0">
    <w:p w14:paraId="36D249C6" w14:textId="77777777" w:rsidR="00C062E6" w:rsidRDefault="00C0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Times New Roman"/>
    <w:charset w:val="00"/>
    <w:family w:val="swiss"/>
    <w:pitch w:val="variable"/>
    <w:sig w:usb0="0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8AB7" w14:textId="77777777" w:rsidR="00C8243B" w:rsidRDefault="00C82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AB53" w14:textId="28BC743E" w:rsidR="001D4516" w:rsidRPr="009B1998" w:rsidRDefault="001D4516" w:rsidP="009E6370">
    <w:pPr>
      <w:pStyle w:val="Footer"/>
      <w:rPr>
        <w:noProof/>
        <w:sz w:val="20"/>
        <w:szCs w:val="20"/>
      </w:rPr>
    </w:pPr>
    <w:r w:rsidRPr="00F65001">
      <w:rPr>
        <w:noProof/>
        <w:sz w:val="20"/>
        <w:szCs w:val="20"/>
      </w:rPr>
      <w:t xml:space="preserve"> </w:t>
    </w:r>
    <w:r w:rsidR="00F971AB">
      <w:rPr>
        <w:noProof/>
        <w:sz w:val="20"/>
        <w:szCs w:val="20"/>
      </w:rPr>
      <w:t>FMizz_</w:t>
    </w:r>
    <w:r w:rsidR="00C8243B">
      <w:rPr>
        <w:noProof/>
        <w:sz w:val="20"/>
        <w:szCs w:val="20"/>
      </w:rPr>
      <w:t>29</w:t>
    </w:r>
    <w:r w:rsidRPr="00AC503C">
      <w:rPr>
        <w:noProof/>
        <w:sz w:val="20"/>
        <w:szCs w:val="20"/>
      </w:rPr>
      <w:t>0819_ES_fondi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1BFB" w14:textId="2298944F" w:rsidR="001D4516" w:rsidRPr="007D1273" w:rsidRDefault="001D4516" w:rsidP="00C00F76">
    <w:pPr>
      <w:pStyle w:val="Footer"/>
      <w:rPr>
        <w:noProof/>
        <w:sz w:val="20"/>
        <w:szCs w:val="20"/>
      </w:rPr>
    </w:pPr>
    <w:r w:rsidRPr="00F65001">
      <w:rPr>
        <w:noProof/>
        <w:sz w:val="20"/>
        <w:szCs w:val="20"/>
      </w:rPr>
      <w:t xml:space="preserve"> </w:t>
    </w:r>
    <w:r w:rsidR="00D64E7F">
      <w:rPr>
        <w:noProof/>
        <w:sz w:val="20"/>
        <w:szCs w:val="20"/>
      </w:rPr>
      <w:t>FMizz_</w:t>
    </w:r>
    <w:r w:rsidR="00C8243B">
      <w:rPr>
        <w:noProof/>
        <w:sz w:val="20"/>
        <w:szCs w:val="20"/>
      </w:rPr>
      <w:t>29</w:t>
    </w:r>
    <w:r w:rsidRPr="00AC503C">
      <w:rPr>
        <w:noProof/>
        <w:sz w:val="20"/>
        <w:szCs w:val="20"/>
      </w:rPr>
      <w:t>0819_</w:t>
    </w:r>
    <w:r>
      <w:rPr>
        <w:noProof/>
        <w:sz w:val="20"/>
        <w:szCs w:val="20"/>
      </w:rPr>
      <w:t>ES_fondi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48493" w14:textId="77777777" w:rsidR="00C062E6" w:rsidRDefault="00C062E6">
      <w:r>
        <w:separator/>
      </w:r>
    </w:p>
  </w:footnote>
  <w:footnote w:type="continuationSeparator" w:id="0">
    <w:p w14:paraId="5BE50926" w14:textId="77777777" w:rsidR="00C062E6" w:rsidRDefault="00C062E6">
      <w:r>
        <w:continuationSeparator/>
      </w:r>
    </w:p>
  </w:footnote>
  <w:footnote w:id="1">
    <w:p w14:paraId="41586357" w14:textId="77777777" w:rsidR="001D4516" w:rsidRPr="007D27FF" w:rsidRDefault="001D4516" w:rsidP="00FC3D54">
      <w:pPr>
        <w:pStyle w:val="FootnoteText"/>
      </w:pPr>
      <w:r w:rsidRPr="007D27FF">
        <w:rPr>
          <w:rStyle w:val="FootnoteReference"/>
        </w:rPr>
        <w:footnoteRef/>
      </w:r>
      <w:r w:rsidRPr="007D27FF">
        <w:t xml:space="preserve"> Ministru kabineta 2019.</w:t>
      </w:r>
      <w:r>
        <w:t> </w:t>
      </w:r>
      <w:r w:rsidRPr="007D27FF">
        <w:t>gada 23.</w:t>
      </w:r>
      <w:r>
        <w:t> </w:t>
      </w:r>
      <w:r w:rsidRPr="007D27FF">
        <w:t xml:space="preserve">aprīļa sēdes </w:t>
      </w:r>
      <w:proofErr w:type="spellStart"/>
      <w:r w:rsidRPr="007D27FF">
        <w:t>protokollēmums</w:t>
      </w:r>
      <w:proofErr w:type="spellEnd"/>
      <w:r w:rsidRPr="007D27FF">
        <w:t xml:space="preserve"> Nr.21 23.§ “Informatīvais ziņojums “Par Kohēzijas politikas Eiropas Savienības fondu investīciju aktualitātēm līdz 2018.gada 31.decembrim un 2019.gada februāra ikmēneša operatīvā informācija””.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429C" w14:textId="77777777" w:rsidR="001D4516" w:rsidRDefault="001D4516" w:rsidP="002F51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50FA497D" w14:textId="77777777" w:rsidR="001D4516" w:rsidRDefault="001D4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912287"/>
      <w:docPartObj>
        <w:docPartGallery w:val="Page Numbers (Top of Page)"/>
        <w:docPartUnique/>
      </w:docPartObj>
    </w:sdtPr>
    <w:sdtEndPr>
      <w:rPr>
        <w:noProof/>
      </w:rPr>
    </w:sdtEndPr>
    <w:sdtContent>
      <w:p w14:paraId="7E25EA74" w14:textId="135BDA2C" w:rsidR="001D4516" w:rsidRDefault="001D4516">
        <w:pPr>
          <w:pStyle w:val="Header"/>
        </w:pPr>
        <w:r>
          <w:fldChar w:fldCharType="begin"/>
        </w:r>
        <w:r>
          <w:instrText xml:space="preserve"> PAGE   \* MERGEFORMAT </w:instrText>
        </w:r>
        <w:r>
          <w:fldChar w:fldCharType="separate"/>
        </w:r>
        <w:r w:rsidR="000816D9">
          <w:rPr>
            <w:noProof/>
          </w:rPr>
          <w:t>19</w:t>
        </w:r>
        <w:r>
          <w:rPr>
            <w:noProof/>
          </w:rPr>
          <w:fldChar w:fldCharType="end"/>
        </w:r>
      </w:p>
    </w:sdtContent>
  </w:sdt>
  <w:p w14:paraId="59CDBCD3" w14:textId="77777777" w:rsidR="001D4516" w:rsidRDefault="001D4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646886"/>
      <w:docPartObj>
        <w:docPartGallery w:val="Page Numbers (Top of Page)"/>
        <w:docPartUnique/>
      </w:docPartObj>
    </w:sdtPr>
    <w:sdtEndPr>
      <w:rPr>
        <w:noProof/>
      </w:rPr>
    </w:sdtEndPr>
    <w:sdtContent>
      <w:p w14:paraId="6DB075CB" w14:textId="767892A8" w:rsidR="001D4516" w:rsidRDefault="001D4516">
        <w:pPr>
          <w:pStyle w:val="Header"/>
          <w:jc w:val="center"/>
        </w:pPr>
        <w:r>
          <w:fldChar w:fldCharType="begin"/>
        </w:r>
        <w:r>
          <w:instrText xml:space="preserve"> PAGE   \* MERGEFORMAT </w:instrText>
        </w:r>
        <w:r>
          <w:fldChar w:fldCharType="separate"/>
        </w:r>
        <w:r w:rsidR="000816D9">
          <w:rPr>
            <w:noProof/>
          </w:rPr>
          <w:t>1</w:t>
        </w:r>
        <w:r>
          <w:rPr>
            <w:noProof/>
          </w:rPr>
          <w:fldChar w:fldCharType="end"/>
        </w:r>
      </w:p>
    </w:sdtContent>
  </w:sdt>
  <w:p w14:paraId="33E139F9" w14:textId="77777777" w:rsidR="001D4516" w:rsidRDefault="001D4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7B"/>
    <w:multiLevelType w:val="hybridMultilevel"/>
    <w:tmpl w:val="46FC9B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34467E"/>
    <w:multiLevelType w:val="hybridMultilevel"/>
    <w:tmpl w:val="B1A6AB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1">
    <w:nsid w:val="04E16433"/>
    <w:multiLevelType w:val="hybridMultilevel"/>
    <w:tmpl w:val="40A8E5FC"/>
    <w:lvl w:ilvl="0" w:tplc="B85E794E">
      <w:start w:val="1"/>
      <w:numFmt w:val="bullet"/>
      <w:lvlText w:val=""/>
      <w:lvlJc w:val="left"/>
      <w:pPr>
        <w:ind w:left="1080" w:hanging="360"/>
      </w:pPr>
      <w:rPr>
        <w:rFonts w:ascii="Symbol" w:hAnsi="Symbol" w:hint="default"/>
      </w:rPr>
    </w:lvl>
    <w:lvl w:ilvl="1" w:tplc="48D69F16" w:tentative="1">
      <w:start w:val="1"/>
      <w:numFmt w:val="bullet"/>
      <w:lvlText w:val="o"/>
      <w:lvlJc w:val="left"/>
      <w:pPr>
        <w:ind w:left="1800" w:hanging="360"/>
      </w:pPr>
      <w:rPr>
        <w:rFonts w:ascii="Courier New" w:hAnsi="Courier New" w:cs="Courier New" w:hint="default"/>
      </w:rPr>
    </w:lvl>
    <w:lvl w:ilvl="2" w:tplc="8D06A3FE" w:tentative="1">
      <w:start w:val="1"/>
      <w:numFmt w:val="bullet"/>
      <w:lvlText w:val=""/>
      <w:lvlJc w:val="left"/>
      <w:pPr>
        <w:ind w:left="2520" w:hanging="360"/>
      </w:pPr>
      <w:rPr>
        <w:rFonts w:ascii="Wingdings" w:hAnsi="Wingdings" w:hint="default"/>
      </w:rPr>
    </w:lvl>
    <w:lvl w:ilvl="3" w:tplc="BED47CD2" w:tentative="1">
      <w:start w:val="1"/>
      <w:numFmt w:val="bullet"/>
      <w:lvlText w:val=""/>
      <w:lvlJc w:val="left"/>
      <w:pPr>
        <w:ind w:left="3240" w:hanging="360"/>
      </w:pPr>
      <w:rPr>
        <w:rFonts w:ascii="Symbol" w:hAnsi="Symbol" w:hint="default"/>
      </w:rPr>
    </w:lvl>
    <w:lvl w:ilvl="4" w:tplc="28F6B59A" w:tentative="1">
      <w:start w:val="1"/>
      <w:numFmt w:val="bullet"/>
      <w:lvlText w:val="o"/>
      <w:lvlJc w:val="left"/>
      <w:pPr>
        <w:ind w:left="3960" w:hanging="360"/>
      </w:pPr>
      <w:rPr>
        <w:rFonts w:ascii="Courier New" w:hAnsi="Courier New" w:cs="Courier New" w:hint="default"/>
      </w:rPr>
    </w:lvl>
    <w:lvl w:ilvl="5" w:tplc="45986BA2" w:tentative="1">
      <w:start w:val="1"/>
      <w:numFmt w:val="bullet"/>
      <w:lvlText w:val=""/>
      <w:lvlJc w:val="left"/>
      <w:pPr>
        <w:ind w:left="4680" w:hanging="360"/>
      </w:pPr>
      <w:rPr>
        <w:rFonts w:ascii="Wingdings" w:hAnsi="Wingdings" w:hint="default"/>
      </w:rPr>
    </w:lvl>
    <w:lvl w:ilvl="6" w:tplc="C7B8629E" w:tentative="1">
      <w:start w:val="1"/>
      <w:numFmt w:val="bullet"/>
      <w:lvlText w:val=""/>
      <w:lvlJc w:val="left"/>
      <w:pPr>
        <w:ind w:left="5400" w:hanging="360"/>
      </w:pPr>
      <w:rPr>
        <w:rFonts w:ascii="Symbol" w:hAnsi="Symbol" w:hint="default"/>
      </w:rPr>
    </w:lvl>
    <w:lvl w:ilvl="7" w:tplc="B43E566E" w:tentative="1">
      <w:start w:val="1"/>
      <w:numFmt w:val="bullet"/>
      <w:lvlText w:val="o"/>
      <w:lvlJc w:val="left"/>
      <w:pPr>
        <w:ind w:left="6120" w:hanging="360"/>
      </w:pPr>
      <w:rPr>
        <w:rFonts w:ascii="Courier New" w:hAnsi="Courier New" w:cs="Courier New" w:hint="default"/>
      </w:rPr>
    </w:lvl>
    <w:lvl w:ilvl="8" w:tplc="3D0C72FA" w:tentative="1">
      <w:start w:val="1"/>
      <w:numFmt w:val="bullet"/>
      <w:lvlText w:val=""/>
      <w:lvlJc w:val="left"/>
      <w:pPr>
        <w:ind w:left="6840" w:hanging="360"/>
      </w:pPr>
      <w:rPr>
        <w:rFonts w:ascii="Wingdings" w:hAnsi="Wingdings" w:hint="default"/>
      </w:rPr>
    </w:lvl>
  </w:abstractNum>
  <w:abstractNum w:abstractNumId="3" w15:restartNumberingAfterBreak="0">
    <w:nsid w:val="06255CDE"/>
    <w:multiLevelType w:val="hybridMultilevel"/>
    <w:tmpl w:val="0C4C1240"/>
    <w:lvl w:ilvl="0" w:tplc="4342A5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91940C9"/>
    <w:multiLevelType w:val="hybridMultilevel"/>
    <w:tmpl w:val="4BFA3D6A"/>
    <w:lvl w:ilvl="0" w:tplc="04260019">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097B5A39"/>
    <w:multiLevelType w:val="hybridMultilevel"/>
    <w:tmpl w:val="8526980A"/>
    <w:lvl w:ilvl="0" w:tplc="78A01434">
      <w:start w:val="1"/>
      <w:numFmt w:val="decimal"/>
      <w:lvlText w:val="%1."/>
      <w:lvlJc w:val="left"/>
      <w:pPr>
        <w:ind w:left="1080" w:hanging="360"/>
      </w:pPr>
      <w:rPr>
        <w:rFonts w:hint="default"/>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AA47199"/>
    <w:multiLevelType w:val="hybridMultilevel"/>
    <w:tmpl w:val="77B828D2"/>
    <w:lvl w:ilvl="0" w:tplc="32D2EE9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1">
    <w:nsid w:val="0B7E2379"/>
    <w:multiLevelType w:val="hybridMultilevel"/>
    <w:tmpl w:val="2A42B3EE"/>
    <w:lvl w:ilvl="0" w:tplc="567C4670">
      <w:start w:val="1"/>
      <w:numFmt w:val="bullet"/>
      <w:lvlText w:val=""/>
      <w:lvlJc w:val="left"/>
      <w:pPr>
        <w:ind w:left="1571" w:hanging="360"/>
      </w:pPr>
      <w:rPr>
        <w:rFonts w:ascii="Symbol" w:hAnsi="Symbol" w:hint="default"/>
      </w:rPr>
    </w:lvl>
    <w:lvl w:ilvl="1" w:tplc="B830A7C0" w:tentative="1">
      <w:start w:val="1"/>
      <w:numFmt w:val="bullet"/>
      <w:lvlText w:val="o"/>
      <w:lvlJc w:val="left"/>
      <w:pPr>
        <w:ind w:left="2291" w:hanging="360"/>
      </w:pPr>
      <w:rPr>
        <w:rFonts w:ascii="Courier New" w:hAnsi="Courier New" w:cs="Courier New" w:hint="default"/>
      </w:rPr>
    </w:lvl>
    <w:lvl w:ilvl="2" w:tplc="DB9C7272" w:tentative="1">
      <w:start w:val="1"/>
      <w:numFmt w:val="bullet"/>
      <w:lvlText w:val=""/>
      <w:lvlJc w:val="left"/>
      <w:pPr>
        <w:ind w:left="3011" w:hanging="360"/>
      </w:pPr>
      <w:rPr>
        <w:rFonts w:ascii="Wingdings" w:hAnsi="Wingdings" w:hint="default"/>
      </w:rPr>
    </w:lvl>
    <w:lvl w:ilvl="3" w:tplc="019875D0" w:tentative="1">
      <w:start w:val="1"/>
      <w:numFmt w:val="bullet"/>
      <w:lvlText w:val=""/>
      <w:lvlJc w:val="left"/>
      <w:pPr>
        <w:ind w:left="3731" w:hanging="360"/>
      </w:pPr>
      <w:rPr>
        <w:rFonts w:ascii="Symbol" w:hAnsi="Symbol" w:hint="default"/>
      </w:rPr>
    </w:lvl>
    <w:lvl w:ilvl="4" w:tplc="1C5A11A0" w:tentative="1">
      <w:start w:val="1"/>
      <w:numFmt w:val="bullet"/>
      <w:lvlText w:val="o"/>
      <w:lvlJc w:val="left"/>
      <w:pPr>
        <w:ind w:left="4451" w:hanging="360"/>
      </w:pPr>
      <w:rPr>
        <w:rFonts w:ascii="Courier New" w:hAnsi="Courier New" w:cs="Courier New" w:hint="default"/>
      </w:rPr>
    </w:lvl>
    <w:lvl w:ilvl="5" w:tplc="AB126A4E" w:tentative="1">
      <w:start w:val="1"/>
      <w:numFmt w:val="bullet"/>
      <w:lvlText w:val=""/>
      <w:lvlJc w:val="left"/>
      <w:pPr>
        <w:ind w:left="5171" w:hanging="360"/>
      </w:pPr>
      <w:rPr>
        <w:rFonts w:ascii="Wingdings" w:hAnsi="Wingdings" w:hint="default"/>
      </w:rPr>
    </w:lvl>
    <w:lvl w:ilvl="6" w:tplc="B164C2B2" w:tentative="1">
      <w:start w:val="1"/>
      <w:numFmt w:val="bullet"/>
      <w:lvlText w:val=""/>
      <w:lvlJc w:val="left"/>
      <w:pPr>
        <w:ind w:left="5891" w:hanging="360"/>
      </w:pPr>
      <w:rPr>
        <w:rFonts w:ascii="Symbol" w:hAnsi="Symbol" w:hint="default"/>
      </w:rPr>
    </w:lvl>
    <w:lvl w:ilvl="7" w:tplc="A04C2EA0" w:tentative="1">
      <w:start w:val="1"/>
      <w:numFmt w:val="bullet"/>
      <w:lvlText w:val="o"/>
      <w:lvlJc w:val="left"/>
      <w:pPr>
        <w:ind w:left="6611" w:hanging="360"/>
      </w:pPr>
      <w:rPr>
        <w:rFonts w:ascii="Courier New" w:hAnsi="Courier New" w:cs="Courier New" w:hint="default"/>
      </w:rPr>
    </w:lvl>
    <w:lvl w:ilvl="8" w:tplc="01684DD2" w:tentative="1">
      <w:start w:val="1"/>
      <w:numFmt w:val="bullet"/>
      <w:lvlText w:val=""/>
      <w:lvlJc w:val="left"/>
      <w:pPr>
        <w:ind w:left="7331" w:hanging="360"/>
      </w:pPr>
      <w:rPr>
        <w:rFonts w:ascii="Wingdings" w:hAnsi="Wingdings" w:hint="default"/>
      </w:rPr>
    </w:lvl>
  </w:abstractNum>
  <w:abstractNum w:abstractNumId="8" w15:restartNumberingAfterBreak="0">
    <w:nsid w:val="0F642B00"/>
    <w:multiLevelType w:val="hybridMultilevel"/>
    <w:tmpl w:val="9606CD8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11F0E3D"/>
    <w:multiLevelType w:val="hybridMultilevel"/>
    <w:tmpl w:val="509A759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A301CE"/>
    <w:multiLevelType w:val="multilevel"/>
    <w:tmpl w:val="038A0DC2"/>
    <w:lvl w:ilvl="0">
      <w:start w:val="5"/>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ascii="Times New Roman" w:hAnsi="Times New Roman" w:cs="Times New Roman" w:hint="default"/>
        <w:sz w:val="24"/>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9FE4C2B"/>
    <w:multiLevelType w:val="hybridMultilevel"/>
    <w:tmpl w:val="5A306044"/>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2E7261"/>
    <w:multiLevelType w:val="hybridMultilevel"/>
    <w:tmpl w:val="8CA87EAE"/>
    <w:lvl w:ilvl="0" w:tplc="C5BA1E7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4B51A3"/>
    <w:multiLevelType w:val="multilevel"/>
    <w:tmpl w:val="C97E7336"/>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22EA35DB"/>
    <w:multiLevelType w:val="hybridMultilevel"/>
    <w:tmpl w:val="BC1CF9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B72FD6"/>
    <w:multiLevelType w:val="hybridMultilevel"/>
    <w:tmpl w:val="2244165C"/>
    <w:lvl w:ilvl="0" w:tplc="B2144CA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BA7A94"/>
    <w:multiLevelType w:val="hybridMultilevel"/>
    <w:tmpl w:val="1CB4B09E"/>
    <w:lvl w:ilvl="0" w:tplc="FFFAC3AC">
      <w:start w:val="1"/>
      <w:numFmt w:val="decimal"/>
      <w:lvlText w:val="%1)"/>
      <w:lvlJc w:val="left"/>
      <w:pPr>
        <w:ind w:left="1211" w:hanging="360"/>
      </w:pPr>
      <w:rPr>
        <w:rFonts w:hint="default"/>
      </w:rPr>
    </w:lvl>
    <w:lvl w:ilvl="1" w:tplc="14485284" w:tentative="1">
      <w:start w:val="1"/>
      <w:numFmt w:val="lowerLetter"/>
      <w:lvlText w:val="%2."/>
      <w:lvlJc w:val="left"/>
      <w:pPr>
        <w:ind w:left="1931" w:hanging="360"/>
      </w:pPr>
    </w:lvl>
    <w:lvl w:ilvl="2" w:tplc="0756C0F0" w:tentative="1">
      <w:start w:val="1"/>
      <w:numFmt w:val="lowerRoman"/>
      <w:lvlText w:val="%3."/>
      <w:lvlJc w:val="right"/>
      <w:pPr>
        <w:ind w:left="2651" w:hanging="180"/>
      </w:pPr>
    </w:lvl>
    <w:lvl w:ilvl="3" w:tplc="6C72ACAE" w:tentative="1">
      <w:start w:val="1"/>
      <w:numFmt w:val="decimal"/>
      <w:lvlText w:val="%4."/>
      <w:lvlJc w:val="left"/>
      <w:pPr>
        <w:ind w:left="3371" w:hanging="360"/>
      </w:pPr>
    </w:lvl>
    <w:lvl w:ilvl="4" w:tplc="369ED820" w:tentative="1">
      <w:start w:val="1"/>
      <w:numFmt w:val="lowerLetter"/>
      <w:lvlText w:val="%5."/>
      <w:lvlJc w:val="left"/>
      <w:pPr>
        <w:ind w:left="4091" w:hanging="360"/>
      </w:pPr>
    </w:lvl>
    <w:lvl w:ilvl="5" w:tplc="DDC42374" w:tentative="1">
      <w:start w:val="1"/>
      <w:numFmt w:val="lowerRoman"/>
      <w:lvlText w:val="%6."/>
      <w:lvlJc w:val="right"/>
      <w:pPr>
        <w:ind w:left="4811" w:hanging="180"/>
      </w:pPr>
    </w:lvl>
    <w:lvl w:ilvl="6" w:tplc="5DA26CAE" w:tentative="1">
      <w:start w:val="1"/>
      <w:numFmt w:val="decimal"/>
      <w:lvlText w:val="%7."/>
      <w:lvlJc w:val="left"/>
      <w:pPr>
        <w:ind w:left="5531" w:hanging="360"/>
      </w:pPr>
    </w:lvl>
    <w:lvl w:ilvl="7" w:tplc="CED2EA10" w:tentative="1">
      <w:start w:val="1"/>
      <w:numFmt w:val="lowerLetter"/>
      <w:lvlText w:val="%8."/>
      <w:lvlJc w:val="left"/>
      <w:pPr>
        <w:ind w:left="6251" w:hanging="360"/>
      </w:pPr>
    </w:lvl>
    <w:lvl w:ilvl="8" w:tplc="1F3C9B62" w:tentative="1">
      <w:start w:val="1"/>
      <w:numFmt w:val="lowerRoman"/>
      <w:lvlText w:val="%9."/>
      <w:lvlJc w:val="right"/>
      <w:pPr>
        <w:ind w:left="6971" w:hanging="180"/>
      </w:pPr>
    </w:lvl>
  </w:abstractNum>
  <w:abstractNum w:abstractNumId="17" w15:restartNumberingAfterBreak="0">
    <w:nsid w:val="25C8242A"/>
    <w:multiLevelType w:val="hybridMultilevel"/>
    <w:tmpl w:val="733AE6F8"/>
    <w:lvl w:ilvl="0" w:tplc="7BFCF0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8155F65"/>
    <w:multiLevelType w:val="hybridMultilevel"/>
    <w:tmpl w:val="C03C4D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4A33B5"/>
    <w:multiLevelType w:val="multilevel"/>
    <w:tmpl w:val="BF3CF4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D57CDD"/>
    <w:multiLevelType w:val="hybridMultilevel"/>
    <w:tmpl w:val="47307D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D6009C4"/>
    <w:multiLevelType w:val="multilevel"/>
    <w:tmpl w:val="A9C2E2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B7CB0"/>
    <w:multiLevelType w:val="multilevel"/>
    <w:tmpl w:val="96BAD7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B631D0"/>
    <w:multiLevelType w:val="hybridMultilevel"/>
    <w:tmpl w:val="6C42C27E"/>
    <w:lvl w:ilvl="0" w:tplc="4C9461B2">
      <w:start w:val="4"/>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457381B"/>
    <w:multiLevelType w:val="hybridMultilevel"/>
    <w:tmpl w:val="703AF5A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367F6D57"/>
    <w:multiLevelType w:val="hybridMultilevel"/>
    <w:tmpl w:val="9A203808"/>
    <w:lvl w:ilvl="0" w:tplc="0426000F">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8B66296"/>
    <w:multiLevelType w:val="hybridMultilevel"/>
    <w:tmpl w:val="2174B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C930169"/>
    <w:multiLevelType w:val="multilevel"/>
    <w:tmpl w:val="D080624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2B7ABC"/>
    <w:multiLevelType w:val="hybridMultilevel"/>
    <w:tmpl w:val="449EF38A"/>
    <w:lvl w:ilvl="0" w:tplc="38081A3E">
      <w:start w:val="1"/>
      <w:numFmt w:val="decimal"/>
      <w:lvlText w:val="%1."/>
      <w:lvlJc w:val="left"/>
      <w:pPr>
        <w:ind w:left="928"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AAF6AAD"/>
    <w:multiLevelType w:val="hybridMultilevel"/>
    <w:tmpl w:val="9746EFC4"/>
    <w:lvl w:ilvl="0" w:tplc="78A01434">
      <w:start w:val="1"/>
      <w:numFmt w:val="decimal"/>
      <w:lvlText w:val="%1."/>
      <w:lvlJc w:val="left"/>
      <w:pPr>
        <w:ind w:left="1080" w:hanging="360"/>
      </w:pPr>
      <w:rPr>
        <w:rFonts w:hint="default"/>
        <w:i w:val="0"/>
      </w:rPr>
    </w:lvl>
    <w:lvl w:ilvl="1" w:tplc="04260019">
      <w:start w:val="1"/>
      <w:numFmt w:val="lowerLetter"/>
      <w:lvlText w:val="%2."/>
      <w:lvlJc w:val="left"/>
      <w:pPr>
        <w:ind w:left="1800" w:hanging="360"/>
      </w:pPr>
    </w:lvl>
    <w:lvl w:ilvl="2" w:tplc="3FE6D048">
      <w:start w:val="1"/>
      <w:numFmt w:val="bullet"/>
      <w:lvlText w:val=""/>
      <w:lvlJc w:val="left"/>
      <w:pPr>
        <w:ind w:left="2520" w:hanging="180"/>
      </w:pPr>
      <w:rPr>
        <w:rFonts w:ascii="Symbol" w:hAnsi="Symbol" w:hint="default"/>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EB830F4"/>
    <w:multiLevelType w:val="hybridMultilevel"/>
    <w:tmpl w:val="EB467B58"/>
    <w:lvl w:ilvl="0" w:tplc="43EC0D0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F03171"/>
    <w:multiLevelType w:val="multilevel"/>
    <w:tmpl w:val="F55461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77346D"/>
    <w:multiLevelType w:val="hybridMultilevel"/>
    <w:tmpl w:val="EE54C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D84724"/>
    <w:multiLevelType w:val="hybridMultilevel"/>
    <w:tmpl w:val="0A860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4946CF"/>
    <w:multiLevelType w:val="hybridMultilevel"/>
    <w:tmpl w:val="6F14AAD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F55008"/>
    <w:multiLevelType w:val="multilevel"/>
    <w:tmpl w:val="3E049EAA"/>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36" w15:restartNumberingAfterBreak="0">
    <w:nsid w:val="735C5E0C"/>
    <w:multiLevelType w:val="hybridMultilevel"/>
    <w:tmpl w:val="54886540"/>
    <w:lvl w:ilvl="0" w:tplc="042C787A">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7" w15:restartNumberingAfterBreak="0">
    <w:nsid w:val="781052EC"/>
    <w:multiLevelType w:val="hybridMultilevel"/>
    <w:tmpl w:val="B0A673C2"/>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26"/>
  </w:num>
  <w:num w:numId="3">
    <w:abstractNumId w:val="13"/>
  </w:num>
  <w:num w:numId="4">
    <w:abstractNumId w:val="36"/>
  </w:num>
  <w:num w:numId="5">
    <w:abstractNumId w:val="10"/>
  </w:num>
  <w:num w:numId="6">
    <w:abstractNumId w:val="12"/>
  </w:num>
  <w:num w:numId="7">
    <w:abstractNumId w:val="34"/>
  </w:num>
  <w:num w:numId="8">
    <w:abstractNumId w:val="17"/>
  </w:num>
  <w:num w:numId="9">
    <w:abstractNumId w:val="30"/>
  </w:num>
  <w:num w:numId="10">
    <w:abstractNumId w:val="7"/>
  </w:num>
  <w:num w:numId="11">
    <w:abstractNumId w:val="11"/>
  </w:num>
  <w:num w:numId="12">
    <w:abstractNumId w:val="37"/>
  </w:num>
  <w:num w:numId="13">
    <w:abstractNumId w:val="2"/>
  </w:num>
  <w:num w:numId="14">
    <w:abstractNumId w:val="0"/>
  </w:num>
  <w:num w:numId="15">
    <w:abstractNumId w:val="9"/>
  </w:num>
  <w:num w:numId="16">
    <w:abstractNumId w:val="31"/>
  </w:num>
  <w:num w:numId="17">
    <w:abstractNumId w:val="19"/>
  </w:num>
  <w:num w:numId="18">
    <w:abstractNumId w:val="35"/>
  </w:num>
  <w:num w:numId="19">
    <w:abstractNumId w:val="21"/>
  </w:num>
  <w:num w:numId="20">
    <w:abstractNumId w:val="25"/>
  </w:num>
  <w:num w:numId="21">
    <w:abstractNumId w:val="23"/>
  </w:num>
  <w:num w:numId="22">
    <w:abstractNumId w:val="20"/>
  </w:num>
  <w:num w:numId="23">
    <w:abstractNumId w:val="22"/>
  </w:num>
  <w:num w:numId="24">
    <w:abstractNumId w:val="5"/>
  </w:num>
  <w:num w:numId="25">
    <w:abstractNumId w:val="4"/>
  </w:num>
  <w:num w:numId="26">
    <w:abstractNumId w:val="29"/>
  </w:num>
  <w:num w:numId="27">
    <w:abstractNumId w:val="1"/>
  </w:num>
  <w:num w:numId="28">
    <w:abstractNumId w:val="3"/>
  </w:num>
  <w:num w:numId="29">
    <w:abstractNumId w:val="6"/>
  </w:num>
  <w:num w:numId="30">
    <w:abstractNumId w:val="14"/>
  </w:num>
  <w:num w:numId="31">
    <w:abstractNumId w:val="24"/>
  </w:num>
  <w:num w:numId="32">
    <w:abstractNumId w:val="32"/>
  </w:num>
  <w:num w:numId="33">
    <w:abstractNumId w:val="16"/>
  </w:num>
  <w:num w:numId="34">
    <w:abstractNumId w:val="27"/>
  </w:num>
  <w:num w:numId="35">
    <w:abstractNumId w:val="3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5"/>
  </w:num>
  <w:num w:numId="39">
    <w:abstractNumId w:val="1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31"/>
    <w:rsid w:val="00000A26"/>
    <w:rsid w:val="00000F8C"/>
    <w:rsid w:val="000012FA"/>
    <w:rsid w:val="00002FB9"/>
    <w:rsid w:val="000041EE"/>
    <w:rsid w:val="000042A8"/>
    <w:rsid w:val="00005234"/>
    <w:rsid w:val="00005684"/>
    <w:rsid w:val="000059A1"/>
    <w:rsid w:val="00007979"/>
    <w:rsid w:val="00007CA4"/>
    <w:rsid w:val="00007E7F"/>
    <w:rsid w:val="00010015"/>
    <w:rsid w:val="00010573"/>
    <w:rsid w:val="000119FA"/>
    <w:rsid w:val="00012331"/>
    <w:rsid w:val="00012598"/>
    <w:rsid w:val="00014270"/>
    <w:rsid w:val="00014752"/>
    <w:rsid w:val="00014D00"/>
    <w:rsid w:val="00015364"/>
    <w:rsid w:val="00016CA2"/>
    <w:rsid w:val="00016E55"/>
    <w:rsid w:val="000174E8"/>
    <w:rsid w:val="00017747"/>
    <w:rsid w:val="00017C0F"/>
    <w:rsid w:val="00020AEF"/>
    <w:rsid w:val="0002105A"/>
    <w:rsid w:val="000215CB"/>
    <w:rsid w:val="00021E54"/>
    <w:rsid w:val="00022762"/>
    <w:rsid w:val="00022F16"/>
    <w:rsid w:val="00023081"/>
    <w:rsid w:val="00026947"/>
    <w:rsid w:val="00027485"/>
    <w:rsid w:val="00027717"/>
    <w:rsid w:val="00027E96"/>
    <w:rsid w:val="00030CEA"/>
    <w:rsid w:val="00031189"/>
    <w:rsid w:val="0003166A"/>
    <w:rsid w:val="000316A4"/>
    <w:rsid w:val="000317EF"/>
    <w:rsid w:val="00031EAE"/>
    <w:rsid w:val="000320F8"/>
    <w:rsid w:val="000322AB"/>
    <w:rsid w:val="000324B5"/>
    <w:rsid w:val="00032E17"/>
    <w:rsid w:val="00034A63"/>
    <w:rsid w:val="00034D75"/>
    <w:rsid w:val="000374E9"/>
    <w:rsid w:val="0003772F"/>
    <w:rsid w:val="00037951"/>
    <w:rsid w:val="00040A7B"/>
    <w:rsid w:val="00041979"/>
    <w:rsid w:val="00041ABD"/>
    <w:rsid w:val="0004232C"/>
    <w:rsid w:val="00042CB5"/>
    <w:rsid w:val="00045A4E"/>
    <w:rsid w:val="00045DCD"/>
    <w:rsid w:val="0004682D"/>
    <w:rsid w:val="00046BF9"/>
    <w:rsid w:val="00050A59"/>
    <w:rsid w:val="000528DF"/>
    <w:rsid w:val="00052ED5"/>
    <w:rsid w:val="0005383E"/>
    <w:rsid w:val="00053DD0"/>
    <w:rsid w:val="00053F5D"/>
    <w:rsid w:val="00054A82"/>
    <w:rsid w:val="00055032"/>
    <w:rsid w:val="00055C59"/>
    <w:rsid w:val="00055DF1"/>
    <w:rsid w:val="00055E40"/>
    <w:rsid w:val="00056B53"/>
    <w:rsid w:val="00061755"/>
    <w:rsid w:val="00065CC9"/>
    <w:rsid w:val="00067C51"/>
    <w:rsid w:val="00067E58"/>
    <w:rsid w:val="00071188"/>
    <w:rsid w:val="00071AAB"/>
    <w:rsid w:val="00072679"/>
    <w:rsid w:val="000734C9"/>
    <w:rsid w:val="000734D0"/>
    <w:rsid w:val="000742F9"/>
    <w:rsid w:val="00074534"/>
    <w:rsid w:val="00074E38"/>
    <w:rsid w:val="00075123"/>
    <w:rsid w:val="000755E2"/>
    <w:rsid w:val="00075BEA"/>
    <w:rsid w:val="0007677F"/>
    <w:rsid w:val="00076B0E"/>
    <w:rsid w:val="00076EEE"/>
    <w:rsid w:val="000772AE"/>
    <w:rsid w:val="000802BC"/>
    <w:rsid w:val="00080CC4"/>
    <w:rsid w:val="000816D9"/>
    <w:rsid w:val="00081A5B"/>
    <w:rsid w:val="0008455C"/>
    <w:rsid w:val="00084830"/>
    <w:rsid w:val="00084F6E"/>
    <w:rsid w:val="00085B29"/>
    <w:rsid w:val="00086570"/>
    <w:rsid w:val="00086ABF"/>
    <w:rsid w:val="00087141"/>
    <w:rsid w:val="00087210"/>
    <w:rsid w:val="0008768F"/>
    <w:rsid w:val="000901D5"/>
    <w:rsid w:val="00091A08"/>
    <w:rsid w:val="00091A4D"/>
    <w:rsid w:val="00093A32"/>
    <w:rsid w:val="00093EBD"/>
    <w:rsid w:val="00094379"/>
    <w:rsid w:val="000948D4"/>
    <w:rsid w:val="00095E0F"/>
    <w:rsid w:val="00097286"/>
    <w:rsid w:val="0009745B"/>
    <w:rsid w:val="000A10B0"/>
    <w:rsid w:val="000A21E0"/>
    <w:rsid w:val="000A30E2"/>
    <w:rsid w:val="000A31E8"/>
    <w:rsid w:val="000A37A0"/>
    <w:rsid w:val="000A4290"/>
    <w:rsid w:val="000A464D"/>
    <w:rsid w:val="000B0B85"/>
    <w:rsid w:val="000B1760"/>
    <w:rsid w:val="000B20C1"/>
    <w:rsid w:val="000B2375"/>
    <w:rsid w:val="000B35AE"/>
    <w:rsid w:val="000B440C"/>
    <w:rsid w:val="000B4540"/>
    <w:rsid w:val="000B4B30"/>
    <w:rsid w:val="000B4C73"/>
    <w:rsid w:val="000B4E5A"/>
    <w:rsid w:val="000B5F68"/>
    <w:rsid w:val="000B6079"/>
    <w:rsid w:val="000B740D"/>
    <w:rsid w:val="000B76EC"/>
    <w:rsid w:val="000B7A02"/>
    <w:rsid w:val="000B7A39"/>
    <w:rsid w:val="000C02B4"/>
    <w:rsid w:val="000C1D7E"/>
    <w:rsid w:val="000C3FBA"/>
    <w:rsid w:val="000C4CE5"/>
    <w:rsid w:val="000C5A78"/>
    <w:rsid w:val="000C5D5A"/>
    <w:rsid w:val="000C6C87"/>
    <w:rsid w:val="000C7AD8"/>
    <w:rsid w:val="000D0570"/>
    <w:rsid w:val="000D0AA3"/>
    <w:rsid w:val="000D0FBF"/>
    <w:rsid w:val="000D1700"/>
    <w:rsid w:val="000D25EF"/>
    <w:rsid w:val="000D354F"/>
    <w:rsid w:val="000D39BD"/>
    <w:rsid w:val="000D4A38"/>
    <w:rsid w:val="000D5601"/>
    <w:rsid w:val="000D6751"/>
    <w:rsid w:val="000D7146"/>
    <w:rsid w:val="000D7F9B"/>
    <w:rsid w:val="000E037F"/>
    <w:rsid w:val="000E08E3"/>
    <w:rsid w:val="000E0B4D"/>
    <w:rsid w:val="000E3423"/>
    <w:rsid w:val="000E4E46"/>
    <w:rsid w:val="000E520A"/>
    <w:rsid w:val="000E5700"/>
    <w:rsid w:val="000E597B"/>
    <w:rsid w:val="000E5B0D"/>
    <w:rsid w:val="000E643B"/>
    <w:rsid w:val="000E667C"/>
    <w:rsid w:val="000E6E6F"/>
    <w:rsid w:val="000E791C"/>
    <w:rsid w:val="000E7A35"/>
    <w:rsid w:val="000F0060"/>
    <w:rsid w:val="000F00F6"/>
    <w:rsid w:val="000F01F6"/>
    <w:rsid w:val="000F079E"/>
    <w:rsid w:val="000F0A67"/>
    <w:rsid w:val="000F130E"/>
    <w:rsid w:val="000F1310"/>
    <w:rsid w:val="000F16A8"/>
    <w:rsid w:val="000F16E8"/>
    <w:rsid w:val="000F3F47"/>
    <w:rsid w:val="000F4DF0"/>
    <w:rsid w:val="000F6074"/>
    <w:rsid w:val="000F626B"/>
    <w:rsid w:val="000F62DB"/>
    <w:rsid w:val="000F692B"/>
    <w:rsid w:val="000F7102"/>
    <w:rsid w:val="000F7F02"/>
    <w:rsid w:val="001011CC"/>
    <w:rsid w:val="00103B1E"/>
    <w:rsid w:val="0010402B"/>
    <w:rsid w:val="00104DE8"/>
    <w:rsid w:val="001051EE"/>
    <w:rsid w:val="00105B11"/>
    <w:rsid w:val="00106506"/>
    <w:rsid w:val="0010671A"/>
    <w:rsid w:val="001074A0"/>
    <w:rsid w:val="00107B14"/>
    <w:rsid w:val="00110787"/>
    <w:rsid w:val="001113EE"/>
    <w:rsid w:val="00112964"/>
    <w:rsid w:val="00112E0E"/>
    <w:rsid w:val="001133FB"/>
    <w:rsid w:val="001141B8"/>
    <w:rsid w:val="00115285"/>
    <w:rsid w:val="00115695"/>
    <w:rsid w:val="00115C90"/>
    <w:rsid w:val="001164F2"/>
    <w:rsid w:val="00117484"/>
    <w:rsid w:val="001201D3"/>
    <w:rsid w:val="0012148B"/>
    <w:rsid w:val="00122859"/>
    <w:rsid w:val="00123335"/>
    <w:rsid w:val="001237D0"/>
    <w:rsid w:val="001257C4"/>
    <w:rsid w:val="001309B5"/>
    <w:rsid w:val="0013184F"/>
    <w:rsid w:val="00132BF2"/>
    <w:rsid w:val="0013357E"/>
    <w:rsid w:val="00133B6B"/>
    <w:rsid w:val="001360AD"/>
    <w:rsid w:val="00136B7A"/>
    <w:rsid w:val="00136FAA"/>
    <w:rsid w:val="00140361"/>
    <w:rsid w:val="00140D89"/>
    <w:rsid w:val="001411E4"/>
    <w:rsid w:val="00141395"/>
    <w:rsid w:val="00142354"/>
    <w:rsid w:val="0014341E"/>
    <w:rsid w:val="001452FA"/>
    <w:rsid w:val="001455CD"/>
    <w:rsid w:val="001460AF"/>
    <w:rsid w:val="00147D42"/>
    <w:rsid w:val="0015079F"/>
    <w:rsid w:val="00150C58"/>
    <w:rsid w:val="00150F3F"/>
    <w:rsid w:val="001528B7"/>
    <w:rsid w:val="00153597"/>
    <w:rsid w:val="001535AD"/>
    <w:rsid w:val="00153770"/>
    <w:rsid w:val="001542C9"/>
    <w:rsid w:val="001545CE"/>
    <w:rsid w:val="00156A59"/>
    <w:rsid w:val="00160A41"/>
    <w:rsid w:val="001610C9"/>
    <w:rsid w:val="0016162C"/>
    <w:rsid w:val="00162583"/>
    <w:rsid w:val="001639A0"/>
    <w:rsid w:val="0016413D"/>
    <w:rsid w:val="00164900"/>
    <w:rsid w:val="00165FFE"/>
    <w:rsid w:val="001667BA"/>
    <w:rsid w:val="00166A6B"/>
    <w:rsid w:val="00166FB1"/>
    <w:rsid w:val="00171FDA"/>
    <w:rsid w:val="001727F5"/>
    <w:rsid w:val="0017338B"/>
    <w:rsid w:val="00173972"/>
    <w:rsid w:val="00174184"/>
    <w:rsid w:val="00175280"/>
    <w:rsid w:val="001755CA"/>
    <w:rsid w:val="0017643C"/>
    <w:rsid w:val="00176A95"/>
    <w:rsid w:val="001772AF"/>
    <w:rsid w:val="00177FA2"/>
    <w:rsid w:val="00180183"/>
    <w:rsid w:val="001806DF"/>
    <w:rsid w:val="00180B2C"/>
    <w:rsid w:val="00180C12"/>
    <w:rsid w:val="001812DB"/>
    <w:rsid w:val="00181424"/>
    <w:rsid w:val="00181D05"/>
    <w:rsid w:val="00181F05"/>
    <w:rsid w:val="00182343"/>
    <w:rsid w:val="00182B0B"/>
    <w:rsid w:val="001857D7"/>
    <w:rsid w:val="00185E53"/>
    <w:rsid w:val="00186624"/>
    <w:rsid w:val="00186C61"/>
    <w:rsid w:val="00186F75"/>
    <w:rsid w:val="00187F47"/>
    <w:rsid w:val="0019085A"/>
    <w:rsid w:val="00191224"/>
    <w:rsid w:val="001937B2"/>
    <w:rsid w:val="001939E2"/>
    <w:rsid w:val="0019425F"/>
    <w:rsid w:val="00194730"/>
    <w:rsid w:val="0019498F"/>
    <w:rsid w:val="00194D52"/>
    <w:rsid w:val="001963BC"/>
    <w:rsid w:val="00196CEC"/>
    <w:rsid w:val="001970C7"/>
    <w:rsid w:val="00197EF3"/>
    <w:rsid w:val="001A0810"/>
    <w:rsid w:val="001A0CC7"/>
    <w:rsid w:val="001A16F2"/>
    <w:rsid w:val="001A3978"/>
    <w:rsid w:val="001A3DA9"/>
    <w:rsid w:val="001A3E90"/>
    <w:rsid w:val="001A4CD7"/>
    <w:rsid w:val="001A5867"/>
    <w:rsid w:val="001A5C32"/>
    <w:rsid w:val="001A653F"/>
    <w:rsid w:val="001A665B"/>
    <w:rsid w:val="001A783E"/>
    <w:rsid w:val="001B0662"/>
    <w:rsid w:val="001B08AD"/>
    <w:rsid w:val="001B124E"/>
    <w:rsid w:val="001B129F"/>
    <w:rsid w:val="001B21B3"/>
    <w:rsid w:val="001B2BCF"/>
    <w:rsid w:val="001B30D7"/>
    <w:rsid w:val="001B33E0"/>
    <w:rsid w:val="001B40BF"/>
    <w:rsid w:val="001B452E"/>
    <w:rsid w:val="001B47A9"/>
    <w:rsid w:val="001B5A02"/>
    <w:rsid w:val="001B62A8"/>
    <w:rsid w:val="001B7A78"/>
    <w:rsid w:val="001C07AF"/>
    <w:rsid w:val="001C0B46"/>
    <w:rsid w:val="001C0CA5"/>
    <w:rsid w:val="001C114F"/>
    <w:rsid w:val="001C2FD0"/>
    <w:rsid w:val="001C3F61"/>
    <w:rsid w:val="001C6476"/>
    <w:rsid w:val="001C655C"/>
    <w:rsid w:val="001C6C02"/>
    <w:rsid w:val="001C7B5F"/>
    <w:rsid w:val="001D19E8"/>
    <w:rsid w:val="001D2728"/>
    <w:rsid w:val="001D354D"/>
    <w:rsid w:val="001D4516"/>
    <w:rsid w:val="001D4BA5"/>
    <w:rsid w:val="001D5118"/>
    <w:rsid w:val="001D5291"/>
    <w:rsid w:val="001D6954"/>
    <w:rsid w:val="001D6F8C"/>
    <w:rsid w:val="001D7136"/>
    <w:rsid w:val="001E0C27"/>
    <w:rsid w:val="001E1438"/>
    <w:rsid w:val="001E1502"/>
    <w:rsid w:val="001E785F"/>
    <w:rsid w:val="001F0444"/>
    <w:rsid w:val="001F11FE"/>
    <w:rsid w:val="001F22EC"/>
    <w:rsid w:val="001F33E2"/>
    <w:rsid w:val="001F385A"/>
    <w:rsid w:val="001F3B48"/>
    <w:rsid w:val="001F3B89"/>
    <w:rsid w:val="001F3D6B"/>
    <w:rsid w:val="001F49EA"/>
    <w:rsid w:val="001F672B"/>
    <w:rsid w:val="001F79BE"/>
    <w:rsid w:val="00200E28"/>
    <w:rsid w:val="00201724"/>
    <w:rsid w:val="00201AF6"/>
    <w:rsid w:val="002034AC"/>
    <w:rsid w:val="002047B7"/>
    <w:rsid w:val="0020583F"/>
    <w:rsid w:val="00206212"/>
    <w:rsid w:val="002063BA"/>
    <w:rsid w:val="00207341"/>
    <w:rsid w:val="00207784"/>
    <w:rsid w:val="00210BCE"/>
    <w:rsid w:val="00210DE8"/>
    <w:rsid w:val="002110BB"/>
    <w:rsid w:val="002116F3"/>
    <w:rsid w:val="002128C9"/>
    <w:rsid w:val="00212C3C"/>
    <w:rsid w:val="00213424"/>
    <w:rsid w:val="00213CB5"/>
    <w:rsid w:val="00214064"/>
    <w:rsid w:val="0021499C"/>
    <w:rsid w:val="00214B40"/>
    <w:rsid w:val="0021575E"/>
    <w:rsid w:val="002160D2"/>
    <w:rsid w:val="002171FC"/>
    <w:rsid w:val="0021734C"/>
    <w:rsid w:val="002214CB"/>
    <w:rsid w:val="00221520"/>
    <w:rsid w:val="00221525"/>
    <w:rsid w:val="00221AA7"/>
    <w:rsid w:val="0022262F"/>
    <w:rsid w:val="00225338"/>
    <w:rsid w:val="00225491"/>
    <w:rsid w:val="00225557"/>
    <w:rsid w:val="0022703D"/>
    <w:rsid w:val="002277E1"/>
    <w:rsid w:val="002305DC"/>
    <w:rsid w:val="00231D9D"/>
    <w:rsid w:val="00232537"/>
    <w:rsid w:val="002338A6"/>
    <w:rsid w:val="00233B87"/>
    <w:rsid w:val="00233DDF"/>
    <w:rsid w:val="00234A88"/>
    <w:rsid w:val="00235F25"/>
    <w:rsid w:val="002378D3"/>
    <w:rsid w:val="002405EC"/>
    <w:rsid w:val="00241433"/>
    <w:rsid w:val="00242311"/>
    <w:rsid w:val="00242805"/>
    <w:rsid w:val="00242FE8"/>
    <w:rsid w:val="0024379C"/>
    <w:rsid w:val="002443E3"/>
    <w:rsid w:val="002445AC"/>
    <w:rsid w:val="00244D68"/>
    <w:rsid w:val="002450CE"/>
    <w:rsid w:val="002453EA"/>
    <w:rsid w:val="002461EB"/>
    <w:rsid w:val="00246767"/>
    <w:rsid w:val="0024749D"/>
    <w:rsid w:val="00250B66"/>
    <w:rsid w:val="002517B8"/>
    <w:rsid w:val="00252296"/>
    <w:rsid w:val="00255C7F"/>
    <w:rsid w:val="00255E75"/>
    <w:rsid w:val="002567E3"/>
    <w:rsid w:val="00260FEF"/>
    <w:rsid w:val="00262070"/>
    <w:rsid w:val="0026238E"/>
    <w:rsid w:val="002628B2"/>
    <w:rsid w:val="00263D03"/>
    <w:rsid w:val="00264444"/>
    <w:rsid w:val="00265BA3"/>
    <w:rsid w:val="0026618A"/>
    <w:rsid w:val="00266E40"/>
    <w:rsid w:val="00267C8C"/>
    <w:rsid w:val="0027010C"/>
    <w:rsid w:val="002717EA"/>
    <w:rsid w:val="00272689"/>
    <w:rsid w:val="002730FA"/>
    <w:rsid w:val="002732BC"/>
    <w:rsid w:val="00273C37"/>
    <w:rsid w:val="00273FC5"/>
    <w:rsid w:val="00274512"/>
    <w:rsid w:val="002758FC"/>
    <w:rsid w:val="00276BCA"/>
    <w:rsid w:val="00277071"/>
    <w:rsid w:val="002823CA"/>
    <w:rsid w:val="00282CAC"/>
    <w:rsid w:val="00283AA5"/>
    <w:rsid w:val="00284DE7"/>
    <w:rsid w:val="002875ED"/>
    <w:rsid w:val="00290671"/>
    <w:rsid w:val="0029084E"/>
    <w:rsid w:val="00290B56"/>
    <w:rsid w:val="00290E56"/>
    <w:rsid w:val="00291843"/>
    <w:rsid w:val="00291D68"/>
    <w:rsid w:val="0029369E"/>
    <w:rsid w:val="00293A1A"/>
    <w:rsid w:val="00293FBC"/>
    <w:rsid w:val="002940F2"/>
    <w:rsid w:val="002949AF"/>
    <w:rsid w:val="0029688C"/>
    <w:rsid w:val="00296E4F"/>
    <w:rsid w:val="002A035C"/>
    <w:rsid w:val="002A0B2D"/>
    <w:rsid w:val="002A1121"/>
    <w:rsid w:val="002A12D8"/>
    <w:rsid w:val="002A148B"/>
    <w:rsid w:val="002A1574"/>
    <w:rsid w:val="002A15C3"/>
    <w:rsid w:val="002A1C37"/>
    <w:rsid w:val="002A30E9"/>
    <w:rsid w:val="002A379C"/>
    <w:rsid w:val="002A37BA"/>
    <w:rsid w:val="002A4459"/>
    <w:rsid w:val="002A5896"/>
    <w:rsid w:val="002A5B3A"/>
    <w:rsid w:val="002A700F"/>
    <w:rsid w:val="002A7AEE"/>
    <w:rsid w:val="002B02F2"/>
    <w:rsid w:val="002B055D"/>
    <w:rsid w:val="002B0581"/>
    <w:rsid w:val="002B0F4E"/>
    <w:rsid w:val="002B1285"/>
    <w:rsid w:val="002B1522"/>
    <w:rsid w:val="002B1949"/>
    <w:rsid w:val="002B1C7C"/>
    <w:rsid w:val="002B3E77"/>
    <w:rsid w:val="002B408C"/>
    <w:rsid w:val="002B4321"/>
    <w:rsid w:val="002B45D4"/>
    <w:rsid w:val="002B45DA"/>
    <w:rsid w:val="002B58BD"/>
    <w:rsid w:val="002B5BFF"/>
    <w:rsid w:val="002B65C0"/>
    <w:rsid w:val="002B6C7B"/>
    <w:rsid w:val="002B7093"/>
    <w:rsid w:val="002B7834"/>
    <w:rsid w:val="002C0414"/>
    <w:rsid w:val="002C0626"/>
    <w:rsid w:val="002C0C19"/>
    <w:rsid w:val="002C0EFC"/>
    <w:rsid w:val="002C246A"/>
    <w:rsid w:val="002C2709"/>
    <w:rsid w:val="002C4697"/>
    <w:rsid w:val="002C4C1B"/>
    <w:rsid w:val="002C65F2"/>
    <w:rsid w:val="002D2175"/>
    <w:rsid w:val="002D2554"/>
    <w:rsid w:val="002D268A"/>
    <w:rsid w:val="002D2E7A"/>
    <w:rsid w:val="002D3953"/>
    <w:rsid w:val="002D4F71"/>
    <w:rsid w:val="002D540A"/>
    <w:rsid w:val="002D581A"/>
    <w:rsid w:val="002D6838"/>
    <w:rsid w:val="002D7020"/>
    <w:rsid w:val="002D709B"/>
    <w:rsid w:val="002D7A3C"/>
    <w:rsid w:val="002D7ABB"/>
    <w:rsid w:val="002E0960"/>
    <w:rsid w:val="002E4272"/>
    <w:rsid w:val="002E4337"/>
    <w:rsid w:val="002E4BCE"/>
    <w:rsid w:val="002E5776"/>
    <w:rsid w:val="002E5A5E"/>
    <w:rsid w:val="002E5FFB"/>
    <w:rsid w:val="002E69C6"/>
    <w:rsid w:val="002E7CF4"/>
    <w:rsid w:val="002E7E1A"/>
    <w:rsid w:val="002F1299"/>
    <w:rsid w:val="002F34AC"/>
    <w:rsid w:val="002F512E"/>
    <w:rsid w:val="002F52FD"/>
    <w:rsid w:val="002F5DEE"/>
    <w:rsid w:val="002F5E44"/>
    <w:rsid w:val="002F6103"/>
    <w:rsid w:val="002F7822"/>
    <w:rsid w:val="00301230"/>
    <w:rsid w:val="00301E98"/>
    <w:rsid w:val="00302743"/>
    <w:rsid w:val="0030331B"/>
    <w:rsid w:val="003046CE"/>
    <w:rsid w:val="003059C2"/>
    <w:rsid w:val="003060E3"/>
    <w:rsid w:val="0030638E"/>
    <w:rsid w:val="00306C7A"/>
    <w:rsid w:val="003108A0"/>
    <w:rsid w:val="00310C5F"/>
    <w:rsid w:val="00311328"/>
    <w:rsid w:val="003116CE"/>
    <w:rsid w:val="00311842"/>
    <w:rsid w:val="00311D12"/>
    <w:rsid w:val="0031295C"/>
    <w:rsid w:val="00312C8A"/>
    <w:rsid w:val="0031321B"/>
    <w:rsid w:val="00313C45"/>
    <w:rsid w:val="00315DBF"/>
    <w:rsid w:val="00316BE4"/>
    <w:rsid w:val="00321369"/>
    <w:rsid w:val="003215E3"/>
    <w:rsid w:val="00321CD7"/>
    <w:rsid w:val="003232C7"/>
    <w:rsid w:val="0032401C"/>
    <w:rsid w:val="003243FE"/>
    <w:rsid w:val="003256FA"/>
    <w:rsid w:val="00325D31"/>
    <w:rsid w:val="00326680"/>
    <w:rsid w:val="003267AF"/>
    <w:rsid w:val="00326F28"/>
    <w:rsid w:val="00327424"/>
    <w:rsid w:val="00327E05"/>
    <w:rsid w:val="00330260"/>
    <w:rsid w:val="00331F73"/>
    <w:rsid w:val="00331FF6"/>
    <w:rsid w:val="003326C4"/>
    <w:rsid w:val="00333419"/>
    <w:rsid w:val="0033354D"/>
    <w:rsid w:val="003335EC"/>
    <w:rsid w:val="003349FD"/>
    <w:rsid w:val="0033535A"/>
    <w:rsid w:val="00335A8B"/>
    <w:rsid w:val="00335AE5"/>
    <w:rsid w:val="00336B41"/>
    <w:rsid w:val="003372AB"/>
    <w:rsid w:val="0034080C"/>
    <w:rsid w:val="00341F0D"/>
    <w:rsid w:val="00342CE3"/>
    <w:rsid w:val="00343034"/>
    <w:rsid w:val="0034314F"/>
    <w:rsid w:val="00344B39"/>
    <w:rsid w:val="0034566E"/>
    <w:rsid w:val="00345E25"/>
    <w:rsid w:val="00346940"/>
    <w:rsid w:val="00347287"/>
    <w:rsid w:val="0035102F"/>
    <w:rsid w:val="00351DB7"/>
    <w:rsid w:val="003521E6"/>
    <w:rsid w:val="00353590"/>
    <w:rsid w:val="003538DE"/>
    <w:rsid w:val="00354920"/>
    <w:rsid w:val="00354AF8"/>
    <w:rsid w:val="003608DD"/>
    <w:rsid w:val="00360C5F"/>
    <w:rsid w:val="00361DB9"/>
    <w:rsid w:val="0036307F"/>
    <w:rsid w:val="00364D4C"/>
    <w:rsid w:val="003658C9"/>
    <w:rsid w:val="00366440"/>
    <w:rsid w:val="00367F3E"/>
    <w:rsid w:val="00370DDB"/>
    <w:rsid w:val="00370DE7"/>
    <w:rsid w:val="00372A92"/>
    <w:rsid w:val="003733FF"/>
    <w:rsid w:val="00373432"/>
    <w:rsid w:val="00374958"/>
    <w:rsid w:val="003754E5"/>
    <w:rsid w:val="00377D1E"/>
    <w:rsid w:val="003805F2"/>
    <w:rsid w:val="00381B09"/>
    <w:rsid w:val="00381B7E"/>
    <w:rsid w:val="003827E3"/>
    <w:rsid w:val="00384C62"/>
    <w:rsid w:val="003853CB"/>
    <w:rsid w:val="00386786"/>
    <w:rsid w:val="00386F2C"/>
    <w:rsid w:val="00387157"/>
    <w:rsid w:val="003877F5"/>
    <w:rsid w:val="00387CF4"/>
    <w:rsid w:val="00390D64"/>
    <w:rsid w:val="0039151C"/>
    <w:rsid w:val="00391A6E"/>
    <w:rsid w:val="00392404"/>
    <w:rsid w:val="003934DF"/>
    <w:rsid w:val="00397129"/>
    <w:rsid w:val="003976D2"/>
    <w:rsid w:val="003A0AAE"/>
    <w:rsid w:val="003A0D8A"/>
    <w:rsid w:val="003A12CE"/>
    <w:rsid w:val="003A1432"/>
    <w:rsid w:val="003A2FBB"/>
    <w:rsid w:val="003A35A4"/>
    <w:rsid w:val="003A3608"/>
    <w:rsid w:val="003A3FDF"/>
    <w:rsid w:val="003A459B"/>
    <w:rsid w:val="003A4AB2"/>
    <w:rsid w:val="003A6AD8"/>
    <w:rsid w:val="003A7CD8"/>
    <w:rsid w:val="003B0E5F"/>
    <w:rsid w:val="003B1AA5"/>
    <w:rsid w:val="003B26CC"/>
    <w:rsid w:val="003B2CEE"/>
    <w:rsid w:val="003B302D"/>
    <w:rsid w:val="003B30BA"/>
    <w:rsid w:val="003B47E8"/>
    <w:rsid w:val="003B4928"/>
    <w:rsid w:val="003B50EA"/>
    <w:rsid w:val="003B5B1D"/>
    <w:rsid w:val="003B6143"/>
    <w:rsid w:val="003B6201"/>
    <w:rsid w:val="003B6244"/>
    <w:rsid w:val="003B69BF"/>
    <w:rsid w:val="003B6EDA"/>
    <w:rsid w:val="003B6FDD"/>
    <w:rsid w:val="003C1895"/>
    <w:rsid w:val="003C1905"/>
    <w:rsid w:val="003C1960"/>
    <w:rsid w:val="003C1D14"/>
    <w:rsid w:val="003C236C"/>
    <w:rsid w:val="003C3550"/>
    <w:rsid w:val="003C3974"/>
    <w:rsid w:val="003C51EC"/>
    <w:rsid w:val="003C5DA2"/>
    <w:rsid w:val="003C6D96"/>
    <w:rsid w:val="003C7071"/>
    <w:rsid w:val="003C7993"/>
    <w:rsid w:val="003D07EE"/>
    <w:rsid w:val="003D0E5A"/>
    <w:rsid w:val="003D0E7E"/>
    <w:rsid w:val="003D1DBA"/>
    <w:rsid w:val="003D39BD"/>
    <w:rsid w:val="003D3E6B"/>
    <w:rsid w:val="003D4DDD"/>
    <w:rsid w:val="003D65AA"/>
    <w:rsid w:val="003D66D8"/>
    <w:rsid w:val="003D68EE"/>
    <w:rsid w:val="003D7E54"/>
    <w:rsid w:val="003E152D"/>
    <w:rsid w:val="003E1599"/>
    <w:rsid w:val="003E2AB4"/>
    <w:rsid w:val="003E2C94"/>
    <w:rsid w:val="003E34D9"/>
    <w:rsid w:val="003E3EE0"/>
    <w:rsid w:val="003E4489"/>
    <w:rsid w:val="003E5078"/>
    <w:rsid w:val="003E514A"/>
    <w:rsid w:val="003E54DC"/>
    <w:rsid w:val="003E553F"/>
    <w:rsid w:val="003E5815"/>
    <w:rsid w:val="003E597B"/>
    <w:rsid w:val="003E6701"/>
    <w:rsid w:val="003E6D84"/>
    <w:rsid w:val="003F0899"/>
    <w:rsid w:val="003F193E"/>
    <w:rsid w:val="003F2048"/>
    <w:rsid w:val="003F3434"/>
    <w:rsid w:val="003F4591"/>
    <w:rsid w:val="003F5787"/>
    <w:rsid w:val="003F5E92"/>
    <w:rsid w:val="003F6F67"/>
    <w:rsid w:val="003F796A"/>
    <w:rsid w:val="0040040B"/>
    <w:rsid w:val="00400B23"/>
    <w:rsid w:val="0040101A"/>
    <w:rsid w:val="004018C2"/>
    <w:rsid w:val="00401E64"/>
    <w:rsid w:val="00402F62"/>
    <w:rsid w:val="00405FFF"/>
    <w:rsid w:val="00407B46"/>
    <w:rsid w:val="004112F5"/>
    <w:rsid w:val="00411F71"/>
    <w:rsid w:val="0041227E"/>
    <w:rsid w:val="00412852"/>
    <w:rsid w:val="00413744"/>
    <w:rsid w:val="0041426F"/>
    <w:rsid w:val="004151EE"/>
    <w:rsid w:val="00415B9E"/>
    <w:rsid w:val="00417600"/>
    <w:rsid w:val="004176DE"/>
    <w:rsid w:val="0041772C"/>
    <w:rsid w:val="004200EB"/>
    <w:rsid w:val="00420395"/>
    <w:rsid w:val="004213D5"/>
    <w:rsid w:val="00421BC4"/>
    <w:rsid w:val="0042232F"/>
    <w:rsid w:val="00422FA5"/>
    <w:rsid w:val="00423FDC"/>
    <w:rsid w:val="004248B0"/>
    <w:rsid w:val="00426D1A"/>
    <w:rsid w:val="00426D3E"/>
    <w:rsid w:val="0042728A"/>
    <w:rsid w:val="00427464"/>
    <w:rsid w:val="00427B32"/>
    <w:rsid w:val="00427E1C"/>
    <w:rsid w:val="00430044"/>
    <w:rsid w:val="00430CB0"/>
    <w:rsid w:val="00431353"/>
    <w:rsid w:val="0043213A"/>
    <w:rsid w:val="00432385"/>
    <w:rsid w:val="00433B48"/>
    <w:rsid w:val="004343AA"/>
    <w:rsid w:val="004347D5"/>
    <w:rsid w:val="004359AF"/>
    <w:rsid w:val="004361E5"/>
    <w:rsid w:val="00436295"/>
    <w:rsid w:val="004366A8"/>
    <w:rsid w:val="004376FE"/>
    <w:rsid w:val="00440530"/>
    <w:rsid w:val="00440780"/>
    <w:rsid w:val="004408A6"/>
    <w:rsid w:val="004415BA"/>
    <w:rsid w:val="004421EF"/>
    <w:rsid w:val="00442EC9"/>
    <w:rsid w:val="004430C2"/>
    <w:rsid w:val="004433C4"/>
    <w:rsid w:val="00444E35"/>
    <w:rsid w:val="00445EB7"/>
    <w:rsid w:val="00447EC2"/>
    <w:rsid w:val="00450194"/>
    <w:rsid w:val="0045093E"/>
    <w:rsid w:val="004532F7"/>
    <w:rsid w:val="00453586"/>
    <w:rsid w:val="00454803"/>
    <w:rsid w:val="004548C1"/>
    <w:rsid w:val="00455456"/>
    <w:rsid w:val="004572BC"/>
    <w:rsid w:val="00457705"/>
    <w:rsid w:val="004609FF"/>
    <w:rsid w:val="00462225"/>
    <w:rsid w:val="00462815"/>
    <w:rsid w:val="00463367"/>
    <w:rsid w:val="0046379F"/>
    <w:rsid w:val="00465DCB"/>
    <w:rsid w:val="004670C6"/>
    <w:rsid w:val="004675F2"/>
    <w:rsid w:val="0046776A"/>
    <w:rsid w:val="00471797"/>
    <w:rsid w:val="00472280"/>
    <w:rsid w:val="00472974"/>
    <w:rsid w:val="004739C0"/>
    <w:rsid w:val="0047426E"/>
    <w:rsid w:val="00474A0E"/>
    <w:rsid w:val="004756A5"/>
    <w:rsid w:val="004764A5"/>
    <w:rsid w:val="00476F03"/>
    <w:rsid w:val="00477CB5"/>
    <w:rsid w:val="00477D06"/>
    <w:rsid w:val="00477D07"/>
    <w:rsid w:val="00480820"/>
    <w:rsid w:val="00480E2B"/>
    <w:rsid w:val="004822B6"/>
    <w:rsid w:val="00482349"/>
    <w:rsid w:val="004828B0"/>
    <w:rsid w:val="00482BAE"/>
    <w:rsid w:val="00483939"/>
    <w:rsid w:val="00484150"/>
    <w:rsid w:val="00484B87"/>
    <w:rsid w:val="00485032"/>
    <w:rsid w:val="0048618F"/>
    <w:rsid w:val="00486264"/>
    <w:rsid w:val="0048661B"/>
    <w:rsid w:val="00486853"/>
    <w:rsid w:val="00490773"/>
    <w:rsid w:val="00492289"/>
    <w:rsid w:val="004923FF"/>
    <w:rsid w:val="004928D1"/>
    <w:rsid w:val="00493164"/>
    <w:rsid w:val="00493D07"/>
    <w:rsid w:val="00496F72"/>
    <w:rsid w:val="00497304"/>
    <w:rsid w:val="004977BA"/>
    <w:rsid w:val="00497E43"/>
    <w:rsid w:val="004A0D89"/>
    <w:rsid w:val="004A0EF2"/>
    <w:rsid w:val="004A0FEA"/>
    <w:rsid w:val="004A115B"/>
    <w:rsid w:val="004A1E32"/>
    <w:rsid w:val="004A2BA6"/>
    <w:rsid w:val="004A4EB6"/>
    <w:rsid w:val="004A5FCB"/>
    <w:rsid w:val="004A7DDA"/>
    <w:rsid w:val="004B1675"/>
    <w:rsid w:val="004B267D"/>
    <w:rsid w:val="004B283D"/>
    <w:rsid w:val="004B3703"/>
    <w:rsid w:val="004B51C3"/>
    <w:rsid w:val="004B535D"/>
    <w:rsid w:val="004B55F6"/>
    <w:rsid w:val="004B587B"/>
    <w:rsid w:val="004B5903"/>
    <w:rsid w:val="004B5CDA"/>
    <w:rsid w:val="004C07E5"/>
    <w:rsid w:val="004C0BED"/>
    <w:rsid w:val="004C0F21"/>
    <w:rsid w:val="004C1518"/>
    <w:rsid w:val="004C2BF0"/>
    <w:rsid w:val="004C3279"/>
    <w:rsid w:val="004C3731"/>
    <w:rsid w:val="004C3D44"/>
    <w:rsid w:val="004C466A"/>
    <w:rsid w:val="004C4FA8"/>
    <w:rsid w:val="004C57FE"/>
    <w:rsid w:val="004C5D9D"/>
    <w:rsid w:val="004C6B1F"/>
    <w:rsid w:val="004C6E86"/>
    <w:rsid w:val="004C72A2"/>
    <w:rsid w:val="004C7745"/>
    <w:rsid w:val="004D01CA"/>
    <w:rsid w:val="004D0DC5"/>
    <w:rsid w:val="004D1936"/>
    <w:rsid w:val="004D1DD3"/>
    <w:rsid w:val="004D1F52"/>
    <w:rsid w:val="004D1FD8"/>
    <w:rsid w:val="004D2A06"/>
    <w:rsid w:val="004D2B48"/>
    <w:rsid w:val="004D2BBE"/>
    <w:rsid w:val="004D2F3B"/>
    <w:rsid w:val="004D2FA5"/>
    <w:rsid w:val="004D3BA9"/>
    <w:rsid w:val="004D4228"/>
    <w:rsid w:val="004D51BD"/>
    <w:rsid w:val="004D55B8"/>
    <w:rsid w:val="004D6194"/>
    <w:rsid w:val="004D6299"/>
    <w:rsid w:val="004D7B67"/>
    <w:rsid w:val="004E0B17"/>
    <w:rsid w:val="004E248F"/>
    <w:rsid w:val="004E3DF7"/>
    <w:rsid w:val="004E442B"/>
    <w:rsid w:val="004E52D5"/>
    <w:rsid w:val="004E5579"/>
    <w:rsid w:val="004E5904"/>
    <w:rsid w:val="004E63AF"/>
    <w:rsid w:val="004E6E4B"/>
    <w:rsid w:val="004E72D7"/>
    <w:rsid w:val="004F003A"/>
    <w:rsid w:val="004F236E"/>
    <w:rsid w:val="004F3E73"/>
    <w:rsid w:val="004F40C2"/>
    <w:rsid w:val="004F411D"/>
    <w:rsid w:val="004F4409"/>
    <w:rsid w:val="004F4AEB"/>
    <w:rsid w:val="004F4F31"/>
    <w:rsid w:val="004F67EA"/>
    <w:rsid w:val="00500ADF"/>
    <w:rsid w:val="00500DAF"/>
    <w:rsid w:val="00500DFD"/>
    <w:rsid w:val="005022D2"/>
    <w:rsid w:val="00502BBC"/>
    <w:rsid w:val="00502EB8"/>
    <w:rsid w:val="00502EE0"/>
    <w:rsid w:val="00504AA9"/>
    <w:rsid w:val="0050528F"/>
    <w:rsid w:val="00505846"/>
    <w:rsid w:val="00506B6E"/>
    <w:rsid w:val="00510953"/>
    <w:rsid w:val="00511C42"/>
    <w:rsid w:val="00512447"/>
    <w:rsid w:val="00512899"/>
    <w:rsid w:val="0051416E"/>
    <w:rsid w:val="00514346"/>
    <w:rsid w:val="0051474D"/>
    <w:rsid w:val="00514AD1"/>
    <w:rsid w:val="00514E68"/>
    <w:rsid w:val="00515192"/>
    <w:rsid w:val="00515CC7"/>
    <w:rsid w:val="00516EEE"/>
    <w:rsid w:val="00517E84"/>
    <w:rsid w:val="005213AC"/>
    <w:rsid w:val="005221E5"/>
    <w:rsid w:val="00522D9D"/>
    <w:rsid w:val="00524DB0"/>
    <w:rsid w:val="00524F16"/>
    <w:rsid w:val="005250C8"/>
    <w:rsid w:val="005262FE"/>
    <w:rsid w:val="00526483"/>
    <w:rsid w:val="00527405"/>
    <w:rsid w:val="0053009F"/>
    <w:rsid w:val="00530A33"/>
    <w:rsid w:val="00530CA5"/>
    <w:rsid w:val="00530F58"/>
    <w:rsid w:val="00531B95"/>
    <w:rsid w:val="00531D5D"/>
    <w:rsid w:val="005323F3"/>
    <w:rsid w:val="00532473"/>
    <w:rsid w:val="00532FE7"/>
    <w:rsid w:val="0053347C"/>
    <w:rsid w:val="00535498"/>
    <w:rsid w:val="00535503"/>
    <w:rsid w:val="00535BF4"/>
    <w:rsid w:val="005361FF"/>
    <w:rsid w:val="00536C19"/>
    <w:rsid w:val="00541391"/>
    <w:rsid w:val="00542963"/>
    <w:rsid w:val="00543204"/>
    <w:rsid w:val="00543F6C"/>
    <w:rsid w:val="0054438E"/>
    <w:rsid w:val="00545012"/>
    <w:rsid w:val="005452B7"/>
    <w:rsid w:val="00545C34"/>
    <w:rsid w:val="00545C6A"/>
    <w:rsid w:val="00545CC2"/>
    <w:rsid w:val="00546133"/>
    <w:rsid w:val="00546B09"/>
    <w:rsid w:val="00547768"/>
    <w:rsid w:val="00547C7F"/>
    <w:rsid w:val="00550149"/>
    <w:rsid w:val="00550A6E"/>
    <w:rsid w:val="00550C95"/>
    <w:rsid w:val="00551BFB"/>
    <w:rsid w:val="00553447"/>
    <w:rsid w:val="005538AD"/>
    <w:rsid w:val="0055466C"/>
    <w:rsid w:val="00554871"/>
    <w:rsid w:val="005553DD"/>
    <w:rsid w:val="00556230"/>
    <w:rsid w:val="00556288"/>
    <w:rsid w:val="00557860"/>
    <w:rsid w:val="00557AC7"/>
    <w:rsid w:val="0056044E"/>
    <w:rsid w:val="005605E3"/>
    <w:rsid w:val="005613D1"/>
    <w:rsid w:val="00561CCE"/>
    <w:rsid w:val="0056240F"/>
    <w:rsid w:val="00563750"/>
    <w:rsid w:val="00563AF1"/>
    <w:rsid w:val="00563C0F"/>
    <w:rsid w:val="005640D4"/>
    <w:rsid w:val="00564258"/>
    <w:rsid w:val="0056513E"/>
    <w:rsid w:val="00565E0B"/>
    <w:rsid w:val="00566476"/>
    <w:rsid w:val="00567F24"/>
    <w:rsid w:val="0057086D"/>
    <w:rsid w:val="00570AEF"/>
    <w:rsid w:val="005719C0"/>
    <w:rsid w:val="00571D27"/>
    <w:rsid w:val="00573F5A"/>
    <w:rsid w:val="005741FA"/>
    <w:rsid w:val="00574F61"/>
    <w:rsid w:val="00575235"/>
    <w:rsid w:val="0057548E"/>
    <w:rsid w:val="0057586E"/>
    <w:rsid w:val="00575B66"/>
    <w:rsid w:val="005761BD"/>
    <w:rsid w:val="0057740A"/>
    <w:rsid w:val="00577562"/>
    <w:rsid w:val="00577DE2"/>
    <w:rsid w:val="0058026E"/>
    <w:rsid w:val="00581C6E"/>
    <w:rsid w:val="00582C43"/>
    <w:rsid w:val="00582DDD"/>
    <w:rsid w:val="00583F73"/>
    <w:rsid w:val="005842C9"/>
    <w:rsid w:val="00584B41"/>
    <w:rsid w:val="00584E81"/>
    <w:rsid w:val="00585A8D"/>
    <w:rsid w:val="00590129"/>
    <w:rsid w:val="005901DC"/>
    <w:rsid w:val="00590792"/>
    <w:rsid w:val="00591690"/>
    <w:rsid w:val="00591834"/>
    <w:rsid w:val="0059320B"/>
    <w:rsid w:val="0059444E"/>
    <w:rsid w:val="00595D99"/>
    <w:rsid w:val="005966BD"/>
    <w:rsid w:val="00596961"/>
    <w:rsid w:val="00596E88"/>
    <w:rsid w:val="005A07F4"/>
    <w:rsid w:val="005A090C"/>
    <w:rsid w:val="005A0944"/>
    <w:rsid w:val="005A0C5B"/>
    <w:rsid w:val="005A1359"/>
    <w:rsid w:val="005A181B"/>
    <w:rsid w:val="005A2A90"/>
    <w:rsid w:val="005A384D"/>
    <w:rsid w:val="005A407B"/>
    <w:rsid w:val="005A41D0"/>
    <w:rsid w:val="005A43FB"/>
    <w:rsid w:val="005A6937"/>
    <w:rsid w:val="005B05A5"/>
    <w:rsid w:val="005B1C27"/>
    <w:rsid w:val="005B294B"/>
    <w:rsid w:val="005B300D"/>
    <w:rsid w:val="005B30A3"/>
    <w:rsid w:val="005B3799"/>
    <w:rsid w:val="005B516A"/>
    <w:rsid w:val="005B5BBC"/>
    <w:rsid w:val="005B5D22"/>
    <w:rsid w:val="005B6483"/>
    <w:rsid w:val="005B6CA8"/>
    <w:rsid w:val="005B6EDB"/>
    <w:rsid w:val="005B74DA"/>
    <w:rsid w:val="005B7BEE"/>
    <w:rsid w:val="005C0688"/>
    <w:rsid w:val="005C0DC1"/>
    <w:rsid w:val="005C16EE"/>
    <w:rsid w:val="005C25EB"/>
    <w:rsid w:val="005C3134"/>
    <w:rsid w:val="005C3AAF"/>
    <w:rsid w:val="005C4826"/>
    <w:rsid w:val="005C536F"/>
    <w:rsid w:val="005C56A3"/>
    <w:rsid w:val="005C58A4"/>
    <w:rsid w:val="005C5A0D"/>
    <w:rsid w:val="005C5B1C"/>
    <w:rsid w:val="005C5F7A"/>
    <w:rsid w:val="005C6B0D"/>
    <w:rsid w:val="005C6E4E"/>
    <w:rsid w:val="005D188F"/>
    <w:rsid w:val="005D2E17"/>
    <w:rsid w:val="005D57F8"/>
    <w:rsid w:val="005D5943"/>
    <w:rsid w:val="005D67A9"/>
    <w:rsid w:val="005D6A33"/>
    <w:rsid w:val="005D70D4"/>
    <w:rsid w:val="005E03D7"/>
    <w:rsid w:val="005E0A36"/>
    <w:rsid w:val="005E29D2"/>
    <w:rsid w:val="005E5094"/>
    <w:rsid w:val="005E5F9B"/>
    <w:rsid w:val="005E722F"/>
    <w:rsid w:val="005E7F16"/>
    <w:rsid w:val="005F2309"/>
    <w:rsid w:val="005F2741"/>
    <w:rsid w:val="005F3CC1"/>
    <w:rsid w:val="005F3CF3"/>
    <w:rsid w:val="005F5D1A"/>
    <w:rsid w:val="005F613B"/>
    <w:rsid w:val="005F63D1"/>
    <w:rsid w:val="005F678A"/>
    <w:rsid w:val="005F6A44"/>
    <w:rsid w:val="005F714F"/>
    <w:rsid w:val="005F792C"/>
    <w:rsid w:val="006004F8"/>
    <w:rsid w:val="0060095B"/>
    <w:rsid w:val="00601298"/>
    <w:rsid w:val="0060171A"/>
    <w:rsid w:val="00601811"/>
    <w:rsid w:val="0060188E"/>
    <w:rsid w:val="00601AF7"/>
    <w:rsid w:val="00601B12"/>
    <w:rsid w:val="00602C6C"/>
    <w:rsid w:val="0060426B"/>
    <w:rsid w:val="00605D1F"/>
    <w:rsid w:val="00610BC9"/>
    <w:rsid w:val="00610D07"/>
    <w:rsid w:val="00610D4C"/>
    <w:rsid w:val="00611014"/>
    <w:rsid w:val="006118A2"/>
    <w:rsid w:val="00611B61"/>
    <w:rsid w:val="006120BB"/>
    <w:rsid w:val="00612712"/>
    <w:rsid w:val="006132F3"/>
    <w:rsid w:val="006139EA"/>
    <w:rsid w:val="00613EE3"/>
    <w:rsid w:val="0061403A"/>
    <w:rsid w:val="006142D8"/>
    <w:rsid w:val="006152FB"/>
    <w:rsid w:val="006159B9"/>
    <w:rsid w:val="00615EE3"/>
    <w:rsid w:val="00616FDD"/>
    <w:rsid w:val="00617275"/>
    <w:rsid w:val="006176E3"/>
    <w:rsid w:val="00620EBF"/>
    <w:rsid w:val="00621DA9"/>
    <w:rsid w:val="0062585A"/>
    <w:rsid w:val="006261F1"/>
    <w:rsid w:val="00626690"/>
    <w:rsid w:val="00627065"/>
    <w:rsid w:val="00627552"/>
    <w:rsid w:val="00627592"/>
    <w:rsid w:val="006275FB"/>
    <w:rsid w:val="00627895"/>
    <w:rsid w:val="00630029"/>
    <w:rsid w:val="006302F9"/>
    <w:rsid w:val="006319C2"/>
    <w:rsid w:val="00632C4B"/>
    <w:rsid w:val="00633FDB"/>
    <w:rsid w:val="00634DDA"/>
    <w:rsid w:val="006352D2"/>
    <w:rsid w:val="006357FB"/>
    <w:rsid w:val="00636165"/>
    <w:rsid w:val="00636504"/>
    <w:rsid w:val="0064073C"/>
    <w:rsid w:val="00640A30"/>
    <w:rsid w:val="00640B25"/>
    <w:rsid w:val="00642517"/>
    <w:rsid w:val="0064292C"/>
    <w:rsid w:val="006434F2"/>
    <w:rsid w:val="006444AF"/>
    <w:rsid w:val="00644E23"/>
    <w:rsid w:val="00645DAB"/>
    <w:rsid w:val="006461CE"/>
    <w:rsid w:val="00646FA6"/>
    <w:rsid w:val="00647AE2"/>
    <w:rsid w:val="00647CCB"/>
    <w:rsid w:val="00651212"/>
    <w:rsid w:val="006520D6"/>
    <w:rsid w:val="00653205"/>
    <w:rsid w:val="00654AAF"/>
    <w:rsid w:val="00655403"/>
    <w:rsid w:val="00655F33"/>
    <w:rsid w:val="00655FE8"/>
    <w:rsid w:val="006561EC"/>
    <w:rsid w:val="0065651F"/>
    <w:rsid w:val="00656BE9"/>
    <w:rsid w:val="00656E63"/>
    <w:rsid w:val="00657FC8"/>
    <w:rsid w:val="00660E41"/>
    <w:rsid w:val="00660E92"/>
    <w:rsid w:val="0066196C"/>
    <w:rsid w:val="00662746"/>
    <w:rsid w:val="00662B6E"/>
    <w:rsid w:val="00663D64"/>
    <w:rsid w:val="00663D6B"/>
    <w:rsid w:val="00666084"/>
    <w:rsid w:val="00666385"/>
    <w:rsid w:val="00666DA0"/>
    <w:rsid w:val="00666DD7"/>
    <w:rsid w:val="00667A54"/>
    <w:rsid w:val="00667BCD"/>
    <w:rsid w:val="0067069C"/>
    <w:rsid w:val="00670AA5"/>
    <w:rsid w:val="006714F0"/>
    <w:rsid w:val="00671ED3"/>
    <w:rsid w:val="0067686C"/>
    <w:rsid w:val="00680409"/>
    <w:rsid w:val="0068112C"/>
    <w:rsid w:val="00681DBB"/>
    <w:rsid w:val="00682CF5"/>
    <w:rsid w:val="00683222"/>
    <w:rsid w:val="00683E97"/>
    <w:rsid w:val="00683F3B"/>
    <w:rsid w:val="006848B0"/>
    <w:rsid w:val="00684C75"/>
    <w:rsid w:val="0068616B"/>
    <w:rsid w:val="0068616D"/>
    <w:rsid w:val="00686B49"/>
    <w:rsid w:val="00692865"/>
    <w:rsid w:val="0069332C"/>
    <w:rsid w:val="006936E8"/>
    <w:rsid w:val="00693E3E"/>
    <w:rsid w:val="00694F54"/>
    <w:rsid w:val="0069556A"/>
    <w:rsid w:val="0069558D"/>
    <w:rsid w:val="006955DE"/>
    <w:rsid w:val="00695720"/>
    <w:rsid w:val="00695CB8"/>
    <w:rsid w:val="00697F1B"/>
    <w:rsid w:val="006A060D"/>
    <w:rsid w:val="006A07B0"/>
    <w:rsid w:val="006A0D11"/>
    <w:rsid w:val="006A15E5"/>
    <w:rsid w:val="006A1B50"/>
    <w:rsid w:val="006A1BCB"/>
    <w:rsid w:val="006A37C9"/>
    <w:rsid w:val="006A3F13"/>
    <w:rsid w:val="006A409E"/>
    <w:rsid w:val="006A48C6"/>
    <w:rsid w:val="006A561A"/>
    <w:rsid w:val="006A5670"/>
    <w:rsid w:val="006A6BFC"/>
    <w:rsid w:val="006A741D"/>
    <w:rsid w:val="006A76F4"/>
    <w:rsid w:val="006B07CE"/>
    <w:rsid w:val="006B1E1E"/>
    <w:rsid w:val="006B3A65"/>
    <w:rsid w:val="006B49BD"/>
    <w:rsid w:val="006B4CA6"/>
    <w:rsid w:val="006B4CCC"/>
    <w:rsid w:val="006B4F6D"/>
    <w:rsid w:val="006B7479"/>
    <w:rsid w:val="006B7712"/>
    <w:rsid w:val="006C0EBE"/>
    <w:rsid w:val="006C1D2F"/>
    <w:rsid w:val="006C1FD5"/>
    <w:rsid w:val="006C2DBF"/>
    <w:rsid w:val="006C2E6E"/>
    <w:rsid w:val="006C464C"/>
    <w:rsid w:val="006C48FC"/>
    <w:rsid w:val="006C4DD0"/>
    <w:rsid w:val="006C6BFF"/>
    <w:rsid w:val="006C731D"/>
    <w:rsid w:val="006C79B0"/>
    <w:rsid w:val="006C7F5B"/>
    <w:rsid w:val="006D0852"/>
    <w:rsid w:val="006D0B9F"/>
    <w:rsid w:val="006D0EFA"/>
    <w:rsid w:val="006D154B"/>
    <w:rsid w:val="006D1552"/>
    <w:rsid w:val="006D1997"/>
    <w:rsid w:val="006D1F3E"/>
    <w:rsid w:val="006D2484"/>
    <w:rsid w:val="006D2B95"/>
    <w:rsid w:val="006D6259"/>
    <w:rsid w:val="006D7833"/>
    <w:rsid w:val="006E0F33"/>
    <w:rsid w:val="006E1342"/>
    <w:rsid w:val="006E1573"/>
    <w:rsid w:val="006E3357"/>
    <w:rsid w:val="006E47B1"/>
    <w:rsid w:val="006E49BA"/>
    <w:rsid w:val="006E4C5C"/>
    <w:rsid w:val="006E4EF6"/>
    <w:rsid w:val="006E51C1"/>
    <w:rsid w:val="006E582D"/>
    <w:rsid w:val="006E7F0B"/>
    <w:rsid w:val="006E7F4C"/>
    <w:rsid w:val="006F0048"/>
    <w:rsid w:val="006F006E"/>
    <w:rsid w:val="006F00C5"/>
    <w:rsid w:val="006F05B8"/>
    <w:rsid w:val="006F1250"/>
    <w:rsid w:val="006F32E0"/>
    <w:rsid w:val="006F3CA1"/>
    <w:rsid w:val="006F3DBC"/>
    <w:rsid w:val="006F5EA5"/>
    <w:rsid w:val="006F5F8C"/>
    <w:rsid w:val="006F6E81"/>
    <w:rsid w:val="006F7A19"/>
    <w:rsid w:val="006F7A76"/>
    <w:rsid w:val="006F7EB2"/>
    <w:rsid w:val="007008AC"/>
    <w:rsid w:val="007009CC"/>
    <w:rsid w:val="00700E99"/>
    <w:rsid w:val="007012CC"/>
    <w:rsid w:val="00701A6D"/>
    <w:rsid w:val="007027A4"/>
    <w:rsid w:val="00702DFF"/>
    <w:rsid w:val="00703C5E"/>
    <w:rsid w:val="00703EC9"/>
    <w:rsid w:val="00704865"/>
    <w:rsid w:val="0070491F"/>
    <w:rsid w:val="00704C91"/>
    <w:rsid w:val="00704D58"/>
    <w:rsid w:val="00704D6C"/>
    <w:rsid w:val="00705A0F"/>
    <w:rsid w:val="00705FB9"/>
    <w:rsid w:val="00706ECB"/>
    <w:rsid w:val="007108C9"/>
    <w:rsid w:val="007111D0"/>
    <w:rsid w:val="007122F1"/>
    <w:rsid w:val="00712692"/>
    <w:rsid w:val="007133E4"/>
    <w:rsid w:val="00714C53"/>
    <w:rsid w:val="00715C70"/>
    <w:rsid w:val="00716413"/>
    <w:rsid w:val="0071656F"/>
    <w:rsid w:val="00716CCC"/>
    <w:rsid w:val="00716F56"/>
    <w:rsid w:val="00720426"/>
    <w:rsid w:val="0072044D"/>
    <w:rsid w:val="00720D11"/>
    <w:rsid w:val="00720F16"/>
    <w:rsid w:val="00724310"/>
    <w:rsid w:val="00724855"/>
    <w:rsid w:val="007250F5"/>
    <w:rsid w:val="007258AC"/>
    <w:rsid w:val="00726382"/>
    <w:rsid w:val="00726647"/>
    <w:rsid w:val="00727437"/>
    <w:rsid w:val="0072781C"/>
    <w:rsid w:val="00727DC3"/>
    <w:rsid w:val="00730702"/>
    <w:rsid w:val="0073075A"/>
    <w:rsid w:val="00730D5B"/>
    <w:rsid w:val="00730F5B"/>
    <w:rsid w:val="00731485"/>
    <w:rsid w:val="007314CC"/>
    <w:rsid w:val="00731BFF"/>
    <w:rsid w:val="00731D91"/>
    <w:rsid w:val="00733628"/>
    <w:rsid w:val="00735A26"/>
    <w:rsid w:val="00736407"/>
    <w:rsid w:val="00736520"/>
    <w:rsid w:val="00736854"/>
    <w:rsid w:val="007369BD"/>
    <w:rsid w:val="00740056"/>
    <w:rsid w:val="00740C28"/>
    <w:rsid w:val="00740EEA"/>
    <w:rsid w:val="0074399D"/>
    <w:rsid w:val="00743C16"/>
    <w:rsid w:val="0074404F"/>
    <w:rsid w:val="007457A7"/>
    <w:rsid w:val="00746BE4"/>
    <w:rsid w:val="00747143"/>
    <w:rsid w:val="0074723E"/>
    <w:rsid w:val="00753705"/>
    <w:rsid w:val="00753C73"/>
    <w:rsid w:val="00755AF2"/>
    <w:rsid w:val="0075618D"/>
    <w:rsid w:val="00756A4E"/>
    <w:rsid w:val="00756D79"/>
    <w:rsid w:val="007570FE"/>
    <w:rsid w:val="007573FE"/>
    <w:rsid w:val="007575E3"/>
    <w:rsid w:val="00760A05"/>
    <w:rsid w:val="00760E6B"/>
    <w:rsid w:val="0076126A"/>
    <w:rsid w:val="007612B8"/>
    <w:rsid w:val="00762278"/>
    <w:rsid w:val="00763A81"/>
    <w:rsid w:val="0076411E"/>
    <w:rsid w:val="0076554B"/>
    <w:rsid w:val="00765E14"/>
    <w:rsid w:val="00766A2D"/>
    <w:rsid w:val="00766D56"/>
    <w:rsid w:val="00767851"/>
    <w:rsid w:val="00767EA7"/>
    <w:rsid w:val="00771B5F"/>
    <w:rsid w:val="00771F17"/>
    <w:rsid w:val="0077291B"/>
    <w:rsid w:val="00772CB6"/>
    <w:rsid w:val="00772CD3"/>
    <w:rsid w:val="007732C3"/>
    <w:rsid w:val="007733B7"/>
    <w:rsid w:val="00773570"/>
    <w:rsid w:val="007738E0"/>
    <w:rsid w:val="00774132"/>
    <w:rsid w:val="007748DC"/>
    <w:rsid w:val="007755A0"/>
    <w:rsid w:val="00775CE7"/>
    <w:rsid w:val="007760BC"/>
    <w:rsid w:val="00776E44"/>
    <w:rsid w:val="0077766E"/>
    <w:rsid w:val="00777B03"/>
    <w:rsid w:val="00777C4E"/>
    <w:rsid w:val="00777F9F"/>
    <w:rsid w:val="007805A9"/>
    <w:rsid w:val="00780842"/>
    <w:rsid w:val="00781EDA"/>
    <w:rsid w:val="00782971"/>
    <w:rsid w:val="00782BF9"/>
    <w:rsid w:val="00783311"/>
    <w:rsid w:val="00784145"/>
    <w:rsid w:val="007850F1"/>
    <w:rsid w:val="0078559C"/>
    <w:rsid w:val="00785DE1"/>
    <w:rsid w:val="00786333"/>
    <w:rsid w:val="00786999"/>
    <w:rsid w:val="00786B9A"/>
    <w:rsid w:val="0078781D"/>
    <w:rsid w:val="007901AD"/>
    <w:rsid w:val="007936C6"/>
    <w:rsid w:val="00793CED"/>
    <w:rsid w:val="00793D76"/>
    <w:rsid w:val="00794705"/>
    <w:rsid w:val="0079512A"/>
    <w:rsid w:val="0079526E"/>
    <w:rsid w:val="007963EB"/>
    <w:rsid w:val="00797226"/>
    <w:rsid w:val="00797BA7"/>
    <w:rsid w:val="00797F95"/>
    <w:rsid w:val="007A00C2"/>
    <w:rsid w:val="007A0D51"/>
    <w:rsid w:val="007A1902"/>
    <w:rsid w:val="007A2986"/>
    <w:rsid w:val="007A3264"/>
    <w:rsid w:val="007A48C7"/>
    <w:rsid w:val="007A700A"/>
    <w:rsid w:val="007B0159"/>
    <w:rsid w:val="007B042A"/>
    <w:rsid w:val="007B0E6D"/>
    <w:rsid w:val="007B1CCD"/>
    <w:rsid w:val="007B2CE0"/>
    <w:rsid w:val="007B374B"/>
    <w:rsid w:val="007B3A1C"/>
    <w:rsid w:val="007B3BBD"/>
    <w:rsid w:val="007B43EF"/>
    <w:rsid w:val="007B5E2A"/>
    <w:rsid w:val="007B625E"/>
    <w:rsid w:val="007B6463"/>
    <w:rsid w:val="007B6893"/>
    <w:rsid w:val="007B69F4"/>
    <w:rsid w:val="007B7257"/>
    <w:rsid w:val="007B7414"/>
    <w:rsid w:val="007C0FC8"/>
    <w:rsid w:val="007C21C9"/>
    <w:rsid w:val="007C235C"/>
    <w:rsid w:val="007C31BF"/>
    <w:rsid w:val="007C381E"/>
    <w:rsid w:val="007C3866"/>
    <w:rsid w:val="007C3EDE"/>
    <w:rsid w:val="007C4250"/>
    <w:rsid w:val="007C4B19"/>
    <w:rsid w:val="007C4C91"/>
    <w:rsid w:val="007C50BA"/>
    <w:rsid w:val="007C5116"/>
    <w:rsid w:val="007C52ED"/>
    <w:rsid w:val="007C670D"/>
    <w:rsid w:val="007C6E2F"/>
    <w:rsid w:val="007C72F0"/>
    <w:rsid w:val="007C7712"/>
    <w:rsid w:val="007C7B17"/>
    <w:rsid w:val="007C7BB9"/>
    <w:rsid w:val="007D0451"/>
    <w:rsid w:val="007D1273"/>
    <w:rsid w:val="007D199E"/>
    <w:rsid w:val="007D1BE1"/>
    <w:rsid w:val="007D20DF"/>
    <w:rsid w:val="007D24DF"/>
    <w:rsid w:val="007D34A8"/>
    <w:rsid w:val="007D40CF"/>
    <w:rsid w:val="007D5F24"/>
    <w:rsid w:val="007D6D26"/>
    <w:rsid w:val="007D75B4"/>
    <w:rsid w:val="007D7886"/>
    <w:rsid w:val="007D7BD2"/>
    <w:rsid w:val="007E0046"/>
    <w:rsid w:val="007E1006"/>
    <w:rsid w:val="007E1562"/>
    <w:rsid w:val="007E2003"/>
    <w:rsid w:val="007E231D"/>
    <w:rsid w:val="007E2721"/>
    <w:rsid w:val="007E28AF"/>
    <w:rsid w:val="007E4193"/>
    <w:rsid w:val="007E4EF0"/>
    <w:rsid w:val="007E52A3"/>
    <w:rsid w:val="007E5C93"/>
    <w:rsid w:val="007E62D1"/>
    <w:rsid w:val="007E6E90"/>
    <w:rsid w:val="007E7291"/>
    <w:rsid w:val="007F067E"/>
    <w:rsid w:val="007F0EE5"/>
    <w:rsid w:val="007F1DB0"/>
    <w:rsid w:val="007F22D7"/>
    <w:rsid w:val="007F2C20"/>
    <w:rsid w:val="007F3042"/>
    <w:rsid w:val="007F3883"/>
    <w:rsid w:val="007F3B2C"/>
    <w:rsid w:val="007F4A63"/>
    <w:rsid w:val="007F6172"/>
    <w:rsid w:val="007F6325"/>
    <w:rsid w:val="007F6A80"/>
    <w:rsid w:val="007F73FE"/>
    <w:rsid w:val="007F7543"/>
    <w:rsid w:val="00801046"/>
    <w:rsid w:val="00801735"/>
    <w:rsid w:val="008029FE"/>
    <w:rsid w:val="00802EAF"/>
    <w:rsid w:val="0080481B"/>
    <w:rsid w:val="00804F60"/>
    <w:rsid w:val="00805420"/>
    <w:rsid w:val="0080751E"/>
    <w:rsid w:val="008078E9"/>
    <w:rsid w:val="00807936"/>
    <w:rsid w:val="00807F1B"/>
    <w:rsid w:val="008112A3"/>
    <w:rsid w:val="008115A4"/>
    <w:rsid w:val="008115AC"/>
    <w:rsid w:val="00811CA4"/>
    <w:rsid w:val="0081331C"/>
    <w:rsid w:val="00813B3A"/>
    <w:rsid w:val="00814EB1"/>
    <w:rsid w:val="00815864"/>
    <w:rsid w:val="00815AA0"/>
    <w:rsid w:val="00815C6E"/>
    <w:rsid w:val="00815EF1"/>
    <w:rsid w:val="00817A25"/>
    <w:rsid w:val="00820B7F"/>
    <w:rsid w:val="00820FB2"/>
    <w:rsid w:val="008237A5"/>
    <w:rsid w:val="00824AB7"/>
    <w:rsid w:val="008250EF"/>
    <w:rsid w:val="0082657D"/>
    <w:rsid w:val="00826819"/>
    <w:rsid w:val="00826A3A"/>
    <w:rsid w:val="00826C30"/>
    <w:rsid w:val="008279B5"/>
    <w:rsid w:val="00827AE6"/>
    <w:rsid w:val="00830422"/>
    <w:rsid w:val="0083067D"/>
    <w:rsid w:val="0083089F"/>
    <w:rsid w:val="00830C49"/>
    <w:rsid w:val="00830CEA"/>
    <w:rsid w:val="00830F0A"/>
    <w:rsid w:val="008310C3"/>
    <w:rsid w:val="008318DB"/>
    <w:rsid w:val="00831D0F"/>
    <w:rsid w:val="00833782"/>
    <w:rsid w:val="008358F8"/>
    <w:rsid w:val="00837ED8"/>
    <w:rsid w:val="00837FBE"/>
    <w:rsid w:val="0084074B"/>
    <w:rsid w:val="00841FED"/>
    <w:rsid w:val="0084231E"/>
    <w:rsid w:val="00842992"/>
    <w:rsid w:val="008429C1"/>
    <w:rsid w:val="00842B93"/>
    <w:rsid w:val="0084303B"/>
    <w:rsid w:val="008430F7"/>
    <w:rsid w:val="00843EDA"/>
    <w:rsid w:val="00844D78"/>
    <w:rsid w:val="00845E80"/>
    <w:rsid w:val="00846397"/>
    <w:rsid w:val="008463AE"/>
    <w:rsid w:val="00847A58"/>
    <w:rsid w:val="00850F13"/>
    <w:rsid w:val="0085132B"/>
    <w:rsid w:val="00851C81"/>
    <w:rsid w:val="00854B41"/>
    <w:rsid w:val="008559D3"/>
    <w:rsid w:val="00855C2D"/>
    <w:rsid w:val="0086052A"/>
    <w:rsid w:val="00860D42"/>
    <w:rsid w:val="00862091"/>
    <w:rsid w:val="0086268D"/>
    <w:rsid w:val="00862798"/>
    <w:rsid w:val="008629FC"/>
    <w:rsid w:val="00863F93"/>
    <w:rsid w:val="00864265"/>
    <w:rsid w:val="00864B08"/>
    <w:rsid w:val="00864BC1"/>
    <w:rsid w:val="0086564A"/>
    <w:rsid w:val="00865D18"/>
    <w:rsid w:val="00866A9A"/>
    <w:rsid w:val="00866B56"/>
    <w:rsid w:val="008702E1"/>
    <w:rsid w:val="00870B25"/>
    <w:rsid w:val="008724C5"/>
    <w:rsid w:val="0087419D"/>
    <w:rsid w:val="008747DE"/>
    <w:rsid w:val="008755C7"/>
    <w:rsid w:val="00875603"/>
    <w:rsid w:val="00876B5D"/>
    <w:rsid w:val="0087777A"/>
    <w:rsid w:val="008801F7"/>
    <w:rsid w:val="008809CB"/>
    <w:rsid w:val="00882B0E"/>
    <w:rsid w:val="0088306B"/>
    <w:rsid w:val="00883C8C"/>
    <w:rsid w:val="00885E0B"/>
    <w:rsid w:val="0088633B"/>
    <w:rsid w:val="00886BA4"/>
    <w:rsid w:val="00890165"/>
    <w:rsid w:val="00890B0F"/>
    <w:rsid w:val="00890CA9"/>
    <w:rsid w:val="00890CB2"/>
    <w:rsid w:val="008913AC"/>
    <w:rsid w:val="00891BEE"/>
    <w:rsid w:val="00891E07"/>
    <w:rsid w:val="008929F6"/>
    <w:rsid w:val="00893B49"/>
    <w:rsid w:val="00893F4A"/>
    <w:rsid w:val="008951AE"/>
    <w:rsid w:val="00896331"/>
    <w:rsid w:val="00896A46"/>
    <w:rsid w:val="00897242"/>
    <w:rsid w:val="008973C3"/>
    <w:rsid w:val="008A09AC"/>
    <w:rsid w:val="008A0F60"/>
    <w:rsid w:val="008A1584"/>
    <w:rsid w:val="008A1A87"/>
    <w:rsid w:val="008A1E0A"/>
    <w:rsid w:val="008A37D0"/>
    <w:rsid w:val="008A3FD3"/>
    <w:rsid w:val="008A4651"/>
    <w:rsid w:val="008A4F90"/>
    <w:rsid w:val="008A519E"/>
    <w:rsid w:val="008A5793"/>
    <w:rsid w:val="008A59D6"/>
    <w:rsid w:val="008A5CD1"/>
    <w:rsid w:val="008A64ED"/>
    <w:rsid w:val="008A6B7A"/>
    <w:rsid w:val="008B0B36"/>
    <w:rsid w:val="008B0E64"/>
    <w:rsid w:val="008B110B"/>
    <w:rsid w:val="008B1823"/>
    <w:rsid w:val="008B1E2F"/>
    <w:rsid w:val="008B3CC3"/>
    <w:rsid w:val="008B4C87"/>
    <w:rsid w:val="008B558B"/>
    <w:rsid w:val="008B57CA"/>
    <w:rsid w:val="008B5879"/>
    <w:rsid w:val="008B6308"/>
    <w:rsid w:val="008B6528"/>
    <w:rsid w:val="008B69CD"/>
    <w:rsid w:val="008B7C5B"/>
    <w:rsid w:val="008B7DC2"/>
    <w:rsid w:val="008B7DF3"/>
    <w:rsid w:val="008C0389"/>
    <w:rsid w:val="008C03AC"/>
    <w:rsid w:val="008C210C"/>
    <w:rsid w:val="008C23BB"/>
    <w:rsid w:val="008C3129"/>
    <w:rsid w:val="008C331D"/>
    <w:rsid w:val="008C33BD"/>
    <w:rsid w:val="008C3E43"/>
    <w:rsid w:val="008C40AC"/>
    <w:rsid w:val="008C4F70"/>
    <w:rsid w:val="008C55E2"/>
    <w:rsid w:val="008C5B14"/>
    <w:rsid w:val="008C690E"/>
    <w:rsid w:val="008C6CE3"/>
    <w:rsid w:val="008C745A"/>
    <w:rsid w:val="008D0A9B"/>
    <w:rsid w:val="008D0DD9"/>
    <w:rsid w:val="008D113F"/>
    <w:rsid w:val="008D204A"/>
    <w:rsid w:val="008D2099"/>
    <w:rsid w:val="008D21DB"/>
    <w:rsid w:val="008D2543"/>
    <w:rsid w:val="008D26EF"/>
    <w:rsid w:val="008D3CFE"/>
    <w:rsid w:val="008D410F"/>
    <w:rsid w:val="008D4C93"/>
    <w:rsid w:val="008D6EA2"/>
    <w:rsid w:val="008D7DA6"/>
    <w:rsid w:val="008E05BB"/>
    <w:rsid w:val="008E0FA2"/>
    <w:rsid w:val="008E1867"/>
    <w:rsid w:val="008E209B"/>
    <w:rsid w:val="008E3915"/>
    <w:rsid w:val="008E3F56"/>
    <w:rsid w:val="008E4002"/>
    <w:rsid w:val="008E406F"/>
    <w:rsid w:val="008E472E"/>
    <w:rsid w:val="008E4771"/>
    <w:rsid w:val="008E4AAA"/>
    <w:rsid w:val="008E56BF"/>
    <w:rsid w:val="008E61E9"/>
    <w:rsid w:val="008E68AB"/>
    <w:rsid w:val="008E6F53"/>
    <w:rsid w:val="008E6FDC"/>
    <w:rsid w:val="008E7352"/>
    <w:rsid w:val="008E75BD"/>
    <w:rsid w:val="008F04BC"/>
    <w:rsid w:val="008F0A9C"/>
    <w:rsid w:val="008F1BA4"/>
    <w:rsid w:val="008F264D"/>
    <w:rsid w:val="008F26FE"/>
    <w:rsid w:val="008F2E8A"/>
    <w:rsid w:val="008F513E"/>
    <w:rsid w:val="008F6872"/>
    <w:rsid w:val="008F7351"/>
    <w:rsid w:val="00902747"/>
    <w:rsid w:val="00902FD3"/>
    <w:rsid w:val="0090478F"/>
    <w:rsid w:val="0090508B"/>
    <w:rsid w:val="00905390"/>
    <w:rsid w:val="00906A90"/>
    <w:rsid w:val="00906EE3"/>
    <w:rsid w:val="009072B2"/>
    <w:rsid w:val="00907646"/>
    <w:rsid w:val="00910A2A"/>
    <w:rsid w:val="00910A57"/>
    <w:rsid w:val="00912CDC"/>
    <w:rsid w:val="0091309B"/>
    <w:rsid w:val="009137FE"/>
    <w:rsid w:val="00913995"/>
    <w:rsid w:val="00914A06"/>
    <w:rsid w:val="00915CF6"/>
    <w:rsid w:val="0091637A"/>
    <w:rsid w:val="009174EE"/>
    <w:rsid w:val="00917FB5"/>
    <w:rsid w:val="00920A6C"/>
    <w:rsid w:val="0092191A"/>
    <w:rsid w:val="009226DA"/>
    <w:rsid w:val="009228A4"/>
    <w:rsid w:val="00922FB7"/>
    <w:rsid w:val="00923DAC"/>
    <w:rsid w:val="00924D33"/>
    <w:rsid w:val="0092531B"/>
    <w:rsid w:val="0092540E"/>
    <w:rsid w:val="009257DE"/>
    <w:rsid w:val="00926D1E"/>
    <w:rsid w:val="00926DBD"/>
    <w:rsid w:val="00930895"/>
    <w:rsid w:val="00930E27"/>
    <w:rsid w:val="00931458"/>
    <w:rsid w:val="00931D92"/>
    <w:rsid w:val="00931E43"/>
    <w:rsid w:val="00932E77"/>
    <w:rsid w:val="00932F46"/>
    <w:rsid w:val="0093545C"/>
    <w:rsid w:val="00935804"/>
    <w:rsid w:val="00936395"/>
    <w:rsid w:val="0093651C"/>
    <w:rsid w:val="009412DE"/>
    <w:rsid w:val="00941443"/>
    <w:rsid w:val="009419D9"/>
    <w:rsid w:val="0094283E"/>
    <w:rsid w:val="009436EF"/>
    <w:rsid w:val="0094380F"/>
    <w:rsid w:val="009443B3"/>
    <w:rsid w:val="00944994"/>
    <w:rsid w:val="00944F1D"/>
    <w:rsid w:val="0094585B"/>
    <w:rsid w:val="00945BD6"/>
    <w:rsid w:val="00946431"/>
    <w:rsid w:val="00946A7D"/>
    <w:rsid w:val="00947B6B"/>
    <w:rsid w:val="00947F94"/>
    <w:rsid w:val="00950553"/>
    <w:rsid w:val="0095060C"/>
    <w:rsid w:val="009518F5"/>
    <w:rsid w:val="009530F1"/>
    <w:rsid w:val="009536C4"/>
    <w:rsid w:val="00953CDC"/>
    <w:rsid w:val="00953DE9"/>
    <w:rsid w:val="009545B3"/>
    <w:rsid w:val="009549DF"/>
    <w:rsid w:val="00954D46"/>
    <w:rsid w:val="009553E7"/>
    <w:rsid w:val="00955F50"/>
    <w:rsid w:val="00956072"/>
    <w:rsid w:val="009562B4"/>
    <w:rsid w:val="009564A3"/>
    <w:rsid w:val="00956648"/>
    <w:rsid w:val="009566D7"/>
    <w:rsid w:val="009573FC"/>
    <w:rsid w:val="00960E50"/>
    <w:rsid w:val="00961470"/>
    <w:rsid w:val="00962F00"/>
    <w:rsid w:val="0096327A"/>
    <w:rsid w:val="00963538"/>
    <w:rsid w:val="00963B9A"/>
    <w:rsid w:val="00964CC3"/>
    <w:rsid w:val="0096544F"/>
    <w:rsid w:val="00965A75"/>
    <w:rsid w:val="00965BC6"/>
    <w:rsid w:val="0096604E"/>
    <w:rsid w:val="00966692"/>
    <w:rsid w:val="00966A1B"/>
    <w:rsid w:val="00966B81"/>
    <w:rsid w:val="00970632"/>
    <w:rsid w:val="00970D87"/>
    <w:rsid w:val="00971CD9"/>
    <w:rsid w:val="00972184"/>
    <w:rsid w:val="00972696"/>
    <w:rsid w:val="00972987"/>
    <w:rsid w:val="00972C3C"/>
    <w:rsid w:val="0097330C"/>
    <w:rsid w:val="009747C9"/>
    <w:rsid w:val="00974AFF"/>
    <w:rsid w:val="009755CC"/>
    <w:rsid w:val="00976255"/>
    <w:rsid w:val="00976AE6"/>
    <w:rsid w:val="00977830"/>
    <w:rsid w:val="009805E2"/>
    <w:rsid w:val="00980634"/>
    <w:rsid w:val="00980742"/>
    <w:rsid w:val="00980EEF"/>
    <w:rsid w:val="009817EA"/>
    <w:rsid w:val="0098240D"/>
    <w:rsid w:val="00982BCC"/>
    <w:rsid w:val="00982F17"/>
    <w:rsid w:val="00983A6F"/>
    <w:rsid w:val="0098435C"/>
    <w:rsid w:val="009856A4"/>
    <w:rsid w:val="00985C2C"/>
    <w:rsid w:val="009879E7"/>
    <w:rsid w:val="00987AAE"/>
    <w:rsid w:val="00987DDD"/>
    <w:rsid w:val="00991183"/>
    <w:rsid w:val="009911B9"/>
    <w:rsid w:val="00991B0A"/>
    <w:rsid w:val="00994A42"/>
    <w:rsid w:val="00994DF9"/>
    <w:rsid w:val="009957C3"/>
    <w:rsid w:val="00996BAB"/>
    <w:rsid w:val="00997C70"/>
    <w:rsid w:val="00997FCB"/>
    <w:rsid w:val="009A0FD2"/>
    <w:rsid w:val="009A1014"/>
    <w:rsid w:val="009A10A9"/>
    <w:rsid w:val="009A1298"/>
    <w:rsid w:val="009A2246"/>
    <w:rsid w:val="009A2A8C"/>
    <w:rsid w:val="009A2EBE"/>
    <w:rsid w:val="009A2EE1"/>
    <w:rsid w:val="009A37DC"/>
    <w:rsid w:val="009A3E48"/>
    <w:rsid w:val="009A4D90"/>
    <w:rsid w:val="009A5F65"/>
    <w:rsid w:val="009A6468"/>
    <w:rsid w:val="009A64E0"/>
    <w:rsid w:val="009A73A5"/>
    <w:rsid w:val="009A73D6"/>
    <w:rsid w:val="009A7A25"/>
    <w:rsid w:val="009B02EC"/>
    <w:rsid w:val="009B0991"/>
    <w:rsid w:val="009B3396"/>
    <w:rsid w:val="009B53DD"/>
    <w:rsid w:val="009B5791"/>
    <w:rsid w:val="009B5F04"/>
    <w:rsid w:val="009B6C13"/>
    <w:rsid w:val="009B7336"/>
    <w:rsid w:val="009C0BD3"/>
    <w:rsid w:val="009C131B"/>
    <w:rsid w:val="009C193F"/>
    <w:rsid w:val="009C29A3"/>
    <w:rsid w:val="009C30B1"/>
    <w:rsid w:val="009C396B"/>
    <w:rsid w:val="009C4357"/>
    <w:rsid w:val="009C48AC"/>
    <w:rsid w:val="009C50C5"/>
    <w:rsid w:val="009C5313"/>
    <w:rsid w:val="009C703C"/>
    <w:rsid w:val="009C7479"/>
    <w:rsid w:val="009D0F5E"/>
    <w:rsid w:val="009D28C1"/>
    <w:rsid w:val="009D3677"/>
    <w:rsid w:val="009D3746"/>
    <w:rsid w:val="009D3F45"/>
    <w:rsid w:val="009D4384"/>
    <w:rsid w:val="009D75FA"/>
    <w:rsid w:val="009D7988"/>
    <w:rsid w:val="009D7A39"/>
    <w:rsid w:val="009E0546"/>
    <w:rsid w:val="009E06D6"/>
    <w:rsid w:val="009E0907"/>
    <w:rsid w:val="009E0BE7"/>
    <w:rsid w:val="009E0F94"/>
    <w:rsid w:val="009E2221"/>
    <w:rsid w:val="009E290E"/>
    <w:rsid w:val="009E31F3"/>
    <w:rsid w:val="009E43BC"/>
    <w:rsid w:val="009E6370"/>
    <w:rsid w:val="009E7111"/>
    <w:rsid w:val="009E7A10"/>
    <w:rsid w:val="009F0D0E"/>
    <w:rsid w:val="009F2721"/>
    <w:rsid w:val="009F2763"/>
    <w:rsid w:val="009F48EF"/>
    <w:rsid w:val="009F50FC"/>
    <w:rsid w:val="009F572D"/>
    <w:rsid w:val="009F6A07"/>
    <w:rsid w:val="009F6EB6"/>
    <w:rsid w:val="009F6F4B"/>
    <w:rsid w:val="009F78EA"/>
    <w:rsid w:val="009F7DC5"/>
    <w:rsid w:val="00A019CD"/>
    <w:rsid w:val="00A030DD"/>
    <w:rsid w:val="00A038C7"/>
    <w:rsid w:val="00A03D26"/>
    <w:rsid w:val="00A04460"/>
    <w:rsid w:val="00A05524"/>
    <w:rsid w:val="00A057BF"/>
    <w:rsid w:val="00A05BD5"/>
    <w:rsid w:val="00A067A9"/>
    <w:rsid w:val="00A06D1E"/>
    <w:rsid w:val="00A07665"/>
    <w:rsid w:val="00A10575"/>
    <w:rsid w:val="00A105B2"/>
    <w:rsid w:val="00A10F6D"/>
    <w:rsid w:val="00A11809"/>
    <w:rsid w:val="00A11C6F"/>
    <w:rsid w:val="00A13777"/>
    <w:rsid w:val="00A1461D"/>
    <w:rsid w:val="00A14D8A"/>
    <w:rsid w:val="00A16B17"/>
    <w:rsid w:val="00A17787"/>
    <w:rsid w:val="00A206AE"/>
    <w:rsid w:val="00A219F3"/>
    <w:rsid w:val="00A22622"/>
    <w:rsid w:val="00A22B67"/>
    <w:rsid w:val="00A2328F"/>
    <w:rsid w:val="00A23B67"/>
    <w:rsid w:val="00A2456C"/>
    <w:rsid w:val="00A247A0"/>
    <w:rsid w:val="00A247FB"/>
    <w:rsid w:val="00A24FC5"/>
    <w:rsid w:val="00A2506F"/>
    <w:rsid w:val="00A25DD2"/>
    <w:rsid w:val="00A260D2"/>
    <w:rsid w:val="00A26C07"/>
    <w:rsid w:val="00A26DE4"/>
    <w:rsid w:val="00A2741C"/>
    <w:rsid w:val="00A32329"/>
    <w:rsid w:val="00A3245E"/>
    <w:rsid w:val="00A36098"/>
    <w:rsid w:val="00A36DBB"/>
    <w:rsid w:val="00A376EC"/>
    <w:rsid w:val="00A3797F"/>
    <w:rsid w:val="00A40215"/>
    <w:rsid w:val="00A4061E"/>
    <w:rsid w:val="00A40626"/>
    <w:rsid w:val="00A42369"/>
    <w:rsid w:val="00A4320C"/>
    <w:rsid w:val="00A433A6"/>
    <w:rsid w:val="00A44FC7"/>
    <w:rsid w:val="00A466D5"/>
    <w:rsid w:val="00A468A2"/>
    <w:rsid w:val="00A46C9E"/>
    <w:rsid w:val="00A474A2"/>
    <w:rsid w:val="00A47BBC"/>
    <w:rsid w:val="00A50995"/>
    <w:rsid w:val="00A518E5"/>
    <w:rsid w:val="00A5207E"/>
    <w:rsid w:val="00A52279"/>
    <w:rsid w:val="00A525A8"/>
    <w:rsid w:val="00A5329D"/>
    <w:rsid w:val="00A53D93"/>
    <w:rsid w:val="00A5502E"/>
    <w:rsid w:val="00A55B68"/>
    <w:rsid w:val="00A55C60"/>
    <w:rsid w:val="00A561B2"/>
    <w:rsid w:val="00A569A4"/>
    <w:rsid w:val="00A57C7B"/>
    <w:rsid w:val="00A57F96"/>
    <w:rsid w:val="00A60028"/>
    <w:rsid w:val="00A60719"/>
    <w:rsid w:val="00A6075C"/>
    <w:rsid w:val="00A60F8C"/>
    <w:rsid w:val="00A613A7"/>
    <w:rsid w:val="00A61423"/>
    <w:rsid w:val="00A61BCB"/>
    <w:rsid w:val="00A6290F"/>
    <w:rsid w:val="00A6327A"/>
    <w:rsid w:val="00A636C5"/>
    <w:rsid w:val="00A638E2"/>
    <w:rsid w:val="00A6471F"/>
    <w:rsid w:val="00A66241"/>
    <w:rsid w:val="00A664C8"/>
    <w:rsid w:val="00A668BA"/>
    <w:rsid w:val="00A66D65"/>
    <w:rsid w:val="00A66FF9"/>
    <w:rsid w:val="00A675FC"/>
    <w:rsid w:val="00A67DA4"/>
    <w:rsid w:val="00A71324"/>
    <w:rsid w:val="00A71A2C"/>
    <w:rsid w:val="00A73143"/>
    <w:rsid w:val="00A736B6"/>
    <w:rsid w:val="00A73904"/>
    <w:rsid w:val="00A74342"/>
    <w:rsid w:val="00A7454F"/>
    <w:rsid w:val="00A74C34"/>
    <w:rsid w:val="00A75846"/>
    <w:rsid w:val="00A75DA8"/>
    <w:rsid w:val="00A76E07"/>
    <w:rsid w:val="00A7789D"/>
    <w:rsid w:val="00A77A4F"/>
    <w:rsid w:val="00A80923"/>
    <w:rsid w:val="00A81AB9"/>
    <w:rsid w:val="00A8248D"/>
    <w:rsid w:val="00A8300E"/>
    <w:rsid w:val="00A838F1"/>
    <w:rsid w:val="00A841AF"/>
    <w:rsid w:val="00A841CA"/>
    <w:rsid w:val="00A84221"/>
    <w:rsid w:val="00A84572"/>
    <w:rsid w:val="00A848B5"/>
    <w:rsid w:val="00A84CD9"/>
    <w:rsid w:val="00A852A4"/>
    <w:rsid w:val="00A85542"/>
    <w:rsid w:val="00A85A29"/>
    <w:rsid w:val="00A86B39"/>
    <w:rsid w:val="00A87615"/>
    <w:rsid w:val="00A87B96"/>
    <w:rsid w:val="00A902DD"/>
    <w:rsid w:val="00A914DF"/>
    <w:rsid w:val="00A917F5"/>
    <w:rsid w:val="00A92B45"/>
    <w:rsid w:val="00A9494A"/>
    <w:rsid w:val="00A94D66"/>
    <w:rsid w:val="00A94F74"/>
    <w:rsid w:val="00A950B3"/>
    <w:rsid w:val="00A95864"/>
    <w:rsid w:val="00A95C77"/>
    <w:rsid w:val="00A95CF2"/>
    <w:rsid w:val="00A95F68"/>
    <w:rsid w:val="00A96FD3"/>
    <w:rsid w:val="00A97AF9"/>
    <w:rsid w:val="00AA02ED"/>
    <w:rsid w:val="00AA053C"/>
    <w:rsid w:val="00AA0A2D"/>
    <w:rsid w:val="00AA0B01"/>
    <w:rsid w:val="00AA1361"/>
    <w:rsid w:val="00AA1B10"/>
    <w:rsid w:val="00AA1DED"/>
    <w:rsid w:val="00AA2336"/>
    <w:rsid w:val="00AA2940"/>
    <w:rsid w:val="00AA296B"/>
    <w:rsid w:val="00AA3000"/>
    <w:rsid w:val="00AA6C74"/>
    <w:rsid w:val="00AA7535"/>
    <w:rsid w:val="00AA7719"/>
    <w:rsid w:val="00AB0069"/>
    <w:rsid w:val="00AB0506"/>
    <w:rsid w:val="00AB1405"/>
    <w:rsid w:val="00AB174F"/>
    <w:rsid w:val="00AB1FDB"/>
    <w:rsid w:val="00AB2933"/>
    <w:rsid w:val="00AB31E3"/>
    <w:rsid w:val="00AB3B91"/>
    <w:rsid w:val="00AB3BFA"/>
    <w:rsid w:val="00AB3CEE"/>
    <w:rsid w:val="00AB45D7"/>
    <w:rsid w:val="00AB5203"/>
    <w:rsid w:val="00AB580A"/>
    <w:rsid w:val="00AB6817"/>
    <w:rsid w:val="00AB69BE"/>
    <w:rsid w:val="00AB796A"/>
    <w:rsid w:val="00AB7A7C"/>
    <w:rsid w:val="00AB7CEB"/>
    <w:rsid w:val="00AC1763"/>
    <w:rsid w:val="00AC245B"/>
    <w:rsid w:val="00AC2F9C"/>
    <w:rsid w:val="00AC4521"/>
    <w:rsid w:val="00AC503C"/>
    <w:rsid w:val="00AC56F3"/>
    <w:rsid w:val="00AC59AE"/>
    <w:rsid w:val="00AC75EF"/>
    <w:rsid w:val="00AD08CE"/>
    <w:rsid w:val="00AD1445"/>
    <w:rsid w:val="00AD1B0D"/>
    <w:rsid w:val="00AD1E63"/>
    <w:rsid w:val="00AD1EC5"/>
    <w:rsid w:val="00AD233E"/>
    <w:rsid w:val="00AD30D0"/>
    <w:rsid w:val="00AD3626"/>
    <w:rsid w:val="00AD3CE9"/>
    <w:rsid w:val="00AD5D88"/>
    <w:rsid w:val="00AD65CD"/>
    <w:rsid w:val="00AD667F"/>
    <w:rsid w:val="00AD684B"/>
    <w:rsid w:val="00AD688A"/>
    <w:rsid w:val="00AD7334"/>
    <w:rsid w:val="00AE0819"/>
    <w:rsid w:val="00AE0B22"/>
    <w:rsid w:val="00AE0DE7"/>
    <w:rsid w:val="00AE1349"/>
    <w:rsid w:val="00AE197F"/>
    <w:rsid w:val="00AE2DE8"/>
    <w:rsid w:val="00AE2E2D"/>
    <w:rsid w:val="00AE3E8A"/>
    <w:rsid w:val="00AE4500"/>
    <w:rsid w:val="00AE5C7D"/>
    <w:rsid w:val="00AE62DA"/>
    <w:rsid w:val="00AE6D99"/>
    <w:rsid w:val="00AF0271"/>
    <w:rsid w:val="00AF0F08"/>
    <w:rsid w:val="00AF191B"/>
    <w:rsid w:val="00AF223E"/>
    <w:rsid w:val="00AF2F3C"/>
    <w:rsid w:val="00AF3702"/>
    <w:rsid w:val="00AF3D7E"/>
    <w:rsid w:val="00AF3E0D"/>
    <w:rsid w:val="00AF4073"/>
    <w:rsid w:val="00AF4E9F"/>
    <w:rsid w:val="00AF516F"/>
    <w:rsid w:val="00AF59EC"/>
    <w:rsid w:val="00AF59F0"/>
    <w:rsid w:val="00AF602A"/>
    <w:rsid w:val="00AF62B5"/>
    <w:rsid w:val="00AF6B5D"/>
    <w:rsid w:val="00AF7522"/>
    <w:rsid w:val="00AF7BF6"/>
    <w:rsid w:val="00B00001"/>
    <w:rsid w:val="00B00035"/>
    <w:rsid w:val="00B001C0"/>
    <w:rsid w:val="00B00665"/>
    <w:rsid w:val="00B007A6"/>
    <w:rsid w:val="00B0095D"/>
    <w:rsid w:val="00B009BA"/>
    <w:rsid w:val="00B0100F"/>
    <w:rsid w:val="00B01486"/>
    <w:rsid w:val="00B01F9E"/>
    <w:rsid w:val="00B02545"/>
    <w:rsid w:val="00B03376"/>
    <w:rsid w:val="00B033FA"/>
    <w:rsid w:val="00B03A37"/>
    <w:rsid w:val="00B04997"/>
    <w:rsid w:val="00B04D47"/>
    <w:rsid w:val="00B05A58"/>
    <w:rsid w:val="00B063BB"/>
    <w:rsid w:val="00B0640F"/>
    <w:rsid w:val="00B07130"/>
    <w:rsid w:val="00B07E0C"/>
    <w:rsid w:val="00B10227"/>
    <w:rsid w:val="00B10481"/>
    <w:rsid w:val="00B10B1F"/>
    <w:rsid w:val="00B10F44"/>
    <w:rsid w:val="00B110DE"/>
    <w:rsid w:val="00B119A5"/>
    <w:rsid w:val="00B119C5"/>
    <w:rsid w:val="00B11BB6"/>
    <w:rsid w:val="00B11D30"/>
    <w:rsid w:val="00B11EF5"/>
    <w:rsid w:val="00B12685"/>
    <w:rsid w:val="00B12FBE"/>
    <w:rsid w:val="00B15305"/>
    <w:rsid w:val="00B16E6F"/>
    <w:rsid w:val="00B16FA8"/>
    <w:rsid w:val="00B20953"/>
    <w:rsid w:val="00B20EE6"/>
    <w:rsid w:val="00B21E0D"/>
    <w:rsid w:val="00B247F8"/>
    <w:rsid w:val="00B2520C"/>
    <w:rsid w:val="00B27BBD"/>
    <w:rsid w:val="00B30385"/>
    <w:rsid w:val="00B31044"/>
    <w:rsid w:val="00B31B7F"/>
    <w:rsid w:val="00B3313D"/>
    <w:rsid w:val="00B34D5E"/>
    <w:rsid w:val="00B35232"/>
    <w:rsid w:val="00B36E03"/>
    <w:rsid w:val="00B404D1"/>
    <w:rsid w:val="00B406A4"/>
    <w:rsid w:val="00B4186A"/>
    <w:rsid w:val="00B41A45"/>
    <w:rsid w:val="00B427D3"/>
    <w:rsid w:val="00B42D1F"/>
    <w:rsid w:val="00B42D9E"/>
    <w:rsid w:val="00B43436"/>
    <w:rsid w:val="00B43BF4"/>
    <w:rsid w:val="00B43FB9"/>
    <w:rsid w:val="00B443E5"/>
    <w:rsid w:val="00B4472E"/>
    <w:rsid w:val="00B44876"/>
    <w:rsid w:val="00B45986"/>
    <w:rsid w:val="00B459B9"/>
    <w:rsid w:val="00B465BB"/>
    <w:rsid w:val="00B4728B"/>
    <w:rsid w:val="00B47773"/>
    <w:rsid w:val="00B518C6"/>
    <w:rsid w:val="00B5340F"/>
    <w:rsid w:val="00B54823"/>
    <w:rsid w:val="00B54827"/>
    <w:rsid w:val="00B564FD"/>
    <w:rsid w:val="00B56954"/>
    <w:rsid w:val="00B57419"/>
    <w:rsid w:val="00B5768B"/>
    <w:rsid w:val="00B620B9"/>
    <w:rsid w:val="00B62124"/>
    <w:rsid w:val="00B62683"/>
    <w:rsid w:val="00B62D26"/>
    <w:rsid w:val="00B630DD"/>
    <w:rsid w:val="00B63CFD"/>
    <w:rsid w:val="00B6482B"/>
    <w:rsid w:val="00B658A2"/>
    <w:rsid w:val="00B65CBA"/>
    <w:rsid w:val="00B65EFF"/>
    <w:rsid w:val="00B660A9"/>
    <w:rsid w:val="00B663C4"/>
    <w:rsid w:val="00B66675"/>
    <w:rsid w:val="00B666F8"/>
    <w:rsid w:val="00B66E1C"/>
    <w:rsid w:val="00B6721F"/>
    <w:rsid w:val="00B70308"/>
    <w:rsid w:val="00B70544"/>
    <w:rsid w:val="00B71CDB"/>
    <w:rsid w:val="00B725F3"/>
    <w:rsid w:val="00B728BD"/>
    <w:rsid w:val="00B73200"/>
    <w:rsid w:val="00B73C56"/>
    <w:rsid w:val="00B73FB3"/>
    <w:rsid w:val="00B74EBE"/>
    <w:rsid w:val="00B75268"/>
    <w:rsid w:val="00B754CB"/>
    <w:rsid w:val="00B75E77"/>
    <w:rsid w:val="00B7617E"/>
    <w:rsid w:val="00B7622A"/>
    <w:rsid w:val="00B7641B"/>
    <w:rsid w:val="00B77891"/>
    <w:rsid w:val="00B80CF6"/>
    <w:rsid w:val="00B80DAC"/>
    <w:rsid w:val="00B810C7"/>
    <w:rsid w:val="00B81721"/>
    <w:rsid w:val="00B818CD"/>
    <w:rsid w:val="00B81A8D"/>
    <w:rsid w:val="00B85203"/>
    <w:rsid w:val="00B85F09"/>
    <w:rsid w:val="00B86062"/>
    <w:rsid w:val="00B87B9A"/>
    <w:rsid w:val="00B90482"/>
    <w:rsid w:val="00B906BF"/>
    <w:rsid w:val="00B91EBB"/>
    <w:rsid w:val="00B92915"/>
    <w:rsid w:val="00B92C80"/>
    <w:rsid w:val="00B932E9"/>
    <w:rsid w:val="00B93C84"/>
    <w:rsid w:val="00B95173"/>
    <w:rsid w:val="00B956DF"/>
    <w:rsid w:val="00B959D6"/>
    <w:rsid w:val="00B95F5C"/>
    <w:rsid w:val="00B964AC"/>
    <w:rsid w:val="00B97189"/>
    <w:rsid w:val="00BA0732"/>
    <w:rsid w:val="00BA0EAD"/>
    <w:rsid w:val="00BA0F20"/>
    <w:rsid w:val="00BA132C"/>
    <w:rsid w:val="00BA13EC"/>
    <w:rsid w:val="00BA1564"/>
    <w:rsid w:val="00BA2F08"/>
    <w:rsid w:val="00BA327C"/>
    <w:rsid w:val="00BA5007"/>
    <w:rsid w:val="00BA5468"/>
    <w:rsid w:val="00BA791E"/>
    <w:rsid w:val="00BB1D72"/>
    <w:rsid w:val="00BB38CE"/>
    <w:rsid w:val="00BB406D"/>
    <w:rsid w:val="00BB46FC"/>
    <w:rsid w:val="00BB47F2"/>
    <w:rsid w:val="00BB591A"/>
    <w:rsid w:val="00BB5A75"/>
    <w:rsid w:val="00BB68E4"/>
    <w:rsid w:val="00BB7300"/>
    <w:rsid w:val="00BC0076"/>
    <w:rsid w:val="00BC0B5D"/>
    <w:rsid w:val="00BC2545"/>
    <w:rsid w:val="00BC3D54"/>
    <w:rsid w:val="00BC3F66"/>
    <w:rsid w:val="00BC4147"/>
    <w:rsid w:val="00BC4508"/>
    <w:rsid w:val="00BC4972"/>
    <w:rsid w:val="00BC4B9D"/>
    <w:rsid w:val="00BC61CA"/>
    <w:rsid w:val="00BC6920"/>
    <w:rsid w:val="00BC748B"/>
    <w:rsid w:val="00BC78EA"/>
    <w:rsid w:val="00BC7A3C"/>
    <w:rsid w:val="00BD0B86"/>
    <w:rsid w:val="00BD0F64"/>
    <w:rsid w:val="00BD1078"/>
    <w:rsid w:val="00BD1125"/>
    <w:rsid w:val="00BD1665"/>
    <w:rsid w:val="00BD392A"/>
    <w:rsid w:val="00BD4095"/>
    <w:rsid w:val="00BD4D52"/>
    <w:rsid w:val="00BD4FCA"/>
    <w:rsid w:val="00BD5355"/>
    <w:rsid w:val="00BD692D"/>
    <w:rsid w:val="00BD6E02"/>
    <w:rsid w:val="00BD7BAD"/>
    <w:rsid w:val="00BE00EC"/>
    <w:rsid w:val="00BE020C"/>
    <w:rsid w:val="00BE1632"/>
    <w:rsid w:val="00BE21D8"/>
    <w:rsid w:val="00BE2D49"/>
    <w:rsid w:val="00BE3B44"/>
    <w:rsid w:val="00BE4247"/>
    <w:rsid w:val="00BE4255"/>
    <w:rsid w:val="00BE48A7"/>
    <w:rsid w:val="00BE53A8"/>
    <w:rsid w:val="00BE55A4"/>
    <w:rsid w:val="00BE5B8D"/>
    <w:rsid w:val="00BE6584"/>
    <w:rsid w:val="00BE6A3E"/>
    <w:rsid w:val="00BF08D9"/>
    <w:rsid w:val="00BF0D04"/>
    <w:rsid w:val="00BF0DCE"/>
    <w:rsid w:val="00BF10A7"/>
    <w:rsid w:val="00BF1BB5"/>
    <w:rsid w:val="00BF29D9"/>
    <w:rsid w:val="00BF354C"/>
    <w:rsid w:val="00BF374D"/>
    <w:rsid w:val="00BF4051"/>
    <w:rsid w:val="00BF4B53"/>
    <w:rsid w:val="00BF671C"/>
    <w:rsid w:val="00BF68DD"/>
    <w:rsid w:val="00BF7BF0"/>
    <w:rsid w:val="00C00F76"/>
    <w:rsid w:val="00C01512"/>
    <w:rsid w:val="00C02302"/>
    <w:rsid w:val="00C02919"/>
    <w:rsid w:val="00C03A92"/>
    <w:rsid w:val="00C049D8"/>
    <w:rsid w:val="00C04B58"/>
    <w:rsid w:val="00C0519E"/>
    <w:rsid w:val="00C05F35"/>
    <w:rsid w:val="00C062E6"/>
    <w:rsid w:val="00C073EF"/>
    <w:rsid w:val="00C10498"/>
    <w:rsid w:val="00C10A06"/>
    <w:rsid w:val="00C1131C"/>
    <w:rsid w:val="00C11609"/>
    <w:rsid w:val="00C11E63"/>
    <w:rsid w:val="00C134D7"/>
    <w:rsid w:val="00C136CE"/>
    <w:rsid w:val="00C155DE"/>
    <w:rsid w:val="00C16993"/>
    <w:rsid w:val="00C1751E"/>
    <w:rsid w:val="00C20812"/>
    <w:rsid w:val="00C2164E"/>
    <w:rsid w:val="00C21A50"/>
    <w:rsid w:val="00C2465A"/>
    <w:rsid w:val="00C247B5"/>
    <w:rsid w:val="00C25561"/>
    <w:rsid w:val="00C2586D"/>
    <w:rsid w:val="00C26434"/>
    <w:rsid w:val="00C26BB3"/>
    <w:rsid w:val="00C30DDE"/>
    <w:rsid w:val="00C316D9"/>
    <w:rsid w:val="00C3187A"/>
    <w:rsid w:val="00C32165"/>
    <w:rsid w:val="00C32725"/>
    <w:rsid w:val="00C33C49"/>
    <w:rsid w:val="00C33E39"/>
    <w:rsid w:val="00C35641"/>
    <w:rsid w:val="00C36862"/>
    <w:rsid w:val="00C3755E"/>
    <w:rsid w:val="00C37722"/>
    <w:rsid w:val="00C37DD5"/>
    <w:rsid w:val="00C37FC6"/>
    <w:rsid w:val="00C4021B"/>
    <w:rsid w:val="00C40E9D"/>
    <w:rsid w:val="00C4182A"/>
    <w:rsid w:val="00C41836"/>
    <w:rsid w:val="00C41B2D"/>
    <w:rsid w:val="00C42B9F"/>
    <w:rsid w:val="00C43402"/>
    <w:rsid w:val="00C43569"/>
    <w:rsid w:val="00C43878"/>
    <w:rsid w:val="00C4426E"/>
    <w:rsid w:val="00C449D7"/>
    <w:rsid w:val="00C44CC1"/>
    <w:rsid w:val="00C454D7"/>
    <w:rsid w:val="00C459BB"/>
    <w:rsid w:val="00C467AB"/>
    <w:rsid w:val="00C473C2"/>
    <w:rsid w:val="00C47E2A"/>
    <w:rsid w:val="00C47EEC"/>
    <w:rsid w:val="00C50CC5"/>
    <w:rsid w:val="00C516D6"/>
    <w:rsid w:val="00C51755"/>
    <w:rsid w:val="00C52695"/>
    <w:rsid w:val="00C52C24"/>
    <w:rsid w:val="00C55F5D"/>
    <w:rsid w:val="00C5637E"/>
    <w:rsid w:val="00C5670E"/>
    <w:rsid w:val="00C577EF"/>
    <w:rsid w:val="00C6080A"/>
    <w:rsid w:val="00C609AB"/>
    <w:rsid w:val="00C6125A"/>
    <w:rsid w:val="00C61304"/>
    <w:rsid w:val="00C6227B"/>
    <w:rsid w:val="00C6246A"/>
    <w:rsid w:val="00C62993"/>
    <w:rsid w:val="00C6304B"/>
    <w:rsid w:val="00C633B9"/>
    <w:rsid w:val="00C63691"/>
    <w:rsid w:val="00C647B8"/>
    <w:rsid w:val="00C64F61"/>
    <w:rsid w:val="00C65336"/>
    <w:rsid w:val="00C65E1C"/>
    <w:rsid w:val="00C65F85"/>
    <w:rsid w:val="00C664D2"/>
    <w:rsid w:val="00C66FC6"/>
    <w:rsid w:val="00C67BB3"/>
    <w:rsid w:val="00C7171D"/>
    <w:rsid w:val="00C71859"/>
    <w:rsid w:val="00C73912"/>
    <w:rsid w:val="00C746E3"/>
    <w:rsid w:val="00C74EA7"/>
    <w:rsid w:val="00C75A5D"/>
    <w:rsid w:val="00C77943"/>
    <w:rsid w:val="00C803E3"/>
    <w:rsid w:val="00C80E3D"/>
    <w:rsid w:val="00C81BA3"/>
    <w:rsid w:val="00C81EC9"/>
    <w:rsid w:val="00C8243B"/>
    <w:rsid w:val="00C83349"/>
    <w:rsid w:val="00C84BF0"/>
    <w:rsid w:val="00C851A5"/>
    <w:rsid w:val="00C864A3"/>
    <w:rsid w:val="00C86850"/>
    <w:rsid w:val="00C8686E"/>
    <w:rsid w:val="00C87508"/>
    <w:rsid w:val="00C90344"/>
    <w:rsid w:val="00C905EB"/>
    <w:rsid w:val="00C90804"/>
    <w:rsid w:val="00C90B3B"/>
    <w:rsid w:val="00C91AF3"/>
    <w:rsid w:val="00C92949"/>
    <w:rsid w:val="00C934D4"/>
    <w:rsid w:val="00C93EA1"/>
    <w:rsid w:val="00C96027"/>
    <w:rsid w:val="00C96149"/>
    <w:rsid w:val="00C96789"/>
    <w:rsid w:val="00C97FF8"/>
    <w:rsid w:val="00CA04B5"/>
    <w:rsid w:val="00CA0F9E"/>
    <w:rsid w:val="00CA1528"/>
    <w:rsid w:val="00CA306A"/>
    <w:rsid w:val="00CA37BA"/>
    <w:rsid w:val="00CA3ED9"/>
    <w:rsid w:val="00CA54F3"/>
    <w:rsid w:val="00CA6363"/>
    <w:rsid w:val="00CA6FCD"/>
    <w:rsid w:val="00CA70F9"/>
    <w:rsid w:val="00CB196C"/>
    <w:rsid w:val="00CB2257"/>
    <w:rsid w:val="00CB27FA"/>
    <w:rsid w:val="00CB28D8"/>
    <w:rsid w:val="00CB32B2"/>
    <w:rsid w:val="00CB414D"/>
    <w:rsid w:val="00CB4C92"/>
    <w:rsid w:val="00CB62CB"/>
    <w:rsid w:val="00CB656C"/>
    <w:rsid w:val="00CB6AD4"/>
    <w:rsid w:val="00CB6CA6"/>
    <w:rsid w:val="00CB6E76"/>
    <w:rsid w:val="00CB728E"/>
    <w:rsid w:val="00CB7AC7"/>
    <w:rsid w:val="00CB7DA2"/>
    <w:rsid w:val="00CB7E4D"/>
    <w:rsid w:val="00CC0C02"/>
    <w:rsid w:val="00CC1C34"/>
    <w:rsid w:val="00CC2F12"/>
    <w:rsid w:val="00CC3EB0"/>
    <w:rsid w:val="00CC43C6"/>
    <w:rsid w:val="00CC454C"/>
    <w:rsid w:val="00CC6802"/>
    <w:rsid w:val="00CC6B18"/>
    <w:rsid w:val="00CC7041"/>
    <w:rsid w:val="00CC7833"/>
    <w:rsid w:val="00CD0020"/>
    <w:rsid w:val="00CD0282"/>
    <w:rsid w:val="00CD0AB0"/>
    <w:rsid w:val="00CD0BA6"/>
    <w:rsid w:val="00CD11A6"/>
    <w:rsid w:val="00CD19D0"/>
    <w:rsid w:val="00CD2E0B"/>
    <w:rsid w:val="00CD3951"/>
    <w:rsid w:val="00CD5CA1"/>
    <w:rsid w:val="00CD6C4F"/>
    <w:rsid w:val="00CE0339"/>
    <w:rsid w:val="00CE118A"/>
    <w:rsid w:val="00CE1CEB"/>
    <w:rsid w:val="00CE2DF5"/>
    <w:rsid w:val="00CE3232"/>
    <w:rsid w:val="00CE3A83"/>
    <w:rsid w:val="00CE3C77"/>
    <w:rsid w:val="00CE5211"/>
    <w:rsid w:val="00CE7502"/>
    <w:rsid w:val="00CE7CC0"/>
    <w:rsid w:val="00CE7E5A"/>
    <w:rsid w:val="00CF07A6"/>
    <w:rsid w:val="00CF095E"/>
    <w:rsid w:val="00CF0DB0"/>
    <w:rsid w:val="00CF132A"/>
    <w:rsid w:val="00CF1988"/>
    <w:rsid w:val="00CF1D05"/>
    <w:rsid w:val="00CF1D35"/>
    <w:rsid w:val="00CF2280"/>
    <w:rsid w:val="00CF40B8"/>
    <w:rsid w:val="00CF413C"/>
    <w:rsid w:val="00CF4378"/>
    <w:rsid w:val="00CF4870"/>
    <w:rsid w:val="00CF6CF8"/>
    <w:rsid w:val="00D001B1"/>
    <w:rsid w:val="00D00329"/>
    <w:rsid w:val="00D003F3"/>
    <w:rsid w:val="00D00D82"/>
    <w:rsid w:val="00D0106B"/>
    <w:rsid w:val="00D03A56"/>
    <w:rsid w:val="00D05C53"/>
    <w:rsid w:val="00D06D8C"/>
    <w:rsid w:val="00D06FE9"/>
    <w:rsid w:val="00D10175"/>
    <w:rsid w:val="00D10372"/>
    <w:rsid w:val="00D10B24"/>
    <w:rsid w:val="00D11E77"/>
    <w:rsid w:val="00D11E96"/>
    <w:rsid w:val="00D122A3"/>
    <w:rsid w:val="00D12B14"/>
    <w:rsid w:val="00D13DB4"/>
    <w:rsid w:val="00D15B91"/>
    <w:rsid w:val="00D16924"/>
    <w:rsid w:val="00D16963"/>
    <w:rsid w:val="00D16AA6"/>
    <w:rsid w:val="00D16F3A"/>
    <w:rsid w:val="00D17164"/>
    <w:rsid w:val="00D2113B"/>
    <w:rsid w:val="00D22051"/>
    <w:rsid w:val="00D234D5"/>
    <w:rsid w:val="00D23891"/>
    <w:rsid w:val="00D2681E"/>
    <w:rsid w:val="00D26D4C"/>
    <w:rsid w:val="00D27562"/>
    <w:rsid w:val="00D306B9"/>
    <w:rsid w:val="00D32255"/>
    <w:rsid w:val="00D3308E"/>
    <w:rsid w:val="00D33EAE"/>
    <w:rsid w:val="00D3534A"/>
    <w:rsid w:val="00D36D9F"/>
    <w:rsid w:val="00D36E39"/>
    <w:rsid w:val="00D37100"/>
    <w:rsid w:val="00D3792E"/>
    <w:rsid w:val="00D4035B"/>
    <w:rsid w:val="00D410E0"/>
    <w:rsid w:val="00D413C1"/>
    <w:rsid w:val="00D414EF"/>
    <w:rsid w:val="00D415E9"/>
    <w:rsid w:val="00D42E64"/>
    <w:rsid w:val="00D4361A"/>
    <w:rsid w:val="00D436C4"/>
    <w:rsid w:val="00D43B0F"/>
    <w:rsid w:val="00D43DE3"/>
    <w:rsid w:val="00D43E4C"/>
    <w:rsid w:val="00D45B92"/>
    <w:rsid w:val="00D462A0"/>
    <w:rsid w:val="00D46993"/>
    <w:rsid w:val="00D46DD9"/>
    <w:rsid w:val="00D504C3"/>
    <w:rsid w:val="00D50FA2"/>
    <w:rsid w:val="00D5168E"/>
    <w:rsid w:val="00D51CEE"/>
    <w:rsid w:val="00D51F65"/>
    <w:rsid w:val="00D528B7"/>
    <w:rsid w:val="00D53636"/>
    <w:rsid w:val="00D53B38"/>
    <w:rsid w:val="00D53D40"/>
    <w:rsid w:val="00D54D37"/>
    <w:rsid w:val="00D56CB5"/>
    <w:rsid w:val="00D56D30"/>
    <w:rsid w:val="00D57210"/>
    <w:rsid w:val="00D57487"/>
    <w:rsid w:val="00D57DBF"/>
    <w:rsid w:val="00D60392"/>
    <w:rsid w:val="00D608F1"/>
    <w:rsid w:val="00D60B63"/>
    <w:rsid w:val="00D60C69"/>
    <w:rsid w:val="00D63626"/>
    <w:rsid w:val="00D63699"/>
    <w:rsid w:val="00D637A0"/>
    <w:rsid w:val="00D63C33"/>
    <w:rsid w:val="00D646EF"/>
    <w:rsid w:val="00D64E7F"/>
    <w:rsid w:val="00D6548A"/>
    <w:rsid w:val="00D654AD"/>
    <w:rsid w:val="00D66937"/>
    <w:rsid w:val="00D705BA"/>
    <w:rsid w:val="00D707C0"/>
    <w:rsid w:val="00D72CED"/>
    <w:rsid w:val="00D72E8F"/>
    <w:rsid w:val="00D738FC"/>
    <w:rsid w:val="00D76182"/>
    <w:rsid w:val="00D762C0"/>
    <w:rsid w:val="00D7725C"/>
    <w:rsid w:val="00D778CC"/>
    <w:rsid w:val="00D7793A"/>
    <w:rsid w:val="00D8044D"/>
    <w:rsid w:val="00D816C4"/>
    <w:rsid w:val="00D82646"/>
    <w:rsid w:val="00D838D3"/>
    <w:rsid w:val="00D84C46"/>
    <w:rsid w:val="00D84F55"/>
    <w:rsid w:val="00D854B5"/>
    <w:rsid w:val="00D8571A"/>
    <w:rsid w:val="00D85AC5"/>
    <w:rsid w:val="00D86931"/>
    <w:rsid w:val="00D86BFC"/>
    <w:rsid w:val="00D86EB3"/>
    <w:rsid w:val="00D87046"/>
    <w:rsid w:val="00D87D47"/>
    <w:rsid w:val="00D92C57"/>
    <w:rsid w:val="00D93609"/>
    <w:rsid w:val="00D93CF9"/>
    <w:rsid w:val="00D960FA"/>
    <w:rsid w:val="00D9627C"/>
    <w:rsid w:val="00D96A65"/>
    <w:rsid w:val="00D96BF1"/>
    <w:rsid w:val="00D96CCA"/>
    <w:rsid w:val="00DA0D87"/>
    <w:rsid w:val="00DA2234"/>
    <w:rsid w:val="00DA2645"/>
    <w:rsid w:val="00DA2A5F"/>
    <w:rsid w:val="00DA390A"/>
    <w:rsid w:val="00DA4A42"/>
    <w:rsid w:val="00DA5C5F"/>
    <w:rsid w:val="00DA60DA"/>
    <w:rsid w:val="00DA6BB5"/>
    <w:rsid w:val="00DB0D08"/>
    <w:rsid w:val="00DB1AEC"/>
    <w:rsid w:val="00DB41BC"/>
    <w:rsid w:val="00DB4EF1"/>
    <w:rsid w:val="00DB6B74"/>
    <w:rsid w:val="00DB6D91"/>
    <w:rsid w:val="00DB6DBE"/>
    <w:rsid w:val="00DB6F8E"/>
    <w:rsid w:val="00DB70E9"/>
    <w:rsid w:val="00DB738B"/>
    <w:rsid w:val="00DB760F"/>
    <w:rsid w:val="00DB7A72"/>
    <w:rsid w:val="00DB7E97"/>
    <w:rsid w:val="00DC0D8D"/>
    <w:rsid w:val="00DC1319"/>
    <w:rsid w:val="00DC1898"/>
    <w:rsid w:val="00DC1ECE"/>
    <w:rsid w:val="00DC3CFA"/>
    <w:rsid w:val="00DC41D0"/>
    <w:rsid w:val="00DC4709"/>
    <w:rsid w:val="00DD0C2B"/>
    <w:rsid w:val="00DD0C41"/>
    <w:rsid w:val="00DD1831"/>
    <w:rsid w:val="00DD1D37"/>
    <w:rsid w:val="00DD33B9"/>
    <w:rsid w:val="00DD37A6"/>
    <w:rsid w:val="00DD3AE4"/>
    <w:rsid w:val="00DD51B4"/>
    <w:rsid w:val="00DD703E"/>
    <w:rsid w:val="00DE2A30"/>
    <w:rsid w:val="00DE3E38"/>
    <w:rsid w:val="00DE5418"/>
    <w:rsid w:val="00DE623D"/>
    <w:rsid w:val="00DE7108"/>
    <w:rsid w:val="00DE7A5F"/>
    <w:rsid w:val="00DE7C43"/>
    <w:rsid w:val="00DF0EBF"/>
    <w:rsid w:val="00DF11C1"/>
    <w:rsid w:val="00DF21E7"/>
    <w:rsid w:val="00DF2DA4"/>
    <w:rsid w:val="00DF3043"/>
    <w:rsid w:val="00DF4380"/>
    <w:rsid w:val="00DF4E3B"/>
    <w:rsid w:val="00DF5AF5"/>
    <w:rsid w:val="00DF79CE"/>
    <w:rsid w:val="00E0012D"/>
    <w:rsid w:val="00E0050C"/>
    <w:rsid w:val="00E01A93"/>
    <w:rsid w:val="00E020BE"/>
    <w:rsid w:val="00E02E3C"/>
    <w:rsid w:val="00E03639"/>
    <w:rsid w:val="00E03869"/>
    <w:rsid w:val="00E039F0"/>
    <w:rsid w:val="00E0452A"/>
    <w:rsid w:val="00E05596"/>
    <w:rsid w:val="00E05B90"/>
    <w:rsid w:val="00E05EE1"/>
    <w:rsid w:val="00E06C83"/>
    <w:rsid w:val="00E06EC6"/>
    <w:rsid w:val="00E0743C"/>
    <w:rsid w:val="00E07652"/>
    <w:rsid w:val="00E0794D"/>
    <w:rsid w:val="00E10AD5"/>
    <w:rsid w:val="00E119A2"/>
    <w:rsid w:val="00E11F54"/>
    <w:rsid w:val="00E13F68"/>
    <w:rsid w:val="00E15B5D"/>
    <w:rsid w:val="00E2084D"/>
    <w:rsid w:val="00E210CD"/>
    <w:rsid w:val="00E2112E"/>
    <w:rsid w:val="00E228F0"/>
    <w:rsid w:val="00E23314"/>
    <w:rsid w:val="00E246B8"/>
    <w:rsid w:val="00E25009"/>
    <w:rsid w:val="00E25594"/>
    <w:rsid w:val="00E257BF"/>
    <w:rsid w:val="00E25F46"/>
    <w:rsid w:val="00E25FDA"/>
    <w:rsid w:val="00E27894"/>
    <w:rsid w:val="00E278D8"/>
    <w:rsid w:val="00E27DA1"/>
    <w:rsid w:val="00E31B6E"/>
    <w:rsid w:val="00E3259C"/>
    <w:rsid w:val="00E3363D"/>
    <w:rsid w:val="00E34E54"/>
    <w:rsid w:val="00E35986"/>
    <w:rsid w:val="00E367D1"/>
    <w:rsid w:val="00E4174D"/>
    <w:rsid w:val="00E41A64"/>
    <w:rsid w:val="00E43281"/>
    <w:rsid w:val="00E43F2B"/>
    <w:rsid w:val="00E44389"/>
    <w:rsid w:val="00E4488C"/>
    <w:rsid w:val="00E44A30"/>
    <w:rsid w:val="00E45781"/>
    <w:rsid w:val="00E45A3F"/>
    <w:rsid w:val="00E465A9"/>
    <w:rsid w:val="00E504AD"/>
    <w:rsid w:val="00E50B78"/>
    <w:rsid w:val="00E51E73"/>
    <w:rsid w:val="00E520F2"/>
    <w:rsid w:val="00E53A68"/>
    <w:rsid w:val="00E53CB3"/>
    <w:rsid w:val="00E54A61"/>
    <w:rsid w:val="00E550C1"/>
    <w:rsid w:val="00E56858"/>
    <w:rsid w:val="00E5793E"/>
    <w:rsid w:val="00E60028"/>
    <w:rsid w:val="00E60A05"/>
    <w:rsid w:val="00E60D97"/>
    <w:rsid w:val="00E61158"/>
    <w:rsid w:val="00E61438"/>
    <w:rsid w:val="00E61668"/>
    <w:rsid w:val="00E62183"/>
    <w:rsid w:val="00E6220E"/>
    <w:rsid w:val="00E62C84"/>
    <w:rsid w:val="00E62F0D"/>
    <w:rsid w:val="00E62F9A"/>
    <w:rsid w:val="00E635AF"/>
    <w:rsid w:val="00E63D39"/>
    <w:rsid w:val="00E647F7"/>
    <w:rsid w:val="00E64820"/>
    <w:rsid w:val="00E65DB5"/>
    <w:rsid w:val="00E700F6"/>
    <w:rsid w:val="00E70F29"/>
    <w:rsid w:val="00E71014"/>
    <w:rsid w:val="00E71687"/>
    <w:rsid w:val="00E71C50"/>
    <w:rsid w:val="00E71DE2"/>
    <w:rsid w:val="00E74111"/>
    <w:rsid w:val="00E74C33"/>
    <w:rsid w:val="00E751B8"/>
    <w:rsid w:val="00E7588D"/>
    <w:rsid w:val="00E75920"/>
    <w:rsid w:val="00E76D2F"/>
    <w:rsid w:val="00E76E77"/>
    <w:rsid w:val="00E80125"/>
    <w:rsid w:val="00E801B4"/>
    <w:rsid w:val="00E8074E"/>
    <w:rsid w:val="00E815A5"/>
    <w:rsid w:val="00E81C48"/>
    <w:rsid w:val="00E8436C"/>
    <w:rsid w:val="00E84D23"/>
    <w:rsid w:val="00E853BD"/>
    <w:rsid w:val="00E86963"/>
    <w:rsid w:val="00E872BC"/>
    <w:rsid w:val="00E87C26"/>
    <w:rsid w:val="00E90B70"/>
    <w:rsid w:val="00E90FEE"/>
    <w:rsid w:val="00E9120C"/>
    <w:rsid w:val="00E912B5"/>
    <w:rsid w:val="00E91327"/>
    <w:rsid w:val="00E917E7"/>
    <w:rsid w:val="00E921A6"/>
    <w:rsid w:val="00E93317"/>
    <w:rsid w:val="00E93582"/>
    <w:rsid w:val="00E93E52"/>
    <w:rsid w:val="00E956EC"/>
    <w:rsid w:val="00E96362"/>
    <w:rsid w:val="00E97998"/>
    <w:rsid w:val="00EA0139"/>
    <w:rsid w:val="00EA0F98"/>
    <w:rsid w:val="00EA247C"/>
    <w:rsid w:val="00EA2C94"/>
    <w:rsid w:val="00EA37A3"/>
    <w:rsid w:val="00EA4E51"/>
    <w:rsid w:val="00EA5784"/>
    <w:rsid w:val="00EA5EAD"/>
    <w:rsid w:val="00EA6348"/>
    <w:rsid w:val="00EB0199"/>
    <w:rsid w:val="00EB021B"/>
    <w:rsid w:val="00EB0852"/>
    <w:rsid w:val="00EB0D34"/>
    <w:rsid w:val="00EB19E7"/>
    <w:rsid w:val="00EB38C4"/>
    <w:rsid w:val="00EB39A5"/>
    <w:rsid w:val="00EB3D85"/>
    <w:rsid w:val="00EB6331"/>
    <w:rsid w:val="00EC0463"/>
    <w:rsid w:val="00EC0F87"/>
    <w:rsid w:val="00EC1C9A"/>
    <w:rsid w:val="00EC3BCC"/>
    <w:rsid w:val="00EC45D4"/>
    <w:rsid w:val="00EC4EC5"/>
    <w:rsid w:val="00EC56E6"/>
    <w:rsid w:val="00EC64D5"/>
    <w:rsid w:val="00EC7271"/>
    <w:rsid w:val="00EC77DE"/>
    <w:rsid w:val="00ED051A"/>
    <w:rsid w:val="00ED198C"/>
    <w:rsid w:val="00ED1C29"/>
    <w:rsid w:val="00ED2782"/>
    <w:rsid w:val="00ED32AF"/>
    <w:rsid w:val="00ED4512"/>
    <w:rsid w:val="00ED474C"/>
    <w:rsid w:val="00ED5350"/>
    <w:rsid w:val="00ED7116"/>
    <w:rsid w:val="00ED7156"/>
    <w:rsid w:val="00ED7858"/>
    <w:rsid w:val="00ED7B70"/>
    <w:rsid w:val="00EE0DE7"/>
    <w:rsid w:val="00EE1E70"/>
    <w:rsid w:val="00EE2142"/>
    <w:rsid w:val="00EE372A"/>
    <w:rsid w:val="00EE5811"/>
    <w:rsid w:val="00EE6E26"/>
    <w:rsid w:val="00EE7923"/>
    <w:rsid w:val="00EE7945"/>
    <w:rsid w:val="00EE7CD2"/>
    <w:rsid w:val="00EF0ACE"/>
    <w:rsid w:val="00EF0B95"/>
    <w:rsid w:val="00EF47AA"/>
    <w:rsid w:val="00EF5680"/>
    <w:rsid w:val="00EF5F6F"/>
    <w:rsid w:val="00EF6D68"/>
    <w:rsid w:val="00F01AE4"/>
    <w:rsid w:val="00F01FBD"/>
    <w:rsid w:val="00F023E9"/>
    <w:rsid w:val="00F0340D"/>
    <w:rsid w:val="00F04F9B"/>
    <w:rsid w:val="00F06BA1"/>
    <w:rsid w:val="00F077B8"/>
    <w:rsid w:val="00F07B55"/>
    <w:rsid w:val="00F10050"/>
    <w:rsid w:val="00F11BFF"/>
    <w:rsid w:val="00F12132"/>
    <w:rsid w:val="00F12F3E"/>
    <w:rsid w:val="00F135AD"/>
    <w:rsid w:val="00F138FB"/>
    <w:rsid w:val="00F1397D"/>
    <w:rsid w:val="00F14A84"/>
    <w:rsid w:val="00F153FF"/>
    <w:rsid w:val="00F158C5"/>
    <w:rsid w:val="00F15A26"/>
    <w:rsid w:val="00F16673"/>
    <w:rsid w:val="00F16A50"/>
    <w:rsid w:val="00F178A2"/>
    <w:rsid w:val="00F1795A"/>
    <w:rsid w:val="00F20EC7"/>
    <w:rsid w:val="00F2191D"/>
    <w:rsid w:val="00F22849"/>
    <w:rsid w:val="00F22CF0"/>
    <w:rsid w:val="00F23070"/>
    <w:rsid w:val="00F2375D"/>
    <w:rsid w:val="00F2394D"/>
    <w:rsid w:val="00F23C3E"/>
    <w:rsid w:val="00F24305"/>
    <w:rsid w:val="00F24576"/>
    <w:rsid w:val="00F2492E"/>
    <w:rsid w:val="00F24B6D"/>
    <w:rsid w:val="00F24C94"/>
    <w:rsid w:val="00F25035"/>
    <w:rsid w:val="00F2573B"/>
    <w:rsid w:val="00F25749"/>
    <w:rsid w:val="00F30E75"/>
    <w:rsid w:val="00F31ED2"/>
    <w:rsid w:val="00F32948"/>
    <w:rsid w:val="00F32BB1"/>
    <w:rsid w:val="00F32F18"/>
    <w:rsid w:val="00F35239"/>
    <w:rsid w:val="00F37542"/>
    <w:rsid w:val="00F376A5"/>
    <w:rsid w:val="00F37ECA"/>
    <w:rsid w:val="00F401EC"/>
    <w:rsid w:val="00F4021F"/>
    <w:rsid w:val="00F4064E"/>
    <w:rsid w:val="00F40900"/>
    <w:rsid w:val="00F41640"/>
    <w:rsid w:val="00F41C2E"/>
    <w:rsid w:val="00F43EB7"/>
    <w:rsid w:val="00F44DE7"/>
    <w:rsid w:val="00F453FF"/>
    <w:rsid w:val="00F4541D"/>
    <w:rsid w:val="00F45571"/>
    <w:rsid w:val="00F45A6A"/>
    <w:rsid w:val="00F464E2"/>
    <w:rsid w:val="00F4687A"/>
    <w:rsid w:val="00F47648"/>
    <w:rsid w:val="00F47A36"/>
    <w:rsid w:val="00F47D1E"/>
    <w:rsid w:val="00F50DD1"/>
    <w:rsid w:val="00F50FDC"/>
    <w:rsid w:val="00F516A6"/>
    <w:rsid w:val="00F51709"/>
    <w:rsid w:val="00F517EB"/>
    <w:rsid w:val="00F52528"/>
    <w:rsid w:val="00F530A2"/>
    <w:rsid w:val="00F530FA"/>
    <w:rsid w:val="00F54279"/>
    <w:rsid w:val="00F5430C"/>
    <w:rsid w:val="00F569EA"/>
    <w:rsid w:val="00F602F0"/>
    <w:rsid w:val="00F60655"/>
    <w:rsid w:val="00F609FB"/>
    <w:rsid w:val="00F60F13"/>
    <w:rsid w:val="00F60F8F"/>
    <w:rsid w:val="00F62647"/>
    <w:rsid w:val="00F62BBD"/>
    <w:rsid w:val="00F646AD"/>
    <w:rsid w:val="00F65001"/>
    <w:rsid w:val="00F65FEC"/>
    <w:rsid w:val="00F66C7F"/>
    <w:rsid w:val="00F6708B"/>
    <w:rsid w:val="00F67FED"/>
    <w:rsid w:val="00F70849"/>
    <w:rsid w:val="00F70B89"/>
    <w:rsid w:val="00F72046"/>
    <w:rsid w:val="00F7319A"/>
    <w:rsid w:val="00F74278"/>
    <w:rsid w:val="00F7526C"/>
    <w:rsid w:val="00F75557"/>
    <w:rsid w:val="00F7670D"/>
    <w:rsid w:val="00F779DC"/>
    <w:rsid w:val="00F801A8"/>
    <w:rsid w:val="00F80622"/>
    <w:rsid w:val="00F8062B"/>
    <w:rsid w:val="00F81A8D"/>
    <w:rsid w:val="00F82C49"/>
    <w:rsid w:val="00F83282"/>
    <w:rsid w:val="00F86267"/>
    <w:rsid w:val="00F867ED"/>
    <w:rsid w:val="00F86A0A"/>
    <w:rsid w:val="00F86BE4"/>
    <w:rsid w:val="00F86E52"/>
    <w:rsid w:val="00F86F19"/>
    <w:rsid w:val="00F87BFE"/>
    <w:rsid w:val="00F90314"/>
    <w:rsid w:val="00F90895"/>
    <w:rsid w:val="00F90DC4"/>
    <w:rsid w:val="00F9174E"/>
    <w:rsid w:val="00F91860"/>
    <w:rsid w:val="00F926B0"/>
    <w:rsid w:val="00F93CB9"/>
    <w:rsid w:val="00F94678"/>
    <w:rsid w:val="00F95459"/>
    <w:rsid w:val="00F9564E"/>
    <w:rsid w:val="00F96ABA"/>
    <w:rsid w:val="00F971AB"/>
    <w:rsid w:val="00F97398"/>
    <w:rsid w:val="00FA103E"/>
    <w:rsid w:val="00FA1DAC"/>
    <w:rsid w:val="00FA24B9"/>
    <w:rsid w:val="00FA2F20"/>
    <w:rsid w:val="00FA39DD"/>
    <w:rsid w:val="00FA3B1D"/>
    <w:rsid w:val="00FA469D"/>
    <w:rsid w:val="00FA49B5"/>
    <w:rsid w:val="00FA4ECB"/>
    <w:rsid w:val="00FA5E56"/>
    <w:rsid w:val="00FA616C"/>
    <w:rsid w:val="00FA6716"/>
    <w:rsid w:val="00FA687A"/>
    <w:rsid w:val="00FA68AA"/>
    <w:rsid w:val="00FA6CDE"/>
    <w:rsid w:val="00FA6F90"/>
    <w:rsid w:val="00FA7374"/>
    <w:rsid w:val="00FB0682"/>
    <w:rsid w:val="00FB2ADC"/>
    <w:rsid w:val="00FB2B3C"/>
    <w:rsid w:val="00FB2C10"/>
    <w:rsid w:val="00FB35A7"/>
    <w:rsid w:val="00FB3D45"/>
    <w:rsid w:val="00FC04DF"/>
    <w:rsid w:val="00FC06E5"/>
    <w:rsid w:val="00FC0785"/>
    <w:rsid w:val="00FC09DC"/>
    <w:rsid w:val="00FC144E"/>
    <w:rsid w:val="00FC1E33"/>
    <w:rsid w:val="00FC28D1"/>
    <w:rsid w:val="00FC2A40"/>
    <w:rsid w:val="00FC3D54"/>
    <w:rsid w:val="00FC422C"/>
    <w:rsid w:val="00FC57EA"/>
    <w:rsid w:val="00FC5EEC"/>
    <w:rsid w:val="00FC6A37"/>
    <w:rsid w:val="00FC7297"/>
    <w:rsid w:val="00FC7A22"/>
    <w:rsid w:val="00FD0DAC"/>
    <w:rsid w:val="00FD157E"/>
    <w:rsid w:val="00FD18FE"/>
    <w:rsid w:val="00FD2026"/>
    <w:rsid w:val="00FD2098"/>
    <w:rsid w:val="00FD274E"/>
    <w:rsid w:val="00FD2D8D"/>
    <w:rsid w:val="00FD394E"/>
    <w:rsid w:val="00FD436F"/>
    <w:rsid w:val="00FD4FB8"/>
    <w:rsid w:val="00FD511D"/>
    <w:rsid w:val="00FD5172"/>
    <w:rsid w:val="00FD52F8"/>
    <w:rsid w:val="00FD5543"/>
    <w:rsid w:val="00FD586F"/>
    <w:rsid w:val="00FD7130"/>
    <w:rsid w:val="00FD787D"/>
    <w:rsid w:val="00FD7F6F"/>
    <w:rsid w:val="00FE191A"/>
    <w:rsid w:val="00FE342C"/>
    <w:rsid w:val="00FE37B9"/>
    <w:rsid w:val="00FE6B68"/>
    <w:rsid w:val="00FE6B71"/>
    <w:rsid w:val="00FF1429"/>
    <w:rsid w:val="00FF2303"/>
    <w:rsid w:val="00FF2495"/>
    <w:rsid w:val="00FF298F"/>
    <w:rsid w:val="00FF3B55"/>
    <w:rsid w:val="00FF4791"/>
    <w:rsid w:val="00FF4FBD"/>
    <w:rsid w:val="00FF5060"/>
    <w:rsid w:val="00FF5148"/>
    <w:rsid w:val="00FF6011"/>
    <w:rsid w:val="00FF64AF"/>
    <w:rsid w:val="00FF67E5"/>
    <w:rsid w:val="00FF6E3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5E1FEF"/>
  <w15:chartTrackingRefBased/>
  <w15:docId w15:val="{A4AC5C2F-8BF7-41A5-9860-B942266E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431"/>
    <w:rPr>
      <w:rFonts w:eastAsia="Times New Roman" w:cs="Times New Roman"/>
      <w:szCs w:val="24"/>
      <w:lang w:eastAsia="lv-LV"/>
    </w:rPr>
  </w:style>
  <w:style w:type="paragraph" w:styleId="Heading2">
    <w:name w:val="heading 2"/>
    <w:basedOn w:val="Normal"/>
    <w:next w:val="Normal"/>
    <w:link w:val="Heading2Char"/>
    <w:uiPriority w:val="9"/>
    <w:semiHidden/>
    <w:unhideWhenUsed/>
    <w:qFormat/>
    <w:rsid w:val="001455C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2C8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46431"/>
    <w:rPr>
      <w:rFonts w:cs="Times New Roman"/>
      <w:color w:val="0000FF"/>
      <w:u w:val="single"/>
    </w:rPr>
  </w:style>
  <w:style w:type="paragraph" w:styleId="NormalWeb">
    <w:name w:val="Normal (Web)"/>
    <w:basedOn w:val="Normal"/>
    <w:uiPriority w:val="99"/>
    <w:rsid w:val="00946431"/>
    <w:pPr>
      <w:spacing w:before="100" w:beforeAutospacing="1" w:after="100" w:afterAutospacing="1"/>
    </w:pPr>
  </w:style>
  <w:style w:type="paragraph" w:customStyle="1" w:styleId="naisf">
    <w:name w:val="naisf"/>
    <w:basedOn w:val="Normal"/>
    <w:rsid w:val="00946431"/>
    <w:pPr>
      <w:spacing w:before="75" w:after="75"/>
      <w:ind w:firstLine="375"/>
      <w:jc w:val="both"/>
    </w:pPr>
  </w:style>
  <w:style w:type="paragraph" w:customStyle="1" w:styleId="naisnod">
    <w:name w:val="naisnod"/>
    <w:basedOn w:val="Normal"/>
    <w:rsid w:val="00946431"/>
    <w:pPr>
      <w:spacing w:before="150" w:after="150"/>
      <w:jc w:val="center"/>
    </w:pPr>
    <w:rPr>
      <w:b/>
      <w:bCs/>
    </w:rPr>
  </w:style>
  <w:style w:type="paragraph" w:customStyle="1" w:styleId="naiskr">
    <w:name w:val="naiskr"/>
    <w:basedOn w:val="Normal"/>
    <w:rsid w:val="00946431"/>
    <w:pPr>
      <w:spacing w:before="75" w:after="75"/>
    </w:pPr>
  </w:style>
  <w:style w:type="paragraph" w:customStyle="1" w:styleId="naisc">
    <w:name w:val="naisc"/>
    <w:basedOn w:val="Normal"/>
    <w:uiPriority w:val="99"/>
    <w:rsid w:val="00946431"/>
    <w:pPr>
      <w:spacing w:before="75" w:after="75"/>
      <w:jc w:val="center"/>
    </w:pPr>
  </w:style>
  <w:style w:type="paragraph" w:styleId="Header">
    <w:name w:val="header"/>
    <w:basedOn w:val="Normal"/>
    <w:link w:val="HeaderChar"/>
    <w:uiPriority w:val="99"/>
    <w:rsid w:val="00946431"/>
    <w:pPr>
      <w:tabs>
        <w:tab w:val="center" w:pos="4153"/>
        <w:tab w:val="right" w:pos="8306"/>
      </w:tabs>
    </w:pPr>
  </w:style>
  <w:style w:type="character" w:customStyle="1" w:styleId="HeaderChar">
    <w:name w:val="Header Char"/>
    <w:basedOn w:val="DefaultParagraphFont"/>
    <w:link w:val="Header"/>
    <w:uiPriority w:val="99"/>
    <w:rsid w:val="00946431"/>
    <w:rPr>
      <w:rFonts w:eastAsia="Times New Roman" w:cs="Times New Roman"/>
      <w:szCs w:val="24"/>
      <w:lang w:eastAsia="lv-LV"/>
    </w:rPr>
  </w:style>
  <w:style w:type="character" w:styleId="PageNumber">
    <w:name w:val="page number"/>
    <w:uiPriority w:val="99"/>
    <w:rsid w:val="00946431"/>
    <w:rPr>
      <w:rFonts w:cs="Times New Roman"/>
    </w:rPr>
  </w:style>
  <w:style w:type="paragraph" w:styleId="Footer">
    <w:name w:val="footer"/>
    <w:basedOn w:val="Normal"/>
    <w:link w:val="FooterChar"/>
    <w:uiPriority w:val="99"/>
    <w:rsid w:val="00946431"/>
    <w:pPr>
      <w:tabs>
        <w:tab w:val="center" w:pos="4153"/>
        <w:tab w:val="right" w:pos="8306"/>
      </w:tabs>
    </w:pPr>
  </w:style>
  <w:style w:type="character" w:customStyle="1" w:styleId="FooterChar">
    <w:name w:val="Footer Char"/>
    <w:basedOn w:val="DefaultParagraphFont"/>
    <w:link w:val="Footer"/>
    <w:uiPriority w:val="99"/>
    <w:rsid w:val="00946431"/>
    <w:rPr>
      <w:rFonts w:eastAsia="Times New Roman" w:cs="Times New Roman"/>
      <w:szCs w:val="24"/>
      <w:lang w:eastAsia="lv-LV"/>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946431"/>
    <w:pPr>
      <w:spacing w:after="200" w:line="276" w:lineRule="auto"/>
      <w:ind w:left="720"/>
      <w:contextualSpacing/>
    </w:pPr>
    <w:rPr>
      <w:rFonts w:ascii="Calibri" w:hAnsi="Calibri"/>
      <w:sz w:val="22"/>
      <w:szCs w:val="22"/>
      <w:lang w:eastAsia="en-US"/>
    </w:rPr>
  </w:style>
  <w:style w:type="paragraph" w:styleId="BodyText">
    <w:name w:val="Body Text"/>
    <w:basedOn w:val="Normal"/>
    <w:link w:val="BodyTextChar"/>
    <w:uiPriority w:val="99"/>
    <w:unhideWhenUsed/>
    <w:rsid w:val="00946431"/>
    <w:pPr>
      <w:spacing w:after="120"/>
    </w:pPr>
  </w:style>
  <w:style w:type="character" w:customStyle="1" w:styleId="BodyTextChar">
    <w:name w:val="Body Text Char"/>
    <w:basedOn w:val="DefaultParagraphFont"/>
    <w:link w:val="BodyText"/>
    <w:uiPriority w:val="99"/>
    <w:rsid w:val="00946431"/>
    <w:rPr>
      <w:rFonts w:eastAsia="Times New Roman" w:cs="Times New Roman"/>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qFormat/>
    <w:rsid w:val="00115C90"/>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115C90"/>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115C90"/>
    <w:rPr>
      <w:vertAlign w:val="superscript"/>
    </w:rPr>
  </w:style>
  <w:style w:type="paragraph" w:styleId="CommentText">
    <w:name w:val="annotation text"/>
    <w:basedOn w:val="Normal"/>
    <w:link w:val="CommentTextChar"/>
    <w:uiPriority w:val="99"/>
    <w:rsid w:val="001963BC"/>
    <w:pPr>
      <w:jc w:val="both"/>
    </w:pPr>
    <w:rPr>
      <w:sz w:val="20"/>
      <w:szCs w:val="20"/>
      <w:lang w:eastAsia="en-US"/>
    </w:rPr>
  </w:style>
  <w:style w:type="character" w:customStyle="1" w:styleId="CommentTextChar">
    <w:name w:val="Comment Text Char"/>
    <w:basedOn w:val="DefaultParagraphFont"/>
    <w:link w:val="CommentText"/>
    <w:uiPriority w:val="99"/>
    <w:rsid w:val="001963BC"/>
    <w:rPr>
      <w:rFonts w:eastAsia="Times New Roman" w:cs="Times New Roman"/>
      <w:sz w:val="20"/>
      <w:szCs w:val="20"/>
    </w:rPr>
  </w:style>
  <w:style w:type="character" w:styleId="CommentReference">
    <w:name w:val="annotation reference"/>
    <w:basedOn w:val="DefaultParagraphFont"/>
    <w:uiPriority w:val="99"/>
    <w:unhideWhenUsed/>
    <w:rsid w:val="00541391"/>
    <w:rPr>
      <w:sz w:val="16"/>
      <w:szCs w:val="16"/>
    </w:rPr>
  </w:style>
  <w:style w:type="paragraph" w:styleId="CommentSubject">
    <w:name w:val="annotation subject"/>
    <w:basedOn w:val="CommentText"/>
    <w:next w:val="CommentText"/>
    <w:link w:val="CommentSubjectChar"/>
    <w:uiPriority w:val="99"/>
    <w:semiHidden/>
    <w:unhideWhenUsed/>
    <w:rsid w:val="00541391"/>
    <w:pPr>
      <w:jc w:val="left"/>
    </w:pPr>
    <w:rPr>
      <w:b/>
      <w:bCs/>
      <w:lang w:eastAsia="lv-LV"/>
    </w:rPr>
  </w:style>
  <w:style w:type="character" w:customStyle="1" w:styleId="CommentSubjectChar">
    <w:name w:val="Comment Subject Char"/>
    <w:basedOn w:val="CommentTextChar"/>
    <w:link w:val="CommentSubject"/>
    <w:uiPriority w:val="99"/>
    <w:semiHidden/>
    <w:rsid w:val="00541391"/>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41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391"/>
    <w:rPr>
      <w:rFonts w:ascii="Segoe UI" w:eastAsia="Times New Roman" w:hAnsi="Segoe UI" w:cs="Segoe UI"/>
      <w:sz w:val="18"/>
      <w:szCs w:val="18"/>
      <w:lang w:eastAsia="lv-LV"/>
    </w:rPr>
  </w:style>
  <w:style w:type="paragraph" w:customStyle="1" w:styleId="Default">
    <w:name w:val="Default"/>
    <w:rsid w:val="00514346"/>
    <w:pPr>
      <w:autoSpaceDE w:val="0"/>
      <w:autoSpaceDN w:val="0"/>
      <w:adjustRightInd w:val="0"/>
    </w:pPr>
    <w:rPr>
      <w:rFonts w:eastAsia="Calibri" w:cs="Times New Roman"/>
      <w:color w:val="000000"/>
      <w:szCs w:val="24"/>
    </w:rPr>
  </w:style>
  <w:style w:type="paragraph" w:styleId="Title">
    <w:name w:val="Title"/>
    <w:basedOn w:val="Normal"/>
    <w:link w:val="TitleChar"/>
    <w:qFormat/>
    <w:rsid w:val="00BD692D"/>
    <w:pPr>
      <w:jc w:val="center"/>
    </w:pPr>
    <w:rPr>
      <w:b/>
      <w:sz w:val="28"/>
      <w:szCs w:val="28"/>
    </w:rPr>
  </w:style>
  <w:style w:type="character" w:customStyle="1" w:styleId="TitleChar">
    <w:name w:val="Title Char"/>
    <w:basedOn w:val="DefaultParagraphFont"/>
    <w:link w:val="Title"/>
    <w:rsid w:val="00BD692D"/>
    <w:rPr>
      <w:rFonts w:eastAsia="Times New Roman" w:cs="Times New Roman"/>
      <w:b/>
      <w:sz w:val="28"/>
      <w:szCs w:val="28"/>
      <w:lang w:eastAsia="lv-LV"/>
    </w:rPr>
  </w:style>
  <w:style w:type="paragraph" w:styleId="BodyText2">
    <w:name w:val="Body Text 2"/>
    <w:basedOn w:val="Normal"/>
    <w:link w:val="BodyText2Char"/>
    <w:uiPriority w:val="99"/>
    <w:unhideWhenUsed/>
    <w:rsid w:val="007E2721"/>
    <w:pPr>
      <w:spacing w:after="120" w:line="480" w:lineRule="auto"/>
    </w:pPr>
  </w:style>
  <w:style w:type="character" w:customStyle="1" w:styleId="BodyText2Char">
    <w:name w:val="Body Text 2 Char"/>
    <w:basedOn w:val="DefaultParagraphFont"/>
    <w:link w:val="BodyText2"/>
    <w:uiPriority w:val="99"/>
    <w:rsid w:val="007E2721"/>
    <w:rPr>
      <w:rFonts w:eastAsia="Times New Roman" w:cs="Times New Roman"/>
      <w:szCs w:val="24"/>
      <w:lang w:eastAsia="lv-LV"/>
    </w:rPr>
  </w:style>
  <w:style w:type="paragraph" w:customStyle="1" w:styleId="2lmenis">
    <w:name w:val="2.līmenis"/>
    <w:basedOn w:val="Heading2"/>
    <w:link w:val="2lmenisChar"/>
    <w:qFormat/>
    <w:rsid w:val="001455CD"/>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1455CD"/>
    <w:rPr>
      <w:rFonts w:eastAsia="Times New Roman" w:cs="Times New Roman"/>
      <w:b/>
      <w:iCs/>
      <w:sz w:val="28"/>
      <w:szCs w:val="28"/>
    </w:rPr>
  </w:style>
  <w:style w:type="character" w:customStyle="1" w:styleId="Heading2Char">
    <w:name w:val="Heading 2 Char"/>
    <w:basedOn w:val="DefaultParagraphFont"/>
    <w:link w:val="Heading2"/>
    <w:uiPriority w:val="9"/>
    <w:semiHidden/>
    <w:rsid w:val="001455CD"/>
    <w:rPr>
      <w:rFonts w:asciiTheme="majorHAnsi" w:eastAsiaTheme="majorEastAsia" w:hAnsiTheme="majorHAnsi" w:cstheme="majorBidi"/>
      <w:color w:val="2E74B5" w:themeColor="accent1" w:themeShade="BF"/>
      <w:sz w:val="26"/>
      <w:szCs w:val="26"/>
      <w:lang w:eastAsia="lv-LV"/>
    </w:rPr>
  </w:style>
  <w:style w:type="paragraph" w:styleId="BodyTextIndent">
    <w:name w:val="Body Text Indent"/>
    <w:basedOn w:val="Normal"/>
    <w:link w:val="BodyTextIndentChar"/>
    <w:rsid w:val="00683E97"/>
    <w:pPr>
      <w:spacing w:after="120"/>
      <w:ind w:left="283"/>
    </w:pPr>
    <w:rPr>
      <w:lang w:eastAsia="en-US"/>
    </w:rPr>
  </w:style>
  <w:style w:type="character" w:customStyle="1" w:styleId="BodyTextIndentChar">
    <w:name w:val="Body Text Indent Char"/>
    <w:basedOn w:val="DefaultParagraphFont"/>
    <w:link w:val="BodyTextIndent"/>
    <w:uiPriority w:val="99"/>
    <w:rsid w:val="00683E97"/>
    <w:rPr>
      <w:rFonts w:eastAsia="Times New Roman" w:cs="Times New Roman"/>
      <w:szCs w:val="24"/>
    </w:rPr>
  </w:style>
  <w:style w:type="paragraph" w:styleId="Revision">
    <w:name w:val="Revision"/>
    <w:hidden/>
    <w:uiPriority w:val="99"/>
    <w:semiHidden/>
    <w:rsid w:val="006A741D"/>
    <w:rPr>
      <w:rFonts w:eastAsia="Times New Roman" w:cs="Times New Roman"/>
      <w:szCs w:val="24"/>
      <w:lang w:eastAsia="lv-LV"/>
    </w:rPr>
  </w:style>
  <w:style w:type="character" w:customStyle="1" w:styleId="Bodytext0">
    <w:name w:val="Body text_"/>
    <w:basedOn w:val="DefaultParagraphFont"/>
    <w:link w:val="BodyText1"/>
    <w:rsid w:val="001E1502"/>
    <w:rPr>
      <w:rFonts w:eastAsia="Times New Roman" w:cs="Times New Roman"/>
      <w:sz w:val="23"/>
      <w:szCs w:val="23"/>
      <w:shd w:val="clear" w:color="auto" w:fill="FFFFFF"/>
    </w:rPr>
  </w:style>
  <w:style w:type="paragraph" w:customStyle="1" w:styleId="BodyText1">
    <w:name w:val="Body Text1"/>
    <w:basedOn w:val="Normal"/>
    <w:link w:val="Bodytext0"/>
    <w:rsid w:val="001E1502"/>
    <w:pPr>
      <w:widowControl w:val="0"/>
      <w:shd w:val="clear" w:color="auto" w:fill="FFFFFF"/>
      <w:spacing w:before="240" w:after="480" w:line="0" w:lineRule="atLeast"/>
    </w:pPr>
    <w:rPr>
      <w:sz w:val="23"/>
      <w:szCs w:val="23"/>
      <w:lang w:eastAsia="en-US"/>
    </w:rPr>
  </w:style>
  <w:style w:type="paragraph" w:customStyle="1" w:styleId="3lmenis">
    <w:name w:val="3.līmenis"/>
    <w:basedOn w:val="Heading3"/>
    <w:link w:val="3lmenisChar"/>
    <w:autoRedefine/>
    <w:qFormat/>
    <w:rsid w:val="00E62C84"/>
    <w:pPr>
      <w:numPr>
        <w:ilvl w:val="2"/>
        <w:numId w:val="3"/>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E62C84"/>
    <w:rPr>
      <w:rFonts w:eastAsiaTheme="majorEastAsia" w:cstheme="majorBidi"/>
      <w:b/>
      <w:iCs w:val="0"/>
      <w:color w:val="000000"/>
      <w:sz w:val="28"/>
      <w:szCs w:val="24"/>
    </w:rPr>
  </w:style>
  <w:style w:type="character" w:customStyle="1" w:styleId="Heading3Char">
    <w:name w:val="Heading 3 Char"/>
    <w:basedOn w:val="DefaultParagraphFont"/>
    <w:link w:val="Heading3"/>
    <w:uiPriority w:val="9"/>
    <w:semiHidden/>
    <w:rsid w:val="00E62C84"/>
    <w:rPr>
      <w:rFonts w:asciiTheme="majorHAnsi" w:eastAsiaTheme="majorEastAsia" w:hAnsiTheme="majorHAnsi" w:cstheme="majorBidi"/>
      <w:color w:val="1F4D78" w:themeColor="accent1" w:themeShade="7F"/>
      <w:szCs w:val="24"/>
      <w:lang w:eastAsia="lv-LV"/>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7B0E6D"/>
    <w:rPr>
      <w:rFonts w:ascii="Calibri" w:eastAsia="Times New Roman" w:hAnsi="Calibri" w:cs="Times New Roman"/>
      <w:sz w:val="22"/>
    </w:rPr>
  </w:style>
  <w:style w:type="paragraph" w:styleId="EnvelopeReturn">
    <w:name w:val="envelope return"/>
    <w:basedOn w:val="Normal"/>
    <w:rsid w:val="009F50FC"/>
    <w:pPr>
      <w:keepLines/>
      <w:widowControl w:val="0"/>
      <w:spacing w:before="600"/>
    </w:pPr>
    <w:rPr>
      <w:sz w:val="26"/>
      <w:szCs w:val="20"/>
      <w:lang w:eastAsia="en-US"/>
    </w:rPr>
  </w:style>
  <w:style w:type="character" w:customStyle="1" w:styleId="c4">
    <w:name w:val="c4"/>
    <w:basedOn w:val="DefaultParagraphFont"/>
    <w:rsid w:val="009F50FC"/>
  </w:style>
  <w:style w:type="paragraph" w:styleId="NoSpacing">
    <w:name w:val="No Spacing"/>
    <w:uiPriority w:val="1"/>
    <w:qFormat/>
    <w:rsid w:val="001E785F"/>
    <w:rPr>
      <w:rFonts w:asciiTheme="minorHAnsi" w:hAnsiTheme="minorHAnsi"/>
      <w:sz w:val="22"/>
    </w:rPr>
  </w:style>
  <w:style w:type="character" w:styleId="FollowedHyperlink">
    <w:name w:val="FollowedHyperlink"/>
    <w:basedOn w:val="DefaultParagraphFont"/>
    <w:uiPriority w:val="99"/>
    <w:semiHidden/>
    <w:unhideWhenUsed/>
    <w:rsid w:val="00DA390A"/>
    <w:rPr>
      <w:color w:val="954F72" w:themeColor="followedHyperlink"/>
      <w:u w:val="single"/>
    </w:rPr>
  </w:style>
  <w:style w:type="character" w:styleId="Strong">
    <w:name w:val="Strong"/>
    <w:basedOn w:val="DefaultParagraphFont"/>
    <w:uiPriority w:val="22"/>
    <w:qFormat/>
    <w:rsid w:val="00BB591A"/>
    <w:rPr>
      <w:b/>
      <w:bCs/>
    </w:rPr>
  </w:style>
  <w:style w:type="paragraph" w:customStyle="1" w:styleId="CharCharCharChar">
    <w:name w:val="Char Char Char Char"/>
    <w:aliases w:val="Char2"/>
    <w:basedOn w:val="Normal"/>
    <w:next w:val="Normal"/>
    <w:link w:val="FootnoteReference"/>
    <w:uiPriority w:val="99"/>
    <w:rsid w:val="005D2E17"/>
    <w:pPr>
      <w:spacing w:after="160" w:line="240" w:lineRule="exact"/>
      <w:jc w:val="both"/>
      <w:textAlignment w:val="baseline"/>
    </w:pPr>
    <w:rPr>
      <w:rFonts w:eastAsiaTheme="minorHAnsi" w:cstheme="minorBidi"/>
      <w:szCs w:val="22"/>
      <w:vertAlign w:val="superscript"/>
      <w:lang w:eastAsia="en-US"/>
    </w:rPr>
  </w:style>
  <w:style w:type="paragraph" w:customStyle="1" w:styleId="CM1">
    <w:name w:val="CM1"/>
    <w:basedOn w:val="Default"/>
    <w:next w:val="Default"/>
    <w:uiPriority w:val="99"/>
    <w:rsid w:val="00551BFB"/>
    <w:rPr>
      <w:rFonts w:ascii="EUAlbertina" w:eastAsiaTheme="minorHAnsi" w:hAnsi="EUAlbertina" w:cstheme="minorBidi"/>
      <w:color w:val="auto"/>
    </w:rPr>
  </w:style>
  <w:style w:type="paragraph" w:customStyle="1" w:styleId="CM3">
    <w:name w:val="CM3"/>
    <w:basedOn w:val="Default"/>
    <w:next w:val="Default"/>
    <w:uiPriority w:val="99"/>
    <w:rsid w:val="00551BFB"/>
    <w:rPr>
      <w:rFonts w:ascii="EUAlbertina" w:eastAsiaTheme="minorHAnsi" w:hAnsi="EUAlbertina" w:cstheme="minorBidi"/>
      <w:color w:val="auto"/>
    </w:rPr>
  </w:style>
  <w:style w:type="table" w:styleId="TableGrid">
    <w:name w:val="Table Grid"/>
    <w:basedOn w:val="TableNormal"/>
    <w:uiPriority w:val="39"/>
    <w:rsid w:val="003C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822">
      <w:bodyDiv w:val="1"/>
      <w:marLeft w:val="0"/>
      <w:marRight w:val="0"/>
      <w:marTop w:val="0"/>
      <w:marBottom w:val="0"/>
      <w:divBdr>
        <w:top w:val="none" w:sz="0" w:space="0" w:color="auto"/>
        <w:left w:val="none" w:sz="0" w:space="0" w:color="auto"/>
        <w:bottom w:val="none" w:sz="0" w:space="0" w:color="auto"/>
        <w:right w:val="none" w:sz="0" w:space="0" w:color="auto"/>
      </w:divBdr>
    </w:div>
    <w:div w:id="45960761">
      <w:bodyDiv w:val="1"/>
      <w:marLeft w:val="0"/>
      <w:marRight w:val="0"/>
      <w:marTop w:val="0"/>
      <w:marBottom w:val="0"/>
      <w:divBdr>
        <w:top w:val="none" w:sz="0" w:space="0" w:color="auto"/>
        <w:left w:val="none" w:sz="0" w:space="0" w:color="auto"/>
        <w:bottom w:val="none" w:sz="0" w:space="0" w:color="auto"/>
        <w:right w:val="none" w:sz="0" w:space="0" w:color="auto"/>
      </w:divBdr>
    </w:div>
    <w:div w:id="50272820">
      <w:bodyDiv w:val="1"/>
      <w:marLeft w:val="0"/>
      <w:marRight w:val="0"/>
      <w:marTop w:val="0"/>
      <w:marBottom w:val="0"/>
      <w:divBdr>
        <w:top w:val="none" w:sz="0" w:space="0" w:color="auto"/>
        <w:left w:val="none" w:sz="0" w:space="0" w:color="auto"/>
        <w:bottom w:val="none" w:sz="0" w:space="0" w:color="auto"/>
        <w:right w:val="none" w:sz="0" w:space="0" w:color="auto"/>
      </w:divBdr>
    </w:div>
    <w:div w:id="99886249">
      <w:bodyDiv w:val="1"/>
      <w:marLeft w:val="0"/>
      <w:marRight w:val="0"/>
      <w:marTop w:val="0"/>
      <w:marBottom w:val="0"/>
      <w:divBdr>
        <w:top w:val="none" w:sz="0" w:space="0" w:color="auto"/>
        <w:left w:val="none" w:sz="0" w:space="0" w:color="auto"/>
        <w:bottom w:val="none" w:sz="0" w:space="0" w:color="auto"/>
        <w:right w:val="none" w:sz="0" w:space="0" w:color="auto"/>
      </w:divBdr>
    </w:div>
    <w:div w:id="159472115">
      <w:bodyDiv w:val="1"/>
      <w:marLeft w:val="0"/>
      <w:marRight w:val="0"/>
      <w:marTop w:val="0"/>
      <w:marBottom w:val="0"/>
      <w:divBdr>
        <w:top w:val="none" w:sz="0" w:space="0" w:color="auto"/>
        <w:left w:val="none" w:sz="0" w:space="0" w:color="auto"/>
        <w:bottom w:val="none" w:sz="0" w:space="0" w:color="auto"/>
        <w:right w:val="none" w:sz="0" w:space="0" w:color="auto"/>
      </w:divBdr>
    </w:div>
    <w:div w:id="186140447">
      <w:bodyDiv w:val="1"/>
      <w:marLeft w:val="0"/>
      <w:marRight w:val="0"/>
      <w:marTop w:val="0"/>
      <w:marBottom w:val="0"/>
      <w:divBdr>
        <w:top w:val="none" w:sz="0" w:space="0" w:color="auto"/>
        <w:left w:val="none" w:sz="0" w:space="0" w:color="auto"/>
        <w:bottom w:val="none" w:sz="0" w:space="0" w:color="auto"/>
        <w:right w:val="none" w:sz="0" w:space="0" w:color="auto"/>
      </w:divBdr>
    </w:div>
    <w:div w:id="222523359">
      <w:bodyDiv w:val="1"/>
      <w:marLeft w:val="0"/>
      <w:marRight w:val="0"/>
      <w:marTop w:val="0"/>
      <w:marBottom w:val="0"/>
      <w:divBdr>
        <w:top w:val="none" w:sz="0" w:space="0" w:color="auto"/>
        <w:left w:val="none" w:sz="0" w:space="0" w:color="auto"/>
        <w:bottom w:val="none" w:sz="0" w:space="0" w:color="auto"/>
        <w:right w:val="none" w:sz="0" w:space="0" w:color="auto"/>
      </w:divBdr>
    </w:div>
    <w:div w:id="246423487">
      <w:bodyDiv w:val="1"/>
      <w:marLeft w:val="0"/>
      <w:marRight w:val="0"/>
      <w:marTop w:val="0"/>
      <w:marBottom w:val="0"/>
      <w:divBdr>
        <w:top w:val="none" w:sz="0" w:space="0" w:color="auto"/>
        <w:left w:val="none" w:sz="0" w:space="0" w:color="auto"/>
        <w:bottom w:val="none" w:sz="0" w:space="0" w:color="auto"/>
        <w:right w:val="none" w:sz="0" w:space="0" w:color="auto"/>
      </w:divBdr>
    </w:div>
    <w:div w:id="325324191">
      <w:bodyDiv w:val="1"/>
      <w:marLeft w:val="0"/>
      <w:marRight w:val="0"/>
      <w:marTop w:val="0"/>
      <w:marBottom w:val="0"/>
      <w:divBdr>
        <w:top w:val="none" w:sz="0" w:space="0" w:color="auto"/>
        <w:left w:val="none" w:sz="0" w:space="0" w:color="auto"/>
        <w:bottom w:val="none" w:sz="0" w:space="0" w:color="auto"/>
        <w:right w:val="none" w:sz="0" w:space="0" w:color="auto"/>
      </w:divBdr>
    </w:div>
    <w:div w:id="329138063">
      <w:bodyDiv w:val="1"/>
      <w:marLeft w:val="0"/>
      <w:marRight w:val="0"/>
      <w:marTop w:val="0"/>
      <w:marBottom w:val="0"/>
      <w:divBdr>
        <w:top w:val="none" w:sz="0" w:space="0" w:color="auto"/>
        <w:left w:val="none" w:sz="0" w:space="0" w:color="auto"/>
        <w:bottom w:val="none" w:sz="0" w:space="0" w:color="auto"/>
        <w:right w:val="none" w:sz="0" w:space="0" w:color="auto"/>
      </w:divBdr>
    </w:div>
    <w:div w:id="368797427">
      <w:bodyDiv w:val="1"/>
      <w:marLeft w:val="0"/>
      <w:marRight w:val="0"/>
      <w:marTop w:val="0"/>
      <w:marBottom w:val="0"/>
      <w:divBdr>
        <w:top w:val="none" w:sz="0" w:space="0" w:color="auto"/>
        <w:left w:val="none" w:sz="0" w:space="0" w:color="auto"/>
        <w:bottom w:val="none" w:sz="0" w:space="0" w:color="auto"/>
        <w:right w:val="none" w:sz="0" w:space="0" w:color="auto"/>
      </w:divBdr>
    </w:div>
    <w:div w:id="394351525">
      <w:bodyDiv w:val="1"/>
      <w:marLeft w:val="0"/>
      <w:marRight w:val="0"/>
      <w:marTop w:val="0"/>
      <w:marBottom w:val="0"/>
      <w:divBdr>
        <w:top w:val="none" w:sz="0" w:space="0" w:color="auto"/>
        <w:left w:val="none" w:sz="0" w:space="0" w:color="auto"/>
        <w:bottom w:val="none" w:sz="0" w:space="0" w:color="auto"/>
        <w:right w:val="none" w:sz="0" w:space="0" w:color="auto"/>
      </w:divBdr>
    </w:div>
    <w:div w:id="397364234">
      <w:bodyDiv w:val="1"/>
      <w:marLeft w:val="0"/>
      <w:marRight w:val="0"/>
      <w:marTop w:val="0"/>
      <w:marBottom w:val="0"/>
      <w:divBdr>
        <w:top w:val="none" w:sz="0" w:space="0" w:color="auto"/>
        <w:left w:val="none" w:sz="0" w:space="0" w:color="auto"/>
        <w:bottom w:val="none" w:sz="0" w:space="0" w:color="auto"/>
        <w:right w:val="none" w:sz="0" w:space="0" w:color="auto"/>
      </w:divBdr>
    </w:div>
    <w:div w:id="502864996">
      <w:bodyDiv w:val="1"/>
      <w:marLeft w:val="0"/>
      <w:marRight w:val="0"/>
      <w:marTop w:val="0"/>
      <w:marBottom w:val="0"/>
      <w:divBdr>
        <w:top w:val="none" w:sz="0" w:space="0" w:color="auto"/>
        <w:left w:val="none" w:sz="0" w:space="0" w:color="auto"/>
        <w:bottom w:val="none" w:sz="0" w:space="0" w:color="auto"/>
        <w:right w:val="none" w:sz="0" w:space="0" w:color="auto"/>
      </w:divBdr>
    </w:div>
    <w:div w:id="509101635">
      <w:bodyDiv w:val="1"/>
      <w:marLeft w:val="0"/>
      <w:marRight w:val="0"/>
      <w:marTop w:val="0"/>
      <w:marBottom w:val="0"/>
      <w:divBdr>
        <w:top w:val="none" w:sz="0" w:space="0" w:color="auto"/>
        <w:left w:val="none" w:sz="0" w:space="0" w:color="auto"/>
        <w:bottom w:val="none" w:sz="0" w:space="0" w:color="auto"/>
        <w:right w:val="none" w:sz="0" w:space="0" w:color="auto"/>
      </w:divBdr>
    </w:div>
    <w:div w:id="531501894">
      <w:bodyDiv w:val="1"/>
      <w:marLeft w:val="0"/>
      <w:marRight w:val="0"/>
      <w:marTop w:val="0"/>
      <w:marBottom w:val="0"/>
      <w:divBdr>
        <w:top w:val="none" w:sz="0" w:space="0" w:color="auto"/>
        <w:left w:val="none" w:sz="0" w:space="0" w:color="auto"/>
        <w:bottom w:val="none" w:sz="0" w:space="0" w:color="auto"/>
        <w:right w:val="none" w:sz="0" w:space="0" w:color="auto"/>
      </w:divBdr>
    </w:div>
    <w:div w:id="540484525">
      <w:bodyDiv w:val="1"/>
      <w:marLeft w:val="0"/>
      <w:marRight w:val="0"/>
      <w:marTop w:val="0"/>
      <w:marBottom w:val="0"/>
      <w:divBdr>
        <w:top w:val="none" w:sz="0" w:space="0" w:color="auto"/>
        <w:left w:val="none" w:sz="0" w:space="0" w:color="auto"/>
        <w:bottom w:val="none" w:sz="0" w:space="0" w:color="auto"/>
        <w:right w:val="none" w:sz="0" w:space="0" w:color="auto"/>
      </w:divBdr>
    </w:div>
    <w:div w:id="551427519">
      <w:bodyDiv w:val="1"/>
      <w:marLeft w:val="0"/>
      <w:marRight w:val="0"/>
      <w:marTop w:val="0"/>
      <w:marBottom w:val="0"/>
      <w:divBdr>
        <w:top w:val="none" w:sz="0" w:space="0" w:color="auto"/>
        <w:left w:val="none" w:sz="0" w:space="0" w:color="auto"/>
        <w:bottom w:val="none" w:sz="0" w:space="0" w:color="auto"/>
        <w:right w:val="none" w:sz="0" w:space="0" w:color="auto"/>
      </w:divBdr>
    </w:div>
    <w:div w:id="554510193">
      <w:bodyDiv w:val="1"/>
      <w:marLeft w:val="0"/>
      <w:marRight w:val="0"/>
      <w:marTop w:val="0"/>
      <w:marBottom w:val="0"/>
      <w:divBdr>
        <w:top w:val="none" w:sz="0" w:space="0" w:color="auto"/>
        <w:left w:val="none" w:sz="0" w:space="0" w:color="auto"/>
        <w:bottom w:val="none" w:sz="0" w:space="0" w:color="auto"/>
        <w:right w:val="none" w:sz="0" w:space="0" w:color="auto"/>
      </w:divBdr>
    </w:div>
    <w:div w:id="619145018">
      <w:bodyDiv w:val="1"/>
      <w:marLeft w:val="0"/>
      <w:marRight w:val="0"/>
      <w:marTop w:val="0"/>
      <w:marBottom w:val="0"/>
      <w:divBdr>
        <w:top w:val="none" w:sz="0" w:space="0" w:color="auto"/>
        <w:left w:val="none" w:sz="0" w:space="0" w:color="auto"/>
        <w:bottom w:val="none" w:sz="0" w:space="0" w:color="auto"/>
        <w:right w:val="none" w:sz="0" w:space="0" w:color="auto"/>
      </w:divBdr>
    </w:div>
    <w:div w:id="631861051">
      <w:bodyDiv w:val="1"/>
      <w:marLeft w:val="0"/>
      <w:marRight w:val="0"/>
      <w:marTop w:val="0"/>
      <w:marBottom w:val="0"/>
      <w:divBdr>
        <w:top w:val="none" w:sz="0" w:space="0" w:color="auto"/>
        <w:left w:val="none" w:sz="0" w:space="0" w:color="auto"/>
        <w:bottom w:val="none" w:sz="0" w:space="0" w:color="auto"/>
        <w:right w:val="none" w:sz="0" w:space="0" w:color="auto"/>
      </w:divBdr>
    </w:div>
    <w:div w:id="673531006">
      <w:bodyDiv w:val="1"/>
      <w:marLeft w:val="0"/>
      <w:marRight w:val="0"/>
      <w:marTop w:val="0"/>
      <w:marBottom w:val="0"/>
      <w:divBdr>
        <w:top w:val="none" w:sz="0" w:space="0" w:color="auto"/>
        <w:left w:val="none" w:sz="0" w:space="0" w:color="auto"/>
        <w:bottom w:val="none" w:sz="0" w:space="0" w:color="auto"/>
        <w:right w:val="none" w:sz="0" w:space="0" w:color="auto"/>
      </w:divBdr>
    </w:div>
    <w:div w:id="714694138">
      <w:bodyDiv w:val="1"/>
      <w:marLeft w:val="0"/>
      <w:marRight w:val="0"/>
      <w:marTop w:val="0"/>
      <w:marBottom w:val="0"/>
      <w:divBdr>
        <w:top w:val="none" w:sz="0" w:space="0" w:color="auto"/>
        <w:left w:val="none" w:sz="0" w:space="0" w:color="auto"/>
        <w:bottom w:val="none" w:sz="0" w:space="0" w:color="auto"/>
        <w:right w:val="none" w:sz="0" w:space="0" w:color="auto"/>
      </w:divBdr>
    </w:div>
    <w:div w:id="715088498">
      <w:bodyDiv w:val="1"/>
      <w:marLeft w:val="0"/>
      <w:marRight w:val="0"/>
      <w:marTop w:val="0"/>
      <w:marBottom w:val="0"/>
      <w:divBdr>
        <w:top w:val="none" w:sz="0" w:space="0" w:color="auto"/>
        <w:left w:val="none" w:sz="0" w:space="0" w:color="auto"/>
        <w:bottom w:val="none" w:sz="0" w:space="0" w:color="auto"/>
        <w:right w:val="none" w:sz="0" w:space="0" w:color="auto"/>
      </w:divBdr>
    </w:div>
    <w:div w:id="754783288">
      <w:bodyDiv w:val="1"/>
      <w:marLeft w:val="0"/>
      <w:marRight w:val="0"/>
      <w:marTop w:val="0"/>
      <w:marBottom w:val="0"/>
      <w:divBdr>
        <w:top w:val="none" w:sz="0" w:space="0" w:color="auto"/>
        <w:left w:val="none" w:sz="0" w:space="0" w:color="auto"/>
        <w:bottom w:val="none" w:sz="0" w:space="0" w:color="auto"/>
        <w:right w:val="none" w:sz="0" w:space="0" w:color="auto"/>
      </w:divBdr>
    </w:div>
    <w:div w:id="757604500">
      <w:bodyDiv w:val="1"/>
      <w:marLeft w:val="0"/>
      <w:marRight w:val="0"/>
      <w:marTop w:val="0"/>
      <w:marBottom w:val="0"/>
      <w:divBdr>
        <w:top w:val="none" w:sz="0" w:space="0" w:color="auto"/>
        <w:left w:val="none" w:sz="0" w:space="0" w:color="auto"/>
        <w:bottom w:val="none" w:sz="0" w:space="0" w:color="auto"/>
        <w:right w:val="none" w:sz="0" w:space="0" w:color="auto"/>
      </w:divBdr>
    </w:div>
    <w:div w:id="765274681">
      <w:bodyDiv w:val="1"/>
      <w:marLeft w:val="0"/>
      <w:marRight w:val="0"/>
      <w:marTop w:val="0"/>
      <w:marBottom w:val="0"/>
      <w:divBdr>
        <w:top w:val="none" w:sz="0" w:space="0" w:color="auto"/>
        <w:left w:val="none" w:sz="0" w:space="0" w:color="auto"/>
        <w:bottom w:val="none" w:sz="0" w:space="0" w:color="auto"/>
        <w:right w:val="none" w:sz="0" w:space="0" w:color="auto"/>
      </w:divBdr>
    </w:div>
    <w:div w:id="790706432">
      <w:bodyDiv w:val="1"/>
      <w:marLeft w:val="0"/>
      <w:marRight w:val="0"/>
      <w:marTop w:val="0"/>
      <w:marBottom w:val="0"/>
      <w:divBdr>
        <w:top w:val="none" w:sz="0" w:space="0" w:color="auto"/>
        <w:left w:val="none" w:sz="0" w:space="0" w:color="auto"/>
        <w:bottom w:val="none" w:sz="0" w:space="0" w:color="auto"/>
        <w:right w:val="none" w:sz="0" w:space="0" w:color="auto"/>
      </w:divBdr>
    </w:div>
    <w:div w:id="800415255">
      <w:bodyDiv w:val="1"/>
      <w:marLeft w:val="0"/>
      <w:marRight w:val="0"/>
      <w:marTop w:val="0"/>
      <w:marBottom w:val="0"/>
      <w:divBdr>
        <w:top w:val="none" w:sz="0" w:space="0" w:color="auto"/>
        <w:left w:val="none" w:sz="0" w:space="0" w:color="auto"/>
        <w:bottom w:val="none" w:sz="0" w:space="0" w:color="auto"/>
        <w:right w:val="none" w:sz="0" w:space="0" w:color="auto"/>
      </w:divBdr>
    </w:div>
    <w:div w:id="826745975">
      <w:bodyDiv w:val="1"/>
      <w:marLeft w:val="0"/>
      <w:marRight w:val="0"/>
      <w:marTop w:val="0"/>
      <w:marBottom w:val="0"/>
      <w:divBdr>
        <w:top w:val="none" w:sz="0" w:space="0" w:color="auto"/>
        <w:left w:val="none" w:sz="0" w:space="0" w:color="auto"/>
        <w:bottom w:val="none" w:sz="0" w:space="0" w:color="auto"/>
        <w:right w:val="none" w:sz="0" w:space="0" w:color="auto"/>
      </w:divBdr>
    </w:div>
    <w:div w:id="907954838">
      <w:bodyDiv w:val="1"/>
      <w:marLeft w:val="0"/>
      <w:marRight w:val="0"/>
      <w:marTop w:val="0"/>
      <w:marBottom w:val="0"/>
      <w:divBdr>
        <w:top w:val="none" w:sz="0" w:space="0" w:color="auto"/>
        <w:left w:val="none" w:sz="0" w:space="0" w:color="auto"/>
        <w:bottom w:val="none" w:sz="0" w:space="0" w:color="auto"/>
        <w:right w:val="none" w:sz="0" w:space="0" w:color="auto"/>
      </w:divBdr>
    </w:div>
    <w:div w:id="927269736">
      <w:bodyDiv w:val="1"/>
      <w:marLeft w:val="0"/>
      <w:marRight w:val="0"/>
      <w:marTop w:val="0"/>
      <w:marBottom w:val="0"/>
      <w:divBdr>
        <w:top w:val="none" w:sz="0" w:space="0" w:color="auto"/>
        <w:left w:val="none" w:sz="0" w:space="0" w:color="auto"/>
        <w:bottom w:val="none" w:sz="0" w:space="0" w:color="auto"/>
        <w:right w:val="none" w:sz="0" w:space="0" w:color="auto"/>
      </w:divBdr>
    </w:div>
    <w:div w:id="984816253">
      <w:bodyDiv w:val="1"/>
      <w:marLeft w:val="0"/>
      <w:marRight w:val="0"/>
      <w:marTop w:val="0"/>
      <w:marBottom w:val="0"/>
      <w:divBdr>
        <w:top w:val="none" w:sz="0" w:space="0" w:color="auto"/>
        <w:left w:val="none" w:sz="0" w:space="0" w:color="auto"/>
        <w:bottom w:val="none" w:sz="0" w:space="0" w:color="auto"/>
        <w:right w:val="none" w:sz="0" w:space="0" w:color="auto"/>
      </w:divBdr>
    </w:div>
    <w:div w:id="1002271153">
      <w:bodyDiv w:val="1"/>
      <w:marLeft w:val="0"/>
      <w:marRight w:val="0"/>
      <w:marTop w:val="0"/>
      <w:marBottom w:val="0"/>
      <w:divBdr>
        <w:top w:val="none" w:sz="0" w:space="0" w:color="auto"/>
        <w:left w:val="none" w:sz="0" w:space="0" w:color="auto"/>
        <w:bottom w:val="none" w:sz="0" w:space="0" w:color="auto"/>
        <w:right w:val="none" w:sz="0" w:space="0" w:color="auto"/>
      </w:divBdr>
    </w:div>
    <w:div w:id="1009676132">
      <w:bodyDiv w:val="1"/>
      <w:marLeft w:val="0"/>
      <w:marRight w:val="0"/>
      <w:marTop w:val="0"/>
      <w:marBottom w:val="0"/>
      <w:divBdr>
        <w:top w:val="none" w:sz="0" w:space="0" w:color="auto"/>
        <w:left w:val="none" w:sz="0" w:space="0" w:color="auto"/>
        <w:bottom w:val="none" w:sz="0" w:space="0" w:color="auto"/>
        <w:right w:val="none" w:sz="0" w:space="0" w:color="auto"/>
      </w:divBdr>
    </w:div>
    <w:div w:id="1040478638">
      <w:bodyDiv w:val="1"/>
      <w:marLeft w:val="0"/>
      <w:marRight w:val="0"/>
      <w:marTop w:val="0"/>
      <w:marBottom w:val="0"/>
      <w:divBdr>
        <w:top w:val="none" w:sz="0" w:space="0" w:color="auto"/>
        <w:left w:val="none" w:sz="0" w:space="0" w:color="auto"/>
        <w:bottom w:val="none" w:sz="0" w:space="0" w:color="auto"/>
        <w:right w:val="none" w:sz="0" w:space="0" w:color="auto"/>
      </w:divBdr>
    </w:div>
    <w:div w:id="1084884809">
      <w:bodyDiv w:val="1"/>
      <w:marLeft w:val="0"/>
      <w:marRight w:val="0"/>
      <w:marTop w:val="0"/>
      <w:marBottom w:val="0"/>
      <w:divBdr>
        <w:top w:val="none" w:sz="0" w:space="0" w:color="auto"/>
        <w:left w:val="none" w:sz="0" w:space="0" w:color="auto"/>
        <w:bottom w:val="none" w:sz="0" w:space="0" w:color="auto"/>
        <w:right w:val="none" w:sz="0" w:space="0" w:color="auto"/>
      </w:divBdr>
    </w:div>
    <w:div w:id="1112093500">
      <w:bodyDiv w:val="1"/>
      <w:marLeft w:val="0"/>
      <w:marRight w:val="0"/>
      <w:marTop w:val="0"/>
      <w:marBottom w:val="0"/>
      <w:divBdr>
        <w:top w:val="none" w:sz="0" w:space="0" w:color="auto"/>
        <w:left w:val="none" w:sz="0" w:space="0" w:color="auto"/>
        <w:bottom w:val="none" w:sz="0" w:space="0" w:color="auto"/>
        <w:right w:val="none" w:sz="0" w:space="0" w:color="auto"/>
      </w:divBdr>
    </w:div>
    <w:div w:id="1122308113">
      <w:bodyDiv w:val="1"/>
      <w:marLeft w:val="0"/>
      <w:marRight w:val="0"/>
      <w:marTop w:val="0"/>
      <w:marBottom w:val="0"/>
      <w:divBdr>
        <w:top w:val="none" w:sz="0" w:space="0" w:color="auto"/>
        <w:left w:val="none" w:sz="0" w:space="0" w:color="auto"/>
        <w:bottom w:val="none" w:sz="0" w:space="0" w:color="auto"/>
        <w:right w:val="none" w:sz="0" w:space="0" w:color="auto"/>
      </w:divBdr>
    </w:div>
    <w:div w:id="1129125489">
      <w:bodyDiv w:val="1"/>
      <w:marLeft w:val="0"/>
      <w:marRight w:val="0"/>
      <w:marTop w:val="0"/>
      <w:marBottom w:val="0"/>
      <w:divBdr>
        <w:top w:val="none" w:sz="0" w:space="0" w:color="auto"/>
        <w:left w:val="none" w:sz="0" w:space="0" w:color="auto"/>
        <w:bottom w:val="none" w:sz="0" w:space="0" w:color="auto"/>
        <w:right w:val="none" w:sz="0" w:space="0" w:color="auto"/>
      </w:divBdr>
    </w:div>
    <w:div w:id="1147354451">
      <w:bodyDiv w:val="1"/>
      <w:marLeft w:val="0"/>
      <w:marRight w:val="0"/>
      <w:marTop w:val="0"/>
      <w:marBottom w:val="0"/>
      <w:divBdr>
        <w:top w:val="none" w:sz="0" w:space="0" w:color="auto"/>
        <w:left w:val="none" w:sz="0" w:space="0" w:color="auto"/>
        <w:bottom w:val="none" w:sz="0" w:space="0" w:color="auto"/>
        <w:right w:val="none" w:sz="0" w:space="0" w:color="auto"/>
      </w:divBdr>
    </w:div>
    <w:div w:id="1165123830">
      <w:bodyDiv w:val="1"/>
      <w:marLeft w:val="0"/>
      <w:marRight w:val="0"/>
      <w:marTop w:val="0"/>
      <w:marBottom w:val="0"/>
      <w:divBdr>
        <w:top w:val="none" w:sz="0" w:space="0" w:color="auto"/>
        <w:left w:val="none" w:sz="0" w:space="0" w:color="auto"/>
        <w:bottom w:val="none" w:sz="0" w:space="0" w:color="auto"/>
        <w:right w:val="none" w:sz="0" w:space="0" w:color="auto"/>
      </w:divBdr>
    </w:div>
    <w:div w:id="1172648206">
      <w:bodyDiv w:val="1"/>
      <w:marLeft w:val="0"/>
      <w:marRight w:val="0"/>
      <w:marTop w:val="0"/>
      <w:marBottom w:val="0"/>
      <w:divBdr>
        <w:top w:val="none" w:sz="0" w:space="0" w:color="auto"/>
        <w:left w:val="none" w:sz="0" w:space="0" w:color="auto"/>
        <w:bottom w:val="none" w:sz="0" w:space="0" w:color="auto"/>
        <w:right w:val="none" w:sz="0" w:space="0" w:color="auto"/>
      </w:divBdr>
    </w:div>
    <w:div w:id="1193762874">
      <w:bodyDiv w:val="1"/>
      <w:marLeft w:val="0"/>
      <w:marRight w:val="0"/>
      <w:marTop w:val="0"/>
      <w:marBottom w:val="0"/>
      <w:divBdr>
        <w:top w:val="none" w:sz="0" w:space="0" w:color="auto"/>
        <w:left w:val="none" w:sz="0" w:space="0" w:color="auto"/>
        <w:bottom w:val="none" w:sz="0" w:space="0" w:color="auto"/>
        <w:right w:val="none" w:sz="0" w:space="0" w:color="auto"/>
      </w:divBdr>
    </w:div>
    <w:div w:id="1196848803">
      <w:bodyDiv w:val="1"/>
      <w:marLeft w:val="0"/>
      <w:marRight w:val="0"/>
      <w:marTop w:val="0"/>
      <w:marBottom w:val="0"/>
      <w:divBdr>
        <w:top w:val="none" w:sz="0" w:space="0" w:color="auto"/>
        <w:left w:val="none" w:sz="0" w:space="0" w:color="auto"/>
        <w:bottom w:val="none" w:sz="0" w:space="0" w:color="auto"/>
        <w:right w:val="none" w:sz="0" w:space="0" w:color="auto"/>
      </w:divBdr>
    </w:div>
    <w:div w:id="1283809455">
      <w:bodyDiv w:val="1"/>
      <w:marLeft w:val="0"/>
      <w:marRight w:val="0"/>
      <w:marTop w:val="0"/>
      <w:marBottom w:val="0"/>
      <w:divBdr>
        <w:top w:val="none" w:sz="0" w:space="0" w:color="auto"/>
        <w:left w:val="none" w:sz="0" w:space="0" w:color="auto"/>
        <w:bottom w:val="none" w:sz="0" w:space="0" w:color="auto"/>
        <w:right w:val="none" w:sz="0" w:space="0" w:color="auto"/>
      </w:divBdr>
    </w:div>
    <w:div w:id="1324813574">
      <w:bodyDiv w:val="1"/>
      <w:marLeft w:val="0"/>
      <w:marRight w:val="0"/>
      <w:marTop w:val="0"/>
      <w:marBottom w:val="0"/>
      <w:divBdr>
        <w:top w:val="none" w:sz="0" w:space="0" w:color="auto"/>
        <w:left w:val="none" w:sz="0" w:space="0" w:color="auto"/>
        <w:bottom w:val="none" w:sz="0" w:space="0" w:color="auto"/>
        <w:right w:val="none" w:sz="0" w:space="0" w:color="auto"/>
      </w:divBdr>
    </w:div>
    <w:div w:id="1399598451">
      <w:bodyDiv w:val="1"/>
      <w:marLeft w:val="0"/>
      <w:marRight w:val="0"/>
      <w:marTop w:val="0"/>
      <w:marBottom w:val="0"/>
      <w:divBdr>
        <w:top w:val="none" w:sz="0" w:space="0" w:color="auto"/>
        <w:left w:val="none" w:sz="0" w:space="0" w:color="auto"/>
        <w:bottom w:val="none" w:sz="0" w:space="0" w:color="auto"/>
        <w:right w:val="none" w:sz="0" w:space="0" w:color="auto"/>
      </w:divBdr>
    </w:div>
    <w:div w:id="1403022517">
      <w:bodyDiv w:val="1"/>
      <w:marLeft w:val="0"/>
      <w:marRight w:val="0"/>
      <w:marTop w:val="0"/>
      <w:marBottom w:val="0"/>
      <w:divBdr>
        <w:top w:val="none" w:sz="0" w:space="0" w:color="auto"/>
        <w:left w:val="none" w:sz="0" w:space="0" w:color="auto"/>
        <w:bottom w:val="none" w:sz="0" w:space="0" w:color="auto"/>
        <w:right w:val="none" w:sz="0" w:space="0" w:color="auto"/>
      </w:divBdr>
    </w:div>
    <w:div w:id="1403874235">
      <w:bodyDiv w:val="1"/>
      <w:marLeft w:val="0"/>
      <w:marRight w:val="0"/>
      <w:marTop w:val="0"/>
      <w:marBottom w:val="0"/>
      <w:divBdr>
        <w:top w:val="none" w:sz="0" w:space="0" w:color="auto"/>
        <w:left w:val="none" w:sz="0" w:space="0" w:color="auto"/>
        <w:bottom w:val="none" w:sz="0" w:space="0" w:color="auto"/>
        <w:right w:val="none" w:sz="0" w:space="0" w:color="auto"/>
      </w:divBdr>
    </w:div>
    <w:div w:id="1412042483">
      <w:bodyDiv w:val="1"/>
      <w:marLeft w:val="0"/>
      <w:marRight w:val="0"/>
      <w:marTop w:val="0"/>
      <w:marBottom w:val="0"/>
      <w:divBdr>
        <w:top w:val="none" w:sz="0" w:space="0" w:color="auto"/>
        <w:left w:val="none" w:sz="0" w:space="0" w:color="auto"/>
        <w:bottom w:val="none" w:sz="0" w:space="0" w:color="auto"/>
        <w:right w:val="none" w:sz="0" w:space="0" w:color="auto"/>
      </w:divBdr>
    </w:div>
    <w:div w:id="1418401351">
      <w:bodyDiv w:val="1"/>
      <w:marLeft w:val="0"/>
      <w:marRight w:val="0"/>
      <w:marTop w:val="0"/>
      <w:marBottom w:val="0"/>
      <w:divBdr>
        <w:top w:val="none" w:sz="0" w:space="0" w:color="auto"/>
        <w:left w:val="none" w:sz="0" w:space="0" w:color="auto"/>
        <w:bottom w:val="none" w:sz="0" w:space="0" w:color="auto"/>
        <w:right w:val="none" w:sz="0" w:space="0" w:color="auto"/>
      </w:divBdr>
    </w:div>
    <w:div w:id="1438793242">
      <w:bodyDiv w:val="1"/>
      <w:marLeft w:val="0"/>
      <w:marRight w:val="0"/>
      <w:marTop w:val="0"/>
      <w:marBottom w:val="0"/>
      <w:divBdr>
        <w:top w:val="none" w:sz="0" w:space="0" w:color="auto"/>
        <w:left w:val="none" w:sz="0" w:space="0" w:color="auto"/>
        <w:bottom w:val="none" w:sz="0" w:space="0" w:color="auto"/>
        <w:right w:val="none" w:sz="0" w:space="0" w:color="auto"/>
      </w:divBdr>
    </w:div>
    <w:div w:id="1467241067">
      <w:bodyDiv w:val="1"/>
      <w:marLeft w:val="0"/>
      <w:marRight w:val="0"/>
      <w:marTop w:val="0"/>
      <w:marBottom w:val="0"/>
      <w:divBdr>
        <w:top w:val="none" w:sz="0" w:space="0" w:color="auto"/>
        <w:left w:val="none" w:sz="0" w:space="0" w:color="auto"/>
        <w:bottom w:val="none" w:sz="0" w:space="0" w:color="auto"/>
        <w:right w:val="none" w:sz="0" w:space="0" w:color="auto"/>
      </w:divBdr>
    </w:div>
    <w:div w:id="1480686249">
      <w:bodyDiv w:val="1"/>
      <w:marLeft w:val="0"/>
      <w:marRight w:val="0"/>
      <w:marTop w:val="0"/>
      <w:marBottom w:val="0"/>
      <w:divBdr>
        <w:top w:val="none" w:sz="0" w:space="0" w:color="auto"/>
        <w:left w:val="none" w:sz="0" w:space="0" w:color="auto"/>
        <w:bottom w:val="none" w:sz="0" w:space="0" w:color="auto"/>
        <w:right w:val="none" w:sz="0" w:space="0" w:color="auto"/>
      </w:divBdr>
    </w:div>
    <w:div w:id="1516768255">
      <w:bodyDiv w:val="1"/>
      <w:marLeft w:val="0"/>
      <w:marRight w:val="0"/>
      <w:marTop w:val="0"/>
      <w:marBottom w:val="0"/>
      <w:divBdr>
        <w:top w:val="none" w:sz="0" w:space="0" w:color="auto"/>
        <w:left w:val="none" w:sz="0" w:space="0" w:color="auto"/>
        <w:bottom w:val="none" w:sz="0" w:space="0" w:color="auto"/>
        <w:right w:val="none" w:sz="0" w:space="0" w:color="auto"/>
      </w:divBdr>
    </w:div>
    <w:div w:id="1542984692">
      <w:bodyDiv w:val="1"/>
      <w:marLeft w:val="0"/>
      <w:marRight w:val="0"/>
      <w:marTop w:val="0"/>
      <w:marBottom w:val="0"/>
      <w:divBdr>
        <w:top w:val="none" w:sz="0" w:space="0" w:color="auto"/>
        <w:left w:val="none" w:sz="0" w:space="0" w:color="auto"/>
        <w:bottom w:val="none" w:sz="0" w:space="0" w:color="auto"/>
        <w:right w:val="none" w:sz="0" w:space="0" w:color="auto"/>
      </w:divBdr>
    </w:div>
    <w:div w:id="1568803256">
      <w:bodyDiv w:val="1"/>
      <w:marLeft w:val="0"/>
      <w:marRight w:val="0"/>
      <w:marTop w:val="0"/>
      <w:marBottom w:val="0"/>
      <w:divBdr>
        <w:top w:val="none" w:sz="0" w:space="0" w:color="auto"/>
        <w:left w:val="none" w:sz="0" w:space="0" w:color="auto"/>
        <w:bottom w:val="none" w:sz="0" w:space="0" w:color="auto"/>
        <w:right w:val="none" w:sz="0" w:space="0" w:color="auto"/>
      </w:divBdr>
    </w:div>
    <w:div w:id="1575822563">
      <w:bodyDiv w:val="1"/>
      <w:marLeft w:val="0"/>
      <w:marRight w:val="0"/>
      <w:marTop w:val="0"/>
      <w:marBottom w:val="0"/>
      <w:divBdr>
        <w:top w:val="none" w:sz="0" w:space="0" w:color="auto"/>
        <w:left w:val="none" w:sz="0" w:space="0" w:color="auto"/>
        <w:bottom w:val="none" w:sz="0" w:space="0" w:color="auto"/>
        <w:right w:val="none" w:sz="0" w:space="0" w:color="auto"/>
      </w:divBdr>
      <w:divsChild>
        <w:div w:id="1823230577">
          <w:marLeft w:val="0"/>
          <w:marRight w:val="0"/>
          <w:marTop w:val="0"/>
          <w:marBottom w:val="0"/>
          <w:divBdr>
            <w:top w:val="none" w:sz="0" w:space="0" w:color="auto"/>
            <w:left w:val="none" w:sz="0" w:space="0" w:color="auto"/>
            <w:bottom w:val="none" w:sz="0" w:space="0" w:color="auto"/>
            <w:right w:val="none" w:sz="0" w:space="0" w:color="auto"/>
          </w:divBdr>
          <w:divsChild>
            <w:div w:id="1013452530">
              <w:marLeft w:val="0"/>
              <w:marRight w:val="0"/>
              <w:marTop w:val="0"/>
              <w:marBottom w:val="0"/>
              <w:divBdr>
                <w:top w:val="none" w:sz="0" w:space="0" w:color="auto"/>
                <w:left w:val="none" w:sz="0" w:space="0" w:color="auto"/>
                <w:bottom w:val="none" w:sz="0" w:space="0" w:color="auto"/>
                <w:right w:val="none" w:sz="0" w:space="0" w:color="auto"/>
              </w:divBdr>
              <w:divsChild>
                <w:div w:id="7724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8094">
      <w:bodyDiv w:val="1"/>
      <w:marLeft w:val="0"/>
      <w:marRight w:val="0"/>
      <w:marTop w:val="0"/>
      <w:marBottom w:val="0"/>
      <w:divBdr>
        <w:top w:val="none" w:sz="0" w:space="0" w:color="auto"/>
        <w:left w:val="none" w:sz="0" w:space="0" w:color="auto"/>
        <w:bottom w:val="none" w:sz="0" w:space="0" w:color="auto"/>
        <w:right w:val="none" w:sz="0" w:space="0" w:color="auto"/>
      </w:divBdr>
    </w:div>
    <w:div w:id="1628272498">
      <w:bodyDiv w:val="1"/>
      <w:marLeft w:val="0"/>
      <w:marRight w:val="0"/>
      <w:marTop w:val="0"/>
      <w:marBottom w:val="0"/>
      <w:divBdr>
        <w:top w:val="none" w:sz="0" w:space="0" w:color="auto"/>
        <w:left w:val="none" w:sz="0" w:space="0" w:color="auto"/>
        <w:bottom w:val="none" w:sz="0" w:space="0" w:color="auto"/>
        <w:right w:val="none" w:sz="0" w:space="0" w:color="auto"/>
      </w:divBdr>
    </w:div>
    <w:div w:id="1634403178">
      <w:bodyDiv w:val="1"/>
      <w:marLeft w:val="0"/>
      <w:marRight w:val="0"/>
      <w:marTop w:val="0"/>
      <w:marBottom w:val="0"/>
      <w:divBdr>
        <w:top w:val="none" w:sz="0" w:space="0" w:color="auto"/>
        <w:left w:val="none" w:sz="0" w:space="0" w:color="auto"/>
        <w:bottom w:val="none" w:sz="0" w:space="0" w:color="auto"/>
        <w:right w:val="none" w:sz="0" w:space="0" w:color="auto"/>
      </w:divBdr>
    </w:div>
    <w:div w:id="1695882887">
      <w:bodyDiv w:val="1"/>
      <w:marLeft w:val="0"/>
      <w:marRight w:val="0"/>
      <w:marTop w:val="0"/>
      <w:marBottom w:val="0"/>
      <w:divBdr>
        <w:top w:val="none" w:sz="0" w:space="0" w:color="auto"/>
        <w:left w:val="none" w:sz="0" w:space="0" w:color="auto"/>
        <w:bottom w:val="none" w:sz="0" w:space="0" w:color="auto"/>
        <w:right w:val="none" w:sz="0" w:space="0" w:color="auto"/>
      </w:divBdr>
    </w:div>
    <w:div w:id="1702710007">
      <w:bodyDiv w:val="1"/>
      <w:marLeft w:val="0"/>
      <w:marRight w:val="0"/>
      <w:marTop w:val="0"/>
      <w:marBottom w:val="0"/>
      <w:divBdr>
        <w:top w:val="none" w:sz="0" w:space="0" w:color="auto"/>
        <w:left w:val="none" w:sz="0" w:space="0" w:color="auto"/>
        <w:bottom w:val="none" w:sz="0" w:space="0" w:color="auto"/>
        <w:right w:val="none" w:sz="0" w:space="0" w:color="auto"/>
      </w:divBdr>
    </w:div>
    <w:div w:id="1713309325">
      <w:bodyDiv w:val="1"/>
      <w:marLeft w:val="0"/>
      <w:marRight w:val="0"/>
      <w:marTop w:val="0"/>
      <w:marBottom w:val="0"/>
      <w:divBdr>
        <w:top w:val="none" w:sz="0" w:space="0" w:color="auto"/>
        <w:left w:val="none" w:sz="0" w:space="0" w:color="auto"/>
        <w:bottom w:val="none" w:sz="0" w:space="0" w:color="auto"/>
        <w:right w:val="none" w:sz="0" w:space="0" w:color="auto"/>
      </w:divBdr>
    </w:div>
    <w:div w:id="1737169005">
      <w:bodyDiv w:val="1"/>
      <w:marLeft w:val="0"/>
      <w:marRight w:val="0"/>
      <w:marTop w:val="0"/>
      <w:marBottom w:val="0"/>
      <w:divBdr>
        <w:top w:val="none" w:sz="0" w:space="0" w:color="auto"/>
        <w:left w:val="none" w:sz="0" w:space="0" w:color="auto"/>
        <w:bottom w:val="none" w:sz="0" w:space="0" w:color="auto"/>
        <w:right w:val="none" w:sz="0" w:space="0" w:color="auto"/>
      </w:divBdr>
    </w:div>
    <w:div w:id="1738548796">
      <w:bodyDiv w:val="1"/>
      <w:marLeft w:val="0"/>
      <w:marRight w:val="0"/>
      <w:marTop w:val="0"/>
      <w:marBottom w:val="0"/>
      <w:divBdr>
        <w:top w:val="none" w:sz="0" w:space="0" w:color="auto"/>
        <w:left w:val="none" w:sz="0" w:space="0" w:color="auto"/>
        <w:bottom w:val="none" w:sz="0" w:space="0" w:color="auto"/>
        <w:right w:val="none" w:sz="0" w:space="0" w:color="auto"/>
      </w:divBdr>
    </w:div>
    <w:div w:id="1747452803">
      <w:bodyDiv w:val="1"/>
      <w:marLeft w:val="0"/>
      <w:marRight w:val="0"/>
      <w:marTop w:val="0"/>
      <w:marBottom w:val="0"/>
      <w:divBdr>
        <w:top w:val="none" w:sz="0" w:space="0" w:color="auto"/>
        <w:left w:val="none" w:sz="0" w:space="0" w:color="auto"/>
        <w:bottom w:val="none" w:sz="0" w:space="0" w:color="auto"/>
        <w:right w:val="none" w:sz="0" w:space="0" w:color="auto"/>
      </w:divBdr>
    </w:div>
    <w:div w:id="1778676156">
      <w:bodyDiv w:val="1"/>
      <w:marLeft w:val="0"/>
      <w:marRight w:val="0"/>
      <w:marTop w:val="0"/>
      <w:marBottom w:val="0"/>
      <w:divBdr>
        <w:top w:val="none" w:sz="0" w:space="0" w:color="auto"/>
        <w:left w:val="none" w:sz="0" w:space="0" w:color="auto"/>
        <w:bottom w:val="none" w:sz="0" w:space="0" w:color="auto"/>
        <w:right w:val="none" w:sz="0" w:space="0" w:color="auto"/>
      </w:divBdr>
    </w:div>
    <w:div w:id="1784302039">
      <w:bodyDiv w:val="1"/>
      <w:marLeft w:val="0"/>
      <w:marRight w:val="0"/>
      <w:marTop w:val="0"/>
      <w:marBottom w:val="0"/>
      <w:divBdr>
        <w:top w:val="none" w:sz="0" w:space="0" w:color="auto"/>
        <w:left w:val="none" w:sz="0" w:space="0" w:color="auto"/>
        <w:bottom w:val="none" w:sz="0" w:space="0" w:color="auto"/>
        <w:right w:val="none" w:sz="0" w:space="0" w:color="auto"/>
      </w:divBdr>
    </w:div>
    <w:div w:id="1797333266">
      <w:bodyDiv w:val="1"/>
      <w:marLeft w:val="0"/>
      <w:marRight w:val="0"/>
      <w:marTop w:val="0"/>
      <w:marBottom w:val="0"/>
      <w:divBdr>
        <w:top w:val="none" w:sz="0" w:space="0" w:color="auto"/>
        <w:left w:val="none" w:sz="0" w:space="0" w:color="auto"/>
        <w:bottom w:val="none" w:sz="0" w:space="0" w:color="auto"/>
        <w:right w:val="none" w:sz="0" w:space="0" w:color="auto"/>
      </w:divBdr>
    </w:div>
    <w:div w:id="1812939080">
      <w:bodyDiv w:val="1"/>
      <w:marLeft w:val="0"/>
      <w:marRight w:val="0"/>
      <w:marTop w:val="0"/>
      <w:marBottom w:val="0"/>
      <w:divBdr>
        <w:top w:val="none" w:sz="0" w:space="0" w:color="auto"/>
        <w:left w:val="none" w:sz="0" w:space="0" w:color="auto"/>
        <w:bottom w:val="none" w:sz="0" w:space="0" w:color="auto"/>
        <w:right w:val="none" w:sz="0" w:space="0" w:color="auto"/>
      </w:divBdr>
    </w:div>
    <w:div w:id="1823816899">
      <w:bodyDiv w:val="1"/>
      <w:marLeft w:val="0"/>
      <w:marRight w:val="0"/>
      <w:marTop w:val="0"/>
      <w:marBottom w:val="0"/>
      <w:divBdr>
        <w:top w:val="none" w:sz="0" w:space="0" w:color="auto"/>
        <w:left w:val="none" w:sz="0" w:space="0" w:color="auto"/>
        <w:bottom w:val="none" w:sz="0" w:space="0" w:color="auto"/>
        <w:right w:val="none" w:sz="0" w:space="0" w:color="auto"/>
      </w:divBdr>
    </w:div>
    <w:div w:id="1825125565">
      <w:bodyDiv w:val="1"/>
      <w:marLeft w:val="0"/>
      <w:marRight w:val="0"/>
      <w:marTop w:val="0"/>
      <w:marBottom w:val="0"/>
      <w:divBdr>
        <w:top w:val="none" w:sz="0" w:space="0" w:color="auto"/>
        <w:left w:val="none" w:sz="0" w:space="0" w:color="auto"/>
        <w:bottom w:val="none" w:sz="0" w:space="0" w:color="auto"/>
        <w:right w:val="none" w:sz="0" w:space="0" w:color="auto"/>
      </w:divBdr>
    </w:div>
    <w:div w:id="1848590262">
      <w:bodyDiv w:val="1"/>
      <w:marLeft w:val="0"/>
      <w:marRight w:val="0"/>
      <w:marTop w:val="0"/>
      <w:marBottom w:val="0"/>
      <w:divBdr>
        <w:top w:val="none" w:sz="0" w:space="0" w:color="auto"/>
        <w:left w:val="none" w:sz="0" w:space="0" w:color="auto"/>
        <w:bottom w:val="none" w:sz="0" w:space="0" w:color="auto"/>
        <w:right w:val="none" w:sz="0" w:space="0" w:color="auto"/>
      </w:divBdr>
    </w:div>
    <w:div w:id="1855339447">
      <w:bodyDiv w:val="1"/>
      <w:marLeft w:val="0"/>
      <w:marRight w:val="0"/>
      <w:marTop w:val="0"/>
      <w:marBottom w:val="0"/>
      <w:divBdr>
        <w:top w:val="none" w:sz="0" w:space="0" w:color="auto"/>
        <w:left w:val="none" w:sz="0" w:space="0" w:color="auto"/>
        <w:bottom w:val="none" w:sz="0" w:space="0" w:color="auto"/>
        <w:right w:val="none" w:sz="0" w:space="0" w:color="auto"/>
      </w:divBdr>
    </w:div>
    <w:div w:id="1875120465">
      <w:bodyDiv w:val="1"/>
      <w:marLeft w:val="0"/>
      <w:marRight w:val="0"/>
      <w:marTop w:val="0"/>
      <w:marBottom w:val="0"/>
      <w:divBdr>
        <w:top w:val="none" w:sz="0" w:space="0" w:color="auto"/>
        <w:left w:val="none" w:sz="0" w:space="0" w:color="auto"/>
        <w:bottom w:val="none" w:sz="0" w:space="0" w:color="auto"/>
        <w:right w:val="none" w:sz="0" w:space="0" w:color="auto"/>
      </w:divBdr>
    </w:div>
    <w:div w:id="1947037108">
      <w:bodyDiv w:val="1"/>
      <w:marLeft w:val="0"/>
      <w:marRight w:val="0"/>
      <w:marTop w:val="0"/>
      <w:marBottom w:val="0"/>
      <w:divBdr>
        <w:top w:val="none" w:sz="0" w:space="0" w:color="auto"/>
        <w:left w:val="none" w:sz="0" w:space="0" w:color="auto"/>
        <w:bottom w:val="none" w:sz="0" w:space="0" w:color="auto"/>
        <w:right w:val="none" w:sz="0" w:space="0" w:color="auto"/>
      </w:divBdr>
    </w:div>
    <w:div w:id="1978993619">
      <w:bodyDiv w:val="1"/>
      <w:marLeft w:val="0"/>
      <w:marRight w:val="0"/>
      <w:marTop w:val="0"/>
      <w:marBottom w:val="0"/>
      <w:divBdr>
        <w:top w:val="none" w:sz="0" w:space="0" w:color="auto"/>
        <w:left w:val="none" w:sz="0" w:space="0" w:color="auto"/>
        <w:bottom w:val="none" w:sz="0" w:space="0" w:color="auto"/>
        <w:right w:val="none" w:sz="0" w:space="0" w:color="auto"/>
      </w:divBdr>
    </w:div>
    <w:div w:id="1986161419">
      <w:bodyDiv w:val="1"/>
      <w:marLeft w:val="0"/>
      <w:marRight w:val="0"/>
      <w:marTop w:val="0"/>
      <w:marBottom w:val="0"/>
      <w:divBdr>
        <w:top w:val="none" w:sz="0" w:space="0" w:color="auto"/>
        <w:left w:val="none" w:sz="0" w:space="0" w:color="auto"/>
        <w:bottom w:val="none" w:sz="0" w:space="0" w:color="auto"/>
        <w:right w:val="none" w:sz="0" w:space="0" w:color="auto"/>
      </w:divBdr>
    </w:div>
    <w:div w:id="1990402591">
      <w:bodyDiv w:val="1"/>
      <w:marLeft w:val="0"/>
      <w:marRight w:val="0"/>
      <w:marTop w:val="0"/>
      <w:marBottom w:val="0"/>
      <w:divBdr>
        <w:top w:val="none" w:sz="0" w:space="0" w:color="auto"/>
        <w:left w:val="none" w:sz="0" w:space="0" w:color="auto"/>
        <w:bottom w:val="none" w:sz="0" w:space="0" w:color="auto"/>
        <w:right w:val="none" w:sz="0" w:space="0" w:color="auto"/>
      </w:divBdr>
    </w:div>
    <w:div w:id="2021618329">
      <w:bodyDiv w:val="1"/>
      <w:marLeft w:val="0"/>
      <w:marRight w:val="0"/>
      <w:marTop w:val="0"/>
      <w:marBottom w:val="0"/>
      <w:divBdr>
        <w:top w:val="none" w:sz="0" w:space="0" w:color="auto"/>
        <w:left w:val="none" w:sz="0" w:space="0" w:color="auto"/>
        <w:bottom w:val="none" w:sz="0" w:space="0" w:color="auto"/>
        <w:right w:val="none" w:sz="0" w:space="0" w:color="auto"/>
      </w:divBdr>
    </w:div>
    <w:div w:id="2026705281">
      <w:bodyDiv w:val="1"/>
      <w:marLeft w:val="0"/>
      <w:marRight w:val="0"/>
      <w:marTop w:val="0"/>
      <w:marBottom w:val="0"/>
      <w:divBdr>
        <w:top w:val="none" w:sz="0" w:space="0" w:color="auto"/>
        <w:left w:val="none" w:sz="0" w:space="0" w:color="auto"/>
        <w:bottom w:val="none" w:sz="0" w:space="0" w:color="auto"/>
        <w:right w:val="none" w:sz="0" w:space="0" w:color="auto"/>
      </w:divBdr>
    </w:div>
    <w:div w:id="2060349649">
      <w:bodyDiv w:val="1"/>
      <w:marLeft w:val="0"/>
      <w:marRight w:val="0"/>
      <w:marTop w:val="0"/>
      <w:marBottom w:val="0"/>
      <w:divBdr>
        <w:top w:val="none" w:sz="0" w:space="0" w:color="auto"/>
        <w:left w:val="none" w:sz="0" w:space="0" w:color="auto"/>
        <w:bottom w:val="none" w:sz="0" w:space="0" w:color="auto"/>
        <w:right w:val="none" w:sz="0" w:space="0" w:color="auto"/>
      </w:divBdr>
    </w:div>
    <w:div w:id="2062361721">
      <w:bodyDiv w:val="1"/>
      <w:marLeft w:val="0"/>
      <w:marRight w:val="0"/>
      <w:marTop w:val="0"/>
      <w:marBottom w:val="0"/>
      <w:divBdr>
        <w:top w:val="none" w:sz="0" w:space="0" w:color="auto"/>
        <w:left w:val="none" w:sz="0" w:space="0" w:color="auto"/>
        <w:bottom w:val="none" w:sz="0" w:space="0" w:color="auto"/>
        <w:right w:val="none" w:sz="0" w:space="0" w:color="auto"/>
      </w:divBdr>
    </w:div>
    <w:div w:id="2073848161">
      <w:bodyDiv w:val="1"/>
      <w:marLeft w:val="0"/>
      <w:marRight w:val="0"/>
      <w:marTop w:val="0"/>
      <w:marBottom w:val="0"/>
      <w:divBdr>
        <w:top w:val="none" w:sz="0" w:space="0" w:color="auto"/>
        <w:left w:val="none" w:sz="0" w:space="0" w:color="auto"/>
        <w:bottom w:val="none" w:sz="0" w:space="0" w:color="auto"/>
        <w:right w:val="none" w:sz="0" w:space="0" w:color="auto"/>
      </w:divBdr>
    </w:div>
    <w:div w:id="2073963537">
      <w:bodyDiv w:val="1"/>
      <w:marLeft w:val="0"/>
      <w:marRight w:val="0"/>
      <w:marTop w:val="0"/>
      <w:marBottom w:val="0"/>
      <w:divBdr>
        <w:top w:val="none" w:sz="0" w:space="0" w:color="auto"/>
        <w:left w:val="none" w:sz="0" w:space="0" w:color="auto"/>
        <w:bottom w:val="none" w:sz="0" w:space="0" w:color="auto"/>
        <w:right w:val="none" w:sz="0" w:space="0" w:color="auto"/>
      </w:divBdr>
    </w:div>
    <w:div w:id="21274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a.Rudolf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CD2C-E9BF-4399-AF29-D4031F60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22110</Words>
  <Characters>12604</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Finanšu ministrija</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Informatīvā ziņojuma izziņa</dc:subject>
  <dc:creator>astra.rudolfa@fm.gov.lv</dc:creator>
  <cp:keywords>FMizz_280819_ES_fondi</cp:keywords>
  <dc:description/>
  <cp:lastModifiedBy>Astra Rūdolfa</cp:lastModifiedBy>
  <cp:revision>10</cp:revision>
  <cp:lastPrinted>2019-08-29T12:34:00Z</cp:lastPrinted>
  <dcterms:created xsi:type="dcterms:W3CDTF">2019-08-23T08:49:00Z</dcterms:created>
  <dcterms:modified xsi:type="dcterms:W3CDTF">2019-08-29T12:35:00Z</dcterms:modified>
</cp:coreProperties>
</file>