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DBF2A" w14:textId="77777777" w:rsidR="00E9331D" w:rsidRDefault="00E9331D" w:rsidP="002D5088">
      <w:pPr>
        <w:tabs>
          <w:tab w:val="left" w:pos="6804"/>
        </w:tabs>
        <w:rPr>
          <w:sz w:val="28"/>
          <w:szCs w:val="28"/>
        </w:rPr>
      </w:pPr>
    </w:p>
    <w:p w14:paraId="12ABD8EC" w14:textId="1A6285A5" w:rsidR="002D5088" w:rsidRPr="008C4EDF" w:rsidRDefault="002D5088" w:rsidP="002D5088">
      <w:pPr>
        <w:tabs>
          <w:tab w:val="left" w:pos="6804"/>
        </w:tabs>
        <w:rPr>
          <w:sz w:val="28"/>
          <w:szCs w:val="28"/>
        </w:rPr>
      </w:pPr>
      <w:r w:rsidRPr="008C4EDF">
        <w:rPr>
          <w:sz w:val="28"/>
          <w:szCs w:val="28"/>
        </w:rPr>
        <w:t>201</w:t>
      </w:r>
      <w:r>
        <w:rPr>
          <w:sz w:val="28"/>
          <w:szCs w:val="28"/>
        </w:rPr>
        <w:t>9</w:t>
      </w:r>
      <w:r w:rsidRPr="008C4EDF">
        <w:rPr>
          <w:sz w:val="28"/>
          <w:szCs w:val="28"/>
        </w:rPr>
        <w:t>.</w:t>
      </w:r>
      <w:r>
        <w:rPr>
          <w:sz w:val="28"/>
          <w:szCs w:val="28"/>
        </w:rPr>
        <w:t> </w:t>
      </w:r>
      <w:r w:rsidRPr="008C4EDF">
        <w:rPr>
          <w:sz w:val="28"/>
          <w:szCs w:val="28"/>
        </w:rPr>
        <w:t xml:space="preserve">gada </w:t>
      </w:r>
      <w:r>
        <w:rPr>
          <w:sz w:val="28"/>
          <w:szCs w:val="28"/>
        </w:rPr>
        <w:t xml:space="preserve">    </w:t>
      </w:r>
      <w:r w:rsidRPr="008C4EDF">
        <w:rPr>
          <w:sz w:val="28"/>
          <w:szCs w:val="28"/>
        </w:rPr>
        <w:tab/>
        <w:t>Noteikumi Nr.</w:t>
      </w:r>
      <w:r>
        <w:rPr>
          <w:sz w:val="28"/>
          <w:szCs w:val="28"/>
        </w:rPr>
        <w:t xml:space="preserve">    </w:t>
      </w:r>
    </w:p>
    <w:p w14:paraId="65AD9A4B" w14:textId="77777777" w:rsidR="002D5088" w:rsidRPr="00E9501F" w:rsidRDefault="002D5088" w:rsidP="002D5088">
      <w:pPr>
        <w:tabs>
          <w:tab w:val="left" w:pos="6804"/>
        </w:tabs>
        <w:rPr>
          <w:sz w:val="28"/>
          <w:szCs w:val="28"/>
        </w:rPr>
      </w:pPr>
      <w:r w:rsidRPr="00F5458C">
        <w:rPr>
          <w:sz w:val="28"/>
          <w:szCs w:val="28"/>
        </w:rPr>
        <w:t>Rīgā</w:t>
      </w:r>
      <w:r w:rsidRPr="00F5458C">
        <w:rPr>
          <w:sz w:val="28"/>
          <w:szCs w:val="28"/>
        </w:rPr>
        <w:tab/>
        <w:t>(prot. Nr.</w:t>
      </w:r>
      <w:r>
        <w:rPr>
          <w:sz w:val="28"/>
          <w:szCs w:val="28"/>
        </w:rPr>
        <w:t>           </w:t>
      </w:r>
      <w:r w:rsidRPr="00F5458C">
        <w:rPr>
          <w:sz w:val="28"/>
          <w:szCs w:val="28"/>
        </w:rPr>
        <w:t>.§)</w:t>
      </w:r>
    </w:p>
    <w:p w14:paraId="3B2605DC" w14:textId="710BFE34" w:rsidR="00785E64" w:rsidRPr="00242C98" w:rsidRDefault="00785E64" w:rsidP="002D5088">
      <w:pPr>
        <w:ind w:right="-1"/>
        <w:jc w:val="center"/>
        <w:rPr>
          <w:b/>
          <w:sz w:val="28"/>
          <w:szCs w:val="28"/>
        </w:rPr>
      </w:pPr>
    </w:p>
    <w:p w14:paraId="2E35DDEB" w14:textId="3777CB28" w:rsidR="002D5088" w:rsidRDefault="002D5088" w:rsidP="002D5088">
      <w:pPr>
        <w:jc w:val="center"/>
        <w:rPr>
          <w:sz w:val="28"/>
          <w:szCs w:val="28"/>
        </w:rPr>
      </w:pPr>
      <w:r w:rsidRPr="002C5A41">
        <w:rPr>
          <w:b/>
          <w:sz w:val="28"/>
          <w:szCs w:val="28"/>
        </w:rPr>
        <w:t>Grozījumi Ministru kabineta 2008.</w:t>
      </w:r>
      <w:r w:rsidR="00905852">
        <w:rPr>
          <w:b/>
          <w:sz w:val="28"/>
          <w:szCs w:val="28"/>
        </w:rPr>
        <w:t> </w:t>
      </w:r>
      <w:r w:rsidRPr="002C5A41">
        <w:rPr>
          <w:b/>
          <w:sz w:val="28"/>
          <w:szCs w:val="28"/>
        </w:rPr>
        <w:t>gada 26.</w:t>
      </w:r>
      <w:r w:rsidR="00905852">
        <w:rPr>
          <w:b/>
          <w:sz w:val="28"/>
          <w:szCs w:val="28"/>
        </w:rPr>
        <w:t> </w:t>
      </w:r>
      <w:r w:rsidRPr="002C5A41">
        <w:rPr>
          <w:b/>
          <w:sz w:val="28"/>
          <w:szCs w:val="28"/>
        </w:rPr>
        <w:t xml:space="preserve">februāra noteikumos Nr. 126 </w:t>
      </w:r>
      <w:r w:rsidRPr="00937B0D">
        <w:rPr>
          <w:b/>
          <w:sz w:val="28"/>
          <w:szCs w:val="28"/>
        </w:rPr>
        <w:t>″</w:t>
      </w:r>
      <w:r w:rsidRPr="002C5A41">
        <w:rPr>
          <w:b/>
          <w:sz w:val="28"/>
          <w:szCs w:val="28"/>
        </w:rPr>
        <w:t>Eiropas Ekonomikas zonas finanšu instrumenta un Norvēģijas valdības divpusējā finanšu instrumenta īstenošanas, uzraudzības, novērtēšanas un auditu veikšanas kārtība</w:t>
      </w:r>
      <w:r w:rsidRPr="00937B0D">
        <w:rPr>
          <w:b/>
          <w:sz w:val="28"/>
          <w:szCs w:val="28"/>
        </w:rPr>
        <w:t>″</w:t>
      </w:r>
    </w:p>
    <w:p w14:paraId="6C7EF6F5" w14:textId="77777777" w:rsidR="00785E64" w:rsidRDefault="00785E64" w:rsidP="002D5088">
      <w:pPr>
        <w:jc w:val="center"/>
        <w:rPr>
          <w:sz w:val="28"/>
          <w:szCs w:val="28"/>
        </w:rPr>
      </w:pPr>
    </w:p>
    <w:p w14:paraId="638F3ABD" w14:textId="77777777" w:rsidR="002D5088" w:rsidRPr="00B1583A" w:rsidRDefault="002D5088" w:rsidP="002D5088">
      <w:pPr>
        <w:jc w:val="right"/>
        <w:rPr>
          <w:sz w:val="28"/>
          <w:szCs w:val="28"/>
        </w:rPr>
      </w:pPr>
      <w:r>
        <w:rPr>
          <w:sz w:val="28"/>
          <w:szCs w:val="28"/>
        </w:rPr>
        <w:t>Izdoti saskaņā ar</w:t>
      </w:r>
    </w:p>
    <w:p w14:paraId="08CD519C" w14:textId="77777777" w:rsidR="002D5088" w:rsidRPr="002C5A41" w:rsidRDefault="002D5088" w:rsidP="002D5088">
      <w:pPr>
        <w:pStyle w:val="Title"/>
        <w:ind w:firstLine="709"/>
        <w:jc w:val="right"/>
        <w:outlineLvl w:val="0"/>
        <w:rPr>
          <w:bCs/>
          <w:szCs w:val="28"/>
        </w:rPr>
      </w:pPr>
      <w:r w:rsidRPr="002C5A41">
        <w:rPr>
          <w:bCs/>
          <w:szCs w:val="28"/>
        </w:rPr>
        <w:t xml:space="preserve">Eiropas Ekonomikas zonas finanšu instrumenta un </w:t>
      </w:r>
    </w:p>
    <w:p w14:paraId="47C08532" w14:textId="77777777" w:rsidR="002D5088" w:rsidRDefault="002D5088" w:rsidP="002D5088">
      <w:pPr>
        <w:pStyle w:val="Title"/>
        <w:ind w:firstLine="709"/>
        <w:jc w:val="right"/>
        <w:outlineLvl w:val="0"/>
        <w:rPr>
          <w:szCs w:val="28"/>
        </w:rPr>
      </w:pPr>
      <w:r w:rsidRPr="002C5A41">
        <w:rPr>
          <w:bCs/>
          <w:szCs w:val="28"/>
          <w:lang w:eastAsia="lv-LV"/>
        </w:rPr>
        <w:t>Norvēģijas valdības divpusējā finanšu instrumenta vadības likuma 18.</w:t>
      </w:r>
      <w:r w:rsidR="00905852">
        <w:rPr>
          <w:bCs/>
          <w:szCs w:val="28"/>
          <w:lang w:eastAsia="lv-LV"/>
        </w:rPr>
        <w:t> </w:t>
      </w:r>
      <w:r w:rsidRPr="002C5A41">
        <w:rPr>
          <w:bCs/>
          <w:szCs w:val="28"/>
          <w:lang w:eastAsia="lv-LV"/>
        </w:rPr>
        <w:t>panta 1.</w:t>
      </w:r>
      <w:r w:rsidR="00905852">
        <w:rPr>
          <w:bCs/>
          <w:szCs w:val="28"/>
          <w:lang w:eastAsia="lv-LV"/>
        </w:rPr>
        <w:t> </w:t>
      </w:r>
      <w:r w:rsidRPr="002C5A41">
        <w:rPr>
          <w:bCs/>
          <w:szCs w:val="28"/>
          <w:lang w:eastAsia="lv-LV"/>
        </w:rPr>
        <w:t>punkt</w:t>
      </w:r>
      <w:r>
        <w:rPr>
          <w:bCs/>
          <w:szCs w:val="28"/>
          <w:lang w:eastAsia="lv-LV"/>
        </w:rPr>
        <w:t>u</w:t>
      </w:r>
    </w:p>
    <w:p w14:paraId="278757CF" w14:textId="5A83B11B" w:rsidR="002D5088" w:rsidRDefault="002D5088" w:rsidP="002D5088">
      <w:pPr>
        <w:pStyle w:val="Title"/>
        <w:ind w:firstLine="709"/>
        <w:jc w:val="both"/>
        <w:outlineLvl w:val="0"/>
        <w:rPr>
          <w:szCs w:val="28"/>
        </w:rPr>
      </w:pPr>
    </w:p>
    <w:p w14:paraId="0E405C4C" w14:textId="3DE8EEC9" w:rsidR="002D5088" w:rsidRDefault="002D5088" w:rsidP="002D5088">
      <w:pPr>
        <w:pStyle w:val="Title"/>
        <w:ind w:firstLine="709"/>
        <w:jc w:val="both"/>
        <w:outlineLvl w:val="0"/>
      </w:pPr>
      <w:r w:rsidRPr="00420148">
        <w:t xml:space="preserve">Izdarīt </w:t>
      </w:r>
      <w:r w:rsidRPr="002C5A41">
        <w:t>Ministru kabineta 2008.</w:t>
      </w:r>
      <w:r w:rsidR="00905852">
        <w:t> </w:t>
      </w:r>
      <w:r w:rsidRPr="002C5A41">
        <w:t>gada 26.</w:t>
      </w:r>
      <w:r w:rsidR="00905852">
        <w:t> </w:t>
      </w:r>
      <w:r w:rsidRPr="002C5A41">
        <w:t xml:space="preserve">februāra noteikumos Nr. 126 </w:t>
      </w:r>
      <w:r w:rsidRPr="00937B0D">
        <w:t>″</w:t>
      </w:r>
      <w:r w:rsidRPr="002C5A41">
        <w:t>Eiropas Ekonomikas zonas finanšu instrumenta un Norvēģijas valdības divpusējā finanšu instrumenta īstenošanas, uzraudzības, novērtēšanas un auditu veikšanas kārtība</w:t>
      </w:r>
      <w:r w:rsidRPr="00937B0D">
        <w:t>″</w:t>
      </w:r>
      <w:r w:rsidRPr="002C5A41">
        <w:t xml:space="preserve"> </w:t>
      </w:r>
      <w:r w:rsidRPr="00420148">
        <w:t xml:space="preserve">(Latvijas Vēstnesis, </w:t>
      </w:r>
      <w:r w:rsidRPr="0042481B">
        <w:t>20</w:t>
      </w:r>
      <w:r>
        <w:t>08</w:t>
      </w:r>
      <w:r w:rsidRPr="0042481B">
        <w:t xml:space="preserve">, </w:t>
      </w:r>
      <w:r>
        <w:t>36</w:t>
      </w:r>
      <w:r w:rsidRPr="0042481B">
        <w:t>.</w:t>
      </w:r>
      <w:r>
        <w:t> nr.</w:t>
      </w:r>
      <w:r w:rsidR="00D152D4" w:rsidRPr="00D152D4">
        <w:t>; 2009, 4. nr.; 2012, 3. nr.</w:t>
      </w:r>
      <w:r w:rsidRPr="00420148">
        <w:t>) šādus grozījumus:</w:t>
      </w:r>
    </w:p>
    <w:p w14:paraId="562176A5" w14:textId="77777777" w:rsidR="002D5088" w:rsidRDefault="002D5088" w:rsidP="002D5088">
      <w:pPr>
        <w:pStyle w:val="Title"/>
        <w:ind w:firstLine="709"/>
        <w:jc w:val="both"/>
        <w:outlineLvl w:val="0"/>
      </w:pPr>
    </w:p>
    <w:p w14:paraId="5CD18A21" w14:textId="0DF86EE5" w:rsidR="002D5088" w:rsidRPr="008D30A7" w:rsidRDefault="00DC35C0" w:rsidP="002D5088">
      <w:pPr>
        <w:pStyle w:val="Title"/>
        <w:numPr>
          <w:ilvl w:val="0"/>
          <w:numId w:val="1"/>
        </w:numPr>
        <w:jc w:val="both"/>
        <w:outlineLvl w:val="0"/>
        <w:rPr>
          <w:szCs w:val="28"/>
        </w:rPr>
      </w:pPr>
      <w:r>
        <w:rPr>
          <w:szCs w:val="28"/>
        </w:rPr>
        <w:t>Svītrot 105.punkta pēdējo teikumu.</w:t>
      </w:r>
    </w:p>
    <w:p w14:paraId="45B2DA17" w14:textId="2C1DC091" w:rsidR="00B27106" w:rsidRDefault="00B27106" w:rsidP="00B27106">
      <w:pPr>
        <w:autoSpaceDE w:val="0"/>
        <w:autoSpaceDN w:val="0"/>
        <w:adjustRightInd w:val="0"/>
        <w:jc w:val="both"/>
        <w:rPr>
          <w:sz w:val="28"/>
          <w:szCs w:val="28"/>
        </w:rPr>
      </w:pPr>
    </w:p>
    <w:p w14:paraId="0C71557E" w14:textId="52945A0C" w:rsidR="00B27106" w:rsidRDefault="00B27106" w:rsidP="00B27106">
      <w:pPr>
        <w:pStyle w:val="ListParagraph"/>
        <w:numPr>
          <w:ilvl w:val="0"/>
          <w:numId w:val="1"/>
        </w:numPr>
        <w:autoSpaceDE w:val="0"/>
        <w:autoSpaceDN w:val="0"/>
        <w:adjustRightInd w:val="0"/>
        <w:jc w:val="both"/>
        <w:rPr>
          <w:sz w:val="28"/>
          <w:szCs w:val="28"/>
        </w:rPr>
      </w:pPr>
      <w:r>
        <w:rPr>
          <w:sz w:val="28"/>
          <w:szCs w:val="28"/>
        </w:rPr>
        <w:t>Papildināt noteikumus ar 105.</w:t>
      </w:r>
      <w:r w:rsidRPr="00B27106">
        <w:rPr>
          <w:sz w:val="28"/>
          <w:szCs w:val="28"/>
          <w:vertAlign w:val="superscript"/>
        </w:rPr>
        <w:t>1</w:t>
      </w:r>
      <w:r w:rsidR="00C2639F">
        <w:rPr>
          <w:sz w:val="28"/>
          <w:szCs w:val="28"/>
          <w:vertAlign w:val="superscript"/>
        </w:rPr>
        <w:t xml:space="preserve"> </w:t>
      </w:r>
      <w:r>
        <w:rPr>
          <w:sz w:val="28"/>
          <w:szCs w:val="28"/>
        </w:rPr>
        <w:t>punktu šādā redakcijā:</w:t>
      </w:r>
    </w:p>
    <w:p w14:paraId="2DBB15DE" w14:textId="1EA3B069" w:rsidR="00B27106" w:rsidRPr="00B27106" w:rsidRDefault="00B27106" w:rsidP="00B27106">
      <w:pPr>
        <w:pStyle w:val="ListParagraph"/>
        <w:autoSpaceDE w:val="0"/>
        <w:autoSpaceDN w:val="0"/>
        <w:adjustRightInd w:val="0"/>
        <w:ind w:left="0"/>
        <w:jc w:val="both"/>
        <w:rPr>
          <w:sz w:val="28"/>
          <w:szCs w:val="28"/>
        </w:rPr>
      </w:pPr>
      <w:r>
        <w:rPr>
          <w:sz w:val="28"/>
          <w:szCs w:val="28"/>
        </w:rPr>
        <w:t>“</w:t>
      </w:r>
      <w:r w:rsidR="00DB0341">
        <w:rPr>
          <w:sz w:val="28"/>
          <w:szCs w:val="28"/>
        </w:rPr>
        <w:t>105.</w:t>
      </w:r>
      <w:r w:rsidR="00DB0341" w:rsidRPr="00B27106">
        <w:rPr>
          <w:sz w:val="28"/>
          <w:szCs w:val="28"/>
          <w:vertAlign w:val="superscript"/>
        </w:rPr>
        <w:t>1</w:t>
      </w:r>
      <w:r w:rsidR="00DB0341">
        <w:rPr>
          <w:sz w:val="28"/>
          <w:szCs w:val="28"/>
          <w:vertAlign w:val="superscript"/>
        </w:rPr>
        <w:t xml:space="preserve"> </w:t>
      </w:r>
      <w:r w:rsidRPr="00B27106">
        <w:rPr>
          <w:sz w:val="28"/>
          <w:szCs w:val="28"/>
        </w:rPr>
        <w:t>Starpniekinstitūcija ir atbildīga par šo noteikumu 103.5.</w:t>
      </w:r>
      <w:r w:rsidR="00D06522">
        <w:rPr>
          <w:sz w:val="28"/>
          <w:szCs w:val="28"/>
        </w:rPr>
        <w:t xml:space="preserve"> </w:t>
      </w:r>
      <w:r w:rsidRPr="00B27106">
        <w:rPr>
          <w:sz w:val="28"/>
          <w:szCs w:val="28"/>
        </w:rPr>
        <w:t xml:space="preserve">apakšpunktā minētās kontroles nodrošināšanu saskaņā ar starpniekinstitūcijas izstrādātu kārtību par individuālo projektu, programmu un </w:t>
      </w:r>
      <w:proofErr w:type="spellStart"/>
      <w:r w:rsidRPr="00B27106">
        <w:rPr>
          <w:sz w:val="28"/>
          <w:szCs w:val="28"/>
        </w:rPr>
        <w:t>grantu</w:t>
      </w:r>
      <w:proofErr w:type="spellEnd"/>
      <w:r w:rsidRPr="00B27106">
        <w:rPr>
          <w:sz w:val="28"/>
          <w:szCs w:val="28"/>
        </w:rPr>
        <w:t xml:space="preserve"> shēmu uzraudzību pēc projekta pabeigšanas, balstoties uz starpniekinstitūcijas veiktu risku izvērtējumu. </w:t>
      </w:r>
      <w:r w:rsidR="00727A19" w:rsidRPr="00727A19">
        <w:rPr>
          <w:sz w:val="28"/>
          <w:szCs w:val="28"/>
        </w:rPr>
        <w:t>Starpniekinstitūcija informē vadošo iestādi par šo noteikumu 103.5. apakšpunktā minētās kontroles rezultātā konstatētu neatbilstību kārtībā, kādā sniedzami ziņojumi par Eiropas Ekonomikas zonas finanšu instrumenta un Norvēģijas valdības divpusējā finanšu instrumenta vadībā konstatētajām neatbilstībām un atgūstami neatbilstoši veiktie izdevumi.</w:t>
      </w:r>
      <w:r>
        <w:rPr>
          <w:sz w:val="28"/>
          <w:szCs w:val="28"/>
        </w:rPr>
        <w:t>”</w:t>
      </w:r>
      <w:r w:rsidR="00785E64">
        <w:rPr>
          <w:sz w:val="28"/>
          <w:szCs w:val="28"/>
        </w:rPr>
        <w:t>.</w:t>
      </w:r>
    </w:p>
    <w:p w14:paraId="22E3F95F" w14:textId="3268F304" w:rsidR="002D5088" w:rsidRPr="008D30A7" w:rsidRDefault="002D5088" w:rsidP="002D5088">
      <w:pPr>
        <w:pStyle w:val="Title"/>
        <w:ind w:left="142" w:firstLine="927"/>
        <w:jc w:val="both"/>
        <w:outlineLvl w:val="0"/>
        <w:rPr>
          <w:szCs w:val="28"/>
        </w:rPr>
      </w:pPr>
    </w:p>
    <w:p w14:paraId="2BF40C48" w14:textId="3687FE99" w:rsidR="009023EA" w:rsidRDefault="00B27106" w:rsidP="003D474A">
      <w:pPr>
        <w:pStyle w:val="Title"/>
        <w:ind w:firstLine="709"/>
        <w:jc w:val="both"/>
        <w:outlineLvl w:val="0"/>
      </w:pPr>
      <w:r>
        <w:t>3</w:t>
      </w:r>
      <w:r w:rsidR="002D5088">
        <w:t>.</w:t>
      </w:r>
      <w:r w:rsidR="002D5088" w:rsidRPr="00941D4E">
        <w:t xml:space="preserve"> </w:t>
      </w:r>
      <w:r w:rsidR="002D5088" w:rsidRPr="000E7300">
        <w:t>Svītrot 108.</w:t>
      </w:r>
      <w:r w:rsidR="002D5088">
        <w:t xml:space="preserve"> un 108.</w:t>
      </w:r>
      <w:r w:rsidR="002D5088" w:rsidRPr="007F0819">
        <w:rPr>
          <w:vertAlign w:val="superscript"/>
        </w:rPr>
        <w:t>1</w:t>
      </w:r>
      <w:r w:rsidR="002D5088" w:rsidRPr="000E7300">
        <w:t xml:space="preserve"> punkt</w:t>
      </w:r>
      <w:r w:rsidR="002D5088">
        <w:t>u.</w:t>
      </w:r>
    </w:p>
    <w:p w14:paraId="1A3F07E1" w14:textId="77777777" w:rsidR="003D474A" w:rsidRPr="003D474A" w:rsidRDefault="003D474A" w:rsidP="003D474A">
      <w:pPr>
        <w:pStyle w:val="Title"/>
        <w:ind w:firstLine="709"/>
        <w:jc w:val="both"/>
        <w:outlineLvl w:val="0"/>
      </w:pPr>
    </w:p>
    <w:p w14:paraId="2D923775" w14:textId="1A0410E4" w:rsidR="002D5088" w:rsidRDefault="002D5088" w:rsidP="002D5088">
      <w:pPr>
        <w:jc w:val="both"/>
        <w:rPr>
          <w:sz w:val="28"/>
          <w:szCs w:val="28"/>
        </w:rPr>
      </w:pPr>
    </w:p>
    <w:p w14:paraId="2908AD2F" w14:textId="77777777" w:rsidR="00FA4BC9" w:rsidRPr="00C514FD" w:rsidRDefault="00FA4BC9" w:rsidP="002D5088">
      <w:pPr>
        <w:jc w:val="both"/>
        <w:rPr>
          <w:sz w:val="28"/>
          <w:szCs w:val="28"/>
        </w:rPr>
      </w:pPr>
      <w:bookmarkStart w:id="0" w:name="_GoBack"/>
      <w:bookmarkEnd w:id="0"/>
    </w:p>
    <w:p w14:paraId="5D665181" w14:textId="77777777" w:rsidR="002D5088" w:rsidRPr="00C514FD" w:rsidRDefault="002D5088" w:rsidP="002D5088">
      <w:pPr>
        <w:pStyle w:val="naisf"/>
        <w:tabs>
          <w:tab w:val="left" w:pos="6521"/>
          <w:tab w:val="right" w:pos="8820"/>
        </w:tabs>
        <w:spacing w:before="0" w:after="0"/>
        <w:ind w:firstLine="709"/>
        <w:rPr>
          <w:sz w:val="28"/>
          <w:szCs w:val="28"/>
        </w:rPr>
      </w:pPr>
      <w:r w:rsidRPr="00C514FD">
        <w:rPr>
          <w:sz w:val="28"/>
          <w:szCs w:val="28"/>
        </w:rPr>
        <w:t>Ministru prezidents</w:t>
      </w:r>
      <w:r w:rsidRPr="00C514FD">
        <w:rPr>
          <w:sz w:val="28"/>
          <w:szCs w:val="28"/>
        </w:rPr>
        <w:tab/>
      </w:r>
      <w:r>
        <w:rPr>
          <w:sz w:val="28"/>
          <w:szCs w:val="28"/>
        </w:rPr>
        <w:t>A. K. Kariņš</w:t>
      </w:r>
    </w:p>
    <w:p w14:paraId="39519F13" w14:textId="77777777" w:rsidR="002D5088" w:rsidRPr="00C514FD" w:rsidRDefault="002D5088" w:rsidP="002D5088">
      <w:pPr>
        <w:pStyle w:val="naisf"/>
        <w:tabs>
          <w:tab w:val="right" w:pos="9000"/>
        </w:tabs>
        <w:spacing w:before="0" w:after="0"/>
        <w:ind w:firstLine="709"/>
        <w:rPr>
          <w:sz w:val="28"/>
          <w:szCs w:val="28"/>
        </w:rPr>
      </w:pPr>
    </w:p>
    <w:p w14:paraId="0B50743F" w14:textId="77777777" w:rsidR="002D5088" w:rsidRPr="00C514FD" w:rsidRDefault="002D5088" w:rsidP="002D5088">
      <w:pPr>
        <w:pStyle w:val="naisf"/>
        <w:tabs>
          <w:tab w:val="right" w:pos="9000"/>
        </w:tabs>
        <w:spacing w:before="0" w:after="0"/>
        <w:ind w:firstLine="709"/>
        <w:rPr>
          <w:sz w:val="28"/>
          <w:szCs w:val="28"/>
        </w:rPr>
      </w:pPr>
    </w:p>
    <w:p w14:paraId="28884E49" w14:textId="77777777" w:rsidR="002D5088" w:rsidRPr="00D7280B" w:rsidRDefault="002D5088" w:rsidP="002D5088">
      <w:pPr>
        <w:tabs>
          <w:tab w:val="left" w:pos="6521"/>
          <w:tab w:val="right" w:pos="8820"/>
        </w:tabs>
        <w:ind w:firstLine="709"/>
        <w:rPr>
          <w:sz w:val="28"/>
          <w:szCs w:val="28"/>
        </w:rPr>
      </w:pPr>
      <w:r>
        <w:rPr>
          <w:sz w:val="28"/>
          <w:szCs w:val="28"/>
        </w:rPr>
        <w:t>Finanšu ministrs</w:t>
      </w:r>
      <w:r>
        <w:rPr>
          <w:sz w:val="28"/>
          <w:szCs w:val="28"/>
        </w:rPr>
        <w:tab/>
        <w:t>J. Reirs</w:t>
      </w:r>
    </w:p>
    <w:p w14:paraId="102FFF3E" w14:textId="77777777" w:rsidR="002D5088" w:rsidRPr="007B2FDD" w:rsidRDefault="002D5088" w:rsidP="002D5088">
      <w:pPr>
        <w:tabs>
          <w:tab w:val="left" w:pos="2795"/>
        </w:tabs>
        <w:ind w:left="709" w:hanging="425"/>
        <w:rPr>
          <w:lang w:eastAsia="en-US"/>
        </w:rPr>
      </w:pPr>
    </w:p>
    <w:p w14:paraId="1C5FB442" w14:textId="77777777" w:rsidR="004557ED" w:rsidRPr="00B87682" w:rsidRDefault="004557ED"/>
    <w:sectPr w:rsidR="004557ED" w:rsidRPr="00B87682" w:rsidSect="00657FF3">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F7735" w14:textId="77777777" w:rsidR="0081261B" w:rsidRDefault="00905852">
      <w:r>
        <w:separator/>
      </w:r>
    </w:p>
  </w:endnote>
  <w:endnote w:type="continuationSeparator" w:id="0">
    <w:p w14:paraId="3ED44ED2" w14:textId="77777777" w:rsidR="0081261B" w:rsidRDefault="00905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9500A" w14:textId="67EB20F0" w:rsidR="002577C8" w:rsidRPr="00D546C5" w:rsidRDefault="002D5088" w:rsidP="00D546C5">
    <w:pPr>
      <w:pStyle w:val="Footer"/>
    </w:pPr>
    <w:r>
      <w:rPr>
        <w:sz w:val="20"/>
        <w:szCs w:val="20"/>
      </w:rPr>
      <w:t>FMnot_</w:t>
    </w:r>
    <w:r w:rsidR="00495D88">
      <w:rPr>
        <w:sz w:val="20"/>
        <w:szCs w:val="20"/>
      </w:rPr>
      <w:t>030719</w:t>
    </w:r>
    <w:r>
      <w:rPr>
        <w:sz w:val="20"/>
        <w:szCs w:val="20"/>
      </w:rPr>
      <w:t>_</w:t>
    </w:r>
    <w:r w:rsidR="005B16F8">
      <w:rPr>
        <w:sz w:val="20"/>
        <w:szCs w:val="20"/>
      </w:rPr>
      <w:t>126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3B22B" w14:textId="02E20CA0" w:rsidR="002577C8" w:rsidRPr="009F3EFB" w:rsidRDefault="002D5088">
    <w:pPr>
      <w:pStyle w:val="Footer"/>
      <w:rPr>
        <w:sz w:val="20"/>
        <w:szCs w:val="20"/>
      </w:rPr>
    </w:pPr>
    <w:r>
      <w:rPr>
        <w:sz w:val="20"/>
        <w:szCs w:val="20"/>
      </w:rPr>
      <w:t>FMnot_</w:t>
    </w:r>
    <w:r w:rsidR="00A04082">
      <w:rPr>
        <w:sz w:val="20"/>
        <w:szCs w:val="20"/>
      </w:rPr>
      <w:t>04</w:t>
    </w:r>
    <w:r w:rsidR="00EC4338">
      <w:rPr>
        <w:sz w:val="20"/>
        <w:szCs w:val="20"/>
      </w:rPr>
      <w:t>09</w:t>
    </w:r>
    <w:r w:rsidR="00495D88">
      <w:rPr>
        <w:sz w:val="20"/>
        <w:szCs w:val="20"/>
      </w:rPr>
      <w:t>19</w:t>
    </w:r>
    <w:r>
      <w:rPr>
        <w:sz w:val="20"/>
        <w:szCs w:val="20"/>
      </w:rPr>
      <w:t>_126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5F589" w14:textId="77777777" w:rsidR="0081261B" w:rsidRDefault="00905852">
      <w:r>
        <w:separator/>
      </w:r>
    </w:p>
  </w:footnote>
  <w:footnote w:type="continuationSeparator" w:id="0">
    <w:p w14:paraId="58CEA8F1" w14:textId="77777777" w:rsidR="0081261B" w:rsidRDefault="00905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5098333"/>
      <w:docPartObj>
        <w:docPartGallery w:val="Page Numbers (Top of Page)"/>
        <w:docPartUnique/>
      </w:docPartObj>
    </w:sdtPr>
    <w:sdtEndPr>
      <w:rPr>
        <w:noProof/>
      </w:rPr>
    </w:sdtEndPr>
    <w:sdtContent>
      <w:p w14:paraId="52D84913" w14:textId="071DE352" w:rsidR="002577C8" w:rsidRDefault="002D5088">
        <w:pPr>
          <w:pStyle w:val="Header"/>
          <w:jc w:val="center"/>
        </w:pPr>
        <w:r>
          <w:fldChar w:fldCharType="begin"/>
        </w:r>
        <w:r>
          <w:instrText xml:space="preserve"> PAGE   \* MERGEFORMAT </w:instrText>
        </w:r>
        <w:r>
          <w:fldChar w:fldCharType="separate"/>
        </w:r>
        <w:r w:rsidR="003D474A">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A19C8"/>
    <w:multiLevelType w:val="hybridMultilevel"/>
    <w:tmpl w:val="E2ECFB44"/>
    <w:lvl w:ilvl="0" w:tplc="BC76808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9C2"/>
    <w:rsid w:val="00035FA0"/>
    <w:rsid w:val="00044C10"/>
    <w:rsid w:val="00057E4F"/>
    <w:rsid w:val="000B141D"/>
    <w:rsid w:val="000C5AF0"/>
    <w:rsid w:val="001153AE"/>
    <w:rsid w:val="00136973"/>
    <w:rsid w:val="001E2134"/>
    <w:rsid w:val="002D5088"/>
    <w:rsid w:val="002E5F96"/>
    <w:rsid w:val="003434F5"/>
    <w:rsid w:val="00365028"/>
    <w:rsid w:val="003665D9"/>
    <w:rsid w:val="003D474A"/>
    <w:rsid w:val="004557ED"/>
    <w:rsid w:val="00495D88"/>
    <w:rsid w:val="004A4C58"/>
    <w:rsid w:val="004D07D1"/>
    <w:rsid w:val="005B16F8"/>
    <w:rsid w:val="00727594"/>
    <w:rsid w:val="00727A19"/>
    <w:rsid w:val="00785E64"/>
    <w:rsid w:val="00794413"/>
    <w:rsid w:val="00797023"/>
    <w:rsid w:val="008012FD"/>
    <w:rsid w:val="0081261B"/>
    <w:rsid w:val="008523F2"/>
    <w:rsid w:val="008D30A7"/>
    <w:rsid w:val="009023EA"/>
    <w:rsid w:val="00905852"/>
    <w:rsid w:val="009149C2"/>
    <w:rsid w:val="00A04082"/>
    <w:rsid w:val="00AF106D"/>
    <w:rsid w:val="00B27106"/>
    <w:rsid w:val="00B73A87"/>
    <w:rsid w:val="00B87682"/>
    <w:rsid w:val="00BE782D"/>
    <w:rsid w:val="00C2639F"/>
    <w:rsid w:val="00D06522"/>
    <w:rsid w:val="00D152D4"/>
    <w:rsid w:val="00D76A41"/>
    <w:rsid w:val="00D87FA3"/>
    <w:rsid w:val="00DB0341"/>
    <w:rsid w:val="00DC35C0"/>
    <w:rsid w:val="00E9331D"/>
    <w:rsid w:val="00EC4338"/>
    <w:rsid w:val="00F85261"/>
    <w:rsid w:val="00FA4B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B2F83"/>
  <w15:chartTrackingRefBased/>
  <w15:docId w15:val="{E07BC368-59C5-46FF-9F14-FB485F5F2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088"/>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D5088"/>
    <w:pPr>
      <w:jc w:val="center"/>
    </w:pPr>
    <w:rPr>
      <w:sz w:val="28"/>
      <w:szCs w:val="20"/>
      <w:lang w:eastAsia="en-US"/>
    </w:rPr>
  </w:style>
  <w:style w:type="character" w:customStyle="1" w:styleId="TitleChar">
    <w:name w:val="Title Char"/>
    <w:basedOn w:val="DefaultParagraphFont"/>
    <w:link w:val="Title"/>
    <w:rsid w:val="002D5088"/>
    <w:rPr>
      <w:rFonts w:ascii="Times New Roman" w:eastAsia="Times New Roman" w:hAnsi="Times New Roman" w:cs="Times New Roman"/>
      <w:sz w:val="28"/>
      <w:szCs w:val="20"/>
    </w:rPr>
  </w:style>
  <w:style w:type="paragraph" w:styleId="Footer">
    <w:name w:val="footer"/>
    <w:basedOn w:val="Normal"/>
    <w:link w:val="FooterChar"/>
    <w:uiPriority w:val="99"/>
    <w:rsid w:val="002D5088"/>
    <w:pPr>
      <w:tabs>
        <w:tab w:val="center" w:pos="4153"/>
        <w:tab w:val="right" w:pos="8306"/>
      </w:tabs>
    </w:pPr>
  </w:style>
  <w:style w:type="character" w:customStyle="1" w:styleId="FooterChar">
    <w:name w:val="Footer Char"/>
    <w:basedOn w:val="DefaultParagraphFont"/>
    <w:link w:val="Footer"/>
    <w:uiPriority w:val="99"/>
    <w:rsid w:val="002D5088"/>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2D5088"/>
    <w:pPr>
      <w:tabs>
        <w:tab w:val="center" w:pos="4153"/>
        <w:tab w:val="right" w:pos="8306"/>
      </w:tabs>
    </w:pPr>
  </w:style>
  <w:style w:type="character" w:customStyle="1" w:styleId="HeaderChar">
    <w:name w:val="Header Char"/>
    <w:basedOn w:val="DefaultParagraphFont"/>
    <w:link w:val="Header"/>
    <w:uiPriority w:val="99"/>
    <w:rsid w:val="002D5088"/>
    <w:rPr>
      <w:rFonts w:ascii="Times New Roman" w:eastAsia="Times New Roman" w:hAnsi="Times New Roman" w:cs="Times New Roman"/>
      <w:sz w:val="24"/>
      <w:szCs w:val="24"/>
      <w:lang w:eastAsia="lv-LV"/>
    </w:rPr>
  </w:style>
  <w:style w:type="paragraph" w:customStyle="1" w:styleId="naisf">
    <w:name w:val="naisf"/>
    <w:basedOn w:val="Normal"/>
    <w:rsid w:val="002D5088"/>
    <w:pPr>
      <w:spacing w:before="75" w:after="75"/>
      <w:ind w:firstLine="375"/>
      <w:jc w:val="both"/>
    </w:pPr>
  </w:style>
  <w:style w:type="character" w:styleId="CommentReference">
    <w:name w:val="annotation reference"/>
    <w:basedOn w:val="DefaultParagraphFont"/>
    <w:uiPriority w:val="99"/>
    <w:semiHidden/>
    <w:unhideWhenUsed/>
    <w:rsid w:val="003434F5"/>
    <w:rPr>
      <w:sz w:val="16"/>
      <w:szCs w:val="16"/>
    </w:rPr>
  </w:style>
  <w:style w:type="paragraph" w:styleId="CommentText">
    <w:name w:val="annotation text"/>
    <w:basedOn w:val="Normal"/>
    <w:link w:val="CommentTextChar"/>
    <w:uiPriority w:val="99"/>
    <w:semiHidden/>
    <w:unhideWhenUsed/>
    <w:rsid w:val="003434F5"/>
    <w:rPr>
      <w:sz w:val="20"/>
      <w:szCs w:val="20"/>
    </w:rPr>
  </w:style>
  <w:style w:type="character" w:customStyle="1" w:styleId="CommentTextChar">
    <w:name w:val="Comment Text Char"/>
    <w:basedOn w:val="DefaultParagraphFont"/>
    <w:link w:val="CommentText"/>
    <w:uiPriority w:val="99"/>
    <w:semiHidden/>
    <w:rsid w:val="003434F5"/>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434F5"/>
    <w:rPr>
      <w:b/>
      <w:bCs/>
    </w:rPr>
  </w:style>
  <w:style w:type="character" w:customStyle="1" w:styleId="CommentSubjectChar">
    <w:name w:val="Comment Subject Char"/>
    <w:basedOn w:val="CommentTextChar"/>
    <w:link w:val="CommentSubject"/>
    <w:uiPriority w:val="99"/>
    <w:semiHidden/>
    <w:rsid w:val="003434F5"/>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3434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4F5"/>
    <w:rPr>
      <w:rFonts w:ascii="Segoe UI" w:eastAsia="Times New Roman" w:hAnsi="Segoe UI" w:cs="Segoe UI"/>
      <w:sz w:val="18"/>
      <w:szCs w:val="18"/>
      <w:lang w:eastAsia="lv-LV"/>
    </w:rPr>
  </w:style>
  <w:style w:type="paragraph" w:styleId="ListParagraph">
    <w:name w:val="List Paragraph"/>
    <w:basedOn w:val="Normal"/>
    <w:uiPriority w:val="34"/>
    <w:qFormat/>
    <w:rsid w:val="00B271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309BD-686E-47E4-A316-35989AE8C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Pages>
  <Words>1036</Words>
  <Characters>591</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Grozījumi Ministru kabineta 2008. gada 26. februāra noteikumos Nr. 126 ″Eiropas Ekonomikas zonas finanšu instrumenta un Norvēģijas valdības divpusējā finanšu instrumenta īstenošanas, uzraudzības, novērtēšanas un auditu veikšanas kārtība″</vt:lpstr>
    </vt:vector>
  </TitlesOfParts>
  <Company>FM</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2008. gada 26. februāra noteikumos Nr. 126 ″Eiropas Ekonomikas zonas finanšu instrumenta un Norvēģijas valdības divpusējā finanšu instrumenta īstenošanas, uzraudzības, novērtēšanas un auditu veikšanas kārtība″</dc:title>
  <dc:subject>MK notiekumu projekts</dc:subject>
  <dc:creator>Jekaterina Kapilova</dc:creator>
  <cp:keywords/>
  <dc:description>Tālr.: 67083936_x000d_
E-pasts: jekaterina.kapilova@fm.gov.lv_x000d_
</dc:description>
  <cp:lastModifiedBy>Jekaterina Kapilova</cp:lastModifiedBy>
  <cp:revision>47</cp:revision>
  <cp:lastPrinted>2019-07-18T06:13:00Z</cp:lastPrinted>
  <dcterms:created xsi:type="dcterms:W3CDTF">2019-06-26T11:05:00Z</dcterms:created>
  <dcterms:modified xsi:type="dcterms:W3CDTF">2019-10-01T08:26:00Z</dcterms:modified>
</cp:coreProperties>
</file>