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Default="007B74BD" w:rsidP="007B74BD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1.pielikums</w:t>
      </w:r>
    </w:p>
    <w:p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20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1C7DFD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1C7DFD">
              <w:rPr>
                <w:sz w:val="24"/>
                <w:szCs w:val="24"/>
                <w:shd w:val="clear" w:color="auto" w:fill="FFFFFF"/>
              </w:rPr>
              <w:t>3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1C7DFD">
              <w:rPr>
                <w:sz w:val="24"/>
                <w:szCs w:val="24"/>
                <w:shd w:val="clear" w:color="auto" w:fill="FFFFFF"/>
              </w:rPr>
              <w:t>34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r w:rsidRPr="00574774">
              <w:rPr>
                <w:i/>
                <w:sz w:val="24"/>
                <w:szCs w:val="24"/>
              </w:rPr>
              <w:t xml:space="preserve">euro 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1C7DFD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1C7DFD">
              <w:rPr>
                <w:i/>
                <w:iCs/>
                <w:sz w:val="24"/>
                <w:szCs w:val="24"/>
              </w:rPr>
              <w:t>8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1C7DFD">
              <w:rPr>
                <w:i/>
                <w:iCs/>
                <w:sz w:val="24"/>
                <w:szCs w:val="24"/>
              </w:rPr>
              <w:t>50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1C7DFD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1C7DFD">
              <w:rPr>
                <w:i/>
                <w:iCs/>
                <w:sz w:val="24"/>
                <w:szCs w:val="24"/>
              </w:rPr>
              <w:t>2,10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1C7DFD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2,</w:t>
            </w:r>
            <w:r w:rsidR="001C7DFD">
              <w:rPr>
                <w:i/>
                <w:iCs/>
                <w:sz w:val="24"/>
                <w:szCs w:val="24"/>
              </w:rPr>
              <w:t>34</w:t>
            </w:r>
            <w:r w:rsidRPr="00574774">
              <w:rPr>
                <w:i/>
                <w:iCs/>
                <w:sz w:val="24"/>
                <w:szCs w:val="24"/>
              </w:rPr>
              <w:t xml:space="preserve"> milj. euro 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:rsidR="007B74BD" w:rsidRPr="0037603B" w:rsidRDefault="001C7DFD" w:rsidP="001C7DF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40</w:t>
            </w:r>
            <w:r w:rsidR="007B74BD" w:rsidRPr="00574774">
              <w:rPr>
                <w:i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8203B3" w:rsidRDefault="007B74BD" w:rsidP="002808D5">
            <w:pPr>
              <w:rPr>
                <w:i/>
                <w:sz w:val="24"/>
                <w:szCs w:val="24"/>
              </w:rPr>
            </w:pPr>
            <w:r w:rsidRPr="008203B3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shd w:val="clear" w:color="auto" w:fill="auto"/>
          </w:tcPr>
          <w:p w:rsidR="007B74BD" w:rsidRPr="008203B3" w:rsidRDefault="0003289D" w:rsidP="008F6D39">
            <w:pPr>
              <w:jc w:val="right"/>
              <w:rPr>
                <w:i/>
                <w:sz w:val="24"/>
                <w:szCs w:val="24"/>
              </w:rPr>
            </w:pPr>
            <w:r w:rsidRPr="008203B3">
              <w:rPr>
                <w:sz w:val="24"/>
                <w:szCs w:val="24"/>
              </w:rPr>
              <w:t>1</w:t>
            </w:r>
            <w:r w:rsidR="008F6D39" w:rsidRPr="008203B3">
              <w:rPr>
                <w:sz w:val="24"/>
                <w:szCs w:val="24"/>
              </w:rPr>
              <w:t>6</w:t>
            </w:r>
            <w:r w:rsidRPr="008203B3">
              <w:rPr>
                <w:sz w:val="24"/>
                <w:szCs w:val="24"/>
              </w:rPr>
              <w:t xml:space="preserve">,0 </w:t>
            </w:r>
            <w:r w:rsidR="007B74BD" w:rsidRPr="008203B3">
              <w:rPr>
                <w:sz w:val="24"/>
                <w:szCs w:val="24"/>
              </w:rPr>
              <w:t xml:space="preserve">milj. </w:t>
            </w:r>
            <w:r w:rsidR="007B74BD" w:rsidRPr="008203B3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shd w:val="clear" w:color="auto" w:fill="auto"/>
          </w:tcPr>
          <w:p w:rsidR="007B74BD" w:rsidRPr="005C730A" w:rsidRDefault="007B74BD" w:rsidP="00AD69FE">
            <w:pPr>
              <w:jc w:val="right"/>
              <w:rPr>
                <w:sz w:val="24"/>
                <w:szCs w:val="24"/>
              </w:rPr>
            </w:pPr>
            <w:r w:rsidRPr="005C730A">
              <w:rPr>
                <w:b/>
                <w:bCs/>
                <w:sz w:val="24"/>
                <w:szCs w:val="24"/>
              </w:rPr>
              <w:t>1</w:t>
            </w:r>
            <w:r w:rsidR="008203B3" w:rsidRPr="005C730A">
              <w:rPr>
                <w:b/>
                <w:bCs/>
                <w:sz w:val="24"/>
                <w:szCs w:val="24"/>
              </w:rPr>
              <w:t>89</w:t>
            </w:r>
            <w:r w:rsidRPr="005C730A">
              <w:rPr>
                <w:b/>
                <w:bCs/>
                <w:sz w:val="24"/>
                <w:szCs w:val="24"/>
              </w:rPr>
              <w:t>,</w:t>
            </w:r>
            <w:r w:rsidR="008203B3" w:rsidRPr="005C730A">
              <w:rPr>
                <w:b/>
                <w:bCs/>
                <w:sz w:val="24"/>
                <w:szCs w:val="24"/>
              </w:rPr>
              <w:t>34</w:t>
            </w:r>
            <w:r w:rsidRPr="005C730A">
              <w:rPr>
                <w:b/>
                <w:bCs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5C730A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Izložu un azartspēļu nodoklis</w:t>
            </w:r>
            <w:r w:rsidR="00EC25E8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  <w:p w:rsidR="00FE39C1" w:rsidRPr="00B27EBA" w:rsidRDefault="00FE39C1" w:rsidP="005F2D93">
            <w:pPr>
              <w:rPr>
                <w:b/>
                <w:bCs/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3544" w:type="dxa"/>
            <w:shd w:val="clear" w:color="auto" w:fill="auto"/>
          </w:tcPr>
          <w:p w:rsidR="00FE39C1" w:rsidRPr="00B27EBA" w:rsidRDefault="00A87D68" w:rsidP="005F2D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73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FE39C1" w:rsidRPr="00B27EB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FE39C1" w:rsidRPr="00B27EBA">
              <w:rPr>
                <w:b/>
                <w:sz w:val="24"/>
                <w:szCs w:val="24"/>
              </w:rPr>
              <w:t xml:space="preserve"> </w:t>
            </w:r>
          </w:p>
          <w:p w:rsidR="00FE39C1" w:rsidRPr="00B27EBA" w:rsidRDefault="005C730A" w:rsidP="00FE3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  <w:r w:rsidR="00FE39C1">
              <w:rPr>
                <w:b/>
                <w:sz w:val="24"/>
                <w:szCs w:val="24"/>
              </w:rPr>
              <w:t xml:space="preserve"> </w:t>
            </w:r>
            <w:r w:rsidR="00FE39C1" w:rsidRPr="00B27EBA">
              <w:rPr>
                <w:b/>
                <w:sz w:val="24"/>
                <w:szCs w:val="24"/>
              </w:rPr>
              <w:t xml:space="preserve">milj. </w:t>
            </w:r>
            <w:proofErr w:type="spellStart"/>
            <w:r w:rsidR="00FE39C1"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b/>
                <w:sz w:val="24"/>
                <w:szCs w:val="24"/>
              </w:rPr>
            </w:pPr>
            <w:proofErr w:type="spellStart"/>
            <w:r w:rsidRPr="00B27EBA">
              <w:rPr>
                <w:b/>
                <w:sz w:val="24"/>
                <w:szCs w:val="24"/>
              </w:rPr>
              <w:t>Nenodokļu</w:t>
            </w:r>
            <w:proofErr w:type="spellEnd"/>
            <w:r w:rsidRPr="00B27EBA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FE3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B27EBA">
              <w:rPr>
                <w:b/>
                <w:sz w:val="24"/>
                <w:szCs w:val="24"/>
              </w:rPr>
              <w:t xml:space="preserve">,0 milj. </w:t>
            </w:r>
            <w:proofErr w:type="spellStart"/>
            <w:r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  <w:p w:rsidR="00FE39C1" w:rsidRDefault="00FE39C1" w:rsidP="005F2D93">
            <w:pPr>
              <w:jc w:val="right"/>
              <w:rPr>
                <w:b/>
                <w:i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9</w:t>
            </w:r>
            <w:r w:rsidRPr="00B27EB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B27EB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:rsidR="00FE39C1" w:rsidRPr="00B27EBA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FE39C1" w:rsidTr="00A2684F">
        <w:tc>
          <w:tcPr>
            <w:tcW w:w="6062" w:type="dxa"/>
            <w:shd w:val="clear" w:color="auto" w:fill="auto"/>
          </w:tcPr>
          <w:p w:rsidR="00FE39C1" w:rsidRDefault="00FE39C1" w:rsidP="005F2D93">
            <w:pPr>
              <w:rPr>
                <w:b/>
                <w:bCs/>
                <w:sz w:val="24"/>
                <w:szCs w:val="24"/>
              </w:rPr>
            </w:pPr>
          </w:p>
          <w:p w:rsidR="00FE39C1" w:rsidRPr="00B27EBA" w:rsidRDefault="00FE39C1" w:rsidP="005F2D93">
            <w:pPr>
              <w:rPr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B27EBA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B27EBA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3544" w:type="dxa"/>
            <w:shd w:val="clear" w:color="auto" w:fill="auto"/>
          </w:tcPr>
          <w:p w:rsidR="00FE39C1" w:rsidRPr="00FE39C1" w:rsidRDefault="00FE39C1" w:rsidP="005F2D93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  <w:p w:rsidR="00FE39C1" w:rsidRPr="00FE39C1" w:rsidRDefault="00FE39C1" w:rsidP="005F2D93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  <w:p w:rsidR="00FE39C1" w:rsidRPr="00FE39C1" w:rsidRDefault="00D22E26" w:rsidP="00A87D68">
            <w:pPr>
              <w:jc w:val="right"/>
              <w:rPr>
                <w:sz w:val="24"/>
                <w:szCs w:val="24"/>
                <w:highlight w:val="yellow"/>
              </w:rPr>
            </w:pPr>
            <w:r w:rsidRPr="00D22E26">
              <w:rPr>
                <w:b/>
                <w:bCs/>
                <w:sz w:val="24"/>
                <w:szCs w:val="24"/>
              </w:rPr>
              <w:t>39</w:t>
            </w:r>
            <w:r w:rsidR="00A87D68">
              <w:rPr>
                <w:b/>
                <w:bCs/>
                <w:sz w:val="24"/>
                <w:szCs w:val="24"/>
              </w:rPr>
              <w:t>0</w:t>
            </w:r>
            <w:r w:rsidRPr="00D22E26">
              <w:rPr>
                <w:b/>
                <w:bCs/>
                <w:sz w:val="24"/>
                <w:szCs w:val="24"/>
              </w:rPr>
              <w:t>,</w:t>
            </w:r>
            <w:r w:rsidR="00A87D68">
              <w:rPr>
                <w:b/>
                <w:bCs/>
                <w:sz w:val="24"/>
                <w:szCs w:val="24"/>
              </w:rPr>
              <w:t>7</w:t>
            </w:r>
            <w:r w:rsidRPr="00D22E26">
              <w:rPr>
                <w:b/>
                <w:bCs/>
                <w:sz w:val="24"/>
                <w:szCs w:val="24"/>
              </w:rPr>
              <w:t>4</w:t>
            </w:r>
            <w:r w:rsidR="00FE39C1" w:rsidRPr="00D22E26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FE39C1" w:rsidRPr="00D22E2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FE39C1" w:rsidRPr="00D22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E39C1" w:rsidRPr="00B27EBA" w:rsidRDefault="00FE39C1" w:rsidP="00FE39C1">
      <w:pPr>
        <w:rPr>
          <w:b/>
          <w:bCs/>
          <w:sz w:val="24"/>
          <w:szCs w:val="24"/>
        </w:rPr>
      </w:pPr>
    </w:p>
    <w:p w:rsidR="00FE39C1" w:rsidRPr="0037603B" w:rsidRDefault="00FE39C1" w:rsidP="00FE39C1">
      <w:pPr>
        <w:jc w:val="both"/>
        <w:rPr>
          <w:bCs/>
          <w:sz w:val="24"/>
          <w:szCs w:val="24"/>
        </w:rPr>
      </w:pPr>
      <w:r w:rsidRPr="00B27EBA">
        <w:rPr>
          <w:bCs/>
          <w:sz w:val="24"/>
          <w:szCs w:val="24"/>
        </w:rPr>
        <w:t>Finanšu ministrijas novērtējums nekustamā</w:t>
      </w:r>
      <w:r w:rsidR="005C730A">
        <w:rPr>
          <w:bCs/>
          <w:sz w:val="24"/>
          <w:szCs w:val="24"/>
        </w:rPr>
        <w:t xml:space="preserve"> īpašuma nodokļa ieņēmumiem 2020</w:t>
      </w:r>
      <w:r w:rsidRPr="00B27EBA">
        <w:rPr>
          <w:bCs/>
          <w:sz w:val="24"/>
          <w:szCs w:val="24"/>
        </w:rPr>
        <w:t xml:space="preserve">.gadā ir </w:t>
      </w:r>
      <w:r w:rsidRPr="00B27EB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35</w:t>
      </w:r>
      <w:r w:rsidRPr="00B27EBA">
        <w:rPr>
          <w:b/>
          <w:bCs/>
          <w:sz w:val="24"/>
          <w:szCs w:val="24"/>
        </w:rPr>
        <w:t>,5</w:t>
      </w:r>
      <w:r>
        <w:rPr>
          <w:b/>
          <w:bCs/>
          <w:sz w:val="24"/>
          <w:szCs w:val="24"/>
        </w:rPr>
        <w:t xml:space="preserve">9 milj. </w:t>
      </w:r>
      <w:proofErr w:type="spellStart"/>
      <w:r w:rsidRPr="00B27EBA">
        <w:rPr>
          <w:b/>
          <w:bCs/>
          <w:i/>
          <w:sz w:val="24"/>
          <w:szCs w:val="24"/>
        </w:rPr>
        <w:t>euro</w:t>
      </w:r>
      <w:proofErr w:type="spellEnd"/>
      <w:r w:rsidRPr="00B27EBA">
        <w:rPr>
          <w:b/>
          <w:bCs/>
          <w:sz w:val="24"/>
          <w:szCs w:val="24"/>
        </w:rPr>
        <w:t>,</w:t>
      </w:r>
      <w:r w:rsidRPr="00B27EBA">
        <w:rPr>
          <w:bCs/>
          <w:sz w:val="24"/>
          <w:szCs w:val="24"/>
        </w:rPr>
        <w:t xml:space="preserve"> tajā skaitā nekustamā īpašuma nodokļa parādu </w:t>
      </w:r>
      <w:r w:rsidRPr="005C730A">
        <w:rPr>
          <w:bCs/>
          <w:sz w:val="24"/>
          <w:szCs w:val="24"/>
        </w:rPr>
        <w:t xml:space="preserve">maksājumi 16,0 milj. </w:t>
      </w:r>
      <w:proofErr w:type="spellStart"/>
      <w:r w:rsidRPr="005C730A">
        <w:rPr>
          <w:bCs/>
          <w:i/>
          <w:sz w:val="24"/>
          <w:szCs w:val="24"/>
        </w:rPr>
        <w:t>euro</w:t>
      </w:r>
      <w:proofErr w:type="spellEnd"/>
      <w:r w:rsidRPr="005C730A">
        <w:rPr>
          <w:bCs/>
          <w:sz w:val="24"/>
          <w:szCs w:val="24"/>
        </w:rPr>
        <w:t>.</w:t>
      </w: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Pr="00D81540" w:rsidRDefault="00D81540" w:rsidP="007B74BD">
      <w:pPr>
        <w:ind w:right="-1"/>
        <w:jc w:val="both"/>
        <w:rPr>
          <w:bCs/>
          <w:sz w:val="24"/>
          <w:szCs w:val="24"/>
        </w:rPr>
      </w:pPr>
      <w:r w:rsidRPr="00D81540">
        <w:rPr>
          <w:bCs/>
          <w:sz w:val="24"/>
          <w:szCs w:val="24"/>
        </w:rPr>
        <w:t>Finanšu ministrs</w:t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r w:rsidRPr="00D81540">
        <w:rPr>
          <w:bCs/>
          <w:sz w:val="24"/>
          <w:szCs w:val="24"/>
        </w:rPr>
        <w:tab/>
      </w:r>
      <w:proofErr w:type="spellStart"/>
      <w:r w:rsidRPr="00D81540">
        <w:rPr>
          <w:bCs/>
          <w:sz w:val="24"/>
          <w:szCs w:val="24"/>
        </w:rPr>
        <w:t>J.Reirs</w:t>
      </w:r>
      <w:proofErr w:type="spellEnd"/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FC73E3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sectPr w:rsidR="00FC73E3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BD" w:rsidRDefault="007B74BD" w:rsidP="007B74BD">
      <w:r>
        <w:separator/>
      </w:r>
    </w:p>
  </w:endnote>
  <w:endnote w:type="continuationSeparator" w:id="0">
    <w:p w:rsidR="007B74BD" w:rsidRDefault="007B74BD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40" w:rsidRPr="00D81540" w:rsidRDefault="00D81540">
    <w:pPr>
      <w:pStyle w:val="Footer"/>
      <w:rPr>
        <w:lang w:val="lv-LV"/>
      </w:rPr>
    </w:pPr>
    <w:r>
      <w:rPr>
        <w:lang w:val="lv-LV"/>
      </w:rPr>
      <w:t>FMprot</w:t>
    </w:r>
    <w:r w:rsidR="000116F4">
      <w:rPr>
        <w:lang w:val="lv-LV"/>
      </w:rPr>
      <w:t>p</w:t>
    </w:r>
    <w:r>
      <w:rPr>
        <w:lang w:val="lv-LV"/>
      </w:rPr>
      <w:t>1_021019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BD" w:rsidRDefault="007B74BD" w:rsidP="007B74BD">
      <w:r>
        <w:separator/>
      </w:r>
    </w:p>
  </w:footnote>
  <w:footnote w:type="continuationSeparator" w:id="0">
    <w:p w:rsidR="007B74BD" w:rsidRDefault="007B74BD" w:rsidP="007B74BD">
      <w:r>
        <w:continuationSeparator/>
      </w:r>
    </w:p>
  </w:footnote>
  <w:footnote w:id="1">
    <w:p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  <w:footnote w:id="2">
    <w:p w:rsidR="00EC25E8" w:rsidRDefault="00EC25E8">
      <w:pPr>
        <w:pStyle w:val="FootnoteText"/>
      </w:pPr>
      <w:r>
        <w:rPr>
          <w:rStyle w:val="FootnoteReference"/>
        </w:rPr>
        <w:footnoteRef/>
      </w:r>
      <w:r>
        <w:t xml:space="preserve"> Nodo</w:t>
      </w:r>
      <w:bookmarkStart w:id="0" w:name="_GoBack"/>
      <w:bookmarkEnd w:id="0"/>
      <w:r>
        <w:t xml:space="preserve">kļu ieņēmumu prognozes uz </w:t>
      </w:r>
      <w:r w:rsidR="006051C5">
        <w:t>2019.gada 2.oktobri</w:t>
      </w:r>
      <w:r w:rsidR="00A87D68">
        <w:t>, atbilstoši Ministru kabineta nolemtajam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0116F4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0116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116F4"/>
    <w:rsid w:val="00012B76"/>
    <w:rsid w:val="0003289D"/>
    <w:rsid w:val="000B3A16"/>
    <w:rsid w:val="001C7DFD"/>
    <w:rsid w:val="00216285"/>
    <w:rsid w:val="00394239"/>
    <w:rsid w:val="003A5FE9"/>
    <w:rsid w:val="00401F88"/>
    <w:rsid w:val="00411322"/>
    <w:rsid w:val="00412C7B"/>
    <w:rsid w:val="00413B71"/>
    <w:rsid w:val="00473A15"/>
    <w:rsid w:val="004D2333"/>
    <w:rsid w:val="004F04BD"/>
    <w:rsid w:val="00561ED7"/>
    <w:rsid w:val="00574774"/>
    <w:rsid w:val="00597EEB"/>
    <w:rsid w:val="005C730A"/>
    <w:rsid w:val="006051C5"/>
    <w:rsid w:val="006323D9"/>
    <w:rsid w:val="006705B5"/>
    <w:rsid w:val="006F2B54"/>
    <w:rsid w:val="006F3E3E"/>
    <w:rsid w:val="00766F59"/>
    <w:rsid w:val="007B74BD"/>
    <w:rsid w:val="007D2AAD"/>
    <w:rsid w:val="007D7EE9"/>
    <w:rsid w:val="007E08EA"/>
    <w:rsid w:val="007E0953"/>
    <w:rsid w:val="008203B3"/>
    <w:rsid w:val="008358AF"/>
    <w:rsid w:val="00863FF6"/>
    <w:rsid w:val="008A7415"/>
    <w:rsid w:val="008B2131"/>
    <w:rsid w:val="008C32CF"/>
    <w:rsid w:val="008E5606"/>
    <w:rsid w:val="008F2BEF"/>
    <w:rsid w:val="008F4958"/>
    <w:rsid w:val="008F6D39"/>
    <w:rsid w:val="008F7903"/>
    <w:rsid w:val="00903384"/>
    <w:rsid w:val="0093200E"/>
    <w:rsid w:val="009651DF"/>
    <w:rsid w:val="00982663"/>
    <w:rsid w:val="009F2004"/>
    <w:rsid w:val="009F6889"/>
    <w:rsid w:val="00A2684F"/>
    <w:rsid w:val="00A36756"/>
    <w:rsid w:val="00A87D68"/>
    <w:rsid w:val="00AA6227"/>
    <w:rsid w:val="00AB1BA4"/>
    <w:rsid w:val="00AD69FE"/>
    <w:rsid w:val="00B05492"/>
    <w:rsid w:val="00B46A37"/>
    <w:rsid w:val="00B76495"/>
    <w:rsid w:val="00BC2574"/>
    <w:rsid w:val="00BD1C46"/>
    <w:rsid w:val="00BE39ED"/>
    <w:rsid w:val="00BE3DAC"/>
    <w:rsid w:val="00BF0212"/>
    <w:rsid w:val="00BF2AE8"/>
    <w:rsid w:val="00C33F83"/>
    <w:rsid w:val="00C746F9"/>
    <w:rsid w:val="00C91423"/>
    <w:rsid w:val="00CA3F7A"/>
    <w:rsid w:val="00D22352"/>
    <w:rsid w:val="00D22E26"/>
    <w:rsid w:val="00D32A37"/>
    <w:rsid w:val="00D81066"/>
    <w:rsid w:val="00D81540"/>
    <w:rsid w:val="00E67667"/>
    <w:rsid w:val="00EC25E8"/>
    <w:rsid w:val="00ED5E68"/>
    <w:rsid w:val="00ED66B9"/>
    <w:rsid w:val="00F02246"/>
    <w:rsid w:val="00F04681"/>
    <w:rsid w:val="00F063C6"/>
    <w:rsid w:val="00F2662A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E1DA7B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Inese Runkovska</cp:lastModifiedBy>
  <cp:revision>7</cp:revision>
  <cp:lastPrinted>2019-10-02T08:39:00Z</cp:lastPrinted>
  <dcterms:created xsi:type="dcterms:W3CDTF">2019-10-01T08:35:00Z</dcterms:created>
  <dcterms:modified xsi:type="dcterms:W3CDTF">2019-10-03T07:05:00Z</dcterms:modified>
</cp:coreProperties>
</file>