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125736181"/>
        <w:docPartObj>
          <w:docPartGallery w:val="Cover Pages"/>
          <w:docPartUnique/>
        </w:docPartObj>
      </w:sdtPr>
      <w:sdtEndPr/>
      <w:sdtContent>
        <w:p w14:paraId="6C3A9B10" w14:textId="77777777" w:rsidR="00F65518" w:rsidRDefault="00F65518">
          <w:r>
            <w:rPr>
              <w:noProof/>
              <w:lang w:eastAsia="lv-LV"/>
            </w:rPr>
            <mc:AlternateContent>
              <mc:Choice Requires="wpg">
                <w:drawing>
                  <wp:anchor distT="0" distB="0" distL="114300" distR="114300" simplePos="0" relativeHeight="251659264" behindDoc="1" locked="0" layoutInCell="1" allowOverlap="1" wp14:anchorId="5DF4459B" wp14:editId="7F1F370D">
                    <wp:simplePos x="0" y="0"/>
                    <wp:positionH relativeFrom="page">
                      <wp:posOffset>-42530</wp:posOffset>
                    </wp:positionH>
                    <wp:positionV relativeFrom="page">
                      <wp:posOffset>-138223</wp:posOffset>
                    </wp:positionV>
                    <wp:extent cx="7619589" cy="10829482"/>
                    <wp:effectExtent l="0" t="0" r="635" b="0"/>
                    <wp:wrapNone/>
                    <wp:docPr id="193" name="Group 193"/>
                    <wp:cNvGraphicFramePr/>
                    <a:graphic xmlns:a="http://schemas.openxmlformats.org/drawingml/2006/main">
                      <a:graphicData uri="http://schemas.microsoft.com/office/word/2010/wordprocessingGroup">
                        <wpg:wgp>
                          <wpg:cNvGrpSpPr/>
                          <wpg:grpSpPr>
                            <a:xfrm>
                              <a:off x="0" y="0"/>
                              <a:ext cx="7619589" cy="10829482"/>
                              <a:chOff x="0" y="-120765"/>
                              <a:chExt cx="6949143" cy="9840075"/>
                            </a:xfrm>
                          </wpg:grpSpPr>
                          <wps:wsp>
                            <wps:cNvPr id="194" name="Rectangle 194"/>
                            <wps:cNvSpPr/>
                            <wps:spPr>
                              <a:xfrm>
                                <a:off x="6625" y="-120765"/>
                                <a:ext cx="6942518" cy="223563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791075"/>
                                <a:ext cx="6943053" cy="4928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B6EB4D" w14:textId="77777777" w:rsidR="00EA5D67" w:rsidRDefault="00EA5D67">
                                  <w:pPr>
                                    <w:pStyle w:val="NoSpacing"/>
                                    <w:spacing w:before="120"/>
                                    <w:jc w:val="center"/>
                                    <w:rPr>
                                      <w:color w:val="FFFFFF" w:themeColor="background1"/>
                                    </w:rPr>
                                  </w:pPr>
                                </w:p>
                                <w:p w14:paraId="1B6D8885" w14:textId="77777777" w:rsidR="00EA5D67" w:rsidRPr="00F65518" w:rsidRDefault="00EA5D67">
                                  <w:pPr>
                                    <w:pStyle w:val="NoSpacing"/>
                                    <w:spacing w:before="120"/>
                                    <w:jc w:val="center"/>
                                    <w:rPr>
                                      <w:b/>
                                      <w:color w:val="FFFFFF" w:themeColor="background1"/>
                                      <w:sz w:val="28"/>
                                    </w:rPr>
                                  </w:pPr>
                                  <w:r>
                                    <w:rPr>
                                      <w:b/>
                                      <w:caps/>
                                      <w:color w:val="FFFFFF" w:themeColor="background1"/>
                                      <w:sz w:val="28"/>
                                    </w:rPr>
                                    <w:t>Rīga, 2019</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626" y="2114912"/>
                                <a:ext cx="6858000" cy="2676163"/>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F084340" w14:textId="0FF1FDEA" w:rsidR="00EA5D67" w:rsidRPr="00F65518" w:rsidRDefault="00EA5D67"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2020.gadam</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DF4459B" id="Group 193" o:spid="_x0000_s1026" style="position:absolute;left:0;text-align:left;margin-left:-3.35pt;margin-top:-10.9pt;width:599.95pt;height:852.7pt;z-index:-251657216;mso-position-horizontal-relative:page;mso-position-vertical-relative:page" coordorigin=",-1207" coordsize="69491,98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">
                    <v:rect id="Rectangle 194" o:spid="_x0000_s1027" style="position:absolute;left:66;top:-1207;width:69425;height:223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7910;width:69430;height:4928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03B6EB4D" w14:textId="77777777" w:rsidR="00EA5D67" w:rsidRDefault="00EA5D67">
                            <w:pPr>
                              <w:pStyle w:val="NoSpacing"/>
                              <w:spacing w:before="120"/>
                              <w:jc w:val="center"/>
                              <w:rPr>
                                <w:color w:val="FFFFFF" w:themeColor="background1"/>
                              </w:rPr>
                            </w:pPr>
                          </w:p>
                          <w:p w14:paraId="1B6D8885" w14:textId="77777777" w:rsidR="00EA5D67" w:rsidRPr="00F65518" w:rsidRDefault="00EA5D67">
                            <w:pPr>
                              <w:pStyle w:val="NoSpacing"/>
                              <w:spacing w:before="120"/>
                              <w:jc w:val="center"/>
                              <w:rPr>
                                <w:b/>
                                <w:color w:val="FFFFFF" w:themeColor="background1"/>
                                <w:sz w:val="28"/>
                              </w:rPr>
                            </w:pPr>
                            <w:r>
                              <w:rPr>
                                <w:b/>
                                <w:caps/>
                                <w:color w:val="FFFFFF" w:themeColor="background1"/>
                                <w:sz w:val="28"/>
                              </w:rPr>
                              <w:t>Rīga, 2019</w:t>
                            </w:r>
                          </w:p>
                        </w:txbxContent>
                      </v:textbox>
                    </v:rect>
                    <v:shapetype id="_x0000_t202" coordsize="21600,21600" o:spt="202" path="m,l,21600r21600,l21600,xe">
                      <v:stroke joinstyle="miter"/>
                      <v:path gradientshapeok="t" o:connecttype="rect"/>
                    </v:shapetype>
                    <v:shape id="Text Box 196" o:spid="_x0000_s1029" type="#_x0000_t202" style="position:absolute;left:66;top:21149;width:68580;height:26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F81BD" w:themeColor="accent1"/>
                                <w:sz w:val="88"/>
                                <w:szCs w:val="8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2F084340" w14:textId="0FF1FDEA" w:rsidR="00EA5D67" w:rsidRPr="00F65518" w:rsidRDefault="00EA5D67" w:rsidP="00F65518">
                                <w:pPr>
                                  <w:pStyle w:val="NoSpacing"/>
                                  <w:ind w:firstLine="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88"/>
                                    <w:szCs w:val="88"/>
                                  </w:rPr>
                                  <w:t>Latvijas Vispārējās valdības budžeta plāna projekts 2020.gadam</w:t>
                                </w:r>
                              </w:p>
                            </w:sdtContent>
                          </w:sdt>
                        </w:txbxContent>
                      </v:textbox>
                    </v:shape>
                    <w10:wrap anchorx="page" anchory="page"/>
                  </v:group>
                </w:pict>
              </mc:Fallback>
            </mc:AlternateContent>
          </w:r>
        </w:p>
        <w:p w14:paraId="1F5BB338" w14:textId="77777777" w:rsidR="00F65518" w:rsidRDefault="00F65518" w:rsidP="00F65518">
          <w:pPr>
            <w:spacing w:after="0"/>
            <w:ind w:firstLine="0"/>
            <w:jc w:val="left"/>
          </w:pPr>
          <w:r>
            <w:br w:type="page"/>
          </w:r>
        </w:p>
      </w:sdtContent>
    </w:sdt>
    <w:sdt>
      <w:sdtPr>
        <w:rPr>
          <w:rFonts w:ascii="Times New Roman" w:eastAsia="Times New Roman" w:hAnsi="Times New Roman"/>
          <w:b w:val="0"/>
          <w:bCs w:val="0"/>
          <w:color w:val="auto"/>
          <w:sz w:val="24"/>
          <w:szCs w:val="20"/>
          <w:lang w:val="lv-LV" w:eastAsia="en-US"/>
        </w:rPr>
        <w:id w:val="1895851769"/>
        <w:docPartObj>
          <w:docPartGallery w:val="Table of Contents"/>
          <w:docPartUnique/>
        </w:docPartObj>
      </w:sdtPr>
      <w:sdtEndPr>
        <w:rPr>
          <w:noProof/>
        </w:rPr>
      </w:sdtEndPr>
      <w:sdtContent>
        <w:p w14:paraId="1BF72F4E" w14:textId="77777777" w:rsidR="007369A9" w:rsidRPr="002131F7" w:rsidRDefault="007369A9" w:rsidP="00CD6580">
          <w:pPr>
            <w:pStyle w:val="TOCHeading"/>
            <w:spacing w:before="120" w:after="240"/>
            <w:rPr>
              <w:rFonts w:ascii="Times New Roman" w:eastAsia="Times New Roman" w:hAnsi="Times New Roman"/>
              <w:color w:val="18185E"/>
              <w:sz w:val="28"/>
              <w:lang w:val="x-none" w:eastAsia="x-none"/>
            </w:rPr>
          </w:pPr>
          <w:r w:rsidRPr="002131F7">
            <w:rPr>
              <w:rFonts w:ascii="Times New Roman" w:eastAsia="Times New Roman" w:hAnsi="Times New Roman"/>
              <w:color w:val="18185E"/>
              <w:sz w:val="28"/>
              <w:lang w:val="x-none" w:eastAsia="x-none"/>
            </w:rPr>
            <w:t>Saturs</w:t>
          </w:r>
        </w:p>
        <w:p w14:paraId="32BFFD30" w14:textId="6E3EC058" w:rsidR="00532810" w:rsidRDefault="007369A9">
          <w:pPr>
            <w:pStyle w:val="TOC1"/>
            <w:rPr>
              <w:rFonts w:asciiTheme="minorHAnsi" w:eastAsiaTheme="minorEastAsia" w:hAnsiTheme="minorHAnsi" w:cstheme="minorBidi"/>
              <w:sz w:val="22"/>
              <w:szCs w:val="22"/>
              <w:lang w:eastAsia="lv-LV"/>
            </w:rPr>
          </w:pPr>
          <w:r>
            <w:fldChar w:fldCharType="begin"/>
          </w:r>
          <w:r>
            <w:instrText xml:space="preserve"> TOC \o "1-3" \h \z \u </w:instrText>
          </w:r>
          <w:r>
            <w:fldChar w:fldCharType="separate"/>
          </w:r>
          <w:hyperlink w:anchor="_Toc21516494" w:history="1">
            <w:r w:rsidR="00532810" w:rsidRPr="004A1CBE">
              <w:rPr>
                <w:rStyle w:val="Hyperlink"/>
              </w:rPr>
              <w:t>Saīsinājumu apzīmējumi</w:t>
            </w:r>
            <w:r w:rsidR="00532810">
              <w:rPr>
                <w:webHidden/>
              </w:rPr>
              <w:tab/>
            </w:r>
            <w:r w:rsidR="00532810">
              <w:rPr>
                <w:webHidden/>
              </w:rPr>
              <w:fldChar w:fldCharType="begin"/>
            </w:r>
            <w:r w:rsidR="00532810">
              <w:rPr>
                <w:webHidden/>
              </w:rPr>
              <w:instrText xml:space="preserve"> PAGEREF _Toc21516494 \h </w:instrText>
            </w:r>
            <w:r w:rsidR="00532810">
              <w:rPr>
                <w:webHidden/>
              </w:rPr>
            </w:r>
            <w:r w:rsidR="00532810">
              <w:rPr>
                <w:webHidden/>
              </w:rPr>
              <w:fldChar w:fldCharType="separate"/>
            </w:r>
            <w:r w:rsidR="003E1533">
              <w:rPr>
                <w:webHidden/>
              </w:rPr>
              <w:t>2</w:t>
            </w:r>
            <w:r w:rsidR="00532810">
              <w:rPr>
                <w:webHidden/>
              </w:rPr>
              <w:fldChar w:fldCharType="end"/>
            </w:r>
          </w:hyperlink>
        </w:p>
        <w:p w14:paraId="0A60D63C" w14:textId="365C9E77" w:rsidR="00532810" w:rsidRDefault="003E1533">
          <w:pPr>
            <w:pStyle w:val="TOC1"/>
            <w:rPr>
              <w:rFonts w:asciiTheme="minorHAnsi" w:eastAsiaTheme="minorEastAsia" w:hAnsiTheme="minorHAnsi" w:cstheme="minorBidi"/>
              <w:sz w:val="22"/>
              <w:szCs w:val="22"/>
              <w:lang w:eastAsia="lv-LV"/>
            </w:rPr>
          </w:pPr>
          <w:hyperlink w:anchor="_Toc21516495" w:history="1">
            <w:r w:rsidR="00532810" w:rsidRPr="004A1CBE">
              <w:rPr>
                <w:rStyle w:val="Hyperlink"/>
              </w:rPr>
              <w:t>Ievads</w:t>
            </w:r>
            <w:r w:rsidR="00532810">
              <w:rPr>
                <w:webHidden/>
              </w:rPr>
              <w:tab/>
            </w:r>
            <w:r w:rsidR="00532810">
              <w:rPr>
                <w:webHidden/>
              </w:rPr>
              <w:fldChar w:fldCharType="begin"/>
            </w:r>
            <w:r w:rsidR="00532810">
              <w:rPr>
                <w:webHidden/>
              </w:rPr>
              <w:instrText xml:space="preserve"> PAGEREF _Toc21516495 \h </w:instrText>
            </w:r>
            <w:r w:rsidR="00532810">
              <w:rPr>
                <w:webHidden/>
              </w:rPr>
            </w:r>
            <w:r w:rsidR="00532810">
              <w:rPr>
                <w:webHidden/>
              </w:rPr>
              <w:fldChar w:fldCharType="separate"/>
            </w:r>
            <w:r>
              <w:rPr>
                <w:webHidden/>
              </w:rPr>
              <w:t>2</w:t>
            </w:r>
            <w:r w:rsidR="00532810">
              <w:rPr>
                <w:webHidden/>
              </w:rPr>
              <w:fldChar w:fldCharType="end"/>
            </w:r>
          </w:hyperlink>
        </w:p>
        <w:p w14:paraId="40076D53" w14:textId="70FDEE34" w:rsidR="00532810" w:rsidRDefault="003E1533">
          <w:pPr>
            <w:pStyle w:val="TOC1"/>
            <w:rPr>
              <w:rFonts w:asciiTheme="minorHAnsi" w:eastAsiaTheme="minorEastAsia" w:hAnsiTheme="minorHAnsi" w:cstheme="minorBidi"/>
              <w:sz w:val="22"/>
              <w:szCs w:val="22"/>
              <w:lang w:eastAsia="lv-LV"/>
            </w:rPr>
          </w:pPr>
          <w:hyperlink w:anchor="_Toc21516496" w:history="1">
            <w:r w:rsidR="00532810" w:rsidRPr="004A1CBE">
              <w:rPr>
                <w:rStyle w:val="Hyperlink"/>
              </w:rPr>
              <w:t>Makroekonomiskās attīstības scenārijs</w:t>
            </w:r>
            <w:r w:rsidR="00532810">
              <w:rPr>
                <w:webHidden/>
              </w:rPr>
              <w:tab/>
            </w:r>
            <w:r w:rsidR="00532810">
              <w:rPr>
                <w:webHidden/>
              </w:rPr>
              <w:fldChar w:fldCharType="begin"/>
            </w:r>
            <w:r w:rsidR="00532810">
              <w:rPr>
                <w:webHidden/>
              </w:rPr>
              <w:instrText xml:space="preserve"> PAGEREF _Toc21516496 \h </w:instrText>
            </w:r>
            <w:r w:rsidR="00532810">
              <w:rPr>
                <w:webHidden/>
              </w:rPr>
            </w:r>
            <w:r w:rsidR="00532810">
              <w:rPr>
                <w:webHidden/>
              </w:rPr>
              <w:fldChar w:fldCharType="separate"/>
            </w:r>
            <w:r>
              <w:rPr>
                <w:webHidden/>
              </w:rPr>
              <w:t>2</w:t>
            </w:r>
            <w:r w:rsidR="00532810">
              <w:rPr>
                <w:webHidden/>
              </w:rPr>
              <w:fldChar w:fldCharType="end"/>
            </w:r>
          </w:hyperlink>
        </w:p>
        <w:p w14:paraId="77F9E576" w14:textId="4A1264AD" w:rsidR="00532810" w:rsidRDefault="003E1533">
          <w:pPr>
            <w:pStyle w:val="TOC1"/>
            <w:rPr>
              <w:rFonts w:asciiTheme="minorHAnsi" w:eastAsiaTheme="minorEastAsia" w:hAnsiTheme="minorHAnsi" w:cstheme="minorBidi"/>
              <w:sz w:val="22"/>
              <w:szCs w:val="22"/>
              <w:lang w:eastAsia="lv-LV"/>
            </w:rPr>
          </w:pPr>
          <w:hyperlink w:anchor="_Toc21516497" w:history="1">
            <w:r w:rsidR="00532810" w:rsidRPr="004A1CBE">
              <w:rPr>
                <w:rStyle w:val="Hyperlink"/>
              </w:rPr>
              <w:t>Tabula 0.i). Ārējās vides pamata pieņēmumi</w:t>
            </w:r>
            <w:r w:rsidR="00532810">
              <w:rPr>
                <w:webHidden/>
              </w:rPr>
              <w:tab/>
            </w:r>
            <w:r w:rsidR="00532810">
              <w:rPr>
                <w:webHidden/>
              </w:rPr>
              <w:fldChar w:fldCharType="begin"/>
            </w:r>
            <w:r w:rsidR="00532810">
              <w:rPr>
                <w:webHidden/>
              </w:rPr>
              <w:instrText xml:space="preserve"> PAGEREF _Toc21516497 \h </w:instrText>
            </w:r>
            <w:r w:rsidR="00532810">
              <w:rPr>
                <w:webHidden/>
              </w:rPr>
            </w:r>
            <w:r w:rsidR="00532810">
              <w:rPr>
                <w:webHidden/>
              </w:rPr>
              <w:fldChar w:fldCharType="separate"/>
            </w:r>
            <w:r>
              <w:rPr>
                <w:webHidden/>
              </w:rPr>
              <w:t>2</w:t>
            </w:r>
            <w:r w:rsidR="00532810">
              <w:rPr>
                <w:webHidden/>
              </w:rPr>
              <w:fldChar w:fldCharType="end"/>
            </w:r>
          </w:hyperlink>
        </w:p>
        <w:p w14:paraId="48E4D7AD" w14:textId="105BD555" w:rsidR="00532810" w:rsidRDefault="003E1533">
          <w:pPr>
            <w:pStyle w:val="TOC1"/>
            <w:rPr>
              <w:rFonts w:asciiTheme="minorHAnsi" w:eastAsiaTheme="minorEastAsia" w:hAnsiTheme="minorHAnsi" w:cstheme="minorBidi"/>
              <w:sz w:val="22"/>
              <w:szCs w:val="22"/>
              <w:lang w:eastAsia="lv-LV"/>
            </w:rPr>
          </w:pPr>
          <w:hyperlink w:anchor="_Toc21516498" w:history="1">
            <w:r w:rsidR="00532810" w:rsidRPr="004A1CBE">
              <w:rPr>
                <w:rStyle w:val="Hyperlink"/>
              </w:rPr>
              <w:t>Tabula 1a: Izaugsme un ar to saistītie faktori</w:t>
            </w:r>
            <w:r w:rsidR="00532810">
              <w:rPr>
                <w:webHidden/>
              </w:rPr>
              <w:tab/>
            </w:r>
            <w:r w:rsidR="00532810">
              <w:rPr>
                <w:webHidden/>
              </w:rPr>
              <w:fldChar w:fldCharType="begin"/>
            </w:r>
            <w:r w:rsidR="00532810">
              <w:rPr>
                <w:webHidden/>
              </w:rPr>
              <w:instrText xml:space="preserve"> PAGEREF _Toc21516498 \h </w:instrText>
            </w:r>
            <w:r w:rsidR="00532810">
              <w:rPr>
                <w:webHidden/>
              </w:rPr>
            </w:r>
            <w:r w:rsidR="00532810">
              <w:rPr>
                <w:webHidden/>
              </w:rPr>
              <w:fldChar w:fldCharType="separate"/>
            </w:r>
            <w:r>
              <w:rPr>
                <w:webHidden/>
              </w:rPr>
              <w:t>2</w:t>
            </w:r>
            <w:r w:rsidR="00532810">
              <w:rPr>
                <w:webHidden/>
              </w:rPr>
              <w:fldChar w:fldCharType="end"/>
            </w:r>
          </w:hyperlink>
        </w:p>
        <w:p w14:paraId="0E32F2C6" w14:textId="47A15542" w:rsidR="00532810" w:rsidRDefault="003E1533">
          <w:pPr>
            <w:pStyle w:val="TOC1"/>
            <w:rPr>
              <w:rFonts w:asciiTheme="minorHAnsi" w:eastAsiaTheme="minorEastAsia" w:hAnsiTheme="minorHAnsi" w:cstheme="minorBidi"/>
              <w:sz w:val="22"/>
              <w:szCs w:val="22"/>
              <w:lang w:eastAsia="lv-LV"/>
            </w:rPr>
          </w:pPr>
          <w:hyperlink w:anchor="_Toc21516499" w:history="1">
            <w:r w:rsidR="00532810" w:rsidRPr="004A1CBE">
              <w:rPr>
                <w:rStyle w:val="Hyperlink"/>
              </w:rPr>
              <w:t>Tabula 1b: Patēriņa cenu izmaiņas</w:t>
            </w:r>
            <w:r w:rsidR="00532810">
              <w:rPr>
                <w:webHidden/>
              </w:rPr>
              <w:tab/>
            </w:r>
            <w:r w:rsidR="00532810">
              <w:rPr>
                <w:webHidden/>
              </w:rPr>
              <w:fldChar w:fldCharType="begin"/>
            </w:r>
            <w:r w:rsidR="00532810">
              <w:rPr>
                <w:webHidden/>
              </w:rPr>
              <w:instrText xml:space="preserve"> PAGEREF _Toc21516499 \h </w:instrText>
            </w:r>
            <w:r w:rsidR="00532810">
              <w:rPr>
                <w:webHidden/>
              </w:rPr>
            </w:r>
            <w:r w:rsidR="00532810">
              <w:rPr>
                <w:webHidden/>
              </w:rPr>
              <w:fldChar w:fldCharType="separate"/>
            </w:r>
            <w:r>
              <w:rPr>
                <w:webHidden/>
              </w:rPr>
              <w:t>2</w:t>
            </w:r>
            <w:r w:rsidR="00532810">
              <w:rPr>
                <w:webHidden/>
              </w:rPr>
              <w:fldChar w:fldCharType="end"/>
            </w:r>
          </w:hyperlink>
        </w:p>
        <w:p w14:paraId="5398511F" w14:textId="181D1BC3" w:rsidR="00532810" w:rsidRDefault="003E1533">
          <w:pPr>
            <w:pStyle w:val="TOC1"/>
            <w:rPr>
              <w:rFonts w:asciiTheme="minorHAnsi" w:eastAsiaTheme="minorEastAsia" w:hAnsiTheme="minorHAnsi" w:cstheme="minorBidi"/>
              <w:sz w:val="22"/>
              <w:szCs w:val="22"/>
              <w:lang w:eastAsia="lv-LV"/>
            </w:rPr>
          </w:pPr>
          <w:hyperlink w:anchor="_Toc21516500" w:history="1">
            <w:r w:rsidR="00532810" w:rsidRPr="004A1CBE">
              <w:rPr>
                <w:rStyle w:val="Hyperlink"/>
              </w:rPr>
              <w:t>Tabula 1c: Darba tirgus attīstība</w:t>
            </w:r>
            <w:r w:rsidR="00532810">
              <w:rPr>
                <w:webHidden/>
              </w:rPr>
              <w:tab/>
            </w:r>
            <w:r w:rsidR="00532810">
              <w:rPr>
                <w:webHidden/>
              </w:rPr>
              <w:fldChar w:fldCharType="begin"/>
            </w:r>
            <w:r w:rsidR="00532810">
              <w:rPr>
                <w:webHidden/>
              </w:rPr>
              <w:instrText xml:space="preserve"> PAGEREF _Toc21516500 \h </w:instrText>
            </w:r>
            <w:r w:rsidR="00532810">
              <w:rPr>
                <w:webHidden/>
              </w:rPr>
            </w:r>
            <w:r w:rsidR="00532810">
              <w:rPr>
                <w:webHidden/>
              </w:rPr>
              <w:fldChar w:fldCharType="separate"/>
            </w:r>
            <w:r>
              <w:rPr>
                <w:webHidden/>
              </w:rPr>
              <w:t>2</w:t>
            </w:r>
            <w:r w:rsidR="00532810">
              <w:rPr>
                <w:webHidden/>
              </w:rPr>
              <w:fldChar w:fldCharType="end"/>
            </w:r>
          </w:hyperlink>
        </w:p>
        <w:p w14:paraId="156CFF23" w14:textId="45FC2361" w:rsidR="00532810" w:rsidRDefault="003E1533">
          <w:pPr>
            <w:pStyle w:val="TOC1"/>
            <w:rPr>
              <w:rFonts w:asciiTheme="minorHAnsi" w:eastAsiaTheme="minorEastAsia" w:hAnsiTheme="minorHAnsi" w:cstheme="minorBidi"/>
              <w:sz w:val="22"/>
              <w:szCs w:val="22"/>
              <w:lang w:eastAsia="lv-LV"/>
            </w:rPr>
          </w:pPr>
          <w:hyperlink w:anchor="_Toc21516501" w:history="1">
            <w:r w:rsidR="00532810" w:rsidRPr="004A1CBE">
              <w:rPr>
                <w:rStyle w:val="Hyperlink"/>
              </w:rPr>
              <w:t>Tabula 1d: Sektoru bilances</w:t>
            </w:r>
            <w:r w:rsidR="00532810">
              <w:rPr>
                <w:webHidden/>
              </w:rPr>
              <w:tab/>
            </w:r>
            <w:r w:rsidR="00532810">
              <w:rPr>
                <w:webHidden/>
              </w:rPr>
              <w:fldChar w:fldCharType="begin"/>
            </w:r>
            <w:r w:rsidR="00532810">
              <w:rPr>
                <w:webHidden/>
              </w:rPr>
              <w:instrText xml:space="preserve"> PAGEREF _Toc21516501 \h </w:instrText>
            </w:r>
            <w:r w:rsidR="00532810">
              <w:rPr>
                <w:webHidden/>
              </w:rPr>
            </w:r>
            <w:r w:rsidR="00532810">
              <w:rPr>
                <w:webHidden/>
              </w:rPr>
              <w:fldChar w:fldCharType="separate"/>
            </w:r>
            <w:r>
              <w:rPr>
                <w:webHidden/>
              </w:rPr>
              <w:t>2</w:t>
            </w:r>
            <w:r w:rsidR="00532810">
              <w:rPr>
                <w:webHidden/>
              </w:rPr>
              <w:fldChar w:fldCharType="end"/>
            </w:r>
          </w:hyperlink>
        </w:p>
        <w:p w14:paraId="11849246" w14:textId="396C6F7C" w:rsidR="00532810" w:rsidRDefault="003E1533">
          <w:pPr>
            <w:pStyle w:val="TOC1"/>
            <w:rPr>
              <w:rFonts w:asciiTheme="minorHAnsi" w:eastAsiaTheme="minorEastAsia" w:hAnsiTheme="minorHAnsi" w:cstheme="minorBidi"/>
              <w:sz w:val="22"/>
              <w:szCs w:val="22"/>
              <w:lang w:eastAsia="lv-LV"/>
            </w:rPr>
          </w:pPr>
          <w:hyperlink w:anchor="_Toc21516502" w:history="1">
            <w:r w:rsidR="00532810" w:rsidRPr="004A1CBE">
              <w:rPr>
                <w:rStyle w:val="Hyperlink"/>
              </w:rPr>
              <w:t>Fiskālā stratēģija un strukturālās bilances mērķi</w:t>
            </w:r>
            <w:r w:rsidR="00532810">
              <w:rPr>
                <w:webHidden/>
              </w:rPr>
              <w:tab/>
            </w:r>
            <w:r w:rsidR="00532810">
              <w:rPr>
                <w:webHidden/>
              </w:rPr>
              <w:fldChar w:fldCharType="begin"/>
            </w:r>
            <w:r w:rsidR="00532810">
              <w:rPr>
                <w:webHidden/>
              </w:rPr>
              <w:instrText xml:space="preserve"> PAGEREF _Toc21516502 \h </w:instrText>
            </w:r>
            <w:r w:rsidR="00532810">
              <w:rPr>
                <w:webHidden/>
              </w:rPr>
            </w:r>
            <w:r w:rsidR="00532810">
              <w:rPr>
                <w:webHidden/>
              </w:rPr>
              <w:fldChar w:fldCharType="separate"/>
            </w:r>
            <w:r>
              <w:rPr>
                <w:webHidden/>
              </w:rPr>
              <w:t>2</w:t>
            </w:r>
            <w:r w:rsidR="00532810">
              <w:rPr>
                <w:webHidden/>
              </w:rPr>
              <w:fldChar w:fldCharType="end"/>
            </w:r>
          </w:hyperlink>
        </w:p>
        <w:p w14:paraId="25EC2F85" w14:textId="119FDA32" w:rsidR="00532810" w:rsidRDefault="003E1533">
          <w:pPr>
            <w:pStyle w:val="TOC1"/>
            <w:rPr>
              <w:rFonts w:asciiTheme="minorHAnsi" w:eastAsiaTheme="minorEastAsia" w:hAnsiTheme="minorHAnsi" w:cstheme="minorBidi"/>
              <w:sz w:val="22"/>
              <w:szCs w:val="22"/>
              <w:lang w:eastAsia="lv-LV"/>
            </w:rPr>
          </w:pPr>
          <w:hyperlink w:anchor="_Toc21516503" w:history="1">
            <w:r w:rsidR="00532810" w:rsidRPr="004A1CBE">
              <w:rPr>
                <w:rStyle w:val="Hyperlink"/>
              </w:rPr>
              <w:t>Tabula 2.a: Vispārējās valdības budžeta mērķi sadalījumā pa apakšsektoriem</w:t>
            </w:r>
            <w:r w:rsidR="00532810">
              <w:rPr>
                <w:webHidden/>
              </w:rPr>
              <w:tab/>
            </w:r>
            <w:r w:rsidR="00532810">
              <w:rPr>
                <w:webHidden/>
              </w:rPr>
              <w:fldChar w:fldCharType="begin"/>
            </w:r>
            <w:r w:rsidR="00532810">
              <w:rPr>
                <w:webHidden/>
              </w:rPr>
              <w:instrText xml:space="preserve"> PAGEREF _Toc21516503 \h </w:instrText>
            </w:r>
            <w:r w:rsidR="00532810">
              <w:rPr>
                <w:webHidden/>
              </w:rPr>
            </w:r>
            <w:r w:rsidR="00532810">
              <w:rPr>
                <w:webHidden/>
              </w:rPr>
              <w:fldChar w:fldCharType="separate"/>
            </w:r>
            <w:r>
              <w:rPr>
                <w:webHidden/>
              </w:rPr>
              <w:t>2</w:t>
            </w:r>
            <w:r w:rsidR="00532810">
              <w:rPr>
                <w:webHidden/>
              </w:rPr>
              <w:fldChar w:fldCharType="end"/>
            </w:r>
          </w:hyperlink>
        </w:p>
        <w:p w14:paraId="70E7BB9C" w14:textId="73ADBFCC" w:rsidR="00532810" w:rsidRDefault="003E1533">
          <w:pPr>
            <w:pStyle w:val="TOC1"/>
            <w:rPr>
              <w:rFonts w:asciiTheme="minorHAnsi" w:eastAsiaTheme="minorEastAsia" w:hAnsiTheme="minorHAnsi" w:cstheme="minorBidi"/>
              <w:sz w:val="22"/>
              <w:szCs w:val="22"/>
              <w:lang w:eastAsia="lv-LV"/>
            </w:rPr>
          </w:pPr>
          <w:hyperlink w:anchor="_Toc21516504" w:history="1">
            <w:r w:rsidR="00532810" w:rsidRPr="004A1CBE">
              <w:rPr>
                <w:rStyle w:val="Hyperlink"/>
              </w:rPr>
              <w:t>Tabula 2.b: Vispārējās valdības parāda attīstība 2019.–2020.gadā</w:t>
            </w:r>
            <w:r w:rsidR="00532810">
              <w:rPr>
                <w:webHidden/>
              </w:rPr>
              <w:tab/>
            </w:r>
            <w:r w:rsidR="00532810">
              <w:rPr>
                <w:webHidden/>
              </w:rPr>
              <w:fldChar w:fldCharType="begin"/>
            </w:r>
            <w:r w:rsidR="00532810">
              <w:rPr>
                <w:webHidden/>
              </w:rPr>
              <w:instrText xml:space="preserve"> PAGEREF _Toc21516504 \h </w:instrText>
            </w:r>
            <w:r w:rsidR="00532810">
              <w:rPr>
                <w:webHidden/>
              </w:rPr>
            </w:r>
            <w:r w:rsidR="00532810">
              <w:rPr>
                <w:webHidden/>
              </w:rPr>
              <w:fldChar w:fldCharType="separate"/>
            </w:r>
            <w:r>
              <w:rPr>
                <w:webHidden/>
              </w:rPr>
              <w:t>2</w:t>
            </w:r>
            <w:r w:rsidR="00532810">
              <w:rPr>
                <w:webHidden/>
              </w:rPr>
              <w:fldChar w:fldCharType="end"/>
            </w:r>
          </w:hyperlink>
        </w:p>
        <w:p w14:paraId="051535A7" w14:textId="08523A7E" w:rsidR="00532810" w:rsidRDefault="003E1533">
          <w:pPr>
            <w:pStyle w:val="TOC1"/>
            <w:rPr>
              <w:rFonts w:asciiTheme="minorHAnsi" w:eastAsiaTheme="minorEastAsia" w:hAnsiTheme="minorHAnsi" w:cstheme="minorBidi"/>
              <w:sz w:val="22"/>
              <w:szCs w:val="22"/>
              <w:lang w:eastAsia="lv-LV"/>
            </w:rPr>
          </w:pPr>
          <w:hyperlink w:anchor="_Toc21516505" w:history="1">
            <w:r w:rsidR="00532810" w:rsidRPr="004A1CBE">
              <w:rPr>
                <w:rStyle w:val="Hyperlink"/>
              </w:rPr>
              <w:t>Tabula 2.c: Netiešās saistības</w:t>
            </w:r>
            <w:r w:rsidR="00532810">
              <w:rPr>
                <w:webHidden/>
              </w:rPr>
              <w:tab/>
            </w:r>
            <w:r w:rsidR="00532810">
              <w:rPr>
                <w:webHidden/>
              </w:rPr>
              <w:fldChar w:fldCharType="begin"/>
            </w:r>
            <w:r w:rsidR="00532810">
              <w:rPr>
                <w:webHidden/>
              </w:rPr>
              <w:instrText xml:space="preserve"> PAGEREF _Toc21516505 \h </w:instrText>
            </w:r>
            <w:r w:rsidR="00532810">
              <w:rPr>
                <w:webHidden/>
              </w:rPr>
            </w:r>
            <w:r w:rsidR="00532810">
              <w:rPr>
                <w:webHidden/>
              </w:rPr>
              <w:fldChar w:fldCharType="separate"/>
            </w:r>
            <w:r>
              <w:rPr>
                <w:webHidden/>
              </w:rPr>
              <w:t>2</w:t>
            </w:r>
            <w:r w:rsidR="00532810">
              <w:rPr>
                <w:webHidden/>
              </w:rPr>
              <w:fldChar w:fldCharType="end"/>
            </w:r>
          </w:hyperlink>
        </w:p>
        <w:p w14:paraId="19B80363" w14:textId="26E16D03" w:rsidR="00532810" w:rsidRDefault="003E1533">
          <w:pPr>
            <w:pStyle w:val="TOC1"/>
            <w:rPr>
              <w:rFonts w:asciiTheme="minorHAnsi" w:eastAsiaTheme="minorEastAsia" w:hAnsiTheme="minorHAnsi" w:cstheme="minorBidi"/>
              <w:sz w:val="22"/>
              <w:szCs w:val="22"/>
              <w:lang w:eastAsia="lv-LV"/>
            </w:rPr>
          </w:pPr>
          <w:hyperlink w:anchor="_Toc21516506" w:history="1">
            <w:r w:rsidR="00532810" w:rsidRPr="004A1CBE">
              <w:rPr>
                <w:rStyle w:val="Hyperlink"/>
              </w:rPr>
              <w:t>Tabula 3: Vispārējās valdības izdevumu un ieņēmumu prognozes pie nemainīgas politikas sadalījumā pa galvenajām komponentēm</w:t>
            </w:r>
            <w:r w:rsidR="00532810">
              <w:rPr>
                <w:webHidden/>
              </w:rPr>
              <w:tab/>
            </w:r>
            <w:r w:rsidR="00532810">
              <w:rPr>
                <w:webHidden/>
              </w:rPr>
              <w:fldChar w:fldCharType="begin"/>
            </w:r>
            <w:r w:rsidR="00532810">
              <w:rPr>
                <w:webHidden/>
              </w:rPr>
              <w:instrText xml:space="preserve"> PAGEREF _Toc21516506 \h </w:instrText>
            </w:r>
            <w:r w:rsidR="00532810">
              <w:rPr>
                <w:webHidden/>
              </w:rPr>
            </w:r>
            <w:r w:rsidR="00532810">
              <w:rPr>
                <w:webHidden/>
              </w:rPr>
              <w:fldChar w:fldCharType="separate"/>
            </w:r>
            <w:r>
              <w:rPr>
                <w:webHidden/>
              </w:rPr>
              <w:t>2</w:t>
            </w:r>
            <w:r w:rsidR="00532810">
              <w:rPr>
                <w:webHidden/>
              </w:rPr>
              <w:fldChar w:fldCharType="end"/>
            </w:r>
          </w:hyperlink>
        </w:p>
        <w:p w14:paraId="4366BDE3" w14:textId="2EC7B884" w:rsidR="00532810" w:rsidRDefault="003E1533">
          <w:pPr>
            <w:pStyle w:val="TOC1"/>
            <w:rPr>
              <w:rFonts w:asciiTheme="minorHAnsi" w:eastAsiaTheme="minorEastAsia" w:hAnsiTheme="minorHAnsi" w:cstheme="minorBidi"/>
              <w:sz w:val="22"/>
              <w:szCs w:val="22"/>
              <w:lang w:eastAsia="lv-LV"/>
            </w:rPr>
          </w:pPr>
          <w:hyperlink w:anchor="_Toc21516507" w:history="1">
            <w:r w:rsidR="00532810" w:rsidRPr="004A1CBE">
              <w:rPr>
                <w:rStyle w:val="Hyperlink"/>
              </w:rPr>
              <w:t>Tabula 4.a: Vispārējās valdības izdevumu un ieņēmumu mērķi sadalījumā pa galvenajām komponentēm</w:t>
            </w:r>
            <w:r w:rsidR="00532810">
              <w:rPr>
                <w:webHidden/>
              </w:rPr>
              <w:tab/>
            </w:r>
            <w:r w:rsidR="00532810">
              <w:rPr>
                <w:webHidden/>
              </w:rPr>
              <w:fldChar w:fldCharType="begin"/>
            </w:r>
            <w:r w:rsidR="00532810">
              <w:rPr>
                <w:webHidden/>
              </w:rPr>
              <w:instrText xml:space="preserve"> PAGEREF _Toc21516507 \h </w:instrText>
            </w:r>
            <w:r w:rsidR="00532810">
              <w:rPr>
                <w:webHidden/>
              </w:rPr>
            </w:r>
            <w:r w:rsidR="00532810">
              <w:rPr>
                <w:webHidden/>
              </w:rPr>
              <w:fldChar w:fldCharType="separate"/>
            </w:r>
            <w:r>
              <w:rPr>
                <w:webHidden/>
              </w:rPr>
              <w:t>2</w:t>
            </w:r>
            <w:r w:rsidR="00532810">
              <w:rPr>
                <w:webHidden/>
              </w:rPr>
              <w:fldChar w:fldCharType="end"/>
            </w:r>
          </w:hyperlink>
        </w:p>
        <w:p w14:paraId="578F8DE5" w14:textId="405D1768" w:rsidR="00532810" w:rsidRDefault="003E1533">
          <w:pPr>
            <w:pStyle w:val="TOC1"/>
            <w:rPr>
              <w:rFonts w:asciiTheme="minorHAnsi" w:eastAsiaTheme="minorEastAsia" w:hAnsiTheme="minorHAnsi" w:cstheme="minorBidi"/>
              <w:sz w:val="22"/>
              <w:szCs w:val="22"/>
              <w:lang w:eastAsia="lv-LV"/>
            </w:rPr>
          </w:pPr>
          <w:hyperlink w:anchor="_Toc21516508" w:history="1">
            <w:r w:rsidR="00532810" w:rsidRPr="004A1CBE">
              <w:rPr>
                <w:rStyle w:val="Hyperlink"/>
              </w:rPr>
              <w:t>Tabula 4.b: Izdevumi, kas tiek izslēgti no izdevumu kritērija</w:t>
            </w:r>
            <w:r w:rsidR="00532810">
              <w:rPr>
                <w:webHidden/>
              </w:rPr>
              <w:tab/>
            </w:r>
            <w:r w:rsidR="00532810">
              <w:rPr>
                <w:webHidden/>
              </w:rPr>
              <w:fldChar w:fldCharType="begin"/>
            </w:r>
            <w:r w:rsidR="00532810">
              <w:rPr>
                <w:webHidden/>
              </w:rPr>
              <w:instrText xml:space="preserve"> PAGEREF _Toc21516508 \h </w:instrText>
            </w:r>
            <w:r w:rsidR="00532810">
              <w:rPr>
                <w:webHidden/>
              </w:rPr>
            </w:r>
            <w:r w:rsidR="00532810">
              <w:rPr>
                <w:webHidden/>
              </w:rPr>
              <w:fldChar w:fldCharType="separate"/>
            </w:r>
            <w:r>
              <w:rPr>
                <w:webHidden/>
              </w:rPr>
              <w:t>2</w:t>
            </w:r>
            <w:r w:rsidR="00532810">
              <w:rPr>
                <w:webHidden/>
              </w:rPr>
              <w:fldChar w:fldCharType="end"/>
            </w:r>
          </w:hyperlink>
        </w:p>
        <w:p w14:paraId="394381A1" w14:textId="175B9A94" w:rsidR="00532810" w:rsidRDefault="003E1533">
          <w:pPr>
            <w:pStyle w:val="TOC1"/>
            <w:rPr>
              <w:rFonts w:asciiTheme="minorHAnsi" w:eastAsiaTheme="minorEastAsia" w:hAnsiTheme="minorHAnsi" w:cstheme="minorBidi"/>
              <w:sz w:val="22"/>
              <w:szCs w:val="22"/>
              <w:lang w:eastAsia="lv-LV"/>
            </w:rPr>
          </w:pPr>
          <w:hyperlink w:anchor="_Toc21516509" w:history="1">
            <w:r w:rsidR="00532810" w:rsidRPr="004A1CBE">
              <w:rPr>
                <w:rStyle w:val="Hyperlink"/>
              </w:rPr>
              <w:t>Tabula 4.c Vispārējās valdības izdevumi funkciju sadalījumā</w:t>
            </w:r>
            <w:r w:rsidR="00532810">
              <w:rPr>
                <w:webHidden/>
              </w:rPr>
              <w:tab/>
            </w:r>
            <w:r w:rsidR="00532810">
              <w:rPr>
                <w:webHidden/>
              </w:rPr>
              <w:fldChar w:fldCharType="begin"/>
            </w:r>
            <w:r w:rsidR="00532810">
              <w:rPr>
                <w:webHidden/>
              </w:rPr>
              <w:instrText xml:space="preserve"> PAGEREF _Toc21516509 \h </w:instrText>
            </w:r>
            <w:r w:rsidR="00532810">
              <w:rPr>
                <w:webHidden/>
              </w:rPr>
            </w:r>
            <w:r w:rsidR="00532810">
              <w:rPr>
                <w:webHidden/>
              </w:rPr>
              <w:fldChar w:fldCharType="separate"/>
            </w:r>
            <w:r>
              <w:rPr>
                <w:webHidden/>
              </w:rPr>
              <w:t>2</w:t>
            </w:r>
            <w:r w:rsidR="00532810">
              <w:rPr>
                <w:webHidden/>
              </w:rPr>
              <w:fldChar w:fldCharType="end"/>
            </w:r>
          </w:hyperlink>
        </w:p>
        <w:p w14:paraId="6DD0C57E" w14:textId="011F0AB3" w:rsidR="00532810" w:rsidRDefault="003E1533">
          <w:pPr>
            <w:pStyle w:val="TOC1"/>
            <w:rPr>
              <w:rFonts w:asciiTheme="minorHAnsi" w:eastAsiaTheme="minorEastAsia" w:hAnsiTheme="minorHAnsi" w:cstheme="minorBidi"/>
              <w:sz w:val="22"/>
              <w:szCs w:val="22"/>
              <w:lang w:eastAsia="lv-LV"/>
            </w:rPr>
          </w:pPr>
          <w:hyperlink w:anchor="_Toc21516510" w:history="1">
            <w:r w:rsidR="00532810" w:rsidRPr="004A1CBE">
              <w:rPr>
                <w:rStyle w:val="Hyperlink"/>
              </w:rPr>
              <w:t>Tabula 4.c.i) Vispārējās valdības izdevumi izglītībai, veselības aprūpei un nodarbinātībai</w:t>
            </w:r>
            <w:r w:rsidR="00532810">
              <w:rPr>
                <w:webHidden/>
              </w:rPr>
              <w:tab/>
            </w:r>
            <w:r w:rsidR="00532810">
              <w:rPr>
                <w:webHidden/>
              </w:rPr>
              <w:fldChar w:fldCharType="begin"/>
            </w:r>
            <w:r w:rsidR="00532810">
              <w:rPr>
                <w:webHidden/>
              </w:rPr>
              <w:instrText xml:space="preserve"> PAGEREF _Toc21516510 \h </w:instrText>
            </w:r>
            <w:r w:rsidR="00532810">
              <w:rPr>
                <w:webHidden/>
              </w:rPr>
            </w:r>
            <w:r w:rsidR="00532810">
              <w:rPr>
                <w:webHidden/>
              </w:rPr>
              <w:fldChar w:fldCharType="separate"/>
            </w:r>
            <w:r>
              <w:rPr>
                <w:webHidden/>
              </w:rPr>
              <w:t>2</w:t>
            </w:r>
            <w:r w:rsidR="00532810">
              <w:rPr>
                <w:webHidden/>
              </w:rPr>
              <w:fldChar w:fldCharType="end"/>
            </w:r>
          </w:hyperlink>
        </w:p>
        <w:p w14:paraId="7D3561F7" w14:textId="1962A00E" w:rsidR="00532810" w:rsidRDefault="003E1533">
          <w:pPr>
            <w:pStyle w:val="TOC1"/>
            <w:rPr>
              <w:rFonts w:asciiTheme="minorHAnsi" w:eastAsiaTheme="minorEastAsia" w:hAnsiTheme="minorHAnsi" w:cstheme="minorBidi"/>
              <w:sz w:val="22"/>
              <w:szCs w:val="22"/>
              <w:lang w:eastAsia="lv-LV"/>
            </w:rPr>
          </w:pPr>
          <w:hyperlink w:anchor="_Toc21516511" w:history="1">
            <w:r w:rsidR="00532810" w:rsidRPr="004A1CBE">
              <w:rPr>
                <w:rStyle w:val="Hyperlink"/>
              </w:rPr>
              <w:t>Tabula 4.c.ii) Vispārējās valdības izdevumi funkciju sadalījumā</w:t>
            </w:r>
            <w:r w:rsidR="00532810">
              <w:rPr>
                <w:webHidden/>
              </w:rPr>
              <w:tab/>
            </w:r>
            <w:r w:rsidR="00532810">
              <w:rPr>
                <w:webHidden/>
              </w:rPr>
              <w:fldChar w:fldCharType="begin"/>
            </w:r>
            <w:r w:rsidR="00532810">
              <w:rPr>
                <w:webHidden/>
              </w:rPr>
              <w:instrText xml:space="preserve"> PAGEREF _Toc21516511 \h </w:instrText>
            </w:r>
            <w:r w:rsidR="00532810">
              <w:rPr>
                <w:webHidden/>
              </w:rPr>
            </w:r>
            <w:r w:rsidR="00532810">
              <w:rPr>
                <w:webHidden/>
              </w:rPr>
              <w:fldChar w:fldCharType="separate"/>
            </w:r>
            <w:r>
              <w:rPr>
                <w:webHidden/>
              </w:rPr>
              <w:t>2</w:t>
            </w:r>
            <w:r w:rsidR="00532810">
              <w:rPr>
                <w:webHidden/>
              </w:rPr>
              <w:fldChar w:fldCharType="end"/>
            </w:r>
          </w:hyperlink>
        </w:p>
        <w:p w14:paraId="03FC2FDA" w14:textId="41D420FA" w:rsidR="00532810" w:rsidRDefault="003E1533">
          <w:pPr>
            <w:pStyle w:val="TOC1"/>
            <w:rPr>
              <w:rFonts w:asciiTheme="minorHAnsi" w:eastAsiaTheme="minorEastAsia" w:hAnsiTheme="minorHAnsi" w:cstheme="minorBidi"/>
              <w:sz w:val="22"/>
              <w:szCs w:val="22"/>
              <w:lang w:eastAsia="lv-LV"/>
            </w:rPr>
          </w:pPr>
          <w:hyperlink w:anchor="_Toc21516512" w:history="1">
            <w:r w:rsidR="00532810" w:rsidRPr="004A1CBE">
              <w:rPr>
                <w:rStyle w:val="Hyperlink"/>
              </w:rPr>
              <w:t>Vidēja termiņa budžeta politikas prioritāro attīstības virzienu īstenošana</w:t>
            </w:r>
            <w:r w:rsidR="00532810">
              <w:rPr>
                <w:webHidden/>
              </w:rPr>
              <w:tab/>
            </w:r>
            <w:r w:rsidR="00532810">
              <w:rPr>
                <w:webHidden/>
              </w:rPr>
              <w:fldChar w:fldCharType="begin"/>
            </w:r>
            <w:r w:rsidR="00532810">
              <w:rPr>
                <w:webHidden/>
              </w:rPr>
              <w:instrText xml:space="preserve"> PAGEREF _Toc21516512 \h </w:instrText>
            </w:r>
            <w:r w:rsidR="00532810">
              <w:rPr>
                <w:webHidden/>
              </w:rPr>
            </w:r>
            <w:r w:rsidR="00532810">
              <w:rPr>
                <w:webHidden/>
              </w:rPr>
              <w:fldChar w:fldCharType="separate"/>
            </w:r>
            <w:r>
              <w:rPr>
                <w:webHidden/>
              </w:rPr>
              <w:t>2</w:t>
            </w:r>
            <w:r w:rsidR="00532810">
              <w:rPr>
                <w:webHidden/>
              </w:rPr>
              <w:fldChar w:fldCharType="end"/>
            </w:r>
          </w:hyperlink>
        </w:p>
        <w:p w14:paraId="7CC4800E" w14:textId="2190FD04" w:rsidR="00532810" w:rsidRDefault="003E1533">
          <w:pPr>
            <w:pStyle w:val="TOC1"/>
            <w:rPr>
              <w:rFonts w:asciiTheme="minorHAnsi" w:eastAsiaTheme="minorEastAsia" w:hAnsiTheme="minorHAnsi" w:cstheme="minorBidi"/>
              <w:sz w:val="22"/>
              <w:szCs w:val="22"/>
              <w:lang w:eastAsia="lv-LV"/>
            </w:rPr>
          </w:pPr>
          <w:hyperlink w:anchor="_Toc21516513" w:history="1">
            <w:r w:rsidR="00532810" w:rsidRPr="004A1CBE">
              <w:rPr>
                <w:rStyle w:val="Hyperlink"/>
              </w:rPr>
              <w:t>Tabula 5: Diskrecionāro pasākumu apraksts, kas iekļauti budžeta projektā</w:t>
            </w:r>
            <w:r w:rsidR="00532810">
              <w:rPr>
                <w:webHidden/>
              </w:rPr>
              <w:tab/>
            </w:r>
            <w:r w:rsidR="00532810">
              <w:rPr>
                <w:webHidden/>
              </w:rPr>
              <w:fldChar w:fldCharType="begin"/>
            </w:r>
            <w:r w:rsidR="00532810">
              <w:rPr>
                <w:webHidden/>
              </w:rPr>
              <w:instrText xml:space="preserve"> PAGEREF _Toc21516513 \h </w:instrText>
            </w:r>
            <w:r w:rsidR="00532810">
              <w:rPr>
                <w:webHidden/>
              </w:rPr>
            </w:r>
            <w:r w:rsidR="00532810">
              <w:rPr>
                <w:webHidden/>
              </w:rPr>
              <w:fldChar w:fldCharType="separate"/>
            </w:r>
            <w:r>
              <w:rPr>
                <w:webHidden/>
              </w:rPr>
              <w:t>2</w:t>
            </w:r>
            <w:r w:rsidR="00532810">
              <w:rPr>
                <w:webHidden/>
              </w:rPr>
              <w:fldChar w:fldCharType="end"/>
            </w:r>
          </w:hyperlink>
        </w:p>
        <w:p w14:paraId="19718C54" w14:textId="10F8539F" w:rsidR="00532810" w:rsidRDefault="003E1533">
          <w:pPr>
            <w:pStyle w:val="TOC1"/>
            <w:rPr>
              <w:rFonts w:asciiTheme="minorHAnsi" w:eastAsiaTheme="minorEastAsia" w:hAnsiTheme="minorHAnsi" w:cstheme="minorBidi"/>
              <w:sz w:val="22"/>
              <w:szCs w:val="22"/>
              <w:lang w:eastAsia="lv-LV"/>
            </w:rPr>
          </w:pPr>
          <w:hyperlink w:anchor="_Toc21516514" w:history="1">
            <w:r w:rsidR="00532810" w:rsidRPr="004A1CBE">
              <w:rPr>
                <w:rStyle w:val="Hyperlink"/>
              </w:rPr>
              <w:t>Tabula 5.a.i): Diskrecionārie ieņēmumu pasākumi vispārējās valdības budžetā</w:t>
            </w:r>
            <w:r w:rsidR="00532810">
              <w:rPr>
                <w:webHidden/>
              </w:rPr>
              <w:tab/>
            </w:r>
            <w:r w:rsidR="00532810">
              <w:rPr>
                <w:webHidden/>
              </w:rPr>
              <w:fldChar w:fldCharType="begin"/>
            </w:r>
            <w:r w:rsidR="00532810">
              <w:rPr>
                <w:webHidden/>
              </w:rPr>
              <w:instrText xml:space="preserve"> PAGEREF _Toc21516514 \h </w:instrText>
            </w:r>
            <w:r w:rsidR="00532810">
              <w:rPr>
                <w:webHidden/>
              </w:rPr>
            </w:r>
            <w:r w:rsidR="00532810">
              <w:rPr>
                <w:webHidden/>
              </w:rPr>
              <w:fldChar w:fldCharType="separate"/>
            </w:r>
            <w:r>
              <w:rPr>
                <w:webHidden/>
              </w:rPr>
              <w:t>2</w:t>
            </w:r>
            <w:r w:rsidR="00532810">
              <w:rPr>
                <w:webHidden/>
              </w:rPr>
              <w:fldChar w:fldCharType="end"/>
            </w:r>
          </w:hyperlink>
        </w:p>
        <w:p w14:paraId="34213414" w14:textId="7A7F767D" w:rsidR="00532810" w:rsidRDefault="003E1533">
          <w:pPr>
            <w:pStyle w:val="TOC1"/>
            <w:rPr>
              <w:rFonts w:asciiTheme="minorHAnsi" w:eastAsiaTheme="minorEastAsia" w:hAnsiTheme="minorHAnsi" w:cstheme="minorBidi"/>
              <w:sz w:val="22"/>
              <w:szCs w:val="22"/>
              <w:lang w:eastAsia="lv-LV"/>
            </w:rPr>
          </w:pPr>
          <w:hyperlink w:anchor="_Toc21516515" w:history="1">
            <w:r w:rsidR="00532810" w:rsidRPr="004A1CBE">
              <w:rPr>
                <w:rStyle w:val="Hyperlink"/>
              </w:rPr>
              <w:t>Tabula 5.a.ii) Diskrecionārie izdevumu pasākumi vispārējās valdības budžetā</w:t>
            </w:r>
            <w:r w:rsidR="00532810">
              <w:rPr>
                <w:webHidden/>
              </w:rPr>
              <w:tab/>
            </w:r>
            <w:r w:rsidR="00532810">
              <w:rPr>
                <w:webHidden/>
              </w:rPr>
              <w:fldChar w:fldCharType="begin"/>
            </w:r>
            <w:r w:rsidR="00532810">
              <w:rPr>
                <w:webHidden/>
              </w:rPr>
              <w:instrText xml:space="preserve"> PAGEREF _Toc21516515 \h </w:instrText>
            </w:r>
            <w:r w:rsidR="00532810">
              <w:rPr>
                <w:webHidden/>
              </w:rPr>
            </w:r>
            <w:r w:rsidR="00532810">
              <w:rPr>
                <w:webHidden/>
              </w:rPr>
              <w:fldChar w:fldCharType="separate"/>
            </w:r>
            <w:r>
              <w:rPr>
                <w:webHidden/>
              </w:rPr>
              <w:t>2</w:t>
            </w:r>
            <w:r w:rsidR="00532810">
              <w:rPr>
                <w:webHidden/>
              </w:rPr>
              <w:fldChar w:fldCharType="end"/>
            </w:r>
          </w:hyperlink>
        </w:p>
        <w:p w14:paraId="78D7BAA1" w14:textId="7F22FC65" w:rsidR="00532810" w:rsidRDefault="003E1533">
          <w:pPr>
            <w:pStyle w:val="TOC1"/>
            <w:rPr>
              <w:rFonts w:asciiTheme="minorHAnsi" w:eastAsiaTheme="minorEastAsia" w:hAnsiTheme="minorHAnsi" w:cstheme="minorBidi"/>
              <w:sz w:val="22"/>
              <w:szCs w:val="22"/>
              <w:lang w:eastAsia="lv-LV"/>
            </w:rPr>
          </w:pPr>
          <w:hyperlink w:anchor="_Toc21516516" w:history="1">
            <w:r w:rsidR="00532810" w:rsidRPr="004A1CBE">
              <w:rPr>
                <w:rStyle w:val="Hyperlink"/>
              </w:rPr>
              <w:t>Tabula 5.b.i): Diskrecionārie ieņēmumu pasākumi centrālās valdības budžetā</w:t>
            </w:r>
            <w:r w:rsidR="00532810">
              <w:rPr>
                <w:webHidden/>
              </w:rPr>
              <w:tab/>
            </w:r>
            <w:r w:rsidR="00532810">
              <w:rPr>
                <w:webHidden/>
              </w:rPr>
              <w:fldChar w:fldCharType="begin"/>
            </w:r>
            <w:r w:rsidR="00532810">
              <w:rPr>
                <w:webHidden/>
              </w:rPr>
              <w:instrText xml:space="preserve"> PAGEREF _Toc21516516 \h </w:instrText>
            </w:r>
            <w:r w:rsidR="00532810">
              <w:rPr>
                <w:webHidden/>
              </w:rPr>
            </w:r>
            <w:r w:rsidR="00532810">
              <w:rPr>
                <w:webHidden/>
              </w:rPr>
              <w:fldChar w:fldCharType="separate"/>
            </w:r>
            <w:r>
              <w:rPr>
                <w:webHidden/>
              </w:rPr>
              <w:t>2</w:t>
            </w:r>
            <w:r w:rsidR="00532810">
              <w:rPr>
                <w:webHidden/>
              </w:rPr>
              <w:fldChar w:fldCharType="end"/>
            </w:r>
          </w:hyperlink>
        </w:p>
        <w:p w14:paraId="071FAAC1" w14:textId="4B1A02F9" w:rsidR="00532810" w:rsidRDefault="003E1533">
          <w:pPr>
            <w:pStyle w:val="TOC1"/>
            <w:rPr>
              <w:rFonts w:asciiTheme="minorHAnsi" w:eastAsiaTheme="minorEastAsia" w:hAnsiTheme="minorHAnsi" w:cstheme="minorBidi"/>
              <w:sz w:val="22"/>
              <w:szCs w:val="22"/>
              <w:lang w:eastAsia="lv-LV"/>
            </w:rPr>
          </w:pPr>
          <w:hyperlink w:anchor="_Toc21516517" w:history="1">
            <w:r w:rsidR="00532810" w:rsidRPr="004A1CBE">
              <w:rPr>
                <w:rStyle w:val="Hyperlink"/>
              </w:rPr>
              <w:t>Tabula 5.b.ii): Diskrecionārie izdevumi pasākumi centrālās valdības budžetā</w:t>
            </w:r>
            <w:r w:rsidR="00532810">
              <w:rPr>
                <w:webHidden/>
              </w:rPr>
              <w:tab/>
            </w:r>
            <w:r w:rsidR="00532810">
              <w:rPr>
                <w:webHidden/>
              </w:rPr>
              <w:fldChar w:fldCharType="begin"/>
            </w:r>
            <w:r w:rsidR="00532810">
              <w:rPr>
                <w:webHidden/>
              </w:rPr>
              <w:instrText xml:space="preserve"> PAGEREF _Toc21516517 \h </w:instrText>
            </w:r>
            <w:r w:rsidR="00532810">
              <w:rPr>
                <w:webHidden/>
              </w:rPr>
            </w:r>
            <w:r w:rsidR="00532810">
              <w:rPr>
                <w:webHidden/>
              </w:rPr>
              <w:fldChar w:fldCharType="separate"/>
            </w:r>
            <w:r>
              <w:rPr>
                <w:webHidden/>
              </w:rPr>
              <w:t>2</w:t>
            </w:r>
            <w:r w:rsidR="00532810">
              <w:rPr>
                <w:webHidden/>
              </w:rPr>
              <w:fldChar w:fldCharType="end"/>
            </w:r>
          </w:hyperlink>
        </w:p>
        <w:p w14:paraId="64E64FC1" w14:textId="154B221D" w:rsidR="00532810" w:rsidRDefault="003E1533">
          <w:pPr>
            <w:pStyle w:val="TOC1"/>
            <w:rPr>
              <w:rFonts w:asciiTheme="minorHAnsi" w:eastAsiaTheme="minorEastAsia" w:hAnsiTheme="minorHAnsi" w:cstheme="minorBidi"/>
              <w:sz w:val="22"/>
              <w:szCs w:val="22"/>
              <w:lang w:eastAsia="lv-LV"/>
            </w:rPr>
          </w:pPr>
          <w:hyperlink w:anchor="_Toc21516518" w:history="1">
            <w:r w:rsidR="00532810" w:rsidRPr="004A1CBE">
              <w:rPr>
                <w:rStyle w:val="Hyperlink"/>
              </w:rPr>
              <w:t>Tabula 5.c: Diskrecionārie ieņēmumu pasākumi vietējās valdības budžetā</w:t>
            </w:r>
            <w:r w:rsidR="00532810">
              <w:rPr>
                <w:webHidden/>
              </w:rPr>
              <w:tab/>
            </w:r>
            <w:r w:rsidR="00532810">
              <w:rPr>
                <w:webHidden/>
              </w:rPr>
              <w:fldChar w:fldCharType="begin"/>
            </w:r>
            <w:r w:rsidR="00532810">
              <w:rPr>
                <w:webHidden/>
              </w:rPr>
              <w:instrText xml:space="preserve"> PAGEREF _Toc21516518 \h </w:instrText>
            </w:r>
            <w:r w:rsidR="00532810">
              <w:rPr>
                <w:webHidden/>
              </w:rPr>
            </w:r>
            <w:r w:rsidR="00532810">
              <w:rPr>
                <w:webHidden/>
              </w:rPr>
              <w:fldChar w:fldCharType="separate"/>
            </w:r>
            <w:r>
              <w:rPr>
                <w:webHidden/>
              </w:rPr>
              <w:t>2</w:t>
            </w:r>
            <w:r w:rsidR="00532810">
              <w:rPr>
                <w:webHidden/>
              </w:rPr>
              <w:fldChar w:fldCharType="end"/>
            </w:r>
          </w:hyperlink>
        </w:p>
        <w:p w14:paraId="728E8E4E" w14:textId="09A4EA28" w:rsidR="00532810" w:rsidRDefault="003E1533">
          <w:pPr>
            <w:pStyle w:val="TOC1"/>
            <w:rPr>
              <w:rFonts w:asciiTheme="minorHAnsi" w:eastAsiaTheme="minorEastAsia" w:hAnsiTheme="minorHAnsi" w:cstheme="minorBidi"/>
              <w:sz w:val="22"/>
              <w:szCs w:val="22"/>
              <w:lang w:eastAsia="lv-LV"/>
            </w:rPr>
          </w:pPr>
          <w:hyperlink w:anchor="_Toc21516519" w:history="1">
            <w:r w:rsidR="00532810" w:rsidRPr="004A1CBE">
              <w:rPr>
                <w:rStyle w:val="Hyperlink"/>
              </w:rPr>
              <w:t>Tabula 6.a Valstu specifiskās rekomendācijas</w:t>
            </w:r>
            <w:r w:rsidR="00532810">
              <w:rPr>
                <w:webHidden/>
              </w:rPr>
              <w:tab/>
            </w:r>
            <w:r w:rsidR="00532810">
              <w:rPr>
                <w:webHidden/>
              </w:rPr>
              <w:fldChar w:fldCharType="begin"/>
            </w:r>
            <w:r w:rsidR="00532810">
              <w:rPr>
                <w:webHidden/>
              </w:rPr>
              <w:instrText xml:space="preserve"> PAGEREF _Toc21516519 \h </w:instrText>
            </w:r>
            <w:r w:rsidR="00532810">
              <w:rPr>
                <w:webHidden/>
              </w:rPr>
            </w:r>
            <w:r w:rsidR="00532810">
              <w:rPr>
                <w:webHidden/>
              </w:rPr>
              <w:fldChar w:fldCharType="separate"/>
            </w:r>
            <w:r>
              <w:rPr>
                <w:webHidden/>
              </w:rPr>
              <w:t>2</w:t>
            </w:r>
            <w:r w:rsidR="00532810">
              <w:rPr>
                <w:webHidden/>
              </w:rPr>
              <w:fldChar w:fldCharType="end"/>
            </w:r>
          </w:hyperlink>
        </w:p>
        <w:p w14:paraId="61F63574" w14:textId="21FCF154" w:rsidR="00532810" w:rsidRDefault="003E1533">
          <w:pPr>
            <w:pStyle w:val="TOC1"/>
            <w:rPr>
              <w:rFonts w:asciiTheme="minorHAnsi" w:eastAsiaTheme="minorEastAsia" w:hAnsiTheme="minorHAnsi" w:cstheme="minorBidi"/>
              <w:sz w:val="22"/>
              <w:szCs w:val="22"/>
              <w:lang w:eastAsia="lv-LV"/>
            </w:rPr>
          </w:pPr>
          <w:hyperlink w:anchor="_Toc21516520" w:history="1">
            <w:r w:rsidR="00532810" w:rsidRPr="004A1CBE">
              <w:rPr>
                <w:rStyle w:val="Hyperlink"/>
              </w:rPr>
              <w:t>Tabula 6.b ES Stratēģijas noteiktie mērķi attiecibā uz izaugsmi un darbu</w:t>
            </w:r>
            <w:r w:rsidR="00532810">
              <w:rPr>
                <w:webHidden/>
              </w:rPr>
              <w:tab/>
            </w:r>
            <w:r w:rsidR="00532810">
              <w:rPr>
                <w:webHidden/>
              </w:rPr>
              <w:fldChar w:fldCharType="begin"/>
            </w:r>
            <w:r w:rsidR="00532810">
              <w:rPr>
                <w:webHidden/>
              </w:rPr>
              <w:instrText xml:space="preserve"> PAGEREF _Toc21516520 \h </w:instrText>
            </w:r>
            <w:r w:rsidR="00532810">
              <w:rPr>
                <w:webHidden/>
              </w:rPr>
            </w:r>
            <w:r w:rsidR="00532810">
              <w:rPr>
                <w:webHidden/>
              </w:rPr>
              <w:fldChar w:fldCharType="separate"/>
            </w:r>
            <w:r>
              <w:rPr>
                <w:webHidden/>
              </w:rPr>
              <w:t>2</w:t>
            </w:r>
            <w:r w:rsidR="00532810">
              <w:rPr>
                <w:webHidden/>
              </w:rPr>
              <w:fldChar w:fldCharType="end"/>
            </w:r>
          </w:hyperlink>
        </w:p>
        <w:p w14:paraId="3D6D8B5E" w14:textId="7564AA67" w:rsidR="00532810" w:rsidRDefault="003E1533">
          <w:pPr>
            <w:pStyle w:val="TOC1"/>
            <w:rPr>
              <w:rFonts w:asciiTheme="minorHAnsi" w:eastAsiaTheme="minorEastAsia" w:hAnsiTheme="minorHAnsi" w:cstheme="minorBidi"/>
              <w:sz w:val="22"/>
              <w:szCs w:val="22"/>
              <w:lang w:eastAsia="lv-LV"/>
            </w:rPr>
          </w:pPr>
          <w:hyperlink w:anchor="_Toc21516521" w:history="1">
            <w:r w:rsidR="00532810" w:rsidRPr="004A1CBE">
              <w:rPr>
                <w:rStyle w:val="Hyperlink"/>
              </w:rPr>
              <w:t>Tabula 7: Salīdzinājums ar Stabilitātes programmu 2019.–2022.gadam</w:t>
            </w:r>
            <w:r w:rsidR="00532810">
              <w:rPr>
                <w:webHidden/>
              </w:rPr>
              <w:tab/>
            </w:r>
            <w:r w:rsidR="00532810">
              <w:rPr>
                <w:webHidden/>
              </w:rPr>
              <w:fldChar w:fldCharType="begin"/>
            </w:r>
            <w:r w:rsidR="00532810">
              <w:rPr>
                <w:webHidden/>
              </w:rPr>
              <w:instrText xml:space="preserve"> PAGEREF _Toc21516521 \h </w:instrText>
            </w:r>
            <w:r w:rsidR="00532810">
              <w:rPr>
                <w:webHidden/>
              </w:rPr>
            </w:r>
            <w:r w:rsidR="00532810">
              <w:rPr>
                <w:webHidden/>
              </w:rPr>
              <w:fldChar w:fldCharType="separate"/>
            </w:r>
            <w:r>
              <w:rPr>
                <w:webHidden/>
              </w:rPr>
              <w:t>2</w:t>
            </w:r>
            <w:r w:rsidR="00532810">
              <w:rPr>
                <w:webHidden/>
              </w:rPr>
              <w:fldChar w:fldCharType="end"/>
            </w:r>
          </w:hyperlink>
        </w:p>
        <w:p w14:paraId="2E886207" w14:textId="7DB59294" w:rsidR="00532810" w:rsidRDefault="003E1533">
          <w:pPr>
            <w:pStyle w:val="TOC1"/>
            <w:rPr>
              <w:rFonts w:asciiTheme="minorHAnsi" w:eastAsiaTheme="minorEastAsia" w:hAnsiTheme="minorHAnsi" w:cstheme="minorBidi"/>
              <w:sz w:val="22"/>
              <w:szCs w:val="22"/>
              <w:lang w:eastAsia="lv-LV"/>
            </w:rPr>
          </w:pPr>
          <w:hyperlink w:anchor="_Toc21516522" w:history="1">
            <w:r w:rsidR="00532810" w:rsidRPr="004A1CBE">
              <w:rPr>
                <w:rStyle w:val="Hyperlink"/>
              </w:rPr>
              <w:t>Pielikums: Metodoloģiskie aspekti</w:t>
            </w:r>
            <w:r w:rsidR="00532810">
              <w:rPr>
                <w:webHidden/>
              </w:rPr>
              <w:tab/>
            </w:r>
            <w:r w:rsidR="00532810">
              <w:rPr>
                <w:webHidden/>
              </w:rPr>
              <w:fldChar w:fldCharType="begin"/>
            </w:r>
            <w:r w:rsidR="00532810">
              <w:rPr>
                <w:webHidden/>
              </w:rPr>
              <w:instrText xml:space="preserve"> PAGEREF _Toc21516522 \h </w:instrText>
            </w:r>
            <w:r w:rsidR="00532810">
              <w:rPr>
                <w:webHidden/>
              </w:rPr>
            </w:r>
            <w:r w:rsidR="00532810">
              <w:rPr>
                <w:webHidden/>
              </w:rPr>
              <w:fldChar w:fldCharType="separate"/>
            </w:r>
            <w:r>
              <w:rPr>
                <w:webHidden/>
              </w:rPr>
              <w:t>2</w:t>
            </w:r>
            <w:r w:rsidR="00532810">
              <w:rPr>
                <w:webHidden/>
              </w:rPr>
              <w:fldChar w:fldCharType="end"/>
            </w:r>
          </w:hyperlink>
        </w:p>
        <w:p w14:paraId="4F118AB7" w14:textId="2456D898" w:rsidR="007369A9" w:rsidRDefault="007369A9">
          <w:r>
            <w:rPr>
              <w:b/>
              <w:bCs/>
              <w:noProof/>
            </w:rPr>
            <w:fldChar w:fldCharType="end"/>
          </w:r>
        </w:p>
      </w:sdtContent>
    </w:sdt>
    <w:p w14:paraId="6F036386" w14:textId="77777777" w:rsidR="00A922FB" w:rsidRDefault="00A922FB">
      <w:pPr>
        <w:spacing w:after="0"/>
        <w:ind w:firstLine="0"/>
        <w:jc w:val="left"/>
        <w:rPr>
          <w:color w:val="18185E"/>
          <w:sz w:val="28"/>
        </w:rPr>
      </w:pPr>
    </w:p>
    <w:p w14:paraId="700DEBBC" w14:textId="77777777" w:rsidR="001A1170" w:rsidRDefault="001A1170">
      <w:pPr>
        <w:spacing w:after="0"/>
        <w:ind w:firstLine="0"/>
        <w:jc w:val="left"/>
        <w:rPr>
          <w:color w:val="18185E"/>
          <w:sz w:val="28"/>
        </w:rPr>
      </w:pPr>
      <w:r>
        <w:rPr>
          <w:color w:val="18185E"/>
          <w:sz w:val="28"/>
        </w:rPr>
        <w:br w:type="page"/>
      </w:r>
    </w:p>
    <w:p w14:paraId="61198667" w14:textId="77777777" w:rsidR="001A1170" w:rsidRPr="001A1170" w:rsidRDefault="001A1170" w:rsidP="001A1170">
      <w:pPr>
        <w:pStyle w:val="Heading1"/>
        <w:tabs>
          <w:tab w:val="left" w:pos="1276"/>
        </w:tabs>
        <w:spacing w:before="0" w:after="240"/>
        <w:jc w:val="center"/>
        <w:rPr>
          <w:rFonts w:ascii="Times New Roman" w:hAnsi="Times New Roman"/>
          <w:color w:val="18185E"/>
          <w:sz w:val="28"/>
        </w:rPr>
      </w:pPr>
      <w:bookmarkStart w:id="0" w:name="_Toc494786334"/>
      <w:bookmarkStart w:id="1" w:name="_Toc21516494"/>
      <w:r w:rsidRPr="001A1170">
        <w:rPr>
          <w:rFonts w:ascii="Times New Roman" w:hAnsi="Times New Roman"/>
          <w:color w:val="18185E"/>
          <w:sz w:val="28"/>
        </w:rPr>
        <w:lastRenderedPageBreak/>
        <w:t>Saīsinājumu apzīmējumi</w:t>
      </w:r>
      <w:bookmarkEnd w:id="0"/>
      <w:bookmarkEnd w:id="1"/>
    </w:p>
    <w:p w14:paraId="392A1134" w14:textId="77777777" w:rsidR="005137D2" w:rsidRPr="00194078" w:rsidRDefault="005137D2" w:rsidP="000E6165">
      <w:pPr>
        <w:spacing w:after="0"/>
        <w:ind w:firstLine="0"/>
        <w:rPr>
          <w:szCs w:val="24"/>
        </w:rPr>
      </w:pPr>
      <w:r w:rsidRPr="00194078">
        <w:rPr>
          <w:szCs w:val="24"/>
        </w:rPr>
        <w:t>ALTUM</w:t>
      </w:r>
      <w:r w:rsidRPr="00194078">
        <w:rPr>
          <w:szCs w:val="24"/>
        </w:rPr>
        <w:tab/>
      </w:r>
      <w:r w:rsidRPr="00194078">
        <w:rPr>
          <w:szCs w:val="24"/>
        </w:rPr>
        <w:tab/>
      </w:r>
      <w:r w:rsidRPr="00194078">
        <w:rPr>
          <w:sz w:val="22"/>
          <w:szCs w:val="22"/>
        </w:rPr>
        <w:t>Akciju sabiedrība “Attīstības finanšu institūcija “Altum””</w:t>
      </w:r>
    </w:p>
    <w:p w14:paraId="1DE2CD50" w14:textId="77777777" w:rsidR="000E6165" w:rsidRPr="00194078" w:rsidRDefault="000E6165" w:rsidP="000E6165">
      <w:pPr>
        <w:spacing w:after="0"/>
        <w:ind w:firstLine="0"/>
        <w:rPr>
          <w:szCs w:val="24"/>
        </w:rPr>
      </w:pPr>
      <w:r w:rsidRPr="00194078">
        <w:rPr>
          <w:szCs w:val="24"/>
        </w:rPr>
        <w:t>CSP</w:t>
      </w:r>
      <w:r w:rsidRPr="00194078">
        <w:rPr>
          <w:szCs w:val="24"/>
        </w:rPr>
        <w:tab/>
      </w:r>
      <w:r w:rsidRPr="00194078">
        <w:rPr>
          <w:szCs w:val="24"/>
        </w:rPr>
        <w:tab/>
      </w:r>
      <w:r w:rsidR="005D41CC" w:rsidRPr="00194078">
        <w:rPr>
          <w:szCs w:val="24"/>
        </w:rPr>
        <w:tab/>
      </w:r>
      <w:r w:rsidRPr="00194078">
        <w:rPr>
          <w:szCs w:val="24"/>
        </w:rPr>
        <w:t>Centrālā statistikas pārvalde</w:t>
      </w:r>
    </w:p>
    <w:p w14:paraId="20EB2C3D" w14:textId="223ADC72" w:rsidR="000E6165" w:rsidRPr="00194078" w:rsidRDefault="001C0A2C" w:rsidP="000E6165">
      <w:pPr>
        <w:pStyle w:val="teksts"/>
        <w:spacing w:after="0"/>
        <w:rPr>
          <w:rFonts w:ascii="Times New Roman" w:eastAsia="Calibri" w:hAnsi="Times New Roman"/>
          <w:color w:val="000000"/>
          <w:szCs w:val="24"/>
        </w:rPr>
      </w:pPr>
      <w:r w:rsidRPr="00194078">
        <w:rPr>
          <w:rFonts w:ascii="Times New Roman" w:eastAsia="Calibri" w:hAnsi="Times New Roman"/>
          <w:color w:val="000000"/>
          <w:szCs w:val="24"/>
        </w:rPr>
        <w:t>EK</w:t>
      </w:r>
      <w:r w:rsidR="000E6165" w:rsidRPr="00194078">
        <w:rPr>
          <w:rFonts w:ascii="Times New Roman" w:eastAsia="Calibri" w:hAnsi="Times New Roman"/>
          <w:color w:val="000000"/>
          <w:szCs w:val="24"/>
        </w:rPr>
        <w:tab/>
      </w:r>
      <w:r w:rsidR="000E6165" w:rsidRPr="00194078">
        <w:rPr>
          <w:rFonts w:ascii="Times New Roman" w:eastAsia="Calibri" w:hAnsi="Times New Roman"/>
          <w:color w:val="000000"/>
          <w:szCs w:val="24"/>
        </w:rPr>
        <w:tab/>
      </w:r>
      <w:r w:rsidR="005D41CC" w:rsidRPr="00194078">
        <w:rPr>
          <w:rFonts w:ascii="Times New Roman" w:eastAsia="Calibri" w:hAnsi="Times New Roman"/>
          <w:color w:val="000000"/>
          <w:szCs w:val="24"/>
        </w:rPr>
        <w:tab/>
      </w:r>
      <w:r w:rsidR="000E6165" w:rsidRPr="00194078">
        <w:rPr>
          <w:rFonts w:ascii="Times New Roman" w:eastAsia="Calibri" w:hAnsi="Times New Roman"/>
          <w:color w:val="000000"/>
          <w:szCs w:val="24"/>
        </w:rPr>
        <w:t>Eiropas Komisija</w:t>
      </w:r>
    </w:p>
    <w:p w14:paraId="790CE025" w14:textId="77777777" w:rsidR="000E6165" w:rsidRPr="00194078" w:rsidRDefault="000E6165" w:rsidP="000E6165">
      <w:pPr>
        <w:pStyle w:val="teksts"/>
        <w:spacing w:after="0"/>
        <w:rPr>
          <w:rFonts w:ascii="Times New Roman" w:eastAsia="Calibri" w:hAnsi="Times New Roman"/>
          <w:color w:val="000000"/>
          <w:szCs w:val="24"/>
        </w:rPr>
      </w:pPr>
      <w:r w:rsidRPr="00194078">
        <w:rPr>
          <w:rFonts w:ascii="Times New Roman" w:eastAsia="Calibri" w:hAnsi="Times New Roman"/>
          <w:color w:val="000000"/>
          <w:szCs w:val="24"/>
        </w:rPr>
        <w:t>EKII</w:t>
      </w:r>
      <w:r w:rsidRPr="00194078">
        <w:rPr>
          <w:rFonts w:ascii="Times New Roman" w:eastAsia="Calibri" w:hAnsi="Times New Roman"/>
          <w:color w:val="000000"/>
          <w:szCs w:val="24"/>
        </w:rPr>
        <w:tab/>
      </w:r>
      <w:r w:rsidR="005D41CC" w:rsidRPr="00194078">
        <w:rPr>
          <w:rFonts w:ascii="Times New Roman" w:eastAsia="Calibri" w:hAnsi="Times New Roman"/>
          <w:color w:val="000000"/>
          <w:szCs w:val="24"/>
        </w:rPr>
        <w:tab/>
      </w:r>
      <w:r w:rsidR="005D41CC" w:rsidRPr="00194078">
        <w:rPr>
          <w:rFonts w:ascii="Times New Roman" w:eastAsia="Calibri" w:hAnsi="Times New Roman"/>
          <w:color w:val="000000"/>
          <w:szCs w:val="24"/>
        </w:rPr>
        <w:tab/>
      </w:r>
      <w:r w:rsidRPr="00194078">
        <w:rPr>
          <w:rFonts w:ascii="Times New Roman" w:eastAsia="Calibri" w:hAnsi="Times New Roman"/>
          <w:color w:val="000000"/>
          <w:szCs w:val="24"/>
        </w:rPr>
        <w:t>Emisijas kvotu izsolīšanas instruments</w:t>
      </w:r>
    </w:p>
    <w:p w14:paraId="7DFFF049" w14:textId="77777777" w:rsidR="000E6165" w:rsidRPr="00194078" w:rsidRDefault="000E6165" w:rsidP="000E6165">
      <w:pPr>
        <w:pStyle w:val="teksts"/>
        <w:spacing w:after="0"/>
        <w:rPr>
          <w:rFonts w:ascii="Times New Roman" w:eastAsia="Calibri" w:hAnsi="Times New Roman"/>
          <w:color w:val="000000"/>
          <w:szCs w:val="24"/>
        </w:rPr>
      </w:pPr>
      <w:r w:rsidRPr="00194078">
        <w:rPr>
          <w:rFonts w:ascii="Times New Roman" w:eastAsia="Calibri" w:hAnsi="Times New Roman"/>
          <w:color w:val="000000"/>
          <w:szCs w:val="24"/>
        </w:rPr>
        <w:t>EKS</w:t>
      </w:r>
      <w:r w:rsidRPr="00194078">
        <w:rPr>
          <w:rFonts w:ascii="Times New Roman" w:eastAsia="Calibri" w:hAnsi="Times New Roman"/>
          <w:color w:val="000000"/>
          <w:szCs w:val="24"/>
        </w:rPr>
        <w:tab/>
      </w:r>
      <w:r w:rsidRPr="00194078">
        <w:rPr>
          <w:rFonts w:ascii="Times New Roman" w:eastAsia="Calibri" w:hAnsi="Times New Roman"/>
          <w:color w:val="000000"/>
          <w:szCs w:val="24"/>
        </w:rPr>
        <w:tab/>
      </w:r>
      <w:r w:rsidRPr="00194078">
        <w:rPr>
          <w:rFonts w:ascii="Times New Roman" w:eastAsia="Calibri" w:hAnsi="Times New Roman"/>
          <w:color w:val="000000"/>
          <w:szCs w:val="24"/>
        </w:rPr>
        <w:tab/>
        <w:t>Eiropas Kontu sistēma</w:t>
      </w:r>
    </w:p>
    <w:p w14:paraId="72E8E797" w14:textId="77777777" w:rsidR="000E6165" w:rsidRPr="00194078" w:rsidRDefault="000E6165" w:rsidP="000E6165">
      <w:pPr>
        <w:pStyle w:val="teksts"/>
        <w:spacing w:after="0"/>
        <w:rPr>
          <w:rFonts w:ascii="Times New Roman" w:eastAsia="Calibri" w:hAnsi="Times New Roman"/>
          <w:color w:val="000000"/>
          <w:szCs w:val="24"/>
        </w:rPr>
      </w:pPr>
      <w:r w:rsidRPr="00194078">
        <w:rPr>
          <w:rFonts w:ascii="Times New Roman" w:eastAsia="Calibri" w:hAnsi="Times New Roman"/>
          <w:color w:val="000000"/>
          <w:szCs w:val="24"/>
        </w:rPr>
        <w:t>ERAF</w:t>
      </w:r>
      <w:r w:rsidRPr="00194078">
        <w:rPr>
          <w:rFonts w:ascii="Times New Roman" w:eastAsia="Calibri" w:hAnsi="Times New Roman"/>
          <w:color w:val="000000"/>
          <w:szCs w:val="24"/>
        </w:rPr>
        <w:tab/>
      </w:r>
      <w:r w:rsidRPr="00194078">
        <w:rPr>
          <w:rFonts w:ascii="Times New Roman" w:eastAsia="Calibri" w:hAnsi="Times New Roman"/>
          <w:color w:val="000000"/>
          <w:szCs w:val="24"/>
        </w:rPr>
        <w:tab/>
      </w:r>
      <w:r w:rsidR="005D41CC" w:rsidRPr="00194078">
        <w:rPr>
          <w:rFonts w:ascii="Times New Roman" w:eastAsia="Calibri" w:hAnsi="Times New Roman"/>
          <w:color w:val="000000"/>
          <w:szCs w:val="24"/>
        </w:rPr>
        <w:tab/>
      </w:r>
      <w:r w:rsidRPr="00194078">
        <w:rPr>
          <w:rFonts w:ascii="Times New Roman" w:eastAsia="Calibri" w:hAnsi="Times New Roman"/>
          <w:color w:val="000000"/>
          <w:szCs w:val="24"/>
        </w:rPr>
        <w:t xml:space="preserve">Eiropas Reģionālās attīstības fonds </w:t>
      </w:r>
    </w:p>
    <w:p w14:paraId="6C097427" w14:textId="77777777" w:rsidR="000E6165" w:rsidRPr="00194078" w:rsidRDefault="000E6165" w:rsidP="000E6165">
      <w:pPr>
        <w:pStyle w:val="teksts"/>
        <w:spacing w:after="0"/>
        <w:rPr>
          <w:rFonts w:ascii="Times New Roman" w:eastAsia="Calibri" w:hAnsi="Times New Roman"/>
          <w:color w:val="000000"/>
          <w:szCs w:val="24"/>
        </w:rPr>
      </w:pPr>
      <w:r w:rsidRPr="00194078">
        <w:rPr>
          <w:rFonts w:ascii="Times New Roman" w:eastAsia="Calibri" w:hAnsi="Times New Roman"/>
          <w:color w:val="000000"/>
          <w:szCs w:val="24"/>
        </w:rPr>
        <w:t>ES</w:t>
      </w:r>
      <w:r w:rsidRPr="00194078">
        <w:rPr>
          <w:rFonts w:ascii="Times New Roman" w:eastAsia="Calibri" w:hAnsi="Times New Roman"/>
          <w:color w:val="000000"/>
          <w:szCs w:val="24"/>
        </w:rPr>
        <w:tab/>
      </w:r>
      <w:r w:rsidRPr="00194078">
        <w:rPr>
          <w:rFonts w:ascii="Times New Roman" w:eastAsia="Calibri" w:hAnsi="Times New Roman"/>
          <w:color w:val="000000"/>
          <w:szCs w:val="24"/>
        </w:rPr>
        <w:tab/>
      </w:r>
      <w:r w:rsidR="005D41CC" w:rsidRPr="00194078">
        <w:rPr>
          <w:rFonts w:ascii="Times New Roman" w:eastAsia="Calibri" w:hAnsi="Times New Roman"/>
          <w:color w:val="000000"/>
          <w:szCs w:val="24"/>
        </w:rPr>
        <w:tab/>
      </w:r>
      <w:r w:rsidRPr="00194078">
        <w:rPr>
          <w:rFonts w:ascii="Times New Roman" w:eastAsia="Calibri" w:hAnsi="Times New Roman"/>
          <w:color w:val="000000"/>
          <w:szCs w:val="24"/>
        </w:rPr>
        <w:t>Eiropas Savienība</w:t>
      </w:r>
    </w:p>
    <w:p w14:paraId="41B9F660" w14:textId="77777777" w:rsidR="000E6165" w:rsidRPr="00194078" w:rsidRDefault="000E6165" w:rsidP="000E6165">
      <w:pPr>
        <w:pStyle w:val="teksts"/>
        <w:spacing w:after="0"/>
        <w:rPr>
          <w:rFonts w:ascii="Times New Roman" w:eastAsia="Calibri" w:hAnsi="Times New Roman"/>
          <w:color w:val="000000"/>
          <w:szCs w:val="24"/>
        </w:rPr>
      </w:pPr>
      <w:r w:rsidRPr="00194078">
        <w:rPr>
          <w:rFonts w:ascii="Times New Roman" w:eastAsia="Calibri" w:hAnsi="Times New Roman"/>
          <w:color w:val="000000"/>
          <w:szCs w:val="24"/>
        </w:rPr>
        <w:t>ESF</w:t>
      </w:r>
      <w:r w:rsidRPr="00194078">
        <w:rPr>
          <w:rFonts w:ascii="Times New Roman" w:eastAsia="Calibri" w:hAnsi="Times New Roman"/>
          <w:color w:val="000000"/>
          <w:szCs w:val="24"/>
        </w:rPr>
        <w:tab/>
      </w:r>
      <w:r w:rsidRPr="00194078">
        <w:rPr>
          <w:rFonts w:ascii="Times New Roman" w:eastAsia="Calibri" w:hAnsi="Times New Roman"/>
          <w:color w:val="000000"/>
          <w:szCs w:val="24"/>
        </w:rPr>
        <w:tab/>
      </w:r>
      <w:r w:rsidR="005D41CC" w:rsidRPr="00194078">
        <w:rPr>
          <w:rFonts w:ascii="Times New Roman" w:eastAsia="Calibri" w:hAnsi="Times New Roman"/>
          <w:color w:val="000000"/>
          <w:szCs w:val="24"/>
        </w:rPr>
        <w:tab/>
      </w:r>
      <w:r w:rsidRPr="00194078">
        <w:rPr>
          <w:rFonts w:ascii="Times New Roman" w:eastAsia="Calibri" w:hAnsi="Times New Roman"/>
          <w:color w:val="000000"/>
          <w:szCs w:val="24"/>
        </w:rPr>
        <w:t>Eiropas Sociālais fonds</w:t>
      </w:r>
    </w:p>
    <w:p w14:paraId="162DA49C" w14:textId="77777777" w:rsidR="000E6165" w:rsidRPr="00194078" w:rsidRDefault="000E6165" w:rsidP="000E6165">
      <w:pPr>
        <w:pStyle w:val="teksts"/>
        <w:spacing w:after="0"/>
        <w:rPr>
          <w:rFonts w:ascii="Times New Roman" w:eastAsia="Calibri" w:hAnsi="Times New Roman"/>
          <w:color w:val="000000"/>
          <w:szCs w:val="24"/>
        </w:rPr>
      </w:pPr>
      <w:r w:rsidRPr="00194078">
        <w:rPr>
          <w:rFonts w:ascii="Times New Roman" w:eastAsia="Calibri" w:hAnsi="Times New Roman"/>
          <w:color w:val="000000"/>
          <w:szCs w:val="24"/>
        </w:rPr>
        <w:t>FM</w:t>
      </w:r>
      <w:r w:rsidRPr="00194078">
        <w:rPr>
          <w:rFonts w:ascii="Times New Roman" w:eastAsia="Calibri" w:hAnsi="Times New Roman"/>
          <w:color w:val="000000"/>
          <w:szCs w:val="24"/>
        </w:rPr>
        <w:tab/>
      </w:r>
      <w:r w:rsidRPr="00194078">
        <w:rPr>
          <w:rFonts w:ascii="Times New Roman" w:eastAsia="Calibri" w:hAnsi="Times New Roman"/>
          <w:color w:val="000000"/>
          <w:szCs w:val="24"/>
        </w:rPr>
        <w:tab/>
      </w:r>
      <w:r w:rsidR="005D41CC" w:rsidRPr="00194078">
        <w:rPr>
          <w:rFonts w:ascii="Times New Roman" w:eastAsia="Calibri" w:hAnsi="Times New Roman"/>
          <w:color w:val="000000"/>
          <w:szCs w:val="24"/>
        </w:rPr>
        <w:tab/>
      </w:r>
      <w:r w:rsidRPr="00194078">
        <w:rPr>
          <w:rFonts w:ascii="Times New Roman" w:eastAsia="Calibri" w:hAnsi="Times New Roman"/>
          <w:color w:val="000000"/>
          <w:szCs w:val="24"/>
        </w:rPr>
        <w:t>Finanšu ministrija</w:t>
      </w:r>
    </w:p>
    <w:p w14:paraId="70109F14" w14:textId="77777777" w:rsidR="00430175" w:rsidRPr="00194078" w:rsidRDefault="006A676E" w:rsidP="000E6165">
      <w:pPr>
        <w:pStyle w:val="teksts"/>
        <w:spacing w:after="0"/>
        <w:rPr>
          <w:rFonts w:ascii="Times New Roman" w:eastAsia="Calibri" w:hAnsi="Times New Roman"/>
          <w:color w:val="000000"/>
          <w:szCs w:val="24"/>
        </w:rPr>
      </w:pPr>
      <w:r w:rsidRPr="00194078">
        <w:rPr>
          <w:rFonts w:ascii="Times New Roman" w:eastAsia="Calibri" w:hAnsi="Times New Roman"/>
          <w:color w:val="000000"/>
          <w:szCs w:val="24"/>
        </w:rPr>
        <w:t>IE</w:t>
      </w:r>
      <w:r w:rsidR="00430175" w:rsidRPr="00194078">
        <w:rPr>
          <w:rFonts w:ascii="Times New Roman" w:eastAsia="Calibri" w:hAnsi="Times New Roman"/>
          <w:color w:val="000000"/>
          <w:szCs w:val="24"/>
        </w:rPr>
        <w:t>M</w:t>
      </w:r>
      <w:r w:rsidR="00430175" w:rsidRPr="00194078">
        <w:rPr>
          <w:rFonts w:ascii="Times New Roman" w:eastAsia="Calibri" w:hAnsi="Times New Roman"/>
          <w:color w:val="000000"/>
          <w:szCs w:val="24"/>
        </w:rPr>
        <w:tab/>
      </w:r>
      <w:r w:rsidR="00430175" w:rsidRPr="00194078">
        <w:rPr>
          <w:rFonts w:ascii="Times New Roman" w:eastAsia="Calibri" w:hAnsi="Times New Roman"/>
          <w:color w:val="000000"/>
          <w:szCs w:val="24"/>
        </w:rPr>
        <w:tab/>
      </w:r>
      <w:r w:rsidR="00430175" w:rsidRPr="00194078">
        <w:rPr>
          <w:rFonts w:ascii="Times New Roman" w:eastAsia="Calibri" w:hAnsi="Times New Roman"/>
          <w:color w:val="000000"/>
          <w:szCs w:val="24"/>
        </w:rPr>
        <w:tab/>
        <w:t>Iekšlietu ministrija</w:t>
      </w:r>
    </w:p>
    <w:p w14:paraId="48B3BB20" w14:textId="77777777" w:rsidR="000E6165" w:rsidRPr="00C32BB9" w:rsidRDefault="000E6165" w:rsidP="000E6165">
      <w:pPr>
        <w:pStyle w:val="teksts"/>
        <w:spacing w:after="0"/>
        <w:rPr>
          <w:rFonts w:ascii="Times New Roman" w:eastAsia="Calibri" w:hAnsi="Times New Roman"/>
          <w:color w:val="000000"/>
          <w:szCs w:val="24"/>
        </w:rPr>
      </w:pPr>
      <w:r w:rsidRPr="00571580">
        <w:rPr>
          <w:rFonts w:ascii="Times New Roman" w:eastAsia="Calibri" w:hAnsi="Times New Roman"/>
          <w:color w:val="000000"/>
          <w:szCs w:val="24"/>
        </w:rPr>
        <w:t>Ietvara likums</w:t>
      </w:r>
      <w:r w:rsidRPr="00571580">
        <w:rPr>
          <w:rFonts w:ascii="Times New Roman" w:eastAsia="Calibri" w:hAnsi="Times New Roman"/>
          <w:color w:val="000000"/>
          <w:szCs w:val="24"/>
        </w:rPr>
        <w:tab/>
      </w:r>
      <w:r w:rsidRPr="00571580">
        <w:rPr>
          <w:rFonts w:ascii="Times New Roman" w:eastAsia="Calibri" w:hAnsi="Times New Roman"/>
          <w:color w:val="000000"/>
          <w:szCs w:val="24"/>
        </w:rPr>
        <w:tab/>
        <w:t>Vidēja termiņa budžeta ietvara likums</w:t>
      </w:r>
    </w:p>
    <w:p w14:paraId="321E9404" w14:textId="77777777" w:rsidR="000E6165" w:rsidRPr="00C32BB9" w:rsidRDefault="000E6165" w:rsidP="000E6165">
      <w:pPr>
        <w:pStyle w:val="teksts"/>
        <w:spacing w:after="0"/>
        <w:rPr>
          <w:rFonts w:ascii="Times New Roman" w:eastAsia="Calibri" w:hAnsi="Times New Roman"/>
          <w:color w:val="000000"/>
          <w:szCs w:val="24"/>
        </w:rPr>
      </w:pPr>
      <w:r w:rsidRPr="00C32BB9">
        <w:rPr>
          <w:rFonts w:ascii="Times New Roman" w:eastAsia="Calibri" w:hAnsi="Times New Roman"/>
          <w:color w:val="000000"/>
          <w:szCs w:val="24"/>
        </w:rPr>
        <w:t>IIN</w:t>
      </w:r>
      <w:r w:rsidRPr="00C32BB9">
        <w:rPr>
          <w:rFonts w:ascii="Times New Roman" w:eastAsia="Calibri" w:hAnsi="Times New Roman"/>
          <w:color w:val="000000"/>
          <w:szCs w:val="24"/>
        </w:rPr>
        <w:tab/>
      </w:r>
      <w:r w:rsidRPr="00C32BB9">
        <w:rPr>
          <w:rFonts w:ascii="Times New Roman" w:eastAsia="Calibri" w:hAnsi="Times New Roman"/>
          <w:color w:val="000000"/>
          <w:szCs w:val="24"/>
        </w:rPr>
        <w:tab/>
      </w:r>
      <w:r w:rsidR="005D41CC" w:rsidRPr="00C32BB9">
        <w:rPr>
          <w:rFonts w:ascii="Times New Roman" w:eastAsia="Calibri" w:hAnsi="Times New Roman"/>
          <w:color w:val="000000"/>
          <w:szCs w:val="24"/>
        </w:rPr>
        <w:tab/>
      </w:r>
      <w:r w:rsidRPr="00C32BB9">
        <w:rPr>
          <w:rFonts w:ascii="Times New Roman" w:eastAsia="Calibri" w:hAnsi="Times New Roman"/>
          <w:color w:val="000000"/>
          <w:szCs w:val="24"/>
        </w:rPr>
        <w:t>Iedzīvotāju ienākumu nodoklis</w:t>
      </w:r>
    </w:p>
    <w:p w14:paraId="5A212BAD" w14:textId="77777777" w:rsidR="000E6165" w:rsidRPr="00C32BB9" w:rsidRDefault="000E6165" w:rsidP="000E6165">
      <w:pPr>
        <w:pStyle w:val="teksts"/>
        <w:spacing w:after="0"/>
        <w:rPr>
          <w:rFonts w:ascii="Times New Roman" w:eastAsia="Calibri" w:hAnsi="Times New Roman"/>
          <w:color w:val="000000"/>
          <w:szCs w:val="24"/>
        </w:rPr>
      </w:pPr>
      <w:r w:rsidRPr="00C32BB9">
        <w:rPr>
          <w:rFonts w:ascii="Times New Roman" w:eastAsia="Calibri" w:hAnsi="Times New Roman"/>
          <w:color w:val="000000"/>
          <w:szCs w:val="24"/>
        </w:rPr>
        <w:t>IKP</w:t>
      </w:r>
      <w:r w:rsidRPr="00C32BB9">
        <w:rPr>
          <w:rFonts w:ascii="Times New Roman" w:eastAsia="Calibri" w:hAnsi="Times New Roman"/>
          <w:color w:val="000000"/>
          <w:szCs w:val="24"/>
        </w:rPr>
        <w:tab/>
      </w:r>
      <w:r w:rsidRPr="00C32BB9">
        <w:rPr>
          <w:rFonts w:ascii="Times New Roman" w:eastAsia="Calibri" w:hAnsi="Times New Roman"/>
          <w:color w:val="000000"/>
          <w:szCs w:val="24"/>
        </w:rPr>
        <w:tab/>
      </w:r>
      <w:r w:rsidR="005D41CC" w:rsidRPr="00C32BB9">
        <w:rPr>
          <w:rFonts w:ascii="Times New Roman" w:eastAsia="Calibri" w:hAnsi="Times New Roman"/>
          <w:color w:val="000000"/>
          <w:szCs w:val="24"/>
        </w:rPr>
        <w:tab/>
      </w:r>
      <w:r w:rsidRPr="00C32BB9">
        <w:rPr>
          <w:rFonts w:ascii="Times New Roman" w:eastAsia="Calibri" w:hAnsi="Times New Roman"/>
          <w:color w:val="000000"/>
          <w:szCs w:val="24"/>
        </w:rPr>
        <w:t>Iekšzemes kopprodukts</w:t>
      </w:r>
    </w:p>
    <w:p w14:paraId="130E38B6" w14:textId="77777777" w:rsidR="000E6165" w:rsidRPr="00C32BB9" w:rsidRDefault="000E6165" w:rsidP="000E6165">
      <w:pPr>
        <w:pStyle w:val="teksts"/>
        <w:spacing w:after="0"/>
        <w:rPr>
          <w:rFonts w:ascii="Times New Roman" w:eastAsia="Calibri" w:hAnsi="Times New Roman"/>
          <w:color w:val="000000"/>
          <w:szCs w:val="24"/>
        </w:rPr>
      </w:pPr>
      <w:r w:rsidRPr="00C32BB9">
        <w:rPr>
          <w:rFonts w:ascii="Times New Roman" w:eastAsia="Calibri" w:hAnsi="Times New Roman"/>
          <w:color w:val="000000"/>
          <w:szCs w:val="24"/>
        </w:rPr>
        <w:t>IZM</w:t>
      </w:r>
      <w:r w:rsidRPr="00C32BB9">
        <w:rPr>
          <w:rFonts w:ascii="Times New Roman" w:eastAsia="Calibri" w:hAnsi="Times New Roman"/>
          <w:color w:val="000000"/>
          <w:szCs w:val="24"/>
        </w:rPr>
        <w:tab/>
      </w:r>
      <w:r w:rsidR="005D41CC" w:rsidRPr="00C32BB9">
        <w:rPr>
          <w:rFonts w:ascii="Times New Roman" w:eastAsia="Calibri" w:hAnsi="Times New Roman"/>
          <w:color w:val="000000"/>
          <w:szCs w:val="24"/>
        </w:rPr>
        <w:tab/>
      </w:r>
      <w:r w:rsidR="005D41CC" w:rsidRPr="00C32BB9">
        <w:rPr>
          <w:rFonts w:ascii="Times New Roman" w:eastAsia="Calibri" w:hAnsi="Times New Roman"/>
          <w:color w:val="000000"/>
          <w:szCs w:val="24"/>
        </w:rPr>
        <w:tab/>
      </w:r>
      <w:r w:rsidRPr="00C32BB9">
        <w:rPr>
          <w:rFonts w:ascii="Times New Roman" w:eastAsia="Calibri" w:hAnsi="Times New Roman"/>
          <w:color w:val="000000"/>
          <w:szCs w:val="24"/>
        </w:rPr>
        <w:t>Izglītības un zinātnes ministrija</w:t>
      </w:r>
    </w:p>
    <w:p w14:paraId="23A258A3" w14:textId="77777777" w:rsidR="000E6165" w:rsidRPr="00C32BB9" w:rsidRDefault="000E6165" w:rsidP="000E6165">
      <w:pPr>
        <w:pStyle w:val="teksts"/>
        <w:spacing w:after="0"/>
        <w:rPr>
          <w:rFonts w:ascii="Times New Roman" w:eastAsia="Calibri" w:hAnsi="Times New Roman"/>
          <w:color w:val="000000"/>
          <w:szCs w:val="24"/>
        </w:rPr>
      </w:pPr>
      <w:r w:rsidRPr="00C32BB9">
        <w:rPr>
          <w:rFonts w:ascii="Times New Roman" w:eastAsia="Calibri" w:hAnsi="Times New Roman"/>
          <w:color w:val="000000"/>
          <w:szCs w:val="24"/>
        </w:rPr>
        <w:t xml:space="preserve">KNAB </w:t>
      </w:r>
      <w:r w:rsidRPr="00C32BB9">
        <w:rPr>
          <w:rFonts w:ascii="Times New Roman" w:eastAsia="Calibri" w:hAnsi="Times New Roman"/>
          <w:color w:val="000000"/>
          <w:szCs w:val="24"/>
        </w:rPr>
        <w:tab/>
      </w:r>
      <w:r w:rsidR="005D41CC" w:rsidRPr="00C32BB9">
        <w:rPr>
          <w:rFonts w:ascii="Times New Roman" w:eastAsia="Calibri" w:hAnsi="Times New Roman"/>
          <w:color w:val="000000"/>
          <w:szCs w:val="24"/>
        </w:rPr>
        <w:tab/>
      </w:r>
      <w:r w:rsidRPr="00C32BB9">
        <w:rPr>
          <w:rFonts w:ascii="Times New Roman" w:eastAsia="Calibri" w:hAnsi="Times New Roman"/>
          <w:color w:val="000000"/>
          <w:szCs w:val="24"/>
        </w:rPr>
        <w:t xml:space="preserve">Korupcijas novēršanas un apkarošanas birojs </w:t>
      </w:r>
    </w:p>
    <w:p w14:paraId="262F39BC" w14:textId="77777777" w:rsidR="000E6165" w:rsidRPr="000839ED" w:rsidRDefault="000E6165" w:rsidP="000E6165">
      <w:pPr>
        <w:pStyle w:val="teksts"/>
        <w:spacing w:after="0"/>
        <w:rPr>
          <w:rFonts w:ascii="Times New Roman" w:eastAsia="Calibri" w:hAnsi="Times New Roman"/>
          <w:color w:val="000000"/>
          <w:szCs w:val="24"/>
        </w:rPr>
      </w:pPr>
      <w:r w:rsidRPr="000839ED">
        <w:rPr>
          <w:rFonts w:ascii="Times New Roman" w:eastAsia="Calibri" w:hAnsi="Times New Roman"/>
          <w:color w:val="000000"/>
          <w:szCs w:val="24"/>
        </w:rPr>
        <w:t>MK</w:t>
      </w:r>
      <w:r w:rsidRPr="000839ED">
        <w:rPr>
          <w:rFonts w:ascii="Times New Roman" w:eastAsia="Calibri" w:hAnsi="Times New Roman"/>
          <w:color w:val="000000"/>
          <w:szCs w:val="24"/>
        </w:rPr>
        <w:tab/>
      </w:r>
      <w:r w:rsidRPr="000839ED">
        <w:rPr>
          <w:rFonts w:ascii="Times New Roman" w:eastAsia="Calibri" w:hAnsi="Times New Roman"/>
          <w:color w:val="000000"/>
          <w:szCs w:val="24"/>
        </w:rPr>
        <w:tab/>
      </w:r>
      <w:r w:rsidR="005D41CC" w:rsidRPr="000839ED">
        <w:rPr>
          <w:rFonts w:ascii="Times New Roman" w:eastAsia="Calibri" w:hAnsi="Times New Roman"/>
          <w:color w:val="000000"/>
          <w:szCs w:val="24"/>
        </w:rPr>
        <w:tab/>
      </w:r>
      <w:r w:rsidRPr="000839ED">
        <w:rPr>
          <w:rFonts w:ascii="Times New Roman" w:eastAsia="Calibri" w:hAnsi="Times New Roman"/>
          <w:color w:val="000000"/>
          <w:szCs w:val="24"/>
        </w:rPr>
        <w:t>Ministru kabinets</w:t>
      </w:r>
    </w:p>
    <w:p w14:paraId="7CC6B6F0" w14:textId="7C8DAC0A" w:rsidR="008E65A6" w:rsidRDefault="000E6165" w:rsidP="0026605B">
      <w:pPr>
        <w:spacing w:after="0"/>
        <w:ind w:firstLine="0"/>
        <w:rPr>
          <w:color w:val="000000" w:themeColor="text1"/>
          <w:szCs w:val="24"/>
        </w:rPr>
      </w:pPr>
      <w:r w:rsidRPr="000839ED">
        <w:rPr>
          <w:color w:val="000000" w:themeColor="text1"/>
          <w:szCs w:val="24"/>
        </w:rPr>
        <w:t xml:space="preserve">NRP </w:t>
      </w:r>
      <w:r w:rsidRPr="000839ED">
        <w:rPr>
          <w:color w:val="000000" w:themeColor="text1"/>
          <w:szCs w:val="24"/>
        </w:rPr>
        <w:tab/>
      </w:r>
      <w:r w:rsidRPr="000839ED">
        <w:rPr>
          <w:color w:val="000000" w:themeColor="text1"/>
          <w:szCs w:val="24"/>
        </w:rPr>
        <w:tab/>
      </w:r>
      <w:r w:rsidR="005D41CC" w:rsidRPr="000839ED">
        <w:rPr>
          <w:color w:val="000000" w:themeColor="text1"/>
          <w:szCs w:val="24"/>
        </w:rPr>
        <w:tab/>
      </w:r>
      <w:r w:rsidRPr="000839ED">
        <w:rPr>
          <w:color w:val="000000" w:themeColor="text1"/>
          <w:szCs w:val="24"/>
        </w:rPr>
        <w:t>Nacion</w:t>
      </w:r>
      <w:r w:rsidR="00D61164" w:rsidRPr="000839ED">
        <w:rPr>
          <w:color w:val="000000" w:themeColor="text1"/>
          <w:szCs w:val="24"/>
        </w:rPr>
        <w:t>ā</w:t>
      </w:r>
      <w:r w:rsidRPr="000839ED">
        <w:rPr>
          <w:color w:val="000000" w:themeColor="text1"/>
          <w:szCs w:val="24"/>
        </w:rPr>
        <w:t>lā reformu programma</w:t>
      </w:r>
    </w:p>
    <w:p w14:paraId="620E0580" w14:textId="37E0EA50" w:rsidR="0035710E" w:rsidRPr="000839ED" w:rsidRDefault="0035710E" w:rsidP="0026605B">
      <w:pPr>
        <w:spacing w:after="0"/>
        <w:ind w:firstLine="0"/>
        <w:rPr>
          <w:color w:val="000000" w:themeColor="text1"/>
          <w:szCs w:val="24"/>
        </w:rPr>
      </w:pPr>
      <w:r>
        <w:rPr>
          <w:color w:val="000000" w:themeColor="text1"/>
          <w:szCs w:val="24"/>
        </w:rPr>
        <w:t>OECD</w:t>
      </w:r>
      <w:r>
        <w:rPr>
          <w:color w:val="000000" w:themeColor="text1"/>
          <w:szCs w:val="24"/>
        </w:rPr>
        <w:tab/>
      </w:r>
      <w:r>
        <w:rPr>
          <w:color w:val="000000" w:themeColor="text1"/>
          <w:szCs w:val="24"/>
        </w:rPr>
        <w:tab/>
      </w:r>
      <w:r>
        <w:rPr>
          <w:color w:val="000000" w:themeColor="text1"/>
          <w:szCs w:val="24"/>
        </w:rPr>
        <w:tab/>
      </w:r>
      <w:r w:rsidRPr="0035710E">
        <w:rPr>
          <w:color w:val="000000" w:themeColor="text1"/>
          <w:szCs w:val="24"/>
        </w:rPr>
        <w:t>Ekonomiskās sadarbības un attīstības organizācija</w:t>
      </w:r>
    </w:p>
    <w:p w14:paraId="34BC28A1" w14:textId="77777777" w:rsidR="000E6165" w:rsidRPr="000839ED" w:rsidRDefault="000E6165" w:rsidP="000E6165">
      <w:pPr>
        <w:pStyle w:val="teksts"/>
        <w:spacing w:after="0"/>
        <w:rPr>
          <w:rFonts w:ascii="Times New Roman" w:eastAsia="Calibri" w:hAnsi="Times New Roman"/>
          <w:color w:val="000000"/>
          <w:szCs w:val="24"/>
        </w:rPr>
      </w:pPr>
      <w:r w:rsidRPr="000839ED">
        <w:rPr>
          <w:rFonts w:ascii="Times New Roman" w:eastAsia="Calibri" w:hAnsi="Times New Roman"/>
          <w:color w:val="000000"/>
          <w:szCs w:val="24"/>
        </w:rPr>
        <w:t>PVN</w:t>
      </w:r>
      <w:r w:rsidRPr="000839ED">
        <w:rPr>
          <w:rFonts w:ascii="Times New Roman" w:eastAsia="Calibri" w:hAnsi="Times New Roman"/>
          <w:color w:val="000000"/>
          <w:szCs w:val="24"/>
        </w:rPr>
        <w:tab/>
      </w:r>
      <w:r w:rsidRPr="000839ED">
        <w:rPr>
          <w:rFonts w:ascii="Times New Roman" w:eastAsia="Calibri" w:hAnsi="Times New Roman"/>
          <w:color w:val="000000"/>
          <w:szCs w:val="24"/>
        </w:rPr>
        <w:tab/>
      </w:r>
      <w:r w:rsidR="005D41CC" w:rsidRPr="000839ED">
        <w:rPr>
          <w:rFonts w:ascii="Times New Roman" w:eastAsia="Calibri" w:hAnsi="Times New Roman"/>
          <w:color w:val="000000"/>
          <w:szCs w:val="24"/>
        </w:rPr>
        <w:tab/>
      </w:r>
      <w:r w:rsidRPr="000839ED">
        <w:rPr>
          <w:rFonts w:ascii="Times New Roman" w:eastAsia="Calibri" w:hAnsi="Times New Roman"/>
          <w:color w:val="000000"/>
          <w:szCs w:val="24"/>
        </w:rPr>
        <w:t>Pievienotās vērtības nodoklis</w:t>
      </w:r>
    </w:p>
    <w:p w14:paraId="316F6FBF" w14:textId="2850DE12" w:rsidR="000E6165" w:rsidRPr="000839ED" w:rsidRDefault="000E6165" w:rsidP="000E6165">
      <w:pPr>
        <w:pStyle w:val="teksts"/>
        <w:spacing w:after="0"/>
        <w:rPr>
          <w:rFonts w:ascii="Times New Roman" w:eastAsia="Calibri" w:hAnsi="Times New Roman"/>
          <w:color w:val="000000"/>
          <w:szCs w:val="24"/>
        </w:rPr>
      </w:pPr>
      <w:r w:rsidRPr="000839ED">
        <w:rPr>
          <w:rFonts w:ascii="Times New Roman" w:eastAsia="Calibri" w:hAnsi="Times New Roman"/>
          <w:color w:val="000000"/>
          <w:szCs w:val="24"/>
        </w:rPr>
        <w:t>SAM</w:t>
      </w:r>
      <w:r w:rsidRPr="000839ED">
        <w:rPr>
          <w:rFonts w:ascii="Times New Roman" w:eastAsia="Calibri" w:hAnsi="Times New Roman"/>
          <w:color w:val="000000"/>
          <w:szCs w:val="24"/>
        </w:rPr>
        <w:tab/>
      </w:r>
      <w:r w:rsidRPr="000839ED">
        <w:rPr>
          <w:rFonts w:ascii="Times New Roman" w:eastAsia="Calibri" w:hAnsi="Times New Roman"/>
          <w:color w:val="000000"/>
          <w:szCs w:val="24"/>
        </w:rPr>
        <w:tab/>
      </w:r>
      <w:r w:rsidR="005D41CC" w:rsidRPr="000839ED">
        <w:rPr>
          <w:rFonts w:ascii="Times New Roman" w:eastAsia="Calibri" w:hAnsi="Times New Roman"/>
          <w:color w:val="000000"/>
          <w:szCs w:val="24"/>
        </w:rPr>
        <w:tab/>
      </w:r>
      <w:r w:rsidRPr="000839ED">
        <w:rPr>
          <w:rFonts w:ascii="Times New Roman" w:eastAsia="Calibri" w:hAnsi="Times New Roman"/>
          <w:color w:val="000000"/>
          <w:szCs w:val="24"/>
        </w:rPr>
        <w:t>Specifiskā atbalsta mērķis</w:t>
      </w:r>
    </w:p>
    <w:p w14:paraId="1B1EC243" w14:textId="77777777" w:rsidR="000E6165" w:rsidRPr="000839ED" w:rsidRDefault="000E6165" w:rsidP="000E6165">
      <w:pPr>
        <w:pStyle w:val="teksts"/>
        <w:spacing w:after="0"/>
        <w:rPr>
          <w:rFonts w:ascii="Times New Roman" w:eastAsia="Calibri" w:hAnsi="Times New Roman"/>
          <w:color w:val="000000"/>
          <w:szCs w:val="24"/>
        </w:rPr>
      </w:pPr>
      <w:r w:rsidRPr="000839ED">
        <w:rPr>
          <w:rFonts w:ascii="Times New Roman" w:eastAsia="Calibri" w:hAnsi="Times New Roman"/>
          <w:bCs/>
          <w:color w:val="000000"/>
          <w:szCs w:val="24"/>
        </w:rPr>
        <w:t>SEG</w:t>
      </w:r>
      <w:r w:rsidRPr="000839ED">
        <w:rPr>
          <w:rFonts w:ascii="Times New Roman" w:eastAsia="Calibri" w:hAnsi="Times New Roman"/>
          <w:bCs/>
          <w:color w:val="000000"/>
          <w:szCs w:val="24"/>
        </w:rPr>
        <w:tab/>
      </w:r>
      <w:r w:rsidR="005D41CC" w:rsidRPr="000839ED">
        <w:rPr>
          <w:rFonts w:ascii="Times New Roman" w:eastAsia="Calibri" w:hAnsi="Times New Roman"/>
          <w:bCs/>
          <w:color w:val="000000"/>
          <w:szCs w:val="24"/>
        </w:rPr>
        <w:tab/>
      </w:r>
      <w:r w:rsidR="005D41CC" w:rsidRPr="000839ED">
        <w:rPr>
          <w:rFonts w:ascii="Times New Roman" w:eastAsia="Calibri" w:hAnsi="Times New Roman"/>
          <w:bCs/>
          <w:color w:val="000000"/>
          <w:szCs w:val="24"/>
        </w:rPr>
        <w:tab/>
      </w:r>
      <w:r w:rsidRPr="000839ED">
        <w:rPr>
          <w:rFonts w:ascii="Times New Roman" w:eastAsia="Calibri" w:hAnsi="Times New Roman"/>
          <w:color w:val="000000"/>
          <w:szCs w:val="24"/>
        </w:rPr>
        <w:t>Siltumnīcefekta gāzes</w:t>
      </w:r>
    </w:p>
    <w:p w14:paraId="060F4FF2" w14:textId="77777777" w:rsidR="000E6165" w:rsidRPr="000839ED" w:rsidRDefault="000E6165" w:rsidP="000E6165">
      <w:pPr>
        <w:spacing w:after="0"/>
        <w:ind w:firstLine="0"/>
        <w:rPr>
          <w:color w:val="000000"/>
          <w:szCs w:val="24"/>
          <w:lang w:eastAsia="lv-LV"/>
        </w:rPr>
      </w:pPr>
      <w:r w:rsidRPr="000839ED">
        <w:rPr>
          <w:color w:val="000000"/>
          <w:szCs w:val="24"/>
          <w:lang w:eastAsia="lv-LV"/>
        </w:rPr>
        <w:t xml:space="preserve">SOC </w:t>
      </w:r>
      <w:r w:rsidR="005D41CC" w:rsidRPr="000839ED">
        <w:rPr>
          <w:color w:val="000000"/>
          <w:szCs w:val="24"/>
          <w:lang w:eastAsia="lv-LV"/>
        </w:rPr>
        <w:tab/>
      </w:r>
      <w:r w:rsidR="005D41CC" w:rsidRPr="000839ED">
        <w:rPr>
          <w:color w:val="000000"/>
          <w:szCs w:val="24"/>
          <w:lang w:eastAsia="lv-LV"/>
        </w:rPr>
        <w:tab/>
      </w:r>
      <w:r w:rsidR="005D41CC" w:rsidRPr="000839ED">
        <w:rPr>
          <w:color w:val="000000"/>
          <w:szCs w:val="24"/>
          <w:lang w:eastAsia="lv-LV"/>
        </w:rPr>
        <w:tab/>
        <w:t>S</w:t>
      </w:r>
      <w:r w:rsidR="008B627E" w:rsidRPr="000839ED">
        <w:rPr>
          <w:color w:val="000000"/>
          <w:szCs w:val="24"/>
          <w:lang w:eastAsia="lv-LV"/>
        </w:rPr>
        <w:t>ociālas apdrošināšanas iemaksas</w:t>
      </w:r>
    </w:p>
    <w:p w14:paraId="147AB4F5" w14:textId="77777777" w:rsidR="000E6165" w:rsidRPr="000839ED" w:rsidRDefault="000E6165" w:rsidP="00D61164">
      <w:pPr>
        <w:pStyle w:val="teksts"/>
        <w:spacing w:after="0"/>
        <w:ind w:left="2127" w:hanging="2171"/>
        <w:rPr>
          <w:rFonts w:ascii="Times New Roman" w:eastAsia="Calibri" w:hAnsi="Times New Roman"/>
          <w:color w:val="000000"/>
          <w:szCs w:val="24"/>
        </w:rPr>
      </w:pPr>
      <w:r w:rsidRPr="000839ED">
        <w:rPr>
          <w:rFonts w:ascii="Times New Roman" w:eastAsia="Calibri" w:hAnsi="Times New Roman"/>
          <w:color w:val="000000"/>
          <w:szCs w:val="24"/>
        </w:rPr>
        <w:t>STEM</w:t>
      </w:r>
      <w:r w:rsidRPr="000839ED">
        <w:rPr>
          <w:rFonts w:ascii="Times New Roman" w:eastAsia="Calibri" w:hAnsi="Times New Roman"/>
          <w:color w:val="000000"/>
          <w:szCs w:val="24"/>
        </w:rPr>
        <w:tab/>
      </w:r>
      <w:r w:rsidR="005D41CC" w:rsidRPr="000839ED">
        <w:rPr>
          <w:rFonts w:ascii="Times New Roman" w:eastAsia="Calibri" w:hAnsi="Times New Roman"/>
          <w:color w:val="000000"/>
          <w:szCs w:val="24"/>
        </w:rPr>
        <w:tab/>
      </w:r>
      <w:r w:rsidRPr="000839ED">
        <w:rPr>
          <w:rFonts w:ascii="Times New Roman" w:eastAsia="Calibri" w:hAnsi="Times New Roman"/>
          <w:color w:val="000000"/>
          <w:szCs w:val="24"/>
        </w:rPr>
        <w:t>Zinātne, tehnoloģijas, inženierzinātnes un matemātika (</w:t>
      </w:r>
      <w:r w:rsidR="00D61164" w:rsidRPr="000839ED">
        <w:rPr>
          <w:rFonts w:ascii="Times New Roman" w:eastAsia="Calibri" w:hAnsi="Times New Roman"/>
          <w:i/>
          <w:color w:val="000000"/>
          <w:szCs w:val="24"/>
        </w:rPr>
        <w:t xml:space="preserve">science, </w:t>
      </w:r>
      <w:r w:rsidRPr="000839ED">
        <w:rPr>
          <w:rFonts w:ascii="Times New Roman" w:eastAsia="Calibri" w:hAnsi="Times New Roman"/>
          <w:i/>
          <w:color w:val="000000"/>
          <w:szCs w:val="24"/>
        </w:rPr>
        <w:t>technology, engineering and mathematics</w:t>
      </w:r>
      <w:r w:rsidRPr="000839ED">
        <w:rPr>
          <w:rFonts w:ascii="Times New Roman" w:eastAsia="Calibri" w:hAnsi="Times New Roman"/>
          <w:color w:val="000000"/>
          <w:szCs w:val="24"/>
        </w:rPr>
        <w:t>)</w:t>
      </w:r>
    </w:p>
    <w:p w14:paraId="427CDDC4" w14:textId="77777777" w:rsidR="000E6165" w:rsidRPr="000839ED" w:rsidRDefault="000E6165" w:rsidP="000E6165">
      <w:pPr>
        <w:pStyle w:val="teksts"/>
        <w:spacing w:after="0"/>
        <w:rPr>
          <w:rFonts w:ascii="Times New Roman" w:eastAsia="Calibri" w:hAnsi="Times New Roman"/>
          <w:color w:val="000000"/>
          <w:szCs w:val="24"/>
        </w:rPr>
      </w:pPr>
      <w:r w:rsidRPr="000839ED">
        <w:rPr>
          <w:rFonts w:ascii="Times New Roman" w:eastAsia="Calibri" w:hAnsi="Times New Roman"/>
          <w:color w:val="000000"/>
          <w:szCs w:val="24"/>
        </w:rPr>
        <w:t>UIN</w:t>
      </w:r>
      <w:r w:rsidRPr="000839ED">
        <w:rPr>
          <w:rFonts w:ascii="Times New Roman" w:eastAsia="Calibri" w:hAnsi="Times New Roman"/>
          <w:color w:val="000000"/>
          <w:szCs w:val="24"/>
        </w:rPr>
        <w:tab/>
      </w:r>
      <w:r w:rsidRPr="000839ED">
        <w:rPr>
          <w:rFonts w:ascii="Times New Roman" w:eastAsia="Calibri" w:hAnsi="Times New Roman"/>
          <w:color w:val="000000"/>
          <w:szCs w:val="24"/>
        </w:rPr>
        <w:tab/>
      </w:r>
      <w:r w:rsidR="005D41CC" w:rsidRPr="000839ED">
        <w:rPr>
          <w:rFonts w:ascii="Times New Roman" w:eastAsia="Calibri" w:hAnsi="Times New Roman"/>
          <w:color w:val="000000"/>
          <w:szCs w:val="24"/>
        </w:rPr>
        <w:tab/>
      </w:r>
      <w:r w:rsidRPr="000839ED">
        <w:rPr>
          <w:rFonts w:ascii="Times New Roman" w:eastAsia="Calibri" w:hAnsi="Times New Roman"/>
          <w:color w:val="000000"/>
          <w:szCs w:val="24"/>
        </w:rPr>
        <w:t>Uzņēmuma ienākumu nodoklis</w:t>
      </w:r>
    </w:p>
    <w:p w14:paraId="4B547BF9" w14:textId="77777777" w:rsidR="000E6165" w:rsidRPr="000839ED" w:rsidRDefault="005D41CC" w:rsidP="000E6165">
      <w:pPr>
        <w:spacing w:after="0"/>
        <w:ind w:firstLine="0"/>
        <w:rPr>
          <w:szCs w:val="24"/>
        </w:rPr>
      </w:pPr>
      <w:r w:rsidRPr="000839ED">
        <w:rPr>
          <w:szCs w:val="24"/>
        </w:rPr>
        <w:t>VAS</w:t>
      </w:r>
      <w:r w:rsidRPr="000839ED">
        <w:rPr>
          <w:szCs w:val="24"/>
        </w:rPr>
        <w:tab/>
      </w:r>
      <w:r w:rsidRPr="000839ED">
        <w:rPr>
          <w:szCs w:val="24"/>
        </w:rPr>
        <w:tab/>
      </w:r>
      <w:r w:rsidRPr="000839ED">
        <w:rPr>
          <w:szCs w:val="24"/>
        </w:rPr>
        <w:tab/>
      </w:r>
      <w:r w:rsidR="000E6165" w:rsidRPr="000839ED">
        <w:rPr>
          <w:szCs w:val="24"/>
        </w:rPr>
        <w:t>Valsts akciju sabiedrība</w:t>
      </w:r>
    </w:p>
    <w:p w14:paraId="0324DC26" w14:textId="77777777" w:rsidR="000E6165" w:rsidRPr="000839ED" w:rsidRDefault="000E6165" w:rsidP="000E6165">
      <w:pPr>
        <w:pStyle w:val="teksts"/>
        <w:spacing w:after="0"/>
        <w:rPr>
          <w:rFonts w:ascii="Times New Roman" w:eastAsia="Calibri" w:hAnsi="Times New Roman"/>
          <w:color w:val="000000"/>
          <w:szCs w:val="24"/>
        </w:rPr>
      </w:pPr>
      <w:r w:rsidRPr="000839ED">
        <w:rPr>
          <w:rFonts w:ascii="Times New Roman" w:eastAsia="Calibri" w:hAnsi="Times New Roman"/>
          <w:color w:val="000000"/>
          <w:szCs w:val="24"/>
        </w:rPr>
        <w:t>VTM</w:t>
      </w:r>
      <w:r w:rsidRPr="000839ED">
        <w:rPr>
          <w:rFonts w:ascii="Times New Roman" w:eastAsia="Calibri" w:hAnsi="Times New Roman"/>
          <w:color w:val="000000"/>
          <w:szCs w:val="24"/>
        </w:rPr>
        <w:tab/>
      </w:r>
      <w:r w:rsidR="005D41CC" w:rsidRPr="000839ED">
        <w:rPr>
          <w:rFonts w:ascii="Times New Roman" w:eastAsia="Calibri" w:hAnsi="Times New Roman"/>
          <w:color w:val="000000"/>
          <w:szCs w:val="24"/>
        </w:rPr>
        <w:tab/>
      </w:r>
      <w:r w:rsidR="005D41CC" w:rsidRPr="000839ED">
        <w:rPr>
          <w:rFonts w:ascii="Times New Roman" w:eastAsia="Calibri" w:hAnsi="Times New Roman"/>
          <w:color w:val="000000"/>
          <w:szCs w:val="24"/>
        </w:rPr>
        <w:tab/>
      </w:r>
      <w:r w:rsidRPr="000839ED">
        <w:rPr>
          <w:rFonts w:ascii="Times New Roman" w:eastAsia="Calibri" w:hAnsi="Times New Roman"/>
          <w:color w:val="000000"/>
          <w:szCs w:val="24"/>
        </w:rPr>
        <w:t>Vidēja termiņa strukturālās bilances mērķis</w:t>
      </w:r>
    </w:p>
    <w:p w14:paraId="381E455E" w14:textId="77777777" w:rsidR="000E6165" w:rsidRPr="000E6165" w:rsidRDefault="000E6165" w:rsidP="00D61164">
      <w:pPr>
        <w:pStyle w:val="teksts"/>
        <w:spacing w:after="0"/>
        <w:ind w:left="2127" w:hanging="2127"/>
        <w:rPr>
          <w:rFonts w:ascii="Times New Roman" w:eastAsia="Calibri" w:hAnsi="Times New Roman"/>
          <w:color w:val="000000"/>
          <w:szCs w:val="24"/>
        </w:rPr>
      </w:pPr>
      <w:r w:rsidRPr="0035710E">
        <w:rPr>
          <w:rFonts w:ascii="Times New Roman" w:hAnsi="Times New Roman"/>
          <w:color w:val="000000" w:themeColor="text1"/>
          <w:szCs w:val="24"/>
        </w:rPr>
        <w:t>ZTAI</w:t>
      </w:r>
      <w:r w:rsidRPr="0035710E">
        <w:rPr>
          <w:rFonts w:ascii="Times New Roman" w:hAnsi="Times New Roman"/>
          <w:color w:val="000000" w:themeColor="text1"/>
          <w:szCs w:val="24"/>
        </w:rPr>
        <w:tab/>
      </w:r>
      <w:r w:rsidR="005D41CC" w:rsidRPr="0035710E">
        <w:rPr>
          <w:rFonts w:ascii="Times New Roman" w:hAnsi="Times New Roman"/>
          <w:color w:val="000000" w:themeColor="text1"/>
          <w:szCs w:val="24"/>
        </w:rPr>
        <w:tab/>
      </w:r>
      <w:r w:rsidRPr="0035710E">
        <w:rPr>
          <w:rFonts w:ascii="Times New Roman" w:hAnsi="Times New Roman"/>
          <w:color w:val="000000" w:themeColor="text1"/>
          <w:szCs w:val="24"/>
        </w:rPr>
        <w:t>Zinātnes, tehnoloģijas attīstības un inovācijas pamatnostādnes 2014.–2020.gadam</w:t>
      </w:r>
    </w:p>
    <w:p w14:paraId="7C57FD64" w14:textId="77777777" w:rsidR="00AA720B" w:rsidRDefault="00AA720B" w:rsidP="00DA2011">
      <w:pPr>
        <w:pStyle w:val="Heading1"/>
        <w:tabs>
          <w:tab w:val="left" w:pos="1276"/>
        </w:tabs>
        <w:spacing w:before="0" w:after="240"/>
        <w:jc w:val="center"/>
        <w:rPr>
          <w:rFonts w:ascii="Times New Roman" w:hAnsi="Times New Roman"/>
          <w:color w:val="18185E"/>
          <w:sz w:val="28"/>
        </w:rPr>
      </w:pPr>
    </w:p>
    <w:p w14:paraId="56A0D8CB" w14:textId="77777777" w:rsidR="00243A27" w:rsidRPr="00243A27" w:rsidRDefault="00243A27" w:rsidP="00243A27">
      <w:pPr>
        <w:rPr>
          <w:lang w:val="x-none" w:eastAsia="x-none"/>
        </w:rPr>
        <w:sectPr w:rsidR="00243A27" w:rsidRPr="00243A27" w:rsidSect="00F5071D">
          <w:headerReference w:type="default" r:id="rId49"/>
          <w:footerReference w:type="default" r:id="rId50"/>
          <w:footerReference w:type="first" r:id="rId51"/>
          <w:pgSz w:w="11906" w:h="16838"/>
          <w:pgMar w:top="1418" w:right="1134" w:bottom="1418" w:left="1701" w:header="567" w:footer="737" w:gutter="0"/>
          <w:pgNumType w:start="1"/>
          <w:cols w:space="708"/>
          <w:titlePg/>
          <w:docGrid w:linePitch="360"/>
        </w:sectPr>
      </w:pPr>
    </w:p>
    <w:p w14:paraId="73A9BA23" w14:textId="77777777" w:rsidR="001F5AEA" w:rsidRPr="006B2FB4" w:rsidRDefault="001F5AEA" w:rsidP="00DA2011">
      <w:pPr>
        <w:pStyle w:val="Heading1"/>
        <w:tabs>
          <w:tab w:val="left" w:pos="1276"/>
        </w:tabs>
        <w:spacing w:before="0" w:after="240"/>
        <w:jc w:val="center"/>
        <w:rPr>
          <w:rFonts w:ascii="Times New Roman" w:hAnsi="Times New Roman"/>
          <w:color w:val="18185E"/>
        </w:rPr>
      </w:pPr>
      <w:bookmarkStart w:id="2" w:name="_Toc21516495"/>
      <w:r w:rsidRPr="006B2FB4">
        <w:rPr>
          <w:rFonts w:ascii="Times New Roman" w:hAnsi="Times New Roman"/>
          <w:color w:val="18185E"/>
          <w:sz w:val="28"/>
        </w:rPr>
        <w:lastRenderedPageBreak/>
        <w:t>Ievads</w:t>
      </w:r>
      <w:bookmarkEnd w:id="2"/>
    </w:p>
    <w:p w14:paraId="13DF5ED9" w14:textId="77777777" w:rsidR="008906EA" w:rsidRPr="002551D1" w:rsidRDefault="008906EA" w:rsidP="008906EA">
      <w:pPr>
        <w:pStyle w:val="teksts"/>
        <w:spacing w:after="0"/>
        <w:ind w:firstLine="720"/>
        <w:rPr>
          <w:rFonts w:ascii="Times New Roman" w:eastAsiaTheme="minorHAnsi" w:hAnsi="Times New Roman"/>
          <w:szCs w:val="24"/>
        </w:rPr>
      </w:pPr>
      <w:r w:rsidRPr="002551D1">
        <w:rPr>
          <w:rFonts w:ascii="Times New Roman" w:eastAsiaTheme="minorHAnsi" w:hAnsi="Times New Roman"/>
          <w:szCs w:val="24"/>
        </w:rPr>
        <w:t>Latvijas Republika iesniedz Vispārējās valdības budžeta plāna projektu 2020.gadam.</w:t>
      </w:r>
    </w:p>
    <w:p w14:paraId="58AD8B10" w14:textId="47B7D269" w:rsidR="008906EA" w:rsidRPr="002551D1" w:rsidRDefault="008906EA" w:rsidP="008906EA">
      <w:pPr>
        <w:pStyle w:val="teksts"/>
        <w:spacing w:after="0"/>
        <w:ind w:firstLine="720"/>
        <w:rPr>
          <w:rFonts w:ascii="Times New Roman" w:eastAsiaTheme="minorHAnsi" w:hAnsi="Times New Roman"/>
          <w:szCs w:val="24"/>
        </w:rPr>
      </w:pPr>
      <w:r w:rsidRPr="002551D1">
        <w:rPr>
          <w:rFonts w:ascii="Times New Roman" w:eastAsiaTheme="minorHAnsi" w:hAnsi="Times New Roman"/>
          <w:szCs w:val="24"/>
        </w:rPr>
        <w:t>Vispārējās valdības budžeta plāna projekts 2020.gadam ir sagat</w:t>
      </w:r>
      <w:r>
        <w:rPr>
          <w:rFonts w:ascii="Times New Roman" w:eastAsiaTheme="minorHAnsi" w:hAnsi="Times New Roman"/>
          <w:szCs w:val="24"/>
        </w:rPr>
        <w:t>a</w:t>
      </w:r>
      <w:r w:rsidRPr="002551D1">
        <w:rPr>
          <w:rFonts w:ascii="Times New Roman" w:eastAsiaTheme="minorHAnsi" w:hAnsi="Times New Roman"/>
          <w:szCs w:val="24"/>
        </w:rPr>
        <w:t xml:space="preserve">vots bastoties uz š.g. jūnijā izstrādāto makroekonomiskās attīstības scenāriju, kas </w:t>
      </w:r>
      <w:r w:rsidRPr="002551D1">
        <w:rPr>
          <w:rFonts w:ascii="Times New Roman" w:hAnsi="Times New Roman"/>
          <w:szCs w:val="24"/>
        </w:rPr>
        <w:t>2020.gadam paredz IKP pieaugumu 2,8% apmērā. Fiskālās attīstības scenārijs 2020.gadam ietver scenāriju pie nemainīgas politikas</w:t>
      </w:r>
      <w:r>
        <w:rPr>
          <w:rFonts w:ascii="Times New Roman" w:hAnsi="Times New Roman"/>
          <w:szCs w:val="24"/>
        </w:rPr>
        <w:t>,</w:t>
      </w:r>
      <w:r w:rsidRPr="002551D1">
        <w:rPr>
          <w:rFonts w:ascii="Times New Roman" w:hAnsi="Times New Roman"/>
          <w:szCs w:val="24"/>
        </w:rPr>
        <w:t xml:space="preserve"> kā arī mainīgas politikas scenāriju, kurā ietverti </w:t>
      </w:r>
      <w:r w:rsidR="005070C6">
        <w:rPr>
          <w:rFonts w:ascii="Times New Roman" w:hAnsi="Times New Roman"/>
          <w:szCs w:val="24"/>
        </w:rPr>
        <w:t>MK</w:t>
      </w:r>
      <w:r w:rsidRPr="002551D1">
        <w:rPr>
          <w:rFonts w:ascii="Times New Roman" w:hAnsi="Times New Roman"/>
          <w:szCs w:val="24"/>
        </w:rPr>
        <w:t xml:space="preserve"> jaunpie</w:t>
      </w:r>
      <w:r>
        <w:rPr>
          <w:rFonts w:ascii="Times New Roman" w:hAnsi="Times New Roman"/>
          <w:szCs w:val="24"/>
        </w:rPr>
        <w:t>ņ</w:t>
      </w:r>
      <w:r w:rsidRPr="002551D1">
        <w:rPr>
          <w:rFonts w:ascii="Times New Roman" w:hAnsi="Times New Roman"/>
          <w:szCs w:val="24"/>
        </w:rPr>
        <w:t>emtie diskrecionārie ieņēmumu un izdevumu pasākumi. 2020.gada budžets ir sagat</w:t>
      </w:r>
      <w:r>
        <w:rPr>
          <w:rFonts w:ascii="Times New Roman" w:hAnsi="Times New Roman"/>
          <w:szCs w:val="24"/>
        </w:rPr>
        <w:t>a</w:t>
      </w:r>
      <w:r w:rsidR="00AA1821">
        <w:rPr>
          <w:rFonts w:ascii="Times New Roman" w:hAnsi="Times New Roman"/>
          <w:szCs w:val="24"/>
        </w:rPr>
        <w:t xml:space="preserve">vots, </w:t>
      </w:r>
      <w:r w:rsidRPr="002551D1">
        <w:rPr>
          <w:rFonts w:ascii="Times New Roman" w:hAnsi="Times New Roman"/>
          <w:szCs w:val="24"/>
        </w:rPr>
        <w:t xml:space="preserve">prognozējot, ka </w:t>
      </w:r>
      <w:r w:rsidRPr="002551D1">
        <w:rPr>
          <w:rFonts w:ascii="Times New Roman" w:eastAsiaTheme="minorHAnsi" w:hAnsi="Times New Roman"/>
          <w:szCs w:val="24"/>
        </w:rPr>
        <w:t>vispārējās valdības nominālais deficīts 2020.gadā ir 0,34 % no IKP.</w:t>
      </w:r>
    </w:p>
    <w:p w14:paraId="2BBC325F" w14:textId="604E553E" w:rsidR="008906EA" w:rsidRPr="002551D1" w:rsidRDefault="008906EA" w:rsidP="008906EA">
      <w:pPr>
        <w:pStyle w:val="teksts"/>
        <w:spacing w:after="0"/>
        <w:ind w:firstLine="720"/>
        <w:rPr>
          <w:rFonts w:ascii="Times New Roman" w:eastAsiaTheme="minorHAnsi" w:hAnsi="Times New Roman"/>
          <w:szCs w:val="24"/>
        </w:rPr>
      </w:pPr>
      <w:r w:rsidRPr="002551D1">
        <w:rPr>
          <w:rFonts w:ascii="Times New Roman" w:eastAsiaTheme="minorHAnsi" w:hAnsi="Times New Roman"/>
          <w:szCs w:val="24"/>
        </w:rPr>
        <w:t>Vispārējās valdības budžeta plāna projektu 2</w:t>
      </w:r>
      <w:r w:rsidR="00220F2A">
        <w:rPr>
          <w:rFonts w:ascii="Times New Roman" w:eastAsiaTheme="minorHAnsi" w:hAnsi="Times New Roman"/>
          <w:szCs w:val="24"/>
        </w:rPr>
        <w:t>020.gadam š.g. 11.</w:t>
      </w:r>
      <w:r>
        <w:rPr>
          <w:rFonts w:ascii="Times New Roman" w:eastAsiaTheme="minorHAnsi" w:hAnsi="Times New Roman"/>
          <w:szCs w:val="24"/>
        </w:rPr>
        <w:t>oktobrī ir a</w:t>
      </w:r>
      <w:r w:rsidRPr="002551D1">
        <w:rPr>
          <w:rFonts w:ascii="Times New Roman" w:eastAsiaTheme="minorHAnsi" w:hAnsi="Times New Roman"/>
          <w:szCs w:val="24"/>
        </w:rPr>
        <w:t>pstiprināj</w:t>
      </w:r>
      <w:r w:rsidR="005070C6">
        <w:rPr>
          <w:rFonts w:ascii="Times New Roman" w:eastAsiaTheme="minorHAnsi" w:hAnsi="Times New Roman"/>
          <w:szCs w:val="24"/>
        </w:rPr>
        <w:t>is</w:t>
      </w:r>
      <w:r w:rsidRPr="002551D1">
        <w:rPr>
          <w:rFonts w:ascii="Times New Roman" w:eastAsiaTheme="minorHAnsi" w:hAnsi="Times New Roman"/>
          <w:szCs w:val="24"/>
        </w:rPr>
        <w:t xml:space="preserve"> </w:t>
      </w:r>
      <w:r w:rsidR="005070C6">
        <w:rPr>
          <w:rFonts w:ascii="Times New Roman" w:eastAsiaTheme="minorHAnsi" w:hAnsi="Times New Roman"/>
          <w:szCs w:val="24"/>
        </w:rPr>
        <w:t>MK</w:t>
      </w:r>
      <w:r w:rsidRPr="002551D1">
        <w:rPr>
          <w:rFonts w:ascii="Times New Roman" w:eastAsiaTheme="minorHAnsi" w:hAnsi="Times New Roman"/>
          <w:szCs w:val="24"/>
        </w:rPr>
        <w:t>.</w:t>
      </w:r>
    </w:p>
    <w:p w14:paraId="084E9B2E" w14:textId="77777777" w:rsidR="0095691A" w:rsidRDefault="001F5AEA" w:rsidP="000448AD">
      <w:pPr>
        <w:pStyle w:val="Heading1"/>
        <w:tabs>
          <w:tab w:val="left" w:pos="1276"/>
        </w:tabs>
        <w:spacing w:before="0" w:after="240"/>
        <w:ind w:firstLine="0"/>
        <w:jc w:val="center"/>
        <w:rPr>
          <w:rFonts w:ascii="Times New Roman" w:hAnsi="Times New Roman"/>
          <w:color w:val="18185E"/>
          <w:sz w:val="28"/>
        </w:rPr>
      </w:pPr>
      <w:r w:rsidRPr="00976103">
        <w:rPr>
          <w:rFonts w:eastAsia="Calibri"/>
          <w:b w:val="0"/>
          <w:color w:val="000000"/>
        </w:rPr>
        <w:br w:type="page"/>
      </w:r>
      <w:bookmarkStart w:id="3" w:name="_Toc21516496"/>
      <w:r w:rsidRPr="006B2FB4">
        <w:rPr>
          <w:rFonts w:ascii="Times New Roman" w:hAnsi="Times New Roman"/>
          <w:color w:val="18185E"/>
          <w:sz w:val="28"/>
        </w:rPr>
        <w:lastRenderedPageBreak/>
        <w:t>Makroekonomiskās attīstības scenārijs</w:t>
      </w:r>
      <w:bookmarkEnd w:id="3"/>
    </w:p>
    <w:p w14:paraId="05D9ECAB" w14:textId="2841D24D" w:rsidR="0095442F" w:rsidRDefault="0095442F" w:rsidP="0095442F">
      <w:pPr>
        <w:spacing w:after="0"/>
        <w:ind w:firstLine="720"/>
        <w:rPr>
          <w:szCs w:val="24"/>
        </w:rPr>
      </w:pPr>
      <w:r w:rsidRPr="00751BDB">
        <w:rPr>
          <w:szCs w:val="24"/>
        </w:rPr>
        <w:t>Vidēja termiņa makroekonomiskās</w:t>
      </w:r>
      <w:r>
        <w:rPr>
          <w:szCs w:val="24"/>
        </w:rPr>
        <w:t xml:space="preserve"> attīstības scenārijs 2019.–2022</w:t>
      </w:r>
      <w:r w:rsidRPr="00751BDB">
        <w:rPr>
          <w:szCs w:val="24"/>
        </w:rPr>
        <w:t>.gadam izstrādāts 2019.gada jūnijā, ņemot vērā ņemot vērā 2019.gada 1.ceturkšņa IKP datus un līdz 2019.gada jūnijam pieejamo īstermiņa makroekonomisko informāciju.</w:t>
      </w:r>
      <w:r>
        <w:rPr>
          <w:szCs w:val="24"/>
        </w:rPr>
        <w:t xml:space="preserve"> </w:t>
      </w:r>
      <w:r w:rsidRPr="00C622D5">
        <w:rPr>
          <w:szCs w:val="24"/>
        </w:rPr>
        <w:t>Salīdzinājumā ar Latvi</w:t>
      </w:r>
      <w:r>
        <w:rPr>
          <w:szCs w:val="24"/>
        </w:rPr>
        <w:t>jas Stabilitātes programmas 2019.–2022</w:t>
      </w:r>
      <w:r w:rsidRPr="00C622D5">
        <w:rPr>
          <w:szCs w:val="24"/>
        </w:rPr>
        <w:t>.gadam progn</w:t>
      </w:r>
      <w:r w:rsidR="00AF4A8A">
        <w:rPr>
          <w:szCs w:val="24"/>
        </w:rPr>
        <w:t>ozēm, kas tika</w:t>
      </w:r>
      <w:r>
        <w:rPr>
          <w:szCs w:val="24"/>
        </w:rPr>
        <w:t xml:space="preserve"> izstrādātas 2019</w:t>
      </w:r>
      <w:r w:rsidRPr="00C622D5">
        <w:rPr>
          <w:szCs w:val="24"/>
        </w:rPr>
        <w:t xml:space="preserve">.gada februārī, Latvijas </w:t>
      </w:r>
      <w:r>
        <w:rPr>
          <w:szCs w:val="24"/>
        </w:rPr>
        <w:t>IKP pieauguma prognoze 2019</w:t>
      </w:r>
      <w:r w:rsidRPr="00C622D5">
        <w:rPr>
          <w:szCs w:val="24"/>
        </w:rPr>
        <w:t>.</w:t>
      </w:r>
      <w:r>
        <w:rPr>
          <w:szCs w:val="24"/>
        </w:rPr>
        <w:t>gadam nav mainīta</w:t>
      </w:r>
      <w:r w:rsidRPr="00C622D5">
        <w:rPr>
          <w:szCs w:val="24"/>
        </w:rPr>
        <w:t>,</w:t>
      </w:r>
      <w:r>
        <w:rPr>
          <w:szCs w:val="24"/>
        </w:rPr>
        <w:t xml:space="preserve"> saglabājot to 3,2% apmērā,</w:t>
      </w:r>
      <w:r w:rsidRPr="00C622D5">
        <w:rPr>
          <w:szCs w:val="24"/>
        </w:rPr>
        <w:t xml:space="preserve"> bet </w:t>
      </w:r>
      <w:r>
        <w:rPr>
          <w:szCs w:val="24"/>
        </w:rPr>
        <w:t>prognoze 2020.gadam samazināta par 0,2</w:t>
      </w:r>
      <w:r w:rsidRPr="00C622D5">
        <w:rPr>
          <w:szCs w:val="24"/>
        </w:rPr>
        <w:t xml:space="preserve"> procentpunktiem līdz </w:t>
      </w:r>
      <w:r>
        <w:rPr>
          <w:szCs w:val="24"/>
        </w:rPr>
        <w:t>2,8</w:t>
      </w:r>
      <w:r w:rsidRPr="00C622D5">
        <w:rPr>
          <w:szCs w:val="24"/>
        </w:rPr>
        <w:t>%</w:t>
      </w:r>
      <w:r>
        <w:rPr>
          <w:szCs w:val="24"/>
        </w:rPr>
        <w:t>.</w:t>
      </w:r>
    </w:p>
    <w:p w14:paraId="14590B07" w14:textId="5D996117" w:rsidR="0095442F" w:rsidRDefault="0095442F" w:rsidP="0095442F">
      <w:pPr>
        <w:spacing w:after="0"/>
        <w:ind w:firstLine="720"/>
        <w:rPr>
          <w:szCs w:val="24"/>
        </w:rPr>
      </w:pPr>
      <w:r>
        <w:rPr>
          <w:szCs w:val="24"/>
        </w:rPr>
        <w:t>M</w:t>
      </w:r>
      <w:r w:rsidRPr="0062057C">
        <w:rPr>
          <w:szCs w:val="24"/>
        </w:rPr>
        <w:t xml:space="preserve">ērenākus </w:t>
      </w:r>
      <w:r>
        <w:rPr>
          <w:szCs w:val="24"/>
        </w:rPr>
        <w:t xml:space="preserve">ekonomikas </w:t>
      </w:r>
      <w:r w:rsidRPr="0062057C">
        <w:rPr>
          <w:szCs w:val="24"/>
        </w:rPr>
        <w:t>izaugsmes tempus nekā iepriekšējos divos gados no</w:t>
      </w:r>
      <w:r>
        <w:rPr>
          <w:szCs w:val="24"/>
        </w:rPr>
        <w:t>saka</w:t>
      </w:r>
      <w:r w:rsidRPr="0062057C">
        <w:rPr>
          <w:szCs w:val="24"/>
        </w:rPr>
        <w:t xml:space="preserve"> </w:t>
      </w:r>
      <w:r>
        <w:rPr>
          <w:szCs w:val="24"/>
        </w:rPr>
        <w:t>E</w:t>
      </w:r>
      <w:r w:rsidR="00572A15">
        <w:rPr>
          <w:szCs w:val="24"/>
        </w:rPr>
        <w:t xml:space="preserve">S </w:t>
      </w:r>
      <w:r w:rsidRPr="0062057C">
        <w:rPr>
          <w:szCs w:val="24"/>
        </w:rPr>
        <w:t>fondu līdzekļu ieplūdes stabilizēšanās un piepras</w:t>
      </w:r>
      <w:r>
        <w:rPr>
          <w:szCs w:val="24"/>
        </w:rPr>
        <w:t>ī</w:t>
      </w:r>
      <w:r w:rsidR="00571580">
        <w:rPr>
          <w:szCs w:val="24"/>
        </w:rPr>
        <w:t xml:space="preserve">juma vājināšanās ārējos tirgos. </w:t>
      </w:r>
      <w:r>
        <w:rPr>
          <w:szCs w:val="24"/>
        </w:rPr>
        <w:t xml:space="preserve">IKP pieauguma tempu samazināšanos līdz 2,8% nākamajā gadā ietekmē galvenokārt </w:t>
      </w:r>
      <w:r w:rsidRPr="0062057C">
        <w:rPr>
          <w:szCs w:val="24"/>
        </w:rPr>
        <w:t xml:space="preserve">lēnākie investīciju pieauguma tempi, kā arī pieaugusī nenoteiktība un riski ārējā vidē, tajā skaitā saistībā ar augošajām protekcionisma tendencēm, </w:t>
      </w:r>
      <w:r w:rsidR="00C5582C" w:rsidRPr="00C5582C">
        <w:rPr>
          <w:szCs w:val="24"/>
        </w:rPr>
        <w:t>Amerikas Savienot</w:t>
      </w:r>
      <w:r w:rsidR="00C5582C">
        <w:rPr>
          <w:szCs w:val="24"/>
        </w:rPr>
        <w:t>o</w:t>
      </w:r>
      <w:r w:rsidR="00C5582C" w:rsidRPr="00C5582C">
        <w:rPr>
          <w:szCs w:val="24"/>
        </w:rPr>
        <w:t xml:space="preserve"> Valst</w:t>
      </w:r>
      <w:r w:rsidR="00C5582C">
        <w:rPr>
          <w:szCs w:val="24"/>
        </w:rPr>
        <w:t>u</w:t>
      </w:r>
      <w:r w:rsidR="00C5582C" w:rsidRPr="0062057C">
        <w:rPr>
          <w:szCs w:val="24"/>
        </w:rPr>
        <w:t xml:space="preserve"> </w:t>
      </w:r>
      <w:r w:rsidR="00C5582C">
        <w:rPr>
          <w:szCs w:val="24"/>
        </w:rPr>
        <w:t>(</w:t>
      </w:r>
      <w:r w:rsidRPr="0062057C">
        <w:rPr>
          <w:szCs w:val="24"/>
        </w:rPr>
        <w:t>ASV</w:t>
      </w:r>
      <w:r w:rsidR="00C5582C">
        <w:rPr>
          <w:szCs w:val="24"/>
        </w:rPr>
        <w:t>)</w:t>
      </w:r>
      <w:r w:rsidRPr="0062057C">
        <w:rPr>
          <w:szCs w:val="24"/>
        </w:rPr>
        <w:t xml:space="preserve"> un Ķīnas tirdzniecības konfliktu, ieilgušo nenoteiktību saistībā ar Lielbritānijas izstāšanos no ES un augošo nestabilitāti pasaules ģeopolitisko konfliktu reģionos.</w:t>
      </w:r>
    </w:p>
    <w:p w14:paraId="3708DA25" w14:textId="5E369EB9" w:rsidR="0095442F" w:rsidRDefault="0095442F" w:rsidP="0095442F">
      <w:pPr>
        <w:spacing w:after="0"/>
        <w:ind w:firstLine="720"/>
        <w:rPr>
          <w:szCs w:val="24"/>
        </w:rPr>
      </w:pPr>
      <w:r w:rsidRPr="0037460C">
        <w:rPr>
          <w:szCs w:val="24"/>
        </w:rPr>
        <w:t>Gada vidējā inflācija 2019.gadā prognozēta 2,8% un 2020.gadā 2,5% līmenī. Salīdzinājumā ar Latvijas Stabilitātes programmas 2019.</w:t>
      </w:r>
      <w:r w:rsidR="00C5582C" w:rsidRPr="0037460C">
        <w:rPr>
          <w:szCs w:val="24"/>
        </w:rPr>
        <w:t>–</w:t>
      </w:r>
      <w:r w:rsidRPr="0037460C">
        <w:rPr>
          <w:szCs w:val="24"/>
        </w:rPr>
        <w:t>2022.gadam prognozēm inflācijas prognoze 2019.gadam ir paaugstināta par 0,3 procentpunktiem, galvenokārt straujāka</w:t>
      </w:r>
      <w:r>
        <w:rPr>
          <w:szCs w:val="24"/>
        </w:rPr>
        <w:t xml:space="preserve"> nekā iepriekš prognozēts</w:t>
      </w:r>
      <w:r w:rsidRPr="0037460C">
        <w:rPr>
          <w:szCs w:val="24"/>
        </w:rPr>
        <w:t xml:space="preserve"> elektroenerģijas u</w:t>
      </w:r>
      <w:r>
        <w:rPr>
          <w:szCs w:val="24"/>
        </w:rPr>
        <w:t>n dabas gāzes cenu pieauguma dēļ.</w:t>
      </w:r>
      <w:r w:rsidRPr="0037460C">
        <w:rPr>
          <w:szCs w:val="24"/>
        </w:rPr>
        <w:t xml:space="preserve"> Tāpat arī inflācijas prognoze 2020.gadam ir paaugstināta par</w:t>
      </w:r>
      <w:r>
        <w:rPr>
          <w:szCs w:val="24"/>
        </w:rPr>
        <w:t xml:space="preserve"> 0,3 procentpunktiem līdz 2,5%.</w:t>
      </w:r>
    </w:p>
    <w:p w14:paraId="69A585AC" w14:textId="2DA8EF85" w:rsidR="0095442F" w:rsidRPr="0037460C" w:rsidRDefault="0095442F" w:rsidP="003E260D">
      <w:pPr>
        <w:spacing w:after="0"/>
        <w:ind w:firstLine="720"/>
        <w:rPr>
          <w:szCs w:val="24"/>
        </w:rPr>
      </w:pPr>
      <w:r w:rsidRPr="0037460C">
        <w:rPr>
          <w:szCs w:val="24"/>
        </w:rPr>
        <w:t>Strauj</w:t>
      </w:r>
      <w:r>
        <w:rPr>
          <w:szCs w:val="24"/>
        </w:rPr>
        <w:t>ais</w:t>
      </w:r>
      <w:r w:rsidRPr="0037460C">
        <w:rPr>
          <w:szCs w:val="24"/>
        </w:rPr>
        <w:t xml:space="preserve"> algu pieaugums</w:t>
      </w:r>
      <w:r>
        <w:rPr>
          <w:szCs w:val="24"/>
        </w:rPr>
        <w:t>,</w:t>
      </w:r>
      <w:r w:rsidRPr="0037460C">
        <w:rPr>
          <w:szCs w:val="24"/>
        </w:rPr>
        <w:t xml:space="preserve"> kas pagājušajā gadā sasniedza 8,4%, saglabājās arī </w:t>
      </w:r>
      <w:r>
        <w:rPr>
          <w:szCs w:val="24"/>
        </w:rPr>
        <w:t>2019.</w:t>
      </w:r>
      <w:r w:rsidRPr="0037460C">
        <w:rPr>
          <w:szCs w:val="24"/>
        </w:rPr>
        <w:t xml:space="preserve">gada pirmajā </w:t>
      </w:r>
      <w:r>
        <w:rPr>
          <w:szCs w:val="24"/>
        </w:rPr>
        <w:t>pusē.</w:t>
      </w:r>
      <w:r w:rsidRPr="0037460C">
        <w:rPr>
          <w:szCs w:val="24"/>
        </w:rPr>
        <w:t xml:space="preserve"> Tāpēc mēneša vidējās bruto darba samaksas pieauguma prognoze 2019.gadam ir paaugstināta par vienu procentpunktu līdz 7,5%, bet 2020.gadam – par</w:t>
      </w:r>
      <w:r>
        <w:rPr>
          <w:szCs w:val="24"/>
        </w:rPr>
        <w:t xml:space="preserve"> 0,5 procentpunktiem līdz 6,0%. </w:t>
      </w:r>
      <w:r w:rsidRPr="0037460C">
        <w:rPr>
          <w:szCs w:val="24"/>
        </w:rPr>
        <w:t xml:space="preserve">Saglabājoties stabilai ekonomikas izaugsmei, sagaidāms, ka tautsaimniecībā nodarbināto iedzīvotāju skaits šogad augs par 0,5% līdz 914 tūkstošiem, bet bezdarba līmenis pazemināsies līdz 7,0%. Nākamajā gadā tautsaimniecībā nodarbināto iedzīvotāju skaits saglabāsies stabils, bet bezdarba līmenis turpinās pazemināties, </w:t>
      </w:r>
      <w:r>
        <w:rPr>
          <w:szCs w:val="24"/>
        </w:rPr>
        <w:t>noslīdot līdz 6,6%.</w:t>
      </w:r>
    </w:p>
    <w:p w14:paraId="0E05F539" w14:textId="3FC9DE87" w:rsidR="0095442F" w:rsidRPr="00FD6D19" w:rsidRDefault="0095442F" w:rsidP="003E260D">
      <w:pPr>
        <w:spacing w:after="0"/>
        <w:ind w:firstLine="720"/>
        <w:rPr>
          <w:szCs w:val="24"/>
        </w:rPr>
      </w:pPr>
      <w:r w:rsidRPr="00FF7EC8">
        <w:rPr>
          <w:szCs w:val="24"/>
        </w:rPr>
        <w:t xml:space="preserve">Izstrādātās makroekonomisko rādītāju prognozes ir saskaņotas ar Latvijas Banku un Ekonomikas ministriju, </w:t>
      </w:r>
      <w:r>
        <w:rPr>
          <w:szCs w:val="24"/>
        </w:rPr>
        <w:t>parakstot vienošanās protokolu. Prognozes 2019.gada 20</w:t>
      </w:r>
      <w:r w:rsidRPr="00167AE9">
        <w:rPr>
          <w:szCs w:val="24"/>
        </w:rPr>
        <w:t>.</w:t>
      </w:r>
      <w:r>
        <w:rPr>
          <w:szCs w:val="24"/>
        </w:rPr>
        <w:t>jūnijā</w:t>
      </w:r>
      <w:r w:rsidRPr="00FF7EC8">
        <w:rPr>
          <w:szCs w:val="24"/>
        </w:rPr>
        <w:t xml:space="preserve"> ir apstiprinājusi Fiskālās disciplīnas padome</w:t>
      </w:r>
      <w:r>
        <w:rPr>
          <w:szCs w:val="24"/>
        </w:rPr>
        <w:t xml:space="preserve">. </w:t>
      </w:r>
      <w:r w:rsidRPr="00FF7EC8">
        <w:rPr>
          <w:szCs w:val="24"/>
        </w:rPr>
        <w:t>Izstrādājot prognozes, FM ir konsultējusies ar Starptautiskā Valūtas fonda un EK ekspertiem.</w:t>
      </w:r>
      <w:r>
        <w:rPr>
          <w:szCs w:val="24"/>
        </w:rPr>
        <w:t xml:space="preserve"> Izstrādātās makroekonomisko rādītāju prognozes </w:t>
      </w:r>
      <w:r w:rsidRPr="001B334D">
        <w:rPr>
          <w:szCs w:val="24"/>
        </w:rPr>
        <w:t xml:space="preserve">tika izmantotas par pamatu </w:t>
      </w:r>
      <w:r w:rsidR="00571580">
        <w:rPr>
          <w:szCs w:val="24"/>
        </w:rPr>
        <w:t>Ietvara likuma</w:t>
      </w:r>
      <w:r w:rsidRPr="00FD6D19">
        <w:rPr>
          <w:szCs w:val="24"/>
        </w:rPr>
        <w:t xml:space="preserve"> </w:t>
      </w:r>
      <w:r w:rsidR="00571580">
        <w:rPr>
          <w:szCs w:val="24"/>
        </w:rPr>
        <w:t>2020-2022</w:t>
      </w:r>
      <w:r w:rsidRPr="00FD6D19">
        <w:rPr>
          <w:szCs w:val="24"/>
        </w:rPr>
        <w:t xml:space="preserve"> izstrādei.</w:t>
      </w:r>
    </w:p>
    <w:p w14:paraId="159D481A" w14:textId="3F2844CB" w:rsidR="0095442F" w:rsidRPr="00E2421E" w:rsidRDefault="0095442F" w:rsidP="0095442F">
      <w:pPr>
        <w:spacing w:after="0"/>
        <w:ind w:firstLine="720"/>
        <w:rPr>
          <w:szCs w:val="24"/>
        </w:rPr>
      </w:pPr>
      <w:r w:rsidRPr="00E2421E">
        <w:rPr>
          <w:szCs w:val="24"/>
        </w:rPr>
        <w:t xml:space="preserve">Makroekonomiskās attīstības scenārijs balstās uz EK 2019.gada vasaras prognožu pieņēmumiem par Latvijas tirdzniecības partnervalstu ekonomisko attīstību. Kopumā Latvijas tirdzniecības partnervalstīs saglabājas liela ekonomiskās situācijas nenoteiktība. Lai gan ES IKP 2019.gada 1.ceturksnī pieauga straujāk, nekā iepriekš bija prognozēts, pateicoties iekšējam pieprasījumam, tomēr gada otrajā pusē tiek prognozēta izaugsmes mazināšanās, jo ES eksporta aktivitāte saglabājas vāja galvenokārt pasaules apstrādes rūpniecības </w:t>
      </w:r>
      <w:r w:rsidRPr="000F34E5">
        <w:rPr>
          <w:szCs w:val="24"/>
        </w:rPr>
        <w:t xml:space="preserve">cikla </w:t>
      </w:r>
      <w:r w:rsidRPr="007853C6">
        <w:rPr>
          <w:szCs w:val="24"/>
        </w:rPr>
        <w:t>fāzes</w:t>
      </w:r>
      <w:r w:rsidRPr="00E2421E">
        <w:rPr>
          <w:szCs w:val="24"/>
        </w:rPr>
        <w:t xml:space="preserve"> dēļ. Atbilstoši EK scenārijam, E</w:t>
      </w:r>
      <w:r w:rsidR="001C0A2C">
        <w:rPr>
          <w:szCs w:val="24"/>
        </w:rPr>
        <w:t xml:space="preserve">S </w:t>
      </w:r>
      <w:r w:rsidRPr="00E2421E">
        <w:rPr>
          <w:szCs w:val="24"/>
        </w:rPr>
        <w:t>valstu IKP kopā 2019.gadā pieaugs par 1,4% un 2020.gadā par 1,6%, palēninoties n</w:t>
      </w:r>
      <w:r>
        <w:rPr>
          <w:szCs w:val="24"/>
        </w:rPr>
        <w:t>o 2017.gadā sasniegtajiem 2,5%.</w:t>
      </w:r>
    </w:p>
    <w:p w14:paraId="4DE3D05B" w14:textId="77777777" w:rsidR="0095442F" w:rsidRDefault="0095442F" w:rsidP="0095442F">
      <w:pPr>
        <w:spacing w:after="0"/>
        <w:ind w:firstLine="720"/>
        <w:rPr>
          <w:szCs w:val="24"/>
        </w:rPr>
      </w:pPr>
      <w:r w:rsidRPr="00E2421E">
        <w:rPr>
          <w:szCs w:val="24"/>
        </w:rPr>
        <w:t xml:space="preserve">Vienlaikus pasaules pieprasījuma dinamikai un ekonomikas izaugsmei ir labvēlīgas kopš š.g. maija strauji samazinājušās </w:t>
      </w:r>
      <w:r>
        <w:rPr>
          <w:szCs w:val="24"/>
        </w:rPr>
        <w:t>energoresursu</w:t>
      </w:r>
      <w:r w:rsidRPr="00E2421E">
        <w:rPr>
          <w:szCs w:val="24"/>
        </w:rPr>
        <w:t xml:space="preserve"> cenas un joprojām zemās procentu likmes. Savās prognozēs FM pieņēma, ka 2019.gadā un 2020.gadā vidējā naftas cena būs attiecīgi 70 dolāri un 65 dolāri par </w:t>
      </w:r>
      <w:r w:rsidRPr="00C947F5">
        <w:rPr>
          <w:i/>
          <w:szCs w:val="24"/>
        </w:rPr>
        <w:t xml:space="preserve">Brent </w:t>
      </w:r>
      <w:r w:rsidRPr="00E2421E">
        <w:rPr>
          <w:szCs w:val="24"/>
        </w:rPr>
        <w:t>jēlnaftas barelu, savukārt EUR/USD kurss</w:t>
      </w:r>
      <w:r>
        <w:rPr>
          <w:szCs w:val="24"/>
        </w:rPr>
        <w:t xml:space="preserve"> atbilstoši EK prognožu tehniskajiem pieņēmumiem</w:t>
      </w:r>
      <w:r w:rsidRPr="00E2421E">
        <w:rPr>
          <w:szCs w:val="24"/>
        </w:rPr>
        <w:t xml:space="preserve"> 2019. un 2020.gadā būs 1,13. Savukārt īstermiņa procentu likmes tiek prognozētas negatīvas -0,3% un -0,5% attiecīgi 2019.gadā un 2020.gadā, jo Eiropas Centrālā banka turpinās stimulējoš</w:t>
      </w:r>
      <w:r>
        <w:rPr>
          <w:szCs w:val="24"/>
        </w:rPr>
        <w:t>u</w:t>
      </w:r>
      <w:r w:rsidRPr="00E2421E">
        <w:rPr>
          <w:szCs w:val="24"/>
        </w:rPr>
        <w:t xml:space="preserve"> monetāro politiku.</w:t>
      </w:r>
    </w:p>
    <w:p w14:paraId="1AB7DF70" w14:textId="4BD357BE" w:rsidR="00FB71F0" w:rsidRDefault="00FB71F0" w:rsidP="00FB71F0">
      <w:pPr>
        <w:spacing w:after="0"/>
        <w:ind w:firstLine="720"/>
        <w:rPr>
          <w:szCs w:val="24"/>
        </w:rPr>
      </w:pPr>
    </w:p>
    <w:p w14:paraId="1B0396FE" w14:textId="77777777" w:rsidR="0022783B" w:rsidRDefault="0022783B" w:rsidP="00FB71F0">
      <w:pPr>
        <w:spacing w:after="0"/>
        <w:ind w:firstLine="720"/>
        <w:rPr>
          <w:szCs w:val="24"/>
        </w:rPr>
      </w:pPr>
    </w:p>
    <w:p w14:paraId="73C456CD" w14:textId="77777777" w:rsidR="00527C18" w:rsidRPr="00527C18" w:rsidRDefault="007369A9" w:rsidP="00527C18">
      <w:pPr>
        <w:pStyle w:val="Heading1"/>
        <w:tabs>
          <w:tab w:val="left" w:pos="1276"/>
        </w:tabs>
        <w:spacing w:before="0" w:after="240"/>
        <w:ind w:firstLine="0"/>
        <w:jc w:val="left"/>
        <w:rPr>
          <w:rFonts w:ascii="Times New Roman" w:hAnsi="Times New Roman"/>
          <w:color w:val="18185E"/>
          <w:sz w:val="24"/>
        </w:rPr>
      </w:pPr>
      <w:bookmarkStart w:id="4" w:name="_Toc21516497"/>
      <w:r>
        <w:rPr>
          <w:rFonts w:ascii="Times New Roman" w:hAnsi="Times New Roman"/>
          <w:color w:val="18185E"/>
          <w:sz w:val="24"/>
        </w:rPr>
        <w:lastRenderedPageBreak/>
        <w:t>Tabula 0.i)</w:t>
      </w:r>
      <w:r w:rsidR="00527C18" w:rsidRPr="00527C18">
        <w:rPr>
          <w:rFonts w:ascii="Times New Roman" w:hAnsi="Times New Roman"/>
          <w:color w:val="18185E"/>
          <w:sz w:val="24"/>
        </w:rPr>
        <w:t>. Ārējās vides pamata pieņēmumi</w:t>
      </w:r>
      <w:bookmarkEnd w:id="4"/>
    </w:p>
    <w:tbl>
      <w:tblPr>
        <w:tblStyle w:val="GridTable6Colorful-Accent11"/>
        <w:tblW w:w="9005" w:type="dxa"/>
        <w:jc w:val="center"/>
        <w:tblLayout w:type="fixed"/>
        <w:tblLook w:val="04A0" w:firstRow="1" w:lastRow="0" w:firstColumn="1" w:lastColumn="0" w:noHBand="0" w:noVBand="1"/>
      </w:tblPr>
      <w:tblGrid>
        <w:gridCol w:w="6799"/>
        <w:gridCol w:w="788"/>
        <w:gridCol w:w="709"/>
        <w:gridCol w:w="709"/>
      </w:tblGrid>
      <w:tr w:rsidR="003822F3" w:rsidRPr="00E877ED" w14:paraId="16675469" w14:textId="77777777" w:rsidTr="00BD243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noWrap/>
            <w:hideMark/>
          </w:tcPr>
          <w:p w14:paraId="4E42F015" w14:textId="77777777" w:rsidR="003822F3" w:rsidRPr="00527C18" w:rsidRDefault="003822F3" w:rsidP="003822F3">
            <w:pPr>
              <w:spacing w:after="0"/>
              <w:ind w:firstLine="0"/>
              <w:jc w:val="left"/>
              <w:rPr>
                <w:rFonts w:ascii="Arial" w:hAnsi="Arial" w:cs="Arial"/>
                <w:color w:val="auto"/>
                <w:lang w:eastAsia="lv-LV"/>
              </w:rPr>
            </w:pPr>
            <w:r w:rsidRPr="00527C18">
              <w:rPr>
                <w:rFonts w:ascii="Arial" w:hAnsi="Arial" w:cs="Arial"/>
                <w:color w:val="auto"/>
                <w:lang w:eastAsia="lv-LV"/>
              </w:rPr>
              <w:t> </w:t>
            </w:r>
          </w:p>
        </w:tc>
        <w:tc>
          <w:tcPr>
            <w:tcW w:w="788" w:type="dxa"/>
            <w:vAlign w:val="center"/>
            <w:hideMark/>
          </w:tcPr>
          <w:p w14:paraId="790127F9" w14:textId="6AA9594B" w:rsidR="003822F3" w:rsidRPr="00527C18"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000000"/>
                <w:szCs w:val="24"/>
                <w:lang w:eastAsia="lv-LV"/>
              </w:rPr>
              <w:t>2018</w:t>
            </w:r>
          </w:p>
        </w:tc>
        <w:tc>
          <w:tcPr>
            <w:tcW w:w="709" w:type="dxa"/>
            <w:vAlign w:val="center"/>
            <w:hideMark/>
          </w:tcPr>
          <w:p w14:paraId="3C676D33" w14:textId="36A94E57" w:rsidR="003822F3" w:rsidRPr="00527C18"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000000"/>
                <w:szCs w:val="24"/>
                <w:lang w:eastAsia="lv-LV"/>
              </w:rPr>
              <w:t>2019</w:t>
            </w:r>
          </w:p>
        </w:tc>
        <w:tc>
          <w:tcPr>
            <w:tcW w:w="709" w:type="dxa"/>
            <w:vAlign w:val="center"/>
          </w:tcPr>
          <w:p w14:paraId="66D50D2D" w14:textId="66C15BD3" w:rsidR="003822F3" w:rsidRPr="0082565B"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2"/>
                <w:lang w:eastAsia="lv-LV"/>
              </w:rPr>
            </w:pPr>
            <w:r>
              <w:rPr>
                <w:color w:val="000000"/>
                <w:szCs w:val="24"/>
                <w:lang w:eastAsia="lv-LV"/>
              </w:rPr>
              <w:t>2020</w:t>
            </w:r>
          </w:p>
        </w:tc>
      </w:tr>
      <w:tr w:rsidR="0095442F" w:rsidRPr="00E877ED" w14:paraId="026E9B6C"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151E0A8D"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 xml:space="preserve">Īstermiņa procentu likme </w:t>
            </w:r>
            <w:r>
              <w:rPr>
                <w:i/>
                <w:color w:val="auto"/>
                <w:szCs w:val="22"/>
                <w:lang w:eastAsia="lv-LV"/>
              </w:rPr>
              <w:t>euro</w:t>
            </w:r>
            <w:r>
              <w:rPr>
                <w:color w:val="auto"/>
                <w:szCs w:val="22"/>
                <w:lang w:eastAsia="lv-LV"/>
              </w:rPr>
              <w:t xml:space="preserve"> </w:t>
            </w:r>
            <w:r w:rsidRPr="00527C18">
              <w:rPr>
                <w:color w:val="auto"/>
                <w:szCs w:val="22"/>
                <w:lang w:eastAsia="lv-LV"/>
              </w:rPr>
              <w:t>zonā (gada vidējā)</w:t>
            </w:r>
          </w:p>
        </w:tc>
        <w:tc>
          <w:tcPr>
            <w:tcW w:w="788" w:type="dxa"/>
            <w:vAlign w:val="center"/>
          </w:tcPr>
          <w:p w14:paraId="3C8784DC" w14:textId="3000E90C"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 </w:t>
            </w:r>
          </w:p>
        </w:tc>
        <w:tc>
          <w:tcPr>
            <w:tcW w:w="709" w:type="dxa"/>
            <w:vAlign w:val="center"/>
          </w:tcPr>
          <w:p w14:paraId="3600CA42" w14:textId="4EDDDFAD"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-0,3</w:t>
            </w:r>
          </w:p>
        </w:tc>
        <w:tc>
          <w:tcPr>
            <w:tcW w:w="709" w:type="dxa"/>
            <w:vAlign w:val="center"/>
          </w:tcPr>
          <w:p w14:paraId="575C13C0" w14:textId="52AF2B2C"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-0,5</w:t>
            </w:r>
          </w:p>
        </w:tc>
      </w:tr>
      <w:tr w:rsidR="0095442F" w:rsidRPr="00E877ED" w14:paraId="77A7F717" w14:textId="77777777"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84D3C93"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 xml:space="preserve">Ilgtermiņa procentu likme </w:t>
            </w:r>
            <w:r>
              <w:rPr>
                <w:i/>
                <w:color w:val="auto"/>
                <w:szCs w:val="22"/>
                <w:lang w:eastAsia="lv-LV"/>
              </w:rPr>
              <w:t>euro</w:t>
            </w:r>
            <w:r>
              <w:rPr>
                <w:color w:val="auto"/>
                <w:szCs w:val="22"/>
                <w:lang w:eastAsia="lv-LV"/>
              </w:rPr>
              <w:t xml:space="preserve"> </w:t>
            </w:r>
            <w:r w:rsidRPr="00527C18">
              <w:rPr>
                <w:color w:val="auto"/>
                <w:szCs w:val="22"/>
                <w:lang w:eastAsia="lv-LV"/>
              </w:rPr>
              <w:t>zonā (gada vidējā)</w:t>
            </w:r>
          </w:p>
        </w:tc>
        <w:tc>
          <w:tcPr>
            <w:tcW w:w="788" w:type="dxa"/>
            <w:vAlign w:val="center"/>
          </w:tcPr>
          <w:p w14:paraId="7619B209" w14:textId="25181373"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 </w:t>
            </w:r>
          </w:p>
        </w:tc>
        <w:tc>
          <w:tcPr>
            <w:tcW w:w="709" w:type="dxa"/>
            <w:vAlign w:val="center"/>
          </w:tcPr>
          <w:p w14:paraId="52D003EC" w14:textId="7A3303B6"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-0,2</w:t>
            </w:r>
          </w:p>
        </w:tc>
        <w:tc>
          <w:tcPr>
            <w:tcW w:w="709" w:type="dxa"/>
            <w:vAlign w:val="center"/>
          </w:tcPr>
          <w:p w14:paraId="113349EE" w14:textId="4B9C61F3"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-0,2</w:t>
            </w:r>
          </w:p>
        </w:tc>
      </w:tr>
      <w:tr w:rsidR="0095442F" w:rsidRPr="00E877ED" w14:paraId="37C46386"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1BF2013"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USD/EUR kurss (gada vidējais)</w:t>
            </w:r>
          </w:p>
        </w:tc>
        <w:tc>
          <w:tcPr>
            <w:tcW w:w="788" w:type="dxa"/>
            <w:vAlign w:val="center"/>
          </w:tcPr>
          <w:p w14:paraId="1C3E2FFA" w14:textId="7C93CC25"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1,18</w:t>
            </w:r>
          </w:p>
        </w:tc>
        <w:tc>
          <w:tcPr>
            <w:tcW w:w="709" w:type="dxa"/>
            <w:vAlign w:val="center"/>
          </w:tcPr>
          <w:p w14:paraId="18C350B5" w14:textId="520EA36A"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1,13</w:t>
            </w:r>
          </w:p>
        </w:tc>
        <w:tc>
          <w:tcPr>
            <w:tcW w:w="709" w:type="dxa"/>
            <w:vAlign w:val="center"/>
          </w:tcPr>
          <w:p w14:paraId="17FBF3CB" w14:textId="14DC65C0"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1,13</w:t>
            </w:r>
          </w:p>
        </w:tc>
      </w:tr>
      <w:tr w:rsidR="0095442F" w:rsidRPr="00E877ED" w14:paraId="7E9D0B24" w14:textId="77777777"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42AEF0A"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Nominālais efektīvais maiņas kurss ES</w:t>
            </w:r>
          </w:p>
        </w:tc>
        <w:tc>
          <w:tcPr>
            <w:tcW w:w="788" w:type="dxa"/>
            <w:vAlign w:val="center"/>
          </w:tcPr>
          <w:p w14:paraId="7E21008F" w14:textId="17DD7506"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4,8</w:t>
            </w:r>
          </w:p>
        </w:tc>
        <w:tc>
          <w:tcPr>
            <w:tcW w:w="709" w:type="dxa"/>
            <w:vAlign w:val="center"/>
          </w:tcPr>
          <w:p w14:paraId="531F7B6A" w14:textId="7D10F98D"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-0,9</w:t>
            </w:r>
          </w:p>
        </w:tc>
        <w:tc>
          <w:tcPr>
            <w:tcW w:w="709" w:type="dxa"/>
            <w:vAlign w:val="center"/>
          </w:tcPr>
          <w:p w14:paraId="79CE68F2" w14:textId="0730152E"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0,3</w:t>
            </w:r>
          </w:p>
        </w:tc>
      </w:tr>
      <w:tr w:rsidR="0095442F" w:rsidRPr="00E877ED" w14:paraId="2766CDF0"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69C14E66"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Pasaules IKP, izņemot ES, pieaugums salīdzināmās cenās, %</w:t>
            </w:r>
          </w:p>
        </w:tc>
        <w:tc>
          <w:tcPr>
            <w:tcW w:w="788" w:type="dxa"/>
            <w:vAlign w:val="center"/>
          </w:tcPr>
          <w:p w14:paraId="37E995AB" w14:textId="2A2BCACA"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3,8</w:t>
            </w:r>
          </w:p>
        </w:tc>
        <w:tc>
          <w:tcPr>
            <w:tcW w:w="709" w:type="dxa"/>
            <w:vAlign w:val="center"/>
          </w:tcPr>
          <w:p w14:paraId="171F8934" w14:textId="066D1E6D"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3,4</w:t>
            </w:r>
          </w:p>
        </w:tc>
        <w:tc>
          <w:tcPr>
            <w:tcW w:w="709" w:type="dxa"/>
            <w:vAlign w:val="center"/>
          </w:tcPr>
          <w:p w14:paraId="2FDF5FB1" w14:textId="41CCF1AD"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3,6</w:t>
            </w:r>
          </w:p>
        </w:tc>
      </w:tr>
      <w:tr w:rsidR="0095442F" w:rsidRPr="00E877ED" w14:paraId="63D996AE" w14:textId="77777777"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DF7325A"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ES IKP pieaugums salīdzināmās cenās, %</w:t>
            </w:r>
          </w:p>
        </w:tc>
        <w:tc>
          <w:tcPr>
            <w:tcW w:w="788" w:type="dxa"/>
            <w:vAlign w:val="center"/>
          </w:tcPr>
          <w:p w14:paraId="7F536914" w14:textId="011291A1"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2,0</w:t>
            </w:r>
          </w:p>
        </w:tc>
        <w:tc>
          <w:tcPr>
            <w:tcW w:w="709" w:type="dxa"/>
            <w:vAlign w:val="center"/>
          </w:tcPr>
          <w:p w14:paraId="3DF321EC" w14:textId="2B9948FD"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1,4</w:t>
            </w:r>
          </w:p>
        </w:tc>
        <w:tc>
          <w:tcPr>
            <w:tcW w:w="709" w:type="dxa"/>
            <w:vAlign w:val="center"/>
          </w:tcPr>
          <w:p w14:paraId="336925BD" w14:textId="22E8981B"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1,6</w:t>
            </w:r>
          </w:p>
        </w:tc>
      </w:tr>
      <w:tr w:rsidR="0095442F" w:rsidRPr="00E877ED" w14:paraId="6E22FC04" w14:textId="77777777" w:rsidTr="001E2B50">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2D7674F1"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Pasaules preču un pakalpojumu tirdzniecības apjomu izmaiņas ES eksporta tirgos, izslēdzot ES, %</w:t>
            </w:r>
          </w:p>
        </w:tc>
        <w:tc>
          <w:tcPr>
            <w:tcW w:w="788" w:type="dxa"/>
            <w:vAlign w:val="center"/>
          </w:tcPr>
          <w:p w14:paraId="34711253" w14:textId="7794C3B6"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4,0</w:t>
            </w:r>
          </w:p>
        </w:tc>
        <w:tc>
          <w:tcPr>
            <w:tcW w:w="709" w:type="dxa"/>
            <w:vAlign w:val="center"/>
          </w:tcPr>
          <w:p w14:paraId="70D8CCA5" w14:textId="26E2D01F"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1,8</w:t>
            </w:r>
          </w:p>
        </w:tc>
        <w:tc>
          <w:tcPr>
            <w:tcW w:w="709" w:type="dxa"/>
            <w:vAlign w:val="center"/>
          </w:tcPr>
          <w:p w14:paraId="482FD59E" w14:textId="3469CFF0"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2,8</w:t>
            </w:r>
          </w:p>
        </w:tc>
      </w:tr>
      <w:tr w:rsidR="0095442F" w:rsidRPr="00E877ED" w14:paraId="7CBD6141" w14:textId="77777777" w:rsidTr="001E2B50">
        <w:trPr>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4F2B1BB0"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Pasaules preču un pakalpojumu importa apjomu izmaiņas, izslēdzot ES, %</w:t>
            </w:r>
          </w:p>
        </w:tc>
        <w:tc>
          <w:tcPr>
            <w:tcW w:w="788" w:type="dxa"/>
            <w:vAlign w:val="center"/>
          </w:tcPr>
          <w:p w14:paraId="43D2210E" w14:textId="6FB0BDFB"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4,7</w:t>
            </w:r>
          </w:p>
        </w:tc>
        <w:tc>
          <w:tcPr>
            <w:tcW w:w="709" w:type="dxa"/>
            <w:vAlign w:val="center"/>
          </w:tcPr>
          <w:p w14:paraId="6F4AE210" w14:textId="2EBE4570"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1,6</w:t>
            </w:r>
          </w:p>
        </w:tc>
        <w:tc>
          <w:tcPr>
            <w:tcW w:w="709" w:type="dxa"/>
            <w:vAlign w:val="center"/>
          </w:tcPr>
          <w:p w14:paraId="26CF60B2" w14:textId="7E88DEC7"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3,1</w:t>
            </w:r>
          </w:p>
        </w:tc>
      </w:tr>
      <w:tr w:rsidR="0095442F" w:rsidRPr="00E877ED" w14:paraId="10B80AB9"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799" w:type="dxa"/>
            <w:hideMark/>
          </w:tcPr>
          <w:p w14:paraId="0848FD97" w14:textId="77777777" w:rsidR="0095442F" w:rsidRPr="00527C18" w:rsidRDefault="0095442F" w:rsidP="0095442F">
            <w:pPr>
              <w:spacing w:after="0"/>
              <w:ind w:firstLine="0"/>
              <w:jc w:val="left"/>
              <w:rPr>
                <w:color w:val="auto"/>
                <w:szCs w:val="22"/>
                <w:lang w:eastAsia="lv-LV"/>
              </w:rPr>
            </w:pPr>
            <w:r w:rsidRPr="00527C18">
              <w:rPr>
                <w:color w:val="auto"/>
                <w:szCs w:val="22"/>
                <w:lang w:eastAsia="lv-LV"/>
              </w:rPr>
              <w:t>Naftas cena (</w:t>
            </w:r>
            <w:r w:rsidRPr="00381267">
              <w:rPr>
                <w:i/>
                <w:color w:val="auto"/>
                <w:szCs w:val="22"/>
                <w:lang w:eastAsia="lv-LV"/>
              </w:rPr>
              <w:t>Brent</w:t>
            </w:r>
            <w:r w:rsidRPr="00527C18">
              <w:rPr>
                <w:color w:val="auto"/>
                <w:szCs w:val="22"/>
                <w:lang w:eastAsia="lv-LV"/>
              </w:rPr>
              <w:t>, USD par barelu)</w:t>
            </w:r>
          </w:p>
        </w:tc>
        <w:tc>
          <w:tcPr>
            <w:tcW w:w="788" w:type="dxa"/>
            <w:vAlign w:val="center"/>
          </w:tcPr>
          <w:p w14:paraId="733550CF" w14:textId="5AD4E1B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71,5</w:t>
            </w:r>
          </w:p>
        </w:tc>
        <w:tc>
          <w:tcPr>
            <w:tcW w:w="709" w:type="dxa"/>
            <w:vAlign w:val="center"/>
          </w:tcPr>
          <w:p w14:paraId="5F6A15ED" w14:textId="4E884524"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70,0</w:t>
            </w:r>
          </w:p>
        </w:tc>
        <w:tc>
          <w:tcPr>
            <w:tcW w:w="709" w:type="dxa"/>
            <w:vAlign w:val="center"/>
          </w:tcPr>
          <w:p w14:paraId="03D80157" w14:textId="6483A116"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themeColor="text1"/>
                <w:szCs w:val="24"/>
                <w:highlight w:val="yellow"/>
                <w:lang w:eastAsia="lv-LV"/>
              </w:rPr>
            </w:pPr>
            <w:r w:rsidRPr="0095442F">
              <w:rPr>
                <w:color w:val="000000" w:themeColor="text1"/>
                <w:szCs w:val="24"/>
              </w:rPr>
              <w:t>65,0</w:t>
            </w:r>
          </w:p>
        </w:tc>
      </w:tr>
    </w:tbl>
    <w:p w14:paraId="7F8023CF" w14:textId="77777777" w:rsidR="00527C18" w:rsidRPr="006F7B6D" w:rsidRDefault="00527C18" w:rsidP="002E3D3D">
      <w:pPr>
        <w:spacing w:after="0"/>
        <w:ind w:firstLine="720"/>
        <w:rPr>
          <w:szCs w:val="24"/>
        </w:rPr>
      </w:pPr>
    </w:p>
    <w:p w14:paraId="71EABCC6" w14:textId="77777777" w:rsidR="00D47730" w:rsidRDefault="00D47730">
      <w:pPr>
        <w:spacing w:after="0"/>
        <w:ind w:firstLine="0"/>
        <w:jc w:val="left"/>
        <w:rPr>
          <w:b/>
          <w:bCs/>
          <w:color w:val="18185E"/>
          <w:szCs w:val="28"/>
          <w:lang w:val="x-none" w:eastAsia="x-none"/>
        </w:rPr>
      </w:pPr>
      <w:r>
        <w:rPr>
          <w:color w:val="18185E"/>
        </w:rPr>
        <w:br w:type="page"/>
      </w:r>
    </w:p>
    <w:p w14:paraId="5558EC71" w14:textId="77777777"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5" w:name="_Toc21516498"/>
      <w:r w:rsidRPr="001D5709">
        <w:rPr>
          <w:rFonts w:ascii="Times New Roman" w:hAnsi="Times New Roman"/>
          <w:color w:val="18185E"/>
          <w:sz w:val="24"/>
        </w:rPr>
        <w:lastRenderedPageBreak/>
        <w:t>Tabula 1a: Izaugsme un ar to saistītie faktori</w:t>
      </w:r>
      <w:bookmarkEnd w:id="5"/>
    </w:p>
    <w:tbl>
      <w:tblPr>
        <w:tblStyle w:val="GridTable6Colorful-Accent11"/>
        <w:tblW w:w="8926" w:type="dxa"/>
        <w:jc w:val="center"/>
        <w:tblLayout w:type="fixed"/>
        <w:tblLook w:val="04A0" w:firstRow="1" w:lastRow="0" w:firstColumn="1" w:lastColumn="0" w:noHBand="0" w:noVBand="1"/>
      </w:tblPr>
      <w:tblGrid>
        <w:gridCol w:w="3119"/>
        <w:gridCol w:w="1417"/>
        <w:gridCol w:w="1129"/>
        <w:gridCol w:w="1134"/>
        <w:gridCol w:w="1134"/>
        <w:gridCol w:w="993"/>
      </w:tblGrid>
      <w:tr w:rsidR="003822F3" w:rsidRPr="001B0074" w14:paraId="0F566659" w14:textId="77777777" w:rsidTr="001E2B50">
        <w:trPr>
          <w:cnfStyle w:val="100000000000" w:firstRow="1" w:lastRow="0" w:firstColumn="0" w:lastColumn="0" w:oddVBand="0" w:evenVBand="0" w:oddHBand="0"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F739646" w14:textId="77777777" w:rsidR="003822F3" w:rsidRPr="001B0074" w:rsidRDefault="003822F3" w:rsidP="003822F3">
            <w:pPr>
              <w:spacing w:after="0"/>
              <w:ind w:firstLineChars="100" w:firstLine="240"/>
              <w:jc w:val="left"/>
              <w:rPr>
                <w:color w:val="000000"/>
                <w:szCs w:val="24"/>
                <w:lang w:eastAsia="lv-LV"/>
              </w:rPr>
            </w:pPr>
            <w:r w:rsidRPr="001B0074">
              <w:rPr>
                <w:color w:val="000000"/>
                <w:szCs w:val="24"/>
                <w:lang w:eastAsia="lv-LV"/>
              </w:rPr>
              <w:t> </w:t>
            </w:r>
          </w:p>
        </w:tc>
        <w:tc>
          <w:tcPr>
            <w:tcW w:w="1417" w:type="dxa"/>
            <w:vAlign w:val="center"/>
            <w:hideMark/>
          </w:tcPr>
          <w:p w14:paraId="2058D280" w14:textId="77777777"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 kods</w:t>
            </w:r>
          </w:p>
        </w:tc>
        <w:tc>
          <w:tcPr>
            <w:tcW w:w="1129" w:type="dxa"/>
            <w:vAlign w:val="center"/>
            <w:hideMark/>
          </w:tcPr>
          <w:p w14:paraId="0A902E87" w14:textId="511631DD"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1134" w:type="dxa"/>
            <w:vAlign w:val="center"/>
            <w:hideMark/>
          </w:tcPr>
          <w:p w14:paraId="5855A318" w14:textId="2A936FFE"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1134" w:type="dxa"/>
            <w:vAlign w:val="center"/>
            <w:hideMark/>
          </w:tcPr>
          <w:p w14:paraId="685EB671" w14:textId="2251FB19"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c>
          <w:tcPr>
            <w:tcW w:w="993" w:type="dxa"/>
            <w:vAlign w:val="center"/>
            <w:hideMark/>
          </w:tcPr>
          <w:p w14:paraId="148A0E61" w14:textId="67ABBDBF"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2020</w:t>
            </w:r>
          </w:p>
        </w:tc>
      </w:tr>
      <w:tr w:rsidR="001E2B50" w:rsidRPr="001B0074" w14:paraId="3EC73220" w14:textId="77777777" w:rsidTr="001E2B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0A12646" w14:textId="77777777" w:rsidR="001E2B50" w:rsidRPr="001B0074" w:rsidRDefault="001E2B50" w:rsidP="00F866B5">
            <w:pPr>
              <w:spacing w:after="0"/>
              <w:ind w:firstLineChars="100" w:firstLine="240"/>
              <w:jc w:val="left"/>
              <w:rPr>
                <w:color w:val="000000"/>
                <w:szCs w:val="24"/>
                <w:lang w:eastAsia="lv-LV"/>
              </w:rPr>
            </w:pPr>
            <w:r w:rsidRPr="001B0074">
              <w:rPr>
                <w:color w:val="000000"/>
                <w:szCs w:val="24"/>
                <w:lang w:eastAsia="lv-LV"/>
              </w:rPr>
              <w:t> </w:t>
            </w:r>
          </w:p>
        </w:tc>
        <w:tc>
          <w:tcPr>
            <w:tcW w:w="1417" w:type="dxa"/>
            <w:vAlign w:val="center"/>
            <w:hideMark/>
          </w:tcPr>
          <w:p w14:paraId="4145F8E9" w14:textId="77777777" w:rsidR="001E2B50" w:rsidRPr="001B0074" w:rsidRDefault="001E2B50" w:rsidP="00777B3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hideMark/>
          </w:tcPr>
          <w:p w14:paraId="346AE64D" w14:textId="77777777" w:rsidR="001E2B50" w:rsidRPr="001B0074" w:rsidRDefault="001E2B50" w:rsidP="006B2FB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3261" w:type="dxa"/>
            <w:gridSpan w:val="3"/>
            <w:hideMark/>
          </w:tcPr>
          <w:p w14:paraId="0411ED3F" w14:textId="77777777" w:rsidR="001E2B50" w:rsidRPr="001B0074" w:rsidRDefault="001E2B50" w:rsidP="00381267">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95442F" w:rsidRPr="001B0074" w14:paraId="1B296DF1"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ADABDDA" w14:textId="77777777" w:rsidR="0095442F" w:rsidRPr="00A76B50" w:rsidRDefault="0095442F" w:rsidP="0095442F">
            <w:pPr>
              <w:spacing w:after="0"/>
              <w:ind w:firstLine="0"/>
              <w:jc w:val="left"/>
              <w:rPr>
                <w:i/>
                <w:color w:val="000000"/>
                <w:szCs w:val="24"/>
                <w:lang w:eastAsia="lv-LV"/>
              </w:rPr>
            </w:pPr>
            <w:r w:rsidRPr="001B0074">
              <w:rPr>
                <w:color w:val="000000"/>
                <w:szCs w:val="24"/>
                <w:lang w:eastAsia="lv-LV"/>
              </w:rPr>
              <w:t>1. Reālais IKP</w:t>
            </w:r>
            <w:r>
              <w:rPr>
                <w:color w:val="000000"/>
                <w:szCs w:val="24"/>
                <w:lang w:eastAsia="lv-LV"/>
              </w:rPr>
              <w:t xml:space="preserve">, mljrd. </w:t>
            </w:r>
            <w:r>
              <w:rPr>
                <w:i/>
                <w:color w:val="000000"/>
                <w:szCs w:val="24"/>
                <w:lang w:eastAsia="lv-LV"/>
              </w:rPr>
              <w:t>euro</w:t>
            </w:r>
          </w:p>
        </w:tc>
        <w:tc>
          <w:tcPr>
            <w:tcW w:w="1417" w:type="dxa"/>
            <w:vAlign w:val="center"/>
            <w:hideMark/>
          </w:tcPr>
          <w:p w14:paraId="34B2584B" w14:textId="77777777" w:rsidR="0095442F" w:rsidRPr="001B0074"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129" w:type="dxa"/>
            <w:vAlign w:val="center"/>
          </w:tcPr>
          <w:p w14:paraId="38F21814" w14:textId="1D54DB65"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23,9</w:t>
            </w:r>
          </w:p>
        </w:tc>
        <w:tc>
          <w:tcPr>
            <w:tcW w:w="1134" w:type="dxa"/>
            <w:vAlign w:val="center"/>
          </w:tcPr>
          <w:p w14:paraId="3A928125" w14:textId="28571364"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4,8</w:t>
            </w:r>
          </w:p>
        </w:tc>
        <w:tc>
          <w:tcPr>
            <w:tcW w:w="1134" w:type="dxa"/>
            <w:vAlign w:val="center"/>
          </w:tcPr>
          <w:p w14:paraId="21714607" w14:textId="33F4FEDC"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3,2</w:t>
            </w:r>
          </w:p>
        </w:tc>
        <w:tc>
          <w:tcPr>
            <w:tcW w:w="993" w:type="dxa"/>
            <w:vAlign w:val="center"/>
          </w:tcPr>
          <w:p w14:paraId="11984F5D" w14:textId="74A80628"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2,8</w:t>
            </w:r>
          </w:p>
        </w:tc>
      </w:tr>
      <w:tr w:rsidR="0095442F" w:rsidRPr="001B0074" w14:paraId="4812CB7E"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F6B7126"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no kā</w:t>
            </w:r>
          </w:p>
        </w:tc>
        <w:tc>
          <w:tcPr>
            <w:tcW w:w="1417" w:type="dxa"/>
            <w:vAlign w:val="center"/>
            <w:hideMark/>
          </w:tcPr>
          <w:p w14:paraId="77E073ED" w14:textId="77777777" w:rsidR="0095442F" w:rsidRPr="001B0074"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78CC42FB" w14:textId="6D011A86"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4F328900" w14:textId="5E637965"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60BE9B8A" w14:textId="2934F521"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993" w:type="dxa"/>
            <w:vAlign w:val="center"/>
          </w:tcPr>
          <w:p w14:paraId="0B61F579" w14:textId="6FACB9DE"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r>
      <w:tr w:rsidR="0095442F" w:rsidRPr="001B0074" w14:paraId="433766BD" w14:textId="77777777" w:rsidTr="001E2B50">
        <w:trPr>
          <w:trHeight w:val="94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41584E1"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pieskaitāmi aprēķinātajai ietekmei no budžeta pasākumiem uz ekonomikas izaugsmi</w:t>
            </w:r>
          </w:p>
        </w:tc>
        <w:tc>
          <w:tcPr>
            <w:tcW w:w="1417" w:type="dxa"/>
            <w:vAlign w:val="center"/>
            <w:hideMark/>
          </w:tcPr>
          <w:p w14:paraId="189778FE" w14:textId="77777777" w:rsidR="0095442F" w:rsidRPr="001B0074"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0609662B" w14:textId="50637368"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31A13472" w14:textId="124F3D11"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1065D56E" w14:textId="04E67851"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993" w:type="dxa"/>
            <w:vAlign w:val="center"/>
          </w:tcPr>
          <w:p w14:paraId="2DB99289" w14:textId="18A26550"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r>
      <w:tr w:rsidR="0095442F" w:rsidRPr="001B0074" w14:paraId="32B91D13"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F6D39C0"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2. Potenciālais IKP</w:t>
            </w:r>
          </w:p>
        </w:tc>
        <w:tc>
          <w:tcPr>
            <w:tcW w:w="1417" w:type="dxa"/>
            <w:vAlign w:val="center"/>
            <w:hideMark/>
          </w:tcPr>
          <w:p w14:paraId="5C4D5377" w14:textId="77777777" w:rsidR="0095442F" w:rsidRPr="001B0074"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1D87D878" w14:textId="3762393E"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23,5</w:t>
            </w:r>
          </w:p>
        </w:tc>
        <w:tc>
          <w:tcPr>
            <w:tcW w:w="1134" w:type="dxa"/>
            <w:vAlign w:val="center"/>
          </w:tcPr>
          <w:p w14:paraId="7F883E12" w14:textId="3F841B0E"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3,5</w:t>
            </w:r>
          </w:p>
        </w:tc>
        <w:tc>
          <w:tcPr>
            <w:tcW w:w="1134" w:type="dxa"/>
            <w:vAlign w:val="center"/>
          </w:tcPr>
          <w:p w14:paraId="28C22782" w14:textId="356E7909"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3,5</w:t>
            </w:r>
          </w:p>
        </w:tc>
        <w:tc>
          <w:tcPr>
            <w:tcW w:w="993" w:type="dxa"/>
            <w:vAlign w:val="center"/>
          </w:tcPr>
          <w:p w14:paraId="3B728084" w14:textId="52A18594"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3,4</w:t>
            </w:r>
          </w:p>
        </w:tc>
      </w:tr>
      <w:tr w:rsidR="0095442F" w:rsidRPr="001B0074" w14:paraId="08B6383B"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29D2292"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Devums</w:t>
            </w:r>
          </w:p>
        </w:tc>
        <w:tc>
          <w:tcPr>
            <w:tcW w:w="1417" w:type="dxa"/>
            <w:vAlign w:val="center"/>
            <w:hideMark/>
          </w:tcPr>
          <w:p w14:paraId="6143E526" w14:textId="77777777" w:rsidR="0095442F" w:rsidRPr="001B0074"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04BABFCC" w14:textId="198E669E"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0B5CA930" w14:textId="07038BCD"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7CD35320" w14:textId="2E16E721"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993" w:type="dxa"/>
            <w:vAlign w:val="center"/>
          </w:tcPr>
          <w:p w14:paraId="5228F7C6" w14:textId="3FADA48C"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r>
      <w:tr w:rsidR="0095442F" w:rsidRPr="001B0074" w14:paraId="51654755"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197E5FB"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Devums pot.</w:t>
            </w:r>
            <w:r>
              <w:rPr>
                <w:color w:val="000000"/>
                <w:szCs w:val="24"/>
                <w:lang w:eastAsia="lv-LV"/>
              </w:rPr>
              <w:t xml:space="preserve"> </w:t>
            </w:r>
            <w:r w:rsidRPr="001B0074">
              <w:rPr>
                <w:color w:val="000000"/>
                <w:szCs w:val="24"/>
                <w:lang w:eastAsia="lv-LV"/>
              </w:rPr>
              <w:t>IKP: darba spēks</w:t>
            </w:r>
          </w:p>
        </w:tc>
        <w:tc>
          <w:tcPr>
            <w:tcW w:w="1417" w:type="dxa"/>
            <w:vAlign w:val="center"/>
            <w:hideMark/>
          </w:tcPr>
          <w:p w14:paraId="4B5EB103" w14:textId="77777777" w:rsidR="0095442F" w:rsidRPr="001B0074"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0AB9B056" w14:textId="038E543F"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10AE8A78" w14:textId="4766FC44"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0,4</w:t>
            </w:r>
          </w:p>
        </w:tc>
        <w:tc>
          <w:tcPr>
            <w:tcW w:w="1134" w:type="dxa"/>
            <w:vAlign w:val="center"/>
          </w:tcPr>
          <w:p w14:paraId="1302CC0D" w14:textId="7A122218"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0,2</w:t>
            </w:r>
          </w:p>
        </w:tc>
        <w:tc>
          <w:tcPr>
            <w:tcW w:w="993" w:type="dxa"/>
            <w:vAlign w:val="center"/>
          </w:tcPr>
          <w:p w14:paraId="6D5AD9E0" w14:textId="01AAC7A3"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0,1</w:t>
            </w:r>
          </w:p>
        </w:tc>
      </w:tr>
      <w:tr w:rsidR="0095442F" w:rsidRPr="001B0074" w14:paraId="018A16ED"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356E6384"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Devums pot.</w:t>
            </w:r>
            <w:r>
              <w:rPr>
                <w:color w:val="000000"/>
                <w:szCs w:val="24"/>
                <w:lang w:eastAsia="lv-LV"/>
              </w:rPr>
              <w:t xml:space="preserve"> </w:t>
            </w:r>
            <w:r w:rsidRPr="001B0074">
              <w:rPr>
                <w:color w:val="000000"/>
                <w:szCs w:val="24"/>
                <w:lang w:eastAsia="lv-LV"/>
              </w:rPr>
              <w:t>IKP: kapitāls</w:t>
            </w:r>
          </w:p>
        </w:tc>
        <w:tc>
          <w:tcPr>
            <w:tcW w:w="1417" w:type="dxa"/>
            <w:vAlign w:val="center"/>
            <w:hideMark/>
          </w:tcPr>
          <w:p w14:paraId="66EC9E69" w14:textId="77777777" w:rsidR="0095442F" w:rsidRPr="001B0074"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1E860BB9" w14:textId="0FB978F5"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177C6910" w14:textId="1FAA1580"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1,2</w:t>
            </w:r>
          </w:p>
        </w:tc>
        <w:tc>
          <w:tcPr>
            <w:tcW w:w="1134" w:type="dxa"/>
            <w:vAlign w:val="center"/>
          </w:tcPr>
          <w:p w14:paraId="1AD74EC6" w14:textId="4B4F55F2"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1,3</w:t>
            </w:r>
          </w:p>
        </w:tc>
        <w:tc>
          <w:tcPr>
            <w:tcW w:w="993" w:type="dxa"/>
            <w:vAlign w:val="center"/>
          </w:tcPr>
          <w:p w14:paraId="50F5D21A" w14:textId="679E7E26"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1,3</w:t>
            </w:r>
          </w:p>
        </w:tc>
      </w:tr>
      <w:tr w:rsidR="0095442F" w:rsidRPr="001B0074" w14:paraId="3F351A9B" w14:textId="77777777" w:rsidTr="001E2B50">
        <w:trPr>
          <w:cnfStyle w:val="000000100000" w:firstRow="0" w:lastRow="0" w:firstColumn="0" w:lastColumn="0" w:oddVBand="0" w:evenVBand="0" w:oddHBand="1" w:evenHBand="0" w:firstRowFirstColumn="0" w:firstRowLastColumn="0" w:lastRowFirstColumn="0" w:lastRowLastColumn="0"/>
          <w:trHeight w:val="630"/>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99E2FA8"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Devums pot.</w:t>
            </w:r>
            <w:r>
              <w:rPr>
                <w:color w:val="000000"/>
                <w:szCs w:val="24"/>
                <w:lang w:eastAsia="lv-LV"/>
              </w:rPr>
              <w:t xml:space="preserve"> IKP</w:t>
            </w:r>
            <w:r w:rsidRPr="001B0074">
              <w:rPr>
                <w:color w:val="000000"/>
                <w:szCs w:val="24"/>
                <w:lang w:eastAsia="lv-LV"/>
              </w:rPr>
              <w:t>: faktoru produktivitāte</w:t>
            </w:r>
          </w:p>
        </w:tc>
        <w:tc>
          <w:tcPr>
            <w:tcW w:w="1417" w:type="dxa"/>
            <w:vAlign w:val="center"/>
            <w:hideMark/>
          </w:tcPr>
          <w:p w14:paraId="3497044B" w14:textId="77777777" w:rsidR="0095442F" w:rsidRPr="001B0074"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208C826F" w14:textId="465A6D98"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49749B9A" w14:textId="10B8C1A5"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1,9</w:t>
            </w:r>
          </w:p>
        </w:tc>
        <w:tc>
          <w:tcPr>
            <w:tcW w:w="1134" w:type="dxa"/>
            <w:vAlign w:val="center"/>
          </w:tcPr>
          <w:p w14:paraId="198238C7" w14:textId="0E64260B"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2,0</w:t>
            </w:r>
          </w:p>
        </w:tc>
        <w:tc>
          <w:tcPr>
            <w:tcW w:w="993" w:type="dxa"/>
            <w:vAlign w:val="center"/>
          </w:tcPr>
          <w:p w14:paraId="33C8F393" w14:textId="28F00AF9"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2,0</w:t>
            </w:r>
          </w:p>
        </w:tc>
      </w:tr>
      <w:tr w:rsidR="0095442F" w:rsidRPr="001B0074" w14:paraId="273383DC"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34A7BBB"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3. Nominālais IKP</w:t>
            </w:r>
          </w:p>
        </w:tc>
        <w:tc>
          <w:tcPr>
            <w:tcW w:w="1417" w:type="dxa"/>
            <w:vAlign w:val="center"/>
            <w:hideMark/>
          </w:tcPr>
          <w:p w14:paraId="0B79A375" w14:textId="77777777" w:rsidR="0095442F" w:rsidRPr="001B0074"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B1*g</w:t>
            </w:r>
          </w:p>
        </w:tc>
        <w:tc>
          <w:tcPr>
            <w:tcW w:w="1129" w:type="dxa"/>
            <w:vAlign w:val="center"/>
          </w:tcPr>
          <w:p w14:paraId="54806FFB" w14:textId="3E7327C9"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29,5</w:t>
            </w:r>
          </w:p>
        </w:tc>
        <w:tc>
          <w:tcPr>
            <w:tcW w:w="1134" w:type="dxa"/>
            <w:vAlign w:val="center"/>
          </w:tcPr>
          <w:p w14:paraId="5E54DE07" w14:textId="7DF715CD"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9,2</w:t>
            </w:r>
          </w:p>
        </w:tc>
        <w:tc>
          <w:tcPr>
            <w:tcW w:w="1134" w:type="dxa"/>
            <w:vAlign w:val="center"/>
          </w:tcPr>
          <w:p w14:paraId="78D69752" w14:textId="71946DB7"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6,4</w:t>
            </w:r>
          </w:p>
        </w:tc>
        <w:tc>
          <w:tcPr>
            <w:tcW w:w="993" w:type="dxa"/>
            <w:vAlign w:val="center"/>
          </w:tcPr>
          <w:p w14:paraId="5B780A64" w14:textId="0D2044EA"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5,6</w:t>
            </w:r>
          </w:p>
        </w:tc>
      </w:tr>
      <w:tr w:rsidR="0095442F" w:rsidRPr="001B0074" w14:paraId="2FEC854F"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E56471D"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Reālā IKP komponentes</w:t>
            </w:r>
          </w:p>
        </w:tc>
        <w:tc>
          <w:tcPr>
            <w:tcW w:w="1417" w:type="dxa"/>
            <w:vAlign w:val="center"/>
            <w:hideMark/>
          </w:tcPr>
          <w:p w14:paraId="4EF32C94" w14:textId="77777777" w:rsidR="0095442F" w:rsidRPr="001B0074"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62020C25" w14:textId="2A007F9A"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0398D43E" w14:textId="702C126E"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1912F81D" w14:textId="65CBFDD8"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993" w:type="dxa"/>
            <w:vAlign w:val="center"/>
          </w:tcPr>
          <w:p w14:paraId="07C51CBF" w14:textId="5DD63949"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r>
      <w:tr w:rsidR="0095442F" w:rsidRPr="001B0074" w14:paraId="4E40DFEC"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1FC2EAD6"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4. Privātais patēriņš</w:t>
            </w:r>
          </w:p>
        </w:tc>
        <w:tc>
          <w:tcPr>
            <w:tcW w:w="1417" w:type="dxa"/>
            <w:vAlign w:val="center"/>
            <w:hideMark/>
          </w:tcPr>
          <w:p w14:paraId="13B7E3FE" w14:textId="77777777" w:rsidR="0095442F" w:rsidRPr="001B0074"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P.3</w:t>
            </w:r>
          </w:p>
        </w:tc>
        <w:tc>
          <w:tcPr>
            <w:tcW w:w="1129" w:type="dxa"/>
            <w:vAlign w:val="center"/>
          </w:tcPr>
          <w:p w14:paraId="10B24F5C" w14:textId="568163EA"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14,6</w:t>
            </w:r>
          </w:p>
        </w:tc>
        <w:tc>
          <w:tcPr>
            <w:tcW w:w="1134" w:type="dxa"/>
            <w:vAlign w:val="center"/>
          </w:tcPr>
          <w:p w14:paraId="239B25DC" w14:textId="65FC5F24"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4,5</w:t>
            </w:r>
          </w:p>
        </w:tc>
        <w:tc>
          <w:tcPr>
            <w:tcW w:w="1134" w:type="dxa"/>
            <w:vAlign w:val="center"/>
          </w:tcPr>
          <w:p w14:paraId="12082D8F" w14:textId="7013FA96"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3,4</w:t>
            </w:r>
          </w:p>
        </w:tc>
        <w:tc>
          <w:tcPr>
            <w:tcW w:w="993" w:type="dxa"/>
            <w:vAlign w:val="center"/>
          </w:tcPr>
          <w:p w14:paraId="5EC8891C" w14:textId="7FCCE164"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3,3</w:t>
            </w:r>
          </w:p>
        </w:tc>
      </w:tr>
      <w:tr w:rsidR="0095442F" w:rsidRPr="001B0074" w14:paraId="77FD7F21" w14:textId="77777777" w:rsidTr="001E2B50">
        <w:trPr>
          <w:cnfStyle w:val="000000100000" w:firstRow="0" w:lastRow="0" w:firstColumn="0" w:lastColumn="0" w:oddVBand="0" w:evenVBand="0" w:oddHBand="1" w:evenHBand="0" w:firstRowFirstColumn="0" w:firstRowLastColumn="0" w:lastRowFirstColumn="0" w:lastRowLastColumn="0"/>
          <w:trHeight w:val="1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9DB3807"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5. Valdības patēriņš</w:t>
            </w:r>
          </w:p>
        </w:tc>
        <w:tc>
          <w:tcPr>
            <w:tcW w:w="1417" w:type="dxa"/>
            <w:vAlign w:val="center"/>
            <w:hideMark/>
          </w:tcPr>
          <w:p w14:paraId="5A012F78" w14:textId="77777777" w:rsidR="0095442F" w:rsidRPr="001B0074"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P.3</w:t>
            </w:r>
          </w:p>
        </w:tc>
        <w:tc>
          <w:tcPr>
            <w:tcW w:w="1129" w:type="dxa"/>
            <w:vAlign w:val="center"/>
          </w:tcPr>
          <w:p w14:paraId="7A870102" w14:textId="14824A05"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4,0</w:t>
            </w:r>
          </w:p>
        </w:tc>
        <w:tc>
          <w:tcPr>
            <w:tcW w:w="1134" w:type="dxa"/>
            <w:vAlign w:val="center"/>
          </w:tcPr>
          <w:p w14:paraId="283E9194" w14:textId="72704815"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4,0</w:t>
            </w:r>
          </w:p>
        </w:tc>
        <w:tc>
          <w:tcPr>
            <w:tcW w:w="1134" w:type="dxa"/>
            <w:vAlign w:val="center"/>
          </w:tcPr>
          <w:p w14:paraId="0363AB51" w14:textId="4C48FC97"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3,3</w:t>
            </w:r>
          </w:p>
        </w:tc>
        <w:tc>
          <w:tcPr>
            <w:tcW w:w="993" w:type="dxa"/>
            <w:vAlign w:val="center"/>
          </w:tcPr>
          <w:p w14:paraId="21B00005" w14:textId="099CE884"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3,2</w:t>
            </w:r>
          </w:p>
        </w:tc>
      </w:tr>
      <w:tr w:rsidR="0095442F" w:rsidRPr="001B0074" w14:paraId="647B8168"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5303017C"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6. Bruto pamatkapitāla veidošana</w:t>
            </w:r>
          </w:p>
        </w:tc>
        <w:tc>
          <w:tcPr>
            <w:tcW w:w="1417" w:type="dxa"/>
            <w:vAlign w:val="center"/>
            <w:hideMark/>
          </w:tcPr>
          <w:p w14:paraId="355CCC7C" w14:textId="77777777" w:rsidR="0095442F" w:rsidRPr="001B0074"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P.51</w:t>
            </w:r>
          </w:p>
        </w:tc>
        <w:tc>
          <w:tcPr>
            <w:tcW w:w="1129" w:type="dxa"/>
            <w:vAlign w:val="center"/>
          </w:tcPr>
          <w:p w14:paraId="441D941A" w14:textId="44FC353E"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5,6</w:t>
            </w:r>
          </w:p>
        </w:tc>
        <w:tc>
          <w:tcPr>
            <w:tcW w:w="1134" w:type="dxa"/>
            <w:vAlign w:val="center"/>
          </w:tcPr>
          <w:p w14:paraId="3DC7883B" w14:textId="24D244E1"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16,4</w:t>
            </w:r>
          </w:p>
        </w:tc>
        <w:tc>
          <w:tcPr>
            <w:tcW w:w="1134" w:type="dxa"/>
            <w:vAlign w:val="center"/>
          </w:tcPr>
          <w:p w14:paraId="2AC210A8" w14:textId="4432C3B5"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8,2</w:t>
            </w:r>
          </w:p>
        </w:tc>
        <w:tc>
          <w:tcPr>
            <w:tcW w:w="993" w:type="dxa"/>
            <w:vAlign w:val="center"/>
          </w:tcPr>
          <w:p w14:paraId="7205D2F9" w14:textId="6A688947"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5,0</w:t>
            </w:r>
          </w:p>
        </w:tc>
      </w:tr>
      <w:tr w:rsidR="0095442F" w:rsidRPr="001B0074" w14:paraId="14878CAB" w14:textId="77777777" w:rsidTr="001E2B50">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712062CC"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7. Izmaiņas krājumos</w:t>
            </w:r>
          </w:p>
        </w:tc>
        <w:tc>
          <w:tcPr>
            <w:tcW w:w="1417" w:type="dxa"/>
            <w:vAlign w:val="center"/>
            <w:hideMark/>
          </w:tcPr>
          <w:p w14:paraId="027B1B28" w14:textId="77777777" w:rsidR="0095442F" w:rsidRPr="001B0074"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129" w:type="dxa"/>
            <w:vAlign w:val="center"/>
          </w:tcPr>
          <w:p w14:paraId="47CD8880" w14:textId="47674E8C"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32FA6E78" w14:textId="613D1DF5"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4C6CC583" w14:textId="00B33CB0"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993" w:type="dxa"/>
            <w:vAlign w:val="center"/>
          </w:tcPr>
          <w:p w14:paraId="03E21D37" w14:textId="772BE900"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r>
      <w:tr w:rsidR="0095442F" w:rsidRPr="001B0074" w14:paraId="0F387852"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2F2C2CC0"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8. Eksports</w:t>
            </w:r>
          </w:p>
        </w:tc>
        <w:tc>
          <w:tcPr>
            <w:tcW w:w="1417" w:type="dxa"/>
            <w:vAlign w:val="center"/>
            <w:hideMark/>
          </w:tcPr>
          <w:p w14:paraId="4CBD972B" w14:textId="77777777" w:rsidR="0095442F" w:rsidRPr="001B0074"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P.6</w:t>
            </w:r>
          </w:p>
        </w:tc>
        <w:tc>
          <w:tcPr>
            <w:tcW w:w="1129" w:type="dxa"/>
            <w:vAlign w:val="center"/>
          </w:tcPr>
          <w:p w14:paraId="205D2929" w14:textId="308336A5"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14,8</w:t>
            </w:r>
          </w:p>
        </w:tc>
        <w:tc>
          <w:tcPr>
            <w:tcW w:w="1134" w:type="dxa"/>
            <w:vAlign w:val="center"/>
          </w:tcPr>
          <w:p w14:paraId="3100C9E2" w14:textId="4B10BCA1"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1,8</w:t>
            </w:r>
          </w:p>
        </w:tc>
        <w:tc>
          <w:tcPr>
            <w:tcW w:w="1134" w:type="dxa"/>
            <w:vAlign w:val="center"/>
          </w:tcPr>
          <w:p w14:paraId="064DC197" w14:textId="05D59C32"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2,9</w:t>
            </w:r>
          </w:p>
        </w:tc>
        <w:tc>
          <w:tcPr>
            <w:tcW w:w="993" w:type="dxa"/>
            <w:vAlign w:val="center"/>
          </w:tcPr>
          <w:p w14:paraId="70087334" w14:textId="1FEC3400"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3,2</w:t>
            </w:r>
          </w:p>
        </w:tc>
      </w:tr>
      <w:tr w:rsidR="0095442F" w:rsidRPr="001B0074" w14:paraId="10B0D3DB" w14:textId="77777777" w:rsidTr="001E2B50">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46CA0F5"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9. Imports</w:t>
            </w:r>
          </w:p>
        </w:tc>
        <w:tc>
          <w:tcPr>
            <w:tcW w:w="1417" w:type="dxa"/>
            <w:vAlign w:val="center"/>
            <w:hideMark/>
          </w:tcPr>
          <w:p w14:paraId="56678F33" w14:textId="77777777" w:rsidR="0095442F" w:rsidRPr="001B0074"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P.7</w:t>
            </w:r>
          </w:p>
        </w:tc>
        <w:tc>
          <w:tcPr>
            <w:tcW w:w="1129" w:type="dxa"/>
            <w:vAlign w:val="center"/>
          </w:tcPr>
          <w:p w14:paraId="5DED7A35" w14:textId="113528D7"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15,8</w:t>
            </w:r>
          </w:p>
        </w:tc>
        <w:tc>
          <w:tcPr>
            <w:tcW w:w="1134" w:type="dxa"/>
            <w:vAlign w:val="center"/>
          </w:tcPr>
          <w:p w14:paraId="7A76258E" w14:textId="3DF9F40B"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5,1</w:t>
            </w:r>
          </w:p>
        </w:tc>
        <w:tc>
          <w:tcPr>
            <w:tcW w:w="1134" w:type="dxa"/>
            <w:vAlign w:val="center"/>
          </w:tcPr>
          <w:p w14:paraId="218BC4C7" w14:textId="54B55A28"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0,9</w:t>
            </w:r>
          </w:p>
        </w:tc>
        <w:tc>
          <w:tcPr>
            <w:tcW w:w="993" w:type="dxa"/>
            <w:vAlign w:val="center"/>
          </w:tcPr>
          <w:p w14:paraId="0A08DA71" w14:textId="478BBF2F"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2,8</w:t>
            </w:r>
          </w:p>
        </w:tc>
      </w:tr>
      <w:tr w:rsidR="0095442F" w:rsidRPr="001B0074" w14:paraId="08FA312D" w14:textId="77777777" w:rsidTr="001E2B50">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ABC31E0"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Devums reālā IKP pieaugumā</w:t>
            </w:r>
          </w:p>
        </w:tc>
        <w:tc>
          <w:tcPr>
            <w:tcW w:w="1417" w:type="dxa"/>
            <w:vAlign w:val="center"/>
            <w:hideMark/>
          </w:tcPr>
          <w:p w14:paraId="50D25CDA" w14:textId="77777777" w:rsidR="0095442F" w:rsidRPr="001B0074"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129" w:type="dxa"/>
            <w:vAlign w:val="center"/>
          </w:tcPr>
          <w:p w14:paraId="3141086A" w14:textId="57325925"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26EC8F98" w14:textId="4192CFEF"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5C4D7FD3" w14:textId="383FE874"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993" w:type="dxa"/>
            <w:vAlign w:val="center"/>
          </w:tcPr>
          <w:p w14:paraId="242DB80B" w14:textId="06C581CF"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r>
      <w:tr w:rsidR="0095442F" w:rsidRPr="001B0074" w14:paraId="2E612BB6" w14:textId="77777777" w:rsidTr="001E2B50">
        <w:trPr>
          <w:cnfStyle w:val="000000100000" w:firstRow="0" w:lastRow="0" w:firstColumn="0" w:lastColumn="0" w:oddVBand="0" w:evenVBand="0" w:oddHBand="1" w:evenHBand="0" w:firstRowFirstColumn="0" w:firstRowLastColumn="0" w:lastRowFirstColumn="0" w:lastRowLastColumn="0"/>
          <w:trHeight w:val="466"/>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013D4126"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10. Kopējais iekšzemes pieprasījums</w:t>
            </w:r>
          </w:p>
        </w:tc>
        <w:tc>
          <w:tcPr>
            <w:tcW w:w="1417" w:type="dxa"/>
            <w:vAlign w:val="center"/>
            <w:hideMark/>
          </w:tcPr>
          <w:p w14:paraId="25F91251" w14:textId="77777777" w:rsidR="0095442F" w:rsidRPr="001B0074"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129" w:type="dxa"/>
            <w:vAlign w:val="center"/>
          </w:tcPr>
          <w:p w14:paraId="5F407A27" w14:textId="6211A99B"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479B0F82" w14:textId="7360D19F"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6,9</w:t>
            </w:r>
          </w:p>
        </w:tc>
        <w:tc>
          <w:tcPr>
            <w:tcW w:w="1134" w:type="dxa"/>
            <w:vAlign w:val="center"/>
          </w:tcPr>
          <w:p w14:paraId="22AECE96" w14:textId="6B27E43D"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4,6</w:t>
            </w:r>
          </w:p>
        </w:tc>
        <w:tc>
          <w:tcPr>
            <w:tcW w:w="993" w:type="dxa"/>
            <w:vAlign w:val="center"/>
          </w:tcPr>
          <w:p w14:paraId="27381A99" w14:textId="6824B328"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3,8</w:t>
            </w:r>
          </w:p>
        </w:tc>
      </w:tr>
      <w:tr w:rsidR="0095442F" w:rsidRPr="001B0074" w14:paraId="026D9A57" w14:textId="77777777" w:rsidTr="001E2B50">
        <w:trPr>
          <w:trHeight w:val="191"/>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60D6AD92"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11. Izmaiņas krājumos</w:t>
            </w:r>
          </w:p>
        </w:tc>
        <w:tc>
          <w:tcPr>
            <w:tcW w:w="1417" w:type="dxa"/>
            <w:vAlign w:val="center"/>
            <w:hideMark/>
          </w:tcPr>
          <w:p w14:paraId="26CDACAE" w14:textId="77777777" w:rsidR="0095442F" w:rsidRPr="001B0074"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P.52 + P.53</w:t>
            </w:r>
          </w:p>
        </w:tc>
        <w:tc>
          <w:tcPr>
            <w:tcW w:w="1129" w:type="dxa"/>
            <w:vAlign w:val="center"/>
          </w:tcPr>
          <w:p w14:paraId="3B66659B" w14:textId="62F9E55D"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6254AF57" w14:textId="7ED028B7"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0,1</w:t>
            </w:r>
          </w:p>
        </w:tc>
        <w:tc>
          <w:tcPr>
            <w:tcW w:w="1134" w:type="dxa"/>
            <w:vAlign w:val="center"/>
          </w:tcPr>
          <w:p w14:paraId="65D79A1C" w14:textId="0CD631C8"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-2,6</w:t>
            </w:r>
          </w:p>
        </w:tc>
        <w:tc>
          <w:tcPr>
            <w:tcW w:w="993" w:type="dxa"/>
            <w:vAlign w:val="center"/>
          </w:tcPr>
          <w:p w14:paraId="1B400788" w14:textId="128E14E2"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-1,2</w:t>
            </w:r>
          </w:p>
        </w:tc>
      </w:tr>
      <w:tr w:rsidR="0095442F" w:rsidRPr="001B0074" w14:paraId="79719DDE" w14:textId="77777777" w:rsidTr="001E2B50">
        <w:trPr>
          <w:cnfStyle w:val="000000100000" w:firstRow="0" w:lastRow="0" w:firstColumn="0" w:lastColumn="0" w:oddVBand="0" w:evenVBand="0" w:oddHBand="1"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119" w:type="dxa"/>
            <w:hideMark/>
          </w:tcPr>
          <w:p w14:paraId="41C6BC58"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12. Preču un pakalpojumu tirdzniecības bilance</w:t>
            </w:r>
          </w:p>
        </w:tc>
        <w:tc>
          <w:tcPr>
            <w:tcW w:w="1417" w:type="dxa"/>
            <w:vAlign w:val="center"/>
            <w:hideMark/>
          </w:tcPr>
          <w:p w14:paraId="0034536B" w14:textId="77777777" w:rsidR="0095442F" w:rsidRPr="001B0074"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B.11</w:t>
            </w:r>
          </w:p>
        </w:tc>
        <w:tc>
          <w:tcPr>
            <w:tcW w:w="1129" w:type="dxa"/>
            <w:vAlign w:val="center"/>
          </w:tcPr>
          <w:p w14:paraId="7270D302" w14:textId="6FC3DB0B"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1134" w:type="dxa"/>
            <w:vAlign w:val="center"/>
          </w:tcPr>
          <w:p w14:paraId="6D5BFB32" w14:textId="5AC5B42B"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-2,2</w:t>
            </w:r>
          </w:p>
        </w:tc>
        <w:tc>
          <w:tcPr>
            <w:tcW w:w="1134" w:type="dxa"/>
            <w:vAlign w:val="center"/>
          </w:tcPr>
          <w:p w14:paraId="7CC0A4F9" w14:textId="58C80C5A"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1,2</w:t>
            </w:r>
          </w:p>
        </w:tc>
        <w:tc>
          <w:tcPr>
            <w:tcW w:w="993" w:type="dxa"/>
            <w:vAlign w:val="center"/>
          </w:tcPr>
          <w:p w14:paraId="0585CF62" w14:textId="38EDA637"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0,2</w:t>
            </w:r>
          </w:p>
        </w:tc>
      </w:tr>
    </w:tbl>
    <w:p w14:paraId="16C2417E" w14:textId="77777777" w:rsidR="00C32D1D" w:rsidRPr="00976103" w:rsidRDefault="00C32D1D" w:rsidP="00C32D1D">
      <w:pPr>
        <w:ind w:firstLine="0"/>
        <w:jc w:val="left"/>
        <w:rPr>
          <w:szCs w:val="24"/>
        </w:rPr>
      </w:pPr>
    </w:p>
    <w:p w14:paraId="35572B5B" w14:textId="77777777" w:rsidR="00C32D1D" w:rsidRPr="00976103" w:rsidRDefault="00C32D1D" w:rsidP="00C32D1D">
      <w:pPr>
        <w:pStyle w:val="Heading1"/>
        <w:tabs>
          <w:tab w:val="left" w:pos="1276"/>
        </w:tabs>
        <w:spacing w:before="0" w:after="240"/>
        <w:ind w:firstLine="0"/>
        <w:jc w:val="left"/>
        <w:rPr>
          <w:rFonts w:ascii="Times New Roman" w:hAnsi="Times New Roman"/>
        </w:rPr>
      </w:pPr>
      <w:r w:rsidRPr="00976103">
        <w:rPr>
          <w:b w:val="0"/>
        </w:rPr>
        <w:br w:type="page"/>
      </w:r>
      <w:bookmarkStart w:id="6" w:name="_Toc21516499"/>
      <w:r w:rsidRPr="001D5709">
        <w:rPr>
          <w:rFonts w:ascii="Times New Roman" w:hAnsi="Times New Roman"/>
          <w:color w:val="18185E"/>
          <w:sz w:val="24"/>
        </w:rPr>
        <w:lastRenderedPageBreak/>
        <w:t>Tabula 1b: Patēriņa cenu izmaiņas</w:t>
      </w:r>
      <w:bookmarkEnd w:id="6"/>
    </w:p>
    <w:tbl>
      <w:tblPr>
        <w:tblStyle w:val="GridTable6Colorful-Accent11"/>
        <w:tblW w:w="8926" w:type="dxa"/>
        <w:jc w:val="center"/>
        <w:tblLayout w:type="fixed"/>
        <w:tblLook w:val="04A0" w:firstRow="1" w:lastRow="0" w:firstColumn="1" w:lastColumn="0" w:noHBand="0" w:noVBand="1"/>
      </w:tblPr>
      <w:tblGrid>
        <w:gridCol w:w="3644"/>
        <w:gridCol w:w="1298"/>
        <w:gridCol w:w="1056"/>
        <w:gridCol w:w="943"/>
        <w:gridCol w:w="992"/>
        <w:gridCol w:w="993"/>
      </w:tblGrid>
      <w:tr w:rsidR="003822F3" w:rsidRPr="001B0074" w14:paraId="0F97BF1A" w14:textId="77777777" w:rsidTr="00687919">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C271ED1" w14:textId="77777777" w:rsidR="003822F3" w:rsidRPr="001B0074" w:rsidRDefault="003822F3" w:rsidP="003822F3">
            <w:pPr>
              <w:spacing w:after="0"/>
              <w:ind w:firstLineChars="100" w:firstLine="240"/>
              <w:jc w:val="center"/>
              <w:rPr>
                <w:b w:val="0"/>
                <w:color w:val="000000"/>
                <w:szCs w:val="24"/>
                <w:lang w:eastAsia="lv-LV"/>
              </w:rPr>
            </w:pPr>
          </w:p>
        </w:tc>
        <w:tc>
          <w:tcPr>
            <w:tcW w:w="1298" w:type="dxa"/>
            <w:vAlign w:val="center"/>
            <w:hideMark/>
          </w:tcPr>
          <w:p w14:paraId="33D6332F" w14:textId="77777777"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EKS kods</w:t>
            </w:r>
          </w:p>
        </w:tc>
        <w:tc>
          <w:tcPr>
            <w:tcW w:w="1056" w:type="dxa"/>
            <w:vAlign w:val="center"/>
            <w:hideMark/>
          </w:tcPr>
          <w:p w14:paraId="3B766445" w14:textId="339EB299"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943" w:type="dxa"/>
            <w:vAlign w:val="center"/>
            <w:hideMark/>
          </w:tcPr>
          <w:p w14:paraId="47F18EDF" w14:textId="7709604D"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992" w:type="dxa"/>
            <w:vAlign w:val="center"/>
            <w:hideMark/>
          </w:tcPr>
          <w:p w14:paraId="1902D8C1" w14:textId="19293882"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c>
          <w:tcPr>
            <w:tcW w:w="993" w:type="dxa"/>
            <w:vAlign w:val="center"/>
            <w:hideMark/>
          </w:tcPr>
          <w:p w14:paraId="1D42327E" w14:textId="32955D35" w:rsidR="003822F3" w:rsidRPr="001B0074"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2020</w:t>
            </w:r>
          </w:p>
        </w:tc>
      </w:tr>
      <w:tr w:rsidR="00687919" w:rsidRPr="001B0074" w14:paraId="69FE7D71" w14:textId="77777777" w:rsidTr="0068791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4B8B0C2E" w14:textId="77777777" w:rsidR="00687919" w:rsidRPr="001B0074" w:rsidRDefault="00687919" w:rsidP="00F866B5">
            <w:pPr>
              <w:spacing w:after="0"/>
              <w:ind w:firstLineChars="100" w:firstLine="240"/>
              <w:jc w:val="right"/>
              <w:rPr>
                <w:color w:val="000000"/>
                <w:szCs w:val="24"/>
                <w:lang w:eastAsia="lv-LV"/>
              </w:rPr>
            </w:pPr>
            <w:r w:rsidRPr="001B0074">
              <w:rPr>
                <w:color w:val="000000"/>
                <w:szCs w:val="24"/>
                <w:lang w:eastAsia="lv-LV"/>
              </w:rPr>
              <w:t> </w:t>
            </w:r>
          </w:p>
        </w:tc>
        <w:tc>
          <w:tcPr>
            <w:tcW w:w="1298" w:type="dxa"/>
            <w:vAlign w:val="center"/>
            <w:hideMark/>
          </w:tcPr>
          <w:p w14:paraId="305F2258" w14:textId="77777777" w:rsidR="00687919" w:rsidRPr="001B0074"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056" w:type="dxa"/>
            <w:vAlign w:val="center"/>
            <w:hideMark/>
          </w:tcPr>
          <w:p w14:paraId="4CB55772" w14:textId="77777777" w:rsidR="00687919" w:rsidRPr="001B0074"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Līmenis</w:t>
            </w:r>
          </w:p>
        </w:tc>
        <w:tc>
          <w:tcPr>
            <w:tcW w:w="2928" w:type="dxa"/>
            <w:gridSpan w:val="3"/>
            <w:vAlign w:val="center"/>
            <w:hideMark/>
          </w:tcPr>
          <w:p w14:paraId="63E88335" w14:textId="77777777" w:rsidR="00687919" w:rsidRPr="001B0074"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Pieaugums %</w:t>
            </w:r>
          </w:p>
        </w:tc>
      </w:tr>
      <w:tr w:rsidR="0095442F" w:rsidRPr="001B0074" w14:paraId="756D2E4E" w14:textId="77777777"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631F352F"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1. IKP deflators</w:t>
            </w:r>
          </w:p>
        </w:tc>
        <w:tc>
          <w:tcPr>
            <w:tcW w:w="1298" w:type="dxa"/>
            <w:hideMark/>
          </w:tcPr>
          <w:p w14:paraId="3F4843CF" w14:textId="77777777" w:rsidR="0095442F" w:rsidRPr="001B0074"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25E4014" w14:textId="77777777" w:rsidR="0095442F" w:rsidRPr="001B0074"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04CD1DFB" w14:textId="246DDD01"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4,2</w:t>
            </w:r>
          </w:p>
        </w:tc>
        <w:tc>
          <w:tcPr>
            <w:tcW w:w="992" w:type="dxa"/>
            <w:vAlign w:val="center"/>
          </w:tcPr>
          <w:p w14:paraId="4C03CA13" w14:textId="72876C1C"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3,1</w:t>
            </w:r>
          </w:p>
        </w:tc>
        <w:tc>
          <w:tcPr>
            <w:tcW w:w="993" w:type="dxa"/>
            <w:vAlign w:val="center"/>
          </w:tcPr>
          <w:p w14:paraId="486C14F7" w14:textId="74FC36E7"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2,7</w:t>
            </w:r>
          </w:p>
        </w:tc>
      </w:tr>
      <w:tr w:rsidR="0095442F" w:rsidRPr="001B0074" w14:paraId="334C888D" w14:textId="77777777" w:rsidTr="00687919">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789659B9"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2. Privātā patēriņa deflators</w:t>
            </w:r>
          </w:p>
        </w:tc>
        <w:tc>
          <w:tcPr>
            <w:tcW w:w="1298" w:type="dxa"/>
            <w:hideMark/>
          </w:tcPr>
          <w:p w14:paraId="3AFD03EC" w14:textId="77777777" w:rsidR="0095442F" w:rsidRPr="001B0074" w:rsidRDefault="0095442F" w:rsidP="0095442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178C3600" w14:textId="77777777" w:rsidR="0095442F" w:rsidRPr="001B0074" w:rsidRDefault="0095442F" w:rsidP="0095442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7900597D" w14:textId="63C1EE13"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2,8</w:t>
            </w:r>
          </w:p>
        </w:tc>
        <w:tc>
          <w:tcPr>
            <w:tcW w:w="992" w:type="dxa"/>
            <w:vAlign w:val="center"/>
          </w:tcPr>
          <w:p w14:paraId="1D761928" w14:textId="5908D2C0"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2,8</w:t>
            </w:r>
          </w:p>
        </w:tc>
        <w:tc>
          <w:tcPr>
            <w:tcW w:w="993" w:type="dxa"/>
            <w:vAlign w:val="center"/>
          </w:tcPr>
          <w:p w14:paraId="56AFDA0A" w14:textId="4270D965"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2,5</w:t>
            </w:r>
          </w:p>
        </w:tc>
      </w:tr>
      <w:tr w:rsidR="0095442F" w:rsidRPr="001B0074" w14:paraId="5C5E9D54" w14:textId="77777777"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1A1F57AD"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 xml:space="preserve">3. </w:t>
            </w:r>
            <w:r w:rsidRPr="005D41CC">
              <w:rPr>
                <w:color w:val="000000"/>
                <w:szCs w:val="24"/>
                <w:lang w:eastAsia="lv-LV"/>
              </w:rPr>
              <w:t>Saskaņotā patēriņa cenu indekss</w:t>
            </w:r>
          </w:p>
        </w:tc>
        <w:tc>
          <w:tcPr>
            <w:tcW w:w="1298" w:type="dxa"/>
            <w:hideMark/>
          </w:tcPr>
          <w:p w14:paraId="3F734224" w14:textId="77777777" w:rsidR="0095442F" w:rsidRPr="001B0074"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43BD450E" w14:textId="77777777" w:rsidR="0095442F" w:rsidRPr="001B0074"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4F0F0C17" w14:textId="7D46C2CA"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2,5</w:t>
            </w:r>
          </w:p>
        </w:tc>
        <w:tc>
          <w:tcPr>
            <w:tcW w:w="992" w:type="dxa"/>
            <w:vAlign w:val="center"/>
          </w:tcPr>
          <w:p w14:paraId="0F4FBEAD" w14:textId="3F4BDEF2"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2,8</w:t>
            </w:r>
          </w:p>
        </w:tc>
        <w:tc>
          <w:tcPr>
            <w:tcW w:w="993" w:type="dxa"/>
            <w:vAlign w:val="center"/>
          </w:tcPr>
          <w:p w14:paraId="0152B10B" w14:textId="1BAD0CF9"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2,5</w:t>
            </w:r>
          </w:p>
        </w:tc>
      </w:tr>
      <w:tr w:rsidR="0095442F" w:rsidRPr="001B0074" w14:paraId="4038C066" w14:textId="77777777" w:rsidTr="00687919">
        <w:trPr>
          <w:cnfStyle w:val="000000100000" w:firstRow="0" w:lastRow="0" w:firstColumn="0" w:lastColumn="0" w:oddVBand="0" w:evenVBand="0" w:oddHBand="1" w:evenHBand="0"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34C69169"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4. Valdības patēriņa deflators</w:t>
            </w:r>
          </w:p>
        </w:tc>
        <w:tc>
          <w:tcPr>
            <w:tcW w:w="1298" w:type="dxa"/>
            <w:hideMark/>
          </w:tcPr>
          <w:p w14:paraId="40C52BAE" w14:textId="77777777" w:rsidR="0095442F" w:rsidRPr="001B0074" w:rsidRDefault="0095442F" w:rsidP="0095442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67299770" w14:textId="77777777" w:rsidR="0095442F" w:rsidRPr="001B0074" w:rsidRDefault="0095442F" w:rsidP="0095442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41A38CBD" w14:textId="59F84073"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3,5</w:t>
            </w:r>
          </w:p>
        </w:tc>
        <w:tc>
          <w:tcPr>
            <w:tcW w:w="992" w:type="dxa"/>
            <w:vAlign w:val="center"/>
          </w:tcPr>
          <w:p w14:paraId="3A5AFB76" w14:textId="1BF20B2E"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3,8</w:t>
            </w:r>
          </w:p>
        </w:tc>
        <w:tc>
          <w:tcPr>
            <w:tcW w:w="993" w:type="dxa"/>
            <w:vAlign w:val="center"/>
          </w:tcPr>
          <w:p w14:paraId="4F6DBEAD" w14:textId="32397A9E"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2,9</w:t>
            </w:r>
          </w:p>
        </w:tc>
      </w:tr>
      <w:tr w:rsidR="0095442F" w:rsidRPr="001B0074" w14:paraId="17B88088" w14:textId="77777777" w:rsidTr="00687919">
        <w:trPr>
          <w:trHeight w:val="31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C39E2D1"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5. Investīciju deflators</w:t>
            </w:r>
          </w:p>
        </w:tc>
        <w:tc>
          <w:tcPr>
            <w:tcW w:w="1298" w:type="dxa"/>
            <w:hideMark/>
          </w:tcPr>
          <w:p w14:paraId="33BF5CFE" w14:textId="77777777" w:rsidR="0095442F" w:rsidRPr="001B0074"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4F5F59C9" w14:textId="77777777" w:rsidR="0095442F" w:rsidRPr="001B0074"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180441DF" w14:textId="48192503"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2,3</w:t>
            </w:r>
          </w:p>
        </w:tc>
        <w:tc>
          <w:tcPr>
            <w:tcW w:w="992" w:type="dxa"/>
            <w:vAlign w:val="center"/>
          </w:tcPr>
          <w:p w14:paraId="765FD748" w14:textId="303F3AEB"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2,4</w:t>
            </w:r>
          </w:p>
        </w:tc>
        <w:tc>
          <w:tcPr>
            <w:tcW w:w="993" w:type="dxa"/>
            <w:vAlign w:val="center"/>
          </w:tcPr>
          <w:p w14:paraId="55D2EC1A" w14:textId="70AAA144"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2,2</w:t>
            </w:r>
          </w:p>
        </w:tc>
      </w:tr>
      <w:tr w:rsidR="0095442F" w:rsidRPr="001B0074" w14:paraId="15E71A17" w14:textId="77777777" w:rsidTr="00687919">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1C27A824"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6. Eksporta cenu deflators</w:t>
            </w:r>
          </w:p>
        </w:tc>
        <w:tc>
          <w:tcPr>
            <w:tcW w:w="1298" w:type="dxa"/>
            <w:hideMark/>
          </w:tcPr>
          <w:p w14:paraId="386A328A" w14:textId="77777777" w:rsidR="0095442F" w:rsidRPr="001B0074" w:rsidRDefault="0095442F" w:rsidP="0095442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D219A38" w14:textId="77777777" w:rsidR="0095442F" w:rsidRPr="001B0074" w:rsidRDefault="0095442F" w:rsidP="0095442F">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943" w:type="dxa"/>
            <w:vAlign w:val="center"/>
          </w:tcPr>
          <w:p w14:paraId="6D26381F" w14:textId="6E023819"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3,4</w:t>
            </w:r>
          </w:p>
        </w:tc>
        <w:tc>
          <w:tcPr>
            <w:tcW w:w="992" w:type="dxa"/>
            <w:vAlign w:val="center"/>
          </w:tcPr>
          <w:p w14:paraId="6E43FF09" w14:textId="343064C9"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1,9</w:t>
            </w:r>
          </w:p>
        </w:tc>
        <w:tc>
          <w:tcPr>
            <w:tcW w:w="993" w:type="dxa"/>
            <w:vAlign w:val="center"/>
          </w:tcPr>
          <w:p w14:paraId="419BED30" w14:textId="2B15FDF7"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2,0</w:t>
            </w:r>
          </w:p>
        </w:tc>
      </w:tr>
      <w:tr w:rsidR="0095442F" w:rsidRPr="001B0074" w14:paraId="1C4432B1" w14:textId="77777777" w:rsidTr="00687919">
        <w:trPr>
          <w:trHeight w:val="317"/>
          <w:jc w:val="center"/>
        </w:trPr>
        <w:tc>
          <w:tcPr>
            <w:cnfStyle w:val="001000000000" w:firstRow="0" w:lastRow="0" w:firstColumn="1" w:lastColumn="0" w:oddVBand="0" w:evenVBand="0" w:oddHBand="0" w:evenHBand="0" w:firstRowFirstColumn="0" w:firstRowLastColumn="0" w:lastRowFirstColumn="0" w:lastRowLastColumn="0"/>
            <w:tcW w:w="3644" w:type="dxa"/>
            <w:hideMark/>
          </w:tcPr>
          <w:p w14:paraId="5DE09B0D" w14:textId="77777777" w:rsidR="0095442F" w:rsidRPr="001B0074" w:rsidRDefault="0095442F" w:rsidP="0095442F">
            <w:pPr>
              <w:spacing w:after="0"/>
              <w:ind w:firstLine="0"/>
              <w:jc w:val="left"/>
              <w:rPr>
                <w:color w:val="000000"/>
                <w:szCs w:val="24"/>
                <w:lang w:eastAsia="lv-LV"/>
              </w:rPr>
            </w:pPr>
            <w:r w:rsidRPr="001B0074">
              <w:rPr>
                <w:color w:val="000000"/>
                <w:szCs w:val="24"/>
                <w:lang w:eastAsia="lv-LV"/>
              </w:rPr>
              <w:t>7. Importa cenu deflators</w:t>
            </w:r>
          </w:p>
        </w:tc>
        <w:tc>
          <w:tcPr>
            <w:tcW w:w="1298" w:type="dxa"/>
            <w:hideMark/>
          </w:tcPr>
          <w:p w14:paraId="0CA9327E" w14:textId="77777777" w:rsidR="0095442F" w:rsidRPr="001B0074"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1B0074">
              <w:rPr>
                <w:color w:val="000000"/>
                <w:szCs w:val="24"/>
                <w:lang w:eastAsia="lv-LV"/>
              </w:rPr>
              <w:t> </w:t>
            </w:r>
          </w:p>
        </w:tc>
        <w:tc>
          <w:tcPr>
            <w:tcW w:w="1056" w:type="dxa"/>
          </w:tcPr>
          <w:p w14:paraId="5202CD69" w14:textId="77777777" w:rsidR="0095442F" w:rsidRPr="001B0074"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943" w:type="dxa"/>
            <w:vAlign w:val="center"/>
          </w:tcPr>
          <w:p w14:paraId="508F137B" w14:textId="341817DC"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1,3</w:t>
            </w:r>
          </w:p>
        </w:tc>
        <w:tc>
          <w:tcPr>
            <w:tcW w:w="992" w:type="dxa"/>
            <w:vAlign w:val="center"/>
          </w:tcPr>
          <w:p w14:paraId="1BEB2376" w14:textId="21F91829"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1,0</w:t>
            </w:r>
          </w:p>
        </w:tc>
        <w:tc>
          <w:tcPr>
            <w:tcW w:w="993" w:type="dxa"/>
            <w:vAlign w:val="center"/>
          </w:tcPr>
          <w:p w14:paraId="26BC2E2D" w14:textId="38AE39EB"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2,5</w:t>
            </w:r>
          </w:p>
        </w:tc>
      </w:tr>
    </w:tbl>
    <w:p w14:paraId="7F596892" w14:textId="77777777" w:rsidR="00C32D1D" w:rsidRPr="00976103" w:rsidRDefault="00C32D1D" w:rsidP="00C32D1D">
      <w:pPr>
        <w:ind w:firstLine="0"/>
        <w:jc w:val="left"/>
        <w:rPr>
          <w:szCs w:val="24"/>
        </w:rPr>
      </w:pPr>
    </w:p>
    <w:p w14:paraId="240D92B1" w14:textId="77777777" w:rsidR="00C32D1D" w:rsidRPr="00976103" w:rsidRDefault="00C32D1D" w:rsidP="00C32D1D">
      <w:pPr>
        <w:ind w:firstLine="0"/>
        <w:jc w:val="left"/>
        <w:rPr>
          <w:b/>
          <w:szCs w:val="24"/>
        </w:rPr>
      </w:pPr>
    </w:p>
    <w:p w14:paraId="37C14846" w14:textId="77777777" w:rsidR="00C32D1D" w:rsidRPr="001D5709" w:rsidRDefault="00C32D1D" w:rsidP="00C32D1D">
      <w:pPr>
        <w:pStyle w:val="Heading1"/>
        <w:tabs>
          <w:tab w:val="left" w:pos="1276"/>
        </w:tabs>
        <w:spacing w:before="0" w:after="240"/>
        <w:ind w:firstLine="0"/>
        <w:jc w:val="left"/>
        <w:rPr>
          <w:rFonts w:ascii="Times New Roman" w:hAnsi="Times New Roman"/>
          <w:color w:val="18185E"/>
          <w:sz w:val="24"/>
        </w:rPr>
      </w:pPr>
      <w:bookmarkStart w:id="7" w:name="_Toc21516500"/>
      <w:r w:rsidRPr="001D5709">
        <w:rPr>
          <w:rFonts w:ascii="Times New Roman" w:hAnsi="Times New Roman"/>
          <w:color w:val="18185E"/>
          <w:sz w:val="24"/>
        </w:rPr>
        <w:t>Tabula 1c: Darba tirgus attīstība</w:t>
      </w:r>
      <w:bookmarkEnd w:id="7"/>
    </w:p>
    <w:tbl>
      <w:tblPr>
        <w:tblStyle w:val="GridTable6Colorful-Accent11"/>
        <w:tblW w:w="8784" w:type="dxa"/>
        <w:jc w:val="center"/>
        <w:tblLayout w:type="fixed"/>
        <w:tblLook w:val="04A0" w:firstRow="1" w:lastRow="0" w:firstColumn="1" w:lastColumn="0" w:noHBand="0" w:noVBand="1"/>
      </w:tblPr>
      <w:tblGrid>
        <w:gridCol w:w="3681"/>
        <w:gridCol w:w="862"/>
        <w:gridCol w:w="1548"/>
        <w:gridCol w:w="850"/>
        <w:gridCol w:w="851"/>
        <w:gridCol w:w="992"/>
      </w:tblGrid>
      <w:tr w:rsidR="003822F3" w:rsidRPr="00976103" w14:paraId="6AE76CEE" w14:textId="77777777" w:rsidTr="00687919">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CFE7335" w14:textId="77777777" w:rsidR="003822F3" w:rsidRPr="00976103" w:rsidRDefault="003822F3" w:rsidP="003822F3">
            <w:pPr>
              <w:spacing w:after="0"/>
              <w:ind w:firstLineChars="100" w:firstLine="240"/>
              <w:jc w:val="right"/>
              <w:rPr>
                <w:color w:val="000000"/>
                <w:szCs w:val="24"/>
                <w:lang w:eastAsia="lv-LV"/>
              </w:rPr>
            </w:pPr>
            <w:r w:rsidRPr="00976103">
              <w:rPr>
                <w:color w:val="000000"/>
                <w:szCs w:val="24"/>
                <w:lang w:eastAsia="lv-LV"/>
              </w:rPr>
              <w:t> </w:t>
            </w:r>
          </w:p>
        </w:tc>
        <w:tc>
          <w:tcPr>
            <w:tcW w:w="862" w:type="dxa"/>
            <w:hideMark/>
          </w:tcPr>
          <w:p w14:paraId="18968090" w14:textId="77777777" w:rsidR="003822F3" w:rsidRPr="00517C82"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EKS k</w:t>
            </w:r>
            <w:r w:rsidRPr="00517C82">
              <w:rPr>
                <w:color w:val="000000"/>
                <w:szCs w:val="24"/>
                <w:lang w:eastAsia="lv-LV"/>
              </w:rPr>
              <w:t>ods</w:t>
            </w:r>
          </w:p>
        </w:tc>
        <w:tc>
          <w:tcPr>
            <w:tcW w:w="1548" w:type="dxa"/>
            <w:vAlign w:val="center"/>
            <w:hideMark/>
          </w:tcPr>
          <w:p w14:paraId="60CED2A7" w14:textId="46F11F90" w:rsidR="003822F3" w:rsidRPr="00517C82" w:rsidRDefault="003822F3" w:rsidP="0095442F">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w:t>
            </w:r>
            <w:r w:rsidR="0095442F">
              <w:rPr>
                <w:color w:val="000000"/>
                <w:szCs w:val="24"/>
                <w:lang w:eastAsia="lv-LV"/>
              </w:rPr>
              <w:t>8</w:t>
            </w:r>
          </w:p>
        </w:tc>
        <w:tc>
          <w:tcPr>
            <w:tcW w:w="850" w:type="dxa"/>
            <w:vAlign w:val="center"/>
            <w:hideMark/>
          </w:tcPr>
          <w:p w14:paraId="79742F4D" w14:textId="36F9C196" w:rsidR="003822F3" w:rsidRPr="00517C82"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2018</w:t>
            </w:r>
          </w:p>
        </w:tc>
        <w:tc>
          <w:tcPr>
            <w:tcW w:w="851" w:type="dxa"/>
            <w:vAlign w:val="center"/>
            <w:hideMark/>
          </w:tcPr>
          <w:p w14:paraId="7947869E" w14:textId="423BD8B5" w:rsidR="003822F3" w:rsidRPr="00517C82"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2019</w:t>
            </w:r>
          </w:p>
        </w:tc>
        <w:tc>
          <w:tcPr>
            <w:tcW w:w="992" w:type="dxa"/>
            <w:vAlign w:val="center"/>
            <w:hideMark/>
          </w:tcPr>
          <w:p w14:paraId="48046019" w14:textId="7095A9F8" w:rsidR="003822F3" w:rsidRPr="00517C82"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4"/>
                <w:lang w:eastAsia="lv-LV"/>
              </w:rPr>
            </w:pPr>
            <w:r>
              <w:rPr>
                <w:color w:val="000000"/>
                <w:szCs w:val="24"/>
                <w:lang w:eastAsia="lv-LV"/>
              </w:rPr>
              <w:t>2020</w:t>
            </w:r>
          </w:p>
        </w:tc>
      </w:tr>
      <w:tr w:rsidR="00687919" w:rsidRPr="00976103" w14:paraId="358B06F1"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B4ADC19" w14:textId="77777777" w:rsidR="00687919" w:rsidRPr="00976103" w:rsidRDefault="00687919" w:rsidP="00F866B5">
            <w:pPr>
              <w:spacing w:after="0"/>
              <w:ind w:firstLineChars="100" w:firstLine="240"/>
              <w:jc w:val="right"/>
              <w:rPr>
                <w:color w:val="000000"/>
                <w:szCs w:val="24"/>
                <w:lang w:eastAsia="lv-LV"/>
              </w:rPr>
            </w:pPr>
            <w:r w:rsidRPr="00976103">
              <w:rPr>
                <w:color w:val="000000"/>
                <w:szCs w:val="24"/>
                <w:lang w:eastAsia="lv-LV"/>
              </w:rPr>
              <w:t> </w:t>
            </w:r>
          </w:p>
        </w:tc>
        <w:tc>
          <w:tcPr>
            <w:tcW w:w="862" w:type="dxa"/>
            <w:hideMark/>
          </w:tcPr>
          <w:p w14:paraId="11EA8BD1" w14:textId="77777777" w:rsidR="00687919" w:rsidRPr="00976103" w:rsidRDefault="00687919" w:rsidP="006B2FB4">
            <w:pPr>
              <w:spacing w:after="0"/>
              <w:ind w:firstLineChars="100" w:firstLine="240"/>
              <w:jc w:val="righ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w:t>
            </w:r>
          </w:p>
        </w:tc>
        <w:tc>
          <w:tcPr>
            <w:tcW w:w="1548" w:type="dxa"/>
            <w:vAlign w:val="center"/>
            <w:hideMark/>
          </w:tcPr>
          <w:p w14:paraId="6E029781" w14:textId="77777777" w:rsidR="00687919" w:rsidRPr="00976103"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Līmenis</w:t>
            </w:r>
          </w:p>
        </w:tc>
        <w:tc>
          <w:tcPr>
            <w:tcW w:w="2693" w:type="dxa"/>
            <w:gridSpan w:val="3"/>
            <w:vAlign w:val="center"/>
            <w:hideMark/>
          </w:tcPr>
          <w:p w14:paraId="747B341C" w14:textId="77777777" w:rsidR="00687919" w:rsidRPr="00976103"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Pieaugums %</w:t>
            </w:r>
          </w:p>
        </w:tc>
      </w:tr>
      <w:tr w:rsidR="0095442F" w:rsidRPr="00976103" w14:paraId="4EBB1D39" w14:textId="77777777" w:rsidTr="00687919">
        <w:trPr>
          <w:trHeight w:val="246"/>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31960D44"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1. Nodarbinātība</w:t>
            </w:r>
            <w:r>
              <w:rPr>
                <w:color w:val="000000"/>
                <w:szCs w:val="24"/>
                <w:lang w:eastAsia="lv-LV"/>
              </w:rPr>
              <w:t>, cilvēki, tūkst.</w:t>
            </w:r>
          </w:p>
        </w:tc>
        <w:tc>
          <w:tcPr>
            <w:tcW w:w="862" w:type="dxa"/>
            <w:vAlign w:val="center"/>
            <w:hideMark/>
          </w:tcPr>
          <w:p w14:paraId="6487A8A4" w14:textId="77777777" w:rsidR="0095442F" w:rsidRPr="00976103"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435D8B99" w14:textId="7982E613"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909,4</w:t>
            </w:r>
          </w:p>
        </w:tc>
        <w:tc>
          <w:tcPr>
            <w:tcW w:w="850" w:type="dxa"/>
            <w:vAlign w:val="center"/>
          </w:tcPr>
          <w:p w14:paraId="76C13542" w14:textId="6C786CC4"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1,6</w:t>
            </w:r>
          </w:p>
        </w:tc>
        <w:tc>
          <w:tcPr>
            <w:tcW w:w="851" w:type="dxa"/>
            <w:vAlign w:val="center"/>
          </w:tcPr>
          <w:p w14:paraId="6D252C85" w14:textId="65910864"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0,5</w:t>
            </w:r>
          </w:p>
        </w:tc>
        <w:tc>
          <w:tcPr>
            <w:tcW w:w="992" w:type="dxa"/>
            <w:vAlign w:val="center"/>
          </w:tcPr>
          <w:p w14:paraId="4629DAC9" w14:textId="63CEBA59"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0,1</w:t>
            </w:r>
          </w:p>
        </w:tc>
      </w:tr>
      <w:tr w:rsidR="0095442F" w:rsidRPr="00976103" w14:paraId="65007CD1" w14:textId="77777777" w:rsidTr="00687919">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7B5CE321"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2. Nostrādātās stundas</w:t>
            </w:r>
          </w:p>
        </w:tc>
        <w:tc>
          <w:tcPr>
            <w:tcW w:w="862" w:type="dxa"/>
            <w:vAlign w:val="center"/>
            <w:hideMark/>
          </w:tcPr>
          <w:p w14:paraId="35825782" w14:textId="77777777" w:rsidR="0095442F" w:rsidRPr="00976103"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548" w:type="dxa"/>
            <w:vAlign w:val="center"/>
          </w:tcPr>
          <w:p w14:paraId="6463ED11" w14:textId="75996DDD" w:rsidR="0095442F" w:rsidRPr="004D45D2"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1 608,8</w:t>
            </w:r>
          </w:p>
        </w:tc>
        <w:tc>
          <w:tcPr>
            <w:tcW w:w="850" w:type="dxa"/>
            <w:vAlign w:val="center"/>
          </w:tcPr>
          <w:p w14:paraId="688A9305" w14:textId="764D75D9"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-4,7</w:t>
            </w:r>
          </w:p>
        </w:tc>
        <w:tc>
          <w:tcPr>
            <w:tcW w:w="851" w:type="dxa"/>
            <w:vAlign w:val="center"/>
          </w:tcPr>
          <w:p w14:paraId="27370B99" w14:textId="19003F06"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0,0</w:t>
            </w:r>
          </w:p>
        </w:tc>
        <w:tc>
          <w:tcPr>
            <w:tcW w:w="992" w:type="dxa"/>
            <w:vAlign w:val="center"/>
          </w:tcPr>
          <w:p w14:paraId="05C4ABD3" w14:textId="44B7A83F"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0,0</w:t>
            </w:r>
          </w:p>
        </w:tc>
      </w:tr>
      <w:tr w:rsidR="0095442F" w:rsidRPr="00976103" w14:paraId="4B366E02"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EC13C7C"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3. Bezdarbs</w:t>
            </w:r>
            <w:r>
              <w:rPr>
                <w:color w:val="000000"/>
                <w:szCs w:val="24"/>
                <w:lang w:eastAsia="lv-LV"/>
              </w:rPr>
              <w:t xml:space="preserve"> (%)</w:t>
            </w:r>
          </w:p>
        </w:tc>
        <w:tc>
          <w:tcPr>
            <w:tcW w:w="862" w:type="dxa"/>
            <w:vAlign w:val="center"/>
            <w:hideMark/>
          </w:tcPr>
          <w:p w14:paraId="363A43BA" w14:textId="77777777" w:rsidR="0095442F" w:rsidRPr="00976103"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744518E0" w14:textId="54BE50B4"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850" w:type="dxa"/>
            <w:vAlign w:val="center"/>
          </w:tcPr>
          <w:p w14:paraId="19D82F35" w14:textId="1BAFA7DE"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7,4</w:t>
            </w:r>
          </w:p>
        </w:tc>
        <w:tc>
          <w:tcPr>
            <w:tcW w:w="851" w:type="dxa"/>
            <w:vAlign w:val="center"/>
          </w:tcPr>
          <w:p w14:paraId="1597B20A" w14:textId="5447F796"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7,0</w:t>
            </w:r>
          </w:p>
        </w:tc>
        <w:tc>
          <w:tcPr>
            <w:tcW w:w="992" w:type="dxa"/>
            <w:vAlign w:val="center"/>
          </w:tcPr>
          <w:p w14:paraId="7795DC6E" w14:textId="4D11F83D"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6,6</w:t>
            </w:r>
          </w:p>
        </w:tc>
      </w:tr>
      <w:tr w:rsidR="0095442F" w:rsidRPr="00976103" w14:paraId="6CEB4D42" w14:textId="77777777" w:rsidTr="00687919">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02271AEC"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4. Produktivitāte uz nodarbināto</w:t>
            </w:r>
          </w:p>
        </w:tc>
        <w:tc>
          <w:tcPr>
            <w:tcW w:w="862" w:type="dxa"/>
            <w:vAlign w:val="center"/>
            <w:hideMark/>
          </w:tcPr>
          <w:p w14:paraId="31407B32" w14:textId="77777777" w:rsidR="0095442F" w:rsidRPr="00976103"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548" w:type="dxa"/>
            <w:vAlign w:val="center"/>
          </w:tcPr>
          <w:p w14:paraId="11C2EE22" w14:textId="456D1FBD"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 </w:t>
            </w:r>
          </w:p>
        </w:tc>
        <w:tc>
          <w:tcPr>
            <w:tcW w:w="850" w:type="dxa"/>
            <w:vAlign w:val="center"/>
          </w:tcPr>
          <w:p w14:paraId="7E3644F9" w14:textId="4B7A98A9"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3,1</w:t>
            </w:r>
          </w:p>
        </w:tc>
        <w:tc>
          <w:tcPr>
            <w:tcW w:w="851" w:type="dxa"/>
            <w:vAlign w:val="center"/>
          </w:tcPr>
          <w:p w14:paraId="0300EE43" w14:textId="4FEAA2AB"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2,7</w:t>
            </w:r>
          </w:p>
        </w:tc>
        <w:tc>
          <w:tcPr>
            <w:tcW w:w="992" w:type="dxa"/>
            <w:vAlign w:val="center"/>
          </w:tcPr>
          <w:p w14:paraId="55C11FBC" w14:textId="03E3C254"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2,7</w:t>
            </w:r>
          </w:p>
        </w:tc>
      </w:tr>
      <w:tr w:rsidR="0095442F" w:rsidRPr="00976103" w14:paraId="4B8F9077" w14:textId="77777777" w:rsidTr="00687919">
        <w:trPr>
          <w:trHeight w:val="291"/>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19FFC548"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5. Produktivitāte stundā</w:t>
            </w:r>
          </w:p>
        </w:tc>
        <w:tc>
          <w:tcPr>
            <w:tcW w:w="862" w:type="dxa"/>
            <w:vAlign w:val="center"/>
            <w:hideMark/>
          </w:tcPr>
          <w:p w14:paraId="044008A4" w14:textId="77777777" w:rsidR="0095442F" w:rsidRPr="00976103"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548" w:type="dxa"/>
            <w:vAlign w:val="center"/>
          </w:tcPr>
          <w:p w14:paraId="279838DF" w14:textId="53A2CB7C"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 </w:t>
            </w:r>
          </w:p>
        </w:tc>
        <w:tc>
          <w:tcPr>
            <w:tcW w:w="850" w:type="dxa"/>
            <w:vAlign w:val="center"/>
          </w:tcPr>
          <w:p w14:paraId="15CA8CD2" w14:textId="6F56525E"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6,7</w:t>
            </w:r>
          </w:p>
        </w:tc>
        <w:tc>
          <w:tcPr>
            <w:tcW w:w="851" w:type="dxa"/>
            <w:vAlign w:val="center"/>
          </w:tcPr>
          <w:p w14:paraId="1689048C" w14:textId="4AA5A3F7"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2,7</w:t>
            </w:r>
          </w:p>
        </w:tc>
        <w:tc>
          <w:tcPr>
            <w:tcW w:w="992" w:type="dxa"/>
            <w:vAlign w:val="center"/>
          </w:tcPr>
          <w:p w14:paraId="21802170" w14:textId="65079B7E"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2,7</w:t>
            </w:r>
          </w:p>
        </w:tc>
      </w:tr>
      <w:tr w:rsidR="0095442F" w:rsidRPr="00976103" w14:paraId="522426EF" w14:textId="77777777" w:rsidTr="00687919">
        <w:trPr>
          <w:cnfStyle w:val="000000100000" w:firstRow="0" w:lastRow="0" w:firstColumn="0" w:lastColumn="0" w:oddVBand="0" w:evenVBand="0" w:oddHBand="1" w:evenHBand="0" w:firstRowFirstColumn="0" w:firstRowLastColumn="0" w:lastRowFirstColumn="0" w:lastRowLastColumn="0"/>
          <w:trHeight w:val="230"/>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5DA609B5"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6. Darbinieku atalgojums kopā</w:t>
            </w:r>
            <w:r>
              <w:rPr>
                <w:color w:val="000000"/>
                <w:szCs w:val="24"/>
                <w:lang w:eastAsia="lv-LV"/>
              </w:rPr>
              <w:t xml:space="preserve">, mljrd. </w:t>
            </w:r>
            <w:r w:rsidRPr="0067207B">
              <w:rPr>
                <w:i/>
                <w:color w:val="000000"/>
                <w:szCs w:val="24"/>
                <w:lang w:eastAsia="lv-LV"/>
              </w:rPr>
              <w:t>euro</w:t>
            </w:r>
          </w:p>
        </w:tc>
        <w:tc>
          <w:tcPr>
            <w:tcW w:w="862" w:type="dxa"/>
            <w:vAlign w:val="center"/>
            <w:hideMark/>
          </w:tcPr>
          <w:p w14:paraId="45CF54D9"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548" w:type="dxa"/>
            <w:vAlign w:val="center"/>
          </w:tcPr>
          <w:p w14:paraId="3DF6D87B" w14:textId="465E1AF3"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14,0</w:t>
            </w:r>
          </w:p>
        </w:tc>
        <w:tc>
          <w:tcPr>
            <w:tcW w:w="850" w:type="dxa"/>
            <w:vAlign w:val="center"/>
          </w:tcPr>
          <w:p w14:paraId="41DBC3BF" w14:textId="6B516C80"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10,9</w:t>
            </w:r>
          </w:p>
        </w:tc>
        <w:tc>
          <w:tcPr>
            <w:tcW w:w="851" w:type="dxa"/>
            <w:vAlign w:val="center"/>
          </w:tcPr>
          <w:p w14:paraId="26F140CB" w14:textId="2C233D82"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7,2</w:t>
            </w:r>
          </w:p>
        </w:tc>
        <w:tc>
          <w:tcPr>
            <w:tcW w:w="992" w:type="dxa"/>
            <w:vAlign w:val="center"/>
          </w:tcPr>
          <w:p w14:paraId="104F6D63" w14:textId="6D5D2F2B" w:rsidR="0095442F" w:rsidRPr="004D45D2"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Pr>
                <w:color w:val="000000"/>
              </w:rPr>
              <w:t>6,1</w:t>
            </w:r>
          </w:p>
        </w:tc>
      </w:tr>
      <w:tr w:rsidR="0095442F" w:rsidRPr="00976103" w14:paraId="26B46710" w14:textId="77777777" w:rsidTr="00687919">
        <w:trPr>
          <w:trHeight w:val="234"/>
          <w:jc w:val="center"/>
        </w:trPr>
        <w:tc>
          <w:tcPr>
            <w:cnfStyle w:val="001000000000" w:firstRow="0" w:lastRow="0" w:firstColumn="1" w:lastColumn="0" w:oddVBand="0" w:evenVBand="0" w:oddHBand="0" w:evenHBand="0" w:firstRowFirstColumn="0" w:firstRowLastColumn="0" w:lastRowFirstColumn="0" w:lastRowLastColumn="0"/>
            <w:tcW w:w="3681" w:type="dxa"/>
            <w:hideMark/>
          </w:tcPr>
          <w:p w14:paraId="4FF692F6"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7. Bruto alga</w:t>
            </w:r>
            <w:r>
              <w:rPr>
                <w:color w:val="000000"/>
                <w:szCs w:val="24"/>
                <w:lang w:eastAsia="lv-LV"/>
              </w:rPr>
              <w:t xml:space="preserve">, </w:t>
            </w:r>
            <w:r w:rsidRPr="0067207B">
              <w:rPr>
                <w:i/>
                <w:color w:val="000000"/>
                <w:szCs w:val="24"/>
                <w:lang w:eastAsia="lv-LV"/>
              </w:rPr>
              <w:t>euro</w:t>
            </w:r>
          </w:p>
        </w:tc>
        <w:tc>
          <w:tcPr>
            <w:tcW w:w="862" w:type="dxa"/>
            <w:hideMark/>
          </w:tcPr>
          <w:p w14:paraId="4170D609" w14:textId="77777777" w:rsidR="0095442F" w:rsidRPr="00976103" w:rsidRDefault="0095442F" w:rsidP="0095442F">
            <w:pPr>
              <w:spacing w:after="0"/>
              <w:ind w:firstLineChars="100" w:firstLine="240"/>
              <w:jc w:val="righ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w:t>
            </w:r>
          </w:p>
        </w:tc>
        <w:tc>
          <w:tcPr>
            <w:tcW w:w="1548" w:type="dxa"/>
            <w:vAlign w:val="center"/>
          </w:tcPr>
          <w:p w14:paraId="20CFFBFA" w14:textId="10B01AA1"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1 004</w:t>
            </w:r>
          </w:p>
        </w:tc>
        <w:tc>
          <w:tcPr>
            <w:tcW w:w="850" w:type="dxa"/>
            <w:vAlign w:val="center"/>
          </w:tcPr>
          <w:p w14:paraId="66025E17" w14:textId="1C0D6CDE"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8,4</w:t>
            </w:r>
          </w:p>
        </w:tc>
        <w:tc>
          <w:tcPr>
            <w:tcW w:w="851" w:type="dxa"/>
            <w:vAlign w:val="center"/>
          </w:tcPr>
          <w:p w14:paraId="03E08202" w14:textId="55B7294C"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7,5</w:t>
            </w:r>
          </w:p>
        </w:tc>
        <w:tc>
          <w:tcPr>
            <w:tcW w:w="992" w:type="dxa"/>
            <w:vAlign w:val="center"/>
          </w:tcPr>
          <w:p w14:paraId="56E83E8C" w14:textId="2BC8E806" w:rsidR="0095442F" w:rsidRPr="004D45D2"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Pr>
                <w:color w:val="000000"/>
              </w:rPr>
              <w:t>6,0</w:t>
            </w:r>
          </w:p>
        </w:tc>
      </w:tr>
    </w:tbl>
    <w:p w14:paraId="71E2A15C" w14:textId="77777777" w:rsidR="00C32D1D" w:rsidRPr="00976103" w:rsidRDefault="00C32D1D" w:rsidP="00C32D1D">
      <w:pPr>
        <w:ind w:firstLine="0"/>
        <w:jc w:val="left"/>
        <w:rPr>
          <w:szCs w:val="24"/>
        </w:rPr>
      </w:pPr>
    </w:p>
    <w:p w14:paraId="1E552A61" w14:textId="77777777" w:rsidR="00C32D1D" w:rsidRPr="00976103" w:rsidRDefault="00C32D1D" w:rsidP="00C32D1D">
      <w:pPr>
        <w:ind w:firstLine="0"/>
        <w:jc w:val="left"/>
        <w:rPr>
          <w:szCs w:val="24"/>
        </w:rPr>
      </w:pPr>
    </w:p>
    <w:p w14:paraId="44478AB4" w14:textId="77777777" w:rsidR="00C32D1D" w:rsidRPr="001D5709" w:rsidRDefault="00C32D1D" w:rsidP="001D5709">
      <w:pPr>
        <w:pStyle w:val="Heading1"/>
        <w:tabs>
          <w:tab w:val="left" w:pos="1276"/>
        </w:tabs>
        <w:spacing w:before="0" w:after="240"/>
        <w:ind w:firstLine="0"/>
        <w:jc w:val="left"/>
        <w:rPr>
          <w:rFonts w:ascii="Times New Roman" w:hAnsi="Times New Roman"/>
          <w:color w:val="18185E"/>
          <w:sz w:val="24"/>
        </w:rPr>
      </w:pPr>
      <w:bookmarkStart w:id="8" w:name="_Toc21516501"/>
      <w:r w:rsidRPr="001D5709">
        <w:rPr>
          <w:rFonts w:ascii="Times New Roman" w:hAnsi="Times New Roman"/>
          <w:color w:val="18185E"/>
          <w:sz w:val="24"/>
        </w:rPr>
        <w:t>Tabula 1d: Sektoru bilances</w:t>
      </w:r>
      <w:bookmarkEnd w:id="8"/>
    </w:p>
    <w:tbl>
      <w:tblPr>
        <w:tblStyle w:val="GridTable6Colorful-Accent11"/>
        <w:tblW w:w="8784" w:type="dxa"/>
        <w:jc w:val="center"/>
        <w:tblLook w:val="04A0" w:firstRow="1" w:lastRow="0" w:firstColumn="1" w:lastColumn="0" w:noHBand="0" w:noVBand="1"/>
      </w:tblPr>
      <w:tblGrid>
        <w:gridCol w:w="4390"/>
        <w:gridCol w:w="1275"/>
        <w:gridCol w:w="1134"/>
        <w:gridCol w:w="993"/>
        <w:gridCol w:w="992"/>
      </w:tblGrid>
      <w:tr w:rsidR="003822F3" w:rsidRPr="00976103" w14:paraId="03CE30D5" w14:textId="77777777" w:rsidTr="00687919">
        <w:trPr>
          <w:cnfStyle w:val="100000000000" w:firstRow="1" w:lastRow="0" w:firstColumn="0" w:lastColumn="0" w:oddVBand="0" w:evenVBand="0" w:oddHBand="0" w:evenHBand="0" w:firstRowFirstColumn="0" w:firstRowLastColumn="0" w:lastRowFirstColumn="0" w:lastRowLastColumn="0"/>
          <w:trHeight w:val="297"/>
          <w:jc w:val="center"/>
        </w:trPr>
        <w:tc>
          <w:tcPr>
            <w:cnfStyle w:val="001000000000" w:firstRow="0" w:lastRow="0" w:firstColumn="1" w:lastColumn="0" w:oddVBand="0" w:evenVBand="0" w:oddHBand="0" w:evenHBand="0" w:firstRowFirstColumn="0" w:firstRowLastColumn="0" w:lastRowFirstColumn="0" w:lastRowLastColumn="0"/>
            <w:tcW w:w="4390" w:type="dxa"/>
            <w:hideMark/>
          </w:tcPr>
          <w:p w14:paraId="07A0EF77" w14:textId="77777777" w:rsidR="003822F3" w:rsidRPr="00976103" w:rsidRDefault="003822F3" w:rsidP="003822F3">
            <w:pPr>
              <w:spacing w:after="0"/>
              <w:ind w:firstLineChars="100" w:firstLine="240"/>
              <w:jc w:val="right"/>
              <w:rPr>
                <w:color w:val="000000"/>
                <w:szCs w:val="22"/>
                <w:lang w:eastAsia="lv-LV"/>
              </w:rPr>
            </w:pPr>
            <w:r w:rsidRPr="00976103">
              <w:rPr>
                <w:color w:val="000000"/>
                <w:szCs w:val="22"/>
                <w:lang w:eastAsia="lv-LV"/>
              </w:rPr>
              <w:t> </w:t>
            </w:r>
          </w:p>
        </w:tc>
        <w:tc>
          <w:tcPr>
            <w:tcW w:w="1275" w:type="dxa"/>
            <w:vAlign w:val="center"/>
            <w:hideMark/>
          </w:tcPr>
          <w:p w14:paraId="440F5410" w14:textId="77777777" w:rsidR="003822F3" w:rsidRPr="00517C82"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2"/>
                <w:lang w:eastAsia="lv-LV"/>
              </w:rPr>
              <w:t>EKS k</w:t>
            </w:r>
            <w:r w:rsidRPr="00517C82">
              <w:rPr>
                <w:color w:val="000000"/>
                <w:szCs w:val="22"/>
                <w:lang w:eastAsia="lv-LV"/>
              </w:rPr>
              <w:t>ods</w:t>
            </w:r>
          </w:p>
        </w:tc>
        <w:tc>
          <w:tcPr>
            <w:tcW w:w="1134" w:type="dxa"/>
            <w:vAlign w:val="center"/>
            <w:hideMark/>
          </w:tcPr>
          <w:p w14:paraId="1B18CD9F" w14:textId="637C0657" w:rsidR="003822F3" w:rsidRPr="00517C82"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2018</w:t>
            </w:r>
          </w:p>
        </w:tc>
        <w:tc>
          <w:tcPr>
            <w:tcW w:w="993" w:type="dxa"/>
            <w:vAlign w:val="center"/>
            <w:hideMark/>
          </w:tcPr>
          <w:p w14:paraId="2194FE24" w14:textId="74227BC5" w:rsidR="003822F3" w:rsidRPr="00517C82"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2019</w:t>
            </w:r>
          </w:p>
        </w:tc>
        <w:tc>
          <w:tcPr>
            <w:tcW w:w="992" w:type="dxa"/>
            <w:vAlign w:val="center"/>
            <w:hideMark/>
          </w:tcPr>
          <w:p w14:paraId="6BE67973" w14:textId="4396A0C3" w:rsidR="003822F3" w:rsidRPr="00517C82"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000000"/>
                <w:szCs w:val="22"/>
                <w:lang w:eastAsia="lv-LV"/>
              </w:rPr>
            </w:pPr>
            <w:r>
              <w:rPr>
                <w:color w:val="000000"/>
                <w:szCs w:val="24"/>
                <w:lang w:eastAsia="lv-LV"/>
              </w:rPr>
              <w:t>2020</w:t>
            </w:r>
          </w:p>
        </w:tc>
      </w:tr>
      <w:tr w:rsidR="00687919" w:rsidRPr="00976103" w14:paraId="4C49EA15"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hideMark/>
          </w:tcPr>
          <w:p w14:paraId="18341F31" w14:textId="77777777" w:rsidR="00687919" w:rsidRPr="00976103" w:rsidRDefault="00687919" w:rsidP="00F866B5">
            <w:pPr>
              <w:spacing w:after="0"/>
              <w:ind w:firstLineChars="100" w:firstLine="240"/>
              <w:jc w:val="right"/>
              <w:rPr>
                <w:color w:val="000000"/>
                <w:szCs w:val="22"/>
                <w:lang w:eastAsia="lv-LV"/>
              </w:rPr>
            </w:pPr>
            <w:r w:rsidRPr="00976103">
              <w:rPr>
                <w:color w:val="000000"/>
                <w:szCs w:val="22"/>
                <w:lang w:eastAsia="lv-LV"/>
              </w:rPr>
              <w:t> </w:t>
            </w:r>
          </w:p>
        </w:tc>
        <w:tc>
          <w:tcPr>
            <w:tcW w:w="1275" w:type="dxa"/>
            <w:vAlign w:val="center"/>
            <w:hideMark/>
          </w:tcPr>
          <w:p w14:paraId="229D5D0A" w14:textId="77777777" w:rsidR="00687919" w:rsidRPr="00976103" w:rsidRDefault="00687919" w:rsidP="001B0074">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3119" w:type="dxa"/>
            <w:gridSpan w:val="3"/>
            <w:vAlign w:val="center"/>
            <w:hideMark/>
          </w:tcPr>
          <w:p w14:paraId="0A0711FE" w14:textId="77777777" w:rsidR="00687919" w:rsidRPr="00976103" w:rsidRDefault="00687919"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 no IKP</w:t>
            </w:r>
          </w:p>
        </w:tc>
      </w:tr>
      <w:tr w:rsidR="0095442F" w:rsidRPr="00976103" w14:paraId="7C30BD3F" w14:textId="77777777" w:rsidTr="00687919">
        <w:trPr>
          <w:trHeight w:val="49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4AA5F2EE" w14:textId="77777777" w:rsidR="0095442F" w:rsidRPr="00976103" w:rsidRDefault="0095442F" w:rsidP="0095442F">
            <w:pPr>
              <w:spacing w:after="0"/>
              <w:ind w:firstLine="0"/>
              <w:jc w:val="left"/>
              <w:rPr>
                <w:color w:val="000000"/>
                <w:szCs w:val="22"/>
                <w:lang w:eastAsia="lv-LV"/>
              </w:rPr>
            </w:pPr>
            <w:r w:rsidRPr="00976103">
              <w:rPr>
                <w:color w:val="000000"/>
                <w:szCs w:val="22"/>
                <w:lang w:eastAsia="lv-LV"/>
              </w:rPr>
              <w:t>1. Neto aizdevumi/aizņēmumi attiecībā pret pārējām valstīm</w:t>
            </w:r>
          </w:p>
        </w:tc>
        <w:tc>
          <w:tcPr>
            <w:tcW w:w="1275" w:type="dxa"/>
            <w:vAlign w:val="center"/>
            <w:hideMark/>
          </w:tcPr>
          <w:p w14:paraId="5B65835A"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B.9</w:t>
            </w:r>
          </w:p>
        </w:tc>
        <w:tc>
          <w:tcPr>
            <w:tcW w:w="1134" w:type="dxa"/>
            <w:vAlign w:val="center"/>
          </w:tcPr>
          <w:p w14:paraId="606D0D4D" w14:textId="4B39CD11"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0,7</w:t>
            </w:r>
          </w:p>
        </w:tc>
        <w:tc>
          <w:tcPr>
            <w:tcW w:w="993" w:type="dxa"/>
            <w:vAlign w:val="center"/>
          </w:tcPr>
          <w:p w14:paraId="52A43B9B" w14:textId="6B786C1C"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2,5</w:t>
            </w:r>
          </w:p>
        </w:tc>
        <w:tc>
          <w:tcPr>
            <w:tcW w:w="992" w:type="dxa"/>
            <w:vAlign w:val="center"/>
          </w:tcPr>
          <w:p w14:paraId="018F9416" w14:textId="598B1C01"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2,1</w:t>
            </w:r>
          </w:p>
        </w:tc>
      </w:tr>
      <w:tr w:rsidR="0095442F" w:rsidRPr="00976103" w14:paraId="37B4088B"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4D90EFF" w14:textId="77777777" w:rsidR="0095442F" w:rsidRPr="00976103" w:rsidRDefault="0095442F" w:rsidP="0095442F">
            <w:pPr>
              <w:spacing w:after="0"/>
              <w:ind w:firstLine="0"/>
              <w:jc w:val="left"/>
              <w:rPr>
                <w:color w:val="000000"/>
                <w:szCs w:val="22"/>
                <w:lang w:eastAsia="lv-LV"/>
              </w:rPr>
            </w:pPr>
            <w:r w:rsidRPr="00976103">
              <w:rPr>
                <w:color w:val="000000"/>
                <w:szCs w:val="22"/>
                <w:lang w:eastAsia="lv-LV"/>
              </w:rPr>
              <w:t>no kā</w:t>
            </w:r>
          </w:p>
        </w:tc>
        <w:tc>
          <w:tcPr>
            <w:tcW w:w="1275" w:type="dxa"/>
            <w:vAlign w:val="center"/>
            <w:hideMark/>
          </w:tcPr>
          <w:p w14:paraId="462154C8" w14:textId="77777777" w:rsidR="0095442F" w:rsidRPr="00976103"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07BE5826" w14:textId="4584181A"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 </w:t>
            </w:r>
          </w:p>
        </w:tc>
        <w:tc>
          <w:tcPr>
            <w:tcW w:w="993" w:type="dxa"/>
            <w:vAlign w:val="center"/>
          </w:tcPr>
          <w:p w14:paraId="2C4854F7" w14:textId="6F1B5B82"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 </w:t>
            </w:r>
          </w:p>
        </w:tc>
        <w:tc>
          <w:tcPr>
            <w:tcW w:w="992" w:type="dxa"/>
            <w:vAlign w:val="center"/>
          </w:tcPr>
          <w:p w14:paraId="6DF0532E" w14:textId="197F8A9C"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 </w:t>
            </w:r>
          </w:p>
        </w:tc>
      </w:tr>
      <w:tr w:rsidR="0095442F" w:rsidRPr="00976103" w14:paraId="7CCF10F5" w14:textId="77777777" w:rsidTr="00687919">
        <w:trPr>
          <w:trHeight w:val="21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10B887A7" w14:textId="77777777" w:rsidR="0095442F" w:rsidRPr="00976103" w:rsidRDefault="0095442F" w:rsidP="0095442F">
            <w:pPr>
              <w:spacing w:after="0"/>
              <w:ind w:firstLine="0"/>
              <w:jc w:val="left"/>
              <w:rPr>
                <w:color w:val="000000"/>
                <w:szCs w:val="22"/>
                <w:lang w:eastAsia="lv-LV"/>
              </w:rPr>
            </w:pPr>
            <w:r w:rsidRPr="00976103">
              <w:rPr>
                <w:color w:val="000000"/>
                <w:szCs w:val="22"/>
                <w:lang w:eastAsia="lv-LV"/>
              </w:rPr>
              <w:t>Preču un pakalpojumu bilance</w:t>
            </w:r>
          </w:p>
        </w:tc>
        <w:tc>
          <w:tcPr>
            <w:tcW w:w="1275" w:type="dxa"/>
            <w:vAlign w:val="center"/>
            <w:hideMark/>
          </w:tcPr>
          <w:p w14:paraId="1238CC44" w14:textId="77777777" w:rsidR="0095442F" w:rsidRPr="00976103"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1134" w:type="dxa"/>
            <w:vAlign w:val="center"/>
          </w:tcPr>
          <w:p w14:paraId="280101D4" w14:textId="791F1F76"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-0,6</w:t>
            </w:r>
          </w:p>
        </w:tc>
        <w:tc>
          <w:tcPr>
            <w:tcW w:w="993" w:type="dxa"/>
            <w:vAlign w:val="center"/>
          </w:tcPr>
          <w:p w14:paraId="49AFF38A" w14:textId="35FD5FAC"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1,0</w:t>
            </w:r>
          </w:p>
        </w:tc>
        <w:tc>
          <w:tcPr>
            <w:tcW w:w="992" w:type="dxa"/>
            <w:vAlign w:val="center"/>
          </w:tcPr>
          <w:p w14:paraId="7E1EC095" w14:textId="0505BA95"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1,0</w:t>
            </w:r>
          </w:p>
        </w:tc>
      </w:tr>
      <w:tr w:rsidR="0095442F" w:rsidRPr="00976103" w14:paraId="5D81AAC7" w14:textId="77777777" w:rsidTr="0068791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2ECA7886" w14:textId="77777777" w:rsidR="0095442F" w:rsidRPr="00976103" w:rsidRDefault="0095442F" w:rsidP="0095442F">
            <w:pPr>
              <w:spacing w:after="0"/>
              <w:ind w:firstLine="0"/>
              <w:jc w:val="left"/>
              <w:rPr>
                <w:color w:val="000000"/>
                <w:szCs w:val="22"/>
                <w:lang w:eastAsia="lv-LV"/>
              </w:rPr>
            </w:pPr>
            <w:r w:rsidRPr="00976103">
              <w:rPr>
                <w:color w:val="000000"/>
                <w:szCs w:val="22"/>
                <w:lang w:eastAsia="lv-LV"/>
              </w:rPr>
              <w:t>Primāro ienākumu un transfēru bilance</w:t>
            </w:r>
          </w:p>
        </w:tc>
        <w:tc>
          <w:tcPr>
            <w:tcW w:w="1275" w:type="dxa"/>
            <w:vAlign w:val="center"/>
            <w:hideMark/>
          </w:tcPr>
          <w:p w14:paraId="287E675A" w14:textId="77777777" w:rsidR="0095442F" w:rsidRPr="00976103"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144FA3CA" w14:textId="1BDDFF4D"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-0,5</w:t>
            </w:r>
          </w:p>
        </w:tc>
        <w:tc>
          <w:tcPr>
            <w:tcW w:w="993" w:type="dxa"/>
            <w:vAlign w:val="center"/>
          </w:tcPr>
          <w:p w14:paraId="4E4B49C8" w14:textId="16F16644"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-0,2</w:t>
            </w:r>
          </w:p>
        </w:tc>
        <w:tc>
          <w:tcPr>
            <w:tcW w:w="992" w:type="dxa"/>
            <w:vAlign w:val="center"/>
          </w:tcPr>
          <w:p w14:paraId="395A6FD9" w14:textId="309A6349"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-0,4</w:t>
            </w:r>
          </w:p>
        </w:tc>
      </w:tr>
      <w:tr w:rsidR="0095442F" w:rsidRPr="00976103" w14:paraId="50C013FB" w14:textId="77777777" w:rsidTr="00687919">
        <w:trPr>
          <w:trHeight w:val="269"/>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5281710E" w14:textId="77777777" w:rsidR="0095442F" w:rsidRPr="00976103" w:rsidRDefault="0095442F" w:rsidP="0095442F">
            <w:pPr>
              <w:spacing w:after="0"/>
              <w:ind w:firstLine="0"/>
              <w:jc w:val="left"/>
              <w:rPr>
                <w:color w:val="000000"/>
                <w:szCs w:val="22"/>
                <w:lang w:eastAsia="lv-LV"/>
              </w:rPr>
            </w:pPr>
            <w:r w:rsidRPr="00976103">
              <w:rPr>
                <w:color w:val="000000"/>
                <w:szCs w:val="22"/>
                <w:lang w:eastAsia="lv-LV"/>
              </w:rPr>
              <w:t>Kapitāla konts</w:t>
            </w:r>
          </w:p>
        </w:tc>
        <w:tc>
          <w:tcPr>
            <w:tcW w:w="1275" w:type="dxa"/>
            <w:vAlign w:val="center"/>
            <w:hideMark/>
          </w:tcPr>
          <w:p w14:paraId="4ADAFAFB" w14:textId="77777777" w:rsidR="0095442F" w:rsidRPr="00976103"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p>
        </w:tc>
        <w:tc>
          <w:tcPr>
            <w:tcW w:w="1134" w:type="dxa"/>
            <w:vAlign w:val="center"/>
          </w:tcPr>
          <w:p w14:paraId="4DDB414E" w14:textId="7AFE641E"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1,8</w:t>
            </w:r>
          </w:p>
        </w:tc>
        <w:tc>
          <w:tcPr>
            <w:tcW w:w="993" w:type="dxa"/>
            <w:vAlign w:val="center"/>
          </w:tcPr>
          <w:p w14:paraId="6F652A2B" w14:textId="06B6BF8B"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1,6</w:t>
            </w:r>
          </w:p>
        </w:tc>
        <w:tc>
          <w:tcPr>
            <w:tcW w:w="992" w:type="dxa"/>
            <w:vAlign w:val="center"/>
          </w:tcPr>
          <w:p w14:paraId="170FB5D9" w14:textId="22E338E1"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1,5</w:t>
            </w:r>
          </w:p>
        </w:tc>
      </w:tr>
      <w:tr w:rsidR="0095442F" w:rsidRPr="00976103" w14:paraId="2F551827" w14:textId="77777777" w:rsidTr="00687919">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73CB6F54" w14:textId="77777777" w:rsidR="0095442F" w:rsidRPr="00976103" w:rsidRDefault="0095442F" w:rsidP="0095442F">
            <w:pPr>
              <w:spacing w:after="0"/>
              <w:ind w:firstLine="0"/>
              <w:jc w:val="left"/>
              <w:rPr>
                <w:color w:val="000000"/>
                <w:szCs w:val="22"/>
                <w:lang w:eastAsia="lv-LV"/>
              </w:rPr>
            </w:pPr>
            <w:r w:rsidRPr="00976103">
              <w:rPr>
                <w:color w:val="000000"/>
                <w:szCs w:val="22"/>
                <w:lang w:eastAsia="lv-LV"/>
              </w:rPr>
              <w:t>2. Neto aizdevumi/aizņēmumi privātajā sektorā</w:t>
            </w:r>
          </w:p>
        </w:tc>
        <w:tc>
          <w:tcPr>
            <w:tcW w:w="1275" w:type="dxa"/>
            <w:vAlign w:val="center"/>
            <w:hideMark/>
          </w:tcPr>
          <w:p w14:paraId="5E7ADFFA"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r w:rsidRPr="00976103">
              <w:rPr>
                <w:color w:val="000000"/>
                <w:szCs w:val="22"/>
                <w:lang w:eastAsia="lv-LV"/>
              </w:rPr>
              <w:t>B.9</w:t>
            </w:r>
          </w:p>
        </w:tc>
        <w:tc>
          <w:tcPr>
            <w:tcW w:w="1134" w:type="dxa"/>
            <w:vAlign w:val="center"/>
          </w:tcPr>
          <w:p w14:paraId="2AEF5A68" w14:textId="4F449C1A"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1,7</w:t>
            </w:r>
          </w:p>
        </w:tc>
        <w:tc>
          <w:tcPr>
            <w:tcW w:w="993" w:type="dxa"/>
            <w:vAlign w:val="center"/>
          </w:tcPr>
          <w:p w14:paraId="3B6C006D" w14:textId="38492D63"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3,0</w:t>
            </w:r>
          </w:p>
        </w:tc>
        <w:tc>
          <w:tcPr>
            <w:tcW w:w="992" w:type="dxa"/>
            <w:vAlign w:val="center"/>
          </w:tcPr>
          <w:p w14:paraId="39593BBA" w14:textId="5C010B93"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2,4</w:t>
            </w:r>
          </w:p>
        </w:tc>
      </w:tr>
      <w:tr w:rsidR="0095442F" w:rsidRPr="00976103" w14:paraId="51EF68FB" w14:textId="77777777" w:rsidTr="00687919">
        <w:trPr>
          <w:trHeight w:val="267"/>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6E8C51E1" w14:textId="77777777" w:rsidR="0095442F" w:rsidRPr="00976103" w:rsidRDefault="0095442F" w:rsidP="0095442F">
            <w:pPr>
              <w:spacing w:after="0"/>
              <w:ind w:firstLine="0"/>
              <w:jc w:val="left"/>
              <w:rPr>
                <w:color w:val="000000"/>
                <w:szCs w:val="22"/>
                <w:lang w:eastAsia="lv-LV"/>
              </w:rPr>
            </w:pPr>
            <w:r w:rsidRPr="00976103">
              <w:rPr>
                <w:color w:val="000000"/>
                <w:szCs w:val="22"/>
                <w:lang w:eastAsia="lv-LV"/>
              </w:rPr>
              <w:t>3. Neto aizdevumi/aizņēmumi valdības sektorā</w:t>
            </w:r>
          </w:p>
        </w:tc>
        <w:tc>
          <w:tcPr>
            <w:tcW w:w="1275" w:type="dxa"/>
            <w:vAlign w:val="center"/>
            <w:hideMark/>
          </w:tcPr>
          <w:p w14:paraId="182E0A0B"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2"/>
                <w:lang w:eastAsia="lv-LV"/>
              </w:rPr>
            </w:pPr>
            <w:r w:rsidRPr="00976103">
              <w:rPr>
                <w:color w:val="000000"/>
                <w:szCs w:val="22"/>
                <w:lang w:eastAsia="lv-LV"/>
              </w:rPr>
              <w:t>EDP B.9</w:t>
            </w:r>
          </w:p>
        </w:tc>
        <w:tc>
          <w:tcPr>
            <w:tcW w:w="1134" w:type="dxa"/>
            <w:vAlign w:val="center"/>
          </w:tcPr>
          <w:p w14:paraId="394411A7" w14:textId="5C82ABE6"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-1,0</w:t>
            </w:r>
          </w:p>
        </w:tc>
        <w:tc>
          <w:tcPr>
            <w:tcW w:w="993" w:type="dxa"/>
            <w:vAlign w:val="center"/>
          </w:tcPr>
          <w:p w14:paraId="0365FC5A" w14:textId="33C4865C"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-0,5</w:t>
            </w:r>
          </w:p>
        </w:tc>
        <w:tc>
          <w:tcPr>
            <w:tcW w:w="992" w:type="dxa"/>
            <w:vAlign w:val="center"/>
          </w:tcPr>
          <w:p w14:paraId="7A8EC383" w14:textId="1E93049E" w:rsidR="0095442F" w:rsidRPr="0095442F" w:rsidRDefault="0095442F" w:rsidP="0095442F">
            <w:pPr>
              <w:spacing w:after="0"/>
              <w:ind w:firstLineChars="100" w:firstLine="24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-0,3</w:t>
            </w:r>
          </w:p>
        </w:tc>
      </w:tr>
      <w:tr w:rsidR="0095442F" w:rsidRPr="00976103" w14:paraId="51B7638E"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390" w:type="dxa"/>
            <w:vAlign w:val="center"/>
            <w:hideMark/>
          </w:tcPr>
          <w:p w14:paraId="689B50B4" w14:textId="77777777" w:rsidR="0095442F" w:rsidRPr="00976103" w:rsidRDefault="0095442F" w:rsidP="0095442F">
            <w:pPr>
              <w:spacing w:after="0"/>
              <w:ind w:firstLine="0"/>
              <w:jc w:val="left"/>
              <w:rPr>
                <w:color w:val="000000"/>
                <w:szCs w:val="22"/>
                <w:lang w:eastAsia="lv-LV"/>
              </w:rPr>
            </w:pPr>
            <w:r w:rsidRPr="00976103">
              <w:rPr>
                <w:color w:val="000000"/>
                <w:szCs w:val="22"/>
                <w:lang w:eastAsia="lv-LV"/>
              </w:rPr>
              <w:t>4. Statistiskā novirze</w:t>
            </w:r>
          </w:p>
        </w:tc>
        <w:tc>
          <w:tcPr>
            <w:tcW w:w="1275" w:type="dxa"/>
            <w:vAlign w:val="center"/>
            <w:hideMark/>
          </w:tcPr>
          <w:p w14:paraId="2973FC55" w14:textId="77777777" w:rsidR="0095442F" w:rsidRPr="00976103"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2"/>
                <w:lang w:eastAsia="lv-LV"/>
              </w:rPr>
            </w:pPr>
          </w:p>
        </w:tc>
        <w:tc>
          <w:tcPr>
            <w:tcW w:w="1134" w:type="dxa"/>
            <w:vAlign w:val="center"/>
          </w:tcPr>
          <w:p w14:paraId="61A414C8" w14:textId="66F5D0CD"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0,0</w:t>
            </w:r>
          </w:p>
        </w:tc>
        <w:tc>
          <w:tcPr>
            <w:tcW w:w="993" w:type="dxa"/>
            <w:vAlign w:val="center"/>
          </w:tcPr>
          <w:p w14:paraId="6EBE1691" w14:textId="761A46D9"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0,0</w:t>
            </w:r>
          </w:p>
        </w:tc>
        <w:tc>
          <w:tcPr>
            <w:tcW w:w="992" w:type="dxa"/>
            <w:vAlign w:val="center"/>
          </w:tcPr>
          <w:p w14:paraId="0D74B7AF" w14:textId="15BE7C5E" w:rsidR="0095442F" w:rsidRPr="0095442F" w:rsidRDefault="0095442F" w:rsidP="0095442F">
            <w:pPr>
              <w:spacing w:after="0"/>
              <w:ind w:firstLineChars="100" w:firstLine="24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0,0</w:t>
            </w:r>
          </w:p>
        </w:tc>
      </w:tr>
    </w:tbl>
    <w:p w14:paraId="03731428" w14:textId="77777777" w:rsidR="005904B9" w:rsidRDefault="005904B9">
      <w:pPr>
        <w:spacing w:after="0"/>
        <w:ind w:firstLine="0"/>
        <w:jc w:val="left"/>
        <w:rPr>
          <w:b/>
          <w:bCs/>
          <w:color w:val="18185E"/>
          <w:sz w:val="28"/>
          <w:szCs w:val="28"/>
          <w:lang w:val="x-none" w:eastAsia="x-none"/>
        </w:rPr>
      </w:pPr>
    </w:p>
    <w:p w14:paraId="70D906A3" w14:textId="77777777" w:rsidR="0095691A" w:rsidRPr="009A30F6" w:rsidRDefault="00DE25FE" w:rsidP="00375924">
      <w:pPr>
        <w:pStyle w:val="Heading1"/>
        <w:tabs>
          <w:tab w:val="left" w:pos="1276"/>
        </w:tabs>
        <w:spacing w:before="0" w:after="240"/>
        <w:jc w:val="center"/>
        <w:rPr>
          <w:rFonts w:ascii="Times New Roman" w:hAnsi="Times New Roman"/>
          <w:color w:val="18185E"/>
          <w:sz w:val="28"/>
          <w:lang w:val="lv-LV"/>
        </w:rPr>
      </w:pPr>
      <w:bookmarkStart w:id="9" w:name="_Toc21516502"/>
      <w:r w:rsidRPr="006B2FB4">
        <w:rPr>
          <w:rFonts w:ascii="Times New Roman" w:hAnsi="Times New Roman"/>
          <w:color w:val="18185E"/>
          <w:sz w:val="28"/>
        </w:rPr>
        <w:lastRenderedPageBreak/>
        <w:t>Fiskālā stratēģija un strukturālās bilances mērķi</w:t>
      </w:r>
      <w:bookmarkEnd w:id="9"/>
    </w:p>
    <w:p w14:paraId="113A548E" w14:textId="77777777" w:rsidR="00741547" w:rsidRDefault="00741547" w:rsidP="00741547">
      <w:pPr>
        <w:spacing w:after="0"/>
        <w:rPr>
          <w:szCs w:val="24"/>
        </w:rPr>
      </w:pPr>
    </w:p>
    <w:p w14:paraId="6D428DA9" w14:textId="77777777" w:rsidR="00C377B9" w:rsidRPr="002551D1" w:rsidRDefault="00C377B9" w:rsidP="00C377B9">
      <w:pPr>
        <w:spacing w:after="0"/>
        <w:rPr>
          <w:szCs w:val="24"/>
        </w:rPr>
      </w:pPr>
      <w:r w:rsidRPr="002551D1">
        <w:rPr>
          <w:szCs w:val="24"/>
        </w:rPr>
        <w:t>Latvijas fiskālās politikas principi, VTM un pielietotās atkāpes no VTM nav mainīti un ir aprakstīti Stabilitātes programmā 2019.–2022.gadam.</w:t>
      </w:r>
    </w:p>
    <w:p w14:paraId="2D416EED" w14:textId="77777777" w:rsidR="00C377B9" w:rsidRPr="002551D1" w:rsidRDefault="00C377B9" w:rsidP="00C377B9">
      <w:pPr>
        <w:spacing w:after="0"/>
        <w:rPr>
          <w:szCs w:val="24"/>
        </w:rPr>
      </w:pPr>
      <w:r w:rsidRPr="002551D1">
        <w:rPr>
          <w:szCs w:val="24"/>
        </w:rPr>
        <w:t>Latvijas fiskālās politikas vispārējais mērķis – ilgtspējīgi paaugstināt Latvijas iedzīvotāju dzīves kvalitāti – tiek saglabāts un to īsteno ar šādiem vidēja termiņa budžeta politikas prioritārajiem attīstības virzieniem:</w:t>
      </w:r>
    </w:p>
    <w:p w14:paraId="42494E8B" w14:textId="77777777" w:rsidR="00C377B9" w:rsidRPr="002551D1" w:rsidRDefault="00C377B9" w:rsidP="00C377B9">
      <w:pPr>
        <w:pStyle w:val="ListParagraph"/>
        <w:numPr>
          <w:ilvl w:val="0"/>
          <w:numId w:val="39"/>
        </w:numPr>
        <w:spacing w:after="0" w:line="240" w:lineRule="auto"/>
        <w:jc w:val="both"/>
        <w:rPr>
          <w:rFonts w:ascii="Times New Roman" w:hAnsi="Times New Roman"/>
          <w:sz w:val="24"/>
          <w:szCs w:val="24"/>
          <w:lang w:val="lv-LV"/>
        </w:rPr>
      </w:pPr>
      <w:r w:rsidRPr="002551D1">
        <w:rPr>
          <w:rFonts w:ascii="Times New Roman" w:hAnsi="Times New Roman"/>
          <w:sz w:val="24"/>
          <w:szCs w:val="24"/>
          <w:lang w:val="lv-LV"/>
        </w:rPr>
        <w:t>iedzīvotāju ienākumu nevienlīdzības mazināšana, palielinot minimālo mēneša darba algu, palielinot iedzīvotāju ienākuma nodokļa gada diferencēto neapliekamo minimumu, paaugstinot minimālo ienākumu līmeni un tuvinot pensiju pieaugumu apdrošināšanas iemaksu algu summas pieaugumam;</w:t>
      </w:r>
    </w:p>
    <w:p w14:paraId="1156F92D" w14:textId="77777777" w:rsidR="00C377B9" w:rsidRPr="002551D1" w:rsidRDefault="00C377B9" w:rsidP="00C377B9">
      <w:pPr>
        <w:pStyle w:val="ListParagraph"/>
        <w:numPr>
          <w:ilvl w:val="0"/>
          <w:numId w:val="39"/>
        </w:numPr>
        <w:spacing w:after="0" w:line="240" w:lineRule="auto"/>
        <w:jc w:val="both"/>
        <w:rPr>
          <w:rFonts w:ascii="Times New Roman" w:hAnsi="Times New Roman"/>
          <w:sz w:val="24"/>
          <w:szCs w:val="24"/>
          <w:lang w:val="lv-LV"/>
        </w:rPr>
      </w:pPr>
      <w:r w:rsidRPr="002551D1">
        <w:rPr>
          <w:rFonts w:ascii="Times New Roman" w:hAnsi="Times New Roman"/>
          <w:sz w:val="24"/>
          <w:szCs w:val="24"/>
          <w:lang w:val="lv-LV"/>
        </w:rPr>
        <w:t>valsts cilvēkkapitāla palielināšana, palielinot publisko finansējumu un veicot reformas veselības nozarē, izglītībā un zinātnē;</w:t>
      </w:r>
    </w:p>
    <w:p w14:paraId="50A1DC2F" w14:textId="77777777" w:rsidR="00C377B9" w:rsidRPr="002551D1" w:rsidRDefault="00C377B9" w:rsidP="00C377B9">
      <w:pPr>
        <w:pStyle w:val="ListParagraph"/>
        <w:numPr>
          <w:ilvl w:val="0"/>
          <w:numId w:val="39"/>
        </w:numPr>
        <w:spacing w:after="0" w:line="240" w:lineRule="auto"/>
        <w:jc w:val="both"/>
        <w:rPr>
          <w:rFonts w:ascii="Times New Roman" w:hAnsi="Times New Roman"/>
          <w:sz w:val="24"/>
          <w:szCs w:val="24"/>
          <w:lang w:val="lv-LV"/>
        </w:rPr>
      </w:pPr>
      <w:r w:rsidRPr="002551D1">
        <w:rPr>
          <w:rFonts w:ascii="Times New Roman" w:hAnsi="Times New Roman"/>
          <w:sz w:val="24"/>
          <w:szCs w:val="24"/>
          <w:lang w:val="lv-LV"/>
        </w:rPr>
        <w:t>valsts aktīvu atjaunošana, nodrošinot finansējumu jaunu pasažieru vilcienu iegādei, jauna cietuma būvniecībai un autoceļu atjaunošanai;</w:t>
      </w:r>
    </w:p>
    <w:p w14:paraId="6C88D0B0" w14:textId="77777777" w:rsidR="00C377B9" w:rsidRPr="002551D1" w:rsidRDefault="00C377B9" w:rsidP="00C377B9">
      <w:pPr>
        <w:pStyle w:val="ListParagraph"/>
        <w:numPr>
          <w:ilvl w:val="0"/>
          <w:numId w:val="39"/>
        </w:numPr>
        <w:spacing w:after="0" w:line="240" w:lineRule="auto"/>
        <w:jc w:val="both"/>
        <w:rPr>
          <w:rFonts w:ascii="Times New Roman" w:hAnsi="Times New Roman"/>
          <w:sz w:val="24"/>
          <w:szCs w:val="24"/>
          <w:lang w:val="lv-LV"/>
        </w:rPr>
      </w:pPr>
      <w:r w:rsidRPr="002551D1">
        <w:rPr>
          <w:rFonts w:ascii="Times New Roman" w:hAnsi="Times New Roman"/>
          <w:sz w:val="24"/>
          <w:szCs w:val="24"/>
          <w:lang w:val="lv-LV"/>
        </w:rPr>
        <w:t>publisko finanšu izlietojuma efektivitātes palielināšana, veicot administratīvi teritoriālo reformu.</w:t>
      </w:r>
    </w:p>
    <w:p w14:paraId="57BAD311" w14:textId="77777777" w:rsidR="00C377B9" w:rsidRPr="002551D1" w:rsidRDefault="00C377B9" w:rsidP="00C377B9">
      <w:pPr>
        <w:spacing w:after="0"/>
        <w:ind w:firstLine="720"/>
        <w:rPr>
          <w:szCs w:val="24"/>
        </w:rPr>
      </w:pPr>
      <w:r w:rsidRPr="002551D1">
        <w:rPr>
          <w:szCs w:val="24"/>
        </w:rPr>
        <w:t>Latvijas vidēja termiņa budžeta politikas prioritār</w:t>
      </w:r>
      <w:r>
        <w:rPr>
          <w:szCs w:val="24"/>
        </w:rPr>
        <w:t>ie</w:t>
      </w:r>
      <w:r w:rsidRPr="002551D1">
        <w:rPr>
          <w:szCs w:val="24"/>
        </w:rPr>
        <w:t xml:space="preserve"> attīstības virzieni</w:t>
      </w:r>
      <w:r w:rsidRPr="002551D1" w:rsidDel="00214BEF">
        <w:rPr>
          <w:szCs w:val="24"/>
        </w:rPr>
        <w:t xml:space="preserve"> </w:t>
      </w:r>
      <w:r w:rsidRPr="002551D1">
        <w:rPr>
          <w:szCs w:val="24"/>
        </w:rPr>
        <w:t xml:space="preserve">norāda galvenos izaicinājumus valstī, kuriem ir nepieciešams rast risinājumu un kuru risināšana ir iespējama, īstenojot konsekventu politiku vairāku gadu garumā. Vidēja termiņa budžeta politikas attīstības virzienos </w:t>
      </w:r>
      <w:r>
        <w:rPr>
          <w:szCs w:val="24"/>
        </w:rPr>
        <w:t>nav iekļauti jautājumi</w:t>
      </w:r>
      <w:r w:rsidRPr="002551D1">
        <w:rPr>
          <w:szCs w:val="24"/>
        </w:rPr>
        <w:t xml:space="preserve">, kurus var uzskatīt par atrisinātiem. Tāpat vidēja termiņa budžeta prioritārie attīstības virzieni nav tieši korelēti ar kādai nozarei no fiskālās telpas piešķirtā finansējuma apjomu, piemēram, tad, ja papildus finansējums ir piešķirts esošo politiku īstenošanai lielākā apjomā, bet nav saistīts </w:t>
      </w:r>
      <w:r>
        <w:rPr>
          <w:szCs w:val="24"/>
        </w:rPr>
        <w:t xml:space="preserve">ar </w:t>
      </w:r>
      <w:r w:rsidRPr="002551D1">
        <w:rPr>
          <w:szCs w:val="24"/>
        </w:rPr>
        <w:t>politikas izmaiņu.</w:t>
      </w:r>
    </w:p>
    <w:p w14:paraId="35401901" w14:textId="07E79C88" w:rsidR="00C377B9" w:rsidRPr="002551D1" w:rsidRDefault="00C377B9" w:rsidP="00C377B9">
      <w:pPr>
        <w:spacing w:after="0"/>
        <w:ind w:firstLine="720"/>
        <w:rPr>
          <w:szCs w:val="24"/>
        </w:rPr>
      </w:pPr>
      <w:r w:rsidRPr="002551D1">
        <w:rPr>
          <w:szCs w:val="24"/>
        </w:rPr>
        <w:t xml:space="preserve">2020.gada budžeta izstrāde tika uzsākta ar negatīvu fiskālo telpu -25,0 milj. </w:t>
      </w:r>
      <w:r w:rsidRPr="002551D1">
        <w:rPr>
          <w:i/>
          <w:szCs w:val="24"/>
        </w:rPr>
        <w:t>euro</w:t>
      </w:r>
      <w:r w:rsidRPr="002551D1">
        <w:rPr>
          <w:szCs w:val="24"/>
        </w:rPr>
        <w:t xml:space="preserve"> apmērā, ko lielā mērā noteica Rīgas pašvaldības SIA “Rīgas Satiksme” paredzamā pieklasificēšana vispār</w:t>
      </w:r>
      <w:r>
        <w:rPr>
          <w:szCs w:val="24"/>
        </w:rPr>
        <w:t>ējās valdības sektoram ar 2020.</w:t>
      </w:r>
      <w:r w:rsidRPr="002551D1">
        <w:rPr>
          <w:szCs w:val="24"/>
        </w:rPr>
        <w:t xml:space="preserve">gada aprīli. </w:t>
      </w:r>
      <w:r>
        <w:rPr>
          <w:szCs w:val="24"/>
        </w:rPr>
        <w:t>MK</w:t>
      </w:r>
      <w:r w:rsidRPr="002551D1">
        <w:rPr>
          <w:szCs w:val="24"/>
        </w:rPr>
        <w:t xml:space="preserve"> pieņēma lēmumus par diskrecionārajiem ieņēmumu un izdevumu pasākumiem, lai nodrošinātu gan negatīvās fiskālās telpas likvidēšanu, gan arī piešķirtu finansējumu ministriju izvirzītajām prioritātēm.</w:t>
      </w:r>
    </w:p>
    <w:p w14:paraId="24B8E786" w14:textId="34D2CF00" w:rsidR="00C377B9" w:rsidRPr="002551D1" w:rsidRDefault="00C377B9" w:rsidP="00C377B9">
      <w:pPr>
        <w:spacing w:after="0"/>
        <w:rPr>
          <w:szCs w:val="24"/>
        </w:rPr>
      </w:pPr>
      <w:r w:rsidRPr="002551D1">
        <w:rPr>
          <w:szCs w:val="24"/>
        </w:rPr>
        <w:t>Papildu resursi prioritāšu finansēšanai tika nodrošināti arī īstenojot valsts budžeta bāzes izdevumu pārskatīšanu, kas ļāva nodrošināt papildu līdzekļus gan pašu nozaru prioritāšu finansēšanai, gan arī kopējo valdības prioritāšu finansēšanai.</w:t>
      </w:r>
    </w:p>
    <w:p w14:paraId="6496BD32" w14:textId="354BE06A" w:rsidR="00C377B9" w:rsidRPr="002551D1" w:rsidRDefault="00C377B9" w:rsidP="00C377B9">
      <w:pPr>
        <w:spacing w:after="0"/>
        <w:rPr>
          <w:szCs w:val="24"/>
        </w:rPr>
      </w:pPr>
      <w:r w:rsidRPr="002551D1">
        <w:rPr>
          <w:szCs w:val="24"/>
        </w:rPr>
        <w:t>Tabulā Nr.3 sniegtie fiskālie dati ir sagatavoti pie nemainīgas politikas scenārija, kas ietver likumā „Par vidēja termiņa budžeta ietvaru 2018., 2019. un 2020.gadam” iekļautos 2020.gada diskrecionāros ieņēmumu un izdevumu pasākumus, kā arī politikas lēmumus,</w:t>
      </w:r>
      <w:r w:rsidR="00750A66">
        <w:rPr>
          <w:szCs w:val="24"/>
        </w:rPr>
        <w:t xml:space="preserve"> kas iekļauti 2019.</w:t>
      </w:r>
      <w:r w:rsidRPr="002551D1">
        <w:rPr>
          <w:szCs w:val="24"/>
        </w:rPr>
        <w:t>gada valsts budžeta likumā u</w:t>
      </w:r>
      <w:r>
        <w:rPr>
          <w:szCs w:val="24"/>
        </w:rPr>
        <w:t>n attiecas uz 2020.</w:t>
      </w:r>
      <w:r w:rsidRPr="002551D1">
        <w:rPr>
          <w:szCs w:val="24"/>
        </w:rPr>
        <w:t xml:space="preserve">gadu. </w:t>
      </w:r>
      <w:r>
        <w:rPr>
          <w:szCs w:val="24"/>
        </w:rPr>
        <w:t>MK</w:t>
      </w:r>
      <w:r w:rsidRPr="002551D1">
        <w:rPr>
          <w:szCs w:val="24"/>
        </w:rPr>
        <w:t xml:space="preserve"> pieņemtie diskrecionārie ieņēmumu un izdevum</w:t>
      </w:r>
      <w:r w:rsidR="00750A66">
        <w:rPr>
          <w:szCs w:val="24"/>
        </w:rPr>
        <w:t>u pasākumi ir norādīti tabulās N</w:t>
      </w:r>
      <w:r w:rsidRPr="002551D1">
        <w:rPr>
          <w:szCs w:val="24"/>
        </w:rPr>
        <w:t xml:space="preserve">r.5. Vienlaikus, tabulās </w:t>
      </w:r>
      <w:r w:rsidR="00750A66">
        <w:rPr>
          <w:szCs w:val="24"/>
        </w:rPr>
        <w:t>N</w:t>
      </w:r>
      <w:r w:rsidRPr="002551D1">
        <w:rPr>
          <w:szCs w:val="24"/>
        </w:rPr>
        <w:t xml:space="preserve">r.5 kā atsevišķa sadaļa ir iekļautas tādas korekcijas fiskālajā scenārijā, kuras ir bijis nepieciešams veikt saistībā ar </w:t>
      </w:r>
      <w:r>
        <w:rPr>
          <w:szCs w:val="24"/>
        </w:rPr>
        <w:t>MK</w:t>
      </w:r>
      <w:r w:rsidRPr="002551D1">
        <w:rPr>
          <w:szCs w:val="24"/>
        </w:rPr>
        <w:t xml:space="preserve"> pieņemtajiem diskrecionārajiem lēmumiem, lai korekti atspoguļoti </w:t>
      </w:r>
      <w:r>
        <w:rPr>
          <w:szCs w:val="24"/>
        </w:rPr>
        <w:t>MK</w:t>
      </w:r>
      <w:r w:rsidRPr="002551D1">
        <w:rPr>
          <w:szCs w:val="24"/>
        </w:rPr>
        <w:t xml:space="preserve"> pieņemto lēmumu fiskālo ietekmi gan kopumā vispārējās valdības budžeta līmenī, gan vispārējās valdības budžeta apakšlīmeņos. Tādējādi vienuviet tiek nodrošināts uzskatāms izmaiņu atspoguļojumu starp nemainīgas un mainīgas politikas scenāriju 2020.gadā.</w:t>
      </w:r>
    </w:p>
    <w:p w14:paraId="05E505E1" w14:textId="77777777" w:rsidR="00C377B9" w:rsidRPr="002551D1" w:rsidRDefault="00C377B9" w:rsidP="00C377B9">
      <w:pPr>
        <w:spacing w:after="0"/>
        <w:rPr>
          <w:szCs w:val="24"/>
          <w:highlight w:val="yellow"/>
        </w:rPr>
      </w:pPr>
    </w:p>
    <w:p w14:paraId="3E1F2CA1" w14:textId="77777777" w:rsidR="00C377B9" w:rsidRPr="002551D1" w:rsidRDefault="00C377B9" w:rsidP="00C377B9">
      <w:pPr>
        <w:spacing w:after="0"/>
        <w:rPr>
          <w:szCs w:val="24"/>
        </w:rPr>
      </w:pPr>
      <w:r w:rsidRPr="002551D1">
        <w:rPr>
          <w:szCs w:val="24"/>
        </w:rPr>
        <w:t xml:space="preserve">Ņemot vērā iepriekš minēto, 2020.gada budžets ir sagatavots: </w:t>
      </w:r>
    </w:p>
    <w:p w14:paraId="4CFFF68D" w14:textId="77777777" w:rsidR="00C377B9" w:rsidRPr="002551D1" w:rsidRDefault="00C377B9" w:rsidP="00C377B9">
      <w:pPr>
        <w:pStyle w:val="ListParagraph"/>
        <w:numPr>
          <w:ilvl w:val="0"/>
          <w:numId w:val="27"/>
        </w:numPr>
        <w:spacing w:after="0" w:line="240" w:lineRule="auto"/>
        <w:jc w:val="both"/>
        <w:rPr>
          <w:rFonts w:ascii="Times New Roman" w:hAnsi="Times New Roman"/>
          <w:sz w:val="24"/>
          <w:lang w:val="lv-LV" w:eastAsia="en-US"/>
        </w:rPr>
      </w:pPr>
      <w:r w:rsidRPr="002551D1">
        <w:rPr>
          <w:rFonts w:ascii="Times New Roman" w:hAnsi="Times New Roman"/>
          <w:sz w:val="24"/>
          <w:lang w:val="lv-LV" w:eastAsia="en-US"/>
        </w:rPr>
        <w:t xml:space="preserve">turpinot nodrošināt finansējumu iepriekšējā Ietvara likumā un 2019.gada valsts budžeta likumā definētajām prioritātēm; </w:t>
      </w:r>
    </w:p>
    <w:p w14:paraId="12A265CD" w14:textId="77777777" w:rsidR="00C377B9" w:rsidRPr="002551D1" w:rsidRDefault="00C377B9" w:rsidP="00C377B9">
      <w:pPr>
        <w:pStyle w:val="ListParagraph"/>
        <w:numPr>
          <w:ilvl w:val="0"/>
          <w:numId w:val="27"/>
        </w:numPr>
        <w:spacing w:after="0" w:line="240" w:lineRule="auto"/>
        <w:jc w:val="both"/>
        <w:rPr>
          <w:rFonts w:ascii="Times New Roman" w:hAnsi="Times New Roman"/>
          <w:sz w:val="24"/>
          <w:lang w:val="lv-LV" w:eastAsia="en-US"/>
        </w:rPr>
      </w:pPr>
      <w:r w:rsidRPr="002551D1">
        <w:rPr>
          <w:rFonts w:ascii="Times New Roman" w:hAnsi="Times New Roman"/>
          <w:sz w:val="24"/>
          <w:lang w:val="lv-LV" w:eastAsia="en-US"/>
        </w:rPr>
        <w:t xml:space="preserve">piešķirot finansējumu jaunā budžeta cikla </w:t>
      </w:r>
      <w:r>
        <w:rPr>
          <w:rFonts w:ascii="Times New Roman" w:hAnsi="Times New Roman"/>
          <w:sz w:val="24"/>
          <w:lang w:val="lv-LV" w:eastAsia="en-US"/>
        </w:rPr>
        <w:t>vidēja termiņa budžeta prioritārajiem attīstības virzieniem;</w:t>
      </w:r>
    </w:p>
    <w:p w14:paraId="7B28367F" w14:textId="77777777" w:rsidR="00C377B9" w:rsidRPr="002551D1" w:rsidRDefault="00C377B9" w:rsidP="00C377B9">
      <w:pPr>
        <w:pStyle w:val="ListParagraph"/>
        <w:numPr>
          <w:ilvl w:val="0"/>
          <w:numId w:val="27"/>
        </w:numPr>
        <w:spacing w:after="0" w:line="240" w:lineRule="auto"/>
        <w:jc w:val="both"/>
        <w:rPr>
          <w:rFonts w:ascii="Times New Roman" w:hAnsi="Times New Roman"/>
          <w:sz w:val="24"/>
          <w:lang w:val="lv-LV" w:eastAsia="en-US"/>
        </w:rPr>
      </w:pPr>
      <w:r w:rsidRPr="002551D1">
        <w:rPr>
          <w:rFonts w:ascii="Times New Roman" w:hAnsi="Times New Roman"/>
          <w:sz w:val="24"/>
          <w:lang w:val="lv-LV" w:eastAsia="en-US"/>
        </w:rPr>
        <w:lastRenderedPageBreak/>
        <w:t xml:space="preserve">prognozējot, ka vispārējās valdības nominālais deficīts 2020.gadā ir 0,34 % no IKP; </w:t>
      </w:r>
    </w:p>
    <w:p w14:paraId="50BF9BD9" w14:textId="3961C047" w:rsidR="00C377B9" w:rsidRPr="002551D1" w:rsidRDefault="00C377B9" w:rsidP="00C377B9">
      <w:pPr>
        <w:pStyle w:val="ListParagraph"/>
        <w:numPr>
          <w:ilvl w:val="0"/>
          <w:numId w:val="27"/>
        </w:numPr>
        <w:spacing w:after="0" w:line="240" w:lineRule="auto"/>
        <w:jc w:val="both"/>
        <w:rPr>
          <w:rFonts w:ascii="Times New Roman" w:hAnsi="Times New Roman"/>
          <w:sz w:val="24"/>
          <w:lang w:val="lv-LV" w:eastAsia="en-US"/>
        </w:rPr>
      </w:pPr>
      <w:r w:rsidRPr="002551D1">
        <w:rPr>
          <w:rFonts w:ascii="Times New Roman" w:hAnsi="Times New Roman"/>
          <w:sz w:val="24"/>
          <w:lang w:val="lv-LV" w:eastAsia="en-US"/>
        </w:rPr>
        <w:t xml:space="preserve">veicot valsts budžeta bāzes izdevumu pārskatīšanu un izstrādājot papildu diskrecionāros ieņēmumu un izdevumu pasākumus, lai nodrošinātu finansējumu </w:t>
      </w:r>
      <w:r>
        <w:rPr>
          <w:rFonts w:ascii="Times New Roman" w:hAnsi="Times New Roman"/>
          <w:sz w:val="24"/>
          <w:lang w:val="lv-LV" w:eastAsia="en-US"/>
        </w:rPr>
        <w:t>MK</w:t>
      </w:r>
      <w:r w:rsidRPr="002551D1">
        <w:rPr>
          <w:rFonts w:ascii="Times New Roman" w:hAnsi="Times New Roman"/>
          <w:sz w:val="24"/>
          <w:lang w:val="lv-LV" w:eastAsia="en-US"/>
        </w:rPr>
        <w:t xml:space="preserve"> definētajām prioritātēm</w:t>
      </w:r>
      <w:r>
        <w:rPr>
          <w:rFonts w:ascii="Times New Roman" w:hAnsi="Times New Roman"/>
          <w:sz w:val="24"/>
          <w:lang w:val="lv-LV" w:eastAsia="en-US"/>
        </w:rPr>
        <w:t>.</w:t>
      </w:r>
    </w:p>
    <w:p w14:paraId="61CABB75" w14:textId="77777777" w:rsidR="00C377B9" w:rsidRPr="00577622" w:rsidRDefault="00C377B9" w:rsidP="00C377B9">
      <w:pPr>
        <w:spacing w:after="0"/>
        <w:rPr>
          <w:szCs w:val="24"/>
        </w:rPr>
      </w:pPr>
    </w:p>
    <w:p w14:paraId="3986595C" w14:textId="66155491" w:rsidR="00C377B9" w:rsidRPr="00D72EBC" w:rsidRDefault="00C377B9" w:rsidP="00D72EBC">
      <w:pPr>
        <w:spacing w:after="0"/>
        <w:rPr>
          <w:szCs w:val="24"/>
        </w:rPr>
      </w:pPr>
      <w:r w:rsidRPr="00D72EBC">
        <w:rPr>
          <w:szCs w:val="24"/>
        </w:rPr>
        <w:t>Latvijas strukturālās bilances mērķis 2020.gadā</w:t>
      </w:r>
      <w:r w:rsidR="00D72EBC">
        <w:rPr>
          <w:szCs w:val="24"/>
        </w:rPr>
        <w:t>,</w:t>
      </w:r>
      <w:r w:rsidRPr="00D72EBC">
        <w:rPr>
          <w:szCs w:val="24"/>
        </w:rPr>
        <w:t xml:space="preserve"> saskaņā ar nacionālo metodoloģiju ir </w:t>
      </w:r>
      <w:r w:rsidR="00D72EBC">
        <w:rPr>
          <w:szCs w:val="24"/>
        </w:rPr>
        <w:t xml:space="preserve">   </w:t>
      </w:r>
      <w:r w:rsidRPr="00D72EBC">
        <w:rPr>
          <w:szCs w:val="24"/>
        </w:rPr>
        <w:t>-0,46% no IKP. Saskaņā ar 2020.gada budžeta likuma projektu, strukturālais deficīts tiek plānots 0,36% no IKP apmērā. Starpība 0,1% no IKP ir fiskālā nodroš</w:t>
      </w:r>
      <w:r w:rsidR="00750A66">
        <w:rPr>
          <w:szCs w:val="24"/>
        </w:rPr>
        <w:t xml:space="preserve">inājuma rezerve un ir paredzēta, </w:t>
      </w:r>
      <w:r w:rsidRPr="00D72EBC">
        <w:rPr>
          <w:szCs w:val="24"/>
        </w:rPr>
        <w:t xml:space="preserve">lai iekļautos strukturālās bilances mērķī arī tad, ja iestātos fiskālie riski. </w:t>
      </w:r>
    </w:p>
    <w:p w14:paraId="721F00CD" w14:textId="14164060" w:rsidR="00C377B9" w:rsidRPr="00D72EBC" w:rsidRDefault="00C377B9" w:rsidP="00D72EBC">
      <w:pPr>
        <w:spacing w:after="0"/>
        <w:rPr>
          <w:szCs w:val="24"/>
        </w:rPr>
      </w:pPr>
      <w:r w:rsidRPr="00D72EBC">
        <w:rPr>
          <w:szCs w:val="24"/>
        </w:rPr>
        <w:t xml:space="preserve">Vispārējās valdības budžeta deficīts saskaņā ar 2020.gada </w:t>
      </w:r>
      <w:r w:rsidR="00750A66">
        <w:rPr>
          <w:szCs w:val="24"/>
        </w:rPr>
        <w:t>budžeta likuma projektu ir 0,34</w:t>
      </w:r>
      <w:r w:rsidRPr="00D72EBC">
        <w:rPr>
          <w:szCs w:val="24"/>
        </w:rPr>
        <w:t>% no IKP, kas saskaņā ar saskaņā ar ES metodoloģiju atbilst strukturālajam deficītam 0,83%, kas ir mazāks, kā VTM, pat, ja ieskaita fiskālā nodrošinājuma rezervi.</w:t>
      </w:r>
    </w:p>
    <w:p w14:paraId="257C4A74" w14:textId="77777777" w:rsidR="00BC44EC" w:rsidRPr="00577622" w:rsidRDefault="00BC44EC" w:rsidP="00741547">
      <w:pPr>
        <w:spacing w:after="0"/>
        <w:rPr>
          <w:szCs w:val="24"/>
        </w:rPr>
      </w:pPr>
    </w:p>
    <w:p w14:paraId="2C41021C" w14:textId="77777777" w:rsidR="00F724FE" w:rsidRDefault="00F724FE">
      <w:pPr>
        <w:spacing w:after="0"/>
        <w:ind w:firstLine="0"/>
        <w:jc w:val="left"/>
        <w:rPr>
          <w:b/>
          <w:bCs/>
          <w:color w:val="18185E"/>
          <w:szCs w:val="28"/>
          <w:lang w:val="x-none" w:eastAsia="x-none"/>
        </w:rPr>
      </w:pPr>
      <w:r>
        <w:rPr>
          <w:color w:val="18185E"/>
        </w:rPr>
        <w:br w:type="page"/>
      </w:r>
    </w:p>
    <w:p w14:paraId="54FAA7F7" w14:textId="77777777" w:rsidR="00272FF4" w:rsidRPr="00976103" w:rsidRDefault="00272FF4" w:rsidP="00272FF4">
      <w:pPr>
        <w:pStyle w:val="Heading1"/>
        <w:tabs>
          <w:tab w:val="left" w:pos="1276"/>
        </w:tabs>
        <w:spacing w:before="0" w:after="240"/>
        <w:ind w:firstLine="0"/>
        <w:jc w:val="left"/>
        <w:rPr>
          <w:rFonts w:ascii="Times New Roman" w:hAnsi="Times New Roman"/>
        </w:rPr>
      </w:pPr>
      <w:bookmarkStart w:id="10" w:name="_Toc21516503"/>
      <w:r w:rsidRPr="006B2FB4">
        <w:rPr>
          <w:rFonts w:ascii="Times New Roman" w:hAnsi="Times New Roman"/>
          <w:color w:val="18185E"/>
          <w:sz w:val="24"/>
        </w:rPr>
        <w:lastRenderedPageBreak/>
        <w:t>Tabula 2.a: Vispārējās valdības budžeta mērķi sadalījumā pa apakšsektoriem</w:t>
      </w:r>
      <w:bookmarkEnd w:id="10"/>
    </w:p>
    <w:tbl>
      <w:tblPr>
        <w:tblStyle w:val="GridTable6Colorful-Accent11"/>
        <w:tblW w:w="9321" w:type="dxa"/>
        <w:jc w:val="center"/>
        <w:tblLook w:val="04A0" w:firstRow="1" w:lastRow="0" w:firstColumn="1" w:lastColumn="0" w:noHBand="0" w:noVBand="1"/>
      </w:tblPr>
      <w:tblGrid>
        <w:gridCol w:w="5382"/>
        <w:gridCol w:w="1409"/>
        <w:gridCol w:w="1309"/>
        <w:gridCol w:w="1221"/>
      </w:tblGrid>
      <w:tr w:rsidR="00272FF4" w:rsidRPr="00976103" w14:paraId="23CAAC4D" w14:textId="77777777" w:rsidTr="00171512">
        <w:trPr>
          <w:cnfStyle w:val="100000000000" w:firstRow="1" w:lastRow="0" w:firstColumn="0" w:lastColumn="0" w:oddVBand="0" w:evenVBand="0" w:oddHBand="0" w:evenHBand="0" w:firstRowFirstColumn="0" w:firstRowLastColumn="0" w:lastRowFirstColumn="0" w:lastRowLastColumn="0"/>
          <w:trHeight w:val="65"/>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F0A869F"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41DB5E13" w14:textId="77777777" w:rsidR="00272FF4" w:rsidRPr="00AA5420" w:rsidRDefault="000318B2"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Pr>
                <w:color w:val="000000"/>
                <w:szCs w:val="24"/>
                <w:lang w:eastAsia="lv-LV"/>
              </w:rPr>
              <w:t>EKS k</w:t>
            </w:r>
            <w:r w:rsidR="00272FF4" w:rsidRPr="00AA5420">
              <w:rPr>
                <w:color w:val="000000"/>
                <w:szCs w:val="24"/>
                <w:lang w:eastAsia="lv-LV"/>
              </w:rPr>
              <w:t>ods</w:t>
            </w:r>
          </w:p>
        </w:tc>
        <w:tc>
          <w:tcPr>
            <w:tcW w:w="1309" w:type="dxa"/>
            <w:vAlign w:val="center"/>
            <w:hideMark/>
          </w:tcPr>
          <w:p w14:paraId="17B4D05A" w14:textId="6BDB9BD9" w:rsidR="00272FF4" w:rsidRPr="00AA5420" w:rsidRDefault="006F3B5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3822F3">
              <w:rPr>
                <w:color w:val="000000"/>
                <w:szCs w:val="24"/>
                <w:lang w:eastAsia="lv-LV"/>
              </w:rPr>
              <w:t>9</w:t>
            </w:r>
          </w:p>
        </w:tc>
        <w:tc>
          <w:tcPr>
            <w:tcW w:w="1221" w:type="dxa"/>
            <w:vAlign w:val="center"/>
            <w:hideMark/>
          </w:tcPr>
          <w:p w14:paraId="0EA9D12F" w14:textId="3AEFD910" w:rsidR="00272FF4" w:rsidRPr="00AA5420" w:rsidRDefault="003822F3"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2020</w:t>
            </w:r>
          </w:p>
        </w:tc>
      </w:tr>
      <w:tr w:rsidR="00272FF4" w:rsidRPr="00976103" w14:paraId="16388181" w14:textId="77777777" w:rsidTr="0017151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140D09A" w14:textId="77777777" w:rsidR="00272FF4" w:rsidRPr="00976103" w:rsidRDefault="00272FF4" w:rsidP="00272FF4">
            <w:pPr>
              <w:spacing w:after="0"/>
              <w:ind w:firstLine="0"/>
              <w:jc w:val="left"/>
              <w:rPr>
                <w:color w:val="000000"/>
                <w:szCs w:val="24"/>
                <w:lang w:eastAsia="lv-LV"/>
              </w:rPr>
            </w:pPr>
            <w:r w:rsidRPr="00976103">
              <w:rPr>
                <w:color w:val="000000"/>
                <w:szCs w:val="24"/>
                <w:lang w:eastAsia="lv-LV"/>
              </w:rPr>
              <w:t> </w:t>
            </w:r>
          </w:p>
        </w:tc>
        <w:tc>
          <w:tcPr>
            <w:tcW w:w="1409" w:type="dxa"/>
            <w:vAlign w:val="center"/>
            <w:hideMark/>
          </w:tcPr>
          <w:p w14:paraId="1E8F7A7D" w14:textId="77777777" w:rsidR="00272FF4" w:rsidRPr="00976103" w:rsidRDefault="00272FF4"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2530" w:type="dxa"/>
            <w:gridSpan w:val="2"/>
            <w:vAlign w:val="center"/>
            <w:hideMark/>
          </w:tcPr>
          <w:p w14:paraId="015ADF63" w14:textId="77777777" w:rsidR="00272FF4" w:rsidRPr="00976103" w:rsidRDefault="00272FF4" w:rsidP="00171512">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no IKP</w:t>
            </w:r>
          </w:p>
        </w:tc>
      </w:tr>
      <w:tr w:rsidR="0095442F" w:rsidRPr="00976103" w14:paraId="0C96E468" w14:textId="77777777" w:rsidTr="00687919">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0CCEF9C"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Neto aizdevumi (+) v</w:t>
            </w:r>
            <w:r>
              <w:rPr>
                <w:color w:val="000000"/>
                <w:szCs w:val="24"/>
                <w:lang w:eastAsia="lv-LV"/>
              </w:rPr>
              <w:t>ai aizņēmumi (–) (B.9) pa apakš</w:t>
            </w:r>
            <w:r w:rsidRPr="00976103">
              <w:rPr>
                <w:color w:val="000000"/>
                <w:szCs w:val="24"/>
                <w:lang w:eastAsia="lv-LV"/>
              </w:rPr>
              <w:t>sektoriem</w:t>
            </w:r>
          </w:p>
        </w:tc>
        <w:tc>
          <w:tcPr>
            <w:tcW w:w="1409" w:type="dxa"/>
            <w:hideMark/>
          </w:tcPr>
          <w:p w14:paraId="2110E610"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056C05B" w14:textId="02F7491C"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 xml:space="preserve"> </w:t>
            </w:r>
          </w:p>
        </w:tc>
        <w:tc>
          <w:tcPr>
            <w:tcW w:w="1221" w:type="dxa"/>
            <w:vAlign w:val="center"/>
          </w:tcPr>
          <w:p w14:paraId="3B1E184C" w14:textId="63BC6759"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Pr>
                <w:color w:val="000000"/>
                <w:sz w:val="22"/>
                <w:szCs w:val="22"/>
              </w:rPr>
              <w:t xml:space="preserve"> </w:t>
            </w:r>
          </w:p>
        </w:tc>
      </w:tr>
      <w:tr w:rsidR="0095442F" w:rsidRPr="00976103" w14:paraId="0E56C393"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3C51BD6"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1. Vispārējā valdība</w:t>
            </w:r>
          </w:p>
        </w:tc>
        <w:tc>
          <w:tcPr>
            <w:tcW w:w="1409" w:type="dxa"/>
            <w:hideMark/>
          </w:tcPr>
          <w:p w14:paraId="0BC9A11C"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 </w:t>
            </w:r>
          </w:p>
        </w:tc>
        <w:tc>
          <w:tcPr>
            <w:tcW w:w="1309" w:type="dxa"/>
            <w:vAlign w:val="center"/>
          </w:tcPr>
          <w:p w14:paraId="513663C5" w14:textId="1B40BB0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-0,5</w:t>
            </w:r>
          </w:p>
        </w:tc>
        <w:tc>
          <w:tcPr>
            <w:tcW w:w="1221" w:type="dxa"/>
            <w:vAlign w:val="center"/>
          </w:tcPr>
          <w:p w14:paraId="2E9E6A0A" w14:textId="2E9C226C"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-0,3</w:t>
            </w:r>
          </w:p>
        </w:tc>
      </w:tr>
      <w:tr w:rsidR="0095442F" w:rsidRPr="00976103" w14:paraId="1AC2A0DF"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1998BE3"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2. Centrālā valdība</w:t>
            </w:r>
          </w:p>
        </w:tc>
        <w:tc>
          <w:tcPr>
            <w:tcW w:w="1409" w:type="dxa"/>
            <w:hideMark/>
          </w:tcPr>
          <w:p w14:paraId="6A9840C1"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S.1311 </w:t>
            </w:r>
          </w:p>
        </w:tc>
        <w:tc>
          <w:tcPr>
            <w:tcW w:w="1309" w:type="dxa"/>
            <w:vAlign w:val="center"/>
          </w:tcPr>
          <w:p w14:paraId="6DF91C47" w14:textId="7B6F91F0"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-1,3</w:t>
            </w:r>
          </w:p>
        </w:tc>
        <w:tc>
          <w:tcPr>
            <w:tcW w:w="1221" w:type="dxa"/>
            <w:vAlign w:val="center"/>
          </w:tcPr>
          <w:p w14:paraId="08BECCC7" w14:textId="3926D736"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-0,9</w:t>
            </w:r>
          </w:p>
        </w:tc>
      </w:tr>
      <w:tr w:rsidR="0095442F" w:rsidRPr="00976103" w14:paraId="26734182"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37A255CA" w14:textId="77777777" w:rsidR="0095442F" w:rsidRPr="00003E2F" w:rsidRDefault="0095442F" w:rsidP="0095442F">
            <w:pPr>
              <w:spacing w:after="0"/>
              <w:ind w:firstLine="0"/>
              <w:jc w:val="left"/>
              <w:rPr>
                <w:color w:val="auto"/>
                <w:szCs w:val="24"/>
                <w:lang w:eastAsia="lv-LV"/>
              </w:rPr>
            </w:pPr>
            <w:r w:rsidRPr="00003E2F">
              <w:rPr>
                <w:color w:val="auto"/>
                <w:szCs w:val="24"/>
                <w:lang w:eastAsia="lv-LV"/>
              </w:rPr>
              <w:t xml:space="preserve">3. </w:t>
            </w:r>
            <w:r w:rsidRPr="007049E7">
              <w:rPr>
                <w:color w:val="auto"/>
                <w:szCs w:val="24"/>
                <w:lang w:eastAsia="lv-LV"/>
              </w:rPr>
              <w:t>Pavalstu valdība</w:t>
            </w:r>
          </w:p>
        </w:tc>
        <w:tc>
          <w:tcPr>
            <w:tcW w:w="1409" w:type="dxa"/>
            <w:hideMark/>
          </w:tcPr>
          <w:p w14:paraId="69C20ADC" w14:textId="77777777" w:rsidR="0095442F" w:rsidRPr="00003E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xml:space="preserve">S.1312 </w:t>
            </w:r>
          </w:p>
        </w:tc>
        <w:tc>
          <w:tcPr>
            <w:tcW w:w="1309" w:type="dxa"/>
            <w:vAlign w:val="center"/>
          </w:tcPr>
          <w:p w14:paraId="54278A04" w14:textId="0391637C"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FF0000"/>
                <w:szCs w:val="24"/>
                <w:highlight w:val="yellow"/>
                <w:lang w:eastAsia="lv-LV"/>
              </w:rPr>
            </w:pPr>
            <w:r w:rsidRPr="0095442F">
              <w:rPr>
                <w:color w:val="000000"/>
                <w:szCs w:val="24"/>
              </w:rPr>
              <w:t> </w:t>
            </w:r>
          </w:p>
        </w:tc>
        <w:tc>
          <w:tcPr>
            <w:tcW w:w="1221" w:type="dxa"/>
            <w:vAlign w:val="center"/>
          </w:tcPr>
          <w:p w14:paraId="0BE68B1B" w14:textId="7BA233D5"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 </w:t>
            </w:r>
          </w:p>
        </w:tc>
      </w:tr>
      <w:tr w:rsidR="0095442F" w:rsidRPr="00976103" w14:paraId="1F9577B7"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2EA4E2A2"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4. Vietējā valdība</w:t>
            </w:r>
          </w:p>
        </w:tc>
        <w:tc>
          <w:tcPr>
            <w:tcW w:w="1409" w:type="dxa"/>
            <w:hideMark/>
          </w:tcPr>
          <w:p w14:paraId="0697227E"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S.1313 </w:t>
            </w:r>
          </w:p>
        </w:tc>
        <w:tc>
          <w:tcPr>
            <w:tcW w:w="1309" w:type="dxa"/>
            <w:vAlign w:val="center"/>
          </w:tcPr>
          <w:p w14:paraId="6F12F3BE" w14:textId="012FD44C"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-0,2</w:t>
            </w:r>
          </w:p>
        </w:tc>
        <w:tc>
          <w:tcPr>
            <w:tcW w:w="1221" w:type="dxa"/>
            <w:vAlign w:val="center"/>
          </w:tcPr>
          <w:p w14:paraId="451DB42A" w14:textId="6DA2AB50"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-0,1</w:t>
            </w:r>
          </w:p>
        </w:tc>
      </w:tr>
      <w:tr w:rsidR="0095442F" w:rsidRPr="00976103" w14:paraId="56CB9AEE"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441E73C2"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5. Sociālās nodrošināšanas fondi</w:t>
            </w:r>
          </w:p>
        </w:tc>
        <w:tc>
          <w:tcPr>
            <w:tcW w:w="1409" w:type="dxa"/>
            <w:hideMark/>
          </w:tcPr>
          <w:p w14:paraId="5F4BAFDE"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S.1314 </w:t>
            </w:r>
          </w:p>
        </w:tc>
        <w:tc>
          <w:tcPr>
            <w:tcW w:w="1309" w:type="dxa"/>
            <w:vAlign w:val="center"/>
          </w:tcPr>
          <w:p w14:paraId="75A6C20B" w14:textId="693BEF28"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0,9</w:t>
            </w:r>
          </w:p>
        </w:tc>
        <w:tc>
          <w:tcPr>
            <w:tcW w:w="1221" w:type="dxa"/>
            <w:vAlign w:val="center"/>
          </w:tcPr>
          <w:p w14:paraId="196F1D81" w14:textId="73368B9D"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0,7</w:t>
            </w:r>
          </w:p>
        </w:tc>
      </w:tr>
      <w:tr w:rsidR="0095442F" w:rsidRPr="00976103" w14:paraId="49D0DA92"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C0377B9"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6. Procentu izdevumi</w:t>
            </w:r>
          </w:p>
        </w:tc>
        <w:tc>
          <w:tcPr>
            <w:tcW w:w="1409" w:type="dxa"/>
            <w:hideMark/>
          </w:tcPr>
          <w:p w14:paraId="0C14D731"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D.41 </w:t>
            </w:r>
          </w:p>
        </w:tc>
        <w:tc>
          <w:tcPr>
            <w:tcW w:w="1309" w:type="dxa"/>
            <w:vAlign w:val="center"/>
          </w:tcPr>
          <w:p w14:paraId="16902442" w14:textId="501CA342"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0,8</w:t>
            </w:r>
          </w:p>
        </w:tc>
        <w:tc>
          <w:tcPr>
            <w:tcW w:w="1221" w:type="dxa"/>
            <w:vAlign w:val="center"/>
          </w:tcPr>
          <w:p w14:paraId="32CBA6F5" w14:textId="7AD6E184"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0,7</w:t>
            </w:r>
          </w:p>
        </w:tc>
      </w:tr>
      <w:tr w:rsidR="0095442F" w:rsidRPr="00976103" w14:paraId="476EDD2D" w14:textId="77777777" w:rsidTr="0034726F">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C5DFD83"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7. Primārā bilance</w:t>
            </w:r>
          </w:p>
        </w:tc>
        <w:tc>
          <w:tcPr>
            <w:tcW w:w="1409" w:type="dxa"/>
            <w:hideMark/>
          </w:tcPr>
          <w:p w14:paraId="6CD368B3"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05647A44" w14:textId="4928E528" w:rsidR="0095442F" w:rsidRPr="006749F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6749F3">
              <w:rPr>
                <w:color w:val="000000"/>
                <w:szCs w:val="24"/>
              </w:rPr>
              <w:t>0,2</w:t>
            </w:r>
          </w:p>
        </w:tc>
        <w:tc>
          <w:tcPr>
            <w:tcW w:w="1221" w:type="dxa"/>
            <w:vAlign w:val="center"/>
          </w:tcPr>
          <w:p w14:paraId="7AB33115" w14:textId="3C721931"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0,4</w:t>
            </w:r>
          </w:p>
        </w:tc>
      </w:tr>
      <w:tr w:rsidR="0095442F" w:rsidRPr="00976103" w14:paraId="706FCF44" w14:textId="77777777" w:rsidTr="0034726F">
        <w:trPr>
          <w:trHeight w:val="31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327EC94" w14:textId="065D45ED" w:rsidR="0095442F" w:rsidRPr="00976103" w:rsidRDefault="0095442F" w:rsidP="008906EA">
            <w:pPr>
              <w:spacing w:after="0"/>
              <w:ind w:firstLine="0"/>
              <w:jc w:val="left"/>
              <w:rPr>
                <w:color w:val="000000"/>
                <w:szCs w:val="24"/>
                <w:lang w:eastAsia="lv-LV"/>
              </w:rPr>
            </w:pPr>
            <w:r w:rsidRPr="00976103">
              <w:rPr>
                <w:color w:val="000000"/>
                <w:szCs w:val="24"/>
                <w:lang w:eastAsia="lv-LV"/>
              </w:rPr>
              <w:t>8. Vienreizēji un citi īslaicīgi pasākumi</w:t>
            </w:r>
            <w:r w:rsidR="00F65285">
              <w:rPr>
                <w:color w:val="000000"/>
                <w:szCs w:val="24"/>
                <w:lang w:eastAsia="lv-LV"/>
              </w:rPr>
              <w:t xml:space="preserve"> </w:t>
            </w:r>
            <w:r w:rsidR="00F65285" w:rsidRPr="00D40D7E">
              <w:rPr>
                <w:rStyle w:val="FootnoteReference"/>
                <w:rFonts w:ascii="Times New Roman" w:hAnsi="Times New Roman"/>
                <w:color w:val="000000"/>
                <w:szCs w:val="24"/>
                <w:lang w:eastAsia="lv-LV"/>
              </w:rPr>
              <w:footnoteReference w:id="2"/>
            </w:r>
            <w:r w:rsidRPr="00D40D7E">
              <w:rPr>
                <w:color w:val="000000"/>
                <w:szCs w:val="24"/>
                <w:lang w:eastAsia="lv-LV"/>
              </w:rPr>
              <w:t xml:space="preserve"> </w:t>
            </w:r>
          </w:p>
        </w:tc>
        <w:tc>
          <w:tcPr>
            <w:tcW w:w="1409" w:type="dxa"/>
            <w:hideMark/>
          </w:tcPr>
          <w:p w14:paraId="2DABAC74"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E03AAF2" w14:textId="03C58B41" w:rsidR="0095442F" w:rsidRPr="006749F3" w:rsidRDefault="0095442F" w:rsidP="006749F3">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0B0945">
              <w:rPr>
                <w:color w:val="000000"/>
                <w:szCs w:val="24"/>
              </w:rPr>
              <w:t>0,</w:t>
            </w:r>
            <w:r w:rsidR="006749F3" w:rsidRPr="000B0945">
              <w:rPr>
                <w:color w:val="000000"/>
                <w:szCs w:val="24"/>
              </w:rPr>
              <w:t>2</w:t>
            </w:r>
          </w:p>
        </w:tc>
        <w:tc>
          <w:tcPr>
            <w:tcW w:w="1221" w:type="dxa"/>
            <w:vAlign w:val="center"/>
          </w:tcPr>
          <w:p w14:paraId="5DC1D75C" w14:textId="249EFC89"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 </w:t>
            </w:r>
          </w:p>
        </w:tc>
      </w:tr>
      <w:tr w:rsidR="0095442F" w:rsidRPr="00976103" w14:paraId="0F0BF100" w14:textId="77777777" w:rsidTr="0034726F">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C6F64A8"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9. Reālā IKP pieaugums (%) (=1. Tabulā 1.a)</w:t>
            </w:r>
          </w:p>
        </w:tc>
        <w:tc>
          <w:tcPr>
            <w:tcW w:w="1409" w:type="dxa"/>
            <w:hideMark/>
          </w:tcPr>
          <w:p w14:paraId="28754BBD"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36E748CF" w14:textId="0ECF73C1" w:rsidR="0095442F" w:rsidRPr="006749F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6749F3">
              <w:rPr>
                <w:color w:val="000000"/>
                <w:szCs w:val="24"/>
              </w:rPr>
              <w:t>3,2</w:t>
            </w:r>
          </w:p>
        </w:tc>
        <w:tc>
          <w:tcPr>
            <w:tcW w:w="1221" w:type="dxa"/>
            <w:vAlign w:val="center"/>
          </w:tcPr>
          <w:p w14:paraId="61E0FB0C" w14:textId="3C797979"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2,8</w:t>
            </w:r>
          </w:p>
        </w:tc>
      </w:tr>
      <w:tr w:rsidR="0095442F" w:rsidRPr="00976103" w14:paraId="43BEBF82" w14:textId="77777777" w:rsidTr="0034726F">
        <w:trPr>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8294738"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10. Potenciālā IKP pieaugums (=2 Tabulā 1.a)</w:t>
            </w:r>
          </w:p>
        </w:tc>
        <w:tc>
          <w:tcPr>
            <w:tcW w:w="1409" w:type="dxa"/>
            <w:hideMark/>
          </w:tcPr>
          <w:p w14:paraId="429E0E5A"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449978D3" w14:textId="7BBA7DF0" w:rsidR="0095442F" w:rsidRPr="006749F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6749F3">
              <w:rPr>
                <w:color w:val="000000"/>
                <w:szCs w:val="24"/>
              </w:rPr>
              <w:t>3,5</w:t>
            </w:r>
          </w:p>
        </w:tc>
        <w:tc>
          <w:tcPr>
            <w:tcW w:w="1221" w:type="dxa"/>
            <w:vAlign w:val="center"/>
          </w:tcPr>
          <w:p w14:paraId="4EBD003B" w14:textId="57502D8E"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3,4</w:t>
            </w:r>
          </w:p>
        </w:tc>
      </w:tr>
      <w:tr w:rsidR="0095442F" w:rsidRPr="00976103" w14:paraId="1E8F231C"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07C5C389"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iemaksas:</w:t>
            </w:r>
          </w:p>
        </w:tc>
        <w:tc>
          <w:tcPr>
            <w:tcW w:w="1409" w:type="dxa"/>
            <w:hideMark/>
          </w:tcPr>
          <w:p w14:paraId="48EB020F" w14:textId="77777777" w:rsidR="0095442F" w:rsidRPr="00976103" w:rsidRDefault="0095442F" w:rsidP="0095442F">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ABAE87D" w14:textId="5DD6E841" w:rsidR="0095442F" w:rsidRPr="006749F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6749F3">
              <w:rPr>
                <w:color w:val="FF0000"/>
                <w:szCs w:val="24"/>
              </w:rPr>
              <w:t> </w:t>
            </w:r>
          </w:p>
        </w:tc>
        <w:tc>
          <w:tcPr>
            <w:tcW w:w="1221" w:type="dxa"/>
            <w:vAlign w:val="center"/>
          </w:tcPr>
          <w:p w14:paraId="6F760AF4" w14:textId="1898EA05"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FF0000"/>
                <w:szCs w:val="24"/>
              </w:rPr>
              <w:t> </w:t>
            </w:r>
          </w:p>
        </w:tc>
      </w:tr>
      <w:tr w:rsidR="0095442F" w:rsidRPr="00976103" w14:paraId="5AD29BFD"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442B55F"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 darbaspēks</w:t>
            </w:r>
          </w:p>
        </w:tc>
        <w:tc>
          <w:tcPr>
            <w:tcW w:w="1409" w:type="dxa"/>
            <w:hideMark/>
          </w:tcPr>
          <w:p w14:paraId="3E34F34D"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0669922" w14:textId="3B28F589" w:rsidR="0095442F" w:rsidRPr="006749F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6749F3">
              <w:rPr>
                <w:color w:val="000000"/>
                <w:szCs w:val="24"/>
              </w:rPr>
              <w:t>0,2</w:t>
            </w:r>
          </w:p>
        </w:tc>
        <w:tc>
          <w:tcPr>
            <w:tcW w:w="1221" w:type="dxa"/>
            <w:vAlign w:val="center"/>
          </w:tcPr>
          <w:p w14:paraId="4B0D5DC1" w14:textId="6621076D"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0,1</w:t>
            </w:r>
          </w:p>
        </w:tc>
      </w:tr>
      <w:tr w:rsidR="0095442F" w:rsidRPr="00976103" w14:paraId="66A4B65B" w14:textId="77777777" w:rsidTr="0034726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CB721CF"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 kapitāls</w:t>
            </w:r>
          </w:p>
        </w:tc>
        <w:tc>
          <w:tcPr>
            <w:tcW w:w="1409" w:type="dxa"/>
            <w:hideMark/>
          </w:tcPr>
          <w:p w14:paraId="7898E76D"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CF329A6" w14:textId="1A00F05B" w:rsidR="0095442F" w:rsidRPr="006749F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6749F3">
              <w:rPr>
                <w:color w:val="000000"/>
                <w:szCs w:val="24"/>
              </w:rPr>
              <w:t>1,3</w:t>
            </w:r>
          </w:p>
        </w:tc>
        <w:tc>
          <w:tcPr>
            <w:tcW w:w="1221" w:type="dxa"/>
            <w:vAlign w:val="center"/>
          </w:tcPr>
          <w:p w14:paraId="37919242" w14:textId="0937BDE0"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1,3</w:t>
            </w:r>
          </w:p>
        </w:tc>
      </w:tr>
      <w:tr w:rsidR="0095442F" w:rsidRPr="00976103" w14:paraId="62A1884A" w14:textId="77777777" w:rsidTr="0034726F">
        <w:trPr>
          <w:trHeight w:val="3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7F4ACBB"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 kopējais faktoru ražīgums</w:t>
            </w:r>
          </w:p>
        </w:tc>
        <w:tc>
          <w:tcPr>
            <w:tcW w:w="1409" w:type="dxa"/>
            <w:hideMark/>
          </w:tcPr>
          <w:p w14:paraId="60935C72"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04E6B71" w14:textId="3F9A1348" w:rsidR="0095442F" w:rsidRPr="006749F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6749F3">
              <w:rPr>
                <w:color w:val="000000"/>
                <w:szCs w:val="24"/>
              </w:rPr>
              <w:t>2,0</w:t>
            </w:r>
          </w:p>
        </w:tc>
        <w:tc>
          <w:tcPr>
            <w:tcW w:w="1221" w:type="dxa"/>
            <w:vAlign w:val="center"/>
          </w:tcPr>
          <w:p w14:paraId="2B7C825A" w14:textId="510F74EA"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2,0</w:t>
            </w:r>
          </w:p>
        </w:tc>
      </w:tr>
      <w:tr w:rsidR="0095442F" w:rsidRPr="00976103" w14:paraId="3D40A021" w14:textId="77777777" w:rsidTr="0034726F">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9F677AA"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11. Starpība starp faktisko un potenciālo IKP (% no potenciālā IKP)</w:t>
            </w:r>
          </w:p>
        </w:tc>
        <w:tc>
          <w:tcPr>
            <w:tcW w:w="1409" w:type="dxa"/>
            <w:hideMark/>
          </w:tcPr>
          <w:p w14:paraId="2F59AD78"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1E609FF9" w14:textId="30EC79F4" w:rsidR="0095442F" w:rsidRPr="006749F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6749F3">
              <w:rPr>
                <w:color w:val="000000"/>
                <w:szCs w:val="24"/>
              </w:rPr>
              <w:t>1,4</w:t>
            </w:r>
          </w:p>
        </w:tc>
        <w:tc>
          <w:tcPr>
            <w:tcW w:w="1221" w:type="dxa"/>
            <w:vAlign w:val="center"/>
          </w:tcPr>
          <w:p w14:paraId="7BE5E2F4" w14:textId="18BA78C1"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0,8</w:t>
            </w:r>
          </w:p>
        </w:tc>
      </w:tr>
      <w:tr w:rsidR="0095442F" w:rsidRPr="00976103" w14:paraId="71EE3322" w14:textId="77777777" w:rsidTr="0034726F">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734BE4A2"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12. Budžeta bilances cikliskā komponente (% no IKP)</w:t>
            </w:r>
          </w:p>
        </w:tc>
        <w:tc>
          <w:tcPr>
            <w:tcW w:w="1409" w:type="dxa"/>
            <w:hideMark/>
          </w:tcPr>
          <w:p w14:paraId="418F021A"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265084FA" w14:textId="44E4E1A1" w:rsidR="0095442F" w:rsidRPr="006749F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6749F3">
              <w:rPr>
                <w:color w:val="000000"/>
                <w:szCs w:val="24"/>
              </w:rPr>
              <w:t>0,5</w:t>
            </w:r>
          </w:p>
        </w:tc>
        <w:tc>
          <w:tcPr>
            <w:tcW w:w="1221" w:type="dxa"/>
            <w:vAlign w:val="center"/>
          </w:tcPr>
          <w:p w14:paraId="7A0A2303" w14:textId="66111C34"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0,3</w:t>
            </w:r>
          </w:p>
        </w:tc>
      </w:tr>
      <w:tr w:rsidR="0095442F" w:rsidRPr="00976103" w14:paraId="70F22F0B" w14:textId="77777777" w:rsidTr="0034726F">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5A2C81BB"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 xml:space="preserve">13. Cikliski koriģētā bilance (1 </w:t>
            </w:r>
            <w:r>
              <w:rPr>
                <w:color w:val="000000"/>
                <w:szCs w:val="24"/>
                <w:lang w:eastAsia="lv-LV"/>
              </w:rPr>
              <w:t>–</w:t>
            </w:r>
            <w:r w:rsidRPr="00976103">
              <w:rPr>
                <w:color w:val="000000"/>
                <w:szCs w:val="24"/>
                <w:lang w:eastAsia="lv-LV"/>
              </w:rPr>
              <w:t xml:space="preserve"> 12) (% no IKP)</w:t>
            </w:r>
          </w:p>
        </w:tc>
        <w:tc>
          <w:tcPr>
            <w:tcW w:w="1409" w:type="dxa"/>
            <w:hideMark/>
          </w:tcPr>
          <w:p w14:paraId="7879CFCD"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425E8C0" w14:textId="2C2F5B31" w:rsidR="0095442F" w:rsidRPr="006749F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6749F3">
              <w:rPr>
                <w:color w:val="000000"/>
                <w:szCs w:val="24"/>
              </w:rPr>
              <w:t>-1,1</w:t>
            </w:r>
          </w:p>
        </w:tc>
        <w:tc>
          <w:tcPr>
            <w:tcW w:w="1221" w:type="dxa"/>
            <w:vAlign w:val="center"/>
          </w:tcPr>
          <w:p w14:paraId="6D5F0290" w14:textId="7B417AB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-0,7</w:t>
            </w:r>
          </w:p>
        </w:tc>
      </w:tr>
      <w:tr w:rsidR="0095442F" w:rsidRPr="00976103" w14:paraId="0336F814" w14:textId="77777777" w:rsidTr="0034726F">
        <w:trPr>
          <w:trHeight w:val="600"/>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1603A605"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14. Cikliski koriģētā primārā bilance (13 + 6) (% no IKP)</w:t>
            </w:r>
          </w:p>
        </w:tc>
        <w:tc>
          <w:tcPr>
            <w:tcW w:w="1409" w:type="dxa"/>
            <w:hideMark/>
          </w:tcPr>
          <w:p w14:paraId="2504CC62"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442198C7" w14:textId="1B509D39" w:rsidR="0095442F" w:rsidRPr="006749F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6749F3">
              <w:rPr>
                <w:color w:val="000000"/>
                <w:szCs w:val="24"/>
              </w:rPr>
              <w:t>-0,3</w:t>
            </w:r>
          </w:p>
        </w:tc>
        <w:tc>
          <w:tcPr>
            <w:tcW w:w="1221" w:type="dxa"/>
            <w:vAlign w:val="center"/>
          </w:tcPr>
          <w:p w14:paraId="57EEE794" w14:textId="32814441"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95442F">
              <w:rPr>
                <w:color w:val="000000"/>
                <w:szCs w:val="24"/>
              </w:rPr>
              <w:t>0,1</w:t>
            </w:r>
          </w:p>
        </w:tc>
      </w:tr>
      <w:tr w:rsidR="0095442F" w:rsidRPr="00976103" w14:paraId="439EDCFF" w14:textId="77777777" w:rsidTr="0034726F">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5382" w:type="dxa"/>
            <w:hideMark/>
          </w:tcPr>
          <w:p w14:paraId="6ED7CC8A"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1</w:t>
            </w:r>
            <w:r>
              <w:rPr>
                <w:color w:val="000000"/>
                <w:szCs w:val="24"/>
                <w:lang w:eastAsia="lv-LV"/>
              </w:rPr>
              <w:t>5. Strukturālā bilance (13 – 8)</w:t>
            </w:r>
            <w:r w:rsidRPr="00976103">
              <w:rPr>
                <w:color w:val="000000"/>
                <w:szCs w:val="24"/>
                <w:lang w:eastAsia="lv-LV"/>
              </w:rPr>
              <w:t xml:space="preserve"> (% no IKP)</w:t>
            </w:r>
            <w:r>
              <w:rPr>
                <w:color w:val="000000"/>
                <w:szCs w:val="24"/>
                <w:lang w:eastAsia="lv-LV"/>
              </w:rPr>
              <w:t xml:space="preserve"> </w:t>
            </w:r>
            <w:r w:rsidRPr="00D40D7E">
              <w:rPr>
                <w:rStyle w:val="FootnoteReference"/>
                <w:rFonts w:ascii="Times New Roman" w:hAnsi="Times New Roman"/>
                <w:color w:val="000000"/>
                <w:szCs w:val="24"/>
                <w:lang w:eastAsia="lv-LV"/>
              </w:rPr>
              <w:footnoteReference w:id="3"/>
            </w:r>
          </w:p>
        </w:tc>
        <w:tc>
          <w:tcPr>
            <w:tcW w:w="1409" w:type="dxa"/>
            <w:noWrap/>
            <w:hideMark/>
          </w:tcPr>
          <w:p w14:paraId="67CEA997" w14:textId="77777777" w:rsidR="0095442F" w:rsidRPr="00976103" w:rsidRDefault="0095442F" w:rsidP="0095442F">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309" w:type="dxa"/>
            <w:vAlign w:val="center"/>
          </w:tcPr>
          <w:p w14:paraId="7E4D0681" w14:textId="67DEEECD" w:rsidR="0095442F" w:rsidRPr="006749F3" w:rsidRDefault="0095442F" w:rsidP="006749F3">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6749F3">
              <w:rPr>
                <w:color w:val="000000"/>
                <w:szCs w:val="24"/>
              </w:rPr>
              <w:t>-1,</w:t>
            </w:r>
            <w:r w:rsidR="006749F3" w:rsidRPr="006749F3">
              <w:rPr>
                <w:color w:val="000000"/>
                <w:szCs w:val="24"/>
              </w:rPr>
              <w:t>3</w:t>
            </w:r>
          </w:p>
        </w:tc>
        <w:tc>
          <w:tcPr>
            <w:tcW w:w="1221" w:type="dxa"/>
            <w:vAlign w:val="center"/>
          </w:tcPr>
          <w:p w14:paraId="6BFF7E58" w14:textId="1E27BE32"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95442F">
              <w:rPr>
                <w:color w:val="000000"/>
                <w:szCs w:val="24"/>
              </w:rPr>
              <w:t>-0,7</w:t>
            </w:r>
          </w:p>
        </w:tc>
      </w:tr>
    </w:tbl>
    <w:p w14:paraId="4090F32F" w14:textId="77777777" w:rsidR="00DF6819" w:rsidRDefault="00DF6819" w:rsidP="00272FF4">
      <w:pPr>
        <w:pStyle w:val="Heading1"/>
        <w:tabs>
          <w:tab w:val="left" w:pos="1276"/>
        </w:tabs>
        <w:spacing w:before="0" w:after="240"/>
        <w:ind w:firstLine="0"/>
        <w:jc w:val="left"/>
        <w:rPr>
          <w:b w:val="0"/>
        </w:rPr>
      </w:pPr>
    </w:p>
    <w:p w14:paraId="13CE3608" w14:textId="77777777" w:rsidR="00DF6819" w:rsidRDefault="00DF6819" w:rsidP="00272FF4">
      <w:pPr>
        <w:pStyle w:val="Heading1"/>
        <w:tabs>
          <w:tab w:val="left" w:pos="1276"/>
        </w:tabs>
        <w:spacing w:before="0" w:after="240"/>
        <w:ind w:firstLine="0"/>
        <w:jc w:val="left"/>
        <w:rPr>
          <w:b w:val="0"/>
        </w:rPr>
      </w:pPr>
    </w:p>
    <w:p w14:paraId="68FB9038" w14:textId="1268EF57" w:rsidR="00272FF4" w:rsidRPr="006114E9" w:rsidRDefault="00272FF4" w:rsidP="00272FF4">
      <w:pPr>
        <w:pStyle w:val="Heading1"/>
        <w:tabs>
          <w:tab w:val="left" w:pos="1276"/>
        </w:tabs>
        <w:spacing w:before="0" w:after="240"/>
        <w:ind w:firstLine="0"/>
        <w:jc w:val="left"/>
        <w:rPr>
          <w:rFonts w:ascii="Times New Roman" w:hAnsi="Times New Roman"/>
          <w:lang w:val="lv-LV"/>
        </w:rPr>
      </w:pPr>
      <w:r w:rsidRPr="00976103">
        <w:rPr>
          <w:b w:val="0"/>
        </w:rPr>
        <w:br w:type="page"/>
      </w:r>
      <w:bookmarkStart w:id="11" w:name="_Toc21516504"/>
      <w:r w:rsidRPr="001D5709">
        <w:rPr>
          <w:rFonts w:ascii="Times New Roman" w:hAnsi="Times New Roman"/>
          <w:color w:val="18185F"/>
          <w:sz w:val="24"/>
        </w:rPr>
        <w:lastRenderedPageBreak/>
        <w:t xml:space="preserve">Tabula 2.b: Vispārējās valdības parāda attīstība </w:t>
      </w:r>
      <w:r w:rsidRPr="003822F3">
        <w:rPr>
          <w:rFonts w:ascii="Times New Roman" w:hAnsi="Times New Roman"/>
          <w:color w:val="18185F"/>
          <w:sz w:val="24"/>
        </w:rPr>
        <w:t>201</w:t>
      </w:r>
      <w:r w:rsidR="003822F3" w:rsidRPr="003822F3">
        <w:rPr>
          <w:rFonts w:ascii="Times New Roman" w:hAnsi="Times New Roman"/>
          <w:color w:val="18185F"/>
          <w:sz w:val="24"/>
          <w:lang w:val="lv-LV"/>
        </w:rPr>
        <w:t>9</w:t>
      </w:r>
      <w:r w:rsidR="00D85FDB" w:rsidRPr="003822F3">
        <w:rPr>
          <w:rFonts w:ascii="Times New Roman" w:hAnsi="Times New Roman"/>
          <w:color w:val="18185F"/>
          <w:sz w:val="24"/>
        </w:rPr>
        <w:t>.</w:t>
      </w:r>
      <w:r w:rsidR="005030D2" w:rsidRPr="003822F3">
        <w:rPr>
          <w:szCs w:val="24"/>
        </w:rPr>
        <w:t>–</w:t>
      </w:r>
      <w:r w:rsidR="00D85FDB" w:rsidRPr="003822F3">
        <w:rPr>
          <w:rFonts w:ascii="Times New Roman" w:hAnsi="Times New Roman"/>
          <w:color w:val="18185F"/>
          <w:sz w:val="24"/>
        </w:rPr>
        <w:t>20</w:t>
      </w:r>
      <w:r w:rsidR="003822F3" w:rsidRPr="003822F3">
        <w:rPr>
          <w:rFonts w:ascii="Times New Roman" w:hAnsi="Times New Roman"/>
          <w:color w:val="18185F"/>
          <w:sz w:val="24"/>
          <w:lang w:val="lv-LV"/>
        </w:rPr>
        <w:t>20</w:t>
      </w:r>
      <w:r w:rsidRPr="001D5709">
        <w:rPr>
          <w:rFonts w:ascii="Times New Roman" w:hAnsi="Times New Roman"/>
          <w:color w:val="18185F"/>
          <w:sz w:val="24"/>
        </w:rPr>
        <w:t>.gadā</w:t>
      </w:r>
      <w:bookmarkEnd w:id="11"/>
    </w:p>
    <w:tbl>
      <w:tblPr>
        <w:tblStyle w:val="GridTable6Colorful-Accent11"/>
        <w:tblW w:w="9209" w:type="dxa"/>
        <w:jc w:val="center"/>
        <w:tblLayout w:type="fixed"/>
        <w:tblLook w:val="04A0" w:firstRow="1" w:lastRow="0" w:firstColumn="1" w:lastColumn="0" w:noHBand="0" w:noVBand="1"/>
      </w:tblPr>
      <w:tblGrid>
        <w:gridCol w:w="5515"/>
        <w:gridCol w:w="1276"/>
        <w:gridCol w:w="1237"/>
        <w:gridCol w:w="1181"/>
      </w:tblGrid>
      <w:tr w:rsidR="00003E2F" w:rsidRPr="00003E2F" w14:paraId="4F26C6F3" w14:textId="77777777" w:rsidTr="001B0074">
        <w:trPr>
          <w:cnfStyle w:val="100000000000" w:firstRow="1" w:lastRow="0" w:firstColumn="0" w:lastColumn="0" w:oddVBand="0" w:evenVBand="0" w:oddHBand="0"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15D8A0D8" w14:textId="77777777" w:rsidR="00272FF4" w:rsidRPr="00003E2F" w:rsidRDefault="00272FF4" w:rsidP="001B0074">
            <w:pPr>
              <w:spacing w:after="0"/>
              <w:ind w:firstLine="0"/>
              <w:jc w:val="center"/>
              <w:rPr>
                <w:b w:val="0"/>
                <w:bCs w:val="0"/>
                <w:color w:val="auto"/>
                <w:szCs w:val="24"/>
                <w:lang w:eastAsia="lv-LV"/>
              </w:rPr>
            </w:pPr>
          </w:p>
        </w:tc>
        <w:tc>
          <w:tcPr>
            <w:tcW w:w="1276" w:type="dxa"/>
            <w:vAlign w:val="center"/>
            <w:hideMark/>
          </w:tcPr>
          <w:p w14:paraId="329F328C" w14:textId="77777777" w:rsidR="00272FF4" w:rsidRPr="00003E2F" w:rsidRDefault="00272FF4" w:rsidP="001B0074">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auto"/>
                <w:szCs w:val="24"/>
                <w:lang w:eastAsia="lv-LV"/>
              </w:rPr>
            </w:pPr>
            <w:r w:rsidRPr="00003E2F">
              <w:rPr>
                <w:color w:val="auto"/>
                <w:szCs w:val="24"/>
                <w:lang w:eastAsia="lv-LV"/>
              </w:rPr>
              <w:t>EKS kods</w:t>
            </w:r>
          </w:p>
        </w:tc>
        <w:tc>
          <w:tcPr>
            <w:tcW w:w="1237" w:type="dxa"/>
            <w:noWrap/>
            <w:vAlign w:val="center"/>
            <w:hideMark/>
          </w:tcPr>
          <w:p w14:paraId="2062E18E" w14:textId="7631AD03" w:rsidR="00272FF4" w:rsidRPr="00003E2F" w:rsidRDefault="006F3B5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201</w:t>
            </w:r>
            <w:r w:rsidR="003822F3">
              <w:rPr>
                <w:color w:val="auto"/>
                <w:szCs w:val="24"/>
                <w:lang w:eastAsia="lv-LV"/>
              </w:rPr>
              <w:t>9</w:t>
            </w:r>
          </w:p>
        </w:tc>
        <w:tc>
          <w:tcPr>
            <w:tcW w:w="1181" w:type="dxa"/>
            <w:noWrap/>
            <w:vAlign w:val="center"/>
            <w:hideMark/>
          </w:tcPr>
          <w:p w14:paraId="0C73BD03" w14:textId="62FDF315" w:rsidR="00272FF4" w:rsidRPr="00003E2F" w:rsidRDefault="006F3B5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Pr>
                <w:color w:val="auto"/>
                <w:szCs w:val="24"/>
                <w:lang w:eastAsia="lv-LV"/>
              </w:rPr>
              <w:t>20</w:t>
            </w:r>
            <w:r w:rsidR="003822F3">
              <w:rPr>
                <w:color w:val="auto"/>
                <w:szCs w:val="24"/>
                <w:lang w:eastAsia="lv-LV"/>
              </w:rPr>
              <w:t>20</w:t>
            </w:r>
          </w:p>
        </w:tc>
      </w:tr>
      <w:tr w:rsidR="00381267" w:rsidRPr="00003E2F" w14:paraId="19538A1E" w14:textId="77777777" w:rsidTr="001B0074">
        <w:trPr>
          <w:cnfStyle w:val="000000100000" w:firstRow="0" w:lastRow="0" w:firstColumn="0" w:lastColumn="0" w:oddVBand="0" w:evenVBand="0" w:oddHBand="1" w:evenHBand="0" w:firstRowFirstColumn="0" w:firstRowLastColumn="0" w:lastRowFirstColumn="0" w:lastRowLastColumn="0"/>
          <w:trHeight w:val="296"/>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tcPr>
          <w:p w14:paraId="1DAB2E39" w14:textId="77777777" w:rsidR="00381267" w:rsidRPr="00003E2F" w:rsidRDefault="00381267" w:rsidP="001B0074">
            <w:pPr>
              <w:spacing w:after="0"/>
              <w:ind w:firstLine="0"/>
              <w:jc w:val="center"/>
              <w:rPr>
                <w:szCs w:val="24"/>
                <w:lang w:eastAsia="lv-LV"/>
              </w:rPr>
            </w:pPr>
          </w:p>
        </w:tc>
        <w:tc>
          <w:tcPr>
            <w:tcW w:w="3694" w:type="dxa"/>
            <w:gridSpan w:val="3"/>
            <w:vAlign w:val="center"/>
          </w:tcPr>
          <w:p w14:paraId="4B19014B" w14:textId="77777777" w:rsidR="00381267" w:rsidRDefault="00381267" w:rsidP="001B0074">
            <w:pPr>
              <w:spacing w:after="0"/>
              <w:ind w:firstLine="0"/>
              <w:jc w:val="center"/>
              <w:cnfStyle w:val="000000100000" w:firstRow="0" w:lastRow="0" w:firstColumn="0" w:lastColumn="0" w:oddVBand="0" w:evenVBand="0" w:oddHBand="1" w:evenHBand="0" w:firstRowFirstColumn="0" w:firstRowLastColumn="0" w:lastRowFirstColumn="0" w:lastRowLastColumn="0"/>
              <w:rPr>
                <w:szCs w:val="24"/>
                <w:lang w:eastAsia="lv-LV"/>
              </w:rPr>
            </w:pPr>
            <w:r w:rsidRPr="00003E2F">
              <w:rPr>
                <w:color w:val="auto"/>
                <w:szCs w:val="24"/>
                <w:lang w:eastAsia="lv-LV"/>
              </w:rPr>
              <w:t>% no IKP</w:t>
            </w:r>
          </w:p>
        </w:tc>
      </w:tr>
      <w:tr w:rsidR="00AB5B38" w:rsidRPr="00003E2F" w14:paraId="3B436BDE" w14:textId="77777777" w:rsidTr="006652F3">
        <w:trPr>
          <w:trHeight w:val="282"/>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4E65BA5" w14:textId="77777777" w:rsidR="00AB5B38" w:rsidRPr="00003E2F" w:rsidRDefault="00AB5B38" w:rsidP="00AB5B38">
            <w:pPr>
              <w:spacing w:after="0"/>
              <w:ind w:firstLine="0"/>
              <w:jc w:val="left"/>
              <w:rPr>
                <w:bCs w:val="0"/>
                <w:color w:val="auto"/>
                <w:szCs w:val="24"/>
                <w:lang w:eastAsia="lv-LV"/>
              </w:rPr>
            </w:pPr>
            <w:r w:rsidRPr="00003E2F">
              <w:rPr>
                <w:color w:val="auto"/>
                <w:szCs w:val="24"/>
                <w:lang w:eastAsia="lv-LV"/>
              </w:rPr>
              <w:t>1. Bruto parāds</w:t>
            </w:r>
          </w:p>
        </w:tc>
        <w:tc>
          <w:tcPr>
            <w:tcW w:w="1276" w:type="dxa"/>
            <w:noWrap/>
            <w:hideMark/>
          </w:tcPr>
          <w:p w14:paraId="04568C02" w14:textId="77777777" w:rsidR="00AB5B38" w:rsidRPr="00003E2F" w:rsidRDefault="00AB5B38" w:rsidP="00AB5B38">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0745CBA6" w14:textId="7C8CBA4A" w:rsidR="00AB5B38" w:rsidRPr="006114E9" w:rsidRDefault="000C23DA" w:rsidP="00AB5B38">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36,6</w:t>
            </w:r>
          </w:p>
        </w:tc>
        <w:tc>
          <w:tcPr>
            <w:tcW w:w="1181" w:type="dxa"/>
            <w:noWrap/>
            <w:vAlign w:val="center"/>
          </w:tcPr>
          <w:p w14:paraId="1BA24525" w14:textId="56BFEF72" w:rsidR="00AB5B38" w:rsidRPr="006114E9" w:rsidRDefault="000C23DA" w:rsidP="00AB5B38">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37,0</w:t>
            </w:r>
          </w:p>
        </w:tc>
      </w:tr>
      <w:tr w:rsidR="00AB5B38" w:rsidRPr="00003E2F" w14:paraId="2319E18A" w14:textId="77777777" w:rsidTr="006652F3">
        <w:trPr>
          <w:cnfStyle w:val="000000100000" w:firstRow="0" w:lastRow="0" w:firstColumn="0" w:lastColumn="0" w:oddVBand="0" w:evenVBand="0" w:oddHBand="1" w:evenHBand="0" w:firstRowFirstColumn="0" w:firstRowLastColumn="0" w:lastRowFirstColumn="0" w:lastRowLastColumn="0"/>
          <w:trHeight w:val="26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248DEBCE" w14:textId="77777777" w:rsidR="00AB5B38" w:rsidRPr="00003E2F" w:rsidRDefault="00AB5B38" w:rsidP="00AB5B38">
            <w:pPr>
              <w:spacing w:after="0"/>
              <w:ind w:firstLine="0"/>
              <w:jc w:val="left"/>
              <w:rPr>
                <w:bCs w:val="0"/>
                <w:color w:val="auto"/>
                <w:szCs w:val="24"/>
                <w:lang w:eastAsia="lv-LV"/>
              </w:rPr>
            </w:pPr>
            <w:r w:rsidRPr="00003E2F">
              <w:rPr>
                <w:color w:val="auto"/>
                <w:szCs w:val="24"/>
                <w:lang w:eastAsia="lv-LV"/>
              </w:rPr>
              <w:t>2. Bruto parāda izmaiņas</w:t>
            </w:r>
          </w:p>
        </w:tc>
        <w:tc>
          <w:tcPr>
            <w:tcW w:w="1276" w:type="dxa"/>
            <w:noWrap/>
            <w:hideMark/>
          </w:tcPr>
          <w:p w14:paraId="739C149A" w14:textId="77777777" w:rsidR="00AB5B38" w:rsidRPr="00003E2F" w:rsidRDefault="00AB5B38" w:rsidP="00AB5B38">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45CF3ED2" w14:textId="7A0FA3A0" w:rsidR="00AB5B38" w:rsidRPr="006114E9" w:rsidRDefault="000C23DA" w:rsidP="00AB5B38">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0,7</w:t>
            </w:r>
          </w:p>
        </w:tc>
        <w:tc>
          <w:tcPr>
            <w:tcW w:w="1181" w:type="dxa"/>
            <w:noWrap/>
            <w:vAlign w:val="center"/>
          </w:tcPr>
          <w:p w14:paraId="3AA9E744" w14:textId="3616F8F4" w:rsidR="00AB5B38" w:rsidRPr="006114E9" w:rsidRDefault="000C23DA" w:rsidP="00AB5B38">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0,4</w:t>
            </w:r>
          </w:p>
        </w:tc>
      </w:tr>
      <w:tr w:rsidR="00003E2F" w:rsidRPr="00003E2F" w14:paraId="75C28533" w14:textId="77777777" w:rsidTr="00845A13">
        <w:trPr>
          <w:trHeight w:val="254"/>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32EE29B3" w14:textId="77777777" w:rsidR="00272FF4" w:rsidRPr="003822F3" w:rsidRDefault="00272FF4" w:rsidP="008D5055">
            <w:pPr>
              <w:spacing w:after="0"/>
              <w:ind w:firstLine="0"/>
              <w:jc w:val="center"/>
              <w:rPr>
                <w:bCs w:val="0"/>
                <w:color w:val="auto"/>
                <w:szCs w:val="24"/>
                <w:lang w:eastAsia="lv-LV"/>
              </w:rPr>
            </w:pPr>
            <w:r w:rsidRPr="003822F3">
              <w:rPr>
                <w:color w:val="auto"/>
                <w:szCs w:val="24"/>
                <w:lang w:eastAsia="lv-LV"/>
              </w:rPr>
              <w:t>Kopējā parāda izmaiņas ietekmējošie faktori</w:t>
            </w:r>
          </w:p>
        </w:tc>
      </w:tr>
      <w:tr w:rsidR="000C23DA" w:rsidRPr="00003E2F" w14:paraId="004A2C8C" w14:textId="77777777" w:rsidTr="006652F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27CF92D" w14:textId="77777777" w:rsidR="000C23DA" w:rsidRPr="00003E2F" w:rsidRDefault="000C23DA" w:rsidP="000C23DA">
            <w:pPr>
              <w:spacing w:after="0"/>
              <w:ind w:firstLine="0"/>
              <w:jc w:val="left"/>
              <w:rPr>
                <w:bCs w:val="0"/>
                <w:color w:val="auto"/>
                <w:szCs w:val="24"/>
                <w:lang w:eastAsia="lv-LV"/>
              </w:rPr>
            </w:pPr>
            <w:r w:rsidRPr="00003E2F">
              <w:rPr>
                <w:color w:val="auto"/>
                <w:szCs w:val="24"/>
                <w:lang w:eastAsia="lv-LV"/>
              </w:rPr>
              <w:t>3. Primārā bilance</w:t>
            </w:r>
          </w:p>
        </w:tc>
        <w:tc>
          <w:tcPr>
            <w:tcW w:w="1276" w:type="dxa"/>
            <w:noWrap/>
            <w:hideMark/>
          </w:tcPr>
          <w:p w14:paraId="4F7012BB" w14:textId="77777777" w:rsidR="000C23DA" w:rsidRPr="00003E2F" w:rsidRDefault="000C23DA" w:rsidP="000C23DA">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198B728B" w14:textId="7F10FF0D" w:rsidR="000C23DA" w:rsidRPr="006114E9" w:rsidRDefault="000C23DA" w:rsidP="000C23DA">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0,2</w:t>
            </w:r>
          </w:p>
        </w:tc>
        <w:tc>
          <w:tcPr>
            <w:tcW w:w="1181" w:type="dxa"/>
            <w:noWrap/>
            <w:vAlign w:val="center"/>
          </w:tcPr>
          <w:p w14:paraId="15B5F379" w14:textId="399FA3F7" w:rsidR="000C23DA" w:rsidRPr="006114E9" w:rsidRDefault="000C23DA" w:rsidP="000C23DA">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0,4</w:t>
            </w:r>
          </w:p>
        </w:tc>
      </w:tr>
      <w:tr w:rsidR="000C23DA" w:rsidRPr="00003E2F" w14:paraId="13FD67A9" w14:textId="77777777" w:rsidTr="006652F3">
        <w:trPr>
          <w:trHeight w:val="26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389BA431" w14:textId="77777777" w:rsidR="000C23DA" w:rsidRPr="00003E2F" w:rsidRDefault="000C23DA" w:rsidP="000C23DA">
            <w:pPr>
              <w:spacing w:after="0"/>
              <w:ind w:firstLine="0"/>
              <w:jc w:val="left"/>
              <w:rPr>
                <w:bCs w:val="0"/>
                <w:color w:val="auto"/>
                <w:szCs w:val="24"/>
                <w:lang w:eastAsia="lv-LV"/>
              </w:rPr>
            </w:pPr>
            <w:r w:rsidRPr="00003E2F">
              <w:rPr>
                <w:color w:val="auto"/>
                <w:szCs w:val="24"/>
                <w:lang w:eastAsia="lv-LV"/>
              </w:rPr>
              <w:t xml:space="preserve">4. Procentu maksājumi </w:t>
            </w:r>
          </w:p>
        </w:tc>
        <w:tc>
          <w:tcPr>
            <w:tcW w:w="1276" w:type="dxa"/>
            <w:hideMark/>
          </w:tcPr>
          <w:p w14:paraId="45F6C185" w14:textId="77777777" w:rsidR="000C23DA" w:rsidRPr="00003E2F" w:rsidRDefault="000C23DA" w:rsidP="000C23DA">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EDP D.41</w:t>
            </w:r>
          </w:p>
        </w:tc>
        <w:tc>
          <w:tcPr>
            <w:tcW w:w="1237" w:type="dxa"/>
            <w:noWrap/>
            <w:vAlign w:val="center"/>
          </w:tcPr>
          <w:p w14:paraId="266AEBC0" w14:textId="3C759DDB" w:rsidR="000C23DA" w:rsidRPr="006114E9" w:rsidRDefault="000C23DA" w:rsidP="000C23DA">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0,8</w:t>
            </w:r>
          </w:p>
        </w:tc>
        <w:tc>
          <w:tcPr>
            <w:tcW w:w="1181" w:type="dxa"/>
            <w:noWrap/>
            <w:vAlign w:val="center"/>
          </w:tcPr>
          <w:p w14:paraId="6EE2F5D2" w14:textId="426805D0" w:rsidR="000C23DA" w:rsidRPr="006114E9" w:rsidRDefault="000C23DA" w:rsidP="000C23DA">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0,7</w:t>
            </w:r>
          </w:p>
        </w:tc>
      </w:tr>
      <w:tr w:rsidR="000C23DA" w:rsidRPr="00003E2F" w14:paraId="4D709A4A" w14:textId="77777777" w:rsidTr="006652F3">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B7E874C" w14:textId="77777777" w:rsidR="000C23DA" w:rsidRPr="00003E2F" w:rsidRDefault="000C23DA" w:rsidP="000C23DA">
            <w:pPr>
              <w:spacing w:after="0"/>
              <w:ind w:firstLine="0"/>
              <w:jc w:val="left"/>
              <w:rPr>
                <w:bCs w:val="0"/>
                <w:color w:val="auto"/>
                <w:szCs w:val="24"/>
                <w:lang w:eastAsia="lv-LV"/>
              </w:rPr>
            </w:pPr>
            <w:r w:rsidRPr="00003E2F">
              <w:rPr>
                <w:color w:val="auto"/>
                <w:szCs w:val="24"/>
                <w:lang w:eastAsia="lv-LV"/>
              </w:rPr>
              <w:t xml:space="preserve">5. Krājumu </w:t>
            </w:r>
            <w:r w:rsidRPr="00B21E59">
              <w:rPr>
                <w:color w:val="auto"/>
                <w:szCs w:val="24"/>
                <w:lang w:eastAsia="lv-LV"/>
              </w:rPr>
              <w:t>izmaiņas, t.sk.</w:t>
            </w:r>
          </w:p>
        </w:tc>
        <w:tc>
          <w:tcPr>
            <w:tcW w:w="1276" w:type="dxa"/>
            <w:hideMark/>
          </w:tcPr>
          <w:p w14:paraId="401964B2" w14:textId="77777777" w:rsidR="000C23DA" w:rsidRPr="00003E2F" w:rsidRDefault="000C23DA" w:rsidP="000C23DA">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2938E4B2" w14:textId="701450C0" w:rsidR="000C23DA" w:rsidRPr="006114E9" w:rsidRDefault="000C23DA" w:rsidP="000C23DA">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0,1</w:t>
            </w:r>
          </w:p>
        </w:tc>
        <w:tc>
          <w:tcPr>
            <w:tcW w:w="1181" w:type="dxa"/>
            <w:noWrap/>
            <w:vAlign w:val="center"/>
          </w:tcPr>
          <w:p w14:paraId="06AA46F3" w14:textId="405BCC63" w:rsidR="000C23DA" w:rsidRPr="006114E9" w:rsidRDefault="000C23DA" w:rsidP="000C23DA">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0,0</w:t>
            </w:r>
          </w:p>
        </w:tc>
      </w:tr>
      <w:tr w:rsidR="000C23DA" w:rsidRPr="00003E2F" w14:paraId="7F22306B" w14:textId="77777777" w:rsidTr="006652F3">
        <w:trPr>
          <w:trHeight w:val="255"/>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73DBE3B1" w14:textId="77777777" w:rsidR="000C23DA" w:rsidRPr="00003E2F" w:rsidRDefault="000C23DA" w:rsidP="000C23DA">
            <w:pPr>
              <w:spacing w:after="0"/>
              <w:ind w:firstLine="0"/>
              <w:jc w:val="left"/>
              <w:rPr>
                <w:bCs w:val="0"/>
                <w:color w:val="auto"/>
                <w:szCs w:val="24"/>
                <w:lang w:eastAsia="lv-LV"/>
              </w:rPr>
            </w:pPr>
            <w:r w:rsidRPr="00003E2F">
              <w:rPr>
                <w:color w:val="auto"/>
                <w:szCs w:val="24"/>
                <w:lang w:eastAsia="lv-LV"/>
              </w:rPr>
              <w:t>Valsts parāda netiešā procentu likme</w:t>
            </w:r>
          </w:p>
        </w:tc>
        <w:tc>
          <w:tcPr>
            <w:tcW w:w="1276" w:type="dxa"/>
            <w:noWrap/>
            <w:hideMark/>
          </w:tcPr>
          <w:p w14:paraId="55BB0332" w14:textId="77777777" w:rsidR="000C23DA" w:rsidRPr="00003E2F" w:rsidRDefault="000C23DA" w:rsidP="000C23DA">
            <w:pPr>
              <w:spacing w:after="0"/>
              <w:ind w:firstLine="0"/>
              <w:jc w:val="left"/>
              <w:cnfStyle w:val="000000000000" w:firstRow="0" w:lastRow="0" w:firstColumn="0" w:lastColumn="0" w:oddVBand="0" w:evenVBand="0" w:oddHBand="0" w:evenHBand="0" w:firstRowFirstColumn="0" w:firstRowLastColumn="0" w:lastRowFirstColumn="0" w:lastRowLastColumn="0"/>
              <w:rPr>
                <w:bCs/>
                <w:color w:val="auto"/>
                <w:szCs w:val="24"/>
                <w:lang w:eastAsia="lv-LV"/>
              </w:rPr>
            </w:pPr>
            <w:r w:rsidRPr="00003E2F">
              <w:rPr>
                <w:bCs/>
                <w:color w:val="auto"/>
                <w:szCs w:val="24"/>
                <w:lang w:eastAsia="lv-LV"/>
              </w:rPr>
              <w:t> </w:t>
            </w:r>
          </w:p>
        </w:tc>
        <w:tc>
          <w:tcPr>
            <w:tcW w:w="1237" w:type="dxa"/>
            <w:noWrap/>
            <w:vAlign w:val="center"/>
          </w:tcPr>
          <w:p w14:paraId="027685C9" w14:textId="3E2806CB" w:rsidR="000C23DA" w:rsidRPr="006114E9" w:rsidRDefault="000C23DA" w:rsidP="000C23DA">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2,3</w:t>
            </w:r>
          </w:p>
        </w:tc>
        <w:tc>
          <w:tcPr>
            <w:tcW w:w="1181" w:type="dxa"/>
            <w:noWrap/>
            <w:vAlign w:val="center"/>
          </w:tcPr>
          <w:p w14:paraId="17F723B9" w14:textId="557B835D" w:rsidR="000C23DA" w:rsidRPr="006114E9" w:rsidRDefault="000C23DA" w:rsidP="000C23DA">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2,1</w:t>
            </w:r>
          </w:p>
        </w:tc>
      </w:tr>
      <w:tr w:rsidR="00003E2F" w:rsidRPr="00003E2F" w14:paraId="24C08E10" w14:textId="77777777" w:rsidTr="00845A1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209" w:type="dxa"/>
            <w:gridSpan w:val="4"/>
            <w:vAlign w:val="center"/>
            <w:hideMark/>
          </w:tcPr>
          <w:p w14:paraId="5DA88343" w14:textId="77777777" w:rsidR="00272FF4" w:rsidRPr="004D45D2" w:rsidRDefault="00272FF4" w:rsidP="008D5055">
            <w:pPr>
              <w:spacing w:after="0"/>
              <w:ind w:firstLine="0"/>
              <w:jc w:val="center"/>
              <w:rPr>
                <w:bCs w:val="0"/>
                <w:color w:val="auto"/>
                <w:szCs w:val="24"/>
                <w:highlight w:val="yellow"/>
                <w:lang w:eastAsia="lv-LV"/>
              </w:rPr>
            </w:pPr>
            <w:r w:rsidRPr="003822F3">
              <w:rPr>
                <w:color w:val="auto"/>
                <w:szCs w:val="24"/>
                <w:lang w:eastAsia="lv-LV"/>
              </w:rPr>
              <w:t>Citi mainīgie</w:t>
            </w:r>
          </w:p>
        </w:tc>
      </w:tr>
      <w:tr w:rsidR="00003E2F" w:rsidRPr="00003E2F" w14:paraId="69F1A303" w14:textId="77777777" w:rsidTr="007A318D">
        <w:trPr>
          <w:trHeight w:val="249"/>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0A16C4CC"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6. Likvīdi finanšu aktīvi</w:t>
            </w:r>
          </w:p>
        </w:tc>
        <w:tc>
          <w:tcPr>
            <w:tcW w:w="1276" w:type="dxa"/>
            <w:noWrap/>
            <w:hideMark/>
          </w:tcPr>
          <w:p w14:paraId="26887671" w14:textId="77777777" w:rsidR="00272FF4" w:rsidRPr="00003E2F" w:rsidRDefault="00272FF4" w:rsidP="00272FF4">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5C348698" w14:textId="77777777" w:rsidR="00272FF4" w:rsidRPr="004D45D2"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p>
        </w:tc>
        <w:tc>
          <w:tcPr>
            <w:tcW w:w="1181" w:type="dxa"/>
            <w:noWrap/>
            <w:vAlign w:val="center"/>
          </w:tcPr>
          <w:p w14:paraId="661C623D" w14:textId="77777777" w:rsidR="00272FF4" w:rsidRPr="004D45D2" w:rsidRDefault="00272FF4"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p>
        </w:tc>
      </w:tr>
      <w:tr w:rsidR="00003E2F" w:rsidRPr="00003E2F" w14:paraId="405E1840" w14:textId="77777777" w:rsidTr="006652F3">
        <w:trPr>
          <w:cnfStyle w:val="000000100000" w:firstRow="0" w:lastRow="0" w:firstColumn="0" w:lastColumn="0" w:oddVBand="0" w:evenVBand="0" w:oddHBand="1" w:evenHBand="0" w:firstRowFirstColumn="0" w:firstRowLastColumn="0" w:lastRowFirstColumn="0" w:lastRowLastColumn="0"/>
          <w:trHeight w:val="25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760796A8" w14:textId="77777777" w:rsidR="00272FF4" w:rsidRPr="00003E2F" w:rsidRDefault="00272FF4" w:rsidP="00272FF4">
            <w:pPr>
              <w:spacing w:after="0"/>
              <w:ind w:firstLine="0"/>
              <w:jc w:val="left"/>
              <w:rPr>
                <w:color w:val="auto"/>
                <w:szCs w:val="24"/>
                <w:lang w:eastAsia="lv-LV"/>
              </w:rPr>
            </w:pPr>
            <w:r w:rsidRPr="00003E2F">
              <w:rPr>
                <w:color w:val="auto"/>
                <w:szCs w:val="24"/>
                <w:lang w:eastAsia="lv-LV"/>
              </w:rPr>
              <w:t>7. Neto finansiālais parāds (7=1-6)</w:t>
            </w:r>
          </w:p>
        </w:tc>
        <w:tc>
          <w:tcPr>
            <w:tcW w:w="1276" w:type="dxa"/>
            <w:noWrap/>
            <w:hideMark/>
          </w:tcPr>
          <w:p w14:paraId="1C2BB2CE"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53774168" w14:textId="77777777" w:rsidR="00272FF4" w:rsidRPr="004D45D2"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p>
        </w:tc>
        <w:tc>
          <w:tcPr>
            <w:tcW w:w="1181" w:type="dxa"/>
            <w:noWrap/>
            <w:vAlign w:val="center"/>
          </w:tcPr>
          <w:p w14:paraId="211511F1" w14:textId="77777777" w:rsidR="00272FF4" w:rsidRPr="004D45D2"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p>
        </w:tc>
      </w:tr>
      <w:tr w:rsidR="000C23DA" w:rsidRPr="00003E2F" w14:paraId="54C528A1" w14:textId="77777777" w:rsidTr="006652F3">
        <w:trPr>
          <w:trHeight w:val="25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74D536F3" w14:textId="77777777" w:rsidR="000C23DA" w:rsidRPr="00003E2F" w:rsidRDefault="000C23DA" w:rsidP="000C23DA">
            <w:pPr>
              <w:spacing w:after="0"/>
              <w:ind w:firstLine="0"/>
              <w:jc w:val="left"/>
              <w:rPr>
                <w:color w:val="auto"/>
                <w:szCs w:val="24"/>
                <w:lang w:eastAsia="lv-LV"/>
              </w:rPr>
            </w:pPr>
            <w:r w:rsidRPr="00003E2F">
              <w:rPr>
                <w:color w:val="auto"/>
                <w:szCs w:val="24"/>
                <w:lang w:eastAsia="lv-LV"/>
              </w:rPr>
              <w:t>8. Parāda amortizācija</w:t>
            </w:r>
          </w:p>
        </w:tc>
        <w:tc>
          <w:tcPr>
            <w:tcW w:w="1276" w:type="dxa"/>
            <w:noWrap/>
            <w:hideMark/>
          </w:tcPr>
          <w:p w14:paraId="32A9F11A" w14:textId="77777777" w:rsidR="000C23DA" w:rsidRPr="00003E2F" w:rsidRDefault="000C23DA" w:rsidP="000C23DA">
            <w:pPr>
              <w:spacing w:after="0"/>
              <w:ind w:firstLine="0"/>
              <w:jc w:val="righ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3C9350C8" w14:textId="11D10A24" w:rsidR="000C23DA" w:rsidRPr="006114E9" w:rsidRDefault="000C23DA" w:rsidP="000C23DA">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1,2</w:t>
            </w:r>
          </w:p>
        </w:tc>
        <w:tc>
          <w:tcPr>
            <w:tcW w:w="1181" w:type="dxa"/>
            <w:noWrap/>
            <w:vAlign w:val="center"/>
          </w:tcPr>
          <w:p w14:paraId="7A8ED66E" w14:textId="4EC40090" w:rsidR="000C23DA" w:rsidRPr="006114E9" w:rsidRDefault="000C23DA" w:rsidP="000C23DA">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4,0</w:t>
            </w:r>
          </w:p>
        </w:tc>
      </w:tr>
      <w:tr w:rsidR="000C23DA" w:rsidRPr="00003E2F" w14:paraId="3A603505" w14:textId="77777777" w:rsidTr="006652F3">
        <w:trPr>
          <w:cnfStyle w:val="000000100000" w:firstRow="0" w:lastRow="0" w:firstColumn="0" w:lastColumn="0" w:oddVBand="0" w:evenVBand="0" w:oddHBand="1"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5515" w:type="dxa"/>
            <w:hideMark/>
          </w:tcPr>
          <w:p w14:paraId="2AB48D45" w14:textId="77777777" w:rsidR="000C23DA" w:rsidRPr="00003E2F" w:rsidRDefault="000C23DA" w:rsidP="000C23DA">
            <w:pPr>
              <w:spacing w:after="0"/>
              <w:ind w:firstLine="0"/>
              <w:jc w:val="left"/>
              <w:rPr>
                <w:color w:val="auto"/>
                <w:szCs w:val="24"/>
                <w:lang w:eastAsia="lv-LV"/>
              </w:rPr>
            </w:pPr>
            <w:r w:rsidRPr="00003E2F">
              <w:rPr>
                <w:color w:val="auto"/>
                <w:szCs w:val="24"/>
                <w:lang w:eastAsia="lv-LV"/>
              </w:rPr>
              <w:t>9. Ārvalstu valūtā denominētā parāda īpatsvars</w:t>
            </w:r>
          </w:p>
        </w:tc>
        <w:tc>
          <w:tcPr>
            <w:tcW w:w="1276" w:type="dxa"/>
            <w:noWrap/>
            <w:hideMark/>
          </w:tcPr>
          <w:p w14:paraId="6B9C4F4E" w14:textId="77777777" w:rsidR="000C23DA" w:rsidRPr="00003E2F" w:rsidRDefault="000C23DA" w:rsidP="000C23DA">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669B48DD" w14:textId="7DAD330F" w:rsidR="000C23DA" w:rsidRPr="006114E9" w:rsidRDefault="000C23DA" w:rsidP="000C23DA">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10,4</w:t>
            </w:r>
          </w:p>
        </w:tc>
        <w:tc>
          <w:tcPr>
            <w:tcW w:w="1181" w:type="dxa"/>
            <w:noWrap/>
            <w:vAlign w:val="center"/>
          </w:tcPr>
          <w:p w14:paraId="6E4724EB" w14:textId="4C9555A3" w:rsidR="000C23DA" w:rsidRPr="006114E9" w:rsidRDefault="000C23DA" w:rsidP="000C23DA">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Pr>
                <w:color w:val="auto"/>
                <w:szCs w:val="24"/>
                <w:lang w:eastAsia="lv-LV"/>
              </w:rPr>
              <w:t>4,4</w:t>
            </w:r>
          </w:p>
        </w:tc>
      </w:tr>
      <w:tr w:rsidR="006114E9" w:rsidRPr="00003E2F" w14:paraId="3DF0E3FF" w14:textId="77777777" w:rsidTr="006652F3">
        <w:trPr>
          <w:trHeight w:val="251"/>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17DEDF27" w14:textId="77777777" w:rsidR="006114E9" w:rsidRPr="00003E2F" w:rsidRDefault="006114E9" w:rsidP="006114E9">
            <w:pPr>
              <w:spacing w:after="0"/>
              <w:ind w:firstLine="0"/>
              <w:jc w:val="left"/>
              <w:rPr>
                <w:color w:val="auto"/>
                <w:szCs w:val="24"/>
                <w:lang w:eastAsia="lv-LV"/>
              </w:rPr>
            </w:pPr>
            <w:r w:rsidRPr="00003E2F">
              <w:rPr>
                <w:color w:val="auto"/>
                <w:szCs w:val="24"/>
                <w:lang w:eastAsia="lv-LV"/>
              </w:rPr>
              <w:t>10. Vidējā dzēšana</w:t>
            </w:r>
          </w:p>
        </w:tc>
        <w:tc>
          <w:tcPr>
            <w:tcW w:w="1276" w:type="dxa"/>
            <w:noWrap/>
            <w:hideMark/>
          </w:tcPr>
          <w:p w14:paraId="5C23A8F1" w14:textId="77777777" w:rsidR="006114E9" w:rsidRPr="00003E2F" w:rsidRDefault="006114E9" w:rsidP="006114E9">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5F151438" w14:textId="3B8D8C24" w:rsidR="006114E9" w:rsidRPr="006114E9" w:rsidRDefault="006114E9" w:rsidP="006114E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6114E9">
              <w:rPr>
                <w:color w:val="auto"/>
                <w:szCs w:val="24"/>
                <w:lang w:eastAsia="lv-LV"/>
              </w:rPr>
              <w:t>9,44 gadi</w:t>
            </w:r>
          </w:p>
        </w:tc>
        <w:tc>
          <w:tcPr>
            <w:tcW w:w="1181" w:type="dxa"/>
            <w:noWrap/>
            <w:vAlign w:val="center"/>
          </w:tcPr>
          <w:p w14:paraId="46B58D0C" w14:textId="40461573" w:rsidR="006114E9" w:rsidRPr="006114E9" w:rsidRDefault="006114E9" w:rsidP="006114E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6114E9">
              <w:rPr>
                <w:color w:val="auto"/>
                <w:szCs w:val="24"/>
                <w:lang w:eastAsia="lv-LV"/>
              </w:rPr>
              <w:t> </w:t>
            </w:r>
          </w:p>
        </w:tc>
      </w:tr>
      <w:tr w:rsidR="00003E2F" w:rsidRPr="00003E2F" w14:paraId="5A7EC53B" w14:textId="77777777" w:rsidTr="006652F3">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5515" w:type="dxa"/>
            <w:noWrap/>
            <w:vAlign w:val="center"/>
            <w:hideMark/>
          </w:tcPr>
          <w:p w14:paraId="5D6770EC" w14:textId="77777777" w:rsidR="00272FF4" w:rsidRPr="00003E2F" w:rsidRDefault="00272FF4" w:rsidP="00442C25">
            <w:pPr>
              <w:spacing w:after="0"/>
              <w:ind w:firstLine="0"/>
              <w:jc w:val="left"/>
              <w:rPr>
                <w:bCs w:val="0"/>
                <w:i/>
                <w:iCs/>
                <w:color w:val="auto"/>
                <w:szCs w:val="24"/>
                <w:lang w:eastAsia="lv-LV"/>
              </w:rPr>
            </w:pPr>
            <w:r w:rsidRPr="00003E2F">
              <w:rPr>
                <w:i/>
                <w:iCs/>
                <w:color w:val="auto"/>
                <w:szCs w:val="24"/>
                <w:lang w:eastAsia="lv-LV"/>
              </w:rPr>
              <w:t xml:space="preserve">Informācijai </w:t>
            </w:r>
            <w:r w:rsidR="00A67950">
              <w:rPr>
                <w:i/>
                <w:iCs/>
                <w:color w:val="auto"/>
                <w:szCs w:val="24"/>
                <w:lang w:eastAsia="lv-LV"/>
              </w:rPr>
              <w:t>–</w:t>
            </w:r>
            <w:r w:rsidRPr="00003E2F">
              <w:rPr>
                <w:i/>
                <w:iCs/>
                <w:color w:val="auto"/>
                <w:szCs w:val="24"/>
                <w:lang w:eastAsia="lv-LV"/>
              </w:rPr>
              <w:t xml:space="preserve"> aprēķinos izmantotie IKP dati:</w:t>
            </w:r>
          </w:p>
        </w:tc>
        <w:tc>
          <w:tcPr>
            <w:tcW w:w="1276" w:type="dxa"/>
            <w:noWrap/>
            <w:hideMark/>
          </w:tcPr>
          <w:p w14:paraId="6463EBE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685E7C92" w14:textId="77777777" w:rsidR="00272FF4" w:rsidRPr="004D45D2"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p>
        </w:tc>
        <w:tc>
          <w:tcPr>
            <w:tcW w:w="1181" w:type="dxa"/>
            <w:noWrap/>
            <w:vAlign w:val="center"/>
          </w:tcPr>
          <w:p w14:paraId="0BDDE3F4" w14:textId="77777777" w:rsidR="00272FF4" w:rsidRPr="004D45D2" w:rsidRDefault="00272FF4" w:rsidP="008D5055">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p>
        </w:tc>
      </w:tr>
      <w:tr w:rsidR="0092680D" w:rsidRPr="00003E2F" w14:paraId="306A804C" w14:textId="77777777" w:rsidTr="006652F3">
        <w:trPr>
          <w:trHeight w:val="233"/>
          <w:jc w:val="center"/>
        </w:trPr>
        <w:tc>
          <w:tcPr>
            <w:cnfStyle w:val="001000000000" w:firstRow="0" w:lastRow="0" w:firstColumn="1" w:lastColumn="0" w:oddVBand="0" w:evenVBand="0" w:oddHBand="0" w:evenHBand="0" w:firstRowFirstColumn="0" w:firstRowLastColumn="0" w:lastRowFirstColumn="0" w:lastRowLastColumn="0"/>
            <w:tcW w:w="5515" w:type="dxa"/>
            <w:noWrap/>
            <w:hideMark/>
          </w:tcPr>
          <w:p w14:paraId="4C614E1C" w14:textId="77777777" w:rsidR="0092680D" w:rsidRPr="00003E2F" w:rsidRDefault="0092680D" w:rsidP="0092680D">
            <w:pPr>
              <w:spacing w:after="0"/>
              <w:ind w:firstLine="0"/>
              <w:jc w:val="left"/>
              <w:rPr>
                <w:color w:val="auto"/>
                <w:szCs w:val="24"/>
                <w:lang w:eastAsia="lv-LV"/>
              </w:rPr>
            </w:pPr>
            <w:r w:rsidRPr="00003E2F">
              <w:rPr>
                <w:color w:val="auto"/>
                <w:szCs w:val="24"/>
                <w:lang w:eastAsia="lv-LV"/>
              </w:rPr>
              <w:t>IKP faktiskajās cenās, milj.</w:t>
            </w:r>
            <w:r w:rsidR="00081726">
              <w:rPr>
                <w:color w:val="auto"/>
                <w:szCs w:val="24"/>
                <w:lang w:eastAsia="lv-LV"/>
              </w:rPr>
              <w:t xml:space="preserve"> </w:t>
            </w:r>
            <w:r w:rsidRPr="00003E2F">
              <w:rPr>
                <w:i/>
                <w:color w:val="auto"/>
                <w:szCs w:val="24"/>
                <w:lang w:eastAsia="lv-LV"/>
              </w:rPr>
              <w:t>euro</w:t>
            </w:r>
          </w:p>
        </w:tc>
        <w:tc>
          <w:tcPr>
            <w:tcW w:w="1276" w:type="dxa"/>
            <w:noWrap/>
            <w:hideMark/>
          </w:tcPr>
          <w:p w14:paraId="4BFE74AB" w14:textId="77777777" w:rsidR="0092680D" w:rsidRPr="00003E2F" w:rsidRDefault="0092680D" w:rsidP="0092680D">
            <w:pPr>
              <w:spacing w:after="0"/>
              <w:ind w:firstLine="0"/>
              <w:jc w:val="left"/>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003E2F">
              <w:rPr>
                <w:color w:val="auto"/>
                <w:szCs w:val="24"/>
                <w:lang w:eastAsia="lv-LV"/>
              </w:rPr>
              <w:t> </w:t>
            </w:r>
          </w:p>
        </w:tc>
        <w:tc>
          <w:tcPr>
            <w:tcW w:w="1237" w:type="dxa"/>
            <w:noWrap/>
            <w:vAlign w:val="center"/>
          </w:tcPr>
          <w:p w14:paraId="7BCE9E8E" w14:textId="5AED68F6" w:rsidR="0092680D" w:rsidRPr="00572A15" w:rsidRDefault="00572A15"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2A15">
              <w:rPr>
                <w:color w:val="auto"/>
                <w:szCs w:val="24"/>
                <w:lang w:eastAsia="lv-LV"/>
              </w:rPr>
              <w:t>31</w:t>
            </w:r>
            <w:r>
              <w:rPr>
                <w:color w:val="auto"/>
                <w:szCs w:val="24"/>
                <w:lang w:eastAsia="lv-LV"/>
              </w:rPr>
              <w:t> </w:t>
            </w:r>
            <w:r w:rsidRPr="00572A15">
              <w:rPr>
                <w:color w:val="auto"/>
                <w:szCs w:val="24"/>
                <w:lang w:eastAsia="lv-LV"/>
              </w:rPr>
              <w:t>401,9</w:t>
            </w:r>
          </w:p>
        </w:tc>
        <w:tc>
          <w:tcPr>
            <w:tcW w:w="1181" w:type="dxa"/>
            <w:noWrap/>
            <w:vAlign w:val="center"/>
          </w:tcPr>
          <w:p w14:paraId="40A5B701" w14:textId="353B8334" w:rsidR="0092680D" w:rsidRPr="00572A15" w:rsidRDefault="00572A15" w:rsidP="008D5055">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sidRPr="00572A15">
              <w:rPr>
                <w:color w:val="auto"/>
                <w:szCs w:val="24"/>
                <w:lang w:eastAsia="lv-LV"/>
              </w:rPr>
              <w:t>33</w:t>
            </w:r>
            <w:r>
              <w:rPr>
                <w:color w:val="auto"/>
                <w:szCs w:val="24"/>
                <w:lang w:eastAsia="lv-LV"/>
              </w:rPr>
              <w:t> </w:t>
            </w:r>
            <w:r w:rsidRPr="00572A15">
              <w:rPr>
                <w:color w:val="auto"/>
                <w:szCs w:val="24"/>
                <w:lang w:eastAsia="lv-LV"/>
              </w:rPr>
              <w:t>154,4</w:t>
            </w:r>
          </w:p>
        </w:tc>
      </w:tr>
    </w:tbl>
    <w:p w14:paraId="30E4CD45" w14:textId="28FCA152" w:rsidR="00272FF4" w:rsidRDefault="00272FF4" w:rsidP="00272FF4">
      <w:pPr>
        <w:ind w:firstLine="0"/>
        <w:jc w:val="left"/>
        <w:rPr>
          <w:sz w:val="20"/>
        </w:rPr>
      </w:pPr>
    </w:p>
    <w:p w14:paraId="7EC59A41" w14:textId="77777777" w:rsidR="006334F7" w:rsidRPr="00976103" w:rsidRDefault="006334F7" w:rsidP="00272FF4">
      <w:pPr>
        <w:ind w:firstLine="0"/>
        <w:jc w:val="left"/>
        <w:rPr>
          <w:b/>
          <w:szCs w:val="24"/>
        </w:rPr>
      </w:pPr>
    </w:p>
    <w:p w14:paraId="54A39167" w14:textId="77777777" w:rsidR="00272FF4" w:rsidRPr="001D5709" w:rsidRDefault="00272FF4" w:rsidP="00272FF4">
      <w:pPr>
        <w:pStyle w:val="Heading1"/>
        <w:tabs>
          <w:tab w:val="left" w:pos="1276"/>
        </w:tabs>
        <w:spacing w:before="0" w:after="240"/>
        <w:ind w:firstLine="0"/>
        <w:jc w:val="left"/>
        <w:rPr>
          <w:rFonts w:ascii="Times New Roman" w:hAnsi="Times New Roman"/>
          <w:color w:val="18185F"/>
          <w:sz w:val="24"/>
        </w:rPr>
      </w:pPr>
      <w:bookmarkStart w:id="12" w:name="_Toc21516505"/>
      <w:r w:rsidRPr="001D5709">
        <w:rPr>
          <w:rFonts w:ascii="Times New Roman" w:hAnsi="Times New Roman"/>
          <w:color w:val="18185F"/>
          <w:sz w:val="24"/>
        </w:rPr>
        <w:t>Tabula 2.c: Netiešās saistības</w:t>
      </w:r>
      <w:bookmarkEnd w:id="12"/>
    </w:p>
    <w:tbl>
      <w:tblPr>
        <w:tblStyle w:val="GridTable6Colorful-Accent11"/>
        <w:tblW w:w="6024" w:type="dxa"/>
        <w:tblLook w:val="04A0" w:firstRow="1" w:lastRow="0" w:firstColumn="1" w:lastColumn="0" w:noHBand="0" w:noVBand="1"/>
      </w:tblPr>
      <w:tblGrid>
        <w:gridCol w:w="3686"/>
        <w:gridCol w:w="1134"/>
        <w:gridCol w:w="1204"/>
      </w:tblGrid>
      <w:tr w:rsidR="00003E2F" w:rsidRPr="00003E2F" w14:paraId="7E408F82" w14:textId="77777777" w:rsidTr="00807CD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14:paraId="220E10BF" w14:textId="77777777" w:rsidR="00272FF4" w:rsidRPr="00003E2F" w:rsidRDefault="00272FF4" w:rsidP="00807CD2">
            <w:pPr>
              <w:spacing w:after="0"/>
              <w:ind w:firstLine="0"/>
              <w:jc w:val="center"/>
              <w:rPr>
                <w:color w:val="auto"/>
                <w:szCs w:val="24"/>
                <w:lang w:eastAsia="lv-LV"/>
              </w:rPr>
            </w:pPr>
            <w:r w:rsidRPr="00003E2F">
              <w:rPr>
                <w:color w:val="auto"/>
                <w:szCs w:val="24"/>
                <w:lang w:eastAsia="lv-LV"/>
              </w:rPr>
              <w:t>% no IKP</w:t>
            </w:r>
          </w:p>
        </w:tc>
        <w:tc>
          <w:tcPr>
            <w:tcW w:w="1134" w:type="dxa"/>
            <w:vMerge w:val="restart"/>
            <w:vAlign w:val="center"/>
            <w:hideMark/>
          </w:tcPr>
          <w:p w14:paraId="10A535F9" w14:textId="3A08BA53" w:rsidR="00272FF4" w:rsidRPr="00003E2F" w:rsidRDefault="00272FF4"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201</w:t>
            </w:r>
            <w:r w:rsidR="003822F3">
              <w:rPr>
                <w:color w:val="auto"/>
                <w:szCs w:val="24"/>
                <w:lang w:eastAsia="lv-LV"/>
              </w:rPr>
              <w:t>9</w:t>
            </w:r>
          </w:p>
        </w:tc>
        <w:tc>
          <w:tcPr>
            <w:tcW w:w="1204" w:type="dxa"/>
            <w:vMerge w:val="restart"/>
            <w:vAlign w:val="center"/>
            <w:hideMark/>
          </w:tcPr>
          <w:p w14:paraId="2D1448FB" w14:textId="7C06051B" w:rsidR="00272FF4" w:rsidRPr="00003E2F" w:rsidRDefault="00272FF4"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auto"/>
                <w:szCs w:val="24"/>
                <w:lang w:eastAsia="lv-LV"/>
              </w:rPr>
            </w:pPr>
            <w:r w:rsidRPr="00003E2F">
              <w:rPr>
                <w:color w:val="auto"/>
                <w:szCs w:val="24"/>
                <w:lang w:eastAsia="lv-LV"/>
              </w:rPr>
              <w:t>20</w:t>
            </w:r>
            <w:r w:rsidR="003822F3">
              <w:rPr>
                <w:color w:val="auto"/>
                <w:szCs w:val="24"/>
                <w:lang w:eastAsia="lv-LV"/>
              </w:rPr>
              <w:t>20</w:t>
            </w:r>
          </w:p>
        </w:tc>
      </w:tr>
      <w:tr w:rsidR="00003E2F" w:rsidRPr="00003E2F" w14:paraId="3909D11B" w14:textId="77777777" w:rsidTr="00807CD2">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686" w:type="dxa"/>
            <w:vMerge/>
            <w:hideMark/>
          </w:tcPr>
          <w:p w14:paraId="0DCE75A0" w14:textId="77777777" w:rsidR="00272FF4" w:rsidRPr="00003E2F" w:rsidRDefault="00272FF4" w:rsidP="00272FF4">
            <w:pPr>
              <w:spacing w:after="0"/>
              <w:ind w:firstLine="0"/>
              <w:jc w:val="left"/>
              <w:rPr>
                <w:color w:val="auto"/>
                <w:szCs w:val="24"/>
                <w:lang w:eastAsia="lv-LV"/>
              </w:rPr>
            </w:pPr>
          </w:p>
        </w:tc>
        <w:tc>
          <w:tcPr>
            <w:tcW w:w="1134" w:type="dxa"/>
            <w:vMerge/>
            <w:hideMark/>
          </w:tcPr>
          <w:p w14:paraId="4483374B"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c>
          <w:tcPr>
            <w:tcW w:w="1204" w:type="dxa"/>
            <w:vMerge/>
            <w:hideMark/>
          </w:tcPr>
          <w:p w14:paraId="78ED0C9D" w14:textId="77777777" w:rsidR="00272FF4" w:rsidRPr="00003E2F" w:rsidRDefault="00272FF4" w:rsidP="00272FF4">
            <w:pPr>
              <w:spacing w:after="0"/>
              <w:ind w:firstLine="0"/>
              <w:jc w:val="left"/>
              <w:cnfStyle w:val="000000100000" w:firstRow="0" w:lastRow="0" w:firstColumn="0" w:lastColumn="0" w:oddVBand="0" w:evenVBand="0" w:oddHBand="1" w:evenHBand="0" w:firstRowFirstColumn="0" w:firstRowLastColumn="0" w:lastRowFirstColumn="0" w:lastRowLastColumn="0"/>
              <w:rPr>
                <w:bCs/>
                <w:color w:val="auto"/>
                <w:szCs w:val="24"/>
                <w:lang w:eastAsia="lv-LV"/>
              </w:rPr>
            </w:pPr>
          </w:p>
        </w:tc>
      </w:tr>
      <w:tr w:rsidR="006114E9" w:rsidRPr="00003E2F" w14:paraId="29351768" w14:textId="77777777" w:rsidTr="0095442F">
        <w:trPr>
          <w:trHeight w:val="330"/>
        </w:trPr>
        <w:tc>
          <w:tcPr>
            <w:cnfStyle w:val="001000000000" w:firstRow="0" w:lastRow="0" w:firstColumn="1" w:lastColumn="0" w:oddVBand="0" w:evenVBand="0" w:oddHBand="0" w:evenHBand="0" w:firstRowFirstColumn="0" w:firstRowLastColumn="0" w:lastRowFirstColumn="0" w:lastRowLastColumn="0"/>
            <w:tcW w:w="3686" w:type="dxa"/>
            <w:hideMark/>
          </w:tcPr>
          <w:p w14:paraId="48A7CC34" w14:textId="77777777" w:rsidR="006114E9" w:rsidRPr="002E734A" w:rsidRDefault="006114E9" w:rsidP="006114E9">
            <w:pPr>
              <w:spacing w:after="0"/>
              <w:ind w:firstLine="0"/>
              <w:jc w:val="left"/>
              <w:rPr>
                <w:bCs w:val="0"/>
                <w:color w:val="auto"/>
                <w:szCs w:val="24"/>
                <w:lang w:eastAsia="lv-LV"/>
              </w:rPr>
            </w:pPr>
            <w:r w:rsidRPr="002E734A">
              <w:rPr>
                <w:color w:val="auto"/>
                <w:szCs w:val="24"/>
                <w:lang w:eastAsia="lv-LV"/>
              </w:rPr>
              <w:t>Valsts un pašvaldību garantijas</w:t>
            </w:r>
          </w:p>
        </w:tc>
        <w:tc>
          <w:tcPr>
            <w:tcW w:w="1134" w:type="dxa"/>
            <w:vAlign w:val="center"/>
          </w:tcPr>
          <w:p w14:paraId="6851C719" w14:textId="1F42EF1D" w:rsidR="006114E9" w:rsidRPr="006114E9" w:rsidRDefault="008906EA" w:rsidP="006114E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1,3</w:t>
            </w:r>
          </w:p>
        </w:tc>
        <w:tc>
          <w:tcPr>
            <w:tcW w:w="1204" w:type="dxa"/>
            <w:vAlign w:val="center"/>
          </w:tcPr>
          <w:p w14:paraId="244FEC9D" w14:textId="59C0B2B1" w:rsidR="006114E9" w:rsidRPr="006114E9" w:rsidRDefault="008906EA" w:rsidP="006114E9">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lang w:eastAsia="lv-LV"/>
              </w:rPr>
            </w:pPr>
            <w:r>
              <w:rPr>
                <w:color w:val="auto"/>
                <w:szCs w:val="24"/>
                <w:lang w:eastAsia="lv-LV"/>
              </w:rPr>
              <w:t>1,2</w:t>
            </w:r>
          </w:p>
        </w:tc>
      </w:tr>
    </w:tbl>
    <w:p w14:paraId="74CFB87C" w14:textId="77777777" w:rsidR="00272FF4" w:rsidRPr="00976103" w:rsidRDefault="00272FF4" w:rsidP="00272FF4">
      <w:pPr>
        <w:ind w:firstLine="0"/>
        <w:jc w:val="left"/>
        <w:rPr>
          <w:szCs w:val="24"/>
        </w:rPr>
      </w:pPr>
    </w:p>
    <w:p w14:paraId="5FE566BB" w14:textId="77777777" w:rsidR="00272FF4" w:rsidRDefault="00272FF4" w:rsidP="00272FF4">
      <w:pPr>
        <w:pStyle w:val="NoSpacing"/>
        <w:rPr>
          <w:rFonts w:eastAsia="Calibri"/>
        </w:rPr>
      </w:pPr>
      <w:r w:rsidRPr="00976103">
        <w:br w:type="page"/>
      </w:r>
    </w:p>
    <w:p w14:paraId="7EA2ED2B" w14:textId="77777777" w:rsidR="00CB5AC9" w:rsidRPr="00976103" w:rsidRDefault="00DA2011" w:rsidP="00AF5E23">
      <w:pPr>
        <w:pStyle w:val="Heading1"/>
        <w:tabs>
          <w:tab w:val="left" w:pos="1276"/>
        </w:tabs>
        <w:spacing w:before="0" w:after="240"/>
        <w:ind w:left="1134" w:hanging="1134"/>
        <w:rPr>
          <w:rFonts w:ascii="Times New Roman" w:hAnsi="Times New Roman"/>
        </w:rPr>
      </w:pPr>
      <w:bookmarkStart w:id="13" w:name="_Toc21516506"/>
      <w:r w:rsidRPr="001D5709">
        <w:rPr>
          <w:rFonts w:ascii="Times New Roman" w:hAnsi="Times New Roman"/>
          <w:color w:val="18185F"/>
          <w:sz w:val="24"/>
        </w:rPr>
        <w:lastRenderedPageBreak/>
        <w:t>Tabula 3:</w:t>
      </w:r>
      <w:r w:rsidR="00CB5AC9" w:rsidRPr="001D5709">
        <w:rPr>
          <w:rFonts w:ascii="Times New Roman" w:hAnsi="Times New Roman"/>
          <w:color w:val="18185F"/>
          <w:sz w:val="24"/>
        </w:rPr>
        <w:t xml:space="preserve"> Vispārējās valdības izdevumu un ieņēmumu prognozes pie nemainīgas politikas sadalījumā pa galvenajām komponentēm</w:t>
      </w:r>
      <w:bookmarkEnd w:id="13"/>
    </w:p>
    <w:tbl>
      <w:tblPr>
        <w:tblStyle w:val="GridTable6Colorful-Accent11"/>
        <w:tblW w:w="9027" w:type="dxa"/>
        <w:jc w:val="center"/>
        <w:tblLook w:val="04A0" w:firstRow="1" w:lastRow="0" w:firstColumn="1" w:lastColumn="0" w:noHBand="0" w:noVBand="1"/>
      </w:tblPr>
      <w:tblGrid>
        <w:gridCol w:w="5098"/>
        <w:gridCol w:w="1426"/>
        <w:gridCol w:w="1227"/>
        <w:gridCol w:w="1276"/>
      </w:tblGrid>
      <w:tr w:rsidR="00CB5AC9" w:rsidRPr="00976103" w14:paraId="66CA0676" w14:textId="77777777" w:rsidTr="008F56B2">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B7197A3" w14:textId="77777777" w:rsidR="00CB5AC9" w:rsidRPr="00976103" w:rsidRDefault="00CB5AC9" w:rsidP="00CB5AC9">
            <w:pPr>
              <w:spacing w:after="0"/>
              <w:ind w:firstLine="0"/>
              <w:jc w:val="left"/>
              <w:rPr>
                <w:color w:val="000000"/>
                <w:szCs w:val="24"/>
                <w:lang w:eastAsia="lv-LV"/>
              </w:rPr>
            </w:pPr>
            <w:r w:rsidRPr="00976103">
              <w:rPr>
                <w:color w:val="000000"/>
                <w:szCs w:val="24"/>
                <w:lang w:eastAsia="lv-LV"/>
              </w:rPr>
              <w:t> </w:t>
            </w:r>
          </w:p>
        </w:tc>
        <w:tc>
          <w:tcPr>
            <w:tcW w:w="1426" w:type="dxa"/>
            <w:vAlign w:val="center"/>
            <w:hideMark/>
          </w:tcPr>
          <w:p w14:paraId="5FD31C5C" w14:textId="77777777" w:rsidR="00CB5AC9" w:rsidRPr="006F0B98" w:rsidRDefault="006F0B98" w:rsidP="006B28DB">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6F0B98">
              <w:rPr>
                <w:color w:val="000000"/>
                <w:szCs w:val="24"/>
                <w:lang w:eastAsia="lv-LV"/>
              </w:rPr>
              <w:t xml:space="preserve">EKS </w:t>
            </w:r>
            <w:r w:rsidR="00381267">
              <w:rPr>
                <w:color w:val="000000"/>
                <w:szCs w:val="24"/>
                <w:lang w:eastAsia="lv-LV"/>
              </w:rPr>
              <w:t>k</w:t>
            </w:r>
            <w:r w:rsidRPr="006F0B98">
              <w:rPr>
                <w:color w:val="000000"/>
                <w:szCs w:val="24"/>
                <w:lang w:eastAsia="lv-LV"/>
              </w:rPr>
              <w:t>ods</w:t>
            </w:r>
          </w:p>
        </w:tc>
        <w:tc>
          <w:tcPr>
            <w:tcW w:w="1227" w:type="dxa"/>
            <w:vAlign w:val="center"/>
            <w:hideMark/>
          </w:tcPr>
          <w:p w14:paraId="40F3CE96" w14:textId="43300BE5" w:rsidR="00CB5AC9" w:rsidRPr="006F0B98" w:rsidRDefault="00D85FD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201</w:t>
            </w:r>
            <w:r w:rsidR="003822F3">
              <w:rPr>
                <w:color w:val="000000"/>
                <w:szCs w:val="24"/>
                <w:lang w:eastAsia="lv-LV"/>
              </w:rPr>
              <w:t>9</w:t>
            </w:r>
          </w:p>
        </w:tc>
        <w:tc>
          <w:tcPr>
            <w:tcW w:w="1276" w:type="dxa"/>
            <w:vAlign w:val="center"/>
            <w:hideMark/>
          </w:tcPr>
          <w:p w14:paraId="6449302C" w14:textId="695A5F9C" w:rsidR="00CB5AC9" w:rsidRPr="006F0B98" w:rsidRDefault="00D85FD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 w:val="0"/>
                <w:bCs w:val="0"/>
                <w:color w:val="000000"/>
                <w:szCs w:val="24"/>
                <w:lang w:eastAsia="lv-LV"/>
              </w:rPr>
            </w:pPr>
            <w:r>
              <w:rPr>
                <w:color w:val="000000"/>
                <w:szCs w:val="24"/>
                <w:lang w:eastAsia="lv-LV"/>
              </w:rPr>
              <w:t>20</w:t>
            </w:r>
            <w:r w:rsidR="003822F3">
              <w:rPr>
                <w:color w:val="000000"/>
                <w:szCs w:val="24"/>
                <w:lang w:eastAsia="lv-LV"/>
              </w:rPr>
              <w:t>20</w:t>
            </w:r>
          </w:p>
        </w:tc>
      </w:tr>
      <w:tr w:rsidR="00287764" w:rsidRPr="00976103" w14:paraId="5A22B423" w14:textId="77777777" w:rsidTr="008F56B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noWrap/>
            <w:hideMark/>
          </w:tcPr>
          <w:p w14:paraId="6F66CE15" w14:textId="77777777" w:rsidR="00287764" w:rsidRPr="00976103" w:rsidRDefault="00287764" w:rsidP="00CB5AC9">
            <w:pPr>
              <w:spacing w:after="0"/>
              <w:ind w:firstLine="0"/>
              <w:jc w:val="center"/>
              <w:rPr>
                <w:bCs w:val="0"/>
                <w:color w:val="000000"/>
                <w:szCs w:val="24"/>
                <w:lang w:eastAsia="lv-LV"/>
              </w:rPr>
            </w:pPr>
          </w:p>
        </w:tc>
        <w:tc>
          <w:tcPr>
            <w:tcW w:w="1426" w:type="dxa"/>
            <w:hideMark/>
          </w:tcPr>
          <w:p w14:paraId="55FCE713" w14:textId="77777777" w:rsidR="00287764" w:rsidRPr="00976103" w:rsidRDefault="00287764" w:rsidP="00CB5AC9">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2503" w:type="dxa"/>
            <w:gridSpan w:val="2"/>
            <w:vAlign w:val="center"/>
            <w:hideMark/>
          </w:tcPr>
          <w:p w14:paraId="6239B006" w14:textId="77777777" w:rsidR="00287764" w:rsidRPr="00976103" w:rsidRDefault="00287764" w:rsidP="008F56B2">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 no IKP</w:t>
            </w:r>
          </w:p>
        </w:tc>
      </w:tr>
      <w:tr w:rsidR="0095442F" w:rsidRPr="00976103" w14:paraId="4142DCA8" w14:textId="77777777" w:rsidTr="00687919">
        <w:trPr>
          <w:trHeight w:val="21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0659A61"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1. Kopējie ieņēmumi pie nemainīgas politikas</w:t>
            </w:r>
          </w:p>
        </w:tc>
        <w:tc>
          <w:tcPr>
            <w:tcW w:w="1426" w:type="dxa"/>
            <w:vAlign w:val="center"/>
            <w:hideMark/>
          </w:tcPr>
          <w:p w14:paraId="54E031C9"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TR</w:t>
            </w:r>
          </w:p>
        </w:tc>
        <w:tc>
          <w:tcPr>
            <w:tcW w:w="1227" w:type="dxa"/>
            <w:vAlign w:val="center"/>
          </w:tcPr>
          <w:p w14:paraId="37E2CEDA" w14:textId="6D559256"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36,5</w:t>
            </w:r>
          </w:p>
        </w:tc>
        <w:tc>
          <w:tcPr>
            <w:tcW w:w="1276" w:type="dxa"/>
            <w:vAlign w:val="center"/>
          </w:tcPr>
          <w:p w14:paraId="13265977" w14:textId="3A570C72"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36,1</w:t>
            </w:r>
          </w:p>
        </w:tc>
      </w:tr>
      <w:tr w:rsidR="0095442F" w:rsidRPr="00976103" w14:paraId="138278E2"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3D17FC3D" w14:textId="77777777" w:rsidR="0095442F" w:rsidRPr="00976103" w:rsidRDefault="0095442F" w:rsidP="0095442F">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5C347684"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63B3954B" w14:textId="6BB0794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 </w:t>
            </w:r>
          </w:p>
        </w:tc>
        <w:tc>
          <w:tcPr>
            <w:tcW w:w="1276" w:type="dxa"/>
            <w:vAlign w:val="center"/>
          </w:tcPr>
          <w:p w14:paraId="7B735B4C" w14:textId="0DCEDAA3"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 </w:t>
            </w:r>
          </w:p>
        </w:tc>
      </w:tr>
      <w:tr w:rsidR="0095442F" w:rsidRPr="00976103" w14:paraId="7B2C2AFC" w14:textId="77777777" w:rsidTr="00687919">
        <w:trPr>
          <w:trHeight w:val="9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F643CC3"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1.1. Ražošanas un importa nodokļi</w:t>
            </w:r>
          </w:p>
        </w:tc>
        <w:tc>
          <w:tcPr>
            <w:tcW w:w="1426" w:type="dxa"/>
            <w:vAlign w:val="center"/>
            <w:hideMark/>
          </w:tcPr>
          <w:p w14:paraId="137BC355"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D.2</w:t>
            </w:r>
          </w:p>
        </w:tc>
        <w:tc>
          <w:tcPr>
            <w:tcW w:w="1227" w:type="dxa"/>
            <w:vAlign w:val="center"/>
          </w:tcPr>
          <w:p w14:paraId="0E015A17" w14:textId="31430501"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14,1</w:t>
            </w:r>
          </w:p>
        </w:tc>
        <w:tc>
          <w:tcPr>
            <w:tcW w:w="1276" w:type="dxa"/>
            <w:vAlign w:val="center"/>
          </w:tcPr>
          <w:p w14:paraId="64E9DF66" w14:textId="3FB04E7A"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14,2</w:t>
            </w:r>
          </w:p>
        </w:tc>
      </w:tr>
      <w:tr w:rsidR="0095442F" w:rsidRPr="00976103" w14:paraId="79779C0D" w14:textId="77777777" w:rsidTr="00687919">
        <w:trPr>
          <w:cnfStyle w:val="000000100000" w:firstRow="0" w:lastRow="0" w:firstColumn="0" w:lastColumn="0" w:oddVBand="0" w:evenVBand="0" w:oddHBand="1" w:evenHBand="0" w:firstRowFirstColumn="0" w:firstRowLastColumn="0" w:lastRowFirstColumn="0" w:lastRowLastColumn="0"/>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87A0B11"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1.2. Ienākuma un mantas kārtējie nodokļi</w:t>
            </w:r>
          </w:p>
        </w:tc>
        <w:tc>
          <w:tcPr>
            <w:tcW w:w="1426" w:type="dxa"/>
            <w:vAlign w:val="center"/>
            <w:hideMark/>
          </w:tcPr>
          <w:p w14:paraId="2D077F64"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D.5</w:t>
            </w:r>
          </w:p>
        </w:tc>
        <w:tc>
          <w:tcPr>
            <w:tcW w:w="1227" w:type="dxa"/>
            <w:vAlign w:val="center"/>
          </w:tcPr>
          <w:p w14:paraId="13AEEE9B" w14:textId="71D909E8"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6,4</w:t>
            </w:r>
          </w:p>
        </w:tc>
        <w:tc>
          <w:tcPr>
            <w:tcW w:w="1276" w:type="dxa"/>
            <w:vAlign w:val="center"/>
          </w:tcPr>
          <w:p w14:paraId="39046A87" w14:textId="6950E3C6"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6,5</w:t>
            </w:r>
          </w:p>
        </w:tc>
      </w:tr>
      <w:tr w:rsidR="0095442F" w:rsidRPr="00976103" w14:paraId="089F5F06" w14:textId="77777777" w:rsidTr="00687919">
        <w:trPr>
          <w:trHeight w:val="20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CAA84D9"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1.3. Kapitāla nodokļi</w:t>
            </w:r>
          </w:p>
        </w:tc>
        <w:tc>
          <w:tcPr>
            <w:tcW w:w="1426" w:type="dxa"/>
            <w:vAlign w:val="center"/>
            <w:hideMark/>
          </w:tcPr>
          <w:p w14:paraId="34B768DA"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D.91</w:t>
            </w:r>
          </w:p>
        </w:tc>
        <w:tc>
          <w:tcPr>
            <w:tcW w:w="1227" w:type="dxa"/>
            <w:vAlign w:val="center"/>
          </w:tcPr>
          <w:p w14:paraId="7B3E3BF3" w14:textId="1162217D"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0,0</w:t>
            </w:r>
          </w:p>
        </w:tc>
        <w:tc>
          <w:tcPr>
            <w:tcW w:w="1276" w:type="dxa"/>
            <w:vAlign w:val="center"/>
          </w:tcPr>
          <w:p w14:paraId="1D8EC16E" w14:textId="570ED85E"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0,0</w:t>
            </w:r>
          </w:p>
        </w:tc>
      </w:tr>
      <w:tr w:rsidR="0095442F" w:rsidRPr="00976103" w14:paraId="5C28C97D"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50D1649"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1.4. Sociālās iemaksas</w:t>
            </w:r>
          </w:p>
        </w:tc>
        <w:tc>
          <w:tcPr>
            <w:tcW w:w="1426" w:type="dxa"/>
            <w:vAlign w:val="center"/>
            <w:hideMark/>
          </w:tcPr>
          <w:p w14:paraId="421CD5B2"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D.61</w:t>
            </w:r>
          </w:p>
        </w:tc>
        <w:tc>
          <w:tcPr>
            <w:tcW w:w="1227" w:type="dxa"/>
            <w:vAlign w:val="center"/>
          </w:tcPr>
          <w:p w14:paraId="673EEC12" w14:textId="6F77B9D5"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9,5</w:t>
            </w:r>
          </w:p>
        </w:tc>
        <w:tc>
          <w:tcPr>
            <w:tcW w:w="1276" w:type="dxa"/>
            <w:vAlign w:val="center"/>
          </w:tcPr>
          <w:p w14:paraId="73F369A5" w14:textId="13E351C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9,6</w:t>
            </w:r>
          </w:p>
        </w:tc>
      </w:tr>
      <w:tr w:rsidR="0095442F" w:rsidRPr="00976103" w14:paraId="1507DD0A"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3C6A5A4"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1.5. Īpašuma ienākumi</w:t>
            </w:r>
          </w:p>
        </w:tc>
        <w:tc>
          <w:tcPr>
            <w:tcW w:w="1426" w:type="dxa"/>
            <w:vAlign w:val="center"/>
            <w:hideMark/>
          </w:tcPr>
          <w:p w14:paraId="16CD4744"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D.4</w:t>
            </w:r>
          </w:p>
        </w:tc>
        <w:tc>
          <w:tcPr>
            <w:tcW w:w="1227" w:type="dxa"/>
            <w:vAlign w:val="center"/>
          </w:tcPr>
          <w:p w14:paraId="5C33C881" w14:textId="28EFDDC0"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0,7</w:t>
            </w:r>
          </w:p>
        </w:tc>
        <w:tc>
          <w:tcPr>
            <w:tcW w:w="1276" w:type="dxa"/>
            <w:vAlign w:val="center"/>
          </w:tcPr>
          <w:p w14:paraId="499FDDAC" w14:textId="3F1B56EC"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0,5</w:t>
            </w:r>
          </w:p>
        </w:tc>
      </w:tr>
      <w:tr w:rsidR="0095442F" w:rsidRPr="00976103" w14:paraId="6CEF0E30" w14:textId="77777777" w:rsidTr="00687919">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69B77C08"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1.6. Pārējie ieņēmumi</w:t>
            </w:r>
          </w:p>
        </w:tc>
        <w:tc>
          <w:tcPr>
            <w:tcW w:w="1426" w:type="dxa"/>
            <w:vAlign w:val="center"/>
            <w:hideMark/>
          </w:tcPr>
          <w:p w14:paraId="3F1E2FF9"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p>
        </w:tc>
        <w:tc>
          <w:tcPr>
            <w:tcW w:w="1227" w:type="dxa"/>
            <w:vAlign w:val="center"/>
          </w:tcPr>
          <w:p w14:paraId="042340F9" w14:textId="09A86FDC"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5,7</w:t>
            </w:r>
          </w:p>
        </w:tc>
        <w:tc>
          <w:tcPr>
            <w:tcW w:w="1276" w:type="dxa"/>
            <w:vAlign w:val="center"/>
          </w:tcPr>
          <w:p w14:paraId="578037F1" w14:textId="052A1F7E"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5,4</w:t>
            </w:r>
          </w:p>
        </w:tc>
      </w:tr>
      <w:tr w:rsidR="0095442F" w:rsidRPr="00976103" w14:paraId="440B1213" w14:textId="77777777" w:rsidTr="00687919">
        <w:trPr>
          <w:trHeight w:val="224"/>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A002806"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Nodokļu slogs (D.2+D.5+D.61+D.91-D.995)</w:t>
            </w:r>
          </w:p>
        </w:tc>
        <w:tc>
          <w:tcPr>
            <w:tcW w:w="1426" w:type="dxa"/>
            <w:vAlign w:val="center"/>
            <w:hideMark/>
          </w:tcPr>
          <w:p w14:paraId="630C26E6"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643D32A6" w14:textId="6FD367B3"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30,3</w:t>
            </w:r>
          </w:p>
        </w:tc>
        <w:tc>
          <w:tcPr>
            <w:tcW w:w="1276" w:type="dxa"/>
            <w:vAlign w:val="center"/>
          </w:tcPr>
          <w:p w14:paraId="1ACCF621" w14:textId="1B228C64"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30,5</w:t>
            </w:r>
          </w:p>
        </w:tc>
      </w:tr>
      <w:tr w:rsidR="0095442F" w:rsidRPr="00976103" w14:paraId="29E084EE" w14:textId="77777777" w:rsidTr="00687919">
        <w:trPr>
          <w:cnfStyle w:val="000000100000" w:firstRow="0" w:lastRow="0" w:firstColumn="0" w:lastColumn="0" w:oddVBand="0" w:evenVBand="0" w:oddHBand="1" w:evenHBand="0"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7C144AE" w14:textId="77777777" w:rsidR="0095442F" w:rsidRPr="00976103" w:rsidRDefault="0095442F" w:rsidP="0095442F">
            <w:pPr>
              <w:spacing w:after="0"/>
              <w:ind w:firstLine="0"/>
              <w:jc w:val="left"/>
              <w:rPr>
                <w:color w:val="000000"/>
                <w:szCs w:val="24"/>
                <w:lang w:eastAsia="lv-LV"/>
              </w:rPr>
            </w:pPr>
            <w:r w:rsidRPr="00976103">
              <w:rPr>
                <w:color w:val="000000"/>
                <w:szCs w:val="24"/>
                <w:lang w:eastAsia="lv-LV"/>
              </w:rPr>
              <w:t>2. Kopējie izdevumi pie nemainīgas politikas</w:t>
            </w:r>
          </w:p>
        </w:tc>
        <w:tc>
          <w:tcPr>
            <w:tcW w:w="1426" w:type="dxa"/>
            <w:vAlign w:val="center"/>
            <w:hideMark/>
          </w:tcPr>
          <w:p w14:paraId="4C74C8FC"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TE</w:t>
            </w:r>
          </w:p>
        </w:tc>
        <w:tc>
          <w:tcPr>
            <w:tcW w:w="1227" w:type="dxa"/>
            <w:vAlign w:val="center"/>
          </w:tcPr>
          <w:p w14:paraId="374F5C77" w14:textId="57E61F02"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37,1</w:t>
            </w:r>
          </w:p>
        </w:tc>
        <w:tc>
          <w:tcPr>
            <w:tcW w:w="1276" w:type="dxa"/>
            <w:vAlign w:val="center"/>
          </w:tcPr>
          <w:p w14:paraId="7A9B10CD" w14:textId="702C62A9"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36,5</w:t>
            </w:r>
          </w:p>
        </w:tc>
      </w:tr>
      <w:tr w:rsidR="0095442F" w:rsidRPr="00976103" w14:paraId="3BD74F36"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5586D10" w14:textId="77777777" w:rsidR="0095442F" w:rsidRPr="00976103" w:rsidRDefault="0095442F" w:rsidP="0095442F">
            <w:pPr>
              <w:spacing w:after="0"/>
              <w:ind w:firstLine="0"/>
              <w:jc w:val="center"/>
              <w:rPr>
                <w:color w:val="000000"/>
                <w:szCs w:val="24"/>
                <w:lang w:eastAsia="lv-LV"/>
              </w:rPr>
            </w:pPr>
            <w:r w:rsidRPr="00976103">
              <w:rPr>
                <w:color w:val="000000"/>
                <w:szCs w:val="24"/>
                <w:lang w:eastAsia="lv-LV"/>
              </w:rPr>
              <w:t>t.sk.</w:t>
            </w:r>
          </w:p>
        </w:tc>
        <w:tc>
          <w:tcPr>
            <w:tcW w:w="1426" w:type="dxa"/>
            <w:vAlign w:val="center"/>
            <w:hideMark/>
          </w:tcPr>
          <w:p w14:paraId="4C5CC70B"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1E4CCEBC" w14:textId="1908ACC9"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 </w:t>
            </w:r>
          </w:p>
        </w:tc>
        <w:tc>
          <w:tcPr>
            <w:tcW w:w="1276" w:type="dxa"/>
            <w:vAlign w:val="center"/>
          </w:tcPr>
          <w:p w14:paraId="03A3BEB1" w14:textId="36D6391F"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 </w:t>
            </w:r>
          </w:p>
        </w:tc>
      </w:tr>
      <w:tr w:rsidR="0095442F" w:rsidRPr="00976103" w14:paraId="7909BAB3"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E06AC53"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2.1. Atlīdzība nodarbinātajiem</w:t>
            </w:r>
          </w:p>
        </w:tc>
        <w:tc>
          <w:tcPr>
            <w:tcW w:w="1426" w:type="dxa"/>
            <w:vAlign w:val="center"/>
            <w:hideMark/>
          </w:tcPr>
          <w:p w14:paraId="710DC098"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D.1</w:t>
            </w:r>
          </w:p>
        </w:tc>
        <w:tc>
          <w:tcPr>
            <w:tcW w:w="1227" w:type="dxa"/>
            <w:vAlign w:val="center"/>
          </w:tcPr>
          <w:p w14:paraId="37A27C42" w14:textId="44FB2D39"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10,1</w:t>
            </w:r>
          </w:p>
        </w:tc>
        <w:tc>
          <w:tcPr>
            <w:tcW w:w="1276" w:type="dxa"/>
            <w:vAlign w:val="center"/>
          </w:tcPr>
          <w:p w14:paraId="6F85BF53" w14:textId="4B56B3B8"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9,8</w:t>
            </w:r>
          </w:p>
        </w:tc>
      </w:tr>
      <w:tr w:rsidR="0095442F" w:rsidRPr="00976103" w14:paraId="6AA7770C"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054C666F"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2.2. Starppatēriņš</w:t>
            </w:r>
          </w:p>
        </w:tc>
        <w:tc>
          <w:tcPr>
            <w:tcW w:w="1426" w:type="dxa"/>
            <w:vAlign w:val="center"/>
            <w:hideMark/>
          </w:tcPr>
          <w:p w14:paraId="5F02581C"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P.2</w:t>
            </w:r>
          </w:p>
        </w:tc>
        <w:tc>
          <w:tcPr>
            <w:tcW w:w="1227" w:type="dxa"/>
            <w:vAlign w:val="center"/>
          </w:tcPr>
          <w:p w14:paraId="77FB1551" w14:textId="31E0B22D"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5,4</w:t>
            </w:r>
          </w:p>
        </w:tc>
        <w:tc>
          <w:tcPr>
            <w:tcW w:w="1276" w:type="dxa"/>
            <w:vAlign w:val="center"/>
          </w:tcPr>
          <w:p w14:paraId="766DBAE2" w14:textId="30D7E84E"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5,3</w:t>
            </w:r>
          </w:p>
        </w:tc>
      </w:tr>
      <w:tr w:rsidR="0095442F" w:rsidRPr="00976103" w14:paraId="2E70922A" w14:textId="77777777" w:rsidTr="00687919">
        <w:trPr>
          <w:cnfStyle w:val="000000100000" w:firstRow="0" w:lastRow="0" w:firstColumn="0" w:lastColumn="0" w:oddVBand="0" w:evenVBand="0" w:oddHBand="1" w:evenHBand="0" w:firstRowFirstColumn="0" w:firstRowLastColumn="0" w:lastRowFirstColumn="0" w:lastRowLastColumn="0"/>
          <w:trHeight w:val="219"/>
          <w:jc w:val="center"/>
        </w:trPr>
        <w:tc>
          <w:tcPr>
            <w:cnfStyle w:val="001000000000" w:firstRow="0" w:lastRow="0" w:firstColumn="1" w:lastColumn="0" w:oddVBand="0" w:evenVBand="0" w:oddHBand="0" w:evenHBand="0" w:firstRowFirstColumn="0" w:firstRowLastColumn="0" w:lastRowFirstColumn="0" w:lastRowLastColumn="0"/>
            <w:tcW w:w="5098" w:type="dxa"/>
            <w:vAlign w:val="center"/>
            <w:hideMark/>
          </w:tcPr>
          <w:p w14:paraId="358EE672"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2.3. Sociālie maksājumi</w:t>
            </w:r>
          </w:p>
        </w:tc>
        <w:tc>
          <w:tcPr>
            <w:tcW w:w="1426" w:type="dxa"/>
            <w:vAlign w:val="center"/>
            <w:hideMark/>
          </w:tcPr>
          <w:p w14:paraId="462B6A25"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Pr>
                <w:color w:val="000000"/>
                <w:szCs w:val="24"/>
                <w:lang w:eastAsia="lv-LV"/>
              </w:rPr>
              <w:t>D.62;</w:t>
            </w:r>
            <w:r w:rsidRPr="00976103">
              <w:rPr>
                <w:color w:val="000000"/>
                <w:szCs w:val="24"/>
                <w:lang w:eastAsia="lv-LV"/>
              </w:rPr>
              <w:t xml:space="preserve"> D.632</w:t>
            </w:r>
          </w:p>
        </w:tc>
        <w:tc>
          <w:tcPr>
            <w:tcW w:w="1227" w:type="dxa"/>
            <w:vAlign w:val="center"/>
          </w:tcPr>
          <w:p w14:paraId="0A93F944" w14:textId="6E8362D0"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11,5</w:t>
            </w:r>
          </w:p>
        </w:tc>
        <w:tc>
          <w:tcPr>
            <w:tcW w:w="1276" w:type="dxa"/>
            <w:vAlign w:val="center"/>
          </w:tcPr>
          <w:p w14:paraId="69CE67CA" w14:textId="670930C4"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11,7</w:t>
            </w:r>
          </w:p>
        </w:tc>
      </w:tr>
      <w:tr w:rsidR="0095442F" w:rsidRPr="00976103" w14:paraId="67237BDB" w14:textId="77777777" w:rsidTr="00687919">
        <w:trPr>
          <w:trHeight w:val="2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2FA430AC" w14:textId="77777777" w:rsidR="0095442F" w:rsidRPr="00976103" w:rsidRDefault="0095442F" w:rsidP="0095442F">
            <w:pPr>
              <w:spacing w:after="0"/>
              <w:ind w:firstLineChars="300" w:firstLine="720"/>
              <w:jc w:val="left"/>
              <w:rPr>
                <w:color w:val="000000"/>
                <w:szCs w:val="24"/>
                <w:lang w:eastAsia="lv-LV"/>
              </w:rPr>
            </w:pPr>
            <w:r w:rsidRPr="00976103">
              <w:rPr>
                <w:color w:val="000000"/>
                <w:szCs w:val="24"/>
                <w:lang w:eastAsia="lv-LV"/>
              </w:rPr>
              <w:t>tai skaitā bezdarbnieku pabalsti</w:t>
            </w:r>
          </w:p>
        </w:tc>
        <w:tc>
          <w:tcPr>
            <w:tcW w:w="1426" w:type="dxa"/>
            <w:vAlign w:val="center"/>
            <w:hideMark/>
          </w:tcPr>
          <w:p w14:paraId="48EC010A"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p>
        </w:tc>
        <w:tc>
          <w:tcPr>
            <w:tcW w:w="1227" w:type="dxa"/>
            <w:vAlign w:val="center"/>
          </w:tcPr>
          <w:p w14:paraId="20F0AC35" w14:textId="3CD538EB"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0,4</w:t>
            </w:r>
          </w:p>
        </w:tc>
        <w:tc>
          <w:tcPr>
            <w:tcW w:w="1276" w:type="dxa"/>
            <w:vAlign w:val="center"/>
          </w:tcPr>
          <w:p w14:paraId="4C0B4359" w14:textId="131736B3"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0,4</w:t>
            </w:r>
          </w:p>
        </w:tc>
      </w:tr>
      <w:tr w:rsidR="0095442F" w:rsidRPr="00976103" w14:paraId="481AF1DE" w14:textId="77777777" w:rsidTr="006879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5753682F"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2.4. Procentu izdevumi</w:t>
            </w:r>
          </w:p>
        </w:tc>
        <w:tc>
          <w:tcPr>
            <w:tcW w:w="1426" w:type="dxa"/>
            <w:vAlign w:val="center"/>
            <w:hideMark/>
          </w:tcPr>
          <w:p w14:paraId="35D0B4EE"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D.41</w:t>
            </w:r>
          </w:p>
        </w:tc>
        <w:tc>
          <w:tcPr>
            <w:tcW w:w="1227" w:type="dxa"/>
            <w:vAlign w:val="center"/>
          </w:tcPr>
          <w:p w14:paraId="22B9F0D8" w14:textId="404C1C7A"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0,8</w:t>
            </w:r>
          </w:p>
        </w:tc>
        <w:tc>
          <w:tcPr>
            <w:tcW w:w="1276" w:type="dxa"/>
            <w:vAlign w:val="center"/>
          </w:tcPr>
          <w:p w14:paraId="525954E7" w14:textId="2291E6F3"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0,8</w:t>
            </w:r>
          </w:p>
        </w:tc>
      </w:tr>
      <w:tr w:rsidR="0095442F" w:rsidRPr="00976103" w14:paraId="7A5AFFF4" w14:textId="77777777" w:rsidTr="00687919">
        <w:trPr>
          <w:trHeight w:val="300"/>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CBDA438"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2.5. Subsīdijas</w:t>
            </w:r>
          </w:p>
        </w:tc>
        <w:tc>
          <w:tcPr>
            <w:tcW w:w="1426" w:type="dxa"/>
            <w:vAlign w:val="center"/>
            <w:hideMark/>
          </w:tcPr>
          <w:p w14:paraId="2251D8A1"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D.3</w:t>
            </w:r>
          </w:p>
        </w:tc>
        <w:tc>
          <w:tcPr>
            <w:tcW w:w="1227" w:type="dxa"/>
            <w:vAlign w:val="center"/>
          </w:tcPr>
          <w:p w14:paraId="38F05BA0" w14:textId="40DAE109"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1,6</w:t>
            </w:r>
          </w:p>
        </w:tc>
        <w:tc>
          <w:tcPr>
            <w:tcW w:w="1276" w:type="dxa"/>
            <w:vAlign w:val="center"/>
          </w:tcPr>
          <w:p w14:paraId="77F7D95F" w14:textId="6FD41C0C"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1,5</w:t>
            </w:r>
          </w:p>
        </w:tc>
      </w:tr>
      <w:tr w:rsidR="0095442F" w:rsidRPr="00976103" w14:paraId="0FF1CD8A" w14:textId="77777777" w:rsidTr="00687919">
        <w:trPr>
          <w:cnfStyle w:val="000000100000" w:firstRow="0" w:lastRow="0" w:firstColumn="0" w:lastColumn="0" w:oddVBand="0" w:evenVBand="0" w:oddHBand="1" w:evenHBand="0" w:firstRowFirstColumn="0" w:firstRowLastColumn="0" w:lastRowFirstColumn="0" w:lastRowLastColumn="0"/>
          <w:trHeight w:val="22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101A29F5"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2.6. Bruto kopējā pamatkapitāla veidošana</w:t>
            </w:r>
          </w:p>
        </w:tc>
        <w:tc>
          <w:tcPr>
            <w:tcW w:w="1426" w:type="dxa"/>
            <w:vAlign w:val="center"/>
            <w:hideMark/>
          </w:tcPr>
          <w:p w14:paraId="56C84849"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P.51</w:t>
            </w:r>
          </w:p>
        </w:tc>
        <w:tc>
          <w:tcPr>
            <w:tcW w:w="1227" w:type="dxa"/>
            <w:vAlign w:val="center"/>
          </w:tcPr>
          <w:p w14:paraId="5C89FFC5" w14:textId="6788718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5,5</w:t>
            </w:r>
          </w:p>
        </w:tc>
        <w:tc>
          <w:tcPr>
            <w:tcW w:w="1276" w:type="dxa"/>
            <w:vAlign w:val="center"/>
          </w:tcPr>
          <w:p w14:paraId="35260DF2" w14:textId="39084F9A"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4,9</w:t>
            </w:r>
          </w:p>
        </w:tc>
      </w:tr>
      <w:tr w:rsidR="0095442F" w:rsidRPr="00976103" w14:paraId="69015C30" w14:textId="77777777" w:rsidTr="00687919">
        <w:trPr>
          <w:trHeight w:val="212"/>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4A66EBB1"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2.7. Kapitālo izdevumu transferti</w:t>
            </w:r>
          </w:p>
        </w:tc>
        <w:tc>
          <w:tcPr>
            <w:tcW w:w="1426" w:type="dxa"/>
            <w:vAlign w:val="center"/>
            <w:hideMark/>
          </w:tcPr>
          <w:p w14:paraId="696CC6DB" w14:textId="77777777" w:rsidR="0095442F" w:rsidRPr="00976103"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76103">
              <w:rPr>
                <w:color w:val="000000"/>
                <w:szCs w:val="24"/>
                <w:lang w:eastAsia="lv-LV"/>
              </w:rPr>
              <w:t>D.9</w:t>
            </w:r>
          </w:p>
        </w:tc>
        <w:tc>
          <w:tcPr>
            <w:tcW w:w="1227" w:type="dxa"/>
            <w:vAlign w:val="center"/>
          </w:tcPr>
          <w:p w14:paraId="0D15AC6F" w14:textId="284784CC"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0,1</w:t>
            </w:r>
          </w:p>
        </w:tc>
        <w:tc>
          <w:tcPr>
            <w:tcW w:w="1276" w:type="dxa"/>
            <w:vAlign w:val="center"/>
          </w:tcPr>
          <w:p w14:paraId="1384CEE1" w14:textId="4F4F3A2E"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0,1</w:t>
            </w:r>
          </w:p>
        </w:tc>
      </w:tr>
      <w:tr w:rsidR="0095442F" w:rsidRPr="00976103" w14:paraId="07E05023" w14:textId="77777777" w:rsidTr="00687919">
        <w:trPr>
          <w:cnfStyle w:val="000000100000" w:firstRow="0" w:lastRow="0" w:firstColumn="0" w:lastColumn="0" w:oddVBand="0" w:evenVBand="0" w:oddHBand="1" w:evenHBand="0" w:firstRowFirstColumn="0" w:firstRowLastColumn="0" w:lastRowFirstColumn="0" w:lastRowLastColumn="0"/>
          <w:trHeight w:val="189"/>
          <w:jc w:val="center"/>
        </w:trPr>
        <w:tc>
          <w:tcPr>
            <w:cnfStyle w:val="001000000000" w:firstRow="0" w:lastRow="0" w:firstColumn="1" w:lastColumn="0" w:oddVBand="0" w:evenVBand="0" w:oddHBand="0" w:evenHBand="0" w:firstRowFirstColumn="0" w:firstRowLastColumn="0" w:lastRowFirstColumn="0" w:lastRowLastColumn="0"/>
            <w:tcW w:w="5098" w:type="dxa"/>
            <w:hideMark/>
          </w:tcPr>
          <w:p w14:paraId="743A7E18" w14:textId="77777777" w:rsidR="0095442F" w:rsidRPr="00976103" w:rsidRDefault="0095442F" w:rsidP="0095442F">
            <w:pPr>
              <w:spacing w:after="0"/>
              <w:ind w:firstLineChars="100" w:firstLine="240"/>
              <w:jc w:val="left"/>
              <w:rPr>
                <w:color w:val="000000"/>
                <w:szCs w:val="24"/>
                <w:lang w:eastAsia="lv-LV"/>
              </w:rPr>
            </w:pPr>
            <w:r w:rsidRPr="00976103">
              <w:rPr>
                <w:color w:val="000000"/>
                <w:szCs w:val="24"/>
                <w:lang w:eastAsia="lv-LV"/>
              </w:rPr>
              <w:t>2.8. Pārējie izdevumi</w:t>
            </w:r>
          </w:p>
        </w:tc>
        <w:tc>
          <w:tcPr>
            <w:tcW w:w="1426" w:type="dxa"/>
            <w:hideMark/>
          </w:tcPr>
          <w:p w14:paraId="030444B3" w14:textId="77777777" w:rsidR="0095442F" w:rsidRPr="00976103"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76103">
              <w:rPr>
                <w:color w:val="000000"/>
                <w:szCs w:val="24"/>
                <w:lang w:eastAsia="lv-LV"/>
              </w:rPr>
              <w:t xml:space="preserve"> </w:t>
            </w:r>
          </w:p>
        </w:tc>
        <w:tc>
          <w:tcPr>
            <w:tcW w:w="1227" w:type="dxa"/>
            <w:vAlign w:val="center"/>
          </w:tcPr>
          <w:p w14:paraId="55CC42BF" w14:textId="699C767A"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2,0</w:t>
            </w:r>
          </w:p>
        </w:tc>
        <w:tc>
          <w:tcPr>
            <w:tcW w:w="1276" w:type="dxa"/>
            <w:vAlign w:val="center"/>
          </w:tcPr>
          <w:p w14:paraId="18296A50" w14:textId="114789D3"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2,3</w:t>
            </w:r>
          </w:p>
        </w:tc>
      </w:tr>
    </w:tbl>
    <w:p w14:paraId="436F16B9" w14:textId="77777777" w:rsidR="00CB5AC9" w:rsidRPr="00976103" w:rsidRDefault="00CB5AC9" w:rsidP="0095691A">
      <w:pPr>
        <w:ind w:firstLine="0"/>
        <w:jc w:val="left"/>
        <w:rPr>
          <w:szCs w:val="24"/>
        </w:rPr>
      </w:pPr>
    </w:p>
    <w:p w14:paraId="17C7800A" w14:textId="77777777" w:rsidR="00C6272E" w:rsidRPr="00976103" w:rsidRDefault="00D949B6" w:rsidP="00D949B6">
      <w:pPr>
        <w:pStyle w:val="Heading1"/>
        <w:tabs>
          <w:tab w:val="left" w:pos="1276"/>
        </w:tabs>
        <w:spacing w:before="0" w:after="240"/>
        <w:ind w:firstLine="0"/>
        <w:rPr>
          <w:szCs w:val="24"/>
        </w:rPr>
      </w:pPr>
      <w:r w:rsidRPr="00976103">
        <w:rPr>
          <w:szCs w:val="24"/>
        </w:rPr>
        <w:t xml:space="preserve"> </w:t>
      </w:r>
    </w:p>
    <w:p w14:paraId="5B87C863" w14:textId="77777777" w:rsidR="00CD68EC" w:rsidRPr="00976103" w:rsidRDefault="00C6272E" w:rsidP="00070BC1">
      <w:pPr>
        <w:pStyle w:val="Heading1"/>
        <w:tabs>
          <w:tab w:val="left" w:pos="1276"/>
        </w:tabs>
        <w:spacing w:before="0" w:after="240"/>
        <w:ind w:left="1276" w:hanging="1276"/>
        <w:jc w:val="left"/>
        <w:rPr>
          <w:rFonts w:ascii="Times New Roman" w:hAnsi="Times New Roman"/>
        </w:rPr>
      </w:pPr>
      <w:r w:rsidRPr="00976103">
        <w:rPr>
          <w:b w:val="0"/>
        </w:rPr>
        <w:br w:type="page"/>
      </w:r>
    </w:p>
    <w:p w14:paraId="031F661F" w14:textId="77777777" w:rsidR="00F322FE" w:rsidRPr="00040EDF" w:rsidRDefault="00040EDF" w:rsidP="00040EDF">
      <w:pPr>
        <w:pStyle w:val="Heading1"/>
        <w:tabs>
          <w:tab w:val="left" w:pos="1276"/>
        </w:tabs>
        <w:spacing w:before="0" w:after="240"/>
        <w:ind w:left="1276" w:hanging="1276"/>
        <w:rPr>
          <w:rFonts w:ascii="Times New Roman" w:hAnsi="Times New Roman"/>
          <w:color w:val="18185F"/>
          <w:sz w:val="24"/>
        </w:rPr>
      </w:pPr>
      <w:bookmarkStart w:id="14" w:name="_Toc21516507"/>
      <w:r w:rsidRPr="00040EDF">
        <w:rPr>
          <w:rFonts w:ascii="Times New Roman" w:hAnsi="Times New Roman"/>
          <w:color w:val="18185F"/>
          <w:sz w:val="24"/>
        </w:rPr>
        <w:lastRenderedPageBreak/>
        <w:t>Tabula 4.a</w:t>
      </w:r>
      <w:r w:rsidR="00F03187">
        <w:rPr>
          <w:rFonts w:ascii="Times New Roman" w:hAnsi="Times New Roman"/>
          <w:color w:val="18185F"/>
          <w:sz w:val="24"/>
          <w:lang w:val="lv-LV"/>
        </w:rPr>
        <w:t>:</w:t>
      </w:r>
      <w:r w:rsidRPr="00040EDF">
        <w:rPr>
          <w:rFonts w:ascii="Times New Roman" w:hAnsi="Times New Roman"/>
          <w:color w:val="18185F"/>
          <w:sz w:val="24"/>
        </w:rPr>
        <w:t xml:space="preserve"> Vispārējās valdības izdevumu un ieņēmumu mērķi sadalījumā pa galvenajām komponentēm</w:t>
      </w:r>
      <w:bookmarkEnd w:id="14"/>
    </w:p>
    <w:tbl>
      <w:tblPr>
        <w:tblW w:w="9067"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5353"/>
        <w:gridCol w:w="810"/>
        <w:gridCol w:w="1559"/>
        <w:gridCol w:w="1417"/>
      </w:tblGrid>
      <w:tr w:rsidR="00040EDF" w:rsidRPr="00A209F9" w14:paraId="049C6E49" w14:textId="77777777" w:rsidTr="00E2310C">
        <w:trPr>
          <w:trHeight w:val="600"/>
        </w:trPr>
        <w:tc>
          <w:tcPr>
            <w:tcW w:w="5353" w:type="dxa"/>
            <w:shd w:val="clear" w:color="auto" w:fill="DBE5F1" w:themeFill="accent1" w:themeFillTint="33"/>
            <w:vAlign w:val="center"/>
            <w:hideMark/>
          </w:tcPr>
          <w:p w14:paraId="669D52CE" w14:textId="77777777" w:rsidR="00040EDF" w:rsidRPr="00040EDF" w:rsidRDefault="00040EDF" w:rsidP="00040EDF">
            <w:pPr>
              <w:spacing w:after="0"/>
              <w:ind w:firstLine="0"/>
              <w:rPr>
                <w:szCs w:val="24"/>
                <w:lang w:eastAsia="lv-LV"/>
              </w:rPr>
            </w:pPr>
            <w:r w:rsidRPr="00040EDF">
              <w:rPr>
                <w:szCs w:val="24"/>
                <w:lang w:eastAsia="lv-LV"/>
              </w:rPr>
              <w:t> </w:t>
            </w:r>
          </w:p>
        </w:tc>
        <w:tc>
          <w:tcPr>
            <w:tcW w:w="738" w:type="dxa"/>
            <w:shd w:val="clear" w:color="auto" w:fill="DBE5F1" w:themeFill="accent1" w:themeFillTint="33"/>
            <w:vAlign w:val="center"/>
            <w:hideMark/>
          </w:tcPr>
          <w:p w14:paraId="3C7E94BC" w14:textId="77777777" w:rsidR="00040EDF" w:rsidRPr="00040EDF" w:rsidRDefault="00040EDF" w:rsidP="00040EDF">
            <w:pPr>
              <w:spacing w:after="0"/>
              <w:ind w:firstLine="0"/>
              <w:rPr>
                <w:szCs w:val="24"/>
                <w:lang w:eastAsia="lv-LV"/>
              </w:rPr>
            </w:pPr>
            <w:r w:rsidRPr="00A209F9">
              <w:rPr>
                <w:b/>
                <w:szCs w:val="24"/>
              </w:rPr>
              <w:t>EKS Kods</w:t>
            </w:r>
          </w:p>
        </w:tc>
        <w:tc>
          <w:tcPr>
            <w:tcW w:w="1559" w:type="dxa"/>
            <w:shd w:val="clear" w:color="auto" w:fill="DBE5F1" w:themeFill="accent1" w:themeFillTint="33"/>
            <w:vAlign w:val="center"/>
            <w:hideMark/>
          </w:tcPr>
          <w:p w14:paraId="5F1CD05A" w14:textId="646F7512" w:rsidR="00040EDF" w:rsidRPr="00040EDF" w:rsidRDefault="00040EDF" w:rsidP="003822F3">
            <w:pPr>
              <w:spacing w:after="0"/>
              <w:ind w:firstLine="0"/>
              <w:jc w:val="center"/>
              <w:rPr>
                <w:b/>
                <w:szCs w:val="24"/>
                <w:lang w:eastAsia="lv-LV"/>
              </w:rPr>
            </w:pPr>
            <w:r w:rsidRPr="00040EDF">
              <w:rPr>
                <w:b/>
                <w:szCs w:val="24"/>
                <w:lang w:eastAsia="lv-LV"/>
              </w:rPr>
              <w:t>201</w:t>
            </w:r>
            <w:r w:rsidR="003822F3">
              <w:rPr>
                <w:b/>
                <w:szCs w:val="24"/>
                <w:lang w:eastAsia="lv-LV"/>
              </w:rPr>
              <w:t>9</w:t>
            </w:r>
          </w:p>
        </w:tc>
        <w:tc>
          <w:tcPr>
            <w:tcW w:w="1417" w:type="dxa"/>
            <w:shd w:val="clear" w:color="auto" w:fill="DBE5F1" w:themeFill="accent1" w:themeFillTint="33"/>
            <w:vAlign w:val="center"/>
            <w:hideMark/>
          </w:tcPr>
          <w:p w14:paraId="6F7207A6" w14:textId="442B29F7" w:rsidR="00040EDF" w:rsidRPr="00040EDF" w:rsidRDefault="00040EDF" w:rsidP="003822F3">
            <w:pPr>
              <w:spacing w:after="0"/>
              <w:ind w:firstLine="0"/>
              <w:jc w:val="center"/>
              <w:rPr>
                <w:b/>
                <w:szCs w:val="24"/>
                <w:lang w:eastAsia="lv-LV"/>
              </w:rPr>
            </w:pPr>
            <w:r w:rsidRPr="00040EDF">
              <w:rPr>
                <w:b/>
                <w:szCs w:val="24"/>
                <w:lang w:eastAsia="lv-LV"/>
              </w:rPr>
              <w:t>20</w:t>
            </w:r>
            <w:r w:rsidR="003822F3">
              <w:rPr>
                <w:b/>
                <w:szCs w:val="24"/>
                <w:lang w:eastAsia="lv-LV"/>
              </w:rPr>
              <w:t>20</w:t>
            </w:r>
          </w:p>
        </w:tc>
      </w:tr>
      <w:tr w:rsidR="00040EDF" w:rsidRPr="00A209F9" w14:paraId="0E6A8711" w14:textId="77777777" w:rsidTr="00E2310C">
        <w:trPr>
          <w:trHeight w:val="300"/>
        </w:trPr>
        <w:tc>
          <w:tcPr>
            <w:tcW w:w="5353" w:type="dxa"/>
            <w:shd w:val="clear" w:color="auto" w:fill="auto"/>
            <w:vAlign w:val="center"/>
            <w:hideMark/>
          </w:tcPr>
          <w:p w14:paraId="003F871E" w14:textId="77777777" w:rsidR="00040EDF" w:rsidRPr="00040EDF" w:rsidRDefault="00040EDF" w:rsidP="00040EDF">
            <w:pPr>
              <w:spacing w:after="0"/>
              <w:ind w:firstLine="0"/>
              <w:rPr>
                <w:szCs w:val="24"/>
                <w:lang w:eastAsia="lv-LV"/>
              </w:rPr>
            </w:pPr>
            <w:r w:rsidRPr="00040EDF">
              <w:rPr>
                <w:szCs w:val="24"/>
                <w:lang w:eastAsia="lv-LV"/>
              </w:rPr>
              <w:t> </w:t>
            </w:r>
          </w:p>
        </w:tc>
        <w:tc>
          <w:tcPr>
            <w:tcW w:w="738" w:type="dxa"/>
            <w:shd w:val="clear" w:color="auto" w:fill="auto"/>
            <w:vAlign w:val="center"/>
            <w:hideMark/>
          </w:tcPr>
          <w:p w14:paraId="202F3DE7" w14:textId="77777777" w:rsidR="00040EDF" w:rsidRPr="00040EDF" w:rsidRDefault="00040EDF" w:rsidP="00040EDF">
            <w:pPr>
              <w:spacing w:after="0"/>
              <w:ind w:firstLine="0"/>
              <w:rPr>
                <w:szCs w:val="24"/>
                <w:lang w:eastAsia="lv-LV"/>
              </w:rPr>
            </w:pPr>
            <w:r w:rsidRPr="00040EDF">
              <w:rPr>
                <w:szCs w:val="24"/>
                <w:lang w:eastAsia="lv-LV"/>
              </w:rPr>
              <w:t xml:space="preserve"> </w:t>
            </w:r>
          </w:p>
        </w:tc>
        <w:tc>
          <w:tcPr>
            <w:tcW w:w="1559" w:type="dxa"/>
            <w:shd w:val="clear" w:color="auto" w:fill="auto"/>
            <w:vAlign w:val="center"/>
            <w:hideMark/>
          </w:tcPr>
          <w:p w14:paraId="4F667CA4" w14:textId="7F50C835" w:rsidR="00040EDF" w:rsidRPr="00040EDF" w:rsidRDefault="00040EDF" w:rsidP="008906EA">
            <w:pPr>
              <w:spacing w:after="0"/>
              <w:ind w:firstLine="0"/>
              <w:jc w:val="center"/>
              <w:rPr>
                <w:szCs w:val="24"/>
                <w:lang w:eastAsia="lv-LV"/>
              </w:rPr>
            </w:pPr>
            <w:r w:rsidRPr="00040EDF">
              <w:rPr>
                <w:szCs w:val="24"/>
                <w:lang w:eastAsia="lv-LV"/>
              </w:rPr>
              <w:t xml:space="preserve">% </w:t>
            </w:r>
            <w:r w:rsidR="008906EA">
              <w:rPr>
                <w:szCs w:val="24"/>
                <w:lang w:eastAsia="lv-LV"/>
              </w:rPr>
              <w:t>IKP</w:t>
            </w:r>
          </w:p>
        </w:tc>
        <w:tc>
          <w:tcPr>
            <w:tcW w:w="1417" w:type="dxa"/>
            <w:shd w:val="clear" w:color="auto" w:fill="auto"/>
            <w:vAlign w:val="center"/>
            <w:hideMark/>
          </w:tcPr>
          <w:p w14:paraId="29C890DF" w14:textId="4F5608D3" w:rsidR="00040EDF" w:rsidRPr="00040EDF" w:rsidRDefault="00040EDF" w:rsidP="008906EA">
            <w:pPr>
              <w:spacing w:after="0"/>
              <w:ind w:firstLine="0"/>
              <w:jc w:val="center"/>
              <w:rPr>
                <w:szCs w:val="24"/>
                <w:lang w:eastAsia="lv-LV"/>
              </w:rPr>
            </w:pPr>
            <w:r w:rsidRPr="00040EDF">
              <w:rPr>
                <w:szCs w:val="24"/>
                <w:lang w:eastAsia="lv-LV"/>
              </w:rPr>
              <w:t xml:space="preserve">% </w:t>
            </w:r>
            <w:r w:rsidR="008906EA">
              <w:rPr>
                <w:szCs w:val="24"/>
                <w:lang w:eastAsia="lv-LV"/>
              </w:rPr>
              <w:t>IKP</w:t>
            </w:r>
          </w:p>
        </w:tc>
      </w:tr>
      <w:tr w:rsidR="0095442F" w:rsidRPr="00A209F9" w14:paraId="7803C41D" w14:textId="77777777" w:rsidTr="00E2310C">
        <w:trPr>
          <w:trHeight w:val="300"/>
        </w:trPr>
        <w:tc>
          <w:tcPr>
            <w:tcW w:w="5353" w:type="dxa"/>
            <w:shd w:val="clear" w:color="auto" w:fill="DBE5F1" w:themeFill="accent1" w:themeFillTint="33"/>
            <w:noWrap/>
            <w:vAlign w:val="center"/>
            <w:hideMark/>
          </w:tcPr>
          <w:p w14:paraId="27CC58AA" w14:textId="77777777" w:rsidR="0095442F" w:rsidRPr="00040EDF" w:rsidRDefault="0095442F" w:rsidP="0095442F">
            <w:pPr>
              <w:spacing w:after="0"/>
              <w:ind w:firstLine="0"/>
              <w:rPr>
                <w:b/>
                <w:szCs w:val="24"/>
                <w:lang w:eastAsia="lv-LV"/>
              </w:rPr>
            </w:pPr>
            <w:r w:rsidRPr="00040EDF">
              <w:rPr>
                <w:b/>
                <w:szCs w:val="24"/>
                <w:lang w:eastAsia="lv-LV"/>
              </w:rPr>
              <w:t>1. Ieņēmumu plāna kopsumma</w:t>
            </w:r>
          </w:p>
        </w:tc>
        <w:tc>
          <w:tcPr>
            <w:tcW w:w="738" w:type="dxa"/>
            <w:shd w:val="clear" w:color="auto" w:fill="DBE5F1" w:themeFill="accent1" w:themeFillTint="33"/>
            <w:noWrap/>
            <w:vAlign w:val="center"/>
            <w:hideMark/>
          </w:tcPr>
          <w:p w14:paraId="65724227" w14:textId="77777777" w:rsidR="0095442F" w:rsidRPr="00040EDF" w:rsidRDefault="0095442F" w:rsidP="0095442F">
            <w:pPr>
              <w:spacing w:after="0"/>
              <w:ind w:firstLine="0"/>
              <w:rPr>
                <w:szCs w:val="24"/>
                <w:lang w:eastAsia="lv-LV"/>
              </w:rPr>
            </w:pPr>
            <w:r w:rsidRPr="00040EDF">
              <w:rPr>
                <w:szCs w:val="24"/>
                <w:lang w:eastAsia="lv-LV"/>
              </w:rPr>
              <w:t xml:space="preserve">TR </w:t>
            </w:r>
          </w:p>
        </w:tc>
        <w:tc>
          <w:tcPr>
            <w:tcW w:w="1559" w:type="dxa"/>
            <w:shd w:val="clear" w:color="auto" w:fill="DBE5F1" w:themeFill="accent1" w:themeFillTint="33"/>
            <w:noWrap/>
            <w:vAlign w:val="center"/>
            <w:hideMark/>
          </w:tcPr>
          <w:p w14:paraId="6B60CE8C" w14:textId="219FDC59" w:rsidR="0095442F" w:rsidRPr="0095442F" w:rsidRDefault="0095442F" w:rsidP="0095442F">
            <w:pPr>
              <w:spacing w:after="0"/>
              <w:ind w:firstLine="0"/>
              <w:jc w:val="center"/>
              <w:rPr>
                <w:szCs w:val="24"/>
                <w:highlight w:val="yellow"/>
                <w:lang w:eastAsia="lv-LV"/>
              </w:rPr>
            </w:pPr>
            <w:r w:rsidRPr="0095442F">
              <w:rPr>
                <w:color w:val="000000"/>
                <w:szCs w:val="24"/>
              </w:rPr>
              <w:t>36,5</w:t>
            </w:r>
          </w:p>
        </w:tc>
        <w:tc>
          <w:tcPr>
            <w:tcW w:w="1417" w:type="dxa"/>
            <w:shd w:val="clear" w:color="auto" w:fill="DBE5F1" w:themeFill="accent1" w:themeFillTint="33"/>
            <w:noWrap/>
            <w:vAlign w:val="center"/>
            <w:hideMark/>
          </w:tcPr>
          <w:p w14:paraId="7BE0BEC7" w14:textId="633CBCF8" w:rsidR="0095442F" w:rsidRPr="0095442F" w:rsidRDefault="0095442F" w:rsidP="0095442F">
            <w:pPr>
              <w:spacing w:after="0"/>
              <w:ind w:firstLine="0"/>
              <w:jc w:val="center"/>
              <w:rPr>
                <w:szCs w:val="24"/>
                <w:highlight w:val="yellow"/>
                <w:lang w:eastAsia="lv-LV"/>
              </w:rPr>
            </w:pPr>
            <w:r w:rsidRPr="0095442F">
              <w:rPr>
                <w:color w:val="000000"/>
                <w:szCs w:val="24"/>
              </w:rPr>
              <w:t>36,3</w:t>
            </w:r>
          </w:p>
        </w:tc>
      </w:tr>
      <w:tr w:rsidR="0095442F" w:rsidRPr="00A209F9" w14:paraId="4E80B799" w14:textId="77777777" w:rsidTr="00E2310C">
        <w:trPr>
          <w:trHeight w:val="300"/>
        </w:trPr>
        <w:tc>
          <w:tcPr>
            <w:tcW w:w="5353" w:type="dxa"/>
            <w:shd w:val="clear" w:color="auto" w:fill="auto"/>
            <w:vAlign w:val="center"/>
            <w:hideMark/>
          </w:tcPr>
          <w:p w14:paraId="4387750F" w14:textId="77777777" w:rsidR="0095442F" w:rsidRPr="002E734A" w:rsidRDefault="0095442F" w:rsidP="0095442F">
            <w:pPr>
              <w:spacing w:after="0"/>
              <w:ind w:firstLine="309"/>
              <w:rPr>
                <w:b/>
                <w:szCs w:val="24"/>
                <w:lang w:eastAsia="lv-LV"/>
              </w:rPr>
            </w:pPr>
            <w:r w:rsidRPr="002E734A">
              <w:rPr>
                <w:b/>
                <w:szCs w:val="24"/>
                <w:lang w:eastAsia="lv-LV"/>
              </w:rPr>
              <w:t>t.sk.</w:t>
            </w:r>
          </w:p>
        </w:tc>
        <w:tc>
          <w:tcPr>
            <w:tcW w:w="738" w:type="dxa"/>
            <w:shd w:val="clear" w:color="auto" w:fill="auto"/>
            <w:vAlign w:val="center"/>
            <w:hideMark/>
          </w:tcPr>
          <w:p w14:paraId="3EA2A946" w14:textId="77777777" w:rsidR="0095442F" w:rsidRPr="00040EDF" w:rsidRDefault="0095442F" w:rsidP="0095442F">
            <w:pPr>
              <w:spacing w:after="0"/>
              <w:ind w:firstLine="0"/>
              <w:rPr>
                <w:szCs w:val="24"/>
                <w:lang w:eastAsia="lv-LV"/>
              </w:rPr>
            </w:pPr>
            <w:r w:rsidRPr="00040EDF">
              <w:rPr>
                <w:szCs w:val="24"/>
                <w:lang w:eastAsia="lv-LV"/>
              </w:rPr>
              <w:t> </w:t>
            </w:r>
          </w:p>
        </w:tc>
        <w:tc>
          <w:tcPr>
            <w:tcW w:w="1559" w:type="dxa"/>
            <w:shd w:val="clear" w:color="auto" w:fill="auto"/>
            <w:vAlign w:val="center"/>
            <w:hideMark/>
          </w:tcPr>
          <w:p w14:paraId="0144C0B2" w14:textId="71FDEAD1" w:rsidR="0095442F" w:rsidRPr="0095442F" w:rsidRDefault="0095442F" w:rsidP="0095442F">
            <w:pPr>
              <w:spacing w:after="0"/>
              <w:ind w:firstLine="0"/>
              <w:jc w:val="center"/>
              <w:rPr>
                <w:szCs w:val="24"/>
                <w:highlight w:val="yellow"/>
                <w:lang w:eastAsia="lv-LV"/>
              </w:rPr>
            </w:pPr>
            <w:r w:rsidRPr="0095442F">
              <w:rPr>
                <w:color w:val="000000"/>
                <w:szCs w:val="24"/>
              </w:rPr>
              <w:t> </w:t>
            </w:r>
          </w:p>
        </w:tc>
        <w:tc>
          <w:tcPr>
            <w:tcW w:w="1417" w:type="dxa"/>
            <w:shd w:val="clear" w:color="auto" w:fill="auto"/>
            <w:vAlign w:val="center"/>
            <w:hideMark/>
          </w:tcPr>
          <w:p w14:paraId="45A10D1C" w14:textId="17CFE642" w:rsidR="0095442F" w:rsidRPr="0095442F" w:rsidRDefault="0095442F" w:rsidP="0095442F">
            <w:pPr>
              <w:spacing w:after="0"/>
              <w:ind w:firstLine="0"/>
              <w:jc w:val="center"/>
              <w:rPr>
                <w:szCs w:val="24"/>
                <w:highlight w:val="yellow"/>
                <w:lang w:eastAsia="lv-LV"/>
              </w:rPr>
            </w:pPr>
            <w:r w:rsidRPr="0095442F">
              <w:rPr>
                <w:color w:val="000000"/>
                <w:szCs w:val="24"/>
              </w:rPr>
              <w:t> </w:t>
            </w:r>
          </w:p>
        </w:tc>
      </w:tr>
      <w:tr w:rsidR="0095442F" w:rsidRPr="00A209F9" w14:paraId="1CF03BBB" w14:textId="77777777" w:rsidTr="00E2310C">
        <w:trPr>
          <w:trHeight w:val="300"/>
        </w:trPr>
        <w:tc>
          <w:tcPr>
            <w:tcW w:w="5353" w:type="dxa"/>
            <w:shd w:val="clear" w:color="auto" w:fill="DBE5F1" w:themeFill="accent1" w:themeFillTint="33"/>
            <w:noWrap/>
            <w:vAlign w:val="center"/>
            <w:hideMark/>
          </w:tcPr>
          <w:p w14:paraId="3B105860" w14:textId="77777777" w:rsidR="0095442F" w:rsidRPr="002E734A" w:rsidRDefault="0095442F" w:rsidP="0095442F">
            <w:pPr>
              <w:spacing w:after="0"/>
              <w:ind w:firstLine="309"/>
              <w:rPr>
                <w:b/>
                <w:szCs w:val="24"/>
                <w:lang w:eastAsia="lv-LV"/>
              </w:rPr>
            </w:pPr>
            <w:r w:rsidRPr="002E734A">
              <w:rPr>
                <w:b/>
                <w:szCs w:val="24"/>
                <w:lang w:eastAsia="lv-LV"/>
              </w:rPr>
              <w:t>1.1. Ražošanas un importa nodokļi</w:t>
            </w:r>
          </w:p>
        </w:tc>
        <w:tc>
          <w:tcPr>
            <w:tcW w:w="738" w:type="dxa"/>
            <w:shd w:val="clear" w:color="auto" w:fill="DBE5F1" w:themeFill="accent1" w:themeFillTint="33"/>
            <w:noWrap/>
            <w:vAlign w:val="center"/>
            <w:hideMark/>
          </w:tcPr>
          <w:p w14:paraId="7D1B3503" w14:textId="77777777" w:rsidR="0095442F" w:rsidRPr="00040EDF" w:rsidRDefault="0095442F" w:rsidP="0095442F">
            <w:pPr>
              <w:spacing w:after="0"/>
              <w:ind w:firstLine="0"/>
              <w:rPr>
                <w:szCs w:val="24"/>
                <w:lang w:eastAsia="lv-LV"/>
              </w:rPr>
            </w:pPr>
            <w:r w:rsidRPr="00040EDF">
              <w:rPr>
                <w:szCs w:val="24"/>
                <w:lang w:eastAsia="lv-LV"/>
              </w:rPr>
              <w:t xml:space="preserve">D.2 </w:t>
            </w:r>
          </w:p>
        </w:tc>
        <w:tc>
          <w:tcPr>
            <w:tcW w:w="1559" w:type="dxa"/>
            <w:shd w:val="clear" w:color="auto" w:fill="DBE5F1" w:themeFill="accent1" w:themeFillTint="33"/>
            <w:noWrap/>
            <w:vAlign w:val="center"/>
            <w:hideMark/>
          </w:tcPr>
          <w:p w14:paraId="17CDA1A3" w14:textId="18C62249" w:rsidR="0095442F" w:rsidRPr="0095442F" w:rsidRDefault="0095442F" w:rsidP="0095442F">
            <w:pPr>
              <w:spacing w:after="0"/>
              <w:ind w:firstLine="0"/>
              <w:jc w:val="center"/>
              <w:rPr>
                <w:szCs w:val="24"/>
                <w:highlight w:val="yellow"/>
                <w:lang w:eastAsia="lv-LV"/>
              </w:rPr>
            </w:pPr>
            <w:r w:rsidRPr="0095442F">
              <w:rPr>
                <w:color w:val="000000"/>
                <w:szCs w:val="24"/>
              </w:rPr>
              <w:t>14,1</w:t>
            </w:r>
          </w:p>
        </w:tc>
        <w:tc>
          <w:tcPr>
            <w:tcW w:w="1417" w:type="dxa"/>
            <w:shd w:val="clear" w:color="auto" w:fill="DBE5F1" w:themeFill="accent1" w:themeFillTint="33"/>
            <w:noWrap/>
            <w:vAlign w:val="center"/>
            <w:hideMark/>
          </w:tcPr>
          <w:p w14:paraId="46BEB345" w14:textId="0F693D02" w:rsidR="0095442F" w:rsidRPr="0095442F" w:rsidRDefault="0095442F" w:rsidP="0095442F">
            <w:pPr>
              <w:spacing w:after="0"/>
              <w:ind w:firstLine="0"/>
              <w:jc w:val="center"/>
              <w:rPr>
                <w:szCs w:val="24"/>
                <w:highlight w:val="yellow"/>
                <w:lang w:eastAsia="lv-LV"/>
              </w:rPr>
            </w:pPr>
            <w:r w:rsidRPr="0095442F">
              <w:rPr>
                <w:color w:val="000000"/>
                <w:szCs w:val="24"/>
              </w:rPr>
              <w:t>14,2</w:t>
            </w:r>
          </w:p>
        </w:tc>
      </w:tr>
      <w:tr w:rsidR="0095442F" w:rsidRPr="00A209F9" w14:paraId="64DD6B03" w14:textId="77777777" w:rsidTr="00E2310C">
        <w:trPr>
          <w:trHeight w:val="300"/>
        </w:trPr>
        <w:tc>
          <w:tcPr>
            <w:tcW w:w="5353" w:type="dxa"/>
            <w:shd w:val="clear" w:color="auto" w:fill="auto"/>
            <w:noWrap/>
            <w:vAlign w:val="center"/>
            <w:hideMark/>
          </w:tcPr>
          <w:p w14:paraId="47302A5B" w14:textId="77777777" w:rsidR="0095442F" w:rsidRPr="002E734A" w:rsidRDefault="0095442F" w:rsidP="0095442F">
            <w:pPr>
              <w:spacing w:after="0"/>
              <w:ind w:firstLine="309"/>
              <w:rPr>
                <w:b/>
                <w:szCs w:val="24"/>
                <w:lang w:eastAsia="lv-LV"/>
              </w:rPr>
            </w:pPr>
            <w:r w:rsidRPr="002E734A">
              <w:rPr>
                <w:b/>
                <w:szCs w:val="24"/>
                <w:lang w:eastAsia="lv-LV"/>
              </w:rPr>
              <w:t>1.2. Ienākuma un mantas kārtējie nodokļi</w:t>
            </w:r>
          </w:p>
        </w:tc>
        <w:tc>
          <w:tcPr>
            <w:tcW w:w="738" w:type="dxa"/>
            <w:shd w:val="clear" w:color="auto" w:fill="auto"/>
            <w:noWrap/>
            <w:vAlign w:val="center"/>
            <w:hideMark/>
          </w:tcPr>
          <w:p w14:paraId="1DD5D275" w14:textId="77777777" w:rsidR="0095442F" w:rsidRPr="00040EDF" w:rsidRDefault="0095442F" w:rsidP="0095442F">
            <w:pPr>
              <w:spacing w:after="0"/>
              <w:ind w:firstLine="0"/>
              <w:rPr>
                <w:szCs w:val="24"/>
                <w:lang w:eastAsia="lv-LV"/>
              </w:rPr>
            </w:pPr>
            <w:r w:rsidRPr="00040EDF">
              <w:rPr>
                <w:szCs w:val="24"/>
                <w:lang w:eastAsia="lv-LV"/>
              </w:rPr>
              <w:t xml:space="preserve">D.5 </w:t>
            </w:r>
          </w:p>
        </w:tc>
        <w:tc>
          <w:tcPr>
            <w:tcW w:w="1559" w:type="dxa"/>
            <w:shd w:val="clear" w:color="auto" w:fill="auto"/>
            <w:noWrap/>
            <w:vAlign w:val="center"/>
            <w:hideMark/>
          </w:tcPr>
          <w:p w14:paraId="2EF78D79" w14:textId="2C2C996B" w:rsidR="0095442F" w:rsidRPr="0095442F" w:rsidRDefault="0095442F" w:rsidP="0095442F">
            <w:pPr>
              <w:spacing w:after="0"/>
              <w:ind w:firstLine="0"/>
              <w:jc w:val="center"/>
              <w:rPr>
                <w:szCs w:val="24"/>
                <w:highlight w:val="yellow"/>
                <w:lang w:eastAsia="lv-LV"/>
              </w:rPr>
            </w:pPr>
            <w:r w:rsidRPr="0095442F">
              <w:rPr>
                <w:color w:val="000000"/>
                <w:szCs w:val="24"/>
              </w:rPr>
              <w:t>6,4</w:t>
            </w:r>
          </w:p>
        </w:tc>
        <w:tc>
          <w:tcPr>
            <w:tcW w:w="1417" w:type="dxa"/>
            <w:shd w:val="clear" w:color="auto" w:fill="auto"/>
            <w:noWrap/>
            <w:vAlign w:val="center"/>
            <w:hideMark/>
          </w:tcPr>
          <w:p w14:paraId="69FB32EC" w14:textId="7CB06663" w:rsidR="0095442F" w:rsidRPr="0095442F" w:rsidRDefault="0095442F" w:rsidP="0095442F">
            <w:pPr>
              <w:spacing w:after="0"/>
              <w:ind w:firstLine="0"/>
              <w:jc w:val="center"/>
              <w:rPr>
                <w:szCs w:val="24"/>
                <w:highlight w:val="yellow"/>
                <w:lang w:eastAsia="lv-LV"/>
              </w:rPr>
            </w:pPr>
            <w:r w:rsidRPr="0095442F">
              <w:rPr>
                <w:color w:val="000000"/>
                <w:szCs w:val="24"/>
              </w:rPr>
              <w:t>6,4</w:t>
            </w:r>
          </w:p>
        </w:tc>
      </w:tr>
      <w:tr w:rsidR="0095442F" w:rsidRPr="00A209F9" w14:paraId="193BEC0D" w14:textId="77777777" w:rsidTr="00E2310C">
        <w:trPr>
          <w:trHeight w:val="300"/>
        </w:trPr>
        <w:tc>
          <w:tcPr>
            <w:tcW w:w="5353" w:type="dxa"/>
            <w:shd w:val="clear" w:color="auto" w:fill="DBE5F1" w:themeFill="accent1" w:themeFillTint="33"/>
            <w:noWrap/>
            <w:vAlign w:val="center"/>
            <w:hideMark/>
          </w:tcPr>
          <w:p w14:paraId="1D5F45C8" w14:textId="77777777" w:rsidR="0095442F" w:rsidRPr="002E734A" w:rsidRDefault="0095442F" w:rsidP="0095442F">
            <w:pPr>
              <w:spacing w:after="0"/>
              <w:ind w:firstLine="309"/>
              <w:rPr>
                <w:b/>
                <w:szCs w:val="24"/>
                <w:lang w:eastAsia="lv-LV"/>
              </w:rPr>
            </w:pPr>
            <w:r w:rsidRPr="002E734A">
              <w:rPr>
                <w:b/>
                <w:szCs w:val="24"/>
                <w:lang w:eastAsia="lv-LV"/>
              </w:rPr>
              <w:t>1.3. Kapitāla nodokļi</w:t>
            </w:r>
          </w:p>
        </w:tc>
        <w:tc>
          <w:tcPr>
            <w:tcW w:w="738" w:type="dxa"/>
            <w:shd w:val="clear" w:color="auto" w:fill="DBE5F1" w:themeFill="accent1" w:themeFillTint="33"/>
            <w:noWrap/>
            <w:vAlign w:val="center"/>
            <w:hideMark/>
          </w:tcPr>
          <w:p w14:paraId="6B04CE83" w14:textId="77777777" w:rsidR="0095442F" w:rsidRPr="00040EDF" w:rsidRDefault="0095442F" w:rsidP="0095442F">
            <w:pPr>
              <w:spacing w:after="0"/>
              <w:ind w:firstLine="0"/>
              <w:rPr>
                <w:szCs w:val="24"/>
                <w:lang w:eastAsia="lv-LV"/>
              </w:rPr>
            </w:pPr>
            <w:r w:rsidRPr="00040EDF">
              <w:rPr>
                <w:szCs w:val="24"/>
                <w:lang w:eastAsia="lv-LV"/>
              </w:rPr>
              <w:t xml:space="preserve">D.91 </w:t>
            </w:r>
          </w:p>
        </w:tc>
        <w:tc>
          <w:tcPr>
            <w:tcW w:w="1559" w:type="dxa"/>
            <w:shd w:val="clear" w:color="auto" w:fill="DBE5F1" w:themeFill="accent1" w:themeFillTint="33"/>
            <w:noWrap/>
            <w:vAlign w:val="center"/>
            <w:hideMark/>
          </w:tcPr>
          <w:p w14:paraId="32737505" w14:textId="50E4C166" w:rsidR="0095442F" w:rsidRPr="0095442F" w:rsidRDefault="0095442F" w:rsidP="0095442F">
            <w:pPr>
              <w:spacing w:after="0"/>
              <w:ind w:firstLine="0"/>
              <w:jc w:val="center"/>
              <w:rPr>
                <w:szCs w:val="24"/>
                <w:highlight w:val="yellow"/>
                <w:lang w:eastAsia="lv-LV"/>
              </w:rPr>
            </w:pPr>
            <w:r w:rsidRPr="0095442F">
              <w:rPr>
                <w:color w:val="000000"/>
                <w:szCs w:val="24"/>
              </w:rPr>
              <w:t>0,0</w:t>
            </w:r>
          </w:p>
        </w:tc>
        <w:tc>
          <w:tcPr>
            <w:tcW w:w="1417" w:type="dxa"/>
            <w:shd w:val="clear" w:color="auto" w:fill="DBE5F1" w:themeFill="accent1" w:themeFillTint="33"/>
            <w:noWrap/>
            <w:vAlign w:val="center"/>
            <w:hideMark/>
          </w:tcPr>
          <w:p w14:paraId="125D1D5B" w14:textId="0A20FC9D" w:rsidR="0095442F" w:rsidRPr="0095442F" w:rsidRDefault="0095442F" w:rsidP="0095442F">
            <w:pPr>
              <w:spacing w:after="0"/>
              <w:ind w:firstLine="0"/>
              <w:jc w:val="center"/>
              <w:rPr>
                <w:szCs w:val="24"/>
                <w:highlight w:val="yellow"/>
                <w:lang w:eastAsia="lv-LV"/>
              </w:rPr>
            </w:pPr>
            <w:r w:rsidRPr="0095442F">
              <w:rPr>
                <w:color w:val="000000"/>
                <w:szCs w:val="24"/>
              </w:rPr>
              <w:t>0,0</w:t>
            </w:r>
          </w:p>
        </w:tc>
      </w:tr>
      <w:tr w:rsidR="0095442F" w:rsidRPr="00A209F9" w14:paraId="24C6285D" w14:textId="77777777" w:rsidTr="00E2310C">
        <w:trPr>
          <w:trHeight w:val="300"/>
        </w:trPr>
        <w:tc>
          <w:tcPr>
            <w:tcW w:w="5353" w:type="dxa"/>
            <w:shd w:val="clear" w:color="auto" w:fill="auto"/>
            <w:noWrap/>
            <w:vAlign w:val="center"/>
            <w:hideMark/>
          </w:tcPr>
          <w:p w14:paraId="2ADB66D8" w14:textId="77777777" w:rsidR="0095442F" w:rsidRPr="002E734A" w:rsidRDefault="0095442F" w:rsidP="0095442F">
            <w:pPr>
              <w:spacing w:after="0"/>
              <w:ind w:firstLine="309"/>
              <w:rPr>
                <w:b/>
                <w:szCs w:val="24"/>
                <w:lang w:eastAsia="lv-LV"/>
              </w:rPr>
            </w:pPr>
            <w:r w:rsidRPr="002E734A">
              <w:rPr>
                <w:b/>
                <w:szCs w:val="24"/>
                <w:lang w:eastAsia="lv-LV"/>
              </w:rPr>
              <w:t>1.4. Sociālās iemaksas</w:t>
            </w:r>
          </w:p>
        </w:tc>
        <w:tc>
          <w:tcPr>
            <w:tcW w:w="738" w:type="dxa"/>
            <w:shd w:val="clear" w:color="auto" w:fill="auto"/>
            <w:noWrap/>
            <w:vAlign w:val="center"/>
            <w:hideMark/>
          </w:tcPr>
          <w:p w14:paraId="3E05482E" w14:textId="77777777" w:rsidR="0095442F" w:rsidRPr="00040EDF" w:rsidRDefault="0095442F" w:rsidP="0095442F">
            <w:pPr>
              <w:spacing w:after="0"/>
              <w:ind w:firstLine="0"/>
              <w:rPr>
                <w:szCs w:val="24"/>
                <w:lang w:eastAsia="lv-LV"/>
              </w:rPr>
            </w:pPr>
            <w:r w:rsidRPr="00040EDF">
              <w:rPr>
                <w:szCs w:val="24"/>
                <w:lang w:eastAsia="lv-LV"/>
              </w:rPr>
              <w:t xml:space="preserve">D.61 </w:t>
            </w:r>
          </w:p>
        </w:tc>
        <w:tc>
          <w:tcPr>
            <w:tcW w:w="1559" w:type="dxa"/>
            <w:shd w:val="clear" w:color="auto" w:fill="auto"/>
            <w:noWrap/>
            <w:vAlign w:val="center"/>
            <w:hideMark/>
          </w:tcPr>
          <w:p w14:paraId="6BAEF323" w14:textId="283F33A1" w:rsidR="0095442F" w:rsidRPr="0095442F" w:rsidRDefault="0095442F" w:rsidP="0095442F">
            <w:pPr>
              <w:spacing w:after="0"/>
              <w:ind w:firstLine="0"/>
              <w:jc w:val="center"/>
              <w:rPr>
                <w:szCs w:val="24"/>
                <w:highlight w:val="yellow"/>
                <w:lang w:eastAsia="lv-LV"/>
              </w:rPr>
            </w:pPr>
            <w:r w:rsidRPr="0095442F">
              <w:rPr>
                <w:color w:val="000000"/>
                <w:szCs w:val="24"/>
              </w:rPr>
              <w:t>9,5</w:t>
            </w:r>
          </w:p>
        </w:tc>
        <w:tc>
          <w:tcPr>
            <w:tcW w:w="1417" w:type="dxa"/>
            <w:shd w:val="clear" w:color="auto" w:fill="auto"/>
            <w:noWrap/>
            <w:vAlign w:val="center"/>
            <w:hideMark/>
          </w:tcPr>
          <w:p w14:paraId="31B26B2B" w14:textId="3F8EF75E" w:rsidR="0095442F" w:rsidRPr="0095442F" w:rsidRDefault="0095442F" w:rsidP="0095442F">
            <w:pPr>
              <w:spacing w:after="0"/>
              <w:ind w:firstLine="0"/>
              <w:jc w:val="center"/>
              <w:rPr>
                <w:szCs w:val="24"/>
                <w:highlight w:val="yellow"/>
                <w:lang w:eastAsia="lv-LV"/>
              </w:rPr>
            </w:pPr>
            <w:r w:rsidRPr="0095442F">
              <w:rPr>
                <w:color w:val="000000"/>
                <w:szCs w:val="24"/>
              </w:rPr>
              <w:t>9,6</w:t>
            </w:r>
          </w:p>
        </w:tc>
      </w:tr>
      <w:tr w:rsidR="0095442F" w:rsidRPr="00A209F9" w14:paraId="57049ADE" w14:textId="77777777" w:rsidTr="00E2310C">
        <w:trPr>
          <w:trHeight w:val="300"/>
        </w:trPr>
        <w:tc>
          <w:tcPr>
            <w:tcW w:w="5353" w:type="dxa"/>
            <w:shd w:val="clear" w:color="auto" w:fill="DBE5F1" w:themeFill="accent1" w:themeFillTint="33"/>
            <w:noWrap/>
            <w:vAlign w:val="center"/>
            <w:hideMark/>
          </w:tcPr>
          <w:p w14:paraId="61074629" w14:textId="77777777" w:rsidR="0095442F" w:rsidRPr="002E734A" w:rsidRDefault="0095442F" w:rsidP="0095442F">
            <w:pPr>
              <w:spacing w:after="0"/>
              <w:ind w:firstLine="309"/>
              <w:rPr>
                <w:b/>
                <w:szCs w:val="24"/>
                <w:lang w:eastAsia="lv-LV"/>
              </w:rPr>
            </w:pPr>
            <w:r w:rsidRPr="002E734A">
              <w:rPr>
                <w:b/>
                <w:szCs w:val="24"/>
                <w:lang w:eastAsia="lv-LV"/>
              </w:rPr>
              <w:t>1.5. Īpašuma ienākumi</w:t>
            </w:r>
          </w:p>
        </w:tc>
        <w:tc>
          <w:tcPr>
            <w:tcW w:w="738" w:type="dxa"/>
            <w:shd w:val="clear" w:color="auto" w:fill="DBE5F1" w:themeFill="accent1" w:themeFillTint="33"/>
            <w:noWrap/>
            <w:vAlign w:val="center"/>
            <w:hideMark/>
          </w:tcPr>
          <w:p w14:paraId="6F1B6C95" w14:textId="77777777" w:rsidR="0095442F" w:rsidRPr="00040EDF" w:rsidRDefault="0095442F" w:rsidP="0095442F">
            <w:pPr>
              <w:spacing w:after="0"/>
              <w:ind w:firstLine="0"/>
              <w:rPr>
                <w:szCs w:val="24"/>
                <w:lang w:eastAsia="lv-LV"/>
              </w:rPr>
            </w:pPr>
            <w:r w:rsidRPr="00040EDF">
              <w:rPr>
                <w:szCs w:val="24"/>
                <w:lang w:eastAsia="lv-LV"/>
              </w:rPr>
              <w:t xml:space="preserve">D.4 </w:t>
            </w:r>
          </w:p>
        </w:tc>
        <w:tc>
          <w:tcPr>
            <w:tcW w:w="1559" w:type="dxa"/>
            <w:shd w:val="clear" w:color="auto" w:fill="DBE5F1" w:themeFill="accent1" w:themeFillTint="33"/>
            <w:noWrap/>
            <w:vAlign w:val="center"/>
            <w:hideMark/>
          </w:tcPr>
          <w:p w14:paraId="0A217A3B" w14:textId="2E27D392" w:rsidR="0095442F" w:rsidRPr="0095442F" w:rsidRDefault="0095442F" w:rsidP="0095442F">
            <w:pPr>
              <w:spacing w:after="0"/>
              <w:ind w:firstLine="0"/>
              <w:jc w:val="center"/>
              <w:rPr>
                <w:szCs w:val="24"/>
                <w:highlight w:val="yellow"/>
                <w:lang w:eastAsia="lv-LV"/>
              </w:rPr>
            </w:pPr>
            <w:r w:rsidRPr="0095442F">
              <w:rPr>
                <w:color w:val="000000"/>
                <w:szCs w:val="24"/>
              </w:rPr>
              <w:t>0,7</w:t>
            </w:r>
          </w:p>
        </w:tc>
        <w:tc>
          <w:tcPr>
            <w:tcW w:w="1417" w:type="dxa"/>
            <w:shd w:val="clear" w:color="auto" w:fill="DBE5F1" w:themeFill="accent1" w:themeFillTint="33"/>
            <w:noWrap/>
            <w:vAlign w:val="center"/>
            <w:hideMark/>
          </w:tcPr>
          <w:p w14:paraId="415AE4B4" w14:textId="2B23F813" w:rsidR="0095442F" w:rsidRPr="0095442F" w:rsidRDefault="0095442F" w:rsidP="0095442F">
            <w:pPr>
              <w:spacing w:after="0"/>
              <w:ind w:firstLine="0"/>
              <w:jc w:val="center"/>
              <w:rPr>
                <w:szCs w:val="24"/>
                <w:highlight w:val="yellow"/>
                <w:lang w:eastAsia="lv-LV"/>
              </w:rPr>
            </w:pPr>
            <w:r w:rsidRPr="0095442F">
              <w:rPr>
                <w:color w:val="000000"/>
                <w:szCs w:val="24"/>
              </w:rPr>
              <w:t>0,6</w:t>
            </w:r>
          </w:p>
        </w:tc>
      </w:tr>
      <w:tr w:rsidR="0095442F" w:rsidRPr="00A209F9" w14:paraId="52ADDAEF" w14:textId="77777777" w:rsidTr="00E2310C">
        <w:trPr>
          <w:trHeight w:val="300"/>
        </w:trPr>
        <w:tc>
          <w:tcPr>
            <w:tcW w:w="5353" w:type="dxa"/>
            <w:shd w:val="clear" w:color="auto" w:fill="auto"/>
            <w:noWrap/>
            <w:vAlign w:val="center"/>
            <w:hideMark/>
          </w:tcPr>
          <w:p w14:paraId="66B60971" w14:textId="77777777" w:rsidR="0095442F" w:rsidRPr="002E734A" w:rsidRDefault="0095442F" w:rsidP="0095442F">
            <w:pPr>
              <w:spacing w:after="0"/>
              <w:ind w:firstLine="309"/>
              <w:rPr>
                <w:b/>
                <w:szCs w:val="24"/>
                <w:lang w:eastAsia="lv-LV"/>
              </w:rPr>
            </w:pPr>
            <w:r w:rsidRPr="002E734A">
              <w:rPr>
                <w:b/>
                <w:szCs w:val="24"/>
                <w:lang w:eastAsia="lv-LV"/>
              </w:rPr>
              <w:t>1.6. Pārējie ieņēmumi</w:t>
            </w:r>
          </w:p>
        </w:tc>
        <w:tc>
          <w:tcPr>
            <w:tcW w:w="738" w:type="dxa"/>
            <w:shd w:val="clear" w:color="auto" w:fill="auto"/>
            <w:noWrap/>
            <w:vAlign w:val="center"/>
            <w:hideMark/>
          </w:tcPr>
          <w:p w14:paraId="7095293C" w14:textId="77777777" w:rsidR="0095442F" w:rsidRPr="00040EDF" w:rsidRDefault="0095442F" w:rsidP="0095442F">
            <w:pPr>
              <w:spacing w:after="0"/>
              <w:ind w:firstLine="0"/>
              <w:rPr>
                <w:szCs w:val="24"/>
                <w:lang w:eastAsia="lv-LV"/>
              </w:rPr>
            </w:pPr>
            <w:r w:rsidRPr="00040EDF">
              <w:rPr>
                <w:szCs w:val="24"/>
                <w:lang w:eastAsia="lv-LV"/>
              </w:rPr>
              <w:t xml:space="preserve"> </w:t>
            </w:r>
          </w:p>
        </w:tc>
        <w:tc>
          <w:tcPr>
            <w:tcW w:w="1559" w:type="dxa"/>
            <w:shd w:val="clear" w:color="auto" w:fill="auto"/>
            <w:noWrap/>
            <w:vAlign w:val="center"/>
            <w:hideMark/>
          </w:tcPr>
          <w:p w14:paraId="255BE64C" w14:textId="353D9F22" w:rsidR="0095442F" w:rsidRPr="0095442F" w:rsidRDefault="0095442F" w:rsidP="0095442F">
            <w:pPr>
              <w:spacing w:after="0"/>
              <w:ind w:firstLine="0"/>
              <w:jc w:val="center"/>
              <w:rPr>
                <w:szCs w:val="24"/>
                <w:highlight w:val="yellow"/>
                <w:lang w:eastAsia="lv-LV"/>
              </w:rPr>
            </w:pPr>
            <w:r w:rsidRPr="0095442F">
              <w:rPr>
                <w:color w:val="000000"/>
                <w:szCs w:val="24"/>
              </w:rPr>
              <w:t>5,7</w:t>
            </w:r>
          </w:p>
        </w:tc>
        <w:tc>
          <w:tcPr>
            <w:tcW w:w="1417" w:type="dxa"/>
            <w:shd w:val="clear" w:color="auto" w:fill="auto"/>
            <w:noWrap/>
            <w:vAlign w:val="center"/>
            <w:hideMark/>
          </w:tcPr>
          <w:p w14:paraId="519EC30E" w14:textId="069D723C" w:rsidR="0095442F" w:rsidRPr="0095442F" w:rsidRDefault="0095442F" w:rsidP="0095442F">
            <w:pPr>
              <w:spacing w:after="0"/>
              <w:ind w:firstLine="0"/>
              <w:jc w:val="center"/>
              <w:rPr>
                <w:szCs w:val="24"/>
                <w:highlight w:val="yellow"/>
                <w:lang w:eastAsia="lv-LV"/>
              </w:rPr>
            </w:pPr>
            <w:r w:rsidRPr="0095442F">
              <w:rPr>
                <w:color w:val="000000"/>
                <w:szCs w:val="24"/>
              </w:rPr>
              <w:t>5,4</w:t>
            </w:r>
          </w:p>
        </w:tc>
      </w:tr>
      <w:tr w:rsidR="0095442F" w:rsidRPr="00A209F9" w14:paraId="274D452E" w14:textId="77777777" w:rsidTr="00E2310C">
        <w:trPr>
          <w:trHeight w:val="300"/>
        </w:trPr>
        <w:tc>
          <w:tcPr>
            <w:tcW w:w="5353" w:type="dxa"/>
            <w:shd w:val="clear" w:color="auto" w:fill="DBE5F1" w:themeFill="accent1" w:themeFillTint="33"/>
            <w:noWrap/>
            <w:vAlign w:val="center"/>
            <w:hideMark/>
          </w:tcPr>
          <w:p w14:paraId="72B4DD69" w14:textId="77777777" w:rsidR="0095442F" w:rsidRPr="002E734A" w:rsidRDefault="0095442F" w:rsidP="0095442F">
            <w:pPr>
              <w:spacing w:after="0"/>
              <w:ind w:firstLine="309"/>
              <w:rPr>
                <w:b/>
                <w:szCs w:val="24"/>
                <w:lang w:eastAsia="lv-LV"/>
              </w:rPr>
            </w:pPr>
            <w:r w:rsidRPr="002E734A">
              <w:rPr>
                <w:b/>
                <w:szCs w:val="24"/>
                <w:lang w:eastAsia="lv-LV"/>
              </w:rPr>
              <w:t>Nodokļu slogs (D.2+D.5+D.61+D.91-D.995)</w:t>
            </w:r>
          </w:p>
        </w:tc>
        <w:tc>
          <w:tcPr>
            <w:tcW w:w="738" w:type="dxa"/>
            <w:shd w:val="clear" w:color="auto" w:fill="DBE5F1" w:themeFill="accent1" w:themeFillTint="33"/>
            <w:noWrap/>
            <w:vAlign w:val="center"/>
            <w:hideMark/>
          </w:tcPr>
          <w:p w14:paraId="1F9EF624" w14:textId="77777777" w:rsidR="0095442F" w:rsidRPr="00040EDF" w:rsidRDefault="0095442F" w:rsidP="0095442F">
            <w:pPr>
              <w:spacing w:after="0"/>
              <w:ind w:firstLine="0"/>
              <w:rPr>
                <w:szCs w:val="24"/>
                <w:lang w:eastAsia="lv-LV"/>
              </w:rPr>
            </w:pPr>
            <w:r w:rsidRPr="00040EDF">
              <w:rPr>
                <w:szCs w:val="24"/>
                <w:lang w:eastAsia="lv-LV"/>
              </w:rPr>
              <w:t xml:space="preserve"> </w:t>
            </w:r>
          </w:p>
        </w:tc>
        <w:tc>
          <w:tcPr>
            <w:tcW w:w="1559" w:type="dxa"/>
            <w:shd w:val="clear" w:color="auto" w:fill="DBE5F1" w:themeFill="accent1" w:themeFillTint="33"/>
            <w:noWrap/>
            <w:vAlign w:val="center"/>
            <w:hideMark/>
          </w:tcPr>
          <w:p w14:paraId="30557342" w14:textId="29854165" w:rsidR="0095442F" w:rsidRPr="0095442F" w:rsidRDefault="0095442F" w:rsidP="0095442F">
            <w:pPr>
              <w:spacing w:after="0"/>
              <w:ind w:firstLine="0"/>
              <w:jc w:val="center"/>
              <w:rPr>
                <w:szCs w:val="24"/>
                <w:highlight w:val="yellow"/>
                <w:lang w:eastAsia="lv-LV"/>
              </w:rPr>
            </w:pPr>
            <w:r w:rsidRPr="0095442F">
              <w:rPr>
                <w:color w:val="000000"/>
                <w:szCs w:val="24"/>
              </w:rPr>
              <w:t>30,3</w:t>
            </w:r>
          </w:p>
        </w:tc>
        <w:tc>
          <w:tcPr>
            <w:tcW w:w="1417" w:type="dxa"/>
            <w:shd w:val="clear" w:color="auto" w:fill="DBE5F1" w:themeFill="accent1" w:themeFillTint="33"/>
            <w:noWrap/>
            <w:vAlign w:val="center"/>
            <w:hideMark/>
          </w:tcPr>
          <w:p w14:paraId="59337CF2" w14:textId="106000FC" w:rsidR="0095442F" w:rsidRPr="0095442F" w:rsidRDefault="0095442F" w:rsidP="0095442F">
            <w:pPr>
              <w:spacing w:after="0"/>
              <w:ind w:firstLine="0"/>
              <w:jc w:val="center"/>
              <w:rPr>
                <w:szCs w:val="24"/>
                <w:highlight w:val="yellow"/>
                <w:lang w:eastAsia="lv-LV"/>
              </w:rPr>
            </w:pPr>
            <w:r w:rsidRPr="0095442F">
              <w:rPr>
                <w:color w:val="000000"/>
                <w:szCs w:val="24"/>
              </w:rPr>
              <w:t>30,5</w:t>
            </w:r>
          </w:p>
        </w:tc>
      </w:tr>
      <w:tr w:rsidR="0095442F" w:rsidRPr="00A209F9" w14:paraId="4ED70070" w14:textId="77777777" w:rsidTr="00E2310C">
        <w:trPr>
          <w:trHeight w:val="300"/>
        </w:trPr>
        <w:tc>
          <w:tcPr>
            <w:tcW w:w="5353" w:type="dxa"/>
            <w:shd w:val="clear" w:color="auto" w:fill="auto"/>
            <w:noWrap/>
            <w:vAlign w:val="center"/>
            <w:hideMark/>
          </w:tcPr>
          <w:p w14:paraId="5A63B373" w14:textId="77777777" w:rsidR="0095442F" w:rsidRPr="002E734A" w:rsidRDefault="0095442F" w:rsidP="0095442F">
            <w:pPr>
              <w:spacing w:after="0"/>
              <w:ind w:firstLine="0"/>
              <w:rPr>
                <w:b/>
                <w:szCs w:val="24"/>
                <w:lang w:eastAsia="lv-LV"/>
              </w:rPr>
            </w:pPr>
            <w:r w:rsidRPr="002E734A">
              <w:rPr>
                <w:b/>
                <w:szCs w:val="24"/>
                <w:lang w:eastAsia="lv-LV"/>
              </w:rPr>
              <w:t>2. Izdevumu plāna kopsumma</w:t>
            </w:r>
          </w:p>
        </w:tc>
        <w:tc>
          <w:tcPr>
            <w:tcW w:w="738" w:type="dxa"/>
            <w:shd w:val="clear" w:color="auto" w:fill="auto"/>
            <w:noWrap/>
            <w:vAlign w:val="center"/>
            <w:hideMark/>
          </w:tcPr>
          <w:p w14:paraId="3DE83664" w14:textId="77777777" w:rsidR="0095442F" w:rsidRPr="00040EDF" w:rsidRDefault="0095442F" w:rsidP="0095442F">
            <w:pPr>
              <w:spacing w:after="0"/>
              <w:ind w:firstLine="0"/>
              <w:rPr>
                <w:szCs w:val="24"/>
                <w:lang w:eastAsia="lv-LV"/>
              </w:rPr>
            </w:pPr>
            <w:r w:rsidRPr="00040EDF">
              <w:rPr>
                <w:szCs w:val="24"/>
                <w:lang w:eastAsia="lv-LV"/>
              </w:rPr>
              <w:t>TE</w:t>
            </w:r>
          </w:p>
        </w:tc>
        <w:tc>
          <w:tcPr>
            <w:tcW w:w="1559" w:type="dxa"/>
            <w:shd w:val="clear" w:color="auto" w:fill="auto"/>
            <w:noWrap/>
            <w:vAlign w:val="center"/>
            <w:hideMark/>
          </w:tcPr>
          <w:p w14:paraId="107B7E96" w14:textId="36E861C8" w:rsidR="0095442F" w:rsidRPr="0095442F" w:rsidRDefault="0095442F" w:rsidP="0095442F">
            <w:pPr>
              <w:spacing w:after="0"/>
              <w:ind w:firstLine="0"/>
              <w:jc w:val="center"/>
              <w:rPr>
                <w:szCs w:val="24"/>
                <w:highlight w:val="yellow"/>
                <w:lang w:eastAsia="lv-LV"/>
              </w:rPr>
            </w:pPr>
            <w:r w:rsidRPr="0095442F">
              <w:rPr>
                <w:color w:val="000000"/>
                <w:szCs w:val="24"/>
              </w:rPr>
              <w:t>37,1</w:t>
            </w:r>
          </w:p>
        </w:tc>
        <w:tc>
          <w:tcPr>
            <w:tcW w:w="1417" w:type="dxa"/>
            <w:shd w:val="clear" w:color="auto" w:fill="auto"/>
            <w:noWrap/>
            <w:vAlign w:val="center"/>
            <w:hideMark/>
          </w:tcPr>
          <w:p w14:paraId="6CB3F550" w14:textId="5ED1997B" w:rsidR="0095442F" w:rsidRPr="0095442F" w:rsidRDefault="0095442F" w:rsidP="0095442F">
            <w:pPr>
              <w:spacing w:after="0"/>
              <w:ind w:firstLine="0"/>
              <w:jc w:val="center"/>
              <w:rPr>
                <w:szCs w:val="24"/>
                <w:highlight w:val="yellow"/>
                <w:lang w:eastAsia="lv-LV"/>
              </w:rPr>
            </w:pPr>
            <w:r w:rsidRPr="0095442F">
              <w:rPr>
                <w:color w:val="000000"/>
                <w:szCs w:val="24"/>
              </w:rPr>
              <w:t>36,6</w:t>
            </w:r>
          </w:p>
        </w:tc>
      </w:tr>
      <w:tr w:rsidR="0095442F" w:rsidRPr="00A209F9" w14:paraId="06EFBE32" w14:textId="77777777" w:rsidTr="00E2310C">
        <w:trPr>
          <w:trHeight w:val="300"/>
        </w:trPr>
        <w:tc>
          <w:tcPr>
            <w:tcW w:w="5353" w:type="dxa"/>
            <w:shd w:val="clear" w:color="auto" w:fill="DBE5F1" w:themeFill="accent1" w:themeFillTint="33"/>
            <w:vAlign w:val="center"/>
            <w:hideMark/>
          </w:tcPr>
          <w:p w14:paraId="2938A4A0" w14:textId="77777777" w:rsidR="0095442F" w:rsidRPr="002E734A" w:rsidRDefault="0095442F" w:rsidP="0095442F">
            <w:pPr>
              <w:spacing w:after="0"/>
              <w:ind w:firstLine="309"/>
              <w:rPr>
                <w:b/>
                <w:szCs w:val="24"/>
                <w:lang w:eastAsia="lv-LV"/>
              </w:rPr>
            </w:pPr>
            <w:r w:rsidRPr="002E734A">
              <w:rPr>
                <w:b/>
                <w:szCs w:val="24"/>
                <w:lang w:eastAsia="lv-LV"/>
              </w:rPr>
              <w:t>t.sk.</w:t>
            </w:r>
          </w:p>
        </w:tc>
        <w:tc>
          <w:tcPr>
            <w:tcW w:w="738" w:type="dxa"/>
            <w:shd w:val="clear" w:color="auto" w:fill="DBE5F1" w:themeFill="accent1" w:themeFillTint="33"/>
            <w:vAlign w:val="center"/>
            <w:hideMark/>
          </w:tcPr>
          <w:p w14:paraId="7D106317" w14:textId="77777777" w:rsidR="0095442F" w:rsidRPr="00040EDF" w:rsidRDefault="0095442F" w:rsidP="0095442F">
            <w:pPr>
              <w:spacing w:after="0"/>
              <w:ind w:firstLine="0"/>
              <w:rPr>
                <w:szCs w:val="24"/>
                <w:lang w:eastAsia="lv-LV"/>
              </w:rPr>
            </w:pPr>
            <w:r w:rsidRPr="00040EDF">
              <w:rPr>
                <w:szCs w:val="24"/>
                <w:lang w:eastAsia="lv-LV"/>
              </w:rPr>
              <w:t> </w:t>
            </w:r>
          </w:p>
        </w:tc>
        <w:tc>
          <w:tcPr>
            <w:tcW w:w="1559" w:type="dxa"/>
            <w:shd w:val="clear" w:color="auto" w:fill="DBE5F1" w:themeFill="accent1" w:themeFillTint="33"/>
            <w:vAlign w:val="center"/>
            <w:hideMark/>
          </w:tcPr>
          <w:p w14:paraId="78B668CE" w14:textId="74AB0D35" w:rsidR="0095442F" w:rsidRPr="0095442F" w:rsidRDefault="0095442F" w:rsidP="0095442F">
            <w:pPr>
              <w:spacing w:after="0"/>
              <w:ind w:firstLine="0"/>
              <w:jc w:val="center"/>
              <w:rPr>
                <w:szCs w:val="24"/>
                <w:highlight w:val="yellow"/>
                <w:lang w:eastAsia="lv-LV"/>
              </w:rPr>
            </w:pPr>
            <w:r w:rsidRPr="0095442F">
              <w:rPr>
                <w:color w:val="000000"/>
                <w:szCs w:val="24"/>
              </w:rPr>
              <w:t> </w:t>
            </w:r>
          </w:p>
        </w:tc>
        <w:tc>
          <w:tcPr>
            <w:tcW w:w="1417" w:type="dxa"/>
            <w:shd w:val="clear" w:color="auto" w:fill="DBE5F1" w:themeFill="accent1" w:themeFillTint="33"/>
            <w:vAlign w:val="center"/>
            <w:hideMark/>
          </w:tcPr>
          <w:p w14:paraId="08DFA5FE" w14:textId="2143F4D3" w:rsidR="0095442F" w:rsidRPr="0095442F" w:rsidRDefault="0095442F" w:rsidP="0095442F">
            <w:pPr>
              <w:spacing w:after="0"/>
              <w:ind w:firstLine="0"/>
              <w:jc w:val="center"/>
              <w:rPr>
                <w:szCs w:val="24"/>
                <w:highlight w:val="yellow"/>
                <w:lang w:eastAsia="lv-LV"/>
              </w:rPr>
            </w:pPr>
            <w:r w:rsidRPr="0095442F">
              <w:rPr>
                <w:color w:val="000000"/>
                <w:szCs w:val="24"/>
              </w:rPr>
              <w:t> </w:t>
            </w:r>
          </w:p>
        </w:tc>
      </w:tr>
      <w:tr w:rsidR="0095442F" w:rsidRPr="00A209F9" w14:paraId="0ED838F8" w14:textId="77777777" w:rsidTr="00E2310C">
        <w:trPr>
          <w:trHeight w:val="300"/>
        </w:trPr>
        <w:tc>
          <w:tcPr>
            <w:tcW w:w="5353" w:type="dxa"/>
            <w:shd w:val="clear" w:color="auto" w:fill="auto"/>
            <w:noWrap/>
            <w:vAlign w:val="center"/>
            <w:hideMark/>
          </w:tcPr>
          <w:p w14:paraId="36602B21" w14:textId="77777777" w:rsidR="0095442F" w:rsidRPr="002E734A" w:rsidRDefault="0095442F" w:rsidP="0095442F">
            <w:pPr>
              <w:spacing w:after="0"/>
              <w:ind w:firstLine="309"/>
              <w:rPr>
                <w:b/>
                <w:szCs w:val="24"/>
                <w:lang w:eastAsia="lv-LV"/>
              </w:rPr>
            </w:pPr>
            <w:r w:rsidRPr="002E734A">
              <w:rPr>
                <w:b/>
                <w:szCs w:val="24"/>
                <w:lang w:eastAsia="lv-LV"/>
              </w:rPr>
              <w:t>2.1. Atlīdzība nodarbinātajiem</w:t>
            </w:r>
          </w:p>
        </w:tc>
        <w:tc>
          <w:tcPr>
            <w:tcW w:w="738" w:type="dxa"/>
            <w:shd w:val="clear" w:color="auto" w:fill="auto"/>
            <w:noWrap/>
            <w:vAlign w:val="center"/>
            <w:hideMark/>
          </w:tcPr>
          <w:p w14:paraId="226355D9" w14:textId="77777777" w:rsidR="0095442F" w:rsidRPr="00040EDF" w:rsidRDefault="0095442F" w:rsidP="0095442F">
            <w:pPr>
              <w:spacing w:after="0"/>
              <w:ind w:firstLine="0"/>
              <w:rPr>
                <w:szCs w:val="24"/>
                <w:lang w:eastAsia="lv-LV"/>
              </w:rPr>
            </w:pPr>
            <w:r w:rsidRPr="00040EDF">
              <w:rPr>
                <w:szCs w:val="24"/>
                <w:lang w:eastAsia="lv-LV"/>
              </w:rPr>
              <w:t xml:space="preserve">D.1  </w:t>
            </w:r>
          </w:p>
        </w:tc>
        <w:tc>
          <w:tcPr>
            <w:tcW w:w="1559" w:type="dxa"/>
            <w:shd w:val="clear" w:color="auto" w:fill="auto"/>
            <w:noWrap/>
            <w:vAlign w:val="center"/>
            <w:hideMark/>
          </w:tcPr>
          <w:p w14:paraId="57E13CE6" w14:textId="672BDB40" w:rsidR="0095442F" w:rsidRPr="0095442F" w:rsidRDefault="0095442F" w:rsidP="0095442F">
            <w:pPr>
              <w:spacing w:after="0"/>
              <w:ind w:firstLine="0"/>
              <w:jc w:val="center"/>
              <w:rPr>
                <w:szCs w:val="24"/>
                <w:highlight w:val="yellow"/>
                <w:lang w:eastAsia="lv-LV"/>
              </w:rPr>
            </w:pPr>
            <w:r w:rsidRPr="0095442F">
              <w:rPr>
                <w:color w:val="000000"/>
                <w:szCs w:val="24"/>
              </w:rPr>
              <w:t>10,1</w:t>
            </w:r>
          </w:p>
        </w:tc>
        <w:tc>
          <w:tcPr>
            <w:tcW w:w="1417" w:type="dxa"/>
            <w:shd w:val="clear" w:color="auto" w:fill="auto"/>
            <w:noWrap/>
            <w:vAlign w:val="center"/>
            <w:hideMark/>
          </w:tcPr>
          <w:p w14:paraId="76EA1FF0" w14:textId="0E96DE78" w:rsidR="0095442F" w:rsidRPr="0095442F" w:rsidRDefault="0095442F" w:rsidP="0095442F">
            <w:pPr>
              <w:spacing w:after="0"/>
              <w:ind w:firstLine="0"/>
              <w:jc w:val="center"/>
              <w:rPr>
                <w:szCs w:val="24"/>
                <w:highlight w:val="yellow"/>
                <w:lang w:eastAsia="lv-LV"/>
              </w:rPr>
            </w:pPr>
            <w:r w:rsidRPr="0095442F">
              <w:rPr>
                <w:color w:val="000000"/>
                <w:szCs w:val="24"/>
              </w:rPr>
              <w:t>10,1</w:t>
            </w:r>
          </w:p>
        </w:tc>
      </w:tr>
      <w:tr w:rsidR="0095442F" w:rsidRPr="00A209F9" w14:paraId="1ACF5C3C" w14:textId="77777777" w:rsidTr="00E2310C">
        <w:trPr>
          <w:trHeight w:val="300"/>
        </w:trPr>
        <w:tc>
          <w:tcPr>
            <w:tcW w:w="5353" w:type="dxa"/>
            <w:shd w:val="clear" w:color="auto" w:fill="DBE5F1" w:themeFill="accent1" w:themeFillTint="33"/>
            <w:noWrap/>
            <w:vAlign w:val="center"/>
            <w:hideMark/>
          </w:tcPr>
          <w:p w14:paraId="180E4276" w14:textId="77777777" w:rsidR="0095442F" w:rsidRPr="002E734A" w:rsidRDefault="0095442F" w:rsidP="0095442F">
            <w:pPr>
              <w:spacing w:after="0"/>
              <w:ind w:firstLine="309"/>
              <w:rPr>
                <w:b/>
                <w:szCs w:val="24"/>
                <w:lang w:eastAsia="lv-LV"/>
              </w:rPr>
            </w:pPr>
            <w:r w:rsidRPr="002E734A">
              <w:rPr>
                <w:b/>
                <w:szCs w:val="24"/>
                <w:lang w:eastAsia="lv-LV"/>
              </w:rPr>
              <w:t>2.2. Starppatēriņš</w:t>
            </w:r>
          </w:p>
        </w:tc>
        <w:tc>
          <w:tcPr>
            <w:tcW w:w="738" w:type="dxa"/>
            <w:shd w:val="clear" w:color="auto" w:fill="DBE5F1" w:themeFill="accent1" w:themeFillTint="33"/>
            <w:noWrap/>
            <w:vAlign w:val="center"/>
            <w:hideMark/>
          </w:tcPr>
          <w:p w14:paraId="76185D77" w14:textId="77777777" w:rsidR="0095442F" w:rsidRPr="00040EDF" w:rsidRDefault="0095442F" w:rsidP="0095442F">
            <w:pPr>
              <w:spacing w:after="0"/>
              <w:ind w:firstLine="0"/>
              <w:rPr>
                <w:szCs w:val="24"/>
                <w:lang w:eastAsia="lv-LV"/>
              </w:rPr>
            </w:pPr>
            <w:r w:rsidRPr="00040EDF">
              <w:rPr>
                <w:szCs w:val="24"/>
                <w:lang w:eastAsia="lv-LV"/>
              </w:rPr>
              <w:t xml:space="preserve">P.2 </w:t>
            </w:r>
          </w:p>
        </w:tc>
        <w:tc>
          <w:tcPr>
            <w:tcW w:w="1559" w:type="dxa"/>
            <w:shd w:val="clear" w:color="auto" w:fill="DBE5F1" w:themeFill="accent1" w:themeFillTint="33"/>
            <w:noWrap/>
            <w:vAlign w:val="center"/>
            <w:hideMark/>
          </w:tcPr>
          <w:p w14:paraId="1FC68BB4" w14:textId="7DA8ACC4" w:rsidR="0095442F" w:rsidRPr="0095442F" w:rsidRDefault="0095442F" w:rsidP="0095442F">
            <w:pPr>
              <w:spacing w:after="0"/>
              <w:ind w:firstLine="0"/>
              <w:jc w:val="center"/>
              <w:rPr>
                <w:szCs w:val="24"/>
                <w:highlight w:val="yellow"/>
                <w:lang w:eastAsia="lv-LV"/>
              </w:rPr>
            </w:pPr>
            <w:r w:rsidRPr="0095442F">
              <w:rPr>
                <w:color w:val="000000"/>
                <w:szCs w:val="24"/>
              </w:rPr>
              <w:t>5,4</w:t>
            </w:r>
          </w:p>
        </w:tc>
        <w:tc>
          <w:tcPr>
            <w:tcW w:w="1417" w:type="dxa"/>
            <w:shd w:val="clear" w:color="auto" w:fill="DBE5F1" w:themeFill="accent1" w:themeFillTint="33"/>
            <w:noWrap/>
            <w:vAlign w:val="center"/>
            <w:hideMark/>
          </w:tcPr>
          <w:p w14:paraId="1EEA3A68" w14:textId="46372B6D" w:rsidR="0095442F" w:rsidRPr="0095442F" w:rsidRDefault="0095442F" w:rsidP="0095442F">
            <w:pPr>
              <w:spacing w:after="0"/>
              <w:ind w:firstLine="0"/>
              <w:jc w:val="center"/>
              <w:rPr>
                <w:szCs w:val="24"/>
                <w:highlight w:val="yellow"/>
                <w:lang w:eastAsia="lv-LV"/>
              </w:rPr>
            </w:pPr>
            <w:r w:rsidRPr="0095442F">
              <w:rPr>
                <w:color w:val="000000"/>
                <w:szCs w:val="24"/>
              </w:rPr>
              <w:t>5,1</w:t>
            </w:r>
          </w:p>
        </w:tc>
      </w:tr>
      <w:tr w:rsidR="0095442F" w:rsidRPr="00A209F9" w14:paraId="6C682EC2" w14:textId="77777777" w:rsidTr="00E2310C">
        <w:trPr>
          <w:trHeight w:val="600"/>
        </w:trPr>
        <w:tc>
          <w:tcPr>
            <w:tcW w:w="5353" w:type="dxa"/>
            <w:shd w:val="clear" w:color="auto" w:fill="auto"/>
            <w:noWrap/>
            <w:vAlign w:val="center"/>
            <w:hideMark/>
          </w:tcPr>
          <w:p w14:paraId="201222F8" w14:textId="77777777" w:rsidR="0095442F" w:rsidRPr="002E734A" w:rsidRDefault="0095442F" w:rsidP="0095442F">
            <w:pPr>
              <w:spacing w:after="0"/>
              <w:ind w:firstLine="309"/>
              <w:rPr>
                <w:b/>
                <w:szCs w:val="24"/>
                <w:lang w:eastAsia="lv-LV"/>
              </w:rPr>
            </w:pPr>
            <w:r w:rsidRPr="002E734A">
              <w:rPr>
                <w:b/>
                <w:szCs w:val="24"/>
                <w:lang w:eastAsia="lv-LV"/>
              </w:rPr>
              <w:t>2.3. Sociālie maksājumi</w:t>
            </w:r>
          </w:p>
        </w:tc>
        <w:tc>
          <w:tcPr>
            <w:tcW w:w="738" w:type="dxa"/>
            <w:shd w:val="clear" w:color="auto" w:fill="auto"/>
            <w:vAlign w:val="center"/>
            <w:hideMark/>
          </w:tcPr>
          <w:p w14:paraId="72D44E45" w14:textId="77777777" w:rsidR="0095442F" w:rsidRPr="00040EDF" w:rsidRDefault="0095442F" w:rsidP="0095442F">
            <w:pPr>
              <w:spacing w:after="0"/>
              <w:ind w:firstLine="0"/>
              <w:rPr>
                <w:szCs w:val="24"/>
                <w:lang w:eastAsia="lv-LV"/>
              </w:rPr>
            </w:pPr>
            <w:r w:rsidRPr="00040EDF">
              <w:rPr>
                <w:szCs w:val="24"/>
                <w:lang w:eastAsia="lv-LV"/>
              </w:rPr>
              <w:t xml:space="preserve">D.62 D.632 </w:t>
            </w:r>
          </w:p>
        </w:tc>
        <w:tc>
          <w:tcPr>
            <w:tcW w:w="1559" w:type="dxa"/>
            <w:shd w:val="clear" w:color="auto" w:fill="auto"/>
            <w:noWrap/>
            <w:vAlign w:val="center"/>
            <w:hideMark/>
          </w:tcPr>
          <w:p w14:paraId="55CBA686" w14:textId="38B927C5" w:rsidR="0095442F" w:rsidRPr="0095442F" w:rsidRDefault="0095442F" w:rsidP="0095442F">
            <w:pPr>
              <w:spacing w:after="0"/>
              <w:ind w:firstLine="0"/>
              <w:jc w:val="center"/>
              <w:rPr>
                <w:szCs w:val="24"/>
                <w:highlight w:val="yellow"/>
                <w:lang w:eastAsia="lv-LV"/>
              </w:rPr>
            </w:pPr>
            <w:r w:rsidRPr="0095442F">
              <w:rPr>
                <w:color w:val="000000"/>
                <w:szCs w:val="24"/>
              </w:rPr>
              <w:t>11,5</w:t>
            </w:r>
          </w:p>
        </w:tc>
        <w:tc>
          <w:tcPr>
            <w:tcW w:w="1417" w:type="dxa"/>
            <w:shd w:val="clear" w:color="auto" w:fill="auto"/>
            <w:noWrap/>
            <w:vAlign w:val="center"/>
            <w:hideMark/>
          </w:tcPr>
          <w:p w14:paraId="00C04D75" w14:textId="14810F17" w:rsidR="0095442F" w:rsidRPr="0095442F" w:rsidRDefault="0095442F" w:rsidP="0095442F">
            <w:pPr>
              <w:spacing w:after="0"/>
              <w:ind w:firstLine="0"/>
              <w:jc w:val="center"/>
              <w:rPr>
                <w:szCs w:val="24"/>
                <w:highlight w:val="yellow"/>
                <w:lang w:eastAsia="lv-LV"/>
              </w:rPr>
            </w:pPr>
            <w:r w:rsidRPr="0095442F">
              <w:rPr>
                <w:color w:val="000000"/>
                <w:szCs w:val="24"/>
              </w:rPr>
              <w:t>11,7</w:t>
            </w:r>
          </w:p>
        </w:tc>
      </w:tr>
      <w:tr w:rsidR="0095442F" w:rsidRPr="00A209F9" w14:paraId="72AA9D75" w14:textId="77777777" w:rsidTr="00E2310C">
        <w:trPr>
          <w:trHeight w:val="300"/>
        </w:trPr>
        <w:tc>
          <w:tcPr>
            <w:tcW w:w="5353" w:type="dxa"/>
            <w:shd w:val="clear" w:color="auto" w:fill="DBE5F1" w:themeFill="accent1" w:themeFillTint="33"/>
            <w:noWrap/>
            <w:vAlign w:val="center"/>
            <w:hideMark/>
          </w:tcPr>
          <w:p w14:paraId="73D6BD96" w14:textId="77777777" w:rsidR="0095442F" w:rsidRPr="002E734A" w:rsidRDefault="0095442F" w:rsidP="0095442F">
            <w:pPr>
              <w:spacing w:after="0"/>
              <w:ind w:firstLine="309"/>
              <w:rPr>
                <w:b/>
                <w:szCs w:val="24"/>
                <w:lang w:eastAsia="lv-LV"/>
              </w:rPr>
            </w:pPr>
            <w:r>
              <w:rPr>
                <w:b/>
                <w:szCs w:val="24"/>
                <w:lang w:eastAsia="lv-LV"/>
              </w:rPr>
              <w:t>t.</w:t>
            </w:r>
            <w:r w:rsidRPr="002E734A">
              <w:rPr>
                <w:b/>
                <w:szCs w:val="24"/>
                <w:lang w:eastAsia="lv-LV"/>
              </w:rPr>
              <w:t>sk</w:t>
            </w:r>
            <w:r>
              <w:rPr>
                <w:b/>
                <w:szCs w:val="24"/>
                <w:lang w:eastAsia="lv-LV"/>
              </w:rPr>
              <w:t xml:space="preserve">. </w:t>
            </w:r>
            <w:r w:rsidRPr="002E734A">
              <w:rPr>
                <w:b/>
                <w:szCs w:val="24"/>
                <w:lang w:eastAsia="lv-LV"/>
              </w:rPr>
              <w:t>bezdarbnieku pabalsti</w:t>
            </w:r>
          </w:p>
        </w:tc>
        <w:tc>
          <w:tcPr>
            <w:tcW w:w="738" w:type="dxa"/>
            <w:shd w:val="clear" w:color="auto" w:fill="DBE5F1" w:themeFill="accent1" w:themeFillTint="33"/>
            <w:noWrap/>
            <w:vAlign w:val="center"/>
            <w:hideMark/>
          </w:tcPr>
          <w:p w14:paraId="10342BA4" w14:textId="77777777" w:rsidR="0095442F" w:rsidRPr="00040EDF" w:rsidRDefault="0095442F" w:rsidP="0095442F">
            <w:pPr>
              <w:spacing w:after="0"/>
              <w:ind w:firstLine="0"/>
              <w:rPr>
                <w:szCs w:val="24"/>
                <w:lang w:eastAsia="lv-LV"/>
              </w:rPr>
            </w:pPr>
            <w:r w:rsidRPr="00040EDF">
              <w:rPr>
                <w:szCs w:val="24"/>
                <w:lang w:eastAsia="lv-LV"/>
              </w:rPr>
              <w:t> </w:t>
            </w:r>
          </w:p>
        </w:tc>
        <w:tc>
          <w:tcPr>
            <w:tcW w:w="1559" w:type="dxa"/>
            <w:shd w:val="clear" w:color="auto" w:fill="DBE5F1" w:themeFill="accent1" w:themeFillTint="33"/>
            <w:noWrap/>
            <w:vAlign w:val="center"/>
            <w:hideMark/>
          </w:tcPr>
          <w:p w14:paraId="3C7AE7B4" w14:textId="695D04A0" w:rsidR="0095442F" w:rsidRPr="0095442F" w:rsidRDefault="0095442F" w:rsidP="0095442F">
            <w:pPr>
              <w:spacing w:after="0"/>
              <w:ind w:firstLine="0"/>
              <w:jc w:val="center"/>
              <w:rPr>
                <w:szCs w:val="24"/>
                <w:highlight w:val="yellow"/>
                <w:lang w:eastAsia="lv-LV"/>
              </w:rPr>
            </w:pPr>
            <w:r w:rsidRPr="0095442F">
              <w:rPr>
                <w:color w:val="000000"/>
                <w:szCs w:val="24"/>
              </w:rPr>
              <w:t>0,4</w:t>
            </w:r>
          </w:p>
        </w:tc>
        <w:tc>
          <w:tcPr>
            <w:tcW w:w="1417" w:type="dxa"/>
            <w:shd w:val="clear" w:color="auto" w:fill="DBE5F1" w:themeFill="accent1" w:themeFillTint="33"/>
            <w:noWrap/>
            <w:vAlign w:val="center"/>
            <w:hideMark/>
          </w:tcPr>
          <w:p w14:paraId="5217B5E9" w14:textId="52DD6983" w:rsidR="0095442F" w:rsidRPr="0095442F" w:rsidRDefault="0095442F" w:rsidP="0095442F">
            <w:pPr>
              <w:spacing w:after="0"/>
              <w:ind w:firstLine="0"/>
              <w:jc w:val="center"/>
              <w:rPr>
                <w:szCs w:val="24"/>
                <w:highlight w:val="yellow"/>
                <w:lang w:eastAsia="lv-LV"/>
              </w:rPr>
            </w:pPr>
            <w:r w:rsidRPr="0095442F">
              <w:rPr>
                <w:color w:val="000000"/>
                <w:szCs w:val="24"/>
              </w:rPr>
              <w:t>0,4</w:t>
            </w:r>
          </w:p>
        </w:tc>
      </w:tr>
      <w:tr w:rsidR="0095442F" w:rsidRPr="00A209F9" w14:paraId="7BF4DB44" w14:textId="77777777" w:rsidTr="00E2310C">
        <w:trPr>
          <w:trHeight w:val="300"/>
        </w:trPr>
        <w:tc>
          <w:tcPr>
            <w:tcW w:w="5353" w:type="dxa"/>
            <w:shd w:val="clear" w:color="auto" w:fill="auto"/>
            <w:noWrap/>
            <w:vAlign w:val="center"/>
            <w:hideMark/>
          </w:tcPr>
          <w:p w14:paraId="16678E56" w14:textId="77777777" w:rsidR="0095442F" w:rsidRPr="002E734A" w:rsidRDefault="0095442F" w:rsidP="0095442F">
            <w:pPr>
              <w:spacing w:after="0"/>
              <w:ind w:firstLine="309"/>
              <w:rPr>
                <w:b/>
                <w:szCs w:val="24"/>
                <w:lang w:eastAsia="lv-LV"/>
              </w:rPr>
            </w:pPr>
            <w:r w:rsidRPr="002E734A">
              <w:rPr>
                <w:b/>
                <w:szCs w:val="24"/>
                <w:lang w:eastAsia="lv-LV"/>
              </w:rPr>
              <w:t>2.4. Procentu izdevumi</w:t>
            </w:r>
          </w:p>
        </w:tc>
        <w:tc>
          <w:tcPr>
            <w:tcW w:w="738" w:type="dxa"/>
            <w:shd w:val="clear" w:color="auto" w:fill="auto"/>
            <w:noWrap/>
            <w:vAlign w:val="center"/>
            <w:hideMark/>
          </w:tcPr>
          <w:p w14:paraId="1DCC4466" w14:textId="77777777" w:rsidR="0095442F" w:rsidRPr="00040EDF" w:rsidRDefault="0095442F" w:rsidP="0095442F">
            <w:pPr>
              <w:spacing w:after="0"/>
              <w:ind w:firstLine="0"/>
              <w:rPr>
                <w:szCs w:val="24"/>
                <w:lang w:eastAsia="lv-LV"/>
              </w:rPr>
            </w:pPr>
            <w:r w:rsidRPr="00040EDF">
              <w:rPr>
                <w:szCs w:val="24"/>
                <w:lang w:eastAsia="lv-LV"/>
              </w:rPr>
              <w:t xml:space="preserve">D.41  </w:t>
            </w:r>
          </w:p>
        </w:tc>
        <w:tc>
          <w:tcPr>
            <w:tcW w:w="1559" w:type="dxa"/>
            <w:shd w:val="clear" w:color="auto" w:fill="auto"/>
            <w:noWrap/>
            <w:vAlign w:val="center"/>
            <w:hideMark/>
          </w:tcPr>
          <w:p w14:paraId="4068B7A6" w14:textId="25630F51" w:rsidR="0095442F" w:rsidRPr="0095442F" w:rsidRDefault="0095442F" w:rsidP="0095442F">
            <w:pPr>
              <w:spacing w:after="0"/>
              <w:ind w:firstLine="0"/>
              <w:jc w:val="center"/>
              <w:rPr>
                <w:szCs w:val="24"/>
                <w:highlight w:val="yellow"/>
                <w:lang w:eastAsia="lv-LV"/>
              </w:rPr>
            </w:pPr>
            <w:r w:rsidRPr="0095442F">
              <w:rPr>
                <w:color w:val="000000"/>
                <w:szCs w:val="24"/>
              </w:rPr>
              <w:t>0,8</w:t>
            </w:r>
          </w:p>
        </w:tc>
        <w:tc>
          <w:tcPr>
            <w:tcW w:w="1417" w:type="dxa"/>
            <w:shd w:val="clear" w:color="auto" w:fill="auto"/>
            <w:noWrap/>
            <w:vAlign w:val="center"/>
            <w:hideMark/>
          </w:tcPr>
          <w:p w14:paraId="0C5A36CC" w14:textId="53093B1D" w:rsidR="0095442F" w:rsidRPr="0095442F" w:rsidRDefault="0095442F" w:rsidP="0095442F">
            <w:pPr>
              <w:spacing w:after="0"/>
              <w:ind w:firstLine="0"/>
              <w:jc w:val="center"/>
              <w:rPr>
                <w:szCs w:val="24"/>
                <w:highlight w:val="yellow"/>
                <w:lang w:eastAsia="lv-LV"/>
              </w:rPr>
            </w:pPr>
            <w:r w:rsidRPr="0095442F">
              <w:rPr>
                <w:color w:val="000000"/>
                <w:szCs w:val="24"/>
              </w:rPr>
              <w:t>0,7</w:t>
            </w:r>
          </w:p>
        </w:tc>
      </w:tr>
      <w:tr w:rsidR="0095442F" w:rsidRPr="00A209F9" w14:paraId="4964865A" w14:textId="77777777" w:rsidTr="00E2310C">
        <w:trPr>
          <w:trHeight w:val="300"/>
        </w:trPr>
        <w:tc>
          <w:tcPr>
            <w:tcW w:w="5353" w:type="dxa"/>
            <w:shd w:val="clear" w:color="auto" w:fill="DBE5F1" w:themeFill="accent1" w:themeFillTint="33"/>
            <w:noWrap/>
            <w:vAlign w:val="center"/>
            <w:hideMark/>
          </w:tcPr>
          <w:p w14:paraId="7B8CB184" w14:textId="77777777" w:rsidR="0095442F" w:rsidRPr="002E734A" w:rsidRDefault="0095442F" w:rsidP="0095442F">
            <w:pPr>
              <w:spacing w:after="0"/>
              <w:ind w:firstLine="309"/>
              <w:rPr>
                <w:b/>
                <w:szCs w:val="24"/>
                <w:lang w:eastAsia="lv-LV"/>
              </w:rPr>
            </w:pPr>
            <w:r w:rsidRPr="002E734A">
              <w:rPr>
                <w:b/>
                <w:szCs w:val="24"/>
                <w:lang w:eastAsia="lv-LV"/>
              </w:rPr>
              <w:t>2.5. Subsīdijas</w:t>
            </w:r>
          </w:p>
        </w:tc>
        <w:tc>
          <w:tcPr>
            <w:tcW w:w="738" w:type="dxa"/>
            <w:shd w:val="clear" w:color="auto" w:fill="DBE5F1" w:themeFill="accent1" w:themeFillTint="33"/>
            <w:noWrap/>
            <w:vAlign w:val="center"/>
            <w:hideMark/>
          </w:tcPr>
          <w:p w14:paraId="5F8311DB" w14:textId="77777777" w:rsidR="0095442F" w:rsidRPr="00040EDF" w:rsidRDefault="0095442F" w:rsidP="0095442F">
            <w:pPr>
              <w:spacing w:after="0"/>
              <w:ind w:firstLine="0"/>
              <w:rPr>
                <w:szCs w:val="24"/>
                <w:lang w:eastAsia="lv-LV"/>
              </w:rPr>
            </w:pPr>
            <w:r w:rsidRPr="00040EDF">
              <w:rPr>
                <w:szCs w:val="24"/>
                <w:lang w:eastAsia="lv-LV"/>
              </w:rPr>
              <w:t xml:space="preserve">D.3 </w:t>
            </w:r>
          </w:p>
        </w:tc>
        <w:tc>
          <w:tcPr>
            <w:tcW w:w="1559" w:type="dxa"/>
            <w:shd w:val="clear" w:color="auto" w:fill="DBE5F1" w:themeFill="accent1" w:themeFillTint="33"/>
            <w:noWrap/>
            <w:vAlign w:val="center"/>
            <w:hideMark/>
          </w:tcPr>
          <w:p w14:paraId="4250F6F8" w14:textId="0494DD10" w:rsidR="0095442F" w:rsidRPr="0095442F" w:rsidRDefault="0095442F" w:rsidP="0095442F">
            <w:pPr>
              <w:spacing w:after="0"/>
              <w:ind w:firstLine="0"/>
              <w:jc w:val="center"/>
              <w:rPr>
                <w:szCs w:val="24"/>
                <w:highlight w:val="yellow"/>
                <w:lang w:eastAsia="lv-LV"/>
              </w:rPr>
            </w:pPr>
            <w:r w:rsidRPr="0095442F">
              <w:rPr>
                <w:color w:val="000000"/>
                <w:szCs w:val="24"/>
              </w:rPr>
              <w:t>1,6</w:t>
            </w:r>
          </w:p>
        </w:tc>
        <w:tc>
          <w:tcPr>
            <w:tcW w:w="1417" w:type="dxa"/>
            <w:shd w:val="clear" w:color="auto" w:fill="DBE5F1" w:themeFill="accent1" w:themeFillTint="33"/>
            <w:noWrap/>
            <w:vAlign w:val="center"/>
            <w:hideMark/>
          </w:tcPr>
          <w:p w14:paraId="371F5DF6" w14:textId="0DBC806F" w:rsidR="0095442F" w:rsidRPr="0095442F" w:rsidRDefault="0095442F" w:rsidP="0095442F">
            <w:pPr>
              <w:spacing w:after="0"/>
              <w:ind w:firstLine="0"/>
              <w:jc w:val="center"/>
              <w:rPr>
                <w:szCs w:val="24"/>
                <w:highlight w:val="yellow"/>
                <w:lang w:eastAsia="lv-LV"/>
              </w:rPr>
            </w:pPr>
            <w:r w:rsidRPr="0095442F">
              <w:rPr>
                <w:color w:val="000000"/>
                <w:szCs w:val="24"/>
              </w:rPr>
              <w:t>1,6</w:t>
            </w:r>
          </w:p>
        </w:tc>
      </w:tr>
      <w:tr w:rsidR="0095442F" w:rsidRPr="00A209F9" w14:paraId="67550079" w14:textId="77777777" w:rsidTr="00E2310C">
        <w:trPr>
          <w:trHeight w:val="300"/>
        </w:trPr>
        <w:tc>
          <w:tcPr>
            <w:tcW w:w="5353" w:type="dxa"/>
            <w:shd w:val="clear" w:color="auto" w:fill="auto"/>
            <w:noWrap/>
            <w:vAlign w:val="center"/>
            <w:hideMark/>
          </w:tcPr>
          <w:p w14:paraId="3082F853" w14:textId="77777777" w:rsidR="0095442F" w:rsidRPr="002E734A" w:rsidRDefault="0095442F" w:rsidP="0095442F">
            <w:pPr>
              <w:spacing w:after="0"/>
              <w:ind w:firstLine="309"/>
              <w:rPr>
                <w:b/>
                <w:szCs w:val="24"/>
                <w:lang w:eastAsia="lv-LV"/>
              </w:rPr>
            </w:pPr>
            <w:r w:rsidRPr="002E734A">
              <w:rPr>
                <w:b/>
                <w:szCs w:val="24"/>
                <w:lang w:eastAsia="lv-LV"/>
              </w:rPr>
              <w:t>2.6. Bruto kopējā pamatkapitāla veidošana</w:t>
            </w:r>
          </w:p>
        </w:tc>
        <w:tc>
          <w:tcPr>
            <w:tcW w:w="738" w:type="dxa"/>
            <w:shd w:val="clear" w:color="auto" w:fill="auto"/>
            <w:noWrap/>
            <w:vAlign w:val="center"/>
            <w:hideMark/>
          </w:tcPr>
          <w:p w14:paraId="2B7D4286" w14:textId="77777777" w:rsidR="0095442F" w:rsidRPr="00040EDF" w:rsidRDefault="0095442F" w:rsidP="0095442F">
            <w:pPr>
              <w:spacing w:after="0"/>
              <w:ind w:firstLine="0"/>
              <w:rPr>
                <w:szCs w:val="24"/>
                <w:lang w:eastAsia="lv-LV"/>
              </w:rPr>
            </w:pPr>
            <w:r w:rsidRPr="00040EDF">
              <w:rPr>
                <w:szCs w:val="24"/>
                <w:lang w:eastAsia="lv-LV"/>
              </w:rPr>
              <w:t xml:space="preserve">P.51 </w:t>
            </w:r>
          </w:p>
        </w:tc>
        <w:tc>
          <w:tcPr>
            <w:tcW w:w="1559" w:type="dxa"/>
            <w:shd w:val="clear" w:color="auto" w:fill="auto"/>
            <w:noWrap/>
            <w:vAlign w:val="center"/>
            <w:hideMark/>
          </w:tcPr>
          <w:p w14:paraId="7F6DD542" w14:textId="41CF9835" w:rsidR="0095442F" w:rsidRPr="0095442F" w:rsidRDefault="0095442F" w:rsidP="0095442F">
            <w:pPr>
              <w:spacing w:after="0"/>
              <w:ind w:firstLine="0"/>
              <w:jc w:val="center"/>
              <w:rPr>
                <w:szCs w:val="24"/>
                <w:highlight w:val="yellow"/>
                <w:lang w:eastAsia="lv-LV"/>
              </w:rPr>
            </w:pPr>
            <w:r w:rsidRPr="0095442F">
              <w:rPr>
                <w:color w:val="000000"/>
                <w:szCs w:val="24"/>
              </w:rPr>
              <w:t>5,5</w:t>
            </w:r>
          </w:p>
        </w:tc>
        <w:tc>
          <w:tcPr>
            <w:tcW w:w="1417" w:type="dxa"/>
            <w:shd w:val="clear" w:color="auto" w:fill="auto"/>
            <w:noWrap/>
            <w:vAlign w:val="center"/>
            <w:hideMark/>
          </w:tcPr>
          <w:p w14:paraId="339B493A" w14:textId="5E07EC20" w:rsidR="0095442F" w:rsidRPr="0095442F" w:rsidRDefault="0095442F" w:rsidP="0095442F">
            <w:pPr>
              <w:spacing w:after="0"/>
              <w:ind w:firstLine="0"/>
              <w:jc w:val="center"/>
              <w:rPr>
                <w:szCs w:val="24"/>
                <w:highlight w:val="yellow"/>
                <w:lang w:eastAsia="lv-LV"/>
              </w:rPr>
            </w:pPr>
            <w:r w:rsidRPr="0095442F">
              <w:rPr>
                <w:color w:val="000000"/>
                <w:szCs w:val="24"/>
              </w:rPr>
              <w:t>4,9</w:t>
            </w:r>
          </w:p>
        </w:tc>
      </w:tr>
      <w:tr w:rsidR="0095442F" w:rsidRPr="00A209F9" w14:paraId="35E4B4BA" w14:textId="77777777" w:rsidTr="00E2310C">
        <w:trPr>
          <w:trHeight w:val="300"/>
        </w:trPr>
        <w:tc>
          <w:tcPr>
            <w:tcW w:w="5353" w:type="dxa"/>
            <w:shd w:val="clear" w:color="auto" w:fill="DBE5F1" w:themeFill="accent1" w:themeFillTint="33"/>
            <w:noWrap/>
            <w:vAlign w:val="center"/>
            <w:hideMark/>
          </w:tcPr>
          <w:p w14:paraId="430009F5" w14:textId="77777777" w:rsidR="0095442F" w:rsidRPr="002E734A" w:rsidRDefault="0095442F" w:rsidP="0095442F">
            <w:pPr>
              <w:spacing w:after="0"/>
              <w:ind w:firstLine="309"/>
              <w:rPr>
                <w:b/>
                <w:szCs w:val="24"/>
                <w:lang w:eastAsia="lv-LV"/>
              </w:rPr>
            </w:pPr>
            <w:r w:rsidRPr="002E734A">
              <w:rPr>
                <w:b/>
                <w:szCs w:val="24"/>
                <w:lang w:eastAsia="lv-LV"/>
              </w:rPr>
              <w:t>2.7. Kapitālo izdevumu transferti</w:t>
            </w:r>
          </w:p>
        </w:tc>
        <w:tc>
          <w:tcPr>
            <w:tcW w:w="738" w:type="dxa"/>
            <w:shd w:val="clear" w:color="auto" w:fill="DBE5F1" w:themeFill="accent1" w:themeFillTint="33"/>
            <w:noWrap/>
            <w:vAlign w:val="center"/>
            <w:hideMark/>
          </w:tcPr>
          <w:p w14:paraId="738ADA56" w14:textId="77777777" w:rsidR="0095442F" w:rsidRPr="00040EDF" w:rsidRDefault="0095442F" w:rsidP="0095442F">
            <w:pPr>
              <w:spacing w:after="0"/>
              <w:ind w:firstLine="0"/>
              <w:rPr>
                <w:szCs w:val="24"/>
                <w:lang w:eastAsia="lv-LV"/>
              </w:rPr>
            </w:pPr>
            <w:r w:rsidRPr="00040EDF">
              <w:rPr>
                <w:szCs w:val="24"/>
                <w:lang w:eastAsia="lv-LV"/>
              </w:rPr>
              <w:t xml:space="preserve">D.9  </w:t>
            </w:r>
          </w:p>
        </w:tc>
        <w:tc>
          <w:tcPr>
            <w:tcW w:w="1559" w:type="dxa"/>
            <w:shd w:val="clear" w:color="auto" w:fill="DBE5F1" w:themeFill="accent1" w:themeFillTint="33"/>
            <w:noWrap/>
            <w:vAlign w:val="center"/>
            <w:hideMark/>
          </w:tcPr>
          <w:p w14:paraId="30E70962" w14:textId="4FED0A3D" w:rsidR="0095442F" w:rsidRPr="0095442F" w:rsidRDefault="0095442F" w:rsidP="0095442F">
            <w:pPr>
              <w:spacing w:after="0"/>
              <w:ind w:firstLine="0"/>
              <w:jc w:val="center"/>
              <w:rPr>
                <w:szCs w:val="24"/>
                <w:highlight w:val="yellow"/>
                <w:lang w:eastAsia="lv-LV"/>
              </w:rPr>
            </w:pPr>
            <w:r w:rsidRPr="0095442F">
              <w:rPr>
                <w:color w:val="000000"/>
                <w:szCs w:val="24"/>
              </w:rPr>
              <w:t>0,1</w:t>
            </w:r>
          </w:p>
        </w:tc>
        <w:tc>
          <w:tcPr>
            <w:tcW w:w="1417" w:type="dxa"/>
            <w:shd w:val="clear" w:color="auto" w:fill="DBE5F1" w:themeFill="accent1" w:themeFillTint="33"/>
            <w:noWrap/>
            <w:vAlign w:val="center"/>
            <w:hideMark/>
          </w:tcPr>
          <w:p w14:paraId="2A5FBD0F" w14:textId="6EB2A0DB" w:rsidR="0095442F" w:rsidRPr="0095442F" w:rsidRDefault="0095442F" w:rsidP="0095442F">
            <w:pPr>
              <w:spacing w:after="0"/>
              <w:ind w:firstLine="0"/>
              <w:jc w:val="center"/>
              <w:rPr>
                <w:szCs w:val="24"/>
                <w:highlight w:val="yellow"/>
                <w:lang w:eastAsia="lv-LV"/>
              </w:rPr>
            </w:pPr>
            <w:r w:rsidRPr="0095442F">
              <w:rPr>
                <w:color w:val="000000"/>
                <w:szCs w:val="24"/>
              </w:rPr>
              <w:t>0,1</w:t>
            </w:r>
          </w:p>
        </w:tc>
      </w:tr>
      <w:tr w:rsidR="0095442F" w:rsidRPr="00A209F9" w14:paraId="68D3BD51" w14:textId="77777777" w:rsidTr="00E2310C">
        <w:trPr>
          <w:trHeight w:val="300"/>
        </w:trPr>
        <w:tc>
          <w:tcPr>
            <w:tcW w:w="5353" w:type="dxa"/>
            <w:shd w:val="clear" w:color="auto" w:fill="auto"/>
            <w:noWrap/>
            <w:vAlign w:val="center"/>
            <w:hideMark/>
          </w:tcPr>
          <w:p w14:paraId="21F619F7" w14:textId="77777777" w:rsidR="0095442F" w:rsidRPr="002E734A" w:rsidRDefault="0095442F" w:rsidP="0095442F">
            <w:pPr>
              <w:spacing w:after="0"/>
              <w:ind w:firstLine="309"/>
              <w:rPr>
                <w:b/>
                <w:szCs w:val="24"/>
                <w:lang w:eastAsia="lv-LV"/>
              </w:rPr>
            </w:pPr>
            <w:r w:rsidRPr="002E734A">
              <w:rPr>
                <w:b/>
                <w:szCs w:val="24"/>
                <w:lang w:eastAsia="lv-LV"/>
              </w:rPr>
              <w:t>2.8. Pārējie izdevumi</w:t>
            </w:r>
          </w:p>
        </w:tc>
        <w:tc>
          <w:tcPr>
            <w:tcW w:w="738" w:type="dxa"/>
            <w:shd w:val="clear" w:color="auto" w:fill="auto"/>
            <w:noWrap/>
            <w:vAlign w:val="center"/>
            <w:hideMark/>
          </w:tcPr>
          <w:p w14:paraId="794EDCC3" w14:textId="77777777" w:rsidR="0095442F" w:rsidRPr="00040EDF" w:rsidRDefault="0095442F" w:rsidP="0095442F">
            <w:pPr>
              <w:spacing w:after="0"/>
              <w:ind w:firstLine="0"/>
              <w:rPr>
                <w:szCs w:val="24"/>
                <w:lang w:eastAsia="lv-LV"/>
              </w:rPr>
            </w:pPr>
            <w:r w:rsidRPr="00040EDF">
              <w:rPr>
                <w:szCs w:val="24"/>
                <w:lang w:eastAsia="lv-LV"/>
              </w:rPr>
              <w:t xml:space="preserve"> </w:t>
            </w:r>
          </w:p>
        </w:tc>
        <w:tc>
          <w:tcPr>
            <w:tcW w:w="1559" w:type="dxa"/>
            <w:shd w:val="clear" w:color="auto" w:fill="auto"/>
            <w:noWrap/>
            <w:vAlign w:val="center"/>
            <w:hideMark/>
          </w:tcPr>
          <w:p w14:paraId="61782258" w14:textId="72571608" w:rsidR="0095442F" w:rsidRPr="0095442F" w:rsidRDefault="0095442F" w:rsidP="0095442F">
            <w:pPr>
              <w:spacing w:after="0"/>
              <w:ind w:firstLine="0"/>
              <w:jc w:val="center"/>
              <w:rPr>
                <w:szCs w:val="24"/>
                <w:highlight w:val="yellow"/>
                <w:lang w:eastAsia="lv-LV"/>
              </w:rPr>
            </w:pPr>
            <w:r w:rsidRPr="0095442F">
              <w:rPr>
                <w:color w:val="000000"/>
                <w:szCs w:val="24"/>
              </w:rPr>
              <w:t>2,0</w:t>
            </w:r>
          </w:p>
        </w:tc>
        <w:tc>
          <w:tcPr>
            <w:tcW w:w="1417" w:type="dxa"/>
            <w:shd w:val="clear" w:color="auto" w:fill="auto"/>
            <w:noWrap/>
            <w:vAlign w:val="center"/>
            <w:hideMark/>
          </w:tcPr>
          <w:p w14:paraId="58CA6D66" w14:textId="05BA78E3" w:rsidR="0095442F" w:rsidRPr="0095442F" w:rsidRDefault="0095442F" w:rsidP="0095442F">
            <w:pPr>
              <w:spacing w:after="0"/>
              <w:ind w:firstLine="0"/>
              <w:jc w:val="center"/>
              <w:rPr>
                <w:szCs w:val="24"/>
                <w:highlight w:val="yellow"/>
                <w:lang w:eastAsia="lv-LV"/>
              </w:rPr>
            </w:pPr>
            <w:r w:rsidRPr="0095442F">
              <w:rPr>
                <w:color w:val="000000"/>
                <w:szCs w:val="24"/>
              </w:rPr>
              <w:t>2,5</w:t>
            </w:r>
          </w:p>
        </w:tc>
      </w:tr>
    </w:tbl>
    <w:p w14:paraId="281D72D6" w14:textId="77777777" w:rsidR="00E2310C" w:rsidRDefault="00E2310C" w:rsidP="00375924">
      <w:pPr>
        <w:pStyle w:val="Heading1"/>
        <w:tabs>
          <w:tab w:val="left" w:pos="1276"/>
        </w:tabs>
        <w:spacing w:before="0" w:after="240"/>
        <w:ind w:left="1276" w:hanging="1276"/>
        <w:jc w:val="left"/>
        <w:rPr>
          <w:rFonts w:ascii="Times New Roman" w:hAnsi="Times New Roman"/>
          <w:color w:val="18185F"/>
          <w:sz w:val="24"/>
        </w:rPr>
      </w:pPr>
    </w:p>
    <w:p w14:paraId="4DE00099" w14:textId="668F7236" w:rsidR="00F322FE" w:rsidRPr="001D5709" w:rsidRDefault="00F322FE" w:rsidP="00375924">
      <w:pPr>
        <w:pStyle w:val="Heading1"/>
        <w:tabs>
          <w:tab w:val="left" w:pos="1276"/>
        </w:tabs>
        <w:spacing w:before="0" w:after="240"/>
        <w:ind w:left="1276" w:hanging="1276"/>
        <w:jc w:val="left"/>
        <w:rPr>
          <w:rFonts w:ascii="Times New Roman" w:hAnsi="Times New Roman"/>
          <w:color w:val="18185F"/>
          <w:sz w:val="24"/>
        </w:rPr>
      </w:pPr>
      <w:bookmarkStart w:id="15" w:name="_Toc21516508"/>
      <w:r w:rsidRPr="001D5709">
        <w:rPr>
          <w:rFonts w:ascii="Times New Roman" w:hAnsi="Times New Roman"/>
          <w:color w:val="18185F"/>
          <w:sz w:val="24"/>
        </w:rPr>
        <w:t>Tabula 4.b: Izdevumi, kas tiek izslēgti no izdevumu kritērija</w:t>
      </w:r>
      <w:bookmarkEnd w:id="15"/>
    </w:p>
    <w:tbl>
      <w:tblPr>
        <w:tblStyle w:val="GridTable3-Accent11"/>
        <w:tblW w:w="9211" w:type="dxa"/>
        <w:jc w:val="center"/>
        <w:tblLayout w:type="fixed"/>
        <w:tblLook w:val="0000" w:firstRow="0" w:lastRow="0" w:firstColumn="0" w:lastColumn="0" w:noHBand="0" w:noVBand="0"/>
      </w:tblPr>
      <w:tblGrid>
        <w:gridCol w:w="4964"/>
        <w:gridCol w:w="851"/>
        <w:gridCol w:w="850"/>
        <w:gridCol w:w="709"/>
        <w:gridCol w:w="851"/>
        <w:gridCol w:w="986"/>
      </w:tblGrid>
      <w:tr w:rsidR="00356B1E" w:rsidRPr="005030D2" w14:paraId="39F838AD" w14:textId="77777777" w:rsidTr="00E2310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FFFFFF" w:themeFill="background1"/>
          </w:tcPr>
          <w:p w14:paraId="2583C2ED" w14:textId="77777777" w:rsidR="00356B1E" w:rsidRPr="005030D2" w:rsidRDefault="00356B1E" w:rsidP="00003E2F">
            <w:pPr>
              <w:spacing w:after="0"/>
              <w:ind w:firstLine="0"/>
              <w:jc w:val="left"/>
              <w:rPr>
                <w:szCs w:val="24"/>
                <w:lang w:eastAsia="lv-LV"/>
              </w:rPr>
            </w:pPr>
          </w:p>
        </w:tc>
        <w:tc>
          <w:tcPr>
            <w:tcW w:w="851" w:type="dxa"/>
            <w:shd w:val="clear" w:color="auto" w:fill="FFFFFF" w:themeFill="background1"/>
            <w:vAlign w:val="center"/>
          </w:tcPr>
          <w:p w14:paraId="4AD9D3AA" w14:textId="77777777" w:rsidR="00356B1E" w:rsidRPr="005030D2" w:rsidRDefault="00356B1E" w:rsidP="00287764">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EKS Kods</w:t>
            </w: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219A0B3C" w14:textId="6CA0D696" w:rsidR="00356B1E" w:rsidRPr="005030D2" w:rsidRDefault="003822F3" w:rsidP="006A676E">
            <w:pPr>
              <w:pStyle w:val="tabteksts"/>
              <w:jc w:val="center"/>
              <w:rPr>
                <w:b/>
                <w:sz w:val="24"/>
                <w:szCs w:val="24"/>
              </w:rPr>
            </w:pPr>
            <w:r w:rsidRPr="005030D2">
              <w:rPr>
                <w:b/>
                <w:sz w:val="24"/>
                <w:szCs w:val="24"/>
              </w:rPr>
              <w:t>20</w:t>
            </w:r>
            <w:r>
              <w:rPr>
                <w:b/>
                <w:sz w:val="24"/>
                <w:szCs w:val="24"/>
              </w:rPr>
              <w:t>18</w:t>
            </w:r>
          </w:p>
        </w:tc>
        <w:tc>
          <w:tcPr>
            <w:tcW w:w="709" w:type="dxa"/>
            <w:shd w:val="clear" w:color="auto" w:fill="FFFFFF" w:themeFill="background1"/>
            <w:vAlign w:val="center"/>
          </w:tcPr>
          <w:p w14:paraId="2DADB48C" w14:textId="23F9ED14" w:rsidR="00356B1E" w:rsidRPr="005030D2" w:rsidRDefault="003822F3" w:rsidP="00356B1E">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20</w:t>
            </w:r>
            <w:r>
              <w:rPr>
                <w:b/>
                <w:sz w:val="24"/>
                <w:szCs w:val="24"/>
              </w:rPr>
              <w:t>18</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7BF417BA" w14:textId="4FD10C8B" w:rsidR="00356B1E" w:rsidRPr="005030D2" w:rsidRDefault="00365765" w:rsidP="003822F3">
            <w:pPr>
              <w:pStyle w:val="tabteksts"/>
              <w:jc w:val="center"/>
              <w:rPr>
                <w:b/>
                <w:sz w:val="24"/>
                <w:szCs w:val="24"/>
              </w:rPr>
            </w:pPr>
            <w:r w:rsidRPr="005030D2">
              <w:rPr>
                <w:b/>
                <w:sz w:val="24"/>
                <w:szCs w:val="24"/>
              </w:rPr>
              <w:t>20</w:t>
            </w:r>
            <w:r w:rsidR="006A676E">
              <w:rPr>
                <w:b/>
                <w:sz w:val="24"/>
                <w:szCs w:val="24"/>
              </w:rPr>
              <w:t>1</w:t>
            </w:r>
            <w:r w:rsidR="003822F3">
              <w:rPr>
                <w:b/>
                <w:sz w:val="24"/>
                <w:szCs w:val="24"/>
              </w:rPr>
              <w:t>9</w:t>
            </w:r>
          </w:p>
        </w:tc>
        <w:tc>
          <w:tcPr>
            <w:tcW w:w="986" w:type="dxa"/>
            <w:shd w:val="clear" w:color="auto" w:fill="FFFFFF" w:themeFill="background1"/>
            <w:vAlign w:val="center"/>
          </w:tcPr>
          <w:p w14:paraId="5E3F359A" w14:textId="39F27448" w:rsidR="00356B1E" w:rsidRPr="005030D2" w:rsidRDefault="00365765" w:rsidP="003822F3">
            <w:pPr>
              <w:pStyle w:val="tabteksts"/>
              <w:jc w:val="center"/>
              <w:cnfStyle w:val="000000100000" w:firstRow="0" w:lastRow="0" w:firstColumn="0" w:lastColumn="0" w:oddVBand="0" w:evenVBand="0" w:oddHBand="1" w:evenHBand="0" w:firstRowFirstColumn="0" w:firstRowLastColumn="0" w:lastRowFirstColumn="0" w:lastRowLastColumn="0"/>
              <w:rPr>
                <w:b/>
                <w:sz w:val="24"/>
                <w:szCs w:val="24"/>
              </w:rPr>
            </w:pPr>
            <w:r w:rsidRPr="005030D2">
              <w:rPr>
                <w:b/>
                <w:sz w:val="24"/>
                <w:szCs w:val="24"/>
              </w:rPr>
              <w:t>20</w:t>
            </w:r>
            <w:r w:rsidR="003822F3">
              <w:rPr>
                <w:b/>
                <w:sz w:val="24"/>
                <w:szCs w:val="24"/>
              </w:rPr>
              <w:t>20</w:t>
            </w:r>
          </w:p>
        </w:tc>
      </w:tr>
      <w:tr w:rsidR="00356B1E" w:rsidRPr="005030D2" w14:paraId="7845D908" w14:textId="77777777" w:rsidTr="00E2310C">
        <w:trPr>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DBE5F1"/>
          </w:tcPr>
          <w:p w14:paraId="02A315A0" w14:textId="77777777" w:rsidR="00356B1E" w:rsidRPr="005030D2" w:rsidRDefault="00356B1E" w:rsidP="00003E2F">
            <w:pPr>
              <w:spacing w:after="0"/>
              <w:ind w:firstLine="0"/>
              <w:jc w:val="left"/>
              <w:rPr>
                <w:szCs w:val="24"/>
                <w:lang w:eastAsia="lv-LV"/>
              </w:rPr>
            </w:pPr>
          </w:p>
        </w:tc>
        <w:tc>
          <w:tcPr>
            <w:tcW w:w="851" w:type="dxa"/>
            <w:shd w:val="clear" w:color="auto" w:fill="DBE5F1"/>
          </w:tcPr>
          <w:p w14:paraId="45814742" w14:textId="77777777" w:rsidR="00356B1E" w:rsidRPr="005030D2" w:rsidRDefault="00356B1E" w:rsidP="00F322FE">
            <w:pPr>
              <w:pStyle w:val="tabteksts"/>
              <w:cnfStyle w:val="000000000000" w:firstRow="0" w:lastRow="0" w:firstColumn="0" w:lastColumn="0" w:oddVBand="0" w:evenVBand="0" w:oddHBand="0" w:evenHBand="0" w:firstRowFirstColumn="0" w:firstRowLastColumn="0" w:lastRowFirstColumn="0" w:lastRowLastColumn="0"/>
              <w:rPr>
                <w:noProof/>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DBE5F1"/>
          </w:tcPr>
          <w:p w14:paraId="0B97884C" w14:textId="77777777" w:rsidR="00356B1E" w:rsidRPr="005030D2" w:rsidRDefault="00356B1E" w:rsidP="00AF5E23">
            <w:pPr>
              <w:pStyle w:val="tabteksts"/>
              <w:jc w:val="center"/>
              <w:rPr>
                <w:noProof/>
                <w:sz w:val="24"/>
                <w:szCs w:val="24"/>
              </w:rPr>
            </w:pPr>
            <w:r w:rsidRPr="005030D2">
              <w:rPr>
                <w:noProof/>
                <w:sz w:val="24"/>
                <w:szCs w:val="24"/>
              </w:rPr>
              <w:t xml:space="preserve">milj. </w:t>
            </w:r>
            <w:r w:rsidRPr="005030D2">
              <w:rPr>
                <w:i/>
                <w:noProof/>
                <w:sz w:val="24"/>
                <w:szCs w:val="24"/>
              </w:rPr>
              <w:t>euro</w:t>
            </w:r>
          </w:p>
        </w:tc>
        <w:tc>
          <w:tcPr>
            <w:tcW w:w="2546" w:type="dxa"/>
            <w:gridSpan w:val="3"/>
            <w:shd w:val="clear" w:color="auto" w:fill="DBE5F1"/>
          </w:tcPr>
          <w:p w14:paraId="4F548381" w14:textId="77777777" w:rsidR="00356B1E" w:rsidRPr="005030D2" w:rsidRDefault="00356B1E" w:rsidP="00F322FE">
            <w:pPr>
              <w:pStyle w:val="tabteksts"/>
              <w:jc w:val="center"/>
              <w:cnfStyle w:val="000000000000" w:firstRow="0" w:lastRow="0" w:firstColumn="0" w:lastColumn="0" w:oddVBand="0" w:evenVBand="0" w:oddHBand="0" w:evenHBand="0" w:firstRowFirstColumn="0" w:firstRowLastColumn="0" w:lastRowFirstColumn="0" w:lastRowLastColumn="0"/>
              <w:rPr>
                <w:sz w:val="24"/>
                <w:szCs w:val="24"/>
              </w:rPr>
            </w:pPr>
            <w:r w:rsidRPr="005030D2">
              <w:rPr>
                <w:sz w:val="24"/>
                <w:szCs w:val="24"/>
              </w:rPr>
              <w:t>% no IKP</w:t>
            </w:r>
          </w:p>
        </w:tc>
      </w:tr>
      <w:tr w:rsidR="005A5FE6" w:rsidRPr="005030D2" w14:paraId="1A10EEBE" w14:textId="77777777" w:rsidTr="00E2310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FFFFFF" w:themeFill="background1"/>
          </w:tcPr>
          <w:p w14:paraId="2AA3FAB3" w14:textId="77777777" w:rsidR="005A5FE6" w:rsidRPr="005030D2" w:rsidRDefault="005A5FE6" w:rsidP="005A5FE6">
            <w:pPr>
              <w:spacing w:after="0"/>
              <w:ind w:firstLine="0"/>
              <w:rPr>
                <w:b/>
                <w:szCs w:val="24"/>
                <w:lang w:eastAsia="lv-LV"/>
              </w:rPr>
            </w:pPr>
            <w:r w:rsidRPr="005030D2">
              <w:rPr>
                <w:b/>
                <w:szCs w:val="24"/>
                <w:lang w:eastAsia="lv-LV"/>
              </w:rPr>
              <w:t xml:space="preserve">1. Izdevumi ārvalstu </w:t>
            </w:r>
            <w:r>
              <w:rPr>
                <w:b/>
                <w:szCs w:val="24"/>
                <w:lang w:eastAsia="lv-LV"/>
              </w:rPr>
              <w:t xml:space="preserve">finanšu palīdzības projektiem, </w:t>
            </w:r>
            <w:r w:rsidRPr="005030D2">
              <w:rPr>
                <w:b/>
                <w:szCs w:val="24"/>
                <w:lang w:eastAsia="lv-LV"/>
              </w:rPr>
              <w:t>kas atbilst saņemtajiem ārvalstu finanšu palīdzības ieņēmumiem</w:t>
            </w:r>
          </w:p>
        </w:tc>
        <w:tc>
          <w:tcPr>
            <w:tcW w:w="851" w:type="dxa"/>
            <w:shd w:val="clear" w:color="auto" w:fill="FFFFFF" w:themeFill="background1"/>
          </w:tcPr>
          <w:p w14:paraId="6FD562FE" w14:textId="77777777" w:rsidR="005A5FE6" w:rsidRPr="005030D2" w:rsidRDefault="005A5FE6" w:rsidP="005A5FE6">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68438C6D" w14:textId="71471CB0" w:rsidR="005A5FE6" w:rsidRPr="005A5FE6" w:rsidRDefault="005A5FE6" w:rsidP="005A5FE6">
            <w:pPr>
              <w:spacing w:after="0"/>
              <w:ind w:firstLine="0"/>
              <w:jc w:val="center"/>
              <w:rPr>
                <w:color w:val="000000"/>
                <w:szCs w:val="24"/>
                <w:highlight w:val="yellow"/>
              </w:rPr>
            </w:pPr>
            <w:r w:rsidRPr="005A5FE6">
              <w:rPr>
                <w:color w:val="000000"/>
                <w:szCs w:val="24"/>
              </w:rPr>
              <w:t>465,0</w:t>
            </w:r>
          </w:p>
        </w:tc>
        <w:tc>
          <w:tcPr>
            <w:tcW w:w="709" w:type="dxa"/>
            <w:shd w:val="clear" w:color="auto" w:fill="FFFFFF" w:themeFill="background1"/>
            <w:vAlign w:val="center"/>
          </w:tcPr>
          <w:p w14:paraId="026F3001" w14:textId="237D65B5" w:rsidR="005A5FE6" w:rsidRPr="005A5FE6" w:rsidRDefault="005A5FE6" w:rsidP="005A5FE6">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5A5FE6">
              <w:rPr>
                <w:color w:val="000000"/>
                <w:szCs w:val="24"/>
              </w:rPr>
              <w:t>1,6</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7E915A3F" w14:textId="32CCC497" w:rsidR="005A5FE6" w:rsidRPr="005A5FE6" w:rsidRDefault="005A5FE6" w:rsidP="005A5FE6">
            <w:pPr>
              <w:spacing w:after="0"/>
              <w:ind w:firstLine="0"/>
              <w:jc w:val="center"/>
              <w:rPr>
                <w:color w:val="000000"/>
                <w:szCs w:val="24"/>
                <w:highlight w:val="yellow"/>
              </w:rPr>
            </w:pPr>
            <w:r w:rsidRPr="005A5FE6">
              <w:rPr>
                <w:color w:val="000000"/>
                <w:szCs w:val="24"/>
              </w:rPr>
              <w:t>1,5</w:t>
            </w:r>
          </w:p>
        </w:tc>
        <w:tc>
          <w:tcPr>
            <w:tcW w:w="986" w:type="dxa"/>
            <w:shd w:val="clear" w:color="auto" w:fill="FFFFFF" w:themeFill="background1"/>
            <w:vAlign w:val="center"/>
          </w:tcPr>
          <w:p w14:paraId="29401276" w14:textId="06E2D15D" w:rsidR="005A5FE6" w:rsidRPr="005A5FE6" w:rsidRDefault="005A5FE6" w:rsidP="005A5FE6">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5A5FE6">
              <w:rPr>
                <w:color w:val="000000"/>
                <w:szCs w:val="24"/>
              </w:rPr>
              <w:t>1,5</w:t>
            </w:r>
          </w:p>
        </w:tc>
      </w:tr>
      <w:tr w:rsidR="005A5FE6" w:rsidRPr="005030D2" w14:paraId="5C386D2A" w14:textId="77777777" w:rsidTr="00E2310C">
        <w:trPr>
          <w:jc w:val="center"/>
        </w:trPr>
        <w:tc>
          <w:tcPr>
            <w:cnfStyle w:val="000010000000" w:firstRow="0" w:lastRow="0" w:firstColumn="0" w:lastColumn="0" w:oddVBand="1" w:evenVBand="0" w:oddHBand="0" w:evenHBand="0" w:firstRowFirstColumn="0" w:firstRowLastColumn="0" w:lastRowFirstColumn="0" w:lastRowLastColumn="0"/>
            <w:tcW w:w="4964" w:type="dxa"/>
          </w:tcPr>
          <w:p w14:paraId="16A3B981" w14:textId="77777777" w:rsidR="005A5FE6" w:rsidRPr="005030D2" w:rsidRDefault="005A5FE6" w:rsidP="005A5FE6">
            <w:pPr>
              <w:spacing w:after="0"/>
              <w:ind w:firstLine="0"/>
              <w:rPr>
                <w:szCs w:val="24"/>
                <w:lang w:eastAsia="lv-LV"/>
              </w:rPr>
            </w:pPr>
            <w:r w:rsidRPr="005030D2">
              <w:rPr>
                <w:szCs w:val="24"/>
                <w:lang w:eastAsia="lv-LV"/>
              </w:rPr>
              <w:t>1.a no kuriem kapitālie izdevumi (bruto pamatkapitāla veidošana), kas atbilst saņemtajiem ārvalstu finanšu palīdzības ieņēmumiem</w:t>
            </w:r>
            <w:r w:rsidRPr="005030D2">
              <w:rPr>
                <w:szCs w:val="24"/>
              </w:rPr>
              <w:t xml:space="preserve"> </w:t>
            </w:r>
          </w:p>
        </w:tc>
        <w:tc>
          <w:tcPr>
            <w:tcW w:w="851" w:type="dxa"/>
            <w:shd w:val="clear" w:color="auto" w:fill="DBE5F1" w:themeFill="accent1" w:themeFillTint="33"/>
          </w:tcPr>
          <w:p w14:paraId="22105279" w14:textId="77777777" w:rsidR="005A5FE6" w:rsidRPr="005030D2" w:rsidRDefault="005A5FE6" w:rsidP="005A5FE6">
            <w:pPr>
              <w:pStyle w:val="tabteksts"/>
              <w:cnfStyle w:val="000000000000" w:firstRow="0" w:lastRow="0" w:firstColumn="0" w:lastColumn="0" w:oddVBand="0" w:evenVBand="0" w:oddHBand="0"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67389FCE" w14:textId="3655C99D" w:rsidR="005A5FE6" w:rsidRPr="005A5FE6" w:rsidRDefault="005A5FE6" w:rsidP="005A5FE6">
            <w:pPr>
              <w:spacing w:after="0"/>
              <w:ind w:firstLine="0"/>
              <w:jc w:val="center"/>
              <w:rPr>
                <w:color w:val="000000"/>
                <w:szCs w:val="24"/>
                <w:highlight w:val="yellow"/>
              </w:rPr>
            </w:pPr>
            <w:r w:rsidRPr="005A5FE6">
              <w:rPr>
                <w:color w:val="000000"/>
                <w:szCs w:val="24"/>
              </w:rPr>
              <w:t>282,0</w:t>
            </w:r>
          </w:p>
        </w:tc>
        <w:tc>
          <w:tcPr>
            <w:tcW w:w="709" w:type="dxa"/>
            <w:shd w:val="clear" w:color="auto" w:fill="DBE5F1" w:themeFill="accent1" w:themeFillTint="33"/>
            <w:vAlign w:val="center"/>
          </w:tcPr>
          <w:p w14:paraId="0257965B" w14:textId="5006BAD8" w:rsidR="005A5FE6" w:rsidRPr="005A5FE6" w:rsidRDefault="005A5FE6" w:rsidP="005A5FE6">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5A5FE6">
              <w:rPr>
                <w:color w:val="000000"/>
                <w:szCs w:val="24"/>
              </w:rPr>
              <w:t>1,0</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752FBF7A" w14:textId="44AC3C25" w:rsidR="005A5FE6" w:rsidRPr="005A5FE6" w:rsidRDefault="005A5FE6" w:rsidP="005A5FE6">
            <w:pPr>
              <w:spacing w:after="0"/>
              <w:ind w:firstLine="0"/>
              <w:jc w:val="center"/>
              <w:rPr>
                <w:color w:val="000000"/>
                <w:szCs w:val="24"/>
                <w:highlight w:val="yellow"/>
              </w:rPr>
            </w:pPr>
            <w:r w:rsidRPr="005A5FE6">
              <w:rPr>
                <w:color w:val="000000"/>
                <w:szCs w:val="24"/>
              </w:rPr>
              <w:t>1,0</w:t>
            </w:r>
          </w:p>
        </w:tc>
        <w:tc>
          <w:tcPr>
            <w:tcW w:w="986" w:type="dxa"/>
            <w:shd w:val="clear" w:color="auto" w:fill="DBE5F1" w:themeFill="accent1" w:themeFillTint="33"/>
            <w:vAlign w:val="center"/>
          </w:tcPr>
          <w:p w14:paraId="43D1A1C9" w14:textId="04485D74" w:rsidR="005A5FE6" w:rsidRPr="005A5FE6" w:rsidRDefault="005A5FE6" w:rsidP="005A5FE6">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5A5FE6">
              <w:rPr>
                <w:color w:val="000000"/>
                <w:szCs w:val="24"/>
              </w:rPr>
              <w:t>1,0</w:t>
            </w:r>
          </w:p>
        </w:tc>
      </w:tr>
      <w:tr w:rsidR="005A5FE6" w:rsidRPr="005030D2" w14:paraId="047738BF" w14:textId="77777777" w:rsidTr="00E2310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FFFFFF" w:themeFill="background1"/>
          </w:tcPr>
          <w:p w14:paraId="7BC0D998" w14:textId="77777777" w:rsidR="005A5FE6" w:rsidRPr="005030D2" w:rsidRDefault="005A5FE6" w:rsidP="005A5FE6">
            <w:pPr>
              <w:spacing w:after="0"/>
              <w:ind w:firstLine="0"/>
              <w:rPr>
                <w:b/>
                <w:szCs w:val="24"/>
                <w:lang w:eastAsia="lv-LV"/>
              </w:rPr>
            </w:pPr>
            <w:r w:rsidRPr="005030D2">
              <w:rPr>
                <w:b/>
                <w:szCs w:val="24"/>
                <w:lang w:eastAsia="lv-LV"/>
              </w:rPr>
              <w:t>2. Cikliskie izdevumi bezdarbnieku pabalstiem</w:t>
            </w:r>
          </w:p>
        </w:tc>
        <w:tc>
          <w:tcPr>
            <w:tcW w:w="851" w:type="dxa"/>
            <w:shd w:val="clear" w:color="auto" w:fill="FFFFFF" w:themeFill="background1"/>
          </w:tcPr>
          <w:p w14:paraId="3068874B" w14:textId="77777777" w:rsidR="005A5FE6" w:rsidRPr="005030D2" w:rsidRDefault="005A5FE6" w:rsidP="005A5FE6">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vAlign w:val="center"/>
          </w:tcPr>
          <w:p w14:paraId="351B1174" w14:textId="15FE03DA" w:rsidR="005A5FE6" w:rsidRPr="005A5FE6" w:rsidRDefault="005A5FE6" w:rsidP="005A5FE6">
            <w:pPr>
              <w:spacing w:after="0"/>
              <w:ind w:firstLine="0"/>
              <w:jc w:val="center"/>
              <w:rPr>
                <w:color w:val="000000"/>
                <w:szCs w:val="24"/>
                <w:highlight w:val="yellow"/>
              </w:rPr>
            </w:pPr>
            <w:r w:rsidRPr="005A5FE6">
              <w:rPr>
                <w:color w:val="000000"/>
                <w:szCs w:val="24"/>
              </w:rPr>
              <w:t>-10,8</w:t>
            </w:r>
          </w:p>
        </w:tc>
        <w:tc>
          <w:tcPr>
            <w:tcW w:w="709" w:type="dxa"/>
            <w:shd w:val="clear" w:color="auto" w:fill="FFFFFF" w:themeFill="background1"/>
            <w:vAlign w:val="center"/>
          </w:tcPr>
          <w:p w14:paraId="6A79545F" w14:textId="436D746E" w:rsidR="005A5FE6" w:rsidRPr="005A5FE6" w:rsidRDefault="005A5FE6" w:rsidP="005A5FE6">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5A5FE6">
              <w:rPr>
                <w:color w:val="000000"/>
                <w:szCs w:val="24"/>
              </w:rPr>
              <w:t>0,0</w:t>
            </w: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vAlign w:val="center"/>
          </w:tcPr>
          <w:p w14:paraId="4BA6BA6B" w14:textId="1808E18C" w:rsidR="005A5FE6" w:rsidRPr="005A5FE6" w:rsidRDefault="005A5FE6" w:rsidP="005A5FE6">
            <w:pPr>
              <w:spacing w:after="0"/>
              <w:ind w:firstLine="0"/>
              <w:jc w:val="center"/>
              <w:rPr>
                <w:color w:val="000000"/>
                <w:szCs w:val="24"/>
                <w:highlight w:val="yellow"/>
              </w:rPr>
            </w:pPr>
            <w:r w:rsidRPr="005A5FE6">
              <w:rPr>
                <w:color w:val="000000"/>
                <w:szCs w:val="24"/>
              </w:rPr>
              <w:t>0,0</w:t>
            </w:r>
          </w:p>
        </w:tc>
        <w:tc>
          <w:tcPr>
            <w:tcW w:w="986" w:type="dxa"/>
            <w:shd w:val="clear" w:color="auto" w:fill="FFFFFF" w:themeFill="background1"/>
            <w:vAlign w:val="center"/>
          </w:tcPr>
          <w:p w14:paraId="564A8904" w14:textId="457B6EAB" w:rsidR="005A5FE6" w:rsidRPr="005A5FE6" w:rsidRDefault="005A5FE6" w:rsidP="005A5FE6">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rPr>
            </w:pPr>
            <w:r w:rsidRPr="005A5FE6">
              <w:rPr>
                <w:color w:val="000000"/>
                <w:szCs w:val="24"/>
              </w:rPr>
              <w:t>0,0</w:t>
            </w:r>
          </w:p>
        </w:tc>
      </w:tr>
      <w:tr w:rsidR="005A5FE6" w:rsidRPr="005030D2" w14:paraId="7395D577" w14:textId="77777777" w:rsidTr="00E2310C">
        <w:trPr>
          <w:jc w:val="center"/>
        </w:trPr>
        <w:tc>
          <w:tcPr>
            <w:cnfStyle w:val="000010000000" w:firstRow="0" w:lastRow="0" w:firstColumn="0" w:lastColumn="0" w:oddVBand="1" w:evenVBand="0" w:oddHBand="0" w:evenHBand="0" w:firstRowFirstColumn="0" w:firstRowLastColumn="0" w:lastRowFirstColumn="0" w:lastRowLastColumn="0"/>
            <w:tcW w:w="4964" w:type="dxa"/>
          </w:tcPr>
          <w:p w14:paraId="6CC8A624" w14:textId="77777777" w:rsidR="005A5FE6" w:rsidRPr="005030D2" w:rsidRDefault="005A5FE6" w:rsidP="005A5FE6">
            <w:pPr>
              <w:spacing w:after="0"/>
              <w:ind w:firstLine="0"/>
              <w:rPr>
                <w:b/>
                <w:szCs w:val="24"/>
                <w:lang w:eastAsia="lv-LV"/>
              </w:rPr>
            </w:pPr>
            <w:r w:rsidRPr="005030D2">
              <w:rPr>
                <w:b/>
                <w:szCs w:val="24"/>
                <w:lang w:eastAsia="lv-LV"/>
              </w:rPr>
              <w:t>3. Diskrecionāri ieņēmumu pasākumi</w:t>
            </w:r>
          </w:p>
        </w:tc>
        <w:tc>
          <w:tcPr>
            <w:tcW w:w="851" w:type="dxa"/>
            <w:shd w:val="clear" w:color="auto" w:fill="DBE5F1" w:themeFill="accent1" w:themeFillTint="33"/>
          </w:tcPr>
          <w:p w14:paraId="689A9A1A" w14:textId="77777777" w:rsidR="005A5FE6" w:rsidRPr="005030D2" w:rsidRDefault="005A5FE6" w:rsidP="005A5FE6">
            <w:pPr>
              <w:pStyle w:val="tabteksts"/>
              <w:cnfStyle w:val="000000000000" w:firstRow="0" w:lastRow="0" w:firstColumn="0" w:lastColumn="0" w:oddVBand="0" w:evenVBand="0" w:oddHBand="0" w:evenHBand="0" w:firstRowFirstColumn="0" w:firstRowLastColumn="0" w:lastRowFirstColumn="0" w:lastRowLastColumn="0"/>
              <w:rPr>
                <w:snapToGrid w:val="0"/>
                <w:sz w:val="24"/>
                <w:szCs w:val="24"/>
              </w:rPr>
            </w:pPr>
          </w:p>
        </w:tc>
        <w:tc>
          <w:tcPr>
            <w:cnfStyle w:val="000010000000" w:firstRow="0" w:lastRow="0" w:firstColumn="0" w:lastColumn="0" w:oddVBand="1" w:evenVBand="0" w:oddHBand="0" w:evenHBand="0" w:firstRowFirstColumn="0" w:firstRowLastColumn="0" w:lastRowFirstColumn="0" w:lastRowLastColumn="0"/>
            <w:tcW w:w="850" w:type="dxa"/>
            <w:vAlign w:val="center"/>
          </w:tcPr>
          <w:p w14:paraId="0E16CE5C" w14:textId="6E8BBEAD" w:rsidR="005A5FE6" w:rsidRPr="005A5FE6" w:rsidRDefault="005A5FE6" w:rsidP="005A5FE6">
            <w:pPr>
              <w:spacing w:after="0"/>
              <w:ind w:firstLine="0"/>
              <w:jc w:val="center"/>
              <w:rPr>
                <w:color w:val="000000"/>
                <w:szCs w:val="24"/>
                <w:highlight w:val="yellow"/>
              </w:rPr>
            </w:pPr>
            <w:r w:rsidRPr="005A5FE6">
              <w:rPr>
                <w:color w:val="000000"/>
                <w:szCs w:val="24"/>
              </w:rPr>
              <w:t>-11,9</w:t>
            </w:r>
          </w:p>
        </w:tc>
        <w:tc>
          <w:tcPr>
            <w:tcW w:w="709" w:type="dxa"/>
            <w:shd w:val="clear" w:color="auto" w:fill="DBE5F1" w:themeFill="accent1" w:themeFillTint="33"/>
            <w:vAlign w:val="center"/>
          </w:tcPr>
          <w:p w14:paraId="1BF75D04" w14:textId="73BEC0C0" w:rsidR="005A5FE6" w:rsidRPr="005A5FE6" w:rsidRDefault="005A5FE6" w:rsidP="005A5FE6">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5A5FE6">
              <w:rPr>
                <w:color w:val="000000"/>
                <w:szCs w:val="24"/>
              </w:rPr>
              <w:t>0,0</w:t>
            </w:r>
          </w:p>
        </w:tc>
        <w:tc>
          <w:tcPr>
            <w:cnfStyle w:val="000010000000" w:firstRow="0" w:lastRow="0" w:firstColumn="0" w:lastColumn="0" w:oddVBand="1" w:evenVBand="0" w:oddHBand="0" w:evenHBand="0" w:firstRowFirstColumn="0" w:firstRowLastColumn="0" w:lastRowFirstColumn="0" w:lastRowLastColumn="0"/>
            <w:tcW w:w="851" w:type="dxa"/>
            <w:vAlign w:val="center"/>
          </w:tcPr>
          <w:p w14:paraId="7BB821C4" w14:textId="1DD69049" w:rsidR="005A5FE6" w:rsidRPr="005A5FE6" w:rsidRDefault="005A5FE6" w:rsidP="005A5FE6">
            <w:pPr>
              <w:spacing w:after="0"/>
              <w:ind w:firstLine="0"/>
              <w:jc w:val="center"/>
              <w:rPr>
                <w:color w:val="000000"/>
                <w:szCs w:val="24"/>
                <w:highlight w:val="yellow"/>
              </w:rPr>
            </w:pPr>
            <w:r w:rsidRPr="005A5FE6">
              <w:rPr>
                <w:color w:val="000000"/>
                <w:szCs w:val="24"/>
              </w:rPr>
              <w:t>0,1</w:t>
            </w:r>
          </w:p>
        </w:tc>
        <w:tc>
          <w:tcPr>
            <w:tcW w:w="986" w:type="dxa"/>
            <w:shd w:val="clear" w:color="auto" w:fill="DBE5F1" w:themeFill="accent1" w:themeFillTint="33"/>
            <w:vAlign w:val="center"/>
          </w:tcPr>
          <w:p w14:paraId="61F448B3" w14:textId="3D1DF427" w:rsidR="005A5FE6" w:rsidRPr="005A5FE6" w:rsidRDefault="005A5FE6" w:rsidP="005A5FE6">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rPr>
            </w:pPr>
            <w:r w:rsidRPr="005A5FE6">
              <w:rPr>
                <w:color w:val="000000"/>
                <w:szCs w:val="24"/>
              </w:rPr>
              <w:t>-0,2</w:t>
            </w:r>
          </w:p>
        </w:tc>
      </w:tr>
      <w:tr w:rsidR="00356B1E" w:rsidRPr="005030D2" w14:paraId="783512D0" w14:textId="77777777" w:rsidTr="00E2310C">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4964" w:type="dxa"/>
            <w:shd w:val="clear" w:color="auto" w:fill="FFFFFF" w:themeFill="background1"/>
          </w:tcPr>
          <w:p w14:paraId="562B1949" w14:textId="77777777" w:rsidR="00356B1E" w:rsidRPr="005D69BA" w:rsidRDefault="00356B1E" w:rsidP="00E77A83">
            <w:pPr>
              <w:spacing w:after="0"/>
              <w:ind w:firstLine="0"/>
              <w:rPr>
                <w:b/>
                <w:szCs w:val="24"/>
                <w:highlight w:val="yellow"/>
                <w:lang w:eastAsia="lv-LV"/>
              </w:rPr>
            </w:pPr>
            <w:r w:rsidRPr="005D69BA">
              <w:rPr>
                <w:b/>
                <w:szCs w:val="24"/>
                <w:lang w:eastAsia="lv-LV"/>
              </w:rPr>
              <w:t>4. Ieņēmumu palielinājums, kas apstiprināts ar likumu</w:t>
            </w:r>
          </w:p>
        </w:tc>
        <w:tc>
          <w:tcPr>
            <w:tcW w:w="851" w:type="dxa"/>
            <w:shd w:val="clear" w:color="auto" w:fill="FFFFFF" w:themeFill="background1"/>
          </w:tcPr>
          <w:p w14:paraId="4E75E474" w14:textId="77777777" w:rsidR="00356B1E" w:rsidRPr="005D69BA"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850" w:type="dxa"/>
            <w:shd w:val="clear" w:color="auto" w:fill="FFFFFF" w:themeFill="background1"/>
          </w:tcPr>
          <w:p w14:paraId="1BCA154D" w14:textId="77777777" w:rsidR="00356B1E" w:rsidRPr="004D45D2" w:rsidRDefault="00356B1E" w:rsidP="00E77A83">
            <w:pPr>
              <w:pStyle w:val="tabteksts"/>
              <w:rPr>
                <w:snapToGrid w:val="0"/>
                <w:sz w:val="24"/>
                <w:szCs w:val="24"/>
                <w:highlight w:val="yellow"/>
              </w:rPr>
            </w:pPr>
          </w:p>
        </w:tc>
        <w:tc>
          <w:tcPr>
            <w:tcW w:w="709" w:type="dxa"/>
            <w:shd w:val="clear" w:color="auto" w:fill="FFFFFF" w:themeFill="background1"/>
          </w:tcPr>
          <w:p w14:paraId="329FF8AD" w14:textId="77777777" w:rsidR="00356B1E" w:rsidRPr="004D45D2"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highlight w:val="yellow"/>
              </w:rPr>
            </w:pPr>
          </w:p>
        </w:tc>
        <w:tc>
          <w:tcPr>
            <w:cnfStyle w:val="000010000000" w:firstRow="0" w:lastRow="0" w:firstColumn="0" w:lastColumn="0" w:oddVBand="1" w:evenVBand="0" w:oddHBand="0" w:evenHBand="0" w:firstRowFirstColumn="0" w:firstRowLastColumn="0" w:lastRowFirstColumn="0" w:lastRowLastColumn="0"/>
            <w:tcW w:w="851" w:type="dxa"/>
            <w:shd w:val="clear" w:color="auto" w:fill="FFFFFF" w:themeFill="background1"/>
          </w:tcPr>
          <w:p w14:paraId="3E13C630" w14:textId="77777777" w:rsidR="00356B1E" w:rsidRPr="004D45D2" w:rsidRDefault="00356B1E" w:rsidP="00E77A83">
            <w:pPr>
              <w:pStyle w:val="tabteksts"/>
              <w:rPr>
                <w:snapToGrid w:val="0"/>
                <w:sz w:val="24"/>
                <w:szCs w:val="24"/>
                <w:highlight w:val="yellow"/>
              </w:rPr>
            </w:pPr>
          </w:p>
        </w:tc>
        <w:tc>
          <w:tcPr>
            <w:tcW w:w="986" w:type="dxa"/>
            <w:shd w:val="clear" w:color="auto" w:fill="FFFFFF" w:themeFill="background1"/>
          </w:tcPr>
          <w:p w14:paraId="17A6E1E7" w14:textId="77777777" w:rsidR="00356B1E" w:rsidRPr="004D45D2" w:rsidRDefault="00356B1E" w:rsidP="00E77A83">
            <w:pPr>
              <w:pStyle w:val="tabteksts"/>
              <w:cnfStyle w:val="000000100000" w:firstRow="0" w:lastRow="0" w:firstColumn="0" w:lastColumn="0" w:oddVBand="0" w:evenVBand="0" w:oddHBand="1" w:evenHBand="0" w:firstRowFirstColumn="0" w:firstRowLastColumn="0" w:lastRowFirstColumn="0" w:lastRowLastColumn="0"/>
              <w:rPr>
                <w:snapToGrid w:val="0"/>
                <w:sz w:val="24"/>
                <w:szCs w:val="24"/>
                <w:highlight w:val="yellow"/>
              </w:rPr>
            </w:pPr>
          </w:p>
        </w:tc>
      </w:tr>
    </w:tbl>
    <w:p w14:paraId="67208178" w14:textId="77777777" w:rsidR="00E2310C" w:rsidRDefault="00E2310C" w:rsidP="002F0C44">
      <w:pPr>
        <w:pStyle w:val="Heading1"/>
        <w:tabs>
          <w:tab w:val="left" w:pos="1276"/>
        </w:tabs>
        <w:spacing w:before="0" w:after="240"/>
        <w:ind w:left="1276" w:hanging="1276"/>
        <w:jc w:val="left"/>
        <w:rPr>
          <w:rFonts w:ascii="Times New Roman" w:hAnsi="Times New Roman"/>
          <w:color w:val="18185F"/>
          <w:sz w:val="24"/>
          <w:lang w:val="lv-LV"/>
        </w:rPr>
      </w:pPr>
    </w:p>
    <w:p w14:paraId="271FA2BC" w14:textId="0441B099" w:rsidR="004D377A" w:rsidRDefault="002F0C44" w:rsidP="002F0C44">
      <w:pPr>
        <w:pStyle w:val="Heading1"/>
        <w:tabs>
          <w:tab w:val="left" w:pos="1276"/>
        </w:tabs>
        <w:spacing w:before="0" w:after="240"/>
        <w:ind w:left="1276" w:hanging="1276"/>
        <w:jc w:val="left"/>
        <w:rPr>
          <w:rFonts w:ascii="Times New Roman" w:hAnsi="Times New Roman"/>
          <w:color w:val="18185F"/>
          <w:sz w:val="24"/>
          <w:lang w:val="lv-LV"/>
        </w:rPr>
      </w:pPr>
      <w:bookmarkStart w:id="16" w:name="_Toc21516509"/>
      <w:r>
        <w:rPr>
          <w:rFonts w:ascii="Times New Roman" w:hAnsi="Times New Roman"/>
          <w:color w:val="18185F"/>
          <w:sz w:val="24"/>
          <w:lang w:val="lv-LV"/>
        </w:rPr>
        <w:t xml:space="preserve">Tabula </w:t>
      </w:r>
      <w:r w:rsidR="004D377A">
        <w:rPr>
          <w:rFonts w:ascii="Times New Roman" w:hAnsi="Times New Roman"/>
          <w:color w:val="18185F"/>
          <w:sz w:val="24"/>
          <w:lang w:val="lv-LV"/>
        </w:rPr>
        <w:t>4.c Vispārējās valdības izdevu</w:t>
      </w:r>
      <w:r w:rsidR="00524163">
        <w:rPr>
          <w:rFonts w:ascii="Times New Roman" w:hAnsi="Times New Roman"/>
          <w:color w:val="18185F"/>
          <w:sz w:val="24"/>
          <w:lang w:val="lv-LV"/>
        </w:rPr>
        <w:t>mi</w:t>
      </w:r>
      <w:r w:rsidR="004D377A">
        <w:rPr>
          <w:rFonts w:ascii="Times New Roman" w:hAnsi="Times New Roman"/>
          <w:color w:val="18185F"/>
          <w:sz w:val="24"/>
          <w:lang w:val="lv-LV"/>
        </w:rPr>
        <w:t xml:space="preserve"> </w:t>
      </w:r>
      <w:r w:rsidR="00D27E4E" w:rsidRPr="00AA5591">
        <w:rPr>
          <w:rFonts w:ascii="Times New Roman" w:hAnsi="Times New Roman"/>
          <w:color w:val="18185F"/>
          <w:sz w:val="24"/>
        </w:rPr>
        <w:t>funkciju sadalījumā</w:t>
      </w:r>
      <w:bookmarkEnd w:id="16"/>
    </w:p>
    <w:p w14:paraId="03B2D2CD" w14:textId="77777777" w:rsidR="00AA5591" w:rsidRPr="00AA5591" w:rsidRDefault="00F900B2" w:rsidP="00AA5591">
      <w:pPr>
        <w:pStyle w:val="Heading1"/>
        <w:tabs>
          <w:tab w:val="left" w:pos="1276"/>
        </w:tabs>
        <w:spacing w:before="0" w:after="240"/>
        <w:ind w:left="1276" w:hanging="1276"/>
        <w:jc w:val="left"/>
        <w:rPr>
          <w:rFonts w:ascii="Times New Roman" w:hAnsi="Times New Roman"/>
          <w:color w:val="18185F"/>
          <w:sz w:val="24"/>
        </w:rPr>
      </w:pPr>
      <w:bookmarkStart w:id="17" w:name="_Toc21516510"/>
      <w:r>
        <w:rPr>
          <w:rFonts w:ascii="Times New Roman" w:hAnsi="Times New Roman"/>
          <w:color w:val="18185F"/>
          <w:sz w:val="24"/>
          <w:lang w:val="lv-LV"/>
        </w:rPr>
        <w:t>Tabula</w:t>
      </w:r>
      <w:r w:rsidRPr="00AA5591">
        <w:rPr>
          <w:rFonts w:ascii="Times New Roman" w:hAnsi="Times New Roman"/>
          <w:color w:val="18185F"/>
          <w:sz w:val="24"/>
        </w:rPr>
        <w:t xml:space="preserve"> </w:t>
      </w:r>
      <w:r w:rsidR="00AA5591" w:rsidRPr="00AA5591">
        <w:rPr>
          <w:rFonts w:ascii="Times New Roman" w:hAnsi="Times New Roman"/>
          <w:color w:val="18185F"/>
          <w:sz w:val="24"/>
        </w:rPr>
        <w:t>4.c.i) Vispārējās valdības izdevumi izglītībai, veselības aprūpei un nodarbinātībai</w:t>
      </w:r>
      <w:bookmarkEnd w:id="17"/>
    </w:p>
    <w:tbl>
      <w:tblPr>
        <w:tblStyle w:val="GridTable6Colorful-Accent11"/>
        <w:tblW w:w="9072" w:type="dxa"/>
        <w:jc w:val="center"/>
        <w:tblLook w:val="04A0" w:firstRow="1" w:lastRow="0" w:firstColumn="1" w:lastColumn="0" w:noHBand="0" w:noVBand="1"/>
      </w:tblPr>
      <w:tblGrid>
        <w:gridCol w:w="1724"/>
        <w:gridCol w:w="960"/>
        <w:gridCol w:w="2764"/>
        <w:gridCol w:w="905"/>
        <w:gridCol w:w="2719"/>
      </w:tblGrid>
      <w:tr w:rsidR="00AA5591" w:rsidRPr="005030D2" w14:paraId="5F988076" w14:textId="77777777" w:rsidTr="007E32F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7E4DC767" w14:textId="77777777" w:rsidR="00AA5591" w:rsidRPr="005030D2" w:rsidRDefault="00AA5591" w:rsidP="00AA5591">
            <w:pPr>
              <w:spacing w:after="0"/>
              <w:ind w:firstLine="0"/>
              <w:jc w:val="center"/>
              <w:rPr>
                <w:color w:val="auto"/>
                <w:szCs w:val="24"/>
                <w:lang w:eastAsia="lv-LV"/>
              </w:rPr>
            </w:pPr>
          </w:p>
        </w:tc>
        <w:tc>
          <w:tcPr>
            <w:tcW w:w="3724" w:type="dxa"/>
            <w:gridSpan w:val="2"/>
            <w:vAlign w:val="center"/>
            <w:hideMark/>
          </w:tcPr>
          <w:p w14:paraId="08E7BED2" w14:textId="58F97AA7" w:rsidR="00AA5591" w:rsidRPr="005030D2" w:rsidRDefault="00D85FD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030D2">
              <w:rPr>
                <w:color w:val="auto"/>
                <w:szCs w:val="24"/>
                <w:lang w:eastAsia="lv-LV"/>
              </w:rPr>
              <w:t>201</w:t>
            </w:r>
            <w:r w:rsidR="003822F3">
              <w:rPr>
                <w:color w:val="auto"/>
                <w:szCs w:val="24"/>
                <w:lang w:eastAsia="lv-LV"/>
              </w:rPr>
              <w:t>9</w:t>
            </w:r>
          </w:p>
        </w:tc>
        <w:tc>
          <w:tcPr>
            <w:tcW w:w="3624" w:type="dxa"/>
            <w:gridSpan w:val="2"/>
            <w:vAlign w:val="center"/>
            <w:hideMark/>
          </w:tcPr>
          <w:p w14:paraId="3D903044" w14:textId="60EA28D7" w:rsidR="00AA5591" w:rsidRPr="005030D2" w:rsidRDefault="00D85FD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lang w:eastAsia="lv-LV"/>
              </w:rPr>
            </w:pPr>
            <w:r w:rsidRPr="005030D2">
              <w:rPr>
                <w:color w:val="auto"/>
                <w:szCs w:val="24"/>
                <w:lang w:eastAsia="lv-LV"/>
              </w:rPr>
              <w:t>20</w:t>
            </w:r>
            <w:r w:rsidR="003822F3">
              <w:rPr>
                <w:color w:val="auto"/>
                <w:szCs w:val="24"/>
                <w:lang w:eastAsia="lv-LV"/>
              </w:rPr>
              <w:t>20</w:t>
            </w:r>
          </w:p>
        </w:tc>
      </w:tr>
      <w:tr w:rsidR="00AA5591" w:rsidRPr="005030D2" w14:paraId="4EE63C05" w14:textId="77777777" w:rsidTr="007E32F5">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78850DF3" w14:textId="77777777" w:rsidR="00AA5591" w:rsidRPr="005030D2" w:rsidRDefault="00AA5591" w:rsidP="00AA5591">
            <w:pPr>
              <w:spacing w:after="0"/>
              <w:ind w:firstLine="0"/>
              <w:jc w:val="center"/>
              <w:rPr>
                <w:color w:val="auto"/>
                <w:szCs w:val="24"/>
                <w:lang w:eastAsia="lv-LV"/>
              </w:rPr>
            </w:pPr>
          </w:p>
        </w:tc>
        <w:tc>
          <w:tcPr>
            <w:tcW w:w="960" w:type="dxa"/>
            <w:vAlign w:val="center"/>
            <w:hideMark/>
          </w:tcPr>
          <w:p w14:paraId="23751060" w14:textId="77777777"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 xml:space="preserve">% </w:t>
            </w:r>
            <w:r w:rsidR="00D27E4E" w:rsidRPr="005030D2">
              <w:rPr>
                <w:color w:val="auto"/>
                <w:szCs w:val="24"/>
                <w:lang w:eastAsia="lv-LV"/>
              </w:rPr>
              <w:t xml:space="preserve">no </w:t>
            </w:r>
            <w:r w:rsidRPr="005030D2">
              <w:rPr>
                <w:color w:val="auto"/>
                <w:szCs w:val="24"/>
                <w:lang w:eastAsia="lv-LV"/>
              </w:rPr>
              <w:t>IKP</w:t>
            </w:r>
          </w:p>
        </w:tc>
        <w:tc>
          <w:tcPr>
            <w:tcW w:w="2764" w:type="dxa"/>
            <w:vAlign w:val="center"/>
            <w:hideMark/>
          </w:tcPr>
          <w:p w14:paraId="5D01F855" w14:textId="77777777"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vispārējās valdības izdevumi</w:t>
            </w:r>
            <w:r w:rsidR="00D27E4E" w:rsidRPr="005030D2">
              <w:rPr>
                <w:color w:val="auto"/>
                <w:szCs w:val="24"/>
                <w:lang w:eastAsia="lv-LV"/>
              </w:rPr>
              <w:t>, %</w:t>
            </w:r>
          </w:p>
        </w:tc>
        <w:tc>
          <w:tcPr>
            <w:tcW w:w="905" w:type="dxa"/>
            <w:vAlign w:val="center"/>
            <w:hideMark/>
          </w:tcPr>
          <w:p w14:paraId="2FA0BD55" w14:textId="77777777"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 xml:space="preserve">% </w:t>
            </w:r>
            <w:r w:rsidR="00D27E4E" w:rsidRPr="005030D2">
              <w:rPr>
                <w:color w:val="auto"/>
                <w:szCs w:val="24"/>
                <w:lang w:eastAsia="lv-LV"/>
              </w:rPr>
              <w:t xml:space="preserve">no </w:t>
            </w:r>
            <w:r w:rsidRPr="005030D2">
              <w:rPr>
                <w:color w:val="auto"/>
                <w:szCs w:val="24"/>
                <w:lang w:eastAsia="lv-LV"/>
              </w:rPr>
              <w:t>IKP</w:t>
            </w:r>
          </w:p>
        </w:tc>
        <w:tc>
          <w:tcPr>
            <w:tcW w:w="2719" w:type="dxa"/>
            <w:vAlign w:val="center"/>
            <w:hideMark/>
          </w:tcPr>
          <w:p w14:paraId="448C214C" w14:textId="77777777" w:rsidR="00AA5591" w:rsidRPr="005030D2" w:rsidRDefault="00AA5591" w:rsidP="00AA5591">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lang w:eastAsia="lv-LV"/>
              </w:rPr>
            </w:pPr>
            <w:r w:rsidRPr="005030D2">
              <w:rPr>
                <w:color w:val="auto"/>
                <w:szCs w:val="24"/>
                <w:lang w:eastAsia="lv-LV"/>
              </w:rPr>
              <w:t>vispārējās valdības izdevumi</w:t>
            </w:r>
            <w:r w:rsidR="00D27E4E" w:rsidRPr="005030D2">
              <w:rPr>
                <w:color w:val="auto"/>
                <w:szCs w:val="24"/>
                <w:lang w:eastAsia="lv-LV"/>
              </w:rPr>
              <w:t>, %</w:t>
            </w:r>
          </w:p>
        </w:tc>
      </w:tr>
      <w:tr w:rsidR="0095442F" w:rsidRPr="005030D2" w14:paraId="10D79121" w14:textId="77777777" w:rsidTr="007E32F5">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71997CBB" w14:textId="77777777" w:rsidR="0095442F" w:rsidRPr="005030D2" w:rsidRDefault="0095442F" w:rsidP="0095442F">
            <w:pPr>
              <w:spacing w:after="0"/>
              <w:ind w:firstLine="0"/>
              <w:jc w:val="left"/>
              <w:rPr>
                <w:color w:val="auto"/>
                <w:szCs w:val="24"/>
                <w:lang w:eastAsia="lv-LV"/>
              </w:rPr>
            </w:pPr>
            <w:r w:rsidRPr="005030D2">
              <w:rPr>
                <w:color w:val="auto"/>
                <w:szCs w:val="24"/>
                <w:lang w:eastAsia="lv-LV"/>
              </w:rPr>
              <w:t>Izglītība</w:t>
            </w:r>
          </w:p>
        </w:tc>
        <w:tc>
          <w:tcPr>
            <w:tcW w:w="960" w:type="dxa"/>
            <w:vAlign w:val="center"/>
          </w:tcPr>
          <w:p w14:paraId="285307DF" w14:textId="6C8E1929"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95442F">
              <w:rPr>
                <w:color w:val="000000"/>
                <w:szCs w:val="24"/>
              </w:rPr>
              <w:t>5,3</w:t>
            </w:r>
          </w:p>
        </w:tc>
        <w:tc>
          <w:tcPr>
            <w:tcW w:w="2764" w:type="dxa"/>
            <w:vAlign w:val="center"/>
          </w:tcPr>
          <w:p w14:paraId="1461CC42" w14:textId="0FE08CFE"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95442F">
              <w:rPr>
                <w:color w:val="000000"/>
                <w:szCs w:val="24"/>
              </w:rPr>
              <w:t>14,3</w:t>
            </w:r>
          </w:p>
        </w:tc>
        <w:tc>
          <w:tcPr>
            <w:tcW w:w="905" w:type="dxa"/>
            <w:vAlign w:val="center"/>
          </w:tcPr>
          <w:p w14:paraId="06E5B614" w14:textId="394D2DE1"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95442F">
              <w:rPr>
                <w:color w:val="000000"/>
                <w:szCs w:val="24"/>
              </w:rPr>
              <w:t>5,2</w:t>
            </w:r>
          </w:p>
        </w:tc>
        <w:tc>
          <w:tcPr>
            <w:tcW w:w="2719" w:type="dxa"/>
            <w:vAlign w:val="center"/>
          </w:tcPr>
          <w:p w14:paraId="3586D649" w14:textId="6CE9BE04"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95442F">
              <w:rPr>
                <w:color w:val="000000"/>
                <w:szCs w:val="24"/>
              </w:rPr>
              <w:t>14,1</w:t>
            </w:r>
          </w:p>
        </w:tc>
      </w:tr>
      <w:tr w:rsidR="0095442F" w:rsidRPr="005030D2" w14:paraId="57F1EB60" w14:textId="77777777" w:rsidTr="007E32F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38E753F7" w14:textId="77777777" w:rsidR="0095442F" w:rsidRPr="005030D2" w:rsidRDefault="0095442F" w:rsidP="0095442F">
            <w:pPr>
              <w:spacing w:after="0"/>
              <w:ind w:firstLine="0"/>
              <w:jc w:val="left"/>
              <w:rPr>
                <w:color w:val="auto"/>
                <w:szCs w:val="24"/>
                <w:lang w:eastAsia="lv-LV"/>
              </w:rPr>
            </w:pPr>
            <w:r w:rsidRPr="005030D2">
              <w:rPr>
                <w:color w:val="auto"/>
                <w:szCs w:val="24"/>
                <w:lang w:eastAsia="lv-LV"/>
              </w:rPr>
              <w:t>Veselība</w:t>
            </w:r>
          </w:p>
        </w:tc>
        <w:tc>
          <w:tcPr>
            <w:tcW w:w="960" w:type="dxa"/>
            <w:vAlign w:val="center"/>
          </w:tcPr>
          <w:p w14:paraId="1D8CEE51" w14:textId="490933AE"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95442F">
              <w:rPr>
                <w:color w:val="000000"/>
                <w:szCs w:val="24"/>
              </w:rPr>
              <w:t>4,2</w:t>
            </w:r>
          </w:p>
        </w:tc>
        <w:tc>
          <w:tcPr>
            <w:tcW w:w="2764" w:type="dxa"/>
            <w:vAlign w:val="center"/>
          </w:tcPr>
          <w:p w14:paraId="429F6D1F" w14:textId="6ECB0DB2"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95442F">
              <w:rPr>
                <w:color w:val="000000"/>
                <w:szCs w:val="24"/>
              </w:rPr>
              <w:t>11,3</w:t>
            </w:r>
          </w:p>
        </w:tc>
        <w:tc>
          <w:tcPr>
            <w:tcW w:w="905" w:type="dxa"/>
            <w:vAlign w:val="center"/>
          </w:tcPr>
          <w:p w14:paraId="792A13FA" w14:textId="71A7DB14"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95442F">
              <w:rPr>
                <w:color w:val="000000"/>
                <w:szCs w:val="24"/>
              </w:rPr>
              <w:t>4,1</w:t>
            </w:r>
          </w:p>
        </w:tc>
        <w:tc>
          <w:tcPr>
            <w:tcW w:w="2719" w:type="dxa"/>
            <w:vAlign w:val="center"/>
          </w:tcPr>
          <w:p w14:paraId="5E4D563B" w14:textId="5AA4CCFB"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lang w:eastAsia="lv-LV"/>
              </w:rPr>
            </w:pPr>
            <w:r w:rsidRPr="0095442F">
              <w:rPr>
                <w:color w:val="000000"/>
                <w:szCs w:val="24"/>
              </w:rPr>
              <w:t>11,3</w:t>
            </w:r>
          </w:p>
        </w:tc>
      </w:tr>
      <w:tr w:rsidR="0095442F" w:rsidRPr="005030D2" w14:paraId="5D95F824" w14:textId="77777777" w:rsidTr="007E32F5">
        <w:trPr>
          <w:trHeight w:val="360"/>
          <w:jc w:val="center"/>
        </w:trPr>
        <w:tc>
          <w:tcPr>
            <w:cnfStyle w:val="001000000000" w:firstRow="0" w:lastRow="0" w:firstColumn="1" w:lastColumn="0" w:oddVBand="0" w:evenVBand="0" w:oddHBand="0" w:evenHBand="0" w:firstRowFirstColumn="0" w:firstRowLastColumn="0" w:lastRowFirstColumn="0" w:lastRowLastColumn="0"/>
            <w:tcW w:w="1724" w:type="dxa"/>
            <w:vAlign w:val="center"/>
            <w:hideMark/>
          </w:tcPr>
          <w:p w14:paraId="76DFA8D3" w14:textId="77777777" w:rsidR="0095442F" w:rsidRPr="005030D2" w:rsidRDefault="0095442F" w:rsidP="0095442F">
            <w:pPr>
              <w:spacing w:after="0"/>
              <w:ind w:firstLine="0"/>
              <w:jc w:val="left"/>
              <w:rPr>
                <w:color w:val="auto"/>
                <w:szCs w:val="24"/>
                <w:lang w:eastAsia="lv-LV"/>
              </w:rPr>
            </w:pPr>
            <w:r w:rsidRPr="005030D2">
              <w:rPr>
                <w:color w:val="auto"/>
                <w:szCs w:val="24"/>
                <w:lang w:eastAsia="lv-LV"/>
              </w:rPr>
              <w:t>Nodarbinātība</w:t>
            </w:r>
          </w:p>
        </w:tc>
        <w:tc>
          <w:tcPr>
            <w:tcW w:w="960" w:type="dxa"/>
            <w:vAlign w:val="center"/>
          </w:tcPr>
          <w:p w14:paraId="7D5C9684" w14:textId="086B4C8C"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95442F">
              <w:rPr>
                <w:color w:val="000000"/>
                <w:szCs w:val="24"/>
              </w:rPr>
              <w:t>0,1</w:t>
            </w:r>
          </w:p>
        </w:tc>
        <w:tc>
          <w:tcPr>
            <w:tcW w:w="2764" w:type="dxa"/>
            <w:vAlign w:val="center"/>
          </w:tcPr>
          <w:p w14:paraId="64074D7F" w14:textId="7EAF8976"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95442F">
              <w:rPr>
                <w:color w:val="000000"/>
                <w:szCs w:val="24"/>
              </w:rPr>
              <w:t>0,3</w:t>
            </w:r>
          </w:p>
        </w:tc>
        <w:tc>
          <w:tcPr>
            <w:tcW w:w="905" w:type="dxa"/>
            <w:vAlign w:val="center"/>
          </w:tcPr>
          <w:p w14:paraId="0734F19C" w14:textId="49187471"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95442F">
              <w:rPr>
                <w:color w:val="000000"/>
                <w:szCs w:val="24"/>
              </w:rPr>
              <w:t>0,1</w:t>
            </w:r>
          </w:p>
        </w:tc>
        <w:tc>
          <w:tcPr>
            <w:tcW w:w="2719" w:type="dxa"/>
            <w:vAlign w:val="center"/>
          </w:tcPr>
          <w:p w14:paraId="15259370" w14:textId="601186C8"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lang w:eastAsia="lv-LV"/>
              </w:rPr>
            </w:pPr>
            <w:r w:rsidRPr="0095442F">
              <w:rPr>
                <w:color w:val="000000"/>
                <w:szCs w:val="24"/>
              </w:rPr>
              <w:t>0,4</w:t>
            </w:r>
          </w:p>
        </w:tc>
      </w:tr>
    </w:tbl>
    <w:p w14:paraId="5D5D6FB8" w14:textId="77777777" w:rsidR="00B95048" w:rsidRDefault="00B95048" w:rsidP="00B95048">
      <w:pPr>
        <w:rPr>
          <w:lang w:val="x-none" w:eastAsia="x-none"/>
        </w:rPr>
      </w:pPr>
    </w:p>
    <w:p w14:paraId="0044394F" w14:textId="77777777" w:rsidR="00AA5591" w:rsidRPr="00AA5591" w:rsidRDefault="00F900B2" w:rsidP="00150E39">
      <w:pPr>
        <w:pStyle w:val="Heading1"/>
        <w:tabs>
          <w:tab w:val="left" w:pos="1276"/>
        </w:tabs>
        <w:spacing w:before="0" w:after="240"/>
        <w:ind w:firstLine="0"/>
        <w:jc w:val="left"/>
        <w:rPr>
          <w:rFonts w:ascii="Times New Roman" w:hAnsi="Times New Roman"/>
          <w:color w:val="18185F"/>
          <w:sz w:val="24"/>
        </w:rPr>
      </w:pPr>
      <w:bookmarkStart w:id="18" w:name="_Toc21516511"/>
      <w:r>
        <w:rPr>
          <w:rFonts w:ascii="Times New Roman" w:hAnsi="Times New Roman"/>
          <w:color w:val="18185F"/>
          <w:sz w:val="24"/>
          <w:lang w:val="lv-LV"/>
        </w:rPr>
        <w:t>Tabula</w:t>
      </w:r>
      <w:r w:rsidRPr="00AA5591">
        <w:rPr>
          <w:rFonts w:ascii="Times New Roman" w:hAnsi="Times New Roman"/>
          <w:color w:val="18185F"/>
          <w:sz w:val="24"/>
        </w:rPr>
        <w:t xml:space="preserve"> </w:t>
      </w:r>
      <w:r w:rsidR="00AA5591" w:rsidRPr="00AA5591">
        <w:rPr>
          <w:rFonts w:ascii="Times New Roman" w:hAnsi="Times New Roman"/>
          <w:color w:val="18185F"/>
          <w:sz w:val="24"/>
        </w:rPr>
        <w:t>4.c.ii) Vispārējās valdības izdevumi funkciju sadalījumā</w:t>
      </w:r>
      <w:bookmarkEnd w:id="18"/>
    </w:p>
    <w:tbl>
      <w:tblPr>
        <w:tblStyle w:val="GridTable6Colorful-Accent11"/>
        <w:tblW w:w="9069" w:type="dxa"/>
        <w:jc w:val="center"/>
        <w:tblLayout w:type="fixed"/>
        <w:tblLook w:val="04A0" w:firstRow="1" w:lastRow="0" w:firstColumn="1" w:lastColumn="0" w:noHBand="0" w:noVBand="1"/>
      </w:tblPr>
      <w:tblGrid>
        <w:gridCol w:w="5389"/>
        <w:gridCol w:w="1149"/>
        <w:gridCol w:w="1256"/>
        <w:gridCol w:w="1275"/>
      </w:tblGrid>
      <w:tr w:rsidR="00AA5591" w:rsidRPr="006C783C" w14:paraId="48B4404E" w14:textId="77777777" w:rsidTr="00C34D59">
        <w:trPr>
          <w:cnfStyle w:val="100000000000" w:firstRow="1" w:lastRow="0" w:firstColumn="0" w:lastColumn="0" w:oddVBand="0" w:evenVBand="0" w:oddHBand="0"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5389" w:type="dxa"/>
            <w:vAlign w:val="center"/>
            <w:hideMark/>
          </w:tcPr>
          <w:p w14:paraId="545748B1" w14:textId="77777777" w:rsidR="00AA5591" w:rsidRPr="006C783C" w:rsidRDefault="00AA5591" w:rsidP="00AA5591">
            <w:pPr>
              <w:spacing w:after="0"/>
              <w:ind w:firstLine="0"/>
              <w:jc w:val="center"/>
              <w:rPr>
                <w:color w:val="auto"/>
                <w:szCs w:val="24"/>
                <w:lang w:eastAsia="lv-LV"/>
              </w:rPr>
            </w:pPr>
          </w:p>
        </w:tc>
        <w:tc>
          <w:tcPr>
            <w:tcW w:w="1149" w:type="dxa"/>
            <w:vAlign w:val="center"/>
            <w:hideMark/>
          </w:tcPr>
          <w:p w14:paraId="338C8299" w14:textId="77777777" w:rsidR="00AA5591" w:rsidRPr="006C783C" w:rsidRDefault="00AA5591" w:rsidP="00AA5591">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6C783C">
              <w:rPr>
                <w:color w:val="auto"/>
                <w:szCs w:val="24"/>
              </w:rPr>
              <w:t>COFOG kods</w:t>
            </w:r>
          </w:p>
        </w:tc>
        <w:tc>
          <w:tcPr>
            <w:tcW w:w="1256" w:type="dxa"/>
            <w:vAlign w:val="center"/>
            <w:hideMark/>
          </w:tcPr>
          <w:p w14:paraId="307AF6B5" w14:textId="64AED210" w:rsidR="00AA5591" w:rsidRPr="006C783C" w:rsidRDefault="00D85FD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color w:val="auto"/>
                <w:szCs w:val="24"/>
              </w:rPr>
            </w:pPr>
            <w:r w:rsidRPr="006C783C">
              <w:rPr>
                <w:bCs w:val="0"/>
                <w:color w:val="auto"/>
                <w:szCs w:val="24"/>
              </w:rPr>
              <w:t>201</w:t>
            </w:r>
            <w:r w:rsidR="003822F3">
              <w:rPr>
                <w:bCs w:val="0"/>
                <w:color w:val="auto"/>
                <w:szCs w:val="24"/>
              </w:rPr>
              <w:t>9</w:t>
            </w:r>
          </w:p>
        </w:tc>
        <w:tc>
          <w:tcPr>
            <w:tcW w:w="1275" w:type="dxa"/>
            <w:vAlign w:val="center"/>
            <w:hideMark/>
          </w:tcPr>
          <w:p w14:paraId="78575066" w14:textId="0932B376" w:rsidR="00AA5591" w:rsidRPr="006C783C" w:rsidRDefault="00D85FDB" w:rsidP="003822F3">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sidRPr="006C783C">
              <w:rPr>
                <w:bCs w:val="0"/>
                <w:color w:val="auto"/>
                <w:szCs w:val="24"/>
              </w:rPr>
              <w:t>20</w:t>
            </w:r>
            <w:r w:rsidR="003822F3">
              <w:rPr>
                <w:bCs w:val="0"/>
                <w:color w:val="auto"/>
                <w:szCs w:val="24"/>
              </w:rPr>
              <w:t>20</w:t>
            </w:r>
          </w:p>
        </w:tc>
      </w:tr>
      <w:tr w:rsidR="00AF5E23" w:rsidRPr="006C783C" w14:paraId="6C1B361C" w14:textId="77777777" w:rsidTr="00C34D59">
        <w:trPr>
          <w:cnfStyle w:val="000000100000" w:firstRow="0" w:lastRow="0" w:firstColumn="0" w:lastColumn="0" w:oddVBand="0" w:evenVBand="0" w:oddHBand="1"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5389" w:type="dxa"/>
            <w:vAlign w:val="center"/>
            <w:hideMark/>
          </w:tcPr>
          <w:p w14:paraId="4613D5DD" w14:textId="77777777" w:rsidR="00AF5E23" w:rsidRPr="006C783C" w:rsidRDefault="00AF5E23" w:rsidP="00AA5591">
            <w:pPr>
              <w:spacing w:after="0"/>
              <w:jc w:val="center"/>
              <w:rPr>
                <w:b w:val="0"/>
                <w:bCs w:val="0"/>
                <w:color w:val="auto"/>
                <w:szCs w:val="24"/>
              </w:rPr>
            </w:pPr>
          </w:p>
        </w:tc>
        <w:tc>
          <w:tcPr>
            <w:tcW w:w="1149" w:type="dxa"/>
            <w:vAlign w:val="center"/>
            <w:hideMark/>
          </w:tcPr>
          <w:p w14:paraId="02005DD9" w14:textId="77777777" w:rsidR="00AF5E23" w:rsidRPr="006C783C" w:rsidRDefault="00AF5E23" w:rsidP="00AA5591">
            <w:pPr>
              <w:spacing w:after="0"/>
              <w:jc w:val="center"/>
              <w:cnfStyle w:val="000000100000" w:firstRow="0" w:lastRow="0" w:firstColumn="0" w:lastColumn="0" w:oddVBand="0" w:evenVBand="0" w:oddHBand="1" w:evenHBand="0" w:firstRowFirstColumn="0" w:firstRowLastColumn="0" w:lastRowFirstColumn="0" w:lastRowLastColumn="0"/>
              <w:rPr>
                <w:color w:val="auto"/>
                <w:szCs w:val="24"/>
              </w:rPr>
            </w:pPr>
          </w:p>
        </w:tc>
        <w:tc>
          <w:tcPr>
            <w:tcW w:w="2531" w:type="dxa"/>
            <w:gridSpan w:val="2"/>
            <w:vAlign w:val="center"/>
            <w:hideMark/>
          </w:tcPr>
          <w:p w14:paraId="631D0A26" w14:textId="77777777" w:rsidR="00AF5E23" w:rsidRPr="006C783C" w:rsidRDefault="00AF5E23" w:rsidP="00AF5E23">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 no IKP</w:t>
            </w:r>
          </w:p>
        </w:tc>
      </w:tr>
      <w:tr w:rsidR="0095442F" w:rsidRPr="006C783C" w14:paraId="30153BC4" w14:textId="77777777" w:rsidTr="00C34D59">
        <w:trPr>
          <w:trHeight w:val="261"/>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6AF7CD00" w14:textId="77777777" w:rsidR="0095442F" w:rsidRPr="006C783C" w:rsidRDefault="0095442F" w:rsidP="0095442F">
            <w:pPr>
              <w:spacing w:after="0"/>
              <w:ind w:firstLine="0"/>
              <w:jc w:val="left"/>
              <w:rPr>
                <w:color w:val="auto"/>
                <w:szCs w:val="24"/>
              </w:rPr>
            </w:pPr>
            <w:r w:rsidRPr="006C783C">
              <w:rPr>
                <w:color w:val="auto"/>
                <w:szCs w:val="24"/>
              </w:rPr>
              <w:t>1. Vispārējie sabiedriskie pakalpojumi</w:t>
            </w:r>
          </w:p>
        </w:tc>
        <w:tc>
          <w:tcPr>
            <w:tcW w:w="1149" w:type="dxa"/>
            <w:vAlign w:val="center"/>
            <w:hideMark/>
          </w:tcPr>
          <w:p w14:paraId="3F806A84" w14:textId="77777777" w:rsidR="0095442F" w:rsidRPr="006C783C"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1</w:t>
            </w:r>
          </w:p>
        </w:tc>
        <w:tc>
          <w:tcPr>
            <w:tcW w:w="1256" w:type="dxa"/>
            <w:vAlign w:val="center"/>
          </w:tcPr>
          <w:p w14:paraId="3C832AFC" w14:textId="74AE8EBA"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3,7</w:t>
            </w:r>
          </w:p>
        </w:tc>
        <w:tc>
          <w:tcPr>
            <w:tcW w:w="1275" w:type="dxa"/>
            <w:vAlign w:val="center"/>
          </w:tcPr>
          <w:p w14:paraId="0F14E802" w14:textId="74F321DA"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3,6</w:t>
            </w:r>
          </w:p>
        </w:tc>
      </w:tr>
      <w:tr w:rsidR="0095442F" w:rsidRPr="006C783C" w14:paraId="571E9AAD" w14:textId="77777777" w:rsidTr="00C34D59">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39A29A08" w14:textId="77777777" w:rsidR="0095442F" w:rsidRPr="006C783C" w:rsidRDefault="0095442F" w:rsidP="0095442F">
            <w:pPr>
              <w:spacing w:after="0"/>
              <w:ind w:firstLine="0"/>
              <w:jc w:val="left"/>
              <w:rPr>
                <w:color w:val="auto"/>
                <w:szCs w:val="24"/>
              </w:rPr>
            </w:pPr>
            <w:r w:rsidRPr="006C783C">
              <w:rPr>
                <w:color w:val="auto"/>
                <w:szCs w:val="24"/>
              </w:rPr>
              <w:t>2. Aizsardzība</w:t>
            </w:r>
          </w:p>
        </w:tc>
        <w:tc>
          <w:tcPr>
            <w:tcW w:w="1149" w:type="dxa"/>
            <w:vAlign w:val="center"/>
            <w:hideMark/>
          </w:tcPr>
          <w:p w14:paraId="2DFBF7DA" w14:textId="77777777" w:rsidR="0095442F" w:rsidRPr="006C783C"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2</w:t>
            </w:r>
          </w:p>
        </w:tc>
        <w:tc>
          <w:tcPr>
            <w:tcW w:w="1256" w:type="dxa"/>
            <w:vAlign w:val="center"/>
          </w:tcPr>
          <w:p w14:paraId="366042F5" w14:textId="2FD36B5B"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2,0</w:t>
            </w:r>
          </w:p>
        </w:tc>
        <w:tc>
          <w:tcPr>
            <w:tcW w:w="1275" w:type="dxa"/>
            <w:vAlign w:val="center"/>
          </w:tcPr>
          <w:p w14:paraId="25F585E6" w14:textId="5A0EF9E8"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2,0</w:t>
            </w:r>
          </w:p>
        </w:tc>
      </w:tr>
      <w:tr w:rsidR="0095442F" w:rsidRPr="006C783C" w14:paraId="687B8D25" w14:textId="77777777" w:rsidTr="00C34D59">
        <w:trPr>
          <w:trHeight w:val="231"/>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4C20BBAF" w14:textId="77777777" w:rsidR="0095442F" w:rsidRPr="006C783C" w:rsidRDefault="0095442F" w:rsidP="0095442F">
            <w:pPr>
              <w:spacing w:after="0"/>
              <w:ind w:firstLine="0"/>
              <w:jc w:val="left"/>
              <w:rPr>
                <w:color w:val="auto"/>
                <w:szCs w:val="24"/>
              </w:rPr>
            </w:pPr>
            <w:r w:rsidRPr="006C783C">
              <w:rPr>
                <w:color w:val="auto"/>
                <w:szCs w:val="24"/>
              </w:rPr>
              <w:t>3. Sabiedriskā kārtība un drošība</w:t>
            </w:r>
          </w:p>
        </w:tc>
        <w:tc>
          <w:tcPr>
            <w:tcW w:w="1149" w:type="dxa"/>
            <w:vAlign w:val="center"/>
            <w:hideMark/>
          </w:tcPr>
          <w:p w14:paraId="1ECD0470" w14:textId="77777777" w:rsidR="0095442F" w:rsidRPr="006C783C"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3</w:t>
            </w:r>
          </w:p>
        </w:tc>
        <w:tc>
          <w:tcPr>
            <w:tcW w:w="1256" w:type="dxa"/>
            <w:vAlign w:val="center"/>
          </w:tcPr>
          <w:p w14:paraId="3A300AB0" w14:textId="199EA476"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2,1</w:t>
            </w:r>
          </w:p>
        </w:tc>
        <w:tc>
          <w:tcPr>
            <w:tcW w:w="1275" w:type="dxa"/>
            <w:vAlign w:val="center"/>
          </w:tcPr>
          <w:p w14:paraId="6016DF26" w14:textId="0F528B27"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2,1</w:t>
            </w:r>
          </w:p>
        </w:tc>
      </w:tr>
      <w:tr w:rsidR="0095442F" w:rsidRPr="006C783C" w14:paraId="05A8F5B5" w14:textId="77777777" w:rsidTr="00C34D59">
        <w:trPr>
          <w:cnfStyle w:val="000000100000" w:firstRow="0" w:lastRow="0" w:firstColumn="0" w:lastColumn="0" w:oddVBand="0" w:evenVBand="0" w:oddHBand="1" w:evenHBand="0" w:firstRowFirstColumn="0" w:firstRowLastColumn="0" w:lastRowFirstColumn="0" w:lastRowLastColumn="0"/>
          <w:trHeight w:val="231"/>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66E2A433" w14:textId="77777777" w:rsidR="0095442F" w:rsidRPr="006C783C" w:rsidRDefault="0095442F" w:rsidP="0095442F">
            <w:pPr>
              <w:spacing w:after="0"/>
              <w:ind w:firstLine="0"/>
              <w:jc w:val="left"/>
              <w:rPr>
                <w:color w:val="auto"/>
                <w:szCs w:val="24"/>
              </w:rPr>
            </w:pPr>
            <w:r w:rsidRPr="006C783C">
              <w:rPr>
                <w:color w:val="auto"/>
                <w:szCs w:val="24"/>
              </w:rPr>
              <w:t>4. Ekonomiskā darbība</w:t>
            </w:r>
          </w:p>
        </w:tc>
        <w:tc>
          <w:tcPr>
            <w:tcW w:w="1149" w:type="dxa"/>
            <w:vAlign w:val="center"/>
            <w:hideMark/>
          </w:tcPr>
          <w:p w14:paraId="1FC2179D" w14:textId="77777777" w:rsidR="0095442F" w:rsidRPr="006C783C"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4</w:t>
            </w:r>
          </w:p>
        </w:tc>
        <w:tc>
          <w:tcPr>
            <w:tcW w:w="1256" w:type="dxa"/>
            <w:vAlign w:val="center"/>
          </w:tcPr>
          <w:p w14:paraId="7410A8C4" w14:textId="621CC924"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5,1</w:t>
            </w:r>
          </w:p>
        </w:tc>
        <w:tc>
          <w:tcPr>
            <w:tcW w:w="1275" w:type="dxa"/>
            <w:vAlign w:val="center"/>
          </w:tcPr>
          <w:p w14:paraId="3E275306" w14:textId="6A02B200"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5,0</w:t>
            </w:r>
          </w:p>
        </w:tc>
      </w:tr>
      <w:tr w:rsidR="0095442F" w:rsidRPr="006C783C" w14:paraId="5D12BA4B" w14:textId="77777777" w:rsidTr="00C34D59">
        <w:trPr>
          <w:trHeight w:val="193"/>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3DE6E324" w14:textId="77777777" w:rsidR="0095442F" w:rsidRPr="006C783C" w:rsidRDefault="0095442F" w:rsidP="0095442F">
            <w:pPr>
              <w:spacing w:after="0"/>
              <w:ind w:firstLine="0"/>
              <w:jc w:val="left"/>
              <w:rPr>
                <w:color w:val="auto"/>
                <w:szCs w:val="24"/>
              </w:rPr>
            </w:pPr>
            <w:r w:rsidRPr="006C783C">
              <w:rPr>
                <w:color w:val="auto"/>
                <w:szCs w:val="24"/>
              </w:rPr>
              <w:t>5. Vides aizsardzība</w:t>
            </w:r>
          </w:p>
        </w:tc>
        <w:tc>
          <w:tcPr>
            <w:tcW w:w="1149" w:type="dxa"/>
            <w:vAlign w:val="center"/>
            <w:hideMark/>
          </w:tcPr>
          <w:p w14:paraId="5DA4B35E" w14:textId="77777777" w:rsidR="0095442F" w:rsidRPr="006C783C"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5</w:t>
            </w:r>
          </w:p>
        </w:tc>
        <w:tc>
          <w:tcPr>
            <w:tcW w:w="1256" w:type="dxa"/>
            <w:vAlign w:val="center"/>
          </w:tcPr>
          <w:p w14:paraId="12820E71" w14:textId="62DFAF5F"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0,5</w:t>
            </w:r>
          </w:p>
        </w:tc>
        <w:tc>
          <w:tcPr>
            <w:tcW w:w="1275" w:type="dxa"/>
            <w:vAlign w:val="center"/>
          </w:tcPr>
          <w:p w14:paraId="2270D11B" w14:textId="55837441"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0,5</w:t>
            </w:r>
          </w:p>
        </w:tc>
      </w:tr>
      <w:tr w:rsidR="0095442F" w:rsidRPr="006C783C" w14:paraId="437BF017" w14:textId="77777777" w:rsidTr="00C34D59">
        <w:trPr>
          <w:cnfStyle w:val="000000100000" w:firstRow="0" w:lastRow="0" w:firstColumn="0" w:lastColumn="0" w:oddVBand="0" w:evenVBand="0" w:oddHBand="1"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3281C602" w14:textId="77777777" w:rsidR="0095442F" w:rsidRPr="006C783C" w:rsidRDefault="0095442F" w:rsidP="0095442F">
            <w:pPr>
              <w:spacing w:after="0"/>
              <w:ind w:firstLine="0"/>
              <w:jc w:val="left"/>
              <w:rPr>
                <w:color w:val="auto"/>
                <w:szCs w:val="24"/>
              </w:rPr>
            </w:pPr>
            <w:r w:rsidRPr="006C783C">
              <w:rPr>
                <w:color w:val="auto"/>
                <w:szCs w:val="24"/>
              </w:rPr>
              <w:t>6. Mājoklis un komunālā saimniecība</w:t>
            </w:r>
          </w:p>
        </w:tc>
        <w:tc>
          <w:tcPr>
            <w:tcW w:w="1149" w:type="dxa"/>
            <w:vAlign w:val="center"/>
            <w:hideMark/>
          </w:tcPr>
          <w:p w14:paraId="379610BF" w14:textId="77777777" w:rsidR="0095442F" w:rsidRPr="006C783C"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6</w:t>
            </w:r>
          </w:p>
        </w:tc>
        <w:tc>
          <w:tcPr>
            <w:tcW w:w="1256" w:type="dxa"/>
            <w:vAlign w:val="center"/>
          </w:tcPr>
          <w:p w14:paraId="130D36F2" w14:textId="0CD8BD50"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1,0</w:t>
            </w:r>
          </w:p>
        </w:tc>
        <w:tc>
          <w:tcPr>
            <w:tcW w:w="1275" w:type="dxa"/>
            <w:vAlign w:val="center"/>
          </w:tcPr>
          <w:p w14:paraId="7D01A74B" w14:textId="38FD5FAB"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1,0</w:t>
            </w:r>
          </w:p>
        </w:tc>
      </w:tr>
      <w:tr w:rsidR="0095442F" w:rsidRPr="006C783C" w14:paraId="66501B4B" w14:textId="77777777" w:rsidTr="00C34D59">
        <w:trPr>
          <w:trHeight w:val="259"/>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04B68856" w14:textId="77777777" w:rsidR="0095442F" w:rsidRPr="006C783C" w:rsidRDefault="0095442F" w:rsidP="0095442F">
            <w:pPr>
              <w:spacing w:after="0"/>
              <w:ind w:firstLine="0"/>
              <w:jc w:val="left"/>
              <w:rPr>
                <w:color w:val="auto"/>
                <w:szCs w:val="24"/>
              </w:rPr>
            </w:pPr>
            <w:r w:rsidRPr="006C783C">
              <w:rPr>
                <w:color w:val="auto"/>
                <w:szCs w:val="24"/>
              </w:rPr>
              <w:t>7. Veselība</w:t>
            </w:r>
          </w:p>
        </w:tc>
        <w:tc>
          <w:tcPr>
            <w:tcW w:w="1149" w:type="dxa"/>
            <w:vAlign w:val="center"/>
            <w:hideMark/>
          </w:tcPr>
          <w:p w14:paraId="699906E2" w14:textId="77777777" w:rsidR="0095442F" w:rsidRPr="006C783C"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7</w:t>
            </w:r>
          </w:p>
        </w:tc>
        <w:tc>
          <w:tcPr>
            <w:tcW w:w="1256" w:type="dxa"/>
            <w:vAlign w:val="center"/>
          </w:tcPr>
          <w:p w14:paraId="2EA9FC6C" w14:textId="5D4B3A01"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4,2</w:t>
            </w:r>
          </w:p>
        </w:tc>
        <w:tc>
          <w:tcPr>
            <w:tcW w:w="1275" w:type="dxa"/>
            <w:vAlign w:val="center"/>
          </w:tcPr>
          <w:p w14:paraId="4A45796D" w14:textId="6D739DC4"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4,1</w:t>
            </w:r>
          </w:p>
        </w:tc>
      </w:tr>
      <w:tr w:rsidR="0095442F" w:rsidRPr="006C783C" w14:paraId="23B40E1C" w14:textId="77777777" w:rsidTr="00C34D59">
        <w:trPr>
          <w:cnfStyle w:val="000000100000" w:firstRow="0" w:lastRow="0" w:firstColumn="0" w:lastColumn="0" w:oddVBand="0" w:evenVBand="0" w:oddHBand="1" w:evenHBand="0" w:firstRowFirstColumn="0" w:firstRowLastColumn="0" w:lastRowFirstColumn="0" w:lastRowLastColumn="0"/>
          <w:trHeight w:val="235"/>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2A33FE24" w14:textId="77777777" w:rsidR="0095442F" w:rsidRPr="006C783C" w:rsidRDefault="0095442F" w:rsidP="0095442F">
            <w:pPr>
              <w:spacing w:after="0"/>
              <w:ind w:firstLine="0"/>
              <w:jc w:val="left"/>
              <w:rPr>
                <w:color w:val="auto"/>
                <w:szCs w:val="24"/>
              </w:rPr>
            </w:pPr>
            <w:r w:rsidRPr="006C783C">
              <w:rPr>
                <w:color w:val="auto"/>
                <w:szCs w:val="24"/>
              </w:rPr>
              <w:t>8. Atpūta, kultūra un reliģija</w:t>
            </w:r>
          </w:p>
        </w:tc>
        <w:tc>
          <w:tcPr>
            <w:tcW w:w="1149" w:type="dxa"/>
            <w:vAlign w:val="center"/>
            <w:hideMark/>
          </w:tcPr>
          <w:p w14:paraId="27A96227" w14:textId="77777777" w:rsidR="0095442F" w:rsidRPr="006C783C"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8</w:t>
            </w:r>
          </w:p>
        </w:tc>
        <w:tc>
          <w:tcPr>
            <w:tcW w:w="1256" w:type="dxa"/>
            <w:vAlign w:val="center"/>
          </w:tcPr>
          <w:p w14:paraId="2827390D" w14:textId="2F78847B"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1,5</w:t>
            </w:r>
          </w:p>
        </w:tc>
        <w:tc>
          <w:tcPr>
            <w:tcW w:w="1275" w:type="dxa"/>
            <w:vAlign w:val="center"/>
          </w:tcPr>
          <w:p w14:paraId="03C47B1F" w14:textId="52CC2EAC"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1,5</w:t>
            </w:r>
          </w:p>
        </w:tc>
      </w:tr>
      <w:tr w:rsidR="0095442F" w:rsidRPr="006C783C" w14:paraId="6A202206" w14:textId="77777777" w:rsidTr="00C34D59">
        <w:trPr>
          <w:trHeight w:val="255"/>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4D8E0457" w14:textId="77777777" w:rsidR="0095442F" w:rsidRPr="006C783C" w:rsidRDefault="0095442F" w:rsidP="0095442F">
            <w:pPr>
              <w:spacing w:after="0"/>
              <w:ind w:firstLine="0"/>
              <w:jc w:val="left"/>
              <w:rPr>
                <w:color w:val="auto"/>
                <w:szCs w:val="24"/>
              </w:rPr>
            </w:pPr>
            <w:r w:rsidRPr="006C783C">
              <w:rPr>
                <w:color w:val="auto"/>
                <w:szCs w:val="24"/>
              </w:rPr>
              <w:t>9. Izglītība</w:t>
            </w:r>
          </w:p>
        </w:tc>
        <w:tc>
          <w:tcPr>
            <w:tcW w:w="1149" w:type="dxa"/>
            <w:vAlign w:val="center"/>
            <w:hideMark/>
          </w:tcPr>
          <w:p w14:paraId="5C4951F9" w14:textId="77777777" w:rsidR="0095442F" w:rsidRPr="006C783C"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9</w:t>
            </w:r>
          </w:p>
        </w:tc>
        <w:tc>
          <w:tcPr>
            <w:tcW w:w="1256" w:type="dxa"/>
            <w:vAlign w:val="center"/>
          </w:tcPr>
          <w:p w14:paraId="03DAAB88" w14:textId="491B7DD0"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5,3</w:t>
            </w:r>
          </w:p>
        </w:tc>
        <w:tc>
          <w:tcPr>
            <w:tcW w:w="1275" w:type="dxa"/>
            <w:vAlign w:val="center"/>
          </w:tcPr>
          <w:p w14:paraId="76F32D5C" w14:textId="7635086B"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5,2</w:t>
            </w:r>
          </w:p>
        </w:tc>
      </w:tr>
      <w:tr w:rsidR="0095442F" w:rsidRPr="006C783C" w14:paraId="7F451706" w14:textId="77777777" w:rsidTr="00C34D59">
        <w:trPr>
          <w:cnfStyle w:val="000000100000" w:firstRow="0" w:lastRow="0" w:firstColumn="0" w:lastColumn="0" w:oddVBand="0" w:evenVBand="0" w:oddHBand="1" w:evenHBand="0" w:firstRowFirstColumn="0" w:firstRowLastColumn="0" w:lastRowFirstColumn="0" w:lastRowLastColumn="0"/>
          <w:trHeight w:val="245"/>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6DC626E7" w14:textId="77777777" w:rsidR="0095442F" w:rsidRPr="006C783C" w:rsidRDefault="0095442F" w:rsidP="0095442F">
            <w:pPr>
              <w:spacing w:after="0"/>
              <w:ind w:firstLine="0"/>
              <w:jc w:val="left"/>
              <w:rPr>
                <w:color w:val="auto"/>
                <w:szCs w:val="24"/>
              </w:rPr>
            </w:pPr>
            <w:r w:rsidRPr="006C783C">
              <w:rPr>
                <w:color w:val="auto"/>
                <w:szCs w:val="24"/>
              </w:rPr>
              <w:t>10. Sociālā aizsardzība</w:t>
            </w:r>
          </w:p>
        </w:tc>
        <w:tc>
          <w:tcPr>
            <w:tcW w:w="1149" w:type="dxa"/>
            <w:vAlign w:val="center"/>
            <w:hideMark/>
          </w:tcPr>
          <w:p w14:paraId="65CF6D3E" w14:textId="77777777" w:rsidR="0095442F" w:rsidRPr="006C783C"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rPr>
            </w:pPr>
            <w:r w:rsidRPr="006C783C">
              <w:rPr>
                <w:color w:val="auto"/>
                <w:szCs w:val="24"/>
              </w:rPr>
              <w:t>10</w:t>
            </w:r>
          </w:p>
        </w:tc>
        <w:tc>
          <w:tcPr>
            <w:tcW w:w="1256" w:type="dxa"/>
            <w:vAlign w:val="center"/>
          </w:tcPr>
          <w:p w14:paraId="619ED124" w14:textId="2EF0E084"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11,5</w:t>
            </w:r>
          </w:p>
        </w:tc>
        <w:tc>
          <w:tcPr>
            <w:tcW w:w="1275" w:type="dxa"/>
            <w:vAlign w:val="center"/>
          </w:tcPr>
          <w:p w14:paraId="24CA4851" w14:textId="1F1812A9"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auto"/>
                <w:szCs w:val="24"/>
                <w:highlight w:val="yellow"/>
              </w:rPr>
            </w:pPr>
            <w:r w:rsidRPr="0095442F">
              <w:rPr>
                <w:color w:val="000000"/>
                <w:szCs w:val="24"/>
              </w:rPr>
              <w:t>11,7</w:t>
            </w:r>
          </w:p>
        </w:tc>
      </w:tr>
      <w:tr w:rsidR="0095442F" w:rsidRPr="006C783C" w14:paraId="540FBCBC" w14:textId="77777777" w:rsidTr="00C34D59">
        <w:trPr>
          <w:trHeight w:val="207"/>
          <w:jc w:val="center"/>
        </w:trPr>
        <w:tc>
          <w:tcPr>
            <w:cnfStyle w:val="001000000000" w:firstRow="0" w:lastRow="0" w:firstColumn="1" w:lastColumn="0" w:oddVBand="0" w:evenVBand="0" w:oddHBand="0" w:evenHBand="0" w:firstRowFirstColumn="0" w:firstRowLastColumn="0" w:lastRowFirstColumn="0" w:lastRowLastColumn="0"/>
            <w:tcW w:w="5389" w:type="dxa"/>
            <w:hideMark/>
          </w:tcPr>
          <w:p w14:paraId="18914BF3" w14:textId="77777777" w:rsidR="0095442F" w:rsidRPr="006C783C" w:rsidRDefault="0095442F" w:rsidP="0095442F">
            <w:pPr>
              <w:spacing w:after="0"/>
              <w:ind w:firstLine="0"/>
              <w:jc w:val="left"/>
              <w:rPr>
                <w:color w:val="auto"/>
                <w:szCs w:val="24"/>
              </w:rPr>
            </w:pPr>
            <w:r w:rsidRPr="006C783C">
              <w:rPr>
                <w:color w:val="auto"/>
                <w:szCs w:val="24"/>
              </w:rPr>
              <w:t>11. Kopējie izdevumi</w:t>
            </w:r>
          </w:p>
        </w:tc>
        <w:tc>
          <w:tcPr>
            <w:tcW w:w="1149" w:type="dxa"/>
            <w:vAlign w:val="center"/>
            <w:hideMark/>
          </w:tcPr>
          <w:p w14:paraId="191B6C0B" w14:textId="77777777" w:rsidR="0095442F" w:rsidRPr="006C783C"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rPr>
            </w:pPr>
            <w:r w:rsidRPr="006C783C">
              <w:rPr>
                <w:color w:val="auto"/>
                <w:szCs w:val="24"/>
              </w:rPr>
              <w:t>TE</w:t>
            </w:r>
          </w:p>
        </w:tc>
        <w:tc>
          <w:tcPr>
            <w:tcW w:w="1256" w:type="dxa"/>
            <w:vAlign w:val="center"/>
          </w:tcPr>
          <w:p w14:paraId="4C0C8F67" w14:textId="3D31A8BB"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37,1</w:t>
            </w:r>
          </w:p>
        </w:tc>
        <w:tc>
          <w:tcPr>
            <w:tcW w:w="1275" w:type="dxa"/>
            <w:vAlign w:val="center"/>
          </w:tcPr>
          <w:p w14:paraId="18E63F1B" w14:textId="17DA6054"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auto"/>
                <w:szCs w:val="24"/>
                <w:highlight w:val="yellow"/>
              </w:rPr>
            </w:pPr>
            <w:r w:rsidRPr="0095442F">
              <w:rPr>
                <w:color w:val="000000"/>
                <w:szCs w:val="24"/>
              </w:rPr>
              <w:t>36,6</w:t>
            </w:r>
          </w:p>
        </w:tc>
      </w:tr>
    </w:tbl>
    <w:p w14:paraId="7AC84E89" w14:textId="33E44387" w:rsidR="005119CA" w:rsidRDefault="005119CA" w:rsidP="00BF53B7">
      <w:pPr>
        <w:pStyle w:val="Heading1"/>
        <w:tabs>
          <w:tab w:val="left" w:pos="0"/>
        </w:tabs>
        <w:spacing w:before="0" w:after="240"/>
        <w:ind w:firstLine="0"/>
        <w:rPr>
          <w:rFonts w:ascii="Times New Roman" w:hAnsi="Times New Roman"/>
          <w:color w:val="18185F"/>
          <w:sz w:val="24"/>
        </w:rPr>
      </w:pPr>
      <w:bookmarkStart w:id="19" w:name="_Toc400715669"/>
    </w:p>
    <w:p w14:paraId="56FF70D4" w14:textId="77777777" w:rsidR="008906EA" w:rsidRPr="008906EA" w:rsidRDefault="008906EA" w:rsidP="008906EA">
      <w:pPr>
        <w:rPr>
          <w:lang w:val="x-none" w:eastAsia="x-none"/>
        </w:rPr>
      </w:pPr>
    </w:p>
    <w:p w14:paraId="42FFB02A" w14:textId="77777777" w:rsidR="00E2310C" w:rsidRDefault="00E2310C">
      <w:pPr>
        <w:spacing w:after="0"/>
        <w:ind w:firstLine="0"/>
        <w:jc w:val="left"/>
        <w:rPr>
          <w:b/>
          <w:bCs/>
          <w:color w:val="18185E"/>
          <w:sz w:val="28"/>
          <w:szCs w:val="28"/>
          <w:lang w:val="x-none" w:eastAsia="x-none"/>
        </w:rPr>
      </w:pPr>
      <w:r>
        <w:rPr>
          <w:color w:val="18185E"/>
          <w:sz w:val="28"/>
        </w:rPr>
        <w:br w:type="page"/>
      </w:r>
    </w:p>
    <w:p w14:paraId="539B8EDF" w14:textId="6DF74ADB" w:rsidR="008906EA" w:rsidRPr="0051583E" w:rsidRDefault="008906EA" w:rsidP="00720756">
      <w:pPr>
        <w:pStyle w:val="Heading1"/>
        <w:tabs>
          <w:tab w:val="left" w:pos="1276"/>
        </w:tabs>
        <w:spacing w:before="0" w:after="240"/>
        <w:jc w:val="center"/>
      </w:pPr>
      <w:bookmarkStart w:id="20" w:name="_Toc21516512"/>
      <w:r w:rsidRPr="00720756">
        <w:rPr>
          <w:rFonts w:ascii="Times New Roman" w:hAnsi="Times New Roman"/>
          <w:color w:val="18185E"/>
          <w:sz w:val="28"/>
        </w:rPr>
        <w:lastRenderedPageBreak/>
        <w:t>Vidēja termiņa budžeta politikas prioritāro attīstības virzienu īstenošana</w:t>
      </w:r>
      <w:bookmarkEnd w:id="20"/>
    </w:p>
    <w:p w14:paraId="11C4DCCD" w14:textId="0FD60441" w:rsidR="008906EA" w:rsidRPr="002551D1" w:rsidRDefault="008906EA" w:rsidP="008906EA">
      <w:pPr>
        <w:ind w:firstLine="0"/>
        <w:rPr>
          <w:lang w:eastAsia="x-none"/>
        </w:rPr>
      </w:pPr>
      <w:r w:rsidRPr="002551D1">
        <w:rPr>
          <w:b/>
          <w:lang w:eastAsia="x-none"/>
        </w:rPr>
        <w:t>Iedzīvotāju ienākumu nevienlīdzības mazināšana</w:t>
      </w:r>
    </w:p>
    <w:p w14:paraId="48576B81" w14:textId="0C740047" w:rsidR="008906EA" w:rsidRPr="002551D1" w:rsidRDefault="008906EA" w:rsidP="00741547">
      <w:pPr>
        <w:spacing w:after="0"/>
        <w:ind w:firstLine="720"/>
        <w:rPr>
          <w:lang w:eastAsia="x-none"/>
        </w:rPr>
      </w:pPr>
      <w:r w:rsidRPr="002551D1">
        <w:rPr>
          <w:lang w:eastAsia="x-none"/>
        </w:rPr>
        <w:t>Iedzīvotāju dzīves kvalitāti nosaka, gan absolūtie rādītāji, gan relatīvie rādītāji</w:t>
      </w:r>
      <w:r w:rsidR="00B65294" w:rsidRPr="002551D1">
        <w:rPr>
          <w:lang w:eastAsia="x-none"/>
        </w:rPr>
        <w:t xml:space="preserve"> – </w:t>
      </w:r>
      <w:r w:rsidRPr="002551D1">
        <w:rPr>
          <w:lang w:eastAsia="x-none"/>
        </w:rPr>
        <w:t xml:space="preserve">vidējā iedzīvotāju dzīves kvalitāti un dzīves kvalitātes atšķirības iedzīvotājiem ar atšķirīgu ieņēmumu lielumu. Būtisks rādītājs, vērtējot vidējo dzīves kvalitāti, ir IKP apjoms uz vienu iedzīvotāju, kas Latvijai saskaņā ar </w:t>
      </w:r>
      <w:r w:rsidRPr="00220F2A">
        <w:rPr>
          <w:i/>
          <w:lang w:eastAsia="x-none"/>
        </w:rPr>
        <w:t>Eurostat</w:t>
      </w:r>
      <w:r w:rsidRPr="002551D1">
        <w:rPr>
          <w:lang w:eastAsia="x-none"/>
        </w:rPr>
        <w:t xml:space="preserve"> datiem ir viens no zemākajiem ES (IKP uz vienu iedzīvotāju pēc PPS (pirktspējas paritātes) 2018.gadā ir 15</w:t>
      </w:r>
      <w:r>
        <w:rPr>
          <w:lang w:eastAsia="x-none"/>
        </w:rPr>
        <w:t> </w:t>
      </w:r>
      <w:r w:rsidRPr="002551D1">
        <w:rPr>
          <w:lang w:eastAsia="x-none"/>
        </w:rPr>
        <w:t xml:space="preserve">300 </w:t>
      </w:r>
      <w:r w:rsidRPr="008906EA">
        <w:rPr>
          <w:i/>
        </w:rPr>
        <w:t>euro</w:t>
      </w:r>
      <w:r w:rsidRPr="002551D1">
        <w:rPr>
          <w:lang w:eastAsia="x-none"/>
        </w:rPr>
        <w:t xml:space="preserve">). Savukārt, Džinī koeficients, kas raksturo ieņēmumu nevienlīdzību, Latvijā ir </w:t>
      </w:r>
      <w:r>
        <w:rPr>
          <w:lang w:eastAsia="x-none"/>
        </w:rPr>
        <w:t>viens no augstākajiem ES (2018.</w:t>
      </w:r>
      <w:r w:rsidRPr="002551D1">
        <w:rPr>
          <w:lang w:eastAsia="x-none"/>
        </w:rPr>
        <w:t xml:space="preserve">gadā 35,6). </w:t>
      </w:r>
    </w:p>
    <w:p w14:paraId="5CC41532" w14:textId="5D30F92C" w:rsidR="008906EA" w:rsidRPr="002551D1" w:rsidRDefault="008906EA" w:rsidP="00741547">
      <w:pPr>
        <w:spacing w:after="0"/>
        <w:ind w:firstLine="720"/>
        <w:rPr>
          <w:lang w:eastAsia="x-none"/>
        </w:rPr>
      </w:pPr>
      <w:r w:rsidRPr="002551D1">
        <w:rPr>
          <w:lang w:eastAsia="x-none"/>
        </w:rPr>
        <w:t xml:space="preserve">Aktuālais </w:t>
      </w:r>
      <w:r w:rsidR="000704FD">
        <w:rPr>
          <w:lang w:eastAsia="x-none"/>
        </w:rPr>
        <w:t>Ietvara likums 2020</w:t>
      </w:r>
      <w:r w:rsidR="00EC6E9B" w:rsidRPr="002551D1">
        <w:rPr>
          <w:lang w:eastAsia="x-none"/>
        </w:rPr>
        <w:t>–</w:t>
      </w:r>
      <w:r w:rsidR="000704FD">
        <w:rPr>
          <w:lang w:eastAsia="x-none"/>
        </w:rPr>
        <w:t>2022</w:t>
      </w:r>
      <w:r w:rsidRPr="002551D1">
        <w:rPr>
          <w:lang w:eastAsia="x-none"/>
        </w:rPr>
        <w:t xml:space="preserve"> paredz šādus galvenos politikas pasākumus iedzīvotāju ienākumu nevienlīdzības mazināšanā:</w:t>
      </w:r>
    </w:p>
    <w:p w14:paraId="696DF721" w14:textId="00ADC3FC" w:rsidR="008906EA" w:rsidRPr="002551D1" w:rsidRDefault="008906EA" w:rsidP="008906EA">
      <w:pPr>
        <w:pStyle w:val="ListParagraph"/>
        <w:numPr>
          <w:ilvl w:val="0"/>
          <w:numId w:val="40"/>
        </w:numPr>
        <w:spacing w:line="240" w:lineRule="auto"/>
        <w:jc w:val="both"/>
        <w:rPr>
          <w:rFonts w:ascii="Times New Roman" w:hAnsi="Times New Roman"/>
          <w:sz w:val="24"/>
          <w:lang w:val="lv-LV"/>
        </w:rPr>
      </w:pPr>
      <w:r w:rsidRPr="002551D1">
        <w:rPr>
          <w:rFonts w:ascii="Times New Roman" w:hAnsi="Times New Roman"/>
          <w:sz w:val="24"/>
          <w:lang w:val="lv-LV"/>
        </w:rPr>
        <w:t>minimālās mēneša darba algas palielināšan</w:t>
      </w:r>
      <w:r>
        <w:rPr>
          <w:rFonts w:ascii="Times New Roman" w:hAnsi="Times New Roman"/>
          <w:sz w:val="24"/>
          <w:lang w:val="lv-LV"/>
        </w:rPr>
        <w:t>a 2021.</w:t>
      </w:r>
      <w:r w:rsidRPr="002551D1">
        <w:rPr>
          <w:rFonts w:ascii="Times New Roman" w:hAnsi="Times New Roman"/>
          <w:sz w:val="24"/>
          <w:lang w:val="lv-LV"/>
        </w:rPr>
        <w:t xml:space="preserve">gadā līdz 500 </w:t>
      </w:r>
      <w:r w:rsidRPr="008906EA">
        <w:rPr>
          <w:rFonts w:ascii="Times New Roman" w:hAnsi="Times New Roman"/>
          <w:i/>
          <w:sz w:val="24"/>
          <w:lang w:val="lv-LV"/>
        </w:rPr>
        <w:t>euro</w:t>
      </w:r>
      <w:r w:rsidRPr="002551D1">
        <w:rPr>
          <w:rFonts w:ascii="Times New Roman" w:hAnsi="Times New Roman"/>
          <w:sz w:val="24"/>
          <w:lang w:val="lv-LV"/>
        </w:rPr>
        <w:t xml:space="preserve"> mēnesī;</w:t>
      </w:r>
    </w:p>
    <w:p w14:paraId="3AAE9045" w14:textId="0E8693A8" w:rsidR="008906EA" w:rsidRPr="002551D1" w:rsidRDefault="008906EA" w:rsidP="008906EA">
      <w:pPr>
        <w:pStyle w:val="ListParagraph"/>
        <w:numPr>
          <w:ilvl w:val="0"/>
          <w:numId w:val="40"/>
        </w:numPr>
        <w:spacing w:line="240" w:lineRule="auto"/>
        <w:jc w:val="both"/>
        <w:rPr>
          <w:rFonts w:ascii="Times New Roman" w:hAnsi="Times New Roman"/>
          <w:sz w:val="24"/>
          <w:lang w:val="lv-LV"/>
        </w:rPr>
      </w:pPr>
      <w:r>
        <w:rPr>
          <w:rFonts w:ascii="Times New Roman" w:hAnsi="Times New Roman"/>
          <w:sz w:val="24"/>
          <w:lang w:val="lv-LV"/>
        </w:rPr>
        <w:t>sākot ar 2020.</w:t>
      </w:r>
      <w:r w:rsidRPr="002551D1">
        <w:rPr>
          <w:rFonts w:ascii="Times New Roman" w:hAnsi="Times New Roman"/>
          <w:sz w:val="24"/>
          <w:lang w:val="lv-LV"/>
        </w:rPr>
        <w:t xml:space="preserve">gadu un turpmāk maksimālais diferencētais neapliekamais minimums būs 300 </w:t>
      </w:r>
      <w:r w:rsidRPr="008906EA">
        <w:rPr>
          <w:rFonts w:ascii="Times New Roman" w:hAnsi="Times New Roman"/>
          <w:i/>
          <w:sz w:val="24"/>
          <w:lang w:val="lv-LV"/>
        </w:rPr>
        <w:t>euro</w:t>
      </w:r>
      <w:r w:rsidRPr="002551D1">
        <w:rPr>
          <w:rFonts w:ascii="Times New Roman" w:hAnsi="Times New Roman"/>
          <w:sz w:val="24"/>
          <w:lang w:val="lv-LV"/>
        </w:rPr>
        <w:t xml:space="preserve"> mēnesī un tas tiks piemērots ienākumiem līdz 500 </w:t>
      </w:r>
      <w:r w:rsidRPr="008906EA">
        <w:rPr>
          <w:rFonts w:ascii="Times New Roman" w:hAnsi="Times New Roman"/>
          <w:i/>
          <w:sz w:val="24"/>
          <w:lang w:val="lv-LV"/>
        </w:rPr>
        <w:t>euro</w:t>
      </w:r>
      <w:r w:rsidRPr="002551D1">
        <w:rPr>
          <w:rFonts w:ascii="Times New Roman" w:hAnsi="Times New Roman"/>
          <w:sz w:val="24"/>
          <w:lang w:val="lv-LV"/>
        </w:rPr>
        <w:t xml:space="preserve"> mēnesī;</w:t>
      </w:r>
    </w:p>
    <w:p w14:paraId="55E17464" w14:textId="59E3E68D" w:rsidR="008906EA" w:rsidRPr="002551D1" w:rsidRDefault="008906EA" w:rsidP="008906EA">
      <w:pPr>
        <w:pStyle w:val="ListParagraph"/>
        <w:numPr>
          <w:ilvl w:val="0"/>
          <w:numId w:val="40"/>
        </w:numPr>
        <w:spacing w:line="240" w:lineRule="auto"/>
        <w:jc w:val="both"/>
        <w:rPr>
          <w:rFonts w:ascii="Times New Roman" w:hAnsi="Times New Roman"/>
          <w:sz w:val="24"/>
          <w:lang w:val="lv-LV"/>
        </w:rPr>
      </w:pPr>
      <w:r w:rsidRPr="002551D1">
        <w:rPr>
          <w:rFonts w:ascii="Times New Roman" w:hAnsi="Times New Roman"/>
          <w:sz w:val="24"/>
          <w:lang w:val="lv-LV"/>
        </w:rPr>
        <w:t xml:space="preserve">tiek paaugstināts minimālais ienākumu līmenis, paredzot papildu finansējumu vecuma pensijām (minimālās vecuma pensijas aprēķina bāzes palielinājums), atlīdzībām par darbspēju zaudējumu un invaliditātes pensijām. Kopumā šim mērķim </w:t>
      </w:r>
      <w:r w:rsidR="000704FD">
        <w:rPr>
          <w:rFonts w:ascii="Times New Roman" w:hAnsi="Times New Roman"/>
          <w:sz w:val="24"/>
          <w:lang w:val="lv-LV"/>
        </w:rPr>
        <w:t>Ietvara likumā 2020-2022</w:t>
      </w:r>
      <w:r w:rsidRPr="002551D1">
        <w:rPr>
          <w:rFonts w:ascii="Times New Roman" w:hAnsi="Times New Roman"/>
          <w:sz w:val="24"/>
          <w:lang w:val="lv-LV"/>
        </w:rPr>
        <w:t xml:space="preserve"> ir piešķirti 9,8 milj. </w:t>
      </w:r>
      <w:r w:rsidRPr="008906EA">
        <w:rPr>
          <w:rFonts w:ascii="Times New Roman" w:hAnsi="Times New Roman"/>
          <w:i/>
          <w:sz w:val="24"/>
          <w:lang w:val="lv-LV"/>
        </w:rPr>
        <w:t>euro</w:t>
      </w:r>
      <w:r w:rsidRPr="002551D1">
        <w:rPr>
          <w:rFonts w:ascii="Times New Roman" w:hAnsi="Times New Roman"/>
          <w:sz w:val="24"/>
          <w:lang w:val="lv-LV"/>
        </w:rPr>
        <w:t xml:space="preserve"> 2020. gadā, 9,9 milj. </w:t>
      </w:r>
      <w:r w:rsidRPr="008906EA">
        <w:rPr>
          <w:rFonts w:ascii="Times New Roman" w:hAnsi="Times New Roman"/>
          <w:i/>
          <w:sz w:val="24"/>
          <w:lang w:val="lv-LV"/>
        </w:rPr>
        <w:t>euro</w:t>
      </w:r>
      <w:r w:rsidR="00B65294">
        <w:rPr>
          <w:rFonts w:ascii="Times New Roman" w:hAnsi="Times New Roman"/>
          <w:sz w:val="24"/>
          <w:lang w:val="lv-LV"/>
        </w:rPr>
        <w:t xml:space="preserve"> 2021.</w:t>
      </w:r>
      <w:r w:rsidRPr="002551D1">
        <w:rPr>
          <w:rFonts w:ascii="Times New Roman" w:hAnsi="Times New Roman"/>
          <w:sz w:val="24"/>
          <w:lang w:val="lv-LV"/>
        </w:rPr>
        <w:t xml:space="preserve">gadā un 10,0 milj. </w:t>
      </w:r>
      <w:r w:rsidRPr="008906EA">
        <w:rPr>
          <w:rFonts w:ascii="Times New Roman" w:hAnsi="Times New Roman"/>
          <w:i/>
          <w:sz w:val="24"/>
          <w:lang w:val="lv-LV"/>
        </w:rPr>
        <w:t>euro</w:t>
      </w:r>
      <w:r w:rsidR="00B65294">
        <w:rPr>
          <w:rFonts w:ascii="Times New Roman" w:hAnsi="Times New Roman"/>
          <w:sz w:val="24"/>
          <w:lang w:val="lv-LV"/>
        </w:rPr>
        <w:t xml:space="preserve"> 2021.</w:t>
      </w:r>
      <w:r w:rsidRPr="002551D1">
        <w:rPr>
          <w:rFonts w:ascii="Times New Roman" w:hAnsi="Times New Roman"/>
          <w:sz w:val="24"/>
          <w:lang w:val="lv-LV"/>
        </w:rPr>
        <w:t>gadā (5,6%; 5,5%; 4,5% no prioritāro pasākumu</w:t>
      </w:r>
      <w:r w:rsidR="00B65294">
        <w:rPr>
          <w:rFonts w:ascii="Times New Roman" w:hAnsi="Times New Roman"/>
          <w:sz w:val="24"/>
          <w:lang w:val="lv-LV"/>
        </w:rPr>
        <w:t xml:space="preserve"> kopējā piešķīruma 2020.</w:t>
      </w:r>
      <w:r w:rsidR="00C841D1" w:rsidRPr="002551D1">
        <w:t>–</w:t>
      </w:r>
      <w:r w:rsidR="00B65294">
        <w:rPr>
          <w:rFonts w:ascii="Times New Roman" w:hAnsi="Times New Roman"/>
          <w:sz w:val="24"/>
          <w:lang w:val="lv-LV"/>
        </w:rPr>
        <w:t>2022.</w:t>
      </w:r>
      <w:r w:rsidRPr="002551D1">
        <w:rPr>
          <w:rFonts w:ascii="Times New Roman" w:hAnsi="Times New Roman"/>
          <w:sz w:val="24"/>
          <w:lang w:val="lv-LV"/>
        </w:rPr>
        <w:t>gadam).</w:t>
      </w:r>
    </w:p>
    <w:p w14:paraId="453B0B8D" w14:textId="77777777" w:rsidR="008906EA" w:rsidRPr="002551D1" w:rsidRDefault="008906EA" w:rsidP="008906EA">
      <w:pPr>
        <w:ind w:firstLine="0"/>
        <w:rPr>
          <w:b/>
          <w:lang w:eastAsia="x-none"/>
        </w:rPr>
      </w:pPr>
      <w:r w:rsidRPr="002551D1">
        <w:rPr>
          <w:b/>
          <w:lang w:eastAsia="x-none"/>
        </w:rPr>
        <w:t>Valsts cilvēkkapitāla palielināšana</w:t>
      </w:r>
    </w:p>
    <w:p w14:paraId="0536F74B" w14:textId="23287B11" w:rsidR="008906EA" w:rsidRPr="002551D1" w:rsidRDefault="008906EA" w:rsidP="00741547">
      <w:pPr>
        <w:spacing w:after="0"/>
        <w:rPr>
          <w:lang w:eastAsia="x-none"/>
        </w:rPr>
      </w:pPr>
      <w:r w:rsidRPr="002551D1">
        <w:rPr>
          <w:i/>
          <w:u w:val="single"/>
          <w:lang w:eastAsia="x-none"/>
        </w:rPr>
        <w:t>Veselības aprūpe.</w:t>
      </w:r>
      <w:r w:rsidRPr="002551D1">
        <w:rPr>
          <w:lang w:eastAsia="x-none"/>
        </w:rPr>
        <w:t xml:space="preserve"> Dzīves kvalitātes uzlabošana ir iespējama, nodrošinot ekonomikas strauju izaugsmi ilgtermiņā, jeb relatīvi augstu potenciālā IKP pieaugumu. Nelabvēlīgo demogrāfijas tendenču kontekstā darbaspēka komponentes ieguldījums kopējā potenciālā IKP pieaugumā būs tuvs nullei. Šādos apstākļos darbaspēka komponentes ieguldījumu var palielināt, mazinot laiku, ko darbspējīgā vecuma iedzīvotāji atrodas ārpus darba slimības dēļ. Sabiedrības veselības stiprināšana, nodrošinot kvalitatīvākus un pieejamākus veselības aprūpes pasākumus tiešā veidā ietekmē potenciālā IKP izaugsmi un līdz ar to ir viens no rādītājiem valsts cilvēkkapitālā. Jāatzīmē arī, ka kvalitatīvāka un pieejamāka veselības aprūpe tiešā veidā pozitīvi ietekmē fiskālās politikas vispārējo mērķi – iedzīvotāju dzīves kvalitāti. Līdz ar to publisko finanšu ieguldījumi veselības aprūpē gan tiešā veidā uzlabo iedzīvotāju dzīves kvalitāti, gan rada priekšnosacījumus ekonomikas izaugsmei, kas, savukārt, nodrošina uzlabot</w:t>
      </w:r>
      <w:r>
        <w:rPr>
          <w:lang w:eastAsia="x-none"/>
        </w:rPr>
        <w:t>ās dzīves kvalitātes ilgtspēju.</w:t>
      </w:r>
    </w:p>
    <w:p w14:paraId="77B65DFA" w14:textId="402D3EE4" w:rsidR="00D72EBC" w:rsidRPr="002551D1" w:rsidRDefault="000704FD" w:rsidP="000704FD">
      <w:pPr>
        <w:rPr>
          <w:lang w:eastAsia="x-none"/>
        </w:rPr>
      </w:pPr>
      <w:r>
        <w:rPr>
          <w:lang w:eastAsia="x-none"/>
        </w:rPr>
        <w:t xml:space="preserve">Ietvara </w:t>
      </w:r>
      <w:r w:rsidR="00571580">
        <w:rPr>
          <w:lang w:eastAsia="x-none"/>
        </w:rPr>
        <w:t xml:space="preserve">likumā </w:t>
      </w:r>
      <w:r>
        <w:rPr>
          <w:lang w:eastAsia="x-none"/>
        </w:rPr>
        <w:t>2020</w:t>
      </w:r>
      <w:r w:rsidR="00EF5BED" w:rsidRPr="002551D1">
        <w:rPr>
          <w:lang w:eastAsia="x-none"/>
        </w:rPr>
        <w:t>–</w:t>
      </w:r>
      <w:r>
        <w:rPr>
          <w:lang w:eastAsia="x-none"/>
        </w:rPr>
        <w:t xml:space="preserve">2022 </w:t>
      </w:r>
      <w:r w:rsidR="00D72EBC">
        <w:rPr>
          <w:lang w:eastAsia="x-none"/>
        </w:rPr>
        <w:t>veselības nozarei tiek piešķirti papildus</w:t>
      </w:r>
      <w:r w:rsidR="00D72EBC" w:rsidRPr="002551D1">
        <w:rPr>
          <w:lang w:eastAsia="x-none"/>
        </w:rPr>
        <w:t xml:space="preserve"> </w:t>
      </w:r>
      <w:r w:rsidR="00D72EBC" w:rsidRPr="00D60EB9">
        <w:rPr>
          <w:lang w:eastAsia="x-none"/>
        </w:rPr>
        <w:t xml:space="preserve">50 milj. </w:t>
      </w:r>
      <w:r w:rsidR="00D72EBC" w:rsidRPr="00D72EBC">
        <w:rPr>
          <w:i/>
          <w:lang w:eastAsia="x-none"/>
        </w:rPr>
        <w:t>euro</w:t>
      </w:r>
      <w:r w:rsidR="00D72EBC" w:rsidRPr="00D60EB9">
        <w:rPr>
          <w:lang w:eastAsia="x-none"/>
        </w:rPr>
        <w:t xml:space="preserve"> 2020.</w:t>
      </w:r>
      <w:r w:rsidR="00C841D1" w:rsidRPr="002551D1">
        <w:rPr>
          <w:lang w:eastAsia="x-none"/>
        </w:rPr>
        <w:t>–</w:t>
      </w:r>
      <w:r w:rsidR="00D72EBC" w:rsidRPr="00D60EB9">
        <w:rPr>
          <w:lang w:eastAsia="x-none"/>
        </w:rPr>
        <w:t>2022.gad</w:t>
      </w:r>
      <w:r w:rsidR="00D72EBC">
        <w:rPr>
          <w:lang w:eastAsia="x-none"/>
        </w:rPr>
        <w:t>a</w:t>
      </w:r>
      <w:r w:rsidR="00D72EBC" w:rsidRPr="00D60EB9">
        <w:rPr>
          <w:lang w:eastAsia="x-none"/>
        </w:rPr>
        <w:t xml:space="preserve">m ik gadu, tai skaitā, 42,11 milj. </w:t>
      </w:r>
      <w:r w:rsidR="00D72EBC" w:rsidRPr="00D72EBC">
        <w:rPr>
          <w:i/>
          <w:lang w:eastAsia="x-none"/>
        </w:rPr>
        <w:t>euro</w:t>
      </w:r>
      <w:r w:rsidR="00D72EBC" w:rsidRPr="00D60EB9">
        <w:rPr>
          <w:lang w:eastAsia="x-none"/>
        </w:rPr>
        <w:t xml:space="preserve"> paredzēti daļai ārstniecības personu darba samaksas pieaugumam stacionārajās ārstniecības iestādēs strādājošiem, Neatliekamās medicīniskās palīdzības ārstniecības personām un pārējiem darbiniekiem, Tieslietu ministrijas Ieslodzīju vietas pārvaldes ārstniecības personām un pārējiem darbiniekiem, ārstniecības personām Psihiatrijas plāna ietvaros un ģimenes ārstu kapitācijas naudas pieaugumam; 4,27 milj. </w:t>
      </w:r>
      <w:r w:rsidR="00D72EBC" w:rsidRPr="00D72EBC">
        <w:rPr>
          <w:i/>
          <w:lang w:eastAsia="x-none"/>
        </w:rPr>
        <w:t>euro</w:t>
      </w:r>
      <w:r w:rsidR="00D72EBC" w:rsidRPr="00D60EB9">
        <w:rPr>
          <w:lang w:eastAsia="x-none"/>
        </w:rPr>
        <w:t xml:space="preserve"> inovatīviem kompensējamiem medikamentiem onkoloģijā un kardioloģijā, kā arī 3 milj. </w:t>
      </w:r>
      <w:r w:rsidR="00D72EBC" w:rsidRPr="00D72EBC">
        <w:rPr>
          <w:i/>
          <w:lang w:eastAsia="x-none"/>
        </w:rPr>
        <w:t>euro</w:t>
      </w:r>
      <w:r w:rsidR="00D72EBC" w:rsidRPr="00D60EB9">
        <w:rPr>
          <w:lang w:eastAsia="x-none"/>
        </w:rPr>
        <w:t xml:space="preserve"> o reto slimību medikamentozai ārstēšanai.</w:t>
      </w:r>
    </w:p>
    <w:p w14:paraId="5593C52E" w14:textId="153B1936" w:rsidR="008906EA" w:rsidRPr="002551D1" w:rsidRDefault="008906EA" w:rsidP="00741547">
      <w:pPr>
        <w:spacing w:after="0"/>
        <w:rPr>
          <w:i/>
          <w:u w:val="single"/>
          <w:lang w:eastAsia="x-none"/>
        </w:rPr>
      </w:pPr>
      <w:r w:rsidRPr="002551D1">
        <w:rPr>
          <w:i/>
          <w:u w:val="single"/>
          <w:lang w:eastAsia="x-none"/>
        </w:rPr>
        <w:t>Izglītība un zinātne.</w:t>
      </w:r>
      <w:r w:rsidRPr="002551D1">
        <w:rPr>
          <w:lang w:eastAsia="x-none"/>
        </w:rPr>
        <w:t xml:space="preserve"> Ņemot vērā ierobežojumus darbaspēka apjomā, kopējo faktoru produktivitātes paaugstināšana Latvijas apstākļos ir galvenais faktors potenciālā IKP izaugsmē. Latvijas iedzīvotāju zināšanas, prasmes un spēja būt inovatīviem un apstākļu izveide iespējai inovatīvās idejas īstenot dzīvē ir tie priekšnoteikumi, kas nepieciešami </w:t>
      </w:r>
      <w:r w:rsidRPr="002551D1">
        <w:rPr>
          <w:lang w:eastAsia="x-none"/>
        </w:rPr>
        <w:lastRenderedPageBreak/>
        <w:t xml:space="preserve">potenciālā IKP izaugsmei. Izglītībai un zinātnei šeit ir galvenā nozīme. Atbilstoši </w:t>
      </w:r>
      <w:r w:rsidRPr="00220F2A">
        <w:rPr>
          <w:i/>
          <w:lang w:eastAsia="x-none"/>
        </w:rPr>
        <w:t>Eurostat</w:t>
      </w:r>
      <w:r w:rsidRPr="002551D1">
        <w:rPr>
          <w:lang w:eastAsia="x-none"/>
        </w:rPr>
        <w:t xml:space="preserve"> COFOG vispārējās valdības sektora izdevumu klasifikācijas datiem finansējums izglītības jomā Latvijā (5,8% no IKP pēc 20</w:t>
      </w:r>
      <w:r>
        <w:rPr>
          <w:lang w:eastAsia="x-none"/>
        </w:rPr>
        <w:t>17.</w:t>
      </w:r>
      <w:r w:rsidRPr="002551D1">
        <w:rPr>
          <w:lang w:eastAsia="x-none"/>
        </w:rPr>
        <w:t xml:space="preserve">gada datiem) ir ceturtais augstākais ES, pārsniedzot gan ES vidējo rādītāju (4,6% no IKP), gan arī apsteidzot Igauniju (5,8% no IKP) un Lietuvu (4,9% no IKP). Tas norāda uz to, ka finansējums izglītībai Latvijā ir adekvātā līmenī, bet ir jārisina jautājumi saistībā ar skolu tīkla optimizāciju un skolēnu skaita uz vienu pedagogu attiecības palielināšanu. Jāatzīmē, ka būtiska skolēnu skaita uz vienu pedagogu palielināšana, kā arī nozīmīga progresa sasniegšana skolu tīkla reorganizācijā nav iespējama īsā laika periodā, neapdraudot izglītības kvalitāti. Tādējādi viens no risinājumiem ir ieguldīt izglītības sistēmā papildu līdzekļus, lai celtu pedagogu atalgojumu, kas arī ir bijis viens no </w:t>
      </w:r>
      <w:r w:rsidR="005070C6">
        <w:rPr>
          <w:lang w:eastAsia="x-none"/>
        </w:rPr>
        <w:t>MK</w:t>
      </w:r>
      <w:r w:rsidRPr="002551D1">
        <w:rPr>
          <w:lang w:eastAsia="x-none"/>
        </w:rPr>
        <w:t xml:space="preserve"> lēmumiem </w:t>
      </w:r>
      <w:r w:rsidR="000704FD">
        <w:rPr>
          <w:lang w:eastAsia="x-none"/>
        </w:rPr>
        <w:t>Ietvara likuma 2020</w:t>
      </w:r>
      <w:r w:rsidR="00EF5BED" w:rsidRPr="002551D1">
        <w:rPr>
          <w:lang w:eastAsia="x-none"/>
        </w:rPr>
        <w:t>–</w:t>
      </w:r>
      <w:r w:rsidR="000704FD">
        <w:rPr>
          <w:lang w:eastAsia="x-none"/>
        </w:rPr>
        <w:t>2022</w:t>
      </w:r>
      <w:r w:rsidRPr="002551D1">
        <w:rPr>
          <w:lang w:eastAsia="x-none"/>
        </w:rPr>
        <w:t xml:space="preserve"> izstrādē. Atbilstoši, sākot ar šī gada 1. septembri un turpmāk, ir piešķirts papildu finansējums 23,0 milj. </w:t>
      </w:r>
      <w:r w:rsidRPr="008906EA">
        <w:rPr>
          <w:i/>
          <w:lang w:eastAsia="x-none"/>
        </w:rPr>
        <w:t>euro</w:t>
      </w:r>
      <w:r w:rsidRPr="002551D1">
        <w:rPr>
          <w:lang w:eastAsia="x-none"/>
        </w:rPr>
        <w:t xml:space="preserve"> apmērā (13,2%; 12,7%; 10,4% no prioritāro pasākumu kopējā</w:t>
      </w:r>
      <w:r>
        <w:rPr>
          <w:lang w:eastAsia="x-none"/>
        </w:rPr>
        <w:t xml:space="preserve"> piešķīruma 2020.</w:t>
      </w:r>
      <w:r w:rsidR="00C841D1" w:rsidRPr="002551D1">
        <w:rPr>
          <w:lang w:eastAsia="x-none"/>
        </w:rPr>
        <w:t>–</w:t>
      </w:r>
      <w:r>
        <w:rPr>
          <w:lang w:eastAsia="x-none"/>
        </w:rPr>
        <w:t>2022.gadam)</w:t>
      </w:r>
      <w:r w:rsidRPr="002551D1">
        <w:rPr>
          <w:lang w:eastAsia="x-none"/>
        </w:rPr>
        <w:t xml:space="preserve"> pedagogu zemākās mēneša darba algas likmes paaugstināšanai līdz 750 </w:t>
      </w:r>
      <w:r w:rsidRPr="008906EA">
        <w:rPr>
          <w:i/>
          <w:lang w:eastAsia="x-none"/>
        </w:rPr>
        <w:t>euro</w:t>
      </w:r>
      <w:r w:rsidRPr="002551D1">
        <w:rPr>
          <w:lang w:eastAsia="x-none"/>
        </w:rPr>
        <w:t xml:space="preserve"> mēnesī.</w:t>
      </w:r>
    </w:p>
    <w:p w14:paraId="0CC9253B" w14:textId="103587D7" w:rsidR="00510946" w:rsidRPr="002551D1" w:rsidRDefault="00510946" w:rsidP="00C841D1">
      <w:pPr>
        <w:rPr>
          <w:lang w:eastAsia="x-none"/>
        </w:rPr>
      </w:pPr>
      <w:r w:rsidRPr="002551D1">
        <w:rPr>
          <w:lang w:eastAsia="x-none"/>
        </w:rPr>
        <w:t xml:space="preserve">Papildus, lai sekmētu zinātnes jomas kapacitāti, </w:t>
      </w:r>
      <w:r>
        <w:rPr>
          <w:lang w:eastAsia="x-none"/>
        </w:rPr>
        <w:t>MK</w:t>
      </w:r>
      <w:r w:rsidRPr="002551D1">
        <w:rPr>
          <w:lang w:eastAsia="x-none"/>
        </w:rPr>
        <w:t xml:space="preserve"> lēma arī par pētniecības un attīstības finansējuma palielināšanu, paredzot papildu resursus 7,0 milj. </w:t>
      </w:r>
      <w:r w:rsidRPr="008906EA">
        <w:rPr>
          <w:i/>
          <w:lang w:eastAsia="x-none"/>
        </w:rPr>
        <w:t>euro</w:t>
      </w:r>
      <w:r w:rsidRPr="002551D1">
        <w:rPr>
          <w:lang w:eastAsia="x-none"/>
        </w:rPr>
        <w:t xml:space="preserve"> apmērā (4,0%; 3,9%; 3,2% no prioritāro pasākumu kopējā piešķīruma 2020.</w:t>
      </w:r>
      <w:r w:rsidR="00C841D1" w:rsidRPr="002551D1">
        <w:rPr>
          <w:lang w:eastAsia="x-none"/>
        </w:rPr>
        <w:t>–</w:t>
      </w:r>
      <w:r w:rsidRPr="002551D1">
        <w:rPr>
          <w:lang w:eastAsia="x-none"/>
        </w:rPr>
        <w:t xml:space="preserve">2022.gadam), kas ir </w:t>
      </w:r>
      <w:r w:rsidRPr="00AF1933">
        <w:rPr>
          <w:lang w:eastAsia="x-none"/>
        </w:rPr>
        <w:t>būtiskākais papildus resursu piešķīrums šai jomai pēdējos budžeta sagatavošanas ciklos.</w:t>
      </w:r>
      <w:r w:rsidRPr="002551D1">
        <w:rPr>
          <w:lang w:eastAsia="x-none"/>
        </w:rPr>
        <w:t xml:space="preserve"> Finansējums ir paredzēts zinātniskās darbības nodrošināšanai (fundamentālo un lietišķo pētījumu programmas projektu īstenošana, dalība Eiropas Kodolpētniecības organizācijā Asociētās dalībvalsts statusā (CERN)); starptautiskai sadarbībai (dalība Eiropas Kosmosa aģentūras Sadarbības valsts vai Asociētās dalībvalsts statusā); atbalsta mehānisma nodrošināšanai jaunatnes organizācijām, u.c. aktivitātēm. </w:t>
      </w:r>
    </w:p>
    <w:p w14:paraId="43D39385" w14:textId="77777777" w:rsidR="00741547" w:rsidRDefault="00741547" w:rsidP="008906EA">
      <w:pPr>
        <w:ind w:firstLine="0"/>
        <w:rPr>
          <w:b/>
          <w:u w:val="single"/>
          <w:lang w:eastAsia="x-none"/>
        </w:rPr>
      </w:pPr>
    </w:p>
    <w:p w14:paraId="27F517FC" w14:textId="23D880D8" w:rsidR="008906EA" w:rsidRPr="002551D1" w:rsidRDefault="008906EA" w:rsidP="008906EA">
      <w:pPr>
        <w:ind w:firstLine="0"/>
        <w:rPr>
          <w:b/>
          <w:u w:val="single"/>
          <w:lang w:eastAsia="x-none"/>
        </w:rPr>
      </w:pPr>
      <w:r w:rsidRPr="002551D1">
        <w:rPr>
          <w:b/>
          <w:u w:val="single"/>
          <w:lang w:eastAsia="x-none"/>
        </w:rPr>
        <w:t>Valsts aktīvu atjaunošana</w:t>
      </w:r>
    </w:p>
    <w:p w14:paraId="00A5F2C5" w14:textId="7DEDEB54" w:rsidR="008906EA" w:rsidRPr="002551D1" w:rsidRDefault="008906EA" w:rsidP="00741547">
      <w:pPr>
        <w:spacing w:after="0"/>
        <w:rPr>
          <w:lang w:eastAsia="x-none"/>
        </w:rPr>
      </w:pPr>
      <w:r w:rsidRPr="002551D1">
        <w:rPr>
          <w:lang w:eastAsia="x-none"/>
        </w:rPr>
        <w:t xml:space="preserve">Fiskālai politikai ir jānodrošina valsts aktīvu uzturēšana tādā stāvoklī, lai valsts varētu nodrošināt adekvātus publiskos pakalpojumus. Infrastruktūras objekti nolietojas un ir neizbēgams, ka valstij ir jāpiešķir publiskie resursi nolietoto aktīvu atjaunošanai. </w:t>
      </w:r>
      <w:r w:rsidR="00D753CB">
        <w:rPr>
          <w:lang w:eastAsia="x-none"/>
        </w:rPr>
        <w:t xml:space="preserve">Ietvara likumā 2020-2022 </w:t>
      </w:r>
      <w:r w:rsidRPr="002551D1">
        <w:rPr>
          <w:lang w:eastAsia="x-none"/>
        </w:rPr>
        <w:t>ir ievērots optimāls līdzsvars starp izdevumu palielinājumu kārtējiem izdevumiem un kapitālajiem izdevumiem. Ir izdalāmas divas jomas, kam M</w:t>
      </w:r>
      <w:r>
        <w:rPr>
          <w:lang w:eastAsia="x-none"/>
        </w:rPr>
        <w:t xml:space="preserve">K </w:t>
      </w:r>
      <w:r w:rsidRPr="002551D1">
        <w:rPr>
          <w:lang w:eastAsia="x-none"/>
        </w:rPr>
        <w:t>ir paredzējis nodrošināt papildu finansējumu. Pirmā ir transporta joma, īstenojot jaunu pasažieru vilcienu iegādi un nodrošinot finansējumu autoceļu turpmākai sakārtošanai. Otrā joma skar iekšējās drošības un tieslietu jomu, paredzot jauna cietuma būvniecību Liepājā.</w:t>
      </w:r>
    </w:p>
    <w:p w14:paraId="795F2955" w14:textId="6BC2AE72" w:rsidR="008906EA" w:rsidRPr="002551D1" w:rsidRDefault="008906EA" w:rsidP="00741547">
      <w:pPr>
        <w:spacing w:after="0"/>
        <w:rPr>
          <w:lang w:eastAsia="x-none"/>
        </w:rPr>
      </w:pPr>
      <w:r w:rsidRPr="002551D1">
        <w:rPr>
          <w:lang w:eastAsia="x-none"/>
        </w:rPr>
        <w:t xml:space="preserve">Laika periodā pēc </w:t>
      </w:r>
      <w:r w:rsidR="000704FD">
        <w:rPr>
          <w:lang w:eastAsia="x-none"/>
        </w:rPr>
        <w:t>Ietvara likuma</w:t>
      </w:r>
      <w:r w:rsidRPr="002551D1">
        <w:rPr>
          <w:lang w:eastAsia="x-none"/>
        </w:rPr>
        <w:t xml:space="preserve"> 2018</w:t>
      </w:r>
      <w:r w:rsidR="00C841D1" w:rsidRPr="002551D1">
        <w:rPr>
          <w:lang w:eastAsia="x-none"/>
        </w:rPr>
        <w:t>–</w:t>
      </w:r>
      <w:r w:rsidRPr="002551D1">
        <w:rPr>
          <w:lang w:eastAsia="x-none"/>
        </w:rPr>
        <w:t>2020 pieņemšanas M</w:t>
      </w:r>
      <w:r>
        <w:rPr>
          <w:lang w:eastAsia="x-none"/>
        </w:rPr>
        <w:t xml:space="preserve">K </w:t>
      </w:r>
      <w:r w:rsidRPr="002551D1">
        <w:rPr>
          <w:lang w:eastAsia="x-none"/>
        </w:rPr>
        <w:t xml:space="preserve">ir lēmis par jauno pasažieru vilcienu finansēšanas modeli un šī investīciju projekta iekļaušanu </w:t>
      </w:r>
      <w:r>
        <w:rPr>
          <w:lang w:eastAsia="x-none"/>
        </w:rPr>
        <w:t>2020.gada, 2021.gada un 2022.</w:t>
      </w:r>
      <w:r w:rsidRPr="002551D1">
        <w:rPr>
          <w:lang w:eastAsia="x-none"/>
        </w:rPr>
        <w:t>gada bāzes izdevumos. Proti, 2018.gada 5.novembrī M</w:t>
      </w:r>
      <w:r>
        <w:rPr>
          <w:lang w:eastAsia="x-none"/>
        </w:rPr>
        <w:t xml:space="preserve">K </w:t>
      </w:r>
      <w:r w:rsidRPr="002551D1">
        <w:rPr>
          <w:lang w:eastAsia="x-none"/>
        </w:rPr>
        <w:t xml:space="preserve">atbalstīja, ka 32 elektrovilcienu, rezerves daļu fonda 5 gadiem un elektrovilcienu uzturēšanas iekārtu iegāde, kā arī vilcienu remontu centra izbūve tiks finansēta, uzņemoties valsts budžeta ilgtermiņa saistības un paredzot, ka projekta kopējās provizoriskās izmaksas veidos 259 milj. </w:t>
      </w:r>
      <w:r w:rsidRPr="008906EA">
        <w:rPr>
          <w:i/>
          <w:lang w:eastAsia="x-none"/>
        </w:rPr>
        <w:t>euro</w:t>
      </w:r>
      <w:r w:rsidRPr="002551D1">
        <w:rPr>
          <w:lang w:eastAsia="x-none"/>
        </w:rPr>
        <w:t xml:space="preserve"> laika periodā no 2019.gadam līdz 2023.gadam. Savukārt šā gada 16.jūlija sēdē M</w:t>
      </w:r>
      <w:r>
        <w:rPr>
          <w:lang w:eastAsia="x-none"/>
        </w:rPr>
        <w:t xml:space="preserve">K </w:t>
      </w:r>
      <w:r w:rsidRPr="002551D1">
        <w:rPr>
          <w:lang w:eastAsia="x-none"/>
        </w:rPr>
        <w:t xml:space="preserve">izskatīja Satiksmes ministrijas izstrādāto informatīvo ziņojumu, kurā jauno elektrovilcienu projekta </w:t>
      </w:r>
      <w:r>
        <w:rPr>
          <w:lang w:eastAsia="x-none"/>
        </w:rPr>
        <w:t xml:space="preserve">provizoriskās kopējās izmaksas </w:t>
      </w:r>
      <w:r w:rsidRPr="002551D1">
        <w:rPr>
          <w:lang w:eastAsia="x-none"/>
        </w:rPr>
        <w:t xml:space="preserve">samazinājās līdz 255,9 milj. </w:t>
      </w:r>
      <w:r w:rsidRPr="008906EA">
        <w:rPr>
          <w:i/>
          <w:lang w:eastAsia="x-none"/>
        </w:rPr>
        <w:t>euro</w:t>
      </w:r>
      <w:r w:rsidRPr="002551D1">
        <w:rPr>
          <w:lang w:eastAsia="x-none"/>
        </w:rPr>
        <w:t xml:space="preserve"> un elektrovilcienu piegādes tiek plānotas 2022. un 2023.gadā. </w:t>
      </w:r>
    </w:p>
    <w:p w14:paraId="52C1A3CE" w14:textId="055B4AC6" w:rsidR="008906EA" w:rsidRPr="002551D1" w:rsidRDefault="008906EA" w:rsidP="00741547">
      <w:pPr>
        <w:spacing w:after="0"/>
        <w:rPr>
          <w:lang w:eastAsia="x-none"/>
        </w:rPr>
      </w:pPr>
      <w:r w:rsidRPr="002551D1">
        <w:rPr>
          <w:lang w:eastAsia="x-none"/>
        </w:rPr>
        <w:t xml:space="preserve">Izstrādājot </w:t>
      </w:r>
      <w:r w:rsidR="000704FD">
        <w:rPr>
          <w:lang w:eastAsia="x-none"/>
        </w:rPr>
        <w:t>Ietvara likumu 2020</w:t>
      </w:r>
      <w:r w:rsidR="00EF5BED" w:rsidRPr="002551D1">
        <w:rPr>
          <w:lang w:eastAsia="x-none"/>
        </w:rPr>
        <w:t>–</w:t>
      </w:r>
      <w:r w:rsidR="000704FD">
        <w:rPr>
          <w:lang w:eastAsia="x-none"/>
        </w:rPr>
        <w:t>2022</w:t>
      </w:r>
      <w:r w:rsidRPr="002551D1">
        <w:rPr>
          <w:lang w:eastAsia="x-none"/>
        </w:rPr>
        <w:t xml:space="preserve"> un pieņemot lēmumus par fiskālās telpas palielināšanas pasākumiem, M</w:t>
      </w:r>
      <w:r>
        <w:rPr>
          <w:lang w:eastAsia="x-none"/>
        </w:rPr>
        <w:t>K lēma</w:t>
      </w:r>
      <w:r w:rsidRPr="002551D1">
        <w:rPr>
          <w:lang w:eastAsia="x-none"/>
        </w:rPr>
        <w:t xml:space="preserve"> par izmaiņām pasažieru vilciena finansēšanas modelī, daļu no finansējuma piešķirot no ES fondiem. Lai nodrošinātu ES fondu programmu rezultatīvo rādītāju izpildi, tika apzinātas ES fondu snieguma rezerves finansējuma un citu neizmantoto finansējuma atlikumu novirzīšanas iespējas augstas gatavības, prioritāriem infrastruktūras projektiem, kas sākotnēji pilnībā ir bijuši plānoti no valsts budžeta </w:t>
      </w:r>
      <w:r w:rsidRPr="002551D1">
        <w:rPr>
          <w:lang w:eastAsia="x-none"/>
        </w:rPr>
        <w:lastRenderedPageBreak/>
        <w:t>investīcijām. Ņemot vērā iespējamo ES fondu atlikumu un snieguma rezerves pārdales, no ES fondu finansējuma M</w:t>
      </w:r>
      <w:r>
        <w:rPr>
          <w:lang w:eastAsia="x-none"/>
        </w:rPr>
        <w:t xml:space="preserve">K </w:t>
      </w:r>
      <w:r w:rsidRPr="002551D1">
        <w:rPr>
          <w:lang w:eastAsia="x-none"/>
        </w:rPr>
        <w:t xml:space="preserve">nolēma daļu no VAS “Pasažieru vilciens” elektrovilcienu iegādes projekta 113,6 milj. </w:t>
      </w:r>
      <w:r w:rsidRPr="008906EA">
        <w:rPr>
          <w:i/>
          <w:lang w:eastAsia="x-none"/>
        </w:rPr>
        <w:t>euro</w:t>
      </w:r>
      <w:r w:rsidRPr="002551D1">
        <w:rPr>
          <w:lang w:eastAsia="x-none"/>
        </w:rPr>
        <w:t xml:space="preserve"> apmērā finansēt no ES fondu līdzekļiem. </w:t>
      </w:r>
      <w:r w:rsidR="001C6559" w:rsidRPr="001C6559">
        <w:rPr>
          <w:lang w:eastAsia="x-none"/>
        </w:rPr>
        <w:t>Vienlaikus “Pasažieru vilciens” elektrovilcienu iegādes projekta finansēšana no ES fondu līdzekļiem ir atkarīga no EK saskaņojuma par attiecīgiem darbības programmas “Izaugsme un nodarbinātība” grozījumiem un apstiprinājumu konkrētā projekta līdzfinansēšanai. Pieņemot, ka būtu pozitīvs EK lēmums par ES finansējuma novirzīšanu projektam, šāds MK lēmums ne tikai risina jautājumu par rezultatīvo rādītāju izpildi, bet par minēto finansējuma apjomu atbrīvo</w:t>
      </w:r>
      <w:r w:rsidR="00085C93">
        <w:rPr>
          <w:lang w:eastAsia="x-none"/>
        </w:rPr>
        <w:t xml:space="preserve"> 2022.</w:t>
      </w:r>
      <w:r w:rsidR="001C6559" w:rsidRPr="001C6559">
        <w:rPr>
          <w:lang w:eastAsia="x-none"/>
        </w:rPr>
        <w:t>gada fiskālo telpu.</w:t>
      </w:r>
    </w:p>
    <w:p w14:paraId="69B5F9DD" w14:textId="2E23B017" w:rsidR="008906EA" w:rsidRPr="002551D1" w:rsidRDefault="008906EA" w:rsidP="00741547">
      <w:pPr>
        <w:spacing w:after="0"/>
        <w:rPr>
          <w:lang w:eastAsia="x-none"/>
        </w:rPr>
      </w:pPr>
      <w:r w:rsidRPr="002551D1">
        <w:rPr>
          <w:lang w:eastAsia="x-none"/>
        </w:rPr>
        <w:t xml:space="preserve">Latvijas autoceļu uzturēšana ir bijis viens no vidēja termiņa budžeta prioritārajiem attīstības virzieniem un ir noteikts kā prioritārais attīstības virziens arī </w:t>
      </w:r>
      <w:r w:rsidR="000704FD">
        <w:rPr>
          <w:lang w:eastAsia="x-none"/>
        </w:rPr>
        <w:t>Ietvara likumā 2020</w:t>
      </w:r>
      <w:r w:rsidR="00EF5BED" w:rsidRPr="002551D1">
        <w:rPr>
          <w:lang w:eastAsia="x-none"/>
        </w:rPr>
        <w:t>–</w:t>
      </w:r>
      <w:r w:rsidR="000704FD">
        <w:rPr>
          <w:lang w:eastAsia="x-none"/>
        </w:rPr>
        <w:t>2022</w:t>
      </w:r>
      <w:r w:rsidRPr="002551D1">
        <w:rPr>
          <w:lang w:eastAsia="x-none"/>
        </w:rPr>
        <w:t>. No pieejamās fiskālās telpas autoceļu sakārtošanas programmai ir papildus piešķirti 7,7 milj</w:t>
      </w:r>
      <w:r w:rsidR="00B65294">
        <w:rPr>
          <w:lang w:eastAsia="x-none"/>
        </w:rPr>
        <w:t>.</w:t>
      </w:r>
      <w:r w:rsidRPr="002551D1">
        <w:rPr>
          <w:lang w:eastAsia="x-none"/>
        </w:rPr>
        <w:t xml:space="preserve"> </w:t>
      </w:r>
      <w:r w:rsidRPr="008906EA">
        <w:rPr>
          <w:i/>
          <w:lang w:eastAsia="x-none"/>
        </w:rPr>
        <w:t>euro</w:t>
      </w:r>
      <w:r>
        <w:rPr>
          <w:lang w:eastAsia="x-none"/>
        </w:rPr>
        <w:t xml:space="preserve"> 2020.</w:t>
      </w:r>
      <w:r w:rsidRPr="002551D1">
        <w:rPr>
          <w:lang w:eastAsia="x-none"/>
        </w:rPr>
        <w:t>gadā (4,5% no priorit</w:t>
      </w:r>
      <w:r>
        <w:rPr>
          <w:lang w:eastAsia="x-none"/>
        </w:rPr>
        <w:t>āro pasākumu kopējā piešķīruma)</w:t>
      </w:r>
      <w:r w:rsidRPr="002551D1">
        <w:rPr>
          <w:lang w:eastAsia="x-none"/>
        </w:rPr>
        <w:t xml:space="preserve"> un 7,0 milj</w:t>
      </w:r>
      <w:r w:rsidR="00B65294">
        <w:rPr>
          <w:lang w:eastAsia="x-none"/>
        </w:rPr>
        <w:t>.</w:t>
      </w:r>
      <w:r w:rsidRPr="002551D1">
        <w:rPr>
          <w:lang w:eastAsia="x-none"/>
        </w:rPr>
        <w:t xml:space="preserve"> </w:t>
      </w:r>
      <w:r w:rsidRPr="008906EA">
        <w:rPr>
          <w:i/>
          <w:lang w:eastAsia="x-none"/>
        </w:rPr>
        <w:t>euro</w:t>
      </w:r>
      <w:r>
        <w:rPr>
          <w:lang w:eastAsia="x-none"/>
        </w:rPr>
        <w:t xml:space="preserve"> 2021. un 2022.</w:t>
      </w:r>
      <w:r w:rsidRPr="002551D1">
        <w:rPr>
          <w:lang w:eastAsia="x-none"/>
        </w:rPr>
        <w:t xml:space="preserve">gadā (3,9%; 3,2% no prioritāro pasākumu kopējā piešķīruma). </w:t>
      </w:r>
    </w:p>
    <w:p w14:paraId="053F7FEF" w14:textId="28393736" w:rsidR="008906EA" w:rsidRPr="002551D1" w:rsidRDefault="008906EA" w:rsidP="00741547">
      <w:pPr>
        <w:spacing w:after="0"/>
        <w:rPr>
          <w:lang w:eastAsia="x-none"/>
        </w:rPr>
      </w:pPr>
      <w:r w:rsidRPr="002551D1">
        <w:rPr>
          <w:lang w:eastAsia="x-none"/>
        </w:rPr>
        <w:t>Otrās atbalsta jomas īstenošanai M</w:t>
      </w:r>
      <w:r>
        <w:rPr>
          <w:lang w:eastAsia="x-none"/>
        </w:rPr>
        <w:t xml:space="preserve">K </w:t>
      </w:r>
      <w:r w:rsidRPr="002551D1">
        <w:rPr>
          <w:lang w:eastAsia="x-none"/>
        </w:rPr>
        <w:t xml:space="preserve">ir piešķīris 45,0 milj. </w:t>
      </w:r>
      <w:r w:rsidRPr="008906EA">
        <w:rPr>
          <w:i/>
          <w:lang w:eastAsia="x-none"/>
        </w:rPr>
        <w:t>euro</w:t>
      </w:r>
      <w:r>
        <w:rPr>
          <w:lang w:eastAsia="x-none"/>
        </w:rPr>
        <w:t xml:space="preserve"> 2022.</w:t>
      </w:r>
      <w:r w:rsidRPr="002551D1">
        <w:rPr>
          <w:lang w:eastAsia="x-none"/>
        </w:rPr>
        <w:t>gadā (20,3% no prioritāro pasākumu kopējā piešķīruma) jauna cietuma būvniecībai Liepājā, kam par pamatu kalpoja vairāki apstākļi t.sk. sabiedrības drošības draudu mazināšana, ieslodzīto atkārtotas socializācijas sabiedrībā piemērotas vides radīšana un atkārtotu noziegumu izdarīšanas samazināšana, kā arī finansiālie aspekti, paredzot esošo ieslodzījuma vietu reorganizāciju, kuru uzturēšanai un drošībai no valsts budžeta ik gadu tiek tērēti nozīmīgi līdzekļi.</w:t>
      </w:r>
    </w:p>
    <w:p w14:paraId="7049DA24" w14:textId="77777777" w:rsidR="00741547" w:rsidRDefault="00741547" w:rsidP="008906EA">
      <w:pPr>
        <w:ind w:firstLine="0"/>
        <w:rPr>
          <w:b/>
          <w:u w:val="single"/>
          <w:lang w:eastAsia="x-none"/>
        </w:rPr>
      </w:pPr>
    </w:p>
    <w:p w14:paraId="701BB5D5" w14:textId="4DD144D1" w:rsidR="008906EA" w:rsidRPr="002551D1" w:rsidRDefault="008906EA" w:rsidP="008906EA">
      <w:pPr>
        <w:ind w:firstLine="0"/>
        <w:rPr>
          <w:b/>
          <w:u w:val="single"/>
          <w:lang w:eastAsia="x-none"/>
        </w:rPr>
      </w:pPr>
      <w:r w:rsidRPr="002551D1">
        <w:rPr>
          <w:b/>
          <w:u w:val="single"/>
          <w:lang w:eastAsia="x-none"/>
        </w:rPr>
        <w:t>Administratīvi teritoriālā reforma</w:t>
      </w:r>
    </w:p>
    <w:p w14:paraId="7179E097" w14:textId="46FE83B0" w:rsidR="00646008" w:rsidRPr="007862C5" w:rsidRDefault="008906EA" w:rsidP="007132F8">
      <w:pPr>
        <w:rPr>
          <w:lang w:eastAsia="x-none"/>
        </w:rPr>
      </w:pPr>
      <w:r w:rsidRPr="002551D1">
        <w:rPr>
          <w:lang w:eastAsia="x-none"/>
        </w:rPr>
        <w:t xml:space="preserve">Lai arī administratīvi teritoriālai reformai </w:t>
      </w:r>
      <w:r w:rsidR="007132F8">
        <w:rPr>
          <w:lang w:eastAsia="x-none"/>
        </w:rPr>
        <w:t>Ietvara likumā 2020</w:t>
      </w:r>
      <w:r w:rsidR="00EF5BED" w:rsidRPr="002551D1">
        <w:rPr>
          <w:lang w:eastAsia="x-none"/>
        </w:rPr>
        <w:t>–</w:t>
      </w:r>
      <w:r w:rsidR="007132F8">
        <w:rPr>
          <w:lang w:eastAsia="x-none"/>
        </w:rPr>
        <w:t>2022</w:t>
      </w:r>
      <w:r w:rsidRPr="002551D1">
        <w:rPr>
          <w:lang w:eastAsia="x-none"/>
        </w:rPr>
        <w:t xml:space="preserve"> no fiskālās telpas ir piešķirti tikai 1,1 milj</w:t>
      </w:r>
      <w:r w:rsidR="00B65294">
        <w:rPr>
          <w:lang w:eastAsia="x-none"/>
        </w:rPr>
        <w:t>.</w:t>
      </w:r>
      <w:r w:rsidRPr="002551D1">
        <w:rPr>
          <w:lang w:eastAsia="x-none"/>
        </w:rPr>
        <w:t xml:space="preserve"> </w:t>
      </w:r>
      <w:r w:rsidR="005070C6" w:rsidRPr="008906EA">
        <w:rPr>
          <w:i/>
          <w:lang w:eastAsia="x-none"/>
        </w:rPr>
        <w:t>euro</w:t>
      </w:r>
      <w:r w:rsidR="005070C6">
        <w:rPr>
          <w:lang w:eastAsia="x-none"/>
        </w:rPr>
        <w:t xml:space="preserve"> 2020.</w:t>
      </w:r>
      <w:r w:rsidRPr="002551D1">
        <w:rPr>
          <w:lang w:eastAsia="x-none"/>
        </w:rPr>
        <w:t>gadā (0,6% no prioritāro pasākumu kopējā piešķīruma)</w:t>
      </w:r>
      <w:r w:rsidR="005070C6">
        <w:rPr>
          <w:lang w:eastAsia="x-none"/>
        </w:rPr>
        <w:t xml:space="preserve"> </w:t>
      </w:r>
      <w:r w:rsidRPr="002551D1">
        <w:rPr>
          <w:lang w:eastAsia="x-none"/>
        </w:rPr>
        <w:t>un 8,2 milj</w:t>
      </w:r>
      <w:r w:rsidR="00B65294">
        <w:rPr>
          <w:lang w:eastAsia="x-none"/>
        </w:rPr>
        <w:t>.</w:t>
      </w:r>
      <w:r w:rsidRPr="002551D1">
        <w:rPr>
          <w:lang w:eastAsia="x-none"/>
        </w:rPr>
        <w:t xml:space="preserve"> </w:t>
      </w:r>
      <w:r w:rsidR="005070C6" w:rsidRPr="008906EA">
        <w:rPr>
          <w:i/>
          <w:lang w:eastAsia="x-none"/>
        </w:rPr>
        <w:t>euro</w:t>
      </w:r>
      <w:r w:rsidR="005070C6">
        <w:rPr>
          <w:lang w:eastAsia="x-none"/>
        </w:rPr>
        <w:t xml:space="preserve"> 2021.</w:t>
      </w:r>
      <w:r w:rsidRPr="002551D1">
        <w:rPr>
          <w:lang w:eastAsia="x-none"/>
        </w:rPr>
        <w:t>gadā (4,5% no prioritāro pasākumu kopējā piešķīruma), tā ir uzskatāma par svarīgu vidēja termiņa budžeta prioritāro attīstības virzienu, jo reforma uzlabos publiskā finansējuma izlietojuma efektivitāti.</w:t>
      </w:r>
    </w:p>
    <w:p w14:paraId="6BAA06C0" w14:textId="77777777" w:rsidR="00646008" w:rsidRPr="00646008" w:rsidRDefault="00646008" w:rsidP="00646008">
      <w:pPr>
        <w:rPr>
          <w:lang w:val="x-none" w:eastAsia="x-none"/>
        </w:rPr>
        <w:sectPr w:rsidR="00646008" w:rsidRPr="00646008" w:rsidSect="00B65294">
          <w:headerReference w:type="first" r:id="rId52"/>
          <w:pgSz w:w="11906" w:h="16838"/>
          <w:pgMar w:top="1418" w:right="1134" w:bottom="1418" w:left="1701" w:header="1077" w:footer="624" w:gutter="0"/>
          <w:cols w:space="708"/>
          <w:docGrid w:linePitch="360"/>
        </w:sectPr>
      </w:pPr>
    </w:p>
    <w:p w14:paraId="74D1E45D" w14:textId="77777777" w:rsidR="00646008" w:rsidRPr="00685A33" w:rsidRDefault="00646008" w:rsidP="00646008">
      <w:pPr>
        <w:pStyle w:val="Heading1"/>
        <w:tabs>
          <w:tab w:val="left" w:pos="1276"/>
        </w:tabs>
        <w:spacing w:before="0" w:after="240"/>
        <w:ind w:left="1276" w:hanging="1276"/>
        <w:jc w:val="left"/>
        <w:rPr>
          <w:rFonts w:ascii="Times New Roman" w:hAnsi="Times New Roman"/>
          <w:color w:val="18185F"/>
          <w:sz w:val="24"/>
        </w:rPr>
      </w:pPr>
      <w:bookmarkStart w:id="21" w:name="_Toc494786352"/>
      <w:bookmarkStart w:id="22" w:name="_Toc21516513"/>
      <w:r w:rsidRPr="00685A33">
        <w:rPr>
          <w:rFonts w:ascii="Times New Roman" w:hAnsi="Times New Roman"/>
          <w:color w:val="18185F"/>
          <w:sz w:val="24"/>
        </w:rPr>
        <w:lastRenderedPageBreak/>
        <w:t>Tabula 5</w:t>
      </w:r>
      <w:r w:rsidRPr="00685A33">
        <w:rPr>
          <w:rFonts w:ascii="Times New Roman" w:hAnsi="Times New Roman"/>
          <w:color w:val="18185F"/>
          <w:sz w:val="24"/>
          <w:lang w:val="lv-LV"/>
        </w:rPr>
        <w:t>:</w:t>
      </w:r>
      <w:r>
        <w:rPr>
          <w:rFonts w:ascii="Times New Roman" w:hAnsi="Times New Roman"/>
          <w:color w:val="18185F"/>
          <w:sz w:val="24"/>
        </w:rPr>
        <w:t xml:space="preserve"> </w:t>
      </w:r>
      <w:r w:rsidRPr="00685A33">
        <w:rPr>
          <w:rFonts w:ascii="Times New Roman" w:hAnsi="Times New Roman"/>
          <w:color w:val="18185F"/>
          <w:sz w:val="24"/>
        </w:rPr>
        <w:t>Diskrecionāro pasākumu apraksts, kas iekļauti budžeta projektā</w:t>
      </w:r>
      <w:bookmarkEnd w:id="21"/>
      <w:bookmarkEnd w:id="22"/>
    </w:p>
    <w:p w14:paraId="3332C44A" w14:textId="77777777" w:rsidR="00646008" w:rsidRDefault="00F900B2" w:rsidP="00646008">
      <w:pPr>
        <w:pStyle w:val="Heading1"/>
        <w:tabs>
          <w:tab w:val="left" w:pos="1276"/>
        </w:tabs>
        <w:spacing w:before="0" w:after="240"/>
        <w:ind w:left="1276" w:hanging="1276"/>
        <w:jc w:val="left"/>
        <w:rPr>
          <w:rFonts w:ascii="Times New Roman" w:hAnsi="Times New Roman"/>
          <w:color w:val="18185F"/>
          <w:sz w:val="24"/>
          <w:lang w:val="lv-LV"/>
        </w:rPr>
      </w:pPr>
      <w:bookmarkStart w:id="23" w:name="_Toc430608615"/>
      <w:bookmarkStart w:id="24" w:name="_Toc494786353"/>
      <w:bookmarkStart w:id="25" w:name="_Toc21516514"/>
      <w:r>
        <w:rPr>
          <w:rFonts w:ascii="Times New Roman" w:hAnsi="Times New Roman"/>
          <w:color w:val="18185F"/>
          <w:sz w:val="24"/>
          <w:lang w:val="lv-LV"/>
        </w:rPr>
        <w:t>Tabula</w:t>
      </w:r>
      <w:r w:rsidRPr="00685A33">
        <w:rPr>
          <w:rFonts w:ascii="Times New Roman" w:hAnsi="Times New Roman"/>
          <w:color w:val="18185F"/>
          <w:sz w:val="24"/>
        </w:rPr>
        <w:t xml:space="preserve"> </w:t>
      </w:r>
      <w:r w:rsidR="00646008" w:rsidRPr="00685A33">
        <w:rPr>
          <w:rFonts w:ascii="Times New Roman" w:hAnsi="Times New Roman"/>
          <w:color w:val="18185F"/>
          <w:sz w:val="24"/>
        </w:rPr>
        <w:t>5.a</w:t>
      </w:r>
      <w:r w:rsidR="005B2F54">
        <w:rPr>
          <w:rFonts w:ascii="Times New Roman" w:hAnsi="Times New Roman"/>
          <w:color w:val="18185F"/>
          <w:sz w:val="24"/>
          <w:lang w:val="lv-LV"/>
        </w:rPr>
        <w:t>.i)</w:t>
      </w:r>
      <w:r w:rsidR="00006BD6">
        <w:rPr>
          <w:rFonts w:ascii="Times New Roman" w:hAnsi="Times New Roman"/>
          <w:color w:val="18185F"/>
          <w:sz w:val="24"/>
          <w:lang w:val="lv-LV"/>
        </w:rPr>
        <w:t>:</w:t>
      </w:r>
      <w:r w:rsidR="00646008" w:rsidRPr="00685A33">
        <w:rPr>
          <w:rFonts w:ascii="Times New Roman" w:hAnsi="Times New Roman"/>
          <w:color w:val="18185F"/>
          <w:sz w:val="24"/>
        </w:rPr>
        <w:t xml:space="preserve"> Diskrecionārie </w:t>
      </w:r>
      <w:r w:rsidR="00646008" w:rsidRPr="00685A33">
        <w:rPr>
          <w:rFonts w:ascii="Times New Roman" w:hAnsi="Times New Roman"/>
          <w:color w:val="18185F"/>
          <w:sz w:val="24"/>
          <w:lang w:val="lv-LV"/>
        </w:rPr>
        <w:t xml:space="preserve">ieņēmumu </w:t>
      </w:r>
      <w:r w:rsidR="00646008" w:rsidRPr="00685A33">
        <w:rPr>
          <w:rFonts w:ascii="Times New Roman" w:hAnsi="Times New Roman"/>
          <w:color w:val="18185F"/>
          <w:sz w:val="24"/>
        </w:rPr>
        <w:t>pasākumi visp</w:t>
      </w:r>
      <w:r w:rsidR="00646008" w:rsidRPr="00685A33">
        <w:rPr>
          <w:rFonts w:ascii="Times New Roman" w:hAnsi="Times New Roman"/>
          <w:color w:val="18185F"/>
          <w:sz w:val="24"/>
          <w:lang w:val="lv-LV"/>
        </w:rPr>
        <w:t>ārējās valdības budžetā</w:t>
      </w:r>
      <w:bookmarkEnd w:id="23"/>
      <w:bookmarkEnd w:id="24"/>
      <w:bookmarkEnd w:id="25"/>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518"/>
        <w:gridCol w:w="3712"/>
        <w:gridCol w:w="1413"/>
        <w:gridCol w:w="791"/>
        <w:gridCol w:w="1255"/>
        <w:gridCol w:w="1481"/>
        <w:gridCol w:w="730"/>
        <w:gridCol w:w="932"/>
        <w:gridCol w:w="932"/>
        <w:gridCol w:w="932"/>
      </w:tblGrid>
      <w:tr w:rsidR="00646008" w:rsidRPr="000B3007" w14:paraId="38B156E9" w14:textId="77777777" w:rsidTr="00F1735E">
        <w:trPr>
          <w:trHeight w:val="227"/>
        </w:trPr>
        <w:tc>
          <w:tcPr>
            <w:tcW w:w="2518" w:type="dxa"/>
            <w:vMerge w:val="restart"/>
            <w:shd w:val="clear" w:color="auto" w:fill="auto"/>
            <w:vAlign w:val="center"/>
            <w:hideMark/>
          </w:tcPr>
          <w:p w14:paraId="3DA11224" w14:textId="77777777" w:rsidR="00646008" w:rsidRPr="000B3007" w:rsidRDefault="00646008" w:rsidP="00646008">
            <w:pPr>
              <w:spacing w:after="0"/>
              <w:ind w:firstLine="0"/>
              <w:jc w:val="center"/>
              <w:rPr>
                <w:b/>
                <w:bCs/>
                <w:color w:val="000000"/>
                <w:sz w:val="20"/>
                <w:lang w:eastAsia="lv-LV"/>
              </w:rPr>
            </w:pPr>
            <w:r w:rsidRPr="000B3007">
              <w:rPr>
                <w:b/>
                <w:bCs/>
                <w:color w:val="000000"/>
                <w:sz w:val="20"/>
                <w:lang w:eastAsia="lv-LV"/>
              </w:rPr>
              <w:t>Pasākumu saraksts</w:t>
            </w:r>
          </w:p>
        </w:tc>
        <w:tc>
          <w:tcPr>
            <w:tcW w:w="3712" w:type="dxa"/>
            <w:vMerge w:val="restart"/>
            <w:shd w:val="clear" w:color="auto" w:fill="auto"/>
            <w:vAlign w:val="center"/>
            <w:hideMark/>
          </w:tcPr>
          <w:p w14:paraId="6741BEF3" w14:textId="77777777" w:rsidR="00646008" w:rsidRPr="000B3007" w:rsidRDefault="00646008" w:rsidP="00646008">
            <w:pPr>
              <w:spacing w:after="0"/>
              <w:ind w:firstLine="0"/>
              <w:jc w:val="center"/>
              <w:rPr>
                <w:b/>
                <w:bCs/>
                <w:color w:val="000000"/>
                <w:sz w:val="20"/>
                <w:lang w:eastAsia="lv-LV"/>
              </w:rPr>
            </w:pPr>
            <w:r w:rsidRPr="000B3007">
              <w:rPr>
                <w:b/>
                <w:bCs/>
                <w:color w:val="000000"/>
                <w:sz w:val="20"/>
                <w:lang w:eastAsia="lv-LV"/>
              </w:rPr>
              <w:t>Detalizēts apraksts*</w:t>
            </w:r>
          </w:p>
        </w:tc>
        <w:tc>
          <w:tcPr>
            <w:tcW w:w="1413" w:type="dxa"/>
            <w:vMerge w:val="restart"/>
            <w:shd w:val="clear" w:color="auto" w:fill="auto"/>
            <w:vAlign w:val="center"/>
            <w:hideMark/>
          </w:tcPr>
          <w:p w14:paraId="6047623E" w14:textId="77777777" w:rsidR="00646008" w:rsidRPr="000B3007" w:rsidRDefault="00646008" w:rsidP="008C010D">
            <w:pPr>
              <w:spacing w:after="0"/>
              <w:ind w:firstLine="0"/>
              <w:jc w:val="center"/>
              <w:rPr>
                <w:b/>
                <w:bCs/>
                <w:color w:val="000000"/>
                <w:sz w:val="20"/>
                <w:lang w:eastAsia="lv-LV"/>
              </w:rPr>
            </w:pPr>
            <w:r w:rsidRPr="000B3007">
              <w:rPr>
                <w:b/>
                <w:bCs/>
                <w:color w:val="000000"/>
                <w:sz w:val="20"/>
                <w:lang w:eastAsia="lv-LV"/>
              </w:rPr>
              <w:t>Nodokļu veids</w:t>
            </w:r>
          </w:p>
        </w:tc>
        <w:tc>
          <w:tcPr>
            <w:tcW w:w="791" w:type="dxa"/>
            <w:vMerge w:val="restart"/>
            <w:shd w:val="clear" w:color="auto" w:fill="auto"/>
            <w:vAlign w:val="center"/>
            <w:hideMark/>
          </w:tcPr>
          <w:p w14:paraId="2D90C8EE" w14:textId="77777777" w:rsidR="00646008" w:rsidRPr="000B3007" w:rsidRDefault="00646008" w:rsidP="00646008">
            <w:pPr>
              <w:spacing w:after="0"/>
              <w:ind w:firstLine="0"/>
              <w:jc w:val="center"/>
              <w:rPr>
                <w:b/>
                <w:bCs/>
                <w:color w:val="000000"/>
                <w:sz w:val="20"/>
                <w:lang w:eastAsia="lv-LV"/>
              </w:rPr>
            </w:pPr>
            <w:r w:rsidRPr="000B3007">
              <w:rPr>
                <w:b/>
                <w:bCs/>
                <w:color w:val="000000"/>
                <w:sz w:val="20"/>
                <w:lang w:eastAsia="lv-LV"/>
              </w:rPr>
              <w:t>ESA kods</w:t>
            </w:r>
          </w:p>
        </w:tc>
        <w:tc>
          <w:tcPr>
            <w:tcW w:w="1255" w:type="dxa"/>
            <w:vMerge w:val="restart"/>
            <w:shd w:val="clear" w:color="auto" w:fill="auto"/>
            <w:vAlign w:val="center"/>
            <w:hideMark/>
          </w:tcPr>
          <w:p w14:paraId="26791539" w14:textId="77777777" w:rsidR="00646008" w:rsidRPr="000B3007" w:rsidRDefault="00646008" w:rsidP="00646008">
            <w:pPr>
              <w:spacing w:after="0"/>
              <w:ind w:firstLine="0"/>
              <w:jc w:val="center"/>
              <w:rPr>
                <w:b/>
                <w:bCs/>
                <w:color w:val="000000"/>
                <w:sz w:val="20"/>
                <w:lang w:eastAsia="lv-LV"/>
              </w:rPr>
            </w:pPr>
            <w:r w:rsidRPr="000B3007">
              <w:rPr>
                <w:b/>
                <w:bCs/>
                <w:color w:val="000000"/>
                <w:sz w:val="20"/>
                <w:lang w:eastAsia="lv-LV"/>
              </w:rPr>
              <w:t>Uzskaites princips</w:t>
            </w:r>
          </w:p>
        </w:tc>
        <w:tc>
          <w:tcPr>
            <w:tcW w:w="1481" w:type="dxa"/>
            <w:vMerge w:val="restart"/>
            <w:shd w:val="clear" w:color="auto" w:fill="auto"/>
            <w:vAlign w:val="center"/>
            <w:hideMark/>
          </w:tcPr>
          <w:p w14:paraId="0E2FFF7B" w14:textId="77777777" w:rsidR="00646008" w:rsidRPr="000B3007" w:rsidRDefault="00646008" w:rsidP="00646008">
            <w:pPr>
              <w:spacing w:after="0"/>
              <w:ind w:firstLine="0"/>
              <w:jc w:val="center"/>
              <w:rPr>
                <w:b/>
                <w:bCs/>
                <w:color w:val="000000"/>
                <w:sz w:val="20"/>
                <w:lang w:eastAsia="lv-LV"/>
              </w:rPr>
            </w:pPr>
            <w:r w:rsidRPr="000B3007">
              <w:rPr>
                <w:b/>
                <w:bCs/>
                <w:color w:val="000000"/>
                <w:sz w:val="20"/>
                <w:lang w:eastAsia="lv-LV"/>
              </w:rPr>
              <w:t>Pieņemšanas statuss</w:t>
            </w:r>
          </w:p>
        </w:tc>
        <w:tc>
          <w:tcPr>
            <w:tcW w:w="730" w:type="dxa"/>
            <w:shd w:val="clear" w:color="auto" w:fill="auto"/>
            <w:noWrap/>
            <w:vAlign w:val="bottom"/>
            <w:hideMark/>
          </w:tcPr>
          <w:p w14:paraId="6268C801" w14:textId="77777777" w:rsidR="00646008" w:rsidRPr="000B3007" w:rsidRDefault="00646008" w:rsidP="00646008">
            <w:pPr>
              <w:spacing w:after="0"/>
              <w:ind w:firstLine="0"/>
              <w:jc w:val="left"/>
              <w:rPr>
                <w:b/>
                <w:bCs/>
                <w:color w:val="000000"/>
                <w:sz w:val="20"/>
                <w:lang w:eastAsia="lv-LV"/>
              </w:rPr>
            </w:pPr>
            <w:r w:rsidRPr="000B3007">
              <w:rPr>
                <w:b/>
                <w:bCs/>
                <w:color w:val="000000"/>
                <w:sz w:val="20"/>
                <w:lang w:eastAsia="lv-LV"/>
              </w:rPr>
              <w:t> </w:t>
            </w:r>
          </w:p>
        </w:tc>
        <w:tc>
          <w:tcPr>
            <w:tcW w:w="2796" w:type="dxa"/>
            <w:gridSpan w:val="3"/>
            <w:shd w:val="clear" w:color="auto" w:fill="auto"/>
            <w:noWrap/>
            <w:vAlign w:val="bottom"/>
            <w:hideMark/>
          </w:tcPr>
          <w:p w14:paraId="68CDC2A6" w14:textId="77777777" w:rsidR="00646008" w:rsidRPr="000B3007" w:rsidRDefault="00646008" w:rsidP="00646008">
            <w:pPr>
              <w:spacing w:after="0"/>
              <w:ind w:firstLine="0"/>
              <w:jc w:val="center"/>
              <w:rPr>
                <w:b/>
                <w:bCs/>
                <w:color w:val="000000"/>
                <w:sz w:val="20"/>
                <w:lang w:eastAsia="lv-LV"/>
              </w:rPr>
            </w:pPr>
            <w:r w:rsidRPr="000B3007">
              <w:rPr>
                <w:b/>
                <w:bCs/>
                <w:color w:val="000000"/>
                <w:sz w:val="20"/>
                <w:lang w:eastAsia="lv-LV"/>
              </w:rPr>
              <w:t>Ietekme uz budžetu</w:t>
            </w:r>
          </w:p>
        </w:tc>
      </w:tr>
      <w:tr w:rsidR="004D7430" w:rsidRPr="000B3007" w14:paraId="16052EEA" w14:textId="77777777" w:rsidTr="00F1735E">
        <w:trPr>
          <w:trHeight w:val="227"/>
        </w:trPr>
        <w:tc>
          <w:tcPr>
            <w:tcW w:w="2518" w:type="dxa"/>
            <w:vMerge/>
            <w:vAlign w:val="center"/>
            <w:hideMark/>
          </w:tcPr>
          <w:p w14:paraId="0660051C" w14:textId="77777777" w:rsidR="004D7430" w:rsidRPr="000B3007" w:rsidRDefault="004D7430" w:rsidP="004D7430">
            <w:pPr>
              <w:spacing w:after="0"/>
              <w:ind w:firstLine="0"/>
              <w:jc w:val="left"/>
              <w:rPr>
                <w:b/>
                <w:bCs/>
                <w:color w:val="000000"/>
                <w:sz w:val="20"/>
                <w:lang w:eastAsia="lv-LV"/>
              </w:rPr>
            </w:pPr>
          </w:p>
        </w:tc>
        <w:tc>
          <w:tcPr>
            <w:tcW w:w="3712" w:type="dxa"/>
            <w:vMerge/>
            <w:vAlign w:val="center"/>
            <w:hideMark/>
          </w:tcPr>
          <w:p w14:paraId="2CB0BC32" w14:textId="77777777" w:rsidR="004D7430" w:rsidRPr="000B3007" w:rsidRDefault="004D7430" w:rsidP="004D7430">
            <w:pPr>
              <w:spacing w:after="0"/>
              <w:ind w:firstLine="0"/>
              <w:jc w:val="left"/>
              <w:rPr>
                <w:b/>
                <w:bCs/>
                <w:color w:val="000000"/>
                <w:sz w:val="20"/>
                <w:lang w:eastAsia="lv-LV"/>
              </w:rPr>
            </w:pPr>
          </w:p>
        </w:tc>
        <w:tc>
          <w:tcPr>
            <w:tcW w:w="1413" w:type="dxa"/>
            <w:vMerge/>
            <w:vAlign w:val="center"/>
            <w:hideMark/>
          </w:tcPr>
          <w:p w14:paraId="13308669" w14:textId="77777777" w:rsidR="004D7430" w:rsidRPr="000B3007" w:rsidRDefault="004D7430" w:rsidP="004D7430">
            <w:pPr>
              <w:spacing w:after="0"/>
              <w:ind w:firstLine="0"/>
              <w:jc w:val="center"/>
              <w:rPr>
                <w:b/>
                <w:bCs/>
                <w:color w:val="000000"/>
                <w:sz w:val="20"/>
                <w:lang w:eastAsia="lv-LV"/>
              </w:rPr>
            </w:pPr>
          </w:p>
        </w:tc>
        <w:tc>
          <w:tcPr>
            <w:tcW w:w="791" w:type="dxa"/>
            <w:vMerge/>
            <w:vAlign w:val="center"/>
            <w:hideMark/>
          </w:tcPr>
          <w:p w14:paraId="47A11F1E" w14:textId="77777777" w:rsidR="004D7430" w:rsidRPr="000B3007" w:rsidRDefault="004D7430" w:rsidP="004D7430">
            <w:pPr>
              <w:spacing w:after="0"/>
              <w:ind w:firstLine="0"/>
              <w:jc w:val="left"/>
              <w:rPr>
                <w:b/>
                <w:bCs/>
                <w:color w:val="000000"/>
                <w:sz w:val="20"/>
                <w:lang w:eastAsia="lv-LV"/>
              </w:rPr>
            </w:pPr>
          </w:p>
        </w:tc>
        <w:tc>
          <w:tcPr>
            <w:tcW w:w="1255" w:type="dxa"/>
            <w:vMerge/>
            <w:vAlign w:val="center"/>
            <w:hideMark/>
          </w:tcPr>
          <w:p w14:paraId="0B33ABDA" w14:textId="77777777" w:rsidR="004D7430" w:rsidRPr="000B3007" w:rsidRDefault="004D7430" w:rsidP="004D7430">
            <w:pPr>
              <w:spacing w:after="0"/>
              <w:ind w:firstLine="0"/>
              <w:jc w:val="left"/>
              <w:rPr>
                <w:b/>
                <w:bCs/>
                <w:color w:val="000000"/>
                <w:sz w:val="20"/>
                <w:lang w:eastAsia="lv-LV"/>
              </w:rPr>
            </w:pPr>
          </w:p>
        </w:tc>
        <w:tc>
          <w:tcPr>
            <w:tcW w:w="1481" w:type="dxa"/>
            <w:vMerge/>
            <w:vAlign w:val="center"/>
            <w:hideMark/>
          </w:tcPr>
          <w:p w14:paraId="58547787" w14:textId="77777777" w:rsidR="004D7430" w:rsidRPr="000B3007" w:rsidRDefault="004D7430" w:rsidP="004D7430">
            <w:pPr>
              <w:spacing w:after="0"/>
              <w:ind w:firstLine="0"/>
              <w:jc w:val="left"/>
              <w:rPr>
                <w:b/>
                <w:bCs/>
                <w:color w:val="000000"/>
                <w:sz w:val="20"/>
                <w:lang w:eastAsia="lv-LV"/>
              </w:rPr>
            </w:pPr>
          </w:p>
        </w:tc>
        <w:tc>
          <w:tcPr>
            <w:tcW w:w="730" w:type="dxa"/>
            <w:vMerge w:val="restart"/>
            <w:shd w:val="clear" w:color="auto" w:fill="auto"/>
            <w:noWrap/>
            <w:vAlign w:val="bottom"/>
            <w:hideMark/>
          </w:tcPr>
          <w:p w14:paraId="3B7A4BC3" w14:textId="77777777" w:rsidR="004D7430" w:rsidRPr="000B3007" w:rsidRDefault="004D7430" w:rsidP="004D7430">
            <w:pPr>
              <w:spacing w:after="0"/>
              <w:ind w:firstLine="0"/>
              <w:jc w:val="center"/>
              <w:rPr>
                <w:b/>
                <w:bCs/>
                <w:color w:val="000000"/>
                <w:sz w:val="20"/>
                <w:lang w:eastAsia="lv-LV"/>
              </w:rPr>
            </w:pPr>
            <w:r w:rsidRPr="000B3007">
              <w:rPr>
                <w:b/>
                <w:bCs/>
                <w:color w:val="000000"/>
                <w:sz w:val="20"/>
                <w:lang w:eastAsia="lv-LV"/>
              </w:rPr>
              <w:t> </w:t>
            </w:r>
          </w:p>
        </w:tc>
        <w:tc>
          <w:tcPr>
            <w:tcW w:w="932" w:type="dxa"/>
            <w:shd w:val="clear" w:color="auto" w:fill="auto"/>
            <w:vAlign w:val="center"/>
            <w:hideMark/>
          </w:tcPr>
          <w:p w14:paraId="5DB949E3" w14:textId="342CD263" w:rsidR="004D7430" w:rsidRPr="000B3007" w:rsidRDefault="004D7430" w:rsidP="004D7430">
            <w:pPr>
              <w:spacing w:after="0"/>
              <w:ind w:firstLine="0"/>
              <w:jc w:val="center"/>
              <w:rPr>
                <w:b/>
                <w:bCs/>
                <w:color w:val="000000"/>
                <w:sz w:val="20"/>
                <w:lang w:eastAsia="lv-LV"/>
              </w:rPr>
            </w:pPr>
            <w:r w:rsidRPr="000B3007">
              <w:rPr>
                <w:b/>
                <w:bCs/>
                <w:color w:val="000000"/>
                <w:sz w:val="20"/>
              </w:rPr>
              <w:t>2020</w:t>
            </w:r>
          </w:p>
        </w:tc>
        <w:tc>
          <w:tcPr>
            <w:tcW w:w="932" w:type="dxa"/>
            <w:shd w:val="clear" w:color="auto" w:fill="auto"/>
            <w:vAlign w:val="center"/>
            <w:hideMark/>
          </w:tcPr>
          <w:p w14:paraId="28545F56" w14:textId="4D1B9DBF" w:rsidR="004D7430" w:rsidRPr="000B3007" w:rsidRDefault="004D7430" w:rsidP="004D7430">
            <w:pPr>
              <w:spacing w:after="0"/>
              <w:ind w:firstLine="0"/>
              <w:jc w:val="center"/>
              <w:rPr>
                <w:b/>
                <w:bCs/>
                <w:color w:val="000000"/>
                <w:sz w:val="20"/>
                <w:lang w:eastAsia="lv-LV"/>
              </w:rPr>
            </w:pPr>
            <w:r w:rsidRPr="000B3007">
              <w:rPr>
                <w:b/>
                <w:bCs/>
                <w:color w:val="000000"/>
                <w:sz w:val="20"/>
              </w:rPr>
              <w:t>2021</w:t>
            </w:r>
          </w:p>
        </w:tc>
        <w:tc>
          <w:tcPr>
            <w:tcW w:w="932" w:type="dxa"/>
            <w:shd w:val="clear" w:color="auto" w:fill="auto"/>
            <w:vAlign w:val="center"/>
            <w:hideMark/>
          </w:tcPr>
          <w:p w14:paraId="47DA1FDD" w14:textId="34D2D8CA" w:rsidR="004D7430" w:rsidRPr="000B3007" w:rsidRDefault="004D7430" w:rsidP="004D7430">
            <w:pPr>
              <w:spacing w:after="0"/>
              <w:ind w:firstLine="0"/>
              <w:jc w:val="center"/>
              <w:rPr>
                <w:b/>
                <w:bCs/>
                <w:color w:val="000000"/>
                <w:sz w:val="20"/>
                <w:lang w:eastAsia="lv-LV"/>
              </w:rPr>
            </w:pPr>
            <w:r w:rsidRPr="000B3007">
              <w:rPr>
                <w:b/>
                <w:bCs/>
                <w:color w:val="000000"/>
                <w:sz w:val="20"/>
              </w:rPr>
              <w:t>2022</w:t>
            </w:r>
          </w:p>
        </w:tc>
      </w:tr>
      <w:tr w:rsidR="00646008" w:rsidRPr="000B3007" w14:paraId="34092F68" w14:textId="77777777" w:rsidTr="00F1735E">
        <w:trPr>
          <w:trHeight w:val="227"/>
        </w:trPr>
        <w:tc>
          <w:tcPr>
            <w:tcW w:w="2518" w:type="dxa"/>
            <w:vMerge/>
            <w:vAlign w:val="center"/>
            <w:hideMark/>
          </w:tcPr>
          <w:p w14:paraId="5FE58160" w14:textId="77777777" w:rsidR="00646008" w:rsidRPr="000B3007" w:rsidRDefault="00646008" w:rsidP="00646008">
            <w:pPr>
              <w:spacing w:after="0"/>
              <w:ind w:firstLine="0"/>
              <w:jc w:val="left"/>
              <w:rPr>
                <w:b/>
                <w:bCs/>
                <w:color w:val="000000"/>
                <w:sz w:val="20"/>
                <w:lang w:eastAsia="lv-LV"/>
              </w:rPr>
            </w:pPr>
          </w:p>
        </w:tc>
        <w:tc>
          <w:tcPr>
            <w:tcW w:w="3712" w:type="dxa"/>
            <w:vMerge/>
            <w:vAlign w:val="center"/>
            <w:hideMark/>
          </w:tcPr>
          <w:p w14:paraId="02A12CD3" w14:textId="77777777" w:rsidR="00646008" w:rsidRPr="000B3007" w:rsidRDefault="00646008" w:rsidP="00646008">
            <w:pPr>
              <w:spacing w:after="0"/>
              <w:ind w:firstLine="0"/>
              <w:jc w:val="left"/>
              <w:rPr>
                <w:b/>
                <w:bCs/>
                <w:color w:val="000000"/>
                <w:sz w:val="20"/>
                <w:lang w:eastAsia="lv-LV"/>
              </w:rPr>
            </w:pPr>
          </w:p>
        </w:tc>
        <w:tc>
          <w:tcPr>
            <w:tcW w:w="1413" w:type="dxa"/>
            <w:vMerge/>
            <w:vAlign w:val="center"/>
            <w:hideMark/>
          </w:tcPr>
          <w:p w14:paraId="7C41522C" w14:textId="77777777" w:rsidR="00646008" w:rsidRPr="000B3007" w:rsidRDefault="00646008" w:rsidP="008C010D">
            <w:pPr>
              <w:spacing w:after="0"/>
              <w:ind w:firstLine="0"/>
              <w:jc w:val="center"/>
              <w:rPr>
                <w:b/>
                <w:bCs/>
                <w:color w:val="000000"/>
                <w:sz w:val="20"/>
                <w:lang w:eastAsia="lv-LV"/>
              </w:rPr>
            </w:pPr>
          </w:p>
        </w:tc>
        <w:tc>
          <w:tcPr>
            <w:tcW w:w="791" w:type="dxa"/>
            <w:vMerge/>
            <w:vAlign w:val="center"/>
            <w:hideMark/>
          </w:tcPr>
          <w:p w14:paraId="70FA52AD" w14:textId="77777777" w:rsidR="00646008" w:rsidRPr="000B3007" w:rsidRDefault="00646008" w:rsidP="00646008">
            <w:pPr>
              <w:spacing w:after="0"/>
              <w:ind w:firstLine="0"/>
              <w:jc w:val="left"/>
              <w:rPr>
                <w:b/>
                <w:bCs/>
                <w:color w:val="000000"/>
                <w:sz w:val="20"/>
                <w:lang w:eastAsia="lv-LV"/>
              </w:rPr>
            </w:pPr>
          </w:p>
        </w:tc>
        <w:tc>
          <w:tcPr>
            <w:tcW w:w="1255" w:type="dxa"/>
            <w:vMerge/>
            <w:vAlign w:val="center"/>
            <w:hideMark/>
          </w:tcPr>
          <w:p w14:paraId="4E42AEF5" w14:textId="77777777" w:rsidR="00646008" w:rsidRPr="000B3007" w:rsidRDefault="00646008" w:rsidP="00646008">
            <w:pPr>
              <w:spacing w:after="0"/>
              <w:ind w:firstLine="0"/>
              <w:jc w:val="left"/>
              <w:rPr>
                <w:b/>
                <w:bCs/>
                <w:color w:val="000000"/>
                <w:sz w:val="20"/>
                <w:lang w:eastAsia="lv-LV"/>
              </w:rPr>
            </w:pPr>
          </w:p>
        </w:tc>
        <w:tc>
          <w:tcPr>
            <w:tcW w:w="1481" w:type="dxa"/>
            <w:vMerge/>
            <w:vAlign w:val="center"/>
            <w:hideMark/>
          </w:tcPr>
          <w:p w14:paraId="6F3ECD6F" w14:textId="77777777" w:rsidR="00646008" w:rsidRPr="000B3007" w:rsidRDefault="00646008" w:rsidP="00646008">
            <w:pPr>
              <w:spacing w:after="0"/>
              <w:ind w:firstLine="0"/>
              <w:jc w:val="left"/>
              <w:rPr>
                <w:b/>
                <w:bCs/>
                <w:color w:val="000000"/>
                <w:sz w:val="20"/>
                <w:lang w:eastAsia="lv-LV"/>
              </w:rPr>
            </w:pPr>
          </w:p>
        </w:tc>
        <w:tc>
          <w:tcPr>
            <w:tcW w:w="730" w:type="dxa"/>
            <w:vMerge/>
            <w:vAlign w:val="center"/>
            <w:hideMark/>
          </w:tcPr>
          <w:p w14:paraId="575C12C2" w14:textId="77777777" w:rsidR="00646008" w:rsidRPr="000B3007" w:rsidRDefault="00646008" w:rsidP="00646008">
            <w:pPr>
              <w:spacing w:after="0"/>
              <w:ind w:firstLine="0"/>
              <w:jc w:val="left"/>
              <w:rPr>
                <w:b/>
                <w:bCs/>
                <w:color w:val="000000"/>
                <w:sz w:val="20"/>
                <w:lang w:eastAsia="lv-LV"/>
              </w:rPr>
            </w:pPr>
          </w:p>
        </w:tc>
        <w:tc>
          <w:tcPr>
            <w:tcW w:w="2796" w:type="dxa"/>
            <w:gridSpan w:val="3"/>
            <w:shd w:val="clear" w:color="auto" w:fill="auto"/>
            <w:vAlign w:val="center"/>
            <w:hideMark/>
          </w:tcPr>
          <w:p w14:paraId="02488B00" w14:textId="77777777" w:rsidR="00646008" w:rsidRPr="000B3007" w:rsidRDefault="00646008" w:rsidP="00646008">
            <w:pPr>
              <w:spacing w:after="0"/>
              <w:ind w:firstLine="0"/>
              <w:jc w:val="center"/>
              <w:rPr>
                <w:b/>
                <w:bCs/>
                <w:color w:val="000000"/>
                <w:sz w:val="20"/>
                <w:lang w:eastAsia="lv-LV"/>
              </w:rPr>
            </w:pPr>
            <w:r w:rsidRPr="000B3007">
              <w:rPr>
                <w:b/>
                <w:bCs/>
                <w:color w:val="000000"/>
                <w:sz w:val="20"/>
                <w:lang w:eastAsia="lv-LV"/>
              </w:rPr>
              <w:t>% IKP</w:t>
            </w:r>
          </w:p>
        </w:tc>
      </w:tr>
      <w:tr w:rsidR="004D7430" w:rsidRPr="000B3007" w14:paraId="7CF8343D" w14:textId="77777777" w:rsidTr="00F1735E">
        <w:trPr>
          <w:trHeight w:val="227"/>
        </w:trPr>
        <w:tc>
          <w:tcPr>
            <w:tcW w:w="2518" w:type="dxa"/>
            <w:vMerge w:val="restart"/>
            <w:shd w:val="clear" w:color="auto" w:fill="DBE5F1" w:themeFill="accent1" w:themeFillTint="33"/>
            <w:vAlign w:val="center"/>
            <w:hideMark/>
          </w:tcPr>
          <w:p w14:paraId="5F6C694C" w14:textId="7D1AD7E9" w:rsidR="004D7430" w:rsidRPr="000B3007" w:rsidRDefault="004D7430" w:rsidP="004D7430">
            <w:pPr>
              <w:spacing w:after="0"/>
              <w:ind w:firstLine="0"/>
              <w:rPr>
                <w:color w:val="000000"/>
                <w:sz w:val="20"/>
                <w:highlight w:val="yellow"/>
                <w:lang w:eastAsia="lv-LV"/>
              </w:rPr>
            </w:pPr>
            <w:r w:rsidRPr="000B3007">
              <w:rPr>
                <w:color w:val="000000"/>
                <w:sz w:val="20"/>
                <w:lang w:eastAsia="lv-LV"/>
              </w:rPr>
              <w:t>VAS "Latvijas valsts meži" dividendēs izmaksājamās peļņas daļas palielināšana</w:t>
            </w:r>
          </w:p>
        </w:tc>
        <w:tc>
          <w:tcPr>
            <w:tcW w:w="3712" w:type="dxa"/>
            <w:vMerge w:val="restart"/>
            <w:shd w:val="clear" w:color="auto" w:fill="DBE5F1" w:themeFill="accent1" w:themeFillTint="33"/>
            <w:vAlign w:val="center"/>
            <w:hideMark/>
          </w:tcPr>
          <w:p w14:paraId="5D106226" w14:textId="14962F6D" w:rsidR="004D7430" w:rsidRPr="000B3007" w:rsidRDefault="004D7430" w:rsidP="004D7430">
            <w:pPr>
              <w:spacing w:after="0"/>
              <w:ind w:firstLine="0"/>
              <w:rPr>
                <w:color w:val="000000"/>
                <w:sz w:val="20"/>
                <w:highlight w:val="yellow"/>
                <w:lang w:eastAsia="lv-LV"/>
              </w:rPr>
            </w:pPr>
            <w:r w:rsidRPr="000B3007">
              <w:rPr>
                <w:color w:val="000000"/>
                <w:sz w:val="20"/>
                <w:lang w:eastAsia="lv-LV"/>
              </w:rPr>
              <w:t>VAS "Latvijas valsts meži" dividendēs izmaksājamās peļņas daļas par 2019.gadu palielināšana</w:t>
            </w:r>
          </w:p>
        </w:tc>
        <w:tc>
          <w:tcPr>
            <w:tcW w:w="1413" w:type="dxa"/>
            <w:shd w:val="clear" w:color="auto" w:fill="DBE5F1" w:themeFill="accent1" w:themeFillTint="33"/>
            <w:vAlign w:val="center"/>
            <w:hideMark/>
          </w:tcPr>
          <w:p w14:paraId="589227F7" w14:textId="304F1B02" w:rsidR="004D7430" w:rsidRPr="000B3007" w:rsidRDefault="004D7430" w:rsidP="004D7430">
            <w:pPr>
              <w:spacing w:after="0"/>
              <w:ind w:firstLine="0"/>
              <w:jc w:val="center"/>
              <w:rPr>
                <w:color w:val="000000"/>
                <w:sz w:val="20"/>
                <w:highlight w:val="yellow"/>
                <w:lang w:eastAsia="lv-LV"/>
              </w:rPr>
            </w:pPr>
            <w:r w:rsidRPr="000B3007">
              <w:rPr>
                <w:color w:val="000000"/>
                <w:sz w:val="20"/>
              </w:rPr>
              <w:t xml:space="preserve">Nenodokļi </w:t>
            </w:r>
          </w:p>
        </w:tc>
        <w:tc>
          <w:tcPr>
            <w:tcW w:w="791" w:type="dxa"/>
            <w:shd w:val="clear" w:color="auto" w:fill="DBE5F1" w:themeFill="accent1" w:themeFillTint="33"/>
            <w:vAlign w:val="center"/>
            <w:hideMark/>
          </w:tcPr>
          <w:p w14:paraId="7A14189A" w14:textId="1F93D5E5" w:rsidR="004D7430" w:rsidRPr="000B3007" w:rsidRDefault="004D7430" w:rsidP="004D7430">
            <w:pPr>
              <w:spacing w:after="0"/>
              <w:ind w:firstLine="0"/>
              <w:jc w:val="center"/>
              <w:rPr>
                <w:color w:val="000000"/>
                <w:sz w:val="20"/>
                <w:highlight w:val="yellow"/>
                <w:lang w:eastAsia="lv-LV"/>
              </w:rPr>
            </w:pPr>
            <w:r w:rsidRPr="000B3007">
              <w:rPr>
                <w:color w:val="000000"/>
                <w:sz w:val="20"/>
              </w:rPr>
              <w:t>D.421</w:t>
            </w:r>
          </w:p>
        </w:tc>
        <w:tc>
          <w:tcPr>
            <w:tcW w:w="1255" w:type="dxa"/>
            <w:shd w:val="clear" w:color="auto" w:fill="DBE5F1" w:themeFill="accent1" w:themeFillTint="33"/>
            <w:vAlign w:val="center"/>
            <w:hideMark/>
          </w:tcPr>
          <w:p w14:paraId="7000BF08" w14:textId="6BF353DC" w:rsidR="004D7430" w:rsidRPr="000B3007" w:rsidRDefault="004D7430" w:rsidP="004D7430">
            <w:pPr>
              <w:spacing w:after="0"/>
              <w:ind w:firstLine="0"/>
              <w:jc w:val="center"/>
              <w:rPr>
                <w:color w:val="000000"/>
                <w:sz w:val="20"/>
                <w:highlight w:val="yellow"/>
                <w:lang w:eastAsia="lv-LV"/>
              </w:rPr>
            </w:pPr>
            <w:r w:rsidRPr="000B3007">
              <w:rPr>
                <w:color w:val="000000"/>
                <w:sz w:val="20"/>
              </w:rPr>
              <w:t>Uzkrājuma</w:t>
            </w:r>
          </w:p>
        </w:tc>
        <w:tc>
          <w:tcPr>
            <w:tcW w:w="1481" w:type="dxa"/>
            <w:shd w:val="clear" w:color="auto" w:fill="DBE5F1" w:themeFill="accent1" w:themeFillTint="33"/>
            <w:vAlign w:val="center"/>
            <w:hideMark/>
          </w:tcPr>
          <w:p w14:paraId="67AD961B" w14:textId="0EA466F9" w:rsidR="004D7430" w:rsidRPr="000B3007" w:rsidRDefault="004D7430" w:rsidP="004D7430">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DBE5F1" w:themeFill="accent1" w:themeFillTint="33"/>
            <w:noWrap/>
            <w:vAlign w:val="bottom"/>
            <w:hideMark/>
          </w:tcPr>
          <w:p w14:paraId="096481EC" w14:textId="77777777" w:rsidR="004D7430" w:rsidRPr="000B3007" w:rsidRDefault="004D7430" w:rsidP="004D7430">
            <w:pPr>
              <w:spacing w:after="0"/>
              <w:ind w:firstLine="0"/>
              <w:jc w:val="center"/>
              <w:rPr>
                <w:b/>
                <w:bCs/>
                <w:color w:val="000000"/>
                <w:sz w:val="20"/>
                <w:lang w:eastAsia="lv-LV"/>
              </w:rPr>
            </w:pPr>
            <w:r w:rsidRPr="000B3007">
              <w:rPr>
                <w:b/>
                <w:bCs/>
                <w:color w:val="000000"/>
                <w:sz w:val="20"/>
                <w:lang w:eastAsia="lv-LV"/>
              </w:rPr>
              <w:t> </w:t>
            </w:r>
          </w:p>
        </w:tc>
        <w:tc>
          <w:tcPr>
            <w:tcW w:w="932" w:type="dxa"/>
            <w:shd w:val="clear" w:color="auto" w:fill="DBE5F1" w:themeFill="accent1" w:themeFillTint="33"/>
            <w:vAlign w:val="center"/>
            <w:hideMark/>
          </w:tcPr>
          <w:p w14:paraId="6FD8F4BA" w14:textId="749B55B8" w:rsidR="004D7430" w:rsidRPr="000B3007" w:rsidRDefault="004D7430" w:rsidP="004D7430">
            <w:pPr>
              <w:spacing w:after="0"/>
              <w:ind w:firstLine="0"/>
              <w:jc w:val="center"/>
              <w:rPr>
                <w:color w:val="000000"/>
                <w:sz w:val="20"/>
                <w:highlight w:val="yellow"/>
                <w:lang w:eastAsia="lv-LV"/>
              </w:rPr>
            </w:pPr>
            <w:r w:rsidRPr="000B3007">
              <w:rPr>
                <w:color w:val="000000"/>
                <w:sz w:val="20"/>
              </w:rPr>
              <w:t>0,12</w:t>
            </w:r>
          </w:p>
        </w:tc>
        <w:tc>
          <w:tcPr>
            <w:tcW w:w="932" w:type="dxa"/>
            <w:shd w:val="clear" w:color="auto" w:fill="DBE5F1" w:themeFill="accent1" w:themeFillTint="33"/>
            <w:vAlign w:val="center"/>
            <w:hideMark/>
          </w:tcPr>
          <w:p w14:paraId="71317409" w14:textId="23C25437" w:rsidR="004D7430" w:rsidRPr="000B3007" w:rsidRDefault="004D7430" w:rsidP="004D7430">
            <w:pPr>
              <w:spacing w:after="0"/>
              <w:ind w:firstLine="0"/>
              <w:jc w:val="center"/>
              <w:rPr>
                <w:color w:val="000000"/>
                <w:sz w:val="20"/>
                <w:highlight w:val="yellow"/>
                <w:lang w:eastAsia="lv-LV"/>
              </w:rPr>
            </w:pPr>
            <w:r w:rsidRPr="000B3007">
              <w:rPr>
                <w:color w:val="000000"/>
                <w:sz w:val="20"/>
              </w:rPr>
              <w:t>-0,11</w:t>
            </w:r>
          </w:p>
        </w:tc>
        <w:tc>
          <w:tcPr>
            <w:tcW w:w="932" w:type="dxa"/>
            <w:shd w:val="clear" w:color="auto" w:fill="DBE5F1" w:themeFill="accent1" w:themeFillTint="33"/>
            <w:vAlign w:val="center"/>
            <w:hideMark/>
          </w:tcPr>
          <w:p w14:paraId="113D6FD7" w14:textId="464B6D56" w:rsidR="004D7430" w:rsidRPr="000B3007" w:rsidRDefault="004D7430" w:rsidP="004D7430">
            <w:pPr>
              <w:spacing w:after="0"/>
              <w:ind w:firstLine="0"/>
              <w:jc w:val="center"/>
              <w:rPr>
                <w:color w:val="000000"/>
                <w:sz w:val="20"/>
                <w:highlight w:val="yellow"/>
                <w:lang w:eastAsia="lv-LV"/>
              </w:rPr>
            </w:pPr>
            <w:r w:rsidRPr="000B3007">
              <w:rPr>
                <w:color w:val="000000"/>
                <w:sz w:val="20"/>
              </w:rPr>
              <w:t>0,00</w:t>
            </w:r>
          </w:p>
        </w:tc>
      </w:tr>
      <w:tr w:rsidR="004D7430" w:rsidRPr="000B3007" w14:paraId="75388E57" w14:textId="77777777" w:rsidTr="00F1735E">
        <w:trPr>
          <w:trHeight w:val="227"/>
        </w:trPr>
        <w:tc>
          <w:tcPr>
            <w:tcW w:w="2518" w:type="dxa"/>
            <w:vMerge/>
            <w:vAlign w:val="center"/>
            <w:hideMark/>
          </w:tcPr>
          <w:p w14:paraId="58F8FDA6" w14:textId="77777777" w:rsidR="004D7430" w:rsidRPr="000B3007" w:rsidRDefault="004D7430" w:rsidP="004D7430">
            <w:pPr>
              <w:spacing w:after="0"/>
              <w:ind w:firstLine="0"/>
              <w:rPr>
                <w:color w:val="000000"/>
                <w:sz w:val="20"/>
                <w:highlight w:val="yellow"/>
                <w:lang w:eastAsia="lv-LV"/>
              </w:rPr>
            </w:pPr>
          </w:p>
        </w:tc>
        <w:tc>
          <w:tcPr>
            <w:tcW w:w="3712" w:type="dxa"/>
            <w:vMerge/>
            <w:vAlign w:val="center"/>
            <w:hideMark/>
          </w:tcPr>
          <w:p w14:paraId="63279BF3" w14:textId="77777777" w:rsidR="004D7430" w:rsidRPr="000B3007" w:rsidRDefault="004D7430" w:rsidP="004D7430">
            <w:pPr>
              <w:spacing w:after="0"/>
              <w:ind w:firstLine="0"/>
              <w:rPr>
                <w:color w:val="000000"/>
                <w:sz w:val="20"/>
                <w:highlight w:val="yellow"/>
                <w:lang w:eastAsia="lv-LV"/>
              </w:rPr>
            </w:pPr>
          </w:p>
        </w:tc>
        <w:tc>
          <w:tcPr>
            <w:tcW w:w="1413" w:type="dxa"/>
            <w:shd w:val="clear" w:color="auto" w:fill="auto"/>
            <w:vAlign w:val="center"/>
            <w:hideMark/>
          </w:tcPr>
          <w:p w14:paraId="0196A088" w14:textId="5AF7C019" w:rsidR="004D7430" w:rsidRPr="000B3007" w:rsidRDefault="004D7430" w:rsidP="004D7430">
            <w:pPr>
              <w:spacing w:after="0"/>
              <w:ind w:firstLine="0"/>
              <w:jc w:val="center"/>
              <w:rPr>
                <w:color w:val="000000"/>
                <w:sz w:val="20"/>
                <w:highlight w:val="yellow"/>
                <w:lang w:eastAsia="lv-LV"/>
              </w:rPr>
            </w:pPr>
            <w:r w:rsidRPr="000B3007">
              <w:rPr>
                <w:color w:val="000000"/>
                <w:sz w:val="20"/>
              </w:rPr>
              <w:t>UIN</w:t>
            </w:r>
          </w:p>
        </w:tc>
        <w:tc>
          <w:tcPr>
            <w:tcW w:w="791" w:type="dxa"/>
            <w:shd w:val="clear" w:color="auto" w:fill="auto"/>
            <w:vAlign w:val="center"/>
            <w:hideMark/>
          </w:tcPr>
          <w:p w14:paraId="0A99406D" w14:textId="4FECA561" w:rsidR="004D7430" w:rsidRPr="000B3007" w:rsidRDefault="004D7430" w:rsidP="004D7430">
            <w:pPr>
              <w:spacing w:after="0"/>
              <w:ind w:firstLine="0"/>
              <w:jc w:val="center"/>
              <w:rPr>
                <w:color w:val="000000"/>
                <w:sz w:val="20"/>
                <w:highlight w:val="yellow"/>
                <w:lang w:eastAsia="lv-LV"/>
              </w:rPr>
            </w:pPr>
            <w:r w:rsidRPr="000B3007">
              <w:rPr>
                <w:color w:val="000000"/>
                <w:sz w:val="20"/>
              </w:rPr>
              <w:t>D.5</w:t>
            </w:r>
          </w:p>
        </w:tc>
        <w:tc>
          <w:tcPr>
            <w:tcW w:w="1255" w:type="dxa"/>
            <w:shd w:val="clear" w:color="auto" w:fill="auto"/>
            <w:vAlign w:val="center"/>
            <w:hideMark/>
          </w:tcPr>
          <w:p w14:paraId="34493FDC" w14:textId="1D55C980" w:rsidR="004D7430" w:rsidRPr="000B3007" w:rsidRDefault="004D7430" w:rsidP="004D7430">
            <w:pPr>
              <w:spacing w:after="0"/>
              <w:ind w:firstLine="0"/>
              <w:jc w:val="center"/>
              <w:rPr>
                <w:color w:val="000000"/>
                <w:sz w:val="20"/>
                <w:highlight w:val="yellow"/>
                <w:lang w:eastAsia="lv-LV"/>
              </w:rPr>
            </w:pPr>
            <w:r w:rsidRPr="000B3007">
              <w:rPr>
                <w:color w:val="000000"/>
                <w:sz w:val="20"/>
              </w:rPr>
              <w:t>Uzkrājuma</w:t>
            </w:r>
          </w:p>
        </w:tc>
        <w:tc>
          <w:tcPr>
            <w:tcW w:w="1481" w:type="dxa"/>
            <w:shd w:val="clear" w:color="auto" w:fill="auto"/>
            <w:vAlign w:val="center"/>
            <w:hideMark/>
          </w:tcPr>
          <w:p w14:paraId="7923AAFB" w14:textId="6229E43E" w:rsidR="004D7430" w:rsidRPr="000B3007" w:rsidRDefault="004D7430" w:rsidP="004D7430">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auto"/>
            <w:noWrap/>
            <w:vAlign w:val="bottom"/>
            <w:hideMark/>
          </w:tcPr>
          <w:p w14:paraId="68634F63" w14:textId="77777777" w:rsidR="004D7430" w:rsidRPr="000B3007" w:rsidRDefault="004D7430" w:rsidP="004D7430">
            <w:pPr>
              <w:spacing w:after="0"/>
              <w:ind w:firstLine="0"/>
              <w:jc w:val="center"/>
              <w:rPr>
                <w:b/>
                <w:bCs/>
                <w:color w:val="000000"/>
                <w:sz w:val="20"/>
                <w:lang w:eastAsia="lv-LV"/>
              </w:rPr>
            </w:pPr>
            <w:r w:rsidRPr="000B3007">
              <w:rPr>
                <w:b/>
                <w:bCs/>
                <w:color w:val="000000"/>
                <w:sz w:val="20"/>
                <w:lang w:eastAsia="lv-LV"/>
              </w:rPr>
              <w:t> </w:t>
            </w:r>
          </w:p>
        </w:tc>
        <w:tc>
          <w:tcPr>
            <w:tcW w:w="932" w:type="dxa"/>
            <w:shd w:val="clear" w:color="auto" w:fill="auto"/>
            <w:vAlign w:val="center"/>
            <w:hideMark/>
          </w:tcPr>
          <w:p w14:paraId="44E97649" w14:textId="7C035473" w:rsidR="004D7430" w:rsidRPr="000B3007" w:rsidRDefault="004D7430" w:rsidP="004D7430">
            <w:pPr>
              <w:spacing w:after="0"/>
              <w:ind w:firstLine="0"/>
              <w:jc w:val="center"/>
              <w:rPr>
                <w:color w:val="000000"/>
                <w:sz w:val="20"/>
                <w:highlight w:val="yellow"/>
                <w:lang w:eastAsia="lv-LV"/>
              </w:rPr>
            </w:pPr>
            <w:r w:rsidRPr="000B3007">
              <w:rPr>
                <w:color w:val="000000"/>
                <w:sz w:val="20"/>
              </w:rPr>
              <w:t>0,03</w:t>
            </w:r>
          </w:p>
        </w:tc>
        <w:tc>
          <w:tcPr>
            <w:tcW w:w="932" w:type="dxa"/>
            <w:shd w:val="clear" w:color="auto" w:fill="auto"/>
            <w:vAlign w:val="center"/>
            <w:hideMark/>
          </w:tcPr>
          <w:p w14:paraId="4B6BA8E2" w14:textId="6FDBE596" w:rsidR="004D7430" w:rsidRPr="000B3007" w:rsidRDefault="004D7430" w:rsidP="004D7430">
            <w:pPr>
              <w:spacing w:after="0"/>
              <w:ind w:firstLine="0"/>
              <w:jc w:val="center"/>
              <w:rPr>
                <w:color w:val="000000"/>
                <w:sz w:val="20"/>
                <w:highlight w:val="yellow"/>
                <w:lang w:eastAsia="lv-LV"/>
              </w:rPr>
            </w:pPr>
            <w:r w:rsidRPr="000B3007">
              <w:rPr>
                <w:color w:val="000000"/>
                <w:sz w:val="20"/>
              </w:rPr>
              <w:t>-0,03</w:t>
            </w:r>
          </w:p>
        </w:tc>
        <w:tc>
          <w:tcPr>
            <w:tcW w:w="932" w:type="dxa"/>
            <w:shd w:val="clear" w:color="auto" w:fill="auto"/>
            <w:vAlign w:val="center"/>
            <w:hideMark/>
          </w:tcPr>
          <w:p w14:paraId="7C3AC22F" w14:textId="3EFBDEB9" w:rsidR="004D7430" w:rsidRPr="000B3007" w:rsidRDefault="004D7430" w:rsidP="004D7430">
            <w:pPr>
              <w:spacing w:after="0"/>
              <w:ind w:firstLine="0"/>
              <w:jc w:val="center"/>
              <w:rPr>
                <w:color w:val="000000"/>
                <w:sz w:val="20"/>
                <w:highlight w:val="yellow"/>
                <w:lang w:eastAsia="lv-LV"/>
              </w:rPr>
            </w:pPr>
            <w:r w:rsidRPr="000B3007">
              <w:rPr>
                <w:color w:val="000000"/>
                <w:sz w:val="20"/>
              </w:rPr>
              <w:t>0,00</w:t>
            </w:r>
          </w:p>
        </w:tc>
      </w:tr>
      <w:tr w:rsidR="004D7430" w:rsidRPr="000B3007" w14:paraId="6DBA3908" w14:textId="77777777" w:rsidTr="00F1735E">
        <w:trPr>
          <w:trHeight w:val="227"/>
        </w:trPr>
        <w:tc>
          <w:tcPr>
            <w:tcW w:w="2518" w:type="dxa"/>
            <w:vAlign w:val="center"/>
          </w:tcPr>
          <w:p w14:paraId="3C4F666C" w14:textId="2504DEAD" w:rsidR="004D7430" w:rsidRPr="000B3007" w:rsidRDefault="004D7430" w:rsidP="004D7430">
            <w:pPr>
              <w:spacing w:after="0"/>
              <w:ind w:firstLine="0"/>
              <w:rPr>
                <w:color w:val="000000"/>
                <w:sz w:val="20"/>
                <w:highlight w:val="yellow"/>
                <w:lang w:eastAsia="lv-LV"/>
              </w:rPr>
            </w:pPr>
            <w:r w:rsidRPr="000B3007">
              <w:rPr>
                <w:color w:val="000000"/>
                <w:sz w:val="20"/>
                <w:lang w:eastAsia="lv-LV"/>
              </w:rPr>
              <w:t>Azartspēļu nodokļa likmes palielināšana un sadalījuma pa budžetiem izmaiņas</w:t>
            </w:r>
          </w:p>
        </w:tc>
        <w:tc>
          <w:tcPr>
            <w:tcW w:w="3712" w:type="dxa"/>
            <w:vAlign w:val="center"/>
          </w:tcPr>
          <w:p w14:paraId="4D191234" w14:textId="4AA3C532" w:rsidR="004D7430" w:rsidRPr="000B3007" w:rsidRDefault="004D7430" w:rsidP="00052FB5">
            <w:pPr>
              <w:spacing w:after="0"/>
              <w:ind w:firstLine="0"/>
              <w:rPr>
                <w:color w:val="000000"/>
                <w:sz w:val="20"/>
                <w:highlight w:val="yellow"/>
                <w:lang w:eastAsia="lv-LV"/>
              </w:rPr>
            </w:pPr>
            <w:r w:rsidRPr="000B3007">
              <w:rPr>
                <w:color w:val="000000"/>
                <w:sz w:val="20"/>
                <w:lang w:eastAsia="lv-LV"/>
              </w:rPr>
              <w:t>Azartspēļu nodokļa likmes palielināšana automātiem uz 5</w:t>
            </w:r>
            <w:r w:rsidR="00052FB5" w:rsidRPr="000B3007">
              <w:rPr>
                <w:color w:val="000000"/>
                <w:sz w:val="20"/>
                <w:lang w:eastAsia="lv-LV"/>
              </w:rPr>
              <w:t> </w:t>
            </w:r>
            <w:r w:rsidRPr="000B3007">
              <w:rPr>
                <w:color w:val="000000"/>
                <w:sz w:val="20"/>
                <w:lang w:eastAsia="lv-LV"/>
              </w:rPr>
              <w:t xml:space="preserve">172 </w:t>
            </w:r>
            <w:r w:rsidRPr="000B3007">
              <w:rPr>
                <w:i/>
                <w:iCs/>
                <w:color w:val="000000"/>
                <w:sz w:val="20"/>
                <w:lang w:eastAsia="lv-LV"/>
              </w:rPr>
              <w:t>euro</w:t>
            </w:r>
            <w:r w:rsidR="008906EA">
              <w:rPr>
                <w:color w:val="000000"/>
                <w:sz w:val="20"/>
                <w:lang w:eastAsia="lv-LV"/>
              </w:rPr>
              <w:t>/gadā</w:t>
            </w:r>
            <w:r w:rsidRPr="000B3007">
              <w:rPr>
                <w:color w:val="000000"/>
                <w:sz w:val="20"/>
                <w:lang w:eastAsia="lv-LV"/>
              </w:rPr>
              <w:t xml:space="preserve"> un spēļu galdiem līdz 28</w:t>
            </w:r>
            <w:r w:rsidR="00052FB5" w:rsidRPr="000B3007">
              <w:rPr>
                <w:color w:val="000000"/>
                <w:sz w:val="20"/>
                <w:lang w:eastAsia="lv-LV"/>
              </w:rPr>
              <w:t> </w:t>
            </w:r>
            <w:r w:rsidRPr="000B3007">
              <w:rPr>
                <w:color w:val="000000"/>
                <w:sz w:val="20"/>
                <w:lang w:eastAsia="lv-LV"/>
              </w:rPr>
              <w:t xml:space="preserve">080 </w:t>
            </w:r>
            <w:r w:rsidRPr="000B3007">
              <w:rPr>
                <w:i/>
                <w:iCs/>
                <w:color w:val="000000"/>
                <w:sz w:val="20"/>
                <w:lang w:eastAsia="lv-LV"/>
              </w:rPr>
              <w:t>euro</w:t>
            </w:r>
            <w:r w:rsidRPr="000B3007">
              <w:rPr>
                <w:color w:val="000000"/>
                <w:sz w:val="20"/>
                <w:lang w:eastAsia="lv-LV"/>
              </w:rPr>
              <w:t>/gadā un sadalījuma pa budžetiem izmaiņas (90% valsts budžetā un 10% pašvaldību budžetā)</w:t>
            </w:r>
          </w:p>
        </w:tc>
        <w:tc>
          <w:tcPr>
            <w:tcW w:w="1413" w:type="dxa"/>
            <w:shd w:val="clear" w:color="auto" w:fill="auto"/>
            <w:vAlign w:val="center"/>
          </w:tcPr>
          <w:p w14:paraId="55DC2DFB" w14:textId="023FE5CC" w:rsidR="004D7430" w:rsidRPr="000B3007" w:rsidRDefault="004D7430" w:rsidP="004D7430">
            <w:pPr>
              <w:spacing w:after="0"/>
              <w:ind w:firstLine="0"/>
              <w:jc w:val="center"/>
              <w:rPr>
                <w:color w:val="000000"/>
                <w:sz w:val="20"/>
              </w:rPr>
            </w:pPr>
            <w:r w:rsidRPr="000B3007">
              <w:rPr>
                <w:color w:val="000000"/>
                <w:sz w:val="20"/>
                <w:lang w:eastAsia="lv-LV"/>
              </w:rPr>
              <w:t>Azartspēļu nodoklis</w:t>
            </w:r>
          </w:p>
        </w:tc>
        <w:tc>
          <w:tcPr>
            <w:tcW w:w="791" w:type="dxa"/>
            <w:shd w:val="clear" w:color="auto" w:fill="auto"/>
            <w:vAlign w:val="center"/>
          </w:tcPr>
          <w:p w14:paraId="7ADCCEE5" w14:textId="685F7981" w:rsidR="004D7430" w:rsidRPr="000B3007" w:rsidRDefault="004D7430" w:rsidP="004D7430">
            <w:pPr>
              <w:spacing w:after="0"/>
              <w:ind w:firstLine="0"/>
              <w:jc w:val="center"/>
              <w:rPr>
                <w:color w:val="000000"/>
                <w:sz w:val="20"/>
              </w:rPr>
            </w:pPr>
            <w:r w:rsidRPr="000B3007">
              <w:rPr>
                <w:color w:val="000000"/>
                <w:sz w:val="20"/>
                <w:lang w:eastAsia="lv-LV"/>
              </w:rPr>
              <w:t>D.21</w:t>
            </w:r>
          </w:p>
        </w:tc>
        <w:tc>
          <w:tcPr>
            <w:tcW w:w="1255" w:type="dxa"/>
            <w:shd w:val="clear" w:color="auto" w:fill="auto"/>
            <w:vAlign w:val="center"/>
          </w:tcPr>
          <w:p w14:paraId="03FA29CC" w14:textId="31C54520" w:rsidR="004D7430" w:rsidRPr="000B3007" w:rsidRDefault="004D7430" w:rsidP="004D7430">
            <w:pPr>
              <w:spacing w:after="0"/>
              <w:ind w:firstLine="0"/>
              <w:jc w:val="center"/>
              <w:rPr>
                <w:color w:val="000000"/>
                <w:sz w:val="20"/>
              </w:rPr>
            </w:pPr>
            <w:r w:rsidRPr="000B3007">
              <w:rPr>
                <w:color w:val="000000"/>
                <w:sz w:val="20"/>
                <w:lang w:eastAsia="lv-LV"/>
              </w:rPr>
              <w:t>Uzkrājuma</w:t>
            </w:r>
          </w:p>
        </w:tc>
        <w:tc>
          <w:tcPr>
            <w:tcW w:w="1481" w:type="dxa"/>
            <w:shd w:val="clear" w:color="auto" w:fill="auto"/>
            <w:vAlign w:val="center"/>
          </w:tcPr>
          <w:p w14:paraId="2F221B4D" w14:textId="77F99F62" w:rsidR="004D7430" w:rsidRPr="000B3007" w:rsidRDefault="004D7430" w:rsidP="004D7430">
            <w:pPr>
              <w:spacing w:after="0"/>
              <w:ind w:firstLine="0"/>
              <w:jc w:val="center"/>
              <w:rPr>
                <w:color w:val="000000"/>
                <w:sz w:val="20"/>
              </w:rPr>
            </w:pPr>
            <w:r w:rsidRPr="000B3007">
              <w:rPr>
                <w:color w:val="000000"/>
                <w:sz w:val="20"/>
                <w:lang w:eastAsia="lv-LV"/>
              </w:rPr>
              <w:t>Daļēji pieņemts</w:t>
            </w:r>
          </w:p>
        </w:tc>
        <w:tc>
          <w:tcPr>
            <w:tcW w:w="730" w:type="dxa"/>
            <w:shd w:val="clear" w:color="auto" w:fill="auto"/>
            <w:noWrap/>
            <w:vAlign w:val="center"/>
          </w:tcPr>
          <w:p w14:paraId="4A7E288C" w14:textId="46C6157C" w:rsidR="004D7430" w:rsidRPr="000B3007" w:rsidRDefault="004D7430" w:rsidP="004D7430">
            <w:pPr>
              <w:spacing w:after="0"/>
              <w:ind w:firstLine="0"/>
              <w:jc w:val="center"/>
              <w:rPr>
                <w:b/>
                <w:bCs/>
                <w:color w:val="000000"/>
                <w:sz w:val="20"/>
                <w:highlight w:val="yellow"/>
                <w:lang w:eastAsia="lv-LV"/>
              </w:rPr>
            </w:pPr>
          </w:p>
        </w:tc>
        <w:tc>
          <w:tcPr>
            <w:tcW w:w="932" w:type="dxa"/>
            <w:shd w:val="clear" w:color="auto" w:fill="auto"/>
            <w:vAlign w:val="center"/>
          </w:tcPr>
          <w:p w14:paraId="64E658F3" w14:textId="781B5A30" w:rsidR="004D7430" w:rsidRPr="000B3007" w:rsidRDefault="004D7430" w:rsidP="004D7430">
            <w:pPr>
              <w:spacing w:after="0"/>
              <w:ind w:firstLine="0"/>
              <w:jc w:val="center"/>
              <w:rPr>
                <w:color w:val="000000"/>
                <w:sz w:val="20"/>
              </w:rPr>
            </w:pPr>
            <w:r w:rsidRPr="000B3007">
              <w:rPr>
                <w:color w:val="000000"/>
                <w:sz w:val="20"/>
                <w:lang w:eastAsia="lv-LV"/>
              </w:rPr>
              <w:t>0,02</w:t>
            </w:r>
          </w:p>
        </w:tc>
        <w:tc>
          <w:tcPr>
            <w:tcW w:w="932" w:type="dxa"/>
            <w:shd w:val="clear" w:color="auto" w:fill="auto"/>
            <w:vAlign w:val="center"/>
          </w:tcPr>
          <w:p w14:paraId="73EF572A" w14:textId="4C5FD002" w:rsidR="004D7430" w:rsidRPr="000B3007" w:rsidRDefault="004D7430" w:rsidP="004D7430">
            <w:pPr>
              <w:spacing w:after="0"/>
              <w:ind w:firstLine="0"/>
              <w:jc w:val="center"/>
              <w:rPr>
                <w:color w:val="000000"/>
                <w:sz w:val="20"/>
              </w:rPr>
            </w:pPr>
            <w:r w:rsidRPr="000B3007">
              <w:rPr>
                <w:color w:val="000000"/>
                <w:sz w:val="20"/>
                <w:lang w:eastAsia="lv-LV"/>
              </w:rPr>
              <w:t>0,00</w:t>
            </w:r>
          </w:p>
        </w:tc>
        <w:tc>
          <w:tcPr>
            <w:tcW w:w="932" w:type="dxa"/>
            <w:shd w:val="clear" w:color="auto" w:fill="auto"/>
            <w:vAlign w:val="center"/>
          </w:tcPr>
          <w:p w14:paraId="3FEFCDE2" w14:textId="12BBBE36" w:rsidR="004D7430" w:rsidRPr="000B3007" w:rsidRDefault="004D7430" w:rsidP="004D7430">
            <w:pPr>
              <w:spacing w:after="0"/>
              <w:ind w:firstLine="0"/>
              <w:jc w:val="center"/>
              <w:rPr>
                <w:color w:val="000000"/>
                <w:sz w:val="20"/>
              </w:rPr>
            </w:pPr>
            <w:r w:rsidRPr="000B3007">
              <w:rPr>
                <w:color w:val="000000"/>
                <w:sz w:val="20"/>
                <w:lang w:eastAsia="lv-LV"/>
              </w:rPr>
              <w:t>0,00</w:t>
            </w:r>
          </w:p>
        </w:tc>
      </w:tr>
      <w:tr w:rsidR="004D7430" w:rsidRPr="000B3007" w14:paraId="6C63ABFB" w14:textId="77777777" w:rsidTr="00F1735E">
        <w:trPr>
          <w:trHeight w:val="227"/>
        </w:trPr>
        <w:tc>
          <w:tcPr>
            <w:tcW w:w="2518" w:type="dxa"/>
            <w:vMerge w:val="restart"/>
            <w:shd w:val="clear" w:color="auto" w:fill="DBE5F1" w:themeFill="accent1" w:themeFillTint="33"/>
            <w:vAlign w:val="center"/>
          </w:tcPr>
          <w:p w14:paraId="7108B186" w14:textId="39FED203" w:rsidR="004D7430" w:rsidRPr="000B3007" w:rsidRDefault="004D7430" w:rsidP="004D7430">
            <w:pPr>
              <w:spacing w:after="0"/>
              <w:ind w:firstLine="0"/>
              <w:rPr>
                <w:color w:val="000000"/>
                <w:sz w:val="20"/>
                <w:lang w:eastAsia="lv-LV"/>
              </w:rPr>
            </w:pPr>
            <w:r w:rsidRPr="000B3007">
              <w:rPr>
                <w:color w:val="000000"/>
                <w:sz w:val="20"/>
                <w:lang w:eastAsia="lv-LV"/>
              </w:rPr>
              <w:t>Diferencētā neapliekamā minimuma paaugstināšana 2020.gadā</w:t>
            </w:r>
          </w:p>
        </w:tc>
        <w:tc>
          <w:tcPr>
            <w:tcW w:w="3712" w:type="dxa"/>
            <w:vMerge w:val="restart"/>
            <w:shd w:val="clear" w:color="auto" w:fill="DBE5F1" w:themeFill="accent1" w:themeFillTint="33"/>
            <w:vAlign w:val="center"/>
          </w:tcPr>
          <w:p w14:paraId="758F57B0" w14:textId="7FCB8159" w:rsidR="004D7430" w:rsidRPr="000B3007" w:rsidRDefault="004D7430" w:rsidP="004D7430">
            <w:pPr>
              <w:spacing w:after="0"/>
              <w:ind w:firstLine="0"/>
              <w:rPr>
                <w:color w:val="000000"/>
                <w:sz w:val="20"/>
                <w:lang w:eastAsia="lv-LV"/>
              </w:rPr>
            </w:pPr>
            <w:r w:rsidRPr="000B3007">
              <w:rPr>
                <w:sz w:val="20"/>
                <w:lang w:eastAsia="lv-LV"/>
              </w:rPr>
              <w:t xml:space="preserve">Diferencētā neapliekamā minimuma paaugstināšana līdz 300 </w:t>
            </w:r>
            <w:r w:rsidRPr="000B3007">
              <w:rPr>
                <w:i/>
                <w:iCs/>
                <w:sz w:val="20"/>
                <w:lang w:eastAsia="lv-LV"/>
              </w:rPr>
              <w:t>euro</w:t>
            </w:r>
            <w:r w:rsidRPr="000B3007">
              <w:rPr>
                <w:sz w:val="20"/>
                <w:lang w:eastAsia="lv-LV"/>
              </w:rPr>
              <w:t xml:space="preserve">/mēnesī un augstākās robežas, līdz kurai piemēro maksimālo gada diferencēto neapliekamo minimumu, paaugstināta līdz 500 </w:t>
            </w:r>
            <w:r w:rsidRPr="000B3007">
              <w:rPr>
                <w:i/>
                <w:iCs/>
                <w:sz w:val="20"/>
                <w:lang w:eastAsia="lv-LV"/>
              </w:rPr>
              <w:t>euro</w:t>
            </w:r>
            <w:r w:rsidRPr="000B3007">
              <w:rPr>
                <w:sz w:val="20"/>
                <w:lang w:eastAsia="lv-LV"/>
              </w:rPr>
              <w:t xml:space="preserve">/mēnesī </w:t>
            </w:r>
          </w:p>
        </w:tc>
        <w:tc>
          <w:tcPr>
            <w:tcW w:w="1413" w:type="dxa"/>
            <w:shd w:val="clear" w:color="auto" w:fill="DBE5F1" w:themeFill="accent1" w:themeFillTint="33"/>
            <w:vAlign w:val="center"/>
          </w:tcPr>
          <w:p w14:paraId="1723FE71" w14:textId="3D2E1F61" w:rsidR="004D7430" w:rsidRPr="000B3007" w:rsidRDefault="004D7430" w:rsidP="004D7430">
            <w:pPr>
              <w:spacing w:after="0"/>
              <w:ind w:firstLine="0"/>
              <w:jc w:val="center"/>
              <w:rPr>
                <w:color w:val="000000"/>
                <w:sz w:val="20"/>
                <w:lang w:eastAsia="lv-LV"/>
              </w:rPr>
            </w:pPr>
            <w:r w:rsidRPr="000B3007">
              <w:rPr>
                <w:color w:val="000000"/>
                <w:sz w:val="20"/>
                <w:lang w:eastAsia="lv-LV"/>
              </w:rPr>
              <w:t>IIN</w:t>
            </w:r>
          </w:p>
        </w:tc>
        <w:tc>
          <w:tcPr>
            <w:tcW w:w="791" w:type="dxa"/>
            <w:shd w:val="clear" w:color="auto" w:fill="DBE5F1" w:themeFill="accent1" w:themeFillTint="33"/>
            <w:vAlign w:val="center"/>
          </w:tcPr>
          <w:p w14:paraId="5AE4E022" w14:textId="2D76A362" w:rsidR="004D7430" w:rsidRPr="000B3007" w:rsidRDefault="004D7430" w:rsidP="004D7430">
            <w:pPr>
              <w:spacing w:after="0"/>
              <w:ind w:firstLine="0"/>
              <w:jc w:val="center"/>
              <w:rPr>
                <w:color w:val="000000"/>
                <w:sz w:val="20"/>
                <w:lang w:eastAsia="lv-LV"/>
              </w:rPr>
            </w:pPr>
            <w:r w:rsidRPr="000B3007">
              <w:rPr>
                <w:color w:val="000000"/>
                <w:sz w:val="20"/>
                <w:lang w:eastAsia="lv-LV"/>
              </w:rPr>
              <w:t>D.5</w:t>
            </w:r>
          </w:p>
        </w:tc>
        <w:tc>
          <w:tcPr>
            <w:tcW w:w="1255" w:type="dxa"/>
            <w:shd w:val="clear" w:color="auto" w:fill="DBE5F1" w:themeFill="accent1" w:themeFillTint="33"/>
            <w:vAlign w:val="center"/>
          </w:tcPr>
          <w:p w14:paraId="19776334" w14:textId="3B66A398" w:rsidR="004D7430" w:rsidRPr="000B3007" w:rsidRDefault="004D7430" w:rsidP="004D7430">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DBE5F1" w:themeFill="accent1" w:themeFillTint="33"/>
            <w:vAlign w:val="center"/>
          </w:tcPr>
          <w:p w14:paraId="1425761E" w14:textId="6B9ED283" w:rsidR="004D7430" w:rsidRPr="000B3007" w:rsidRDefault="004D7430" w:rsidP="004D7430">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DBE5F1" w:themeFill="accent1" w:themeFillTint="33"/>
            <w:noWrap/>
            <w:vAlign w:val="center"/>
          </w:tcPr>
          <w:p w14:paraId="7C312786" w14:textId="40E2DD1E" w:rsidR="004D7430" w:rsidRPr="000B3007" w:rsidRDefault="004D7430" w:rsidP="004D7430">
            <w:pPr>
              <w:spacing w:after="0"/>
              <w:ind w:firstLine="0"/>
              <w:jc w:val="center"/>
              <w:rPr>
                <w:color w:val="000000"/>
                <w:sz w:val="20"/>
                <w:lang w:eastAsia="lv-LV"/>
              </w:rPr>
            </w:pPr>
          </w:p>
        </w:tc>
        <w:tc>
          <w:tcPr>
            <w:tcW w:w="932" w:type="dxa"/>
            <w:shd w:val="clear" w:color="auto" w:fill="DBE5F1" w:themeFill="accent1" w:themeFillTint="33"/>
            <w:vAlign w:val="center"/>
          </w:tcPr>
          <w:p w14:paraId="04C63C97" w14:textId="477CDD28" w:rsidR="004D7430" w:rsidRPr="000B3007" w:rsidRDefault="004D7430" w:rsidP="004D7430">
            <w:pPr>
              <w:spacing w:after="0"/>
              <w:ind w:firstLine="0"/>
              <w:jc w:val="center"/>
              <w:rPr>
                <w:color w:val="000000"/>
                <w:sz w:val="20"/>
                <w:lang w:eastAsia="lv-LV"/>
              </w:rPr>
            </w:pPr>
            <w:r w:rsidRPr="000B3007">
              <w:rPr>
                <w:color w:val="000000"/>
                <w:sz w:val="20"/>
                <w:lang w:eastAsia="lv-LV"/>
              </w:rPr>
              <w:t>-0,11</w:t>
            </w:r>
          </w:p>
        </w:tc>
        <w:tc>
          <w:tcPr>
            <w:tcW w:w="932" w:type="dxa"/>
            <w:shd w:val="clear" w:color="auto" w:fill="DBE5F1" w:themeFill="accent1" w:themeFillTint="33"/>
            <w:vAlign w:val="center"/>
          </w:tcPr>
          <w:p w14:paraId="440F188A" w14:textId="1C3D2292"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DBE5F1" w:themeFill="accent1" w:themeFillTint="33"/>
            <w:vAlign w:val="center"/>
          </w:tcPr>
          <w:p w14:paraId="122D3C01" w14:textId="7064091D" w:rsidR="004D7430" w:rsidRPr="000B3007" w:rsidRDefault="004D7430" w:rsidP="004D7430">
            <w:pPr>
              <w:spacing w:after="0"/>
              <w:ind w:firstLine="0"/>
              <w:jc w:val="center"/>
              <w:rPr>
                <w:color w:val="000000"/>
                <w:sz w:val="20"/>
              </w:rPr>
            </w:pPr>
            <w:r w:rsidRPr="000B3007">
              <w:rPr>
                <w:color w:val="000000"/>
                <w:sz w:val="20"/>
                <w:lang w:eastAsia="lv-LV"/>
              </w:rPr>
              <w:t>0,00</w:t>
            </w:r>
          </w:p>
        </w:tc>
      </w:tr>
      <w:tr w:rsidR="004D7430" w:rsidRPr="000B3007" w14:paraId="722D5658" w14:textId="77777777" w:rsidTr="00F1735E">
        <w:trPr>
          <w:trHeight w:val="227"/>
        </w:trPr>
        <w:tc>
          <w:tcPr>
            <w:tcW w:w="2518" w:type="dxa"/>
            <w:vMerge/>
            <w:shd w:val="clear" w:color="auto" w:fill="DBE5F1" w:themeFill="accent1" w:themeFillTint="33"/>
            <w:vAlign w:val="center"/>
          </w:tcPr>
          <w:p w14:paraId="1009A28E" w14:textId="77777777" w:rsidR="004D7430" w:rsidRPr="000B3007" w:rsidRDefault="004D7430" w:rsidP="004D7430">
            <w:pPr>
              <w:spacing w:after="0"/>
              <w:ind w:firstLine="0"/>
              <w:rPr>
                <w:color w:val="000000"/>
                <w:sz w:val="20"/>
                <w:lang w:eastAsia="lv-LV"/>
              </w:rPr>
            </w:pPr>
          </w:p>
        </w:tc>
        <w:tc>
          <w:tcPr>
            <w:tcW w:w="3712" w:type="dxa"/>
            <w:vMerge/>
            <w:shd w:val="clear" w:color="auto" w:fill="DBE5F1" w:themeFill="accent1" w:themeFillTint="33"/>
            <w:vAlign w:val="center"/>
          </w:tcPr>
          <w:p w14:paraId="5CADEC10" w14:textId="77777777" w:rsidR="004D7430" w:rsidRPr="000B3007" w:rsidRDefault="004D7430" w:rsidP="004D7430">
            <w:pPr>
              <w:spacing w:after="0"/>
              <w:ind w:firstLine="0"/>
              <w:rPr>
                <w:color w:val="000000"/>
                <w:sz w:val="20"/>
                <w:lang w:eastAsia="lv-LV"/>
              </w:rPr>
            </w:pPr>
          </w:p>
        </w:tc>
        <w:tc>
          <w:tcPr>
            <w:tcW w:w="1413" w:type="dxa"/>
            <w:shd w:val="clear" w:color="auto" w:fill="auto"/>
            <w:vAlign w:val="center"/>
          </w:tcPr>
          <w:p w14:paraId="174610C9" w14:textId="6CD27AA3" w:rsidR="004D7430" w:rsidRPr="000B3007" w:rsidRDefault="004D7430" w:rsidP="004D7430">
            <w:pPr>
              <w:spacing w:after="0"/>
              <w:ind w:firstLine="0"/>
              <w:jc w:val="center"/>
              <w:rPr>
                <w:color w:val="000000"/>
                <w:sz w:val="20"/>
                <w:lang w:eastAsia="lv-LV"/>
              </w:rPr>
            </w:pPr>
            <w:r w:rsidRPr="000B3007">
              <w:rPr>
                <w:color w:val="000000"/>
                <w:sz w:val="20"/>
                <w:lang w:eastAsia="lv-LV"/>
              </w:rPr>
              <w:t>PVN</w:t>
            </w:r>
          </w:p>
        </w:tc>
        <w:tc>
          <w:tcPr>
            <w:tcW w:w="791" w:type="dxa"/>
            <w:shd w:val="clear" w:color="auto" w:fill="auto"/>
            <w:vAlign w:val="center"/>
          </w:tcPr>
          <w:p w14:paraId="75FEA2DE" w14:textId="61B7A7D0" w:rsidR="004D7430" w:rsidRPr="000B3007" w:rsidRDefault="004D7430" w:rsidP="004D7430">
            <w:pPr>
              <w:spacing w:after="0"/>
              <w:ind w:firstLine="0"/>
              <w:jc w:val="center"/>
              <w:rPr>
                <w:color w:val="000000"/>
                <w:sz w:val="20"/>
                <w:lang w:eastAsia="lv-LV"/>
              </w:rPr>
            </w:pPr>
            <w:r w:rsidRPr="000B3007">
              <w:rPr>
                <w:color w:val="000000"/>
                <w:sz w:val="20"/>
                <w:lang w:eastAsia="lv-LV"/>
              </w:rPr>
              <w:t>D.2</w:t>
            </w:r>
          </w:p>
        </w:tc>
        <w:tc>
          <w:tcPr>
            <w:tcW w:w="1255" w:type="dxa"/>
            <w:shd w:val="clear" w:color="auto" w:fill="auto"/>
            <w:vAlign w:val="center"/>
          </w:tcPr>
          <w:p w14:paraId="44BB1329" w14:textId="5DADC647" w:rsidR="004D7430" w:rsidRPr="000B3007" w:rsidRDefault="004D7430" w:rsidP="004D7430">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auto"/>
            <w:vAlign w:val="center"/>
          </w:tcPr>
          <w:p w14:paraId="57DAF71E" w14:textId="6E9C8B53" w:rsidR="004D7430" w:rsidRPr="000B3007" w:rsidRDefault="004D7430" w:rsidP="004D7430">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auto"/>
            <w:noWrap/>
            <w:vAlign w:val="center"/>
          </w:tcPr>
          <w:p w14:paraId="064710F8" w14:textId="459DFE4D" w:rsidR="004D7430" w:rsidRPr="000B3007" w:rsidRDefault="004D7430" w:rsidP="004D7430">
            <w:pPr>
              <w:spacing w:after="0"/>
              <w:ind w:firstLine="0"/>
              <w:jc w:val="center"/>
              <w:rPr>
                <w:color w:val="000000"/>
                <w:sz w:val="20"/>
                <w:lang w:eastAsia="lv-LV"/>
              </w:rPr>
            </w:pPr>
          </w:p>
        </w:tc>
        <w:tc>
          <w:tcPr>
            <w:tcW w:w="932" w:type="dxa"/>
            <w:shd w:val="clear" w:color="auto" w:fill="auto"/>
            <w:vAlign w:val="center"/>
          </w:tcPr>
          <w:p w14:paraId="6F62B01D" w14:textId="48BE81B7" w:rsidR="004D7430" w:rsidRPr="000B3007" w:rsidRDefault="004D7430" w:rsidP="004D7430">
            <w:pPr>
              <w:spacing w:after="0"/>
              <w:ind w:firstLine="0"/>
              <w:jc w:val="center"/>
              <w:rPr>
                <w:color w:val="000000"/>
                <w:sz w:val="20"/>
                <w:lang w:eastAsia="lv-LV"/>
              </w:rPr>
            </w:pPr>
            <w:r w:rsidRPr="000B3007">
              <w:rPr>
                <w:color w:val="000000"/>
                <w:sz w:val="20"/>
                <w:lang w:eastAsia="lv-LV"/>
              </w:rPr>
              <w:t>0,01</w:t>
            </w:r>
          </w:p>
        </w:tc>
        <w:tc>
          <w:tcPr>
            <w:tcW w:w="932" w:type="dxa"/>
            <w:shd w:val="clear" w:color="auto" w:fill="auto"/>
            <w:vAlign w:val="center"/>
          </w:tcPr>
          <w:p w14:paraId="380B4751" w14:textId="4F831DC6"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auto"/>
            <w:vAlign w:val="center"/>
          </w:tcPr>
          <w:p w14:paraId="23BBAECB" w14:textId="741A1C07" w:rsidR="004D7430" w:rsidRPr="000B3007" w:rsidRDefault="004D7430" w:rsidP="004D7430">
            <w:pPr>
              <w:spacing w:after="0"/>
              <w:ind w:firstLine="0"/>
              <w:jc w:val="center"/>
              <w:rPr>
                <w:color w:val="000000"/>
                <w:sz w:val="20"/>
              </w:rPr>
            </w:pPr>
            <w:r w:rsidRPr="000B3007">
              <w:rPr>
                <w:color w:val="000000"/>
                <w:sz w:val="20"/>
                <w:lang w:eastAsia="lv-LV"/>
              </w:rPr>
              <w:t>0,00</w:t>
            </w:r>
          </w:p>
        </w:tc>
      </w:tr>
      <w:tr w:rsidR="004D7430" w:rsidRPr="000B3007" w14:paraId="3265FC35" w14:textId="77777777" w:rsidTr="00F1735E">
        <w:trPr>
          <w:trHeight w:val="227"/>
        </w:trPr>
        <w:tc>
          <w:tcPr>
            <w:tcW w:w="2518" w:type="dxa"/>
            <w:vMerge w:val="restart"/>
            <w:vAlign w:val="center"/>
          </w:tcPr>
          <w:p w14:paraId="1B3D3554" w14:textId="6A482760" w:rsidR="004D7430" w:rsidRPr="000B3007" w:rsidRDefault="004D7430" w:rsidP="004D7430">
            <w:pPr>
              <w:spacing w:after="0"/>
              <w:ind w:firstLine="0"/>
              <w:rPr>
                <w:color w:val="000000"/>
                <w:sz w:val="20"/>
                <w:lang w:eastAsia="lv-LV"/>
              </w:rPr>
            </w:pPr>
            <w:r w:rsidRPr="000B3007">
              <w:rPr>
                <w:color w:val="000000"/>
                <w:sz w:val="20"/>
                <w:lang w:eastAsia="lv-LV"/>
              </w:rPr>
              <w:t xml:space="preserve">Ar 2021.gadu minimālās mēneša darba algas paaugstināšana no 430 </w:t>
            </w:r>
            <w:r w:rsidRPr="000B3007">
              <w:rPr>
                <w:i/>
                <w:iCs/>
                <w:color w:val="000000"/>
                <w:sz w:val="20"/>
                <w:lang w:eastAsia="lv-LV"/>
              </w:rPr>
              <w:t>euro</w:t>
            </w:r>
            <w:r w:rsidRPr="000B3007">
              <w:rPr>
                <w:color w:val="000000"/>
                <w:sz w:val="20"/>
                <w:lang w:eastAsia="lv-LV"/>
              </w:rPr>
              <w:t xml:space="preserve">/mēnesī līdz 500 </w:t>
            </w:r>
            <w:r w:rsidRPr="000B3007">
              <w:rPr>
                <w:i/>
                <w:iCs/>
                <w:color w:val="000000"/>
                <w:sz w:val="20"/>
                <w:lang w:eastAsia="lv-LV"/>
              </w:rPr>
              <w:t>euro</w:t>
            </w:r>
            <w:r w:rsidRPr="000B3007">
              <w:rPr>
                <w:color w:val="000000"/>
                <w:sz w:val="20"/>
                <w:lang w:eastAsia="lv-LV"/>
              </w:rPr>
              <w:t>/mēnesī</w:t>
            </w:r>
          </w:p>
        </w:tc>
        <w:tc>
          <w:tcPr>
            <w:tcW w:w="3712" w:type="dxa"/>
            <w:vMerge w:val="restart"/>
            <w:vAlign w:val="center"/>
          </w:tcPr>
          <w:p w14:paraId="16338C7E" w14:textId="6D1B79C5" w:rsidR="004D7430" w:rsidRPr="000B3007" w:rsidRDefault="004D7430" w:rsidP="004D7430">
            <w:pPr>
              <w:spacing w:after="0"/>
              <w:ind w:firstLine="0"/>
              <w:rPr>
                <w:color w:val="000000"/>
                <w:sz w:val="20"/>
                <w:lang w:eastAsia="lv-LV"/>
              </w:rPr>
            </w:pPr>
            <w:r w:rsidRPr="000B3007">
              <w:rPr>
                <w:color w:val="000000"/>
                <w:sz w:val="20"/>
                <w:lang w:eastAsia="lv-LV"/>
              </w:rPr>
              <w:t xml:space="preserve">Ar 2021.gadu minimālās mēneša darba algas paaugstināšana no 430 </w:t>
            </w:r>
            <w:r w:rsidRPr="000B3007">
              <w:rPr>
                <w:i/>
                <w:iCs/>
                <w:color w:val="000000"/>
                <w:sz w:val="20"/>
                <w:lang w:eastAsia="lv-LV"/>
              </w:rPr>
              <w:t>euro</w:t>
            </w:r>
            <w:r w:rsidRPr="000B3007">
              <w:rPr>
                <w:color w:val="000000"/>
                <w:sz w:val="20"/>
                <w:lang w:eastAsia="lv-LV"/>
              </w:rPr>
              <w:t xml:space="preserve">/mēnesī līdz 500 </w:t>
            </w:r>
            <w:r w:rsidRPr="000B3007">
              <w:rPr>
                <w:i/>
                <w:iCs/>
                <w:color w:val="000000"/>
                <w:sz w:val="20"/>
                <w:lang w:eastAsia="lv-LV"/>
              </w:rPr>
              <w:t>euro</w:t>
            </w:r>
            <w:r w:rsidRPr="000B3007">
              <w:rPr>
                <w:color w:val="000000"/>
                <w:sz w:val="20"/>
                <w:lang w:eastAsia="lv-LV"/>
              </w:rPr>
              <w:t>/mēnesī</w:t>
            </w:r>
          </w:p>
        </w:tc>
        <w:tc>
          <w:tcPr>
            <w:tcW w:w="1413" w:type="dxa"/>
            <w:shd w:val="clear" w:color="auto" w:fill="DBE5F1" w:themeFill="accent1" w:themeFillTint="33"/>
            <w:vAlign w:val="center"/>
          </w:tcPr>
          <w:p w14:paraId="52A1815C" w14:textId="521B69FC" w:rsidR="004D7430" w:rsidRPr="000B3007" w:rsidRDefault="004D7430" w:rsidP="004D7430">
            <w:pPr>
              <w:spacing w:after="0"/>
              <w:ind w:firstLine="0"/>
              <w:jc w:val="center"/>
              <w:rPr>
                <w:color w:val="000000"/>
                <w:sz w:val="20"/>
                <w:lang w:eastAsia="lv-LV"/>
              </w:rPr>
            </w:pPr>
            <w:r w:rsidRPr="000B3007">
              <w:rPr>
                <w:color w:val="000000"/>
                <w:sz w:val="20"/>
                <w:lang w:eastAsia="lv-LV"/>
              </w:rPr>
              <w:t>PVN</w:t>
            </w:r>
          </w:p>
        </w:tc>
        <w:tc>
          <w:tcPr>
            <w:tcW w:w="791" w:type="dxa"/>
            <w:shd w:val="clear" w:color="auto" w:fill="DBE5F1" w:themeFill="accent1" w:themeFillTint="33"/>
            <w:vAlign w:val="center"/>
          </w:tcPr>
          <w:p w14:paraId="18EC7A1F" w14:textId="00BDC649" w:rsidR="004D7430" w:rsidRPr="000B3007" w:rsidRDefault="004D7430" w:rsidP="004D7430">
            <w:pPr>
              <w:spacing w:after="0"/>
              <w:ind w:firstLine="0"/>
              <w:jc w:val="center"/>
              <w:rPr>
                <w:color w:val="000000"/>
                <w:sz w:val="20"/>
                <w:lang w:eastAsia="lv-LV"/>
              </w:rPr>
            </w:pPr>
            <w:r w:rsidRPr="000B3007">
              <w:rPr>
                <w:color w:val="000000"/>
                <w:sz w:val="20"/>
                <w:lang w:eastAsia="lv-LV"/>
              </w:rPr>
              <w:t>D.2</w:t>
            </w:r>
          </w:p>
        </w:tc>
        <w:tc>
          <w:tcPr>
            <w:tcW w:w="1255" w:type="dxa"/>
            <w:shd w:val="clear" w:color="auto" w:fill="DBE5F1" w:themeFill="accent1" w:themeFillTint="33"/>
            <w:vAlign w:val="center"/>
          </w:tcPr>
          <w:p w14:paraId="4315A69E" w14:textId="0B6C9AEA" w:rsidR="004D7430" w:rsidRPr="000B3007" w:rsidRDefault="004D7430" w:rsidP="004D7430">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DBE5F1" w:themeFill="accent1" w:themeFillTint="33"/>
            <w:vAlign w:val="center"/>
          </w:tcPr>
          <w:p w14:paraId="30A5CD72" w14:textId="607FC5EB" w:rsidR="004D7430" w:rsidRPr="000B3007" w:rsidRDefault="004D7430" w:rsidP="004D7430">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DBE5F1" w:themeFill="accent1" w:themeFillTint="33"/>
            <w:noWrap/>
            <w:vAlign w:val="center"/>
          </w:tcPr>
          <w:p w14:paraId="63C76448" w14:textId="432A84AF" w:rsidR="004D7430" w:rsidRPr="000B3007" w:rsidRDefault="004D7430" w:rsidP="004D7430">
            <w:pPr>
              <w:spacing w:after="0"/>
              <w:ind w:firstLine="0"/>
              <w:jc w:val="center"/>
              <w:rPr>
                <w:color w:val="000000"/>
                <w:sz w:val="20"/>
                <w:lang w:eastAsia="lv-LV"/>
              </w:rPr>
            </w:pPr>
          </w:p>
        </w:tc>
        <w:tc>
          <w:tcPr>
            <w:tcW w:w="932" w:type="dxa"/>
            <w:shd w:val="clear" w:color="auto" w:fill="DBE5F1" w:themeFill="accent1" w:themeFillTint="33"/>
            <w:vAlign w:val="center"/>
          </w:tcPr>
          <w:p w14:paraId="735EFE23" w14:textId="3A0D5CF6"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DBE5F1" w:themeFill="accent1" w:themeFillTint="33"/>
            <w:vAlign w:val="center"/>
          </w:tcPr>
          <w:p w14:paraId="1E4878B5" w14:textId="2DB40EC1" w:rsidR="004D7430" w:rsidRPr="000B3007" w:rsidRDefault="004D7430" w:rsidP="004D7430">
            <w:pPr>
              <w:spacing w:after="0"/>
              <w:ind w:firstLine="0"/>
              <w:jc w:val="center"/>
              <w:rPr>
                <w:color w:val="000000"/>
                <w:sz w:val="20"/>
                <w:lang w:eastAsia="lv-LV"/>
              </w:rPr>
            </w:pPr>
            <w:r w:rsidRPr="000B3007">
              <w:rPr>
                <w:color w:val="000000"/>
                <w:sz w:val="20"/>
                <w:lang w:eastAsia="lv-LV"/>
              </w:rPr>
              <w:t>0,01</w:t>
            </w:r>
          </w:p>
        </w:tc>
        <w:tc>
          <w:tcPr>
            <w:tcW w:w="932" w:type="dxa"/>
            <w:shd w:val="clear" w:color="auto" w:fill="DBE5F1" w:themeFill="accent1" w:themeFillTint="33"/>
            <w:vAlign w:val="center"/>
          </w:tcPr>
          <w:p w14:paraId="5D4B721F" w14:textId="6FA6BD3B" w:rsidR="004D7430" w:rsidRPr="000B3007" w:rsidRDefault="004D7430" w:rsidP="004D7430">
            <w:pPr>
              <w:spacing w:after="0"/>
              <w:ind w:firstLine="0"/>
              <w:jc w:val="center"/>
              <w:rPr>
                <w:color w:val="000000"/>
                <w:sz w:val="20"/>
              </w:rPr>
            </w:pPr>
            <w:r w:rsidRPr="000B3007">
              <w:rPr>
                <w:color w:val="000000"/>
                <w:sz w:val="20"/>
                <w:lang w:eastAsia="lv-LV"/>
              </w:rPr>
              <w:t>0,00</w:t>
            </w:r>
          </w:p>
        </w:tc>
      </w:tr>
      <w:tr w:rsidR="004D7430" w:rsidRPr="000B3007" w14:paraId="16801D8B" w14:textId="77777777" w:rsidTr="00F1735E">
        <w:trPr>
          <w:trHeight w:val="227"/>
        </w:trPr>
        <w:tc>
          <w:tcPr>
            <w:tcW w:w="2518" w:type="dxa"/>
            <w:vMerge/>
            <w:vAlign w:val="center"/>
          </w:tcPr>
          <w:p w14:paraId="37811AF0" w14:textId="77777777" w:rsidR="004D7430" w:rsidRPr="000B3007" w:rsidRDefault="004D7430" w:rsidP="004D7430">
            <w:pPr>
              <w:spacing w:after="0"/>
              <w:ind w:firstLine="0"/>
              <w:rPr>
                <w:color w:val="000000"/>
                <w:sz w:val="20"/>
                <w:lang w:eastAsia="lv-LV"/>
              </w:rPr>
            </w:pPr>
          </w:p>
        </w:tc>
        <w:tc>
          <w:tcPr>
            <w:tcW w:w="3712" w:type="dxa"/>
            <w:vMerge/>
            <w:vAlign w:val="center"/>
          </w:tcPr>
          <w:p w14:paraId="6EF3445F" w14:textId="77777777" w:rsidR="004D7430" w:rsidRPr="000B3007" w:rsidRDefault="004D7430" w:rsidP="004D7430">
            <w:pPr>
              <w:spacing w:after="0"/>
              <w:ind w:firstLine="0"/>
              <w:rPr>
                <w:color w:val="000000"/>
                <w:sz w:val="20"/>
                <w:lang w:eastAsia="lv-LV"/>
              </w:rPr>
            </w:pPr>
          </w:p>
        </w:tc>
        <w:tc>
          <w:tcPr>
            <w:tcW w:w="1413" w:type="dxa"/>
            <w:shd w:val="clear" w:color="auto" w:fill="auto"/>
            <w:vAlign w:val="center"/>
          </w:tcPr>
          <w:p w14:paraId="0592F2E4" w14:textId="51105E20" w:rsidR="004D7430" w:rsidRPr="000B3007" w:rsidRDefault="004D7430" w:rsidP="004D7430">
            <w:pPr>
              <w:spacing w:after="0"/>
              <w:ind w:firstLine="0"/>
              <w:jc w:val="center"/>
              <w:rPr>
                <w:color w:val="000000"/>
                <w:sz w:val="20"/>
                <w:lang w:eastAsia="lv-LV"/>
              </w:rPr>
            </w:pPr>
            <w:r w:rsidRPr="000B3007">
              <w:rPr>
                <w:color w:val="000000"/>
                <w:sz w:val="20"/>
                <w:lang w:eastAsia="lv-LV"/>
              </w:rPr>
              <w:t>IIN</w:t>
            </w:r>
          </w:p>
        </w:tc>
        <w:tc>
          <w:tcPr>
            <w:tcW w:w="791" w:type="dxa"/>
            <w:shd w:val="clear" w:color="auto" w:fill="auto"/>
            <w:vAlign w:val="center"/>
          </w:tcPr>
          <w:p w14:paraId="717CCA66" w14:textId="7BF7C790" w:rsidR="004D7430" w:rsidRPr="000B3007" w:rsidRDefault="004D7430" w:rsidP="004D7430">
            <w:pPr>
              <w:spacing w:after="0"/>
              <w:ind w:firstLine="0"/>
              <w:jc w:val="center"/>
              <w:rPr>
                <w:color w:val="000000"/>
                <w:sz w:val="20"/>
                <w:lang w:eastAsia="lv-LV"/>
              </w:rPr>
            </w:pPr>
            <w:r w:rsidRPr="000B3007">
              <w:rPr>
                <w:color w:val="000000"/>
                <w:sz w:val="20"/>
                <w:lang w:eastAsia="lv-LV"/>
              </w:rPr>
              <w:t>D.5</w:t>
            </w:r>
          </w:p>
        </w:tc>
        <w:tc>
          <w:tcPr>
            <w:tcW w:w="1255" w:type="dxa"/>
            <w:shd w:val="clear" w:color="auto" w:fill="auto"/>
            <w:vAlign w:val="center"/>
          </w:tcPr>
          <w:p w14:paraId="5B6DA663" w14:textId="6BAFECA0" w:rsidR="004D7430" w:rsidRPr="000B3007" w:rsidRDefault="004D7430" w:rsidP="004D7430">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auto"/>
            <w:vAlign w:val="center"/>
          </w:tcPr>
          <w:p w14:paraId="1894FD35" w14:textId="5715A624" w:rsidR="004D7430" w:rsidRPr="000B3007" w:rsidRDefault="004D7430" w:rsidP="004D7430">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auto"/>
            <w:noWrap/>
            <w:vAlign w:val="center"/>
          </w:tcPr>
          <w:p w14:paraId="26C29A8B" w14:textId="77E673C3" w:rsidR="004D7430" w:rsidRPr="000B3007" w:rsidRDefault="004D7430" w:rsidP="004D7430">
            <w:pPr>
              <w:spacing w:after="0"/>
              <w:ind w:firstLine="0"/>
              <w:jc w:val="center"/>
              <w:rPr>
                <w:color w:val="000000"/>
                <w:sz w:val="20"/>
                <w:lang w:eastAsia="lv-LV"/>
              </w:rPr>
            </w:pPr>
          </w:p>
        </w:tc>
        <w:tc>
          <w:tcPr>
            <w:tcW w:w="932" w:type="dxa"/>
            <w:shd w:val="clear" w:color="auto" w:fill="auto"/>
            <w:vAlign w:val="center"/>
          </w:tcPr>
          <w:p w14:paraId="12AF9A7E" w14:textId="6AB66655"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auto"/>
            <w:vAlign w:val="center"/>
          </w:tcPr>
          <w:p w14:paraId="75C69F00" w14:textId="7280CC47" w:rsidR="004D7430" w:rsidRPr="000B3007" w:rsidRDefault="004D7430" w:rsidP="004D7430">
            <w:pPr>
              <w:spacing w:after="0"/>
              <w:ind w:firstLine="0"/>
              <w:jc w:val="center"/>
              <w:rPr>
                <w:color w:val="000000"/>
                <w:sz w:val="20"/>
                <w:lang w:eastAsia="lv-LV"/>
              </w:rPr>
            </w:pPr>
            <w:r w:rsidRPr="000B3007">
              <w:rPr>
                <w:color w:val="000000"/>
                <w:sz w:val="20"/>
                <w:lang w:eastAsia="lv-LV"/>
              </w:rPr>
              <w:t>0,03</w:t>
            </w:r>
          </w:p>
        </w:tc>
        <w:tc>
          <w:tcPr>
            <w:tcW w:w="932" w:type="dxa"/>
            <w:shd w:val="clear" w:color="auto" w:fill="auto"/>
            <w:vAlign w:val="center"/>
          </w:tcPr>
          <w:p w14:paraId="5FCEAAED" w14:textId="5229B43B" w:rsidR="004D7430" w:rsidRPr="000B3007" w:rsidRDefault="004D7430" w:rsidP="004D7430">
            <w:pPr>
              <w:spacing w:after="0"/>
              <w:ind w:firstLine="0"/>
              <w:jc w:val="center"/>
              <w:rPr>
                <w:color w:val="000000"/>
                <w:sz w:val="20"/>
              </w:rPr>
            </w:pPr>
            <w:r w:rsidRPr="000B3007">
              <w:rPr>
                <w:color w:val="000000"/>
                <w:sz w:val="20"/>
                <w:lang w:eastAsia="lv-LV"/>
              </w:rPr>
              <w:t>0,00</w:t>
            </w:r>
          </w:p>
        </w:tc>
      </w:tr>
      <w:tr w:rsidR="004D7430" w:rsidRPr="000B3007" w14:paraId="2AE1EA3E" w14:textId="77777777" w:rsidTr="00F1735E">
        <w:trPr>
          <w:trHeight w:val="227"/>
        </w:trPr>
        <w:tc>
          <w:tcPr>
            <w:tcW w:w="2518" w:type="dxa"/>
            <w:vMerge/>
            <w:vAlign w:val="center"/>
          </w:tcPr>
          <w:p w14:paraId="75F3C813" w14:textId="77777777" w:rsidR="004D7430" w:rsidRPr="000B3007" w:rsidRDefault="004D7430" w:rsidP="004D7430">
            <w:pPr>
              <w:spacing w:after="0"/>
              <w:ind w:firstLine="0"/>
              <w:rPr>
                <w:color w:val="000000"/>
                <w:sz w:val="20"/>
                <w:lang w:eastAsia="lv-LV"/>
              </w:rPr>
            </w:pPr>
          </w:p>
        </w:tc>
        <w:tc>
          <w:tcPr>
            <w:tcW w:w="3712" w:type="dxa"/>
            <w:vMerge/>
            <w:vAlign w:val="center"/>
          </w:tcPr>
          <w:p w14:paraId="244F7A23" w14:textId="77777777" w:rsidR="004D7430" w:rsidRPr="000B3007" w:rsidRDefault="004D7430" w:rsidP="004D7430">
            <w:pPr>
              <w:spacing w:after="0"/>
              <w:ind w:firstLine="0"/>
              <w:rPr>
                <w:color w:val="000000"/>
                <w:sz w:val="20"/>
                <w:lang w:eastAsia="lv-LV"/>
              </w:rPr>
            </w:pPr>
          </w:p>
        </w:tc>
        <w:tc>
          <w:tcPr>
            <w:tcW w:w="1413" w:type="dxa"/>
            <w:shd w:val="clear" w:color="auto" w:fill="DBE5F1" w:themeFill="accent1" w:themeFillTint="33"/>
            <w:vAlign w:val="center"/>
          </w:tcPr>
          <w:p w14:paraId="180D66A9" w14:textId="35864D85" w:rsidR="004D7430" w:rsidRPr="000B3007" w:rsidRDefault="004D7430" w:rsidP="004D7430">
            <w:pPr>
              <w:spacing w:after="0"/>
              <w:ind w:firstLine="0"/>
              <w:jc w:val="center"/>
              <w:rPr>
                <w:color w:val="000000"/>
                <w:sz w:val="20"/>
                <w:lang w:eastAsia="lv-LV"/>
              </w:rPr>
            </w:pPr>
            <w:r w:rsidRPr="000B3007">
              <w:rPr>
                <w:color w:val="000000"/>
                <w:sz w:val="20"/>
                <w:lang w:eastAsia="lv-LV"/>
              </w:rPr>
              <w:t>SOC</w:t>
            </w:r>
          </w:p>
        </w:tc>
        <w:tc>
          <w:tcPr>
            <w:tcW w:w="791" w:type="dxa"/>
            <w:shd w:val="clear" w:color="auto" w:fill="DBE5F1" w:themeFill="accent1" w:themeFillTint="33"/>
            <w:vAlign w:val="center"/>
          </w:tcPr>
          <w:p w14:paraId="552821FB" w14:textId="7C58A820" w:rsidR="004D7430" w:rsidRPr="000B3007" w:rsidRDefault="004D7430" w:rsidP="004D7430">
            <w:pPr>
              <w:spacing w:after="0"/>
              <w:ind w:firstLine="0"/>
              <w:jc w:val="center"/>
              <w:rPr>
                <w:color w:val="000000"/>
                <w:sz w:val="20"/>
                <w:lang w:eastAsia="lv-LV"/>
              </w:rPr>
            </w:pPr>
            <w:r w:rsidRPr="000B3007">
              <w:rPr>
                <w:color w:val="000000"/>
                <w:sz w:val="20"/>
                <w:lang w:eastAsia="lv-LV"/>
              </w:rPr>
              <w:t>D.61</w:t>
            </w:r>
          </w:p>
        </w:tc>
        <w:tc>
          <w:tcPr>
            <w:tcW w:w="1255" w:type="dxa"/>
            <w:shd w:val="clear" w:color="auto" w:fill="DBE5F1" w:themeFill="accent1" w:themeFillTint="33"/>
            <w:vAlign w:val="center"/>
          </w:tcPr>
          <w:p w14:paraId="7FAC8A0C" w14:textId="7036D865" w:rsidR="004D7430" w:rsidRPr="000B3007" w:rsidRDefault="004D7430" w:rsidP="004D7430">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DBE5F1" w:themeFill="accent1" w:themeFillTint="33"/>
            <w:vAlign w:val="center"/>
          </w:tcPr>
          <w:p w14:paraId="1938F5D5" w14:textId="031895CD" w:rsidR="004D7430" w:rsidRPr="000B3007" w:rsidRDefault="004D7430" w:rsidP="004D7430">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DBE5F1" w:themeFill="accent1" w:themeFillTint="33"/>
            <w:noWrap/>
            <w:vAlign w:val="center"/>
          </w:tcPr>
          <w:p w14:paraId="393BAF71" w14:textId="09C124B2" w:rsidR="004D7430" w:rsidRPr="000B3007" w:rsidRDefault="004D7430" w:rsidP="004D7430">
            <w:pPr>
              <w:spacing w:after="0"/>
              <w:ind w:firstLine="0"/>
              <w:jc w:val="center"/>
              <w:rPr>
                <w:color w:val="000000"/>
                <w:sz w:val="20"/>
                <w:lang w:eastAsia="lv-LV"/>
              </w:rPr>
            </w:pPr>
          </w:p>
        </w:tc>
        <w:tc>
          <w:tcPr>
            <w:tcW w:w="932" w:type="dxa"/>
            <w:shd w:val="clear" w:color="auto" w:fill="DBE5F1" w:themeFill="accent1" w:themeFillTint="33"/>
            <w:vAlign w:val="center"/>
          </w:tcPr>
          <w:p w14:paraId="41C64B55" w14:textId="24F41FC4"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DBE5F1" w:themeFill="accent1" w:themeFillTint="33"/>
            <w:vAlign w:val="center"/>
          </w:tcPr>
          <w:p w14:paraId="6F44C814" w14:textId="44735DFF" w:rsidR="004D7430" w:rsidRPr="000B3007" w:rsidRDefault="004D7430" w:rsidP="004D7430">
            <w:pPr>
              <w:spacing w:after="0"/>
              <w:ind w:firstLine="0"/>
              <w:jc w:val="center"/>
              <w:rPr>
                <w:color w:val="000000"/>
                <w:sz w:val="20"/>
                <w:lang w:eastAsia="lv-LV"/>
              </w:rPr>
            </w:pPr>
            <w:r w:rsidRPr="000B3007">
              <w:rPr>
                <w:color w:val="000000"/>
                <w:sz w:val="20"/>
                <w:lang w:eastAsia="lv-LV"/>
              </w:rPr>
              <w:t>0,06</w:t>
            </w:r>
          </w:p>
        </w:tc>
        <w:tc>
          <w:tcPr>
            <w:tcW w:w="932" w:type="dxa"/>
            <w:shd w:val="clear" w:color="auto" w:fill="DBE5F1" w:themeFill="accent1" w:themeFillTint="33"/>
            <w:vAlign w:val="center"/>
          </w:tcPr>
          <w:p w14:paraId="3CBC9D0E" w14:textId="18E9D788" w:rsidR="004D7430" w:rsidRPr="000B3007" w:rsidRDefault="004D7430" w:rsidP="004D7430">
            <w:pPr>
              <w:spacing w:after="0"/>
              <w:ind w:firstLine="0"/>
              <w:jc w:val="center"/>
              <w:rPr>
                <w:color w:val="000000"/>
                <w:sz w:val="20"/>
              </w:rPr>
            </w:pPr>
            <w:r w:rsidRPr="000B3007">
              <w:rPr>
                <w:color w:val="000000"/>
                <w:sz w:val="20"/>
                <w:lang w:eastAsia="lv-LV"/>
              </w:rPr>
              <w:t>0,00</w:t>
            </w:r>
          </w:p>
        </w:tc>
      </w:tr>
      <w:tr w:rsidR="004D7430" w:rsidRPr="000B3007" w14:paraId="64AF2204" w14:textId="77777777" w:rsidTr="00F1735E">
        <w:trPr>
          <w:trHeight w:val="227"/>
        </w:trPr>
        <w:tc>
          <w:tcPr>
            <w:tcW w:w="2518" w:type="dxa"/>
            <w:vMerge/>
            <w:vAlign w:val="center"/>
          </w:tcPr>
          <w:p w14:paraId="7B534761" w14:textId="77777777" w:rsidR="004D7430" w:rsidRPr="000B3007" w:rsidRDefault="004D7430" w:rsidP="004D7430">
            <w:pPr>
              <w:spacing w:after="0"/>
              <w:ind w:firstLine="0"/>
              <w:rPr>
                <w:color w:val="000000"/>
                <w:sz w:val="20"/>
                <w:lang w:eastAsia="lv-LV"/>
              </w:rPr>
            </w:pPr>
          </w:p>
        </w:tc>
        <w:tc>
          <w:tcPr>
            <w:tcW w:w="3712" w:type="dxa"/>
            <w:vMerge/>
            <w:vAlign w:val="center"/>
          </w:tcPr>
          <w:p w14:paraId="44E644B5" w14:textId="77777777" w:rsidR="004D7430" w:rsidRPr="000B3007" w:rsidRDefault="004D7430" w:rsidP="004D7430">
            <w:pPr>
              <w:spacing w:after="0"/>
              <w:ind w:firstLine="0"/>
              <w:rPr>
                <w:color w:val="000000"/>
                <w:sz w:val="20"/>
                <w:lang w:eastAsia="lv-LV"/>
              </w:rPr>
            </w:pPr>
          </w:p>
        </w:tc>
        <w:tc>
          <w:tcPr>
            <w:tcW w:w="1413" w:type="dxa"/>
            <w:shd w:val="clear" w:color="auto" w:fill="auto"/>
            <w:vAlign w:val="center"/>
          </w:tcPr>
          <w:p w14:paraId="50E69FF5" w14:textId="18E27A11" w:rsidR="004D7430" w:rsidRPr="000B3007" w:rsidRDefault="004D7430" w:rsidP="004D7430">
            <w:pPr>
              <w:spacing w:after="0"/>
              <w:ind w:firstLine="0"/>
              <w:jc w:val="center"/>
              <w:rPr>
                <w:color w:val="000000"/>
                <w:sz w:val="20"/>
                <w:lang w:eastAsia="lv-LV"/>
              </w:rPr>
            </w:pPr>
            <w:r w:rsidRPr="000B3007">
              <w:rPr>
                <w:color w:val="000000"/>
                <w:sz w:val="20"/>
                <w:lang w:eastAsia="lv-LV"/>
              </w:rPr>
              <w:t>SOC veselības finansēšanai</w:t>
            </w:r>
          </w:p>
        </w:tc>
        <w:tc>
          <w:tcPr>
            <w:tcW w:w="791" w:type="dxa"/>
            <w:shd w:val="clear" w:color="auto" w:fill="auto"/>
            <w:vAlign w:val="center"/>
          </w:tcPr>
          <w:p w14:paraId="3A93496E" w14:textId="4371952C" w:rsidR="004D7430" w:rsidRPr="000B3007" w:rsidRDefault="004D7430" w:rsidP="004D7430">
            <w:pPr>
              <w:spacing w:after="0"/>
              <w:ind w:firstLine="0"/>
              <w:jc w:val="center"/>
              <w:rPr>
                <w:color w:val="000000"/>
                <w:sz w:val="20"/>
                <w:lang w:eastAsia="lv-LV"/>
              </w:rPr>
            </w:pPr>
            <w:r w:rsidRPr="000B3007">
              <w:rPr>
                <w:color w:val="000000"/>
                <w:sz w:val="20"/>
                <w:lang w:eastAsia="lv-LV"/>
              </w:rPr>
              <w:t>D.61</w:t>
            </w:r>
          </w:p>
        </w:tc>
        <w:tc>
          <w:tcPr>
            <w:tcW w:w="1255" w:type="dxa"/>
            <w:shd w:val="clear" w:color="auto" w:fill="auto"/>
            <w:vAlign w:val="center"/>
          </w:tcPr>
          <w:p w14:paraId="3F74C91E" w14:textId="77749F42" w:rsidR="004D7430" w:rsidRPr="000B3007" w:rsidRDefault="004D7430" w:rsidP="004D7430">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auto"/>
            <w:vAlign w:val="center"/>
          </w:tcPr>
          <w:p w14:paraId="7E545AA9" w14:textId="500EA4DB" w:rsidR="004D7430" w:rsidRPr="000B3007" w:rsidRDefault="004D7430" w:rsidP="004D7430">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auto"/>
            <w:noWrap/>
            <w:vAlign w:val="center"/>
          </w:tcPr>
          <w:p w14:paraId="052712A3" w14:textId="5D0D1E6A" w:rsidR="004D7430" w:rsidRPr="000B3007" w:rsidRDefault="004D7430" w:rsidP="004D7430">
            <w:pPr>
              <w:spacing w:after="0"/>
              <w:ind w:firstLine="0"/>
              <w:jc w:val="center"/>
              <w:rPr>
                <w:color w:val="000000"/>
                <w:sz w:val="20"/>
                <w:lang w:eastAsia="lv-LV"/>
              </w:rPr>
            </w:pPr>
          </w:p>
        </w:tc>
        <w:tc>
          <w:tcPr>
            <w:tcW w:w="932" w:type="dxa"/>
            <w:shd w:val="clear" w:color="auto" w:fill="auto"/>
            <w:vAlign w:val="center"/>
          </w:tcPr>
          <w:p w14:paraId="4702B9D3" w14:textId="4047B803"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auto"/>
            <w:vAlign w:val="center"/>
          </w:tcPr>
          <w:p w14:paraId="4E9FBFD9" w14:textId="1A6B1E30"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auto"/>
            <w:vAlign w:val="center"/>
          </w:tcPr>
          <w:p w14:paraId="618FCCC2" w14:textId="1A71DBC6" w:rsidR="004D7430" w:rsidRPr="000B3007" w:rsidRDefault="004D7430" w:rsidP="004D7430">
            <w:pPr>
              <w:spacing w:after="0"/>
              <w:ind w:firstLine="0"/>
              <w:jc w:val="center"/>
              <w:rPr>
                <w:color w:val="000000"/>
                <w:sz w:val="20"/>
              </w:rPr>
            </w:pPr>
            <w:r w:rsidRPr="000B3007">
              <w:rPr>
                <w:color w:val="000000"/>
                <w:sz w:val="20"/>
                <w:lang w:eastAsia="lv-LV"/>
              </w:rPr>
              <w:t>0,00</w:t>
            </w:r>
          </w:p>
        </w:tc>
      </w:tr>
      <w:tr w:rsidR="004D7430" w:rsidRPr="000B3007" w14:paraId="70FBD146" w14:textId="77777777" w:rsidTr="00F1735E">
        <w:trPr>
          <w:trHeight w:val="227"/>
        </w:trPr>
        <w:tc>
          <w:tcPr>
            <w:tcW w:w="2518" w:type="dxa"/>
            <w:shd w:val="clear" w:color="auto" w:fill="DBE5F1" w:themeFill="accent1" w:themeFillTint="33"/>
            <w:vAlign w:val="center"/>
          </w:tcPr>
          <w:p w14:paraId="7393FE0C" w14:textId="788C1C08" w:rsidR="004D7430" w:rsidRPr="000B3007" w:rsidRDefault="004D7430" w:rsidP="004D7430">
            <w:pPr>
              <w:spacing w:after="0"/>
              <w:ind w:firstLine="0"/>
              <w:rPr>
                <w:color w:val="000000"/>
                <w:sz w:val="20"/>
                <w:lang w:eastAsia="lv-LV"/>
              </w:rPr>
            </w:pPr>
            <w:r w:rsidRPr="000B3007">
              <w:rPr>
                <w:color w:val="000000"/>
                <w:sz w:val="20"/>
                <w:lang w:eastAsia="lv-LV"/>
              </w:rPr>
              <w:t>No 2020.gada valsts aizdevumu un galvojumu saņēmēju maksājumi par aizdevumu un galvojumu apkalpošanu turpmāk tiks ieskaitīti valsts budžeta nenodokļu ieņēmumos</w:t>
            </w:r>
          </w:p>
        </w:tc>
        <w:tc>
          <w:tcPr>
            <w:tcW w:w="3712" w:type="dxa"/>
            <w:shd w:val="clear" w:color="auto" w:fill="DBE5F1" w:themeFill="accent1" w:themeFillTint="33"/>
            <w:vAlign w:val="center"/>
          </w:tcPr>
          <w:p w14:paraId="0F861111" w14:textId="321C69F9" w:rsidR="004D7430" w:rsidRPr="000B3007" w:rsidRDefault="004D7430" w:rsidP="004D7430">
            <w:pPr>
              <w:spacing w:after="0"/>
              <w:ind w:firstLine="0"/>
              <w:rPr>
                <w:color w:val="000000"/>
                <w:sz w:val="20"/>
                <w:lang w:eastAsia="lv-LV"/>
              </w:rPr>
            </w:pPr>
            <w:r w:rsidRPr="000B3007">
              <w:rPr>
                <w:color w:val="000000"/>
                <w:sz w:val="20"/>
                <w:lang w:eastAsia="lv-LV"/>
              </w:rPr>
              <w:t>No 2020.gada valsts aizdevumu un galvojumu saņēmēju maksājumi par aizdevumu un galvojumu apkalpošanu turpmāk tiks ieskaitīti valsts budžeta nenodokļu ieņēmumos</w:t>
            </w:r>
          </w:p>
        </w:tc>
        <w:tc>
          <w:tcPr>
            <w:tcW w:w="1413" w:type="dxa"/>
            <w:shd w:val="clear" w:color="auto" w:fill="DBE5F1" w:themeFill="accent1" w:themeFillTint="33"/>
            <w:vAlign w:val="center"/>
          </w:tcPr>
          <w:p w14:paraId="254972A6" w14:textId="071A5418" w:rsidR="004D7430" w:rsidRPr="000B3007" w:rsidRDefault="004D7430" w:rsidP="004D7430">
            <w:pPr>
              <w:spacing w:after="0"/>
              <w:ind w:firstLine="0"/>
              <w:jc w:val="center"/>
              <w:rPr>
                <w:color w:val="000000"/>
                <w:sz w:val="20"/>
                <w:lang w:eastAsia="lv-LV"/>
              </w:rPr>
            </w:pPr>
            <w:r w:rsidRPr="000B3007">
              <w:rPr>
                <w:color w:val="000000"/>
                <w:sz w:val="20"/>
                <w:lang w:eastAsia="lv-LV"/>
              </w:rPr>
              <w:t xml:space="preserve">Nenodokļi </w:t>
            </w:r>
          </w:p>
        </w:tc>
        <w:tc>
          <w:tcPr>
            <w:tcW w:w="791" w:type="dxa"/>
            <w:shd w:val="clear" w:color="auto" w:fill="DBE5F1" w:themeFill="accent1" w:themeFillTint="33"/>
            <w:vAlign w:val="center"/>
          </w:tcPr>
          <w:p w14:paraId="0DC009FF" w14:textId="1818E002" w:rsidR="004D7430" w:rsidRPr="000B3007" w:rsidRDefault="004D7430" w:rsidP="004D7430">
            <w:pPr>
              <w:spacing w:after="0"/>
              <w:ind w:firstLine="0"/>
              <w:jc w:val="center"/>
              <w:rPr>
                <w:color w:val="000000"/>
                <w:sz w:val="20"/>
                <w:lang w:eastAsia="lv-LV"/>
              </w:rPr>
            </w:pPr>
            <w:r w:rsidRPr="000B3007">
              <w:rPr>
                <w:color w:val="000000"/>
                <w:sz w:val="20"/>
                <w:lang w:eastAsia="lv-LV"/>
              </w:rPr>
              <w:t>P.13</w:t>
            </w:r>
          </w:p>
        </w:tc>
        <w:tc>
          <w:tcPr>
            <w:tcW w:w="1255" w:type="dxa"/>
            <w:shd w:val="clear" w:color="auto" w:fill="DBE5F1" w:themeFill="accent1" w:themeFillTint="33"/>
            <w:vAlign w:val="center"/>
          </w:tcPr>
          <w:p w14:paraId="1B4C3E40" w14:textId="0D56648D" w:rsidR="004D7430" w:rsidRPr="000B3007" w:rsidRDefault="004D7430" w:rsidP="004D7430">
            <w:pPr>
              <w:spacing w:after="0"/>
              <w:ind w:firstLine="0"/>
              <w:jc w:val="center"/>
              <w:rPr>
                <w:color w:val="000000"/>
                <w:sz w:val="20"/>
                <w:lang w:eastAsia="lv-LV"/>
              </w:rPr>
            </w:pPr>
            <w:r w:rsidRPr="000B3007">
              <w:rPr>
                <w:color w:val="000000"/>
                <w:sz w:val="20"/>
                <w:lang w:eastAsia="lv-LV"/>
              </w:rPr>
              <w:t>Naudas plūsmas</w:t>
            </w:r>
          </w:p>
        </w:tc>
        <w:tc>
          <w:tcPr>
            <w:tcW w:w="1481" w:type="dxa"/>
            <w:shd w:val="clear" w:color="auto" w:fill="DBE5F1" w:themeFill="accent1" w:themeFillTint="33"/>
            <w:vAlign w:val="center"/>
          </w:tcPr>
          <w:p w14:paraId="56FCE315" w14:textId="465C3510" w:rsidR="004D7430" w:rsidRPr="000B3007" w:rsidRDefault="004D7430" w:rsidP="004D7430">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DBE5F1" w:themeFill="accent1" w:themeFillTint="33"/>
            <w:noWrap/>
            <w:vAlign w:val="center"/>
          </w:tcPr>
          <w:p w14:paraId="3EA0818F" w14:textId="20EC8B5D" w:rsidR="004D7430" w:rsidRPr="000B3007" w:rsidRDefault="004D7430" w:rsidP="004D7430">
            <w:pPr>
              <w:spacing w:after="0"/>
              <w:ind w:firstLine="0"/>
              <w:jc w:val="center"/>
              <w:rPr>
                <w:color w:val="000000"/>
                <w:sz w:val="20"/>
                <w:lang w:eastAsia="lv-LV"/>
              </w:rPr>
            </w:pPr>
          </w:p>
        </w:tc>
        <w:tc>
          <w:tcPr>
            <w:tcW w:w="932" w:type="dxa"/>
            <w:shd w:val="clear" w:color="auto" w:fill="DBE5F1" w:themeFill="accent1" w:themeFillTint="33"/>
            <w:vAlign w:val="center"/>
          </w:tcPr>
          <w:p w14:paraId="2E971820" w14:textId="2C89215F" w:rsidR="004D7430" w:rsidRPr="000B3007" w:rsidRDefault="004D7430" w:rsidP="004D7430">
            <w:pPr>
              <w:spacing w:after="0"/>
              <w:ind w:firstLine="0"/>
              <w:jc w:val="center"/>
              <w:rPr>
                <w:color w:val="000000"/>
                <w:sz w:val="20"/>
                <w:lang w:eastAsia="lv-LV"/>
              </w:rPr>
            </w:pPr>
            <w:r w:rsidRPr="000B3007">
              <w:rPr>
                <w:color w:val="000000"/>
                <w:sz w:val="20"/>
                <w:lang w:eastAsia="lv-LV"/>
              </w:rPr>
              <w:t>0,02</w:t>
            </w:r>
          </w:p>
        </w:tc>
        <w:tc>
          <w:tcPr>
            <w:tcW w:w="932" w:type="dxa"/>
            <w:shd w:val="clear" w:color="auto" w:fill="DBE5F1" w:themeFill="accent1" w:themeFillTint="33"/>
            <w:vAlign w:val="center"/>
          </w:tcPr>
          <w:p w14:paraId="758560E8" w14:textId="23D209E9"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DBE5F1" w:themeFill="accent1" w:themeFillTint="33"/>
            <w:vAlign w:val="center"/>
          </w:tcPr>
          <w:p w14:paraId="18E3A9F5" w14:textId="4BD305A9"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r>
      <w:tr w:rsidR="004D7430" w:rsidRPr="000B3007" w14:paraId="4966CCED" w14:textId="77777777" w:rsidTr="00F1735E">
        <w:trPr>
          <w:trHeight w:val="227"/>
        </w:trPr>
        <w:tc>
          <w:tcPr>
            <w:tcW w:w="2518" w:type="dxa"/>
            <w:vAlign w:val="center"/>
          </w:tcPr>
          <w:p w14:paraId="28A08B6B" w14:textId="237C5DB9" w:rsidR="004D7430" w:rsidRPr="000B3007" w:rsidRDefault="004D7430" w:rsidP="004D7430">
            <w:pPr>
              <w:spacing w:after="0"/>
              <w:ind w:firstLine="0"/>
              <w:rPr>
                <w:color w:val="000000"/>
                <w:sz w:val="20"/>
                <w:lang w:eastAsia="lv-LV"/>
              </w:rPr>
            </w:pPr>
            <w:r w:rsidRPr="000B3007">
              <w:rPr>
                <w:color w:val="000000"/>
                <w:sz w:val="20"/>
                <w:lang w:eastAsia="lv-LV"/>
              </w:rPr>
              <w:t>Citi nodokļu pasākumi</w:t>
            </w:r>
          </w:p>
        </w:tc>
        <w:tc>
          <w:tcPr>
            <w:tcW w:w="3712" w:type="dxa"/>
            <w:vAlign w:val="center"/>
          </w:tcPr>
          <w:p w14:paraId="321162AF" w14:textId="75243647" w:rsidR="004D7430" w:rsidRPr="000B3007" w:rsidRDefault="004D7430" w:rsidP="004D7430">
            <w:pPr>
              <w:spacing w:after="0"/>
              <w:ind w:firstLine="0"/>
              <w:rPr>
                <w:color w:val="000000"/>
                <w:sz w:val="20"/>
                <w:lang w:eastAsia="lv-LV"/>
              </w:rPr>
            </w:pPr>
            <w:r w:rsidRPr="000B3007">
              <w:rPr>
                <w:color w:val="000000"/>
                <w:sz w:val="20"/>
                <w:lang w:eastAsia="lv-LV"/>
              </w:rPr>
              <w:t> </w:t>
            </w:r>
          </w:p>
        </w:tc>
        <w:tc>
          <w:tcPr>
            <w:tcW w:w="1413" w:type="dxa"/>
            <w:shd w:val="clear" w:color="auto" w:fill="auto"/>
            <w:vAlign w:val="center"/>
          </w:tcPr>
          <w:p w14:paraId="6003B31B" w14:textId="09434B37" w:rsidR="004D7430" w:rsidRPr="000B3007" w:rsidRDefault="004D7430" w:rsidP="004D7430">
            <w:pPr>
              <w:spacing w:after="0"/>
              <w:ind w:firstLine="0"/>
              <w:jc w:val="center"/>
              <w:rPr>
                <w:color w:val="000000"/>
                <w:sz w:val="20"/>
                <w:lang w:eastAsia="lv-LV"/>
              </w:rPr>
            </w:pPr>
            <w:r w:rsidRPr="000B3007">
              <w:rPr>
                <w:color w:val="000000"/>
                <w:sz w:val="20"/>
                <w:lang w:eastAsia="lv-LV"/>
              </w:rPr>
              <w:t> </w:t>
            </w:r>
          </w:p>
        </w:tc>
        <w:tc>
          <w:tcPr>
            <w:tcW w:w="791" w:type="dxa"/>
            <w:shd w:val="clear" w:color="auto" w:fill="auto"/>
            <w:vAlign w:val="center"/>
          </w:tcPr>
          <w:p w14:paraId="08FB035B" w14:textId="75A9358C" w:rsidR="004D7430" w:rsidRPr="000B3007" w:rsidRDefault="004D7430" w:rsidP="004D7430">
            <w:pPr>
              <w:spacing w:after="0"/>
              <w:ind w:firstLine="0"/>
              <w:jc w:val="center"/>
              <w:rPr>
                <w:color w:val="000000"/>
                <w:sz w:val="20"/>
                <w:lang w:eastAsia="lv-LV"/>
              </w:rPr>
            </w:pPr>
            <w:r w:rsidRPr="000B3007">
              <w:rPr>
                <w:color w:val="000000"/>
                <w:sz w:val="20"/>
                <w:lang w:eastAsia="lv-LV"/>
              </w:rPr>
              <w:t> </w:t>
            </w:r>
          </w:p>
        </w:tc>
        <w:tc>
          <w:tcPr>
            <w:tcW w:w="1255" w:type="dxa"/>
            <w:shd w:val="clear" w:color="auto" w:fill="auto"/>
            <w:vAlign w:val="center"/>
          </w:tcPr>
          <w:p w14:paraId="20BC66CB" w14:textId="77784161" w:rsidR="004D7430" w:rsidRPr="000B3007" w:rsidRDefault="004D7430" w:rsidP="004D7430">
            <w:pPr>
              <w:spacing w:after="0"/>
              <w:ind w:firstLine="0"/>
              <w:jc w:val="center"/>
              <w:rPr>
                <w:color w:val="000000"/>
                <w:sz w:val="20"/>
                <w:lang w:eastAsia="lv-LV"/>
              </w:rPr>
            </w:pPr>
            <w:r w:rsidRPr="000B3007">
              <w:rPr>
                <w:color w:val="000000"/>
                <w:sz w:val="20"/>
                <w:lang w:eastAsia="lv-LV"/>
              </w:rPr>
              <w:t> </w:t>
            </w:r>
          </w:p>
        </w:tc>
        <w:tc>
          <w:tcPr>
            <w:tcW w:w="1481" w:type="dxa"/>
            <w:shd w:val="clear" w:color="auto" w:fill="auto"/>
            <w:vAlign w:val="center"/>
          </w:tcPr>
          <w:p w14:paraId="76C03E14" w14:textId="5B711A73" w:rsidR="004D7430" w:rsidRPr="000B3007" w:rsidRDefault="004D7430" w:rsidP="004D7430">
            <w:pPr>
              <w:spacing w:after="0"/>
              <w:ind w:firstLine="0"/>
              <w:jc w:val="center"/>
              <w:rPr>
                <w:color w:val="000000"/>
                <w:sz w:val="20"/>
                <w:lang w:eastAsia="lv-LV"/>
              </w:rPr>
            </w:pPr>
            <w:r w:rsidRPr="000B3007">
              <w:rPr>
                <w:color w:val="000000"/>
                <w:sz w:val="20"/>
                <w:lang w:eastAsia="lv-LV"/>
              </w:rPr>
              <w:t> </w:t>
            </w:r>
          </w:p>
        </w:tc>
        <w:tc>
          <w:tcPr>
            <w:tcW w:w="730" w:type="dxa"/>
            <w:shd w:val="clear" w:color="auto" w:fill="auto"/>
            <w:noWrap/>
            <w:vAlign w:val="center"/>
          </w:tcPr>
          <w:p w14:paraId="481A7848" w14:textId="54DA704E" w:rsidR="004D7430" w:rsidRPr="000B3007" w:rsidRDefault="004D7430" w:rsidP="004D7430">
            <w:pPr>
              <w:spacing w:after="0"/>
              <w:ind w:firstLine="0"/>
              <w:jc w:val="center"/>
              <w:rPr>
                <w:color w:val="000000"/>
                <w:sz w:val="20"/>
                <w:lang w:eastAsia="lv-LV"/>
              </w:rPr>
            </w:pPr>
          </w:p>
        </w:tc>
        <w:tc>
          <w:tcPr>
            <w:tcW w:w="932" w:type="dxa"/>
            <w:shd w:val="clear" w:color="auto" w:fill="auto"/>
            <w:vAlign w:val="center"/>
          </w:tcPr>
          <w:p w14:paraId="3A85351A" w14:textId="798D1250" w:rsidR="004D7430" w:rsidRPr="000B3007" w:rsidRDefault="004D7430" w:rsidP="004D7430">
            <w:pPr>
              <w:spacing w:after="0"/>
              <w:ind w:firstLine="0"/>
              <w:jc w:val="center"/>
              <w:rPr>
                <w:color w:val="000000"/>
                <w:sz w:val="20"/>
                <w:lang w:eastAsia="lv-LV"/>
              </w:rPr>
            </w:pPr>
            <w:r w:rsidRPr="000B3007">
              <w:rPr>
                <w:color w:val="000000"/>
                <w:sz w:val="20"/>
                <w:lang w:eastAsia="lv-LV"/>
              </w:rPr>
              <w:t>0,03</w:t>
            </w:r>
          </w:p>
        </w:tc>
        <w:tc>
          <w:tcPr>
            <w:tcW w:w="932" w:type="dxa"/>
            <w:shd w:val="clear" w:color="auto" w:fill="auto"/>
            <w:vAlign w:val="center"/>
          </w:tcPr>
          <w:p w14:paraId="23530335" w14:textId="340472CF" w:rsidR="004D7430" w:rsidRPr="000B3007" w:rsidRDefault="004D7430" w:rsidP="004D7430">
            <w:pPr>
              <w:spacing w:after="0"/>
              <w:ind w:firstLine="0"/>
              <w:jc w:val="center"/>
              <w:rPr>
                <w:color w:val="000000"/>
                <w:sz w:val="20"/>
                <w:lang w:eastAsia="lv-LV"/>
              </w:rPr>
            </w:pPr>
            <w:r w:rsidRPr="000B3007">
              <w:rPr>
                <w:color w:val="000000"/>
                <w:sz w:val="20"/>
                <w:lang w:eastAsia="lv-LV"/>
              </w:rPr>
              <w:t>0,01</w:t>
            </w:r>
          </w:p>
        </w:tc>
        <w:tc>
          <w:tcPr>
            <w:tcW w:w="932" w:type="dxa"/>
            <w:shd w:val="clear" w:color="auto" w:fill="auto"/>
            <w:vAlign w:val="center"/>
          </w:tcPr>
          <w:p w14:paraId="42AEDD26" w14:textId="29B550D5"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r>
      <w:tr w:rsidR="004D7430" w:rsidRPr="000B3007" w14:paraId="572E49CB" w14:textId="77777777" w:rsidTr="00F1735E">
        <w:trPr>
          <w:trHeight w:val="227"/>
        </w:trPr>
        <w:tc>
          <w:tcPr>
            <w:tcW w:w="2518" w:type="dxa"/>
            <w:shd w:val="clear" w:color="auto" w:fill="DBE5F1" w:themeFill="accent1" w:themeFillTint="33"/>
            <w:vAlign w:val="center"/>
          </w:tcPr>
          <w:p w14:paraId="29155E12" w14:textId="4B91DD1D" w:rsidR="004D7430" w:rsidRPr="000B3007" w:rsidRDefault="004D7430" w:rsidP="004D7430">
            <w:pPr>
              <w:spacing w:after="0"/>
              <w:ind w:firstLine="0"/>
              <w:rPr>
                <w:color w:val="000000"/>
                <w:sz w:val="20"/>
                <w:lang w:eastAsia="lv-LV"/>
              </w:rPr>
            </w:pPr>
            <w:r w:rsidRPr="000B3007">
              <w:rPr>
                <w:color w:val="000000"/>
                <w:sz w:val="20"/>
                <w:lang w:eastAsia="lv-LV"/>
              </w:rPr>
              <w:t>Citi nenodokļu pasākumi</w:t>
            </w:r>
          </w:p>
        </w:tc>
        <w:tc>
          <w:tcPr>
            <w:tcW w:w="3712" w:type="dxa"/>
            <w:shd w:val="clear" w:color="auto" w:fill="DBE5F1" w:themeFill="accent1" w:themeFillTint="33"/>
            <w:vAlign w:val="center"/>
          </w:tcPr>
          <w:p w14:paraId="33C6AE8F" w14:textId="35DC8DF5" w:rsidR="004D7430" w:rsidRPr="000B3007" w:rsidRDefault="004D7430" w:rsidP="004D7430">
            <w:pPr>
              <w:spacing w:after="0"/>
              <w:ind w:firstLine="0"/>
              <w:rPr>
                <w:color w:val="000000"/>
                <w:sz w:val="20"/>
                <w:lang w:eastAsia="lv-LV"/>
              </w:rPr>
            </w:pPr>
            <w:r w:rsidRPr="000B3007">
              <w:rPr>
                <w:color w:val="000000"/>
                <w:sz w:val="20"/>
                <w:lang w:eastAsia="lv-LV"/>
              </w:rPr>
              <w:t> </w:t>
            </w:r>
          </w:p>
        </w:tc>
        <w:tc>
          <w:tcPr>
            <w:tcW w:w="1413" w:type="dxa"/>
            <w:shd w:val="clear" w:color="auto" w:fill="DBE5F1" w:themeFill="accent1" w:themeFillTint="33"/>
            <w:vAlign w:val="center"/>
          </w:tcPr>
          <w:p w14:paraId="68236B81" w14:textId="693EC379" w:rsidR="004D7430" w:rsidRPr="000B3007" w:rsidRDefault="004D7430" w:rsidP="004D7430">
            <w:pPr>
              <w:spacing w:after="0"/>
              <w:ind w:firstLine="0"/>
              <w:jc w:val="center"/>
              <w:rPr>
                <w:color w:val="000000"/>
                <w:sz w:val="20"/>
                <w:lang w:eastAsia="lv-LV"/>
              </w:rPr>
            </w:pPr>
            <w:r w:rsidRPr="000B3007">
              <w:rPr>
                <w:color w:val="000000"/>
                <w:sz w:val="20"/>
                <w:lang w:eastAsia="lv-LV"/>
              </w:rPr>
              <w:t> </w:t>
            </w:r>
          </w:p>
        </w:tc>
        <w:tc>
          <w:tcPr>
            <w:tcW w:w="791" w:type="dxa"/>
            <w:shd w:val="clear" w:color="auto" w:fill="DBE5F1" w:themeFill="accent1" w:themeFillTint="33"/>
            <w:vAlign w:val="center"/>
          </w:tcPr>
          <w:p w14:paraId="31E01F9D" w14:textId="27DDE023" w:rsidR="004D7430" w:rsidRPr="000B3007" w:rsidRDefault="004D7430" w:rsidP="004D7430">
            <w:pPr>
              <w:spacing w:after="0"/>
              <w:ind w:firstLine="0"/>
              <w:jc w:val="center"/>
              <w:rPr>
                <w:color w:val="000000"/>
                <w:sz w:val="20"/>
                <w:lang w:eastAsia="lv-LV"/>
              </w:rPr>
            </w:pPr>
            <w:r w:rsidRPr="000B3007">
              <w:rPr>
                <w:color w:val="000000"/>
                <w:sz w:val="20"/>
                <w:lang w:eastAsia="lv-LV"/>
              </w:rPr>
              <w:t> </w:t>
            </w:r>
          </w:p>
        </w:tc>
        <w:tc>
          <w:tcPr>
            <w:tcW w:w="1255" w:type="dxa"/>
            <w:shd w:val="clear" w:color="auto" w:fill="DBE5F1" w:themeFill="accent1" w:themeFillTint="33"/>
            <w:vAlign w:val="center"/>
          </w:tcPr>
          <w:p w14:paraId="7E298526" w14:textId="05EC56C4" w:rsidR="004D7430" w:rsidRPr="000B3007" w:rsidRDefault="004D7430" w:rsidP="004D7430">
            <w:pPr>
              <w:spacing w:after="0"/>
              <w:ind w:firstLine="0"/>
              <w:jc w:val="center"/>
              <w:rPr>
                <w:color w:val="000000"/>
                <w:sz w:val="20"/>
                <w:lang w:eastAsia="lv-LV"/>
              </w:rPr>
            </w:pPr>
            <w:r w:rsidRPr="000B3007">
              <w:rPr>
                <w:color w:val="000000"/>
                <w:sz w:val="20"/>
                <w:lang w:eastAsia="lv-LV"/>
              </w:rPr>
              <w:t> </w:t>
            </w:r>
          </w:p>
        </w:tc>
        <w:tc>
          <w:tcPr>
            <w:tcW w:w="1481" w:type="dxa"/>
            <w:shd w:val="clear" w:color="auto" w:fill="DBE5F1" w:themeFill="accent1" w:themeFillTint="33"/>
            <w:vAlign w:val="center"/>
          </w:tcPr>
          <w:p w14:paraId="19E60F13" w14:textId="56C94B95" w:rsidR="004D7430" w:rsidRPr="000B3007" w:rsidRDefault="004D7430" w:rsidP="004D7430">
            <w:pPr>
              <w:spacing w:after="0"/>
              <w:ind w:firstLine="0"/>
              <w:jc w:val="center"/>
              <w:rPr>
                <w:color w:val="000000"/>
                <w:sz w:val="20"/>
                <w:lang w:eastAsia="lv-LV"/>
              </w:rPr>
            </w:pPr>
            <w:r w:rsidRPr="000B3007">
              <w:rPr>
                <w:color w:val="000000"/>
                <w:sz w:val="20"/>
                <w:lang w:eastAsia="lv-LV"/>
              </w:rPr>
              <w:t> </w:t>
            </w:r>
          </w:p>
        </w:tc>
        <w:tc>
          <w:tcPr>
            <w:tcW w:w="730" w:type="dxa"/>
            <w:shd w:val="clear" w:color="auto" w:fill="DBE5F1" w:themeFill="accent1" w:themeFillTint="33"/>
            <w:noWrap/>
            <w:vAlign w:val="center"/>
          </w:tcPr>
          <w:p w14:paraId="29DD0094" w14:textId="3882BB4F" w:rsidR="004D7430" w:rsidRPr="000B3007" w:rsidRDefault="004D7430" w:rsidP="004D7430">
            <w:pPr>
              <w:spacing w:after="0"/>
              <w:ind w:firstLine="0"/>
              <w:jc w:val="center"/>
              <w:rPr>
                <w:color w:val="000000"/>
                <w:sz w:val="20"/>
                <w:lang w:eastAsia="lv-LV"/>
              </w:rPr>
            </w:pPr>
          </w:p>
        </w:tc>
        <w:tc>
          <w:tcPr>
            <w:tcW w:w="932" w:type="dxa"/>
            <w:shd w:val="clear" w:color="auto" w:fill="DBE5F1" w:themeFill="accent1" w:themeFillTint="33"/>
            <w:vAlign w:val="center"/>
          </w:tcPr>
          <w:p w14:paraId="1E6BFBD8" w14:textId="2BEAC8DB"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DBE5F1" w:themeFill="accent1" w:themeFillTint="33"/>
            <w:vAlign w:val="center"/>
          </w:tcPr>
          <w:p w14:paraId="2FA94B49" w14:textId="69284C5A"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c>
          <w:tcPr>
            <w:tcW w:w="932" w:type="dxa"/>
            <w:shd w:val="clear" w:color="auto" w:fill="DBE5F1" w:themeFill="accent1" w:themeFillTint="33"/>
            <w:vAlign w:val="center"/>
          </w:tcPr>
          <w:p w14:paraId="0CBA03BE" w14:textId="4A060DE2" w:rsidR="004D7430" w:rsidRPr="000B3007" w:rsidRDefault="004D7430" w:rsidP="004D7430">
            <w:pPr>
              <w:spacing w:after="0"/>
              <w:ind w:firstLine="0"/>
              <w:jc w:val="center"/>
              <w:rPr>
                <w:color w:val="000000"/>
                <w:sz w:val="20"/>
                <w:lang w:eastAsia="lv-LV"/>
              </w:rPr>
            </w:pPr>
            <w:r w:rsidRPr="000B3007">
              <w:rPr>
                <w:color w:val="000000"/>
                <w:sz w:val="20"/>
                <w:lang w:eastAsia="lv-LV"/>
              </w:rPr>
              <w:t>0,00</w:t>
            </w:r>
          </w:p>
        </w:tc>
      </w:tr>
      <w:tr w:rsidR="00C75EF8" w:rsidRPr="000B3007" w14:paraId="4D5CA9AF" w14:textId="77777777" w:rsidTr="00C75EF8">
        <w:trPr>
          <w:trHeight w:val="227"/>
        </w:trPr>
        <w:tc>
          <w:tcPr>
            <w:tcW w:w="11900" w:type="dxa"/>
            <w:gridSpan w:val="7"/>
            <w:shd w:val="clear" w:color="auto" w:fill="FFFFFF" w:themeFill="background1"/>
            <w:noWrap/>
            <w:vAlign w:val="center"/>
            <w:hideMark/>
          </w:tcPr>
          <w:p w14:paraId="665D3A22" w14:textId="77777777" w:rsidR="00C75EF8" w:rsidRPr="000B3007" w:rsidRDefault="00C75EF8" w:rsidP="00C75EF8">
            <w:pPr>
              <w:spacing w:after="0"/>
              <w:ind w:firstLine="0"/>
              <w:jc w:val="right"/>
              <w:rPr>
                <w:b/>
                <w:bCs/>
                <w:color w:val="000000"/>
                <w:sz w:val="20"/>
                <w:highlight w:val="yellow"/>
                <w:lang w:eastAsia="lv-LV"/>
              </w:rPr>
            </w:pPr>
            <w:r w:rsidRPr="000B3007">
              <w:rPr>
                <w:b/>
                <w:bCs/>
                <w:color w:val="000000"/>
                <w:sz w:val="20"/>
                <w:lang w:eastAsia="lv-LV"/>
              </w:rPr>
              <w:t>Kopā</w:t>
            </w:r>
          </w:p>
        </w:tc>
        <w:tc>
          <w:tcPr>
            <w:tcW w:w="932" w:type="dxa"/>
            <w:shd w:val="clear" w:color="auto" w:fill="FFFFFF" w:themeFill="background1"/>
            <w:noWrap/>
            <w:vAlign w:val="center"/>
            <w:hideMark/>
          </w:tcPr>
          <w:p w14:paraId="218C2815" w14:textId="2B5DB8D5" w:rsidR="00C75EF8" w:rsidRPr="000B3007" w:rsidRDefault="00C75EF8" w:rsidP="004D7430">
            <w:pPr>
              <w:spacing w:after="0"/>
              <w:ind w:firstLine="0"/>
              <w:jc w:val="center"/>
              <w:rPr>
                <w:b/>
                <w:bCs/>
                <w:color w:val="000000"/>
                <w:sz w:val="20"/>
                <w:highlight w:val="yellow"/>
                <w:lang w:eastAsia="lv-LV"/>
              </w:rPr>
            </w:pPr>
            <w:r w:rsidRPr="000B3007">
              <w:rPr>
                <w:b/>
                <w:bCs/>
                <w:color w:val="000000"/>
                <w:sz w:val="20"/>
                <w:lang w:eastAsia="lv-LV"/>
              </w:rPr>
              <w:t>0,13</w:t>
            </w:r>
          </w:p>
        </w:tc>
        <w:tc>
          <w:tcPr>
            <w:tcW w:w="932" w:type="dxa"/>
            <w:shd w:val="clear" w:color="auto" w:fill="FFFFFF" w:themeFill="background1"/>
            <w:noWrap/>
            <w:vAlign w:val="center"/>
            <w:hideMark/>
          </w:tcPr>
          <w:p w14:paraId="18EA7F87" w14:textId="24EA6BAF" w:rsidR="00C75EF8" w:rsidRPr="000B3007" w:rsidRDefault="00C75EF8" w:rsidP="004D7430">
            <w:pPr>
              <w:spacing w:after="0"/>
              <w:ind w:firstLine="0"/>
              <w:jc w:val="center"/>
              <w:rPr>
                <w:b/>
                <w:bCs/>
                <w:color w:val="000000"/>
                <w:sz w:val="20"/>
                <w:highlight w:val="yellow"/>
                <w:lang w:eastAsia="lv-LV"/>
              </w:rPr>
            </w:pPr>
            <w:r w:rsidRPr="000B3007">
              <w:rPr>
                <w:b/>
                <w:bCs/>
                <w:color w:val="000000"/>
                <w:sz w:val="20"/>
                <w:lang w:eastAsia="lv-LV"/>
              </w:rPr>
              <w:t>-0,03</w:t>
            </w:r>
          </w:p>
        </w:tc>
        <w:tc>
          <w:tcPr>
            <w:tcW w:w="932" w:type="dxa"/>
            <w:shd w:val="clear" w:color="auto" w:fill="FFFFFF" w:themeFill="background1"/>
            <w:noWrap/>
            <w:vAlign w:val="center"/>
            <w:hideMark/>
          </w:tcPr>
          <w:p w14:paraId="772B25F9" w14:textId="235F2A06" w:rsidR="00C75EF8" w:rsidRPr="000B3007" w:rsidRDefault="00C75EF8" w:rsidP="004D7430">
            <w:pPr>
              <w:spacing w:after="0"/>
              <w:ind w:firstLine="0"/>
              <w:jc w:val="center"/>
              <w:rPr>
                <w:b/>
                <w:bCs/>
                <w:color w:val="000000"/>
                <w:sz w:val="20"/>
                <w:lang w:eastAsia="lv-LV"/>
              </w:rPr>
            </w:pPr>
            <w:r w:rsidRPr="000B3007">
              <w:rPr>
                <w:b/>
                <w:bCs/>
                <w:color w:val="000000"/>
                <w:sz w:val="20"/>
                <w:lang w:eastAsia="lv-LV"/>
              </w:rPr>
              <w:t>0,00</w:t>
            </w:r>
          </w:p>
        </w:tc>
      </w:tr>
    </w:tbl>
    <w:p w14:paraId="0D140EAC" w14:textId="6F25091F" w:rsidR="004D7430" w:rsidRPr="004D7430" w:rsidRDefault="004D7430" w:rsidP="00A71B0C">
      <w:pPr>
        <w:ind w:firstLine="0"/>
        <w:rPr>
          <w:lang w:val="x-none" w:eastAsia="x-none"/>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6629"/>
        <w:gridCol w:w="709"/>
      </w:tblGrid>
      <w:tr w:rsidR="00073140" w:rsidRPr="000B3007" w14:paraId="15479269" w14:textId="77777777" w:rsidTr="00EA5D67">
        <w:trPr>
          <w:trHeight w:val="227"/>
        </w:trPr>
        <w:tc>
          <w:tcPr>
            <w:tcW w:w="7338" w:type="dxa"/>
            <w:gridSpan w:val="2"/>
            <w:shd w:val="clear" w:color="auto" w:fill="DBE5F1" w:themeFill="accent1" w:themeFillTint="33"/>
            <w:vAlign w:val="center"/>
          </w:tcPr>
          <w:p w14:paraId="3046556A" w14:textId="77C2955D" w:rsidR="00073140" w:rsidRPr="000B3007" w:rsidRDefault="00073140" w:rsidP="004D7430">
            <w:pPr>
              <w:spacing w:after="0"/>
              <w:ind w:firstLine="0"/>
              <w:jc w:val="center"/>
              <w:rPr>
                <w:sz w:val="20"/>
                <w:highlight w:val="yellow"/>
                <w:lang w:eastAsia="lv-LV"/>
              </w:rPr>
            </w:pPr>
            <w:r w:rsidRPr="00073140">
              <w:rPr>
                <w:b/>
                <w:color w:val="000000"/>
                <w:lang w:eastAsia="lv-LV"/>
              </w:rPr>
              <w:lastRenderedPageBreak/>
              <w:t>Citas izmaiņas budžeta sagatavošanas procesā (% no IKP)</w:t>
            </w:r>
          </w:p>
        </w:tc>
      </w:tr>
      <w:tr w:rsidR="008906EA" w:rsidRPr="000B3007" w14:paraId="35D303C0" w14:textId="77777777" w:rsidTr="00E82702">
        <w:trPr>
          <w:trHeight w:val="227"/>
        </w:trPr>
        <w:tc>
          <w:tcPr>
            <w:tcW w:w="6629" w:type="dxa"/>
            <w:shd w:val="clear" w:color="auto" w:fill="auto"/>
            <w:vAlign w:val="bottom"/>
          </w:tcPr>
          <w:p w14:paraId="75C883E2" w14:textId="2FF71C12" w:rsidR="008906EA" w:rsidRPr="000B3007" w:rsidRDefault="008906EA" w:rsidP="004D7430">
            <w:pPr>
              <w:spacing w:after="0"/>
              <w:ind w:firstLine="0"/>
              <w:jc w:val="left"/>
              <w:rPr>
                <w:color w:val="000000"/>
                <w:sz w:val="20"/>
                <w:lang w:eastAsia="lv-LV"/>
              </w:rPr>
            </w:pPr>
            <w:r w:rsidRPr="000B3007">
              <w:rPr>
                <w:color w:val="000000"/>
                <w:sz w:val="20"/>
                <w:lang w:eastAsia="lv-LV"/>
              </w:rPr>
              <w:t>Pārdale no pozīcijas pašu ieņēmumi uz nenodokļu ieņēmumiem</w:t>
            </w:r>
          </w:p>
        </w:tc>
        <w:tc>
          <w:tcPr>
            <w:tcW w:w="709" w:type="dxa"/>
            <w:shd w:val="clear" w:color="auto" w:fill="auto"/>
            <w:vAlign w:val="bottom"/>
          </w:tcPr>
          <w:p w14:paraId="1B3405E6" w14:textId="69B1021C" w:rsidR="008906EA" w:rsidRPr="000B3007" w:rsidRDefault="008906EA" w:rsidP="004D7430">
            <w:pPr>
              <w:spacing w:after="0"/>
              <w:ind w:firstLine="0"/>
              <w:jc w:val="center"/>
              <w:rPr>
                <w:color w:val="000000"/>
                <w:sz w:val="20"/>
                <w:lang w:eastAsia="lv-LV"/>
              </w:rPr>
            </w:pPr>
            <w:r w:rsidRPr="000B3007">
              <w:rPr>
                <w:color w:val="000000"/>
                <w:sz w:val="20"/>
                <w:lang w:eastAsia="lv-LV"/>
              </w:rPr>
              <w:t>-0,01</w:t>
            </w:r>
          </w:p>
        </w:tc>
      </w:tr>
      <w:tr w:rsidR="008906EA" w:rsidRPr="000B3007" w14:paraId="13F5AC75" w14:textId="77777777" w:rsidTr="00E82702">
        <w:trPr>
          <w:trHeight w:val="227"/>
        </w:trPr>
        <w:tc>
          <w:tcPr>
            <w:tcW w:w="6629" w:type="dxa"/>
            <w:shd w:val="clear" w:color="auto" w:fill="DBE5F1" w:themeFill="accent1" w:themeFillTint="33"/>
            <w:vAlign w:val="bottom"/>
          </w:tcPr>
          <w:p w14:paraId="7B43A341" w14:textId="2E750B07" w:rsidR="008906EA" w:rsidRPr="000B3007" w:rsidRDefault="008906EA" w:rsidP="004D7430">
            <w:pPr>
              <w:spacing w:after="0"/>
              <w:ind w:firstLine="0"/>
              <w:jc w:val="left"/>
              <w:rPr>
                <w:color w:val="000000"/>
                <w:sz w:val="20"/>
                <w:lang w:eastAsia="lv-LV"/>
              </w:rPr>
            </w:pPr>
            <w:r w:rsidRPr="000B3007">
              <w:rPr>
                <w:color w:val="000000"/>
                <w:sz w:val="20"/>
                <w:lang w:eastAsia="lv-LV"/>
              </w:rPr>
              <w:t>Citi ārvalstu finanšu palīdzības ieņēmumi</w:t>
            </w:r>
            <w:r w:rsidR="00E82702">
              <w:rPr>
                <w:color w:val="000000"/>
                <w:sz w:val="20"/>
                <w:lang w:eastAsia="lv-LV"/>
              </w:rPr>
              <w:t xml:space="preserve"> un </w:t>
            </w:r>
            <w:r w:rsidR="00E82702" w:rsidRPr="00E82702">
              <w:rPr>
                <w:color w:val="000000"/>
                <w:sz w:val="20"/>
                <w:lang w:eastAsia="lv-LV"/>
              </w:rPr>
              <w:t>ES fondu ieņēmumu pārvērtēšana</w:t>
            </w:r>
          </w:p>
        </w:tc>
        <w:tc>
          <w:tcPr>
            <w:tcW w:w="709" w:type="dxa"/>
            <w:shd w:val="clear" w:color="auto" w:fill="DBE5F1" w:themeFill="accent1" w:themeFillTint="33"/>
            <w:vAlign w:val="bottom"/>
          </w:tcPr>
          <w:p w14:paraId="372B5200" w14:textId="227ADBBE" w:rsidR="008906EA" w:rsidRPr="000B3007" w:rsidRDefault="008906EA" w:rsidP="004D7430">
            <w:pPr>
              <w:spacing w:after="0"/>
              <w:ind w:firstLine="0"/>
              <w:jc w:val="center"/>
              <w:rPr>
                <w:color w:val="000000"/>
                <w:sz w:val="20"/>
                <w:lang w:eastAsia="lv-LV"/>
              </w:rPr>
            </w:pPr>
            <w:r w:rsidRPr="000B3007">
              <w:rPr>
                <w:color w:val="000000"/>
                <w:sz w:val="20"/>
                <w:lang w:eastAsia="lv-LV"/>
              </w:rPr>
              <w:t>0,03</w:t>
            </w:r>
          </w:p>
        </w:tc>
      </w:tr>
      <w:tr w:rsidR="008906EA" w:rsidRPr="000B3007" w14:paraId="2C93B733" w14:textId="77777777" w:rsidTr="00E82702">
        <w:trPr>
          <w:trHeight w:val="227"/>
        </w:trPr>
        <w:tc>
          <w:tcPr>
            <w:tcW w:w="6629" w:type="dxa"/>
            <w:shd w:val="clear" w:color="auto" w:fill="auto"/>
            <w:vAlign w:val="bottom"/>
          </w:tcPr>
          <w:p w14:paraId="52E5D1E7" w14:textId="1A11E18D" w:rsidR="008906EA" w:rsidRPr="000B3007" w:rsidRDefault="008906EA" w:rsidP="004D7430">
            <w:pPr>
              <w:spacing w:after="0"/>
              <w:ind w:firstLine="0"/>
              <w:jc w:val="left"/>
              <w:rPr>
                <w:color w:val="000000"/>
                <w:sz w:val="20"/>
                <w:lang w:eastAsia="lv-LV"/>
              </w:rPr>
            </w:pPr>
            <w:r w:rsidRPr="000B3007">
              <w:rPr>
                <w:color w:val="000000"/>
                <w:sz w:val="20"/>
                <w:lang w:eastAsia="lv-LV"/>
              </w:rPr>
              <w:t>EKS nodokļu korekcijas</w:t>
            </w:r>
          </w:p>
        </w:tc>
        <w:tc>
          <w:tcPr>
            <w:tcW w:w="709" w:type="dxa"/>
            <w:shd w:val="clear" w:color="auto" w:fill="auto"/>
            <w:vAlign w:val="bottom"/>
          </w:tcPr>
          <w:p w14:paraId="2E3E7177" w14:textId="45BE35C0" w:rsidR="008906EA" w:rsidRPr="000B3007" w:rsidRDefault="008906EA" w:rsidP="004D7430">
            <w:pPr>
              <w:spacing w:after="0"/>
              <w:ind w:firstLine="0"/>
              <w:jc w:val="center"/>
              <w:rPr>
                <w:color w:val="000000"/>
                <w:sz w:val="20"/>
                <w:lang w:eastAsia="lv-LV"/>
              </w:rPr>
            </w:pPr>
            <w:r w:rsidRPr="000B3007">
              <w:rPr>
                <w:color w:val="000000"/>
                <w:sz w:val="20"/>
                <w:lang w:eastAsia="lv-LV"/>
              </w:rPr>
              <w:t>0,00</w:t>
            </w:r>
          </w:p>
        </w:tc>
      </w:tr>
      <w:tr w:rsidR="008906EA" w:rsidRPr="000B3007" w14:paraId="71D3EB12" w14:textId="77777777" w:rsidTr="00E82702">
        <w:trPr>
          <w:trHeight w:val="227"/>
        </w:trPr>
        <w:tc>
          <w:tcPr>
            <w:tcW w:w="6629" w:type="dxa"/>
            <w:shd w:val="clear" w:color="auto" w:fill="DBE5F1" w:themeFill="accent1" w:themeFillTint="33"/>
            <w:vAlign w:val="bottom"/>
          </w:tcPr>
          <w:p w14:paraId="39E7F89E" w14:textId="0AA51CF0" w:rsidR="008906EA" w:rsidRPr="000B3007" w:rsidRDefault="008906EA" w:rsidP="004D7430">
            <w:pPr>
              <w:spacing w:after="0"/>
              <w:ind w:firstLine="0"/>
              <w:jc w:val="left"/>
              <w:rPr>
                <w:color w:val="000000"/>
                <w:sz w:val="20"/>
                <w:lang w:eastAsia="lv-LV"/>
              </w:rPr>
            </w:pPr>
            <w:r w:rsidRPr="000B3007">
              <w:rPr>
                <w:color w:val="000000"/>
                <w:sz w:val="20"/>
                <w:lang w:eastAsia="lv-LV"/>
              </w:rPr>
              <w:t>EKS ES fondu korekcijas</w:t>
            </w:r>
          </w:p>
        </w:tc>
        <w:tc>
          <w:tcPr>
            <w:tcW w:w="709" w:type="dxa"/>
            <w:shd w:val="clear" w:color="auto" w:fill="DBE5F1" w:themeFill="accent1" w:themeFillTint="33"/>
            <w:vAlign w:val="bottom"/>
          </w:tcPr>
          <w:p w14:paraId="01C15B30" w14:textId="6303FF20" w:rsidR="008906EA" w:rsidRPr="000B3007" w:rsidRDefault="008906EA" w:rsidP="004D7430">
            <w:pPr>
              <w:spacing w:after="0"/>
              <w:ind w:firstLine="0"/>
              <w:jc w:val="center"/>
              <w:rPr>
                <w:color w:val="000000"/>
                <w:sz w:val="20"/>
                <w:lang w:eastAsia="lv-LV"/>
              </w:rPr>
            </w:pPr>
            <w:r w:rsidRPr="000B3007">
              <w:rPr>
                <w:color w:val="000000"/>
                <w:sz w:val="20"/>
                <w:lang w:eastAsia="lv-LV"/>
              </w:rPr>
              <w:t>0,04</w:t>
            </w:r>
          </w:p>
        </w:tc>
      </w:tr>
      <w:tr w:rsidR="008906EA" w:rsidRPr="000B3007" w14:paraId="678EE9E4" w14:textId="77777777" w:rsidTr="00E82702">
        <w:trPr>
          <w:trHeight w:val="227"/>
        </w:trPr>
        <w:tc>
          <w:tcPr>
            <w:tcW w:w="6629" w:type="dxa"/>
            <w:shd w:val="clear" w:color="auto" w:fill="auto"/>
            <w:vAlign w:val="bottom"/>
          </w:tcPr>
          <w:p w14:paraId="69EDF8F1" w14:textId="5B4ABED3" w:rsidR="008906EA" w:rsidRPr="000B3007" w:rsidRDefault="008906EA" w:rsidP="004D7430">
            <w:pPr>
              <w:spacing w:after="0"/>
              <w:ind w:firstLine="0"/>
              <w:jc w:val="left"/>
              <w:rPr>
                <w:color w:val="000000"/>
                <w:sz w:val="20"/>
                <w:lang w:eastAsia="lv-LV"/>
              </w:rPr>
            </w:pPr>
            <w:r w:rsidRPr="000B3007">
              <w:rPr>
                <w:color w:val="000000"/>
                <w:sz w:val="20"/>
                <w:lang w:eastAsia="lv-LV"/>
              </w:rPr>
              <w:t>Papildu nenodokļu ieņēmumi valsts sociālās apdrošināšanas aģentūras speciālajā budžetā</w:t>
            </w:r>
          </w:p>
        </w:tc>
        <w:tc>
          <w:tcPr>
            <w:tcW w:w="709" w:type="dxa"/>
            <w:shd w:val="clear" w:color="auto" w:fill="auto"/>
            <w:vAlign w:val="bottom"/>
          </w:tcPr>
          <w:p w14:paraId="56A3DE2B" w14:textId="067394F8" w:rsidR="008906EA" w:rsidRPr="000B3007" w:rsidRDefault="008906EA" w:rsidP="004D7430">
            <w:pPr>
              <w:spacing w:after="0"/>
              <w:ind w:firstLine="0"/>
              <w:jc w:val="center"/>
              <w:rPr>
                <w:color w:val="000000"/>
                <w:sz w:val="20"/>
                <w:lang w:eastAsia="lv-LV"/>
              </w:rPr>
            </w:pPr>
            <w:r w:rsidRPr="000B3007">
              <w:rPr>
                <w:color w:val="000000"/>
                <w:sz w:val="20"/>
                <w:lang w:eastAsia="lv-LV"/>
              </w:rPr>
              <w:t>0,00</w:t>
            </w:r>
          </w:p>
        </w:tc>
      </w:tr>
      <w:tr w:rsidR="00C75EF8" w:rsidRPr="000B3007" w14:paraId="37229F6D" w14:textId="77777777" w:rsidTr="00E82702">
        <w:trPr>
          <w:trHeight w:val="227"/>
        </w:trPr>
        <w:tc>
          <w:tcPr>
            <w:tcW w:w="6629" w:type="dxa"/>
            <w:shd w:val="clear" w:color="auto" w:fill="DBE5F1" w:themeFill="accent1" w:themeFillTint="33"/>
            <w:noWrap/>
            <w:vAlign w:val="center"/>
            <w:hideMark/>
          </w:tcPr>
          <w:p w14:paraId="78FE2CD9" w14:textId="77777777" w:rsidR="00C75EF8" w:rsidRPr="000B3007" w:rsidRDefault="00C75EF8" w:rsidP="00C75EF8">
            <w:pPr>
              <w:spacing w:after="0"/>
              <w:ind w:firstLine="0"/>
              <w:jc w:val="right"/>
              <w:rPr>
                <w:b/>
                <w:color w:val="000000"/>
                <w:sz w:val="20"/>
                <w:lang w:eastAsia="lv-LV"/>
              </w:rPr>
            </w:pPr>
            <w:r w:rsidRPr="000B3007">
              <w:rPr>
                <w:b/>
                <w:color w:val="000000"/>
                <w:sz w:val="20"/>
                <w:lang w:eastAsia="lv-LV"/>
              </w:rPr>
              <w:t>Kopā</w:t>
            </w:r>
          </w:p>
        </w:tc>
        <w:tc>
          <w:tcPr>
            <w:tcW w:w="709" w:type="dxa"/>
            <w:shd w:val="clear" w:color="auto" w:fill="DBE5F1" w:themeFill="accent1" w:themeFillTint="33"/>
            <w:noWrap/>
            <w:vAlign w:val="bottom"/>
            <w:hideMark/>
          </w:tcPr>
          <w:p w14:paraId="4A0B860E" w14:textId="3347F8C4" w:rsidR="00C75EF8" w:rsidRPr="000B3007" w:rsidRDefault="00C75EF8" w:rsidP="004D7430">
            <w:pPr>
              <w:spacing w:after="0"/>
              <w:ind w:firstLine="0"/>
              <w:jc w:val="center"/>
              <w:rPr>
                <w:b/>
                <w:color w:val="000000"/>
                <w:sz w:val="20"/>
                <w:lang w:eastAsia="lv-LV"/>
              </w:rPr>
            </w:pPr>
            <w:r w:rsidRPr="000B3007">
              <w:rPr>
                <w:b/>
                <w:color w:val="000000"/>
                <w:sz w:val="20"/>
                <w:lang w:eastAsia="lv-LV"/>
              </w:rPr>
              <w:t>0,05</w:t>
            </w:r>
          </w:p>
        </w:tc>
      </w:tr>
    </w:tbl>
    <w:p w14:paraId="45269A25" w14:textId="0AC35474" w:rsidR="005B2F54" w:rsidRDefault="00006BD6" w:rsidP="005B2F54">
      <w:pPr>
        <w:pStyle w:val="Heading1"/>
        <w:tabs>
          <w:tab w:val="left" w:pos="1276"/>
        </w:tabs>
        <w:spacing w:before="0" w:after="240"/>
        <w:ind w:left="1276" w:hanging="1276"/>
        <w:jc w:val="left"/>
        <w:rPr>
          <w:rFonts w:ascii="Times New Roman" w:hAnsi="Times New Roman"/>
          <w:color w:val="18185F"/>
          <w:sz w:val="24"/>
          <w:lang w:val="lv-LV"/>
        </w:rPr>
      </w:pPr>
      <w:r>
        <w:br w:type="page"/>
      </w:r>
      <w:bookmarkStart w:id="26" w:name="_Toc494786354"/>
      <w:bookmarkStart w:id="27" w:name="_Toc21516515"/>
      <w:r w:rsidR="001563FD" w:rsidRPr="001563FD">
        <w:rPr>
          <w:rFonts w:ascii="Times New Roman" w:hAnsi="Times New Roman"/>
          <w:color w:val="18185F"/>
          <w:sz w:val="24"/>
        </w:rPr>
        <w:lastRenderedPageBreak/>
        <w:t xml:space="preserve">Tabula </w:t>
      </w:r>
      <w:r w:rsidR="005B2F54" w:rsidRPr="001563FD">
        <w:rPr>
          <w:rFonts w:ascii="Times New Roman" w:hAnsi="Times New Roman"/>
          <w:color w:val="18185F"/>
          <w:sz w:val="24"/>
        </w:rPr>
        <w:t xml:space="preserve">5.a.ii) </w:t>
      </w:r>
      <w:r w:rsidR="005B2F54" w:rsidRPr="00AF1EE1">
        <w:rPr>
          <w:rFonts w:ascii="Times New Roman" w:hAnsi="Times New Roman"/>
          <w:color w:val="18185F"/>
          <w:sz w:val="24"/>
        </w:rPr>
        <w:t xml:space="preserve">Diskrecionārie </w:t>
      </w:r>
      <w:r w:rsidR="005B2F54" w:rsidRPr="00AF1EE1">
        <w:rPr>
          <w:rFonts w:ascii="Times New Roman" w:hAnsi="Times New Roman"/>
          <w:color w:val="18185F"/>
          <w:sz w:val="24"/>
          <w:lang w:val="lv-LV"/>
        </w:rPr>
        <w:t xml:space="preserve">izdevumu </w:t>
      </w:r>
      <w:r w:rsidR="005B2F54" w:rsidRPr="00AF1EE1">
        <w:rPr>
          <w:rFonts w:ascii="Times New Roman" w:hAnsi="Times New Roman"/>
          <w:color w:val="18185F"/>
          <w:sz w:val="24"/>
        </w:rPr>
        <w:t xml:space="preserve">pasākumi </w:t>
      </w:r>
      <w:r w:rsidR="005B2F54" w:rsidRPr="00AF1EE1">
        <w:rPr>
          <w:rFonts w:ascii="Times New Roman" w:hAnsi="Times New Roman"/>
          <w:color w:val="18185F"/>
          <w:sz w:val="24"/>
          <w:lang w:val="lv-LV"/>
        </w:rPr>
        <w:t>vispārējās valdības budžetā</w:t>
      </w:r>
      <w:bookmarkEnd w:id="26"/>
      <w:bookmarkEnd w:id="27"/>
    </w:p>
    <w:tbl>
      <w:tblPr>
        <w:tblW w:w="14924"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946"/>
        <w:gridCol w:w="992"/>
        <w:gridCol w:w="1560"/>
        <w:gridCol w:w="1559"/>
        <w:gridCol w:w="1276"/>
        <w:gridCol w:w="1275"/>
        <w:gridCol w:w="1316"/>
      </w:tblGrid>
      <w:tr w:rsidR="00052FB5" w:rsidRPr="000B3007" w14:paraId="4EDF8C26" w14:textId="77777777" w:rsidTr="00C166DF">
        <w:trPr>
          <w:trHeight w:val="510"/>
        </w:trPr>
        <w:tc>
          <w:tcPr>
            <w:tcW w:w="6946" w:type="dxa"/>
            <w:shd w:val="clear" w:color="DDEBF7" w:fill="8EA9DB"/>
            <w:vAlign w:val="center"/>
            <w:hideMark/>
          </w:tcPr>
          <w:p w14:paraId="0A65EECE" w14:textId="77777777" w:rsidR="00052FB5" w:rsidRPr="000B3007" w:rsidRDefault="00052FB5" w:rsidP="00C20C2A">
            <w:pPr>
              <w:spacing w:after="0"/>
              <w:ind w:firstLine="0"/>
              <w:jc w:val="center"/>
              <w:rPr>
                <w:b/>
                <w:bCs/>
                <w:color w:val="000000"/>
                <w:sz w:val="20"/>
                <w:lang w:eastAsia="lv-LV"/>
              </w:rPr>
            </w:pPr>
            <w:r w:rsidRPr="000B3007">
              <w:rPr>
                <w:b/>
                <w:bCs/>
                <w:color w:val="000000"/>
                <w:sz w:val="20"/>
                <w:lang w:eastAsia="lv-LV"/>
              </w:rPr>
              <w:t>Pasākuma nosaukums</w:t>
            </w:r>
          </w:p>
        </w:tc>
        <w:tc>
          <w:tcPr>
            <w:tcW w:w="992" w:type="dxa"/>
            <w:shd w:val="clear" w:color="DDEBF7" w:fill="8EA9DB"/>
            <w:vAlign w:val="center"/>
            <w:hideMark/>
          </w:tcPr>
          <w:p w14:paraId="0386FAAE" w14:textId="77777777" w:rsidR="00052FB5" w:rsidRPr="000B3007" w:rsidRDefault="00052FB5" w:rsidP="00C166DF">
            <w:pPr>
              <w:spacing w:after="0"/>
              <w:ind w:firstLine="0"/>
              <w:jc w:val="center"/>
              <w:rPr>
                <w:b/>
                <w:bCs/>
                <w:color w:val="000000"/>
                <w:sz w:val="20"/>
                <w:lang w:eastAsia="lv-LV"/>
              </w:rPr>
            </w:pPr>
            <w:r w:rsidRPr="000B3007">
              <w:rPr>
                <w:b/>
                <w:bCs/>
                <w:color w:val="000000"/>
                <w:sz w:val="20"/>
                <w:lang w:eastAsia="lv-LV"/>
              </w:rPr>
              <w:t>EKS</w:t>
            </w:r>
          </w:p>
        </w:tc>
        <w:tc>
          <w:tcPr>
            <w:tcW w:w="1560" w:type="dxa"/>
            <w:shd w:val="clear" w:color="DDEBF7" w:fill="8EA9DB"/>
            <w:vAlign w:val="center"/>
            <w:hideMark/>
          </w:tcPr>
          <w:p w14:paraId="6C4B8E45" w14:textId="77777777" w:rsidR="00052FB5" w:rsidRPr="000B3007" w:rsidRDefault="00052FB5" w:rsidP="00C166DF">
            <w:pPr>
              <w:spacing w:after="0"/>
              <w:ind w:firstLine="0"/>
              <w:jc w:val="center"/>
              <w:rPr>
                <w:b/>
                <w:bCs/>
                <w:color w:val="000000"/>
                <w:sz w:val="20"/>
                <w:lang w:eastAsia="lv-LV"/>
              </w:rPr>
            </w:pPr>
            <w:r w:rsidRPr="000B3007">
              <w:rPr>
                <w:b/>
                <w:bCs/>
                <w:color w:val="000000"/>
                <w:sz w:val="20"/>
                <w:lang w:eastAsia="lv-LV"/>
              </w:rPr>
              <w:t>Uzskaites princips</w:t>
            </w:r>
          </w:p>
        </w:tc>
        <w:tc>
          <w:tcPr>
            <w:tcW w:w="1559" w:type="dxa"/>
            <w:shd w:val="clear" w:color="DDEBF7" w:fill="8EA9DB"/>
            <w:vAlign w:val="center"/>
            <w:hideMark/>
          </w:tcPr>
          <w:p w14:paraId="299DDB96" w14:textId="77777777" w:rsidR="00052FB5" w:rsidRPr="000B3007" w:rsidRDefault="00052FB5" w:rsidP="00C166DF">
            <w:pPr>
              <w:spacing w:after="0"/>
              <w:ind w:firstLine="0"/>
              <w:jc w:val="center"/>
              <w:rPr>
                <w:b/>
                <w:bCs/>
                <w:color w:val="000000"/>
                <w:sz w:val="20"/>
                <w:lang w:eastAsia="lv-LV"/>
              </w:rPr>
            </w:pPr>
            <w:r w:rsidRPr="000B3007">
              <w:rPr>
                <w:b/>
                <w:bCs/>
                <w:color w:val="000000"/>
                <w:sz w:val="20"/>
                <w:lang w:eastAsia="lv-LV"/>
              </w:rPr>
              <w:t>Pieņemšanas statuss</w:t>
            </w:r>
          </w:p>
        </w:tc>
        <w:tc>
          <w:tcPr>
            <w:tcW w:w="1276" w:type="dxa"/>
            <w:shd w:val="clear" w:color="DDEBF7" w:fill="8EA9DB"/>
            <w:vAlign w:val="center"/>
            <w:hideMark/>
          </w:tcPr>
          <w:p w14:paraId="27FDE056" w14:textId="77777777" w:rsidR="00052FB5" w:rsidRPr="000B3007" w:rsidRDefault="00052FB5" w:rsidP="00052FB5">
            <w:pPr>
              <w:spacing w:after="0"/>
              <w:ind w:firstLine="0"/>
              <w:jc w:val="center"/>
              <w:rPr>
                <w:b/>
                <w:bCs/>
                <w:color w:val="000000"/>
                <w:sz w:val="20"/>
                <w:lang w:eastAsia="lv-LV"/>
              </w:rPr>
            </w:pPr>
            <w:r w:rsidRPr="000B3007">
              <w:rPr>
                <w:b/>
                <w:bCs/>
                <w:color w:val="000000"/>
                <w:sz w:val="20"/>
                <w:lang w:eastAsia="lv-LV"/>
              </w:rPr>
              <w:t>2020</w:t>
            </w:r>
          </w:p>
        </w:tc>
        <w:tc>
          <w:tcPr>
            <w:tcW w:w="1275" w:type="dxa"/>
            <w:shd w:val="clear" w:color="DDEBF7" w:fill="8EA9DB"/>
            <w:vAlign w:val="center"/>
            <w:hideMark/>
          </w:tcPr>
          <w:p w14:paraId="51940AB9" w14:textId="77777777" w:rsidR="00052FB5" w:rsidRPr="000B3007" w:rsidRDefault="00052FB5" w:rsidP="00052FB5">
            <w:pPr>
              <w:spacing w:after="0"/>
              <w:ind w:firstLine="0"/>
              <w:jc w:val="center"/>
              <w:rPr>
                <w:b/>
                <w:bCs/>
                <w:color w:val="000000"/>
                <w:sz w:val="20"/>
                <w:lang w:eastAsia="lv-LV"/>
              </w:rPr>
            </w:pPr>
            <w:r w:rsidRPr="000B3007">
              <w:rPr>
                <w:b/>
                <w:bCs/>
                <w:color w:val="000000"/>
                <w:sz w:val="20"/>
                <w:lang w:eastAsia="lv-LV"/>
              </w:rPr>
              <w:t>2021</w:t>
            </w:r>
          </w:p>
        </w:tc>
        <w:tc>
          <w:tcPr>
            <w:tcW w:w="1316" w:type="dxa"/>
            <w:shd w:val="clear" w:color="DDEBF7" w:fill="8EA9DB"/>
            <w:vAlign w:val="center"/>
            <w:hideMark/>
          </w:tcPr>
          <w:p w14:paraId="376C3FFD" w14:textId="77777777" w:rsidR="00052FB5" w:rsidRPr="000B3007" w:rsidRDefault="00052FB5" w:rsidP="00052FB5">
            <w:pPr>
              <w:spacing w:after="0"/>
              <w:ind w:firstLine="0"/>
              <w:jc w:val="center"/>
              <w:rPr>
                <w:b/>
                <w:bCs/>
                <w:color w:val="000000"/>
                <w:sz w:val="20"/>
                <w:lang w:eastAsia="lv-LV"/>
              </w:rPr>
            </w:pPr>
            <w:r w:rsidRPr="000B3007">
              <w:rPr>
                <w:b/>
                <w:bCs/>
                <w:color w:val="000000"/>
                <w:sz w:val="20"/>
                <w:lang w:eastAsia="lv-LV"/>
              </w:rPr>
              <w:t>2022</w:t>
            </w:r>
          </w:p>
        </w:tc>
      </w:tr>
      <w:tr w:rsidR="00C166DF" w:rsidRPr="000B3007" w14:paraId="07FDC933" w14:textId="77777777" w:rsidTr="00C166DF">
        <w:trPr>
          <w:trHeight w:val="255"/>
        </w:trPr>
        <w:tc>
          <w:tcPr>
            <w:tcW w:w="6946" w:type="dxa"/>
            <w:shd w:val="clear" w:color="auto" w:fill="DBE5F1" w:themeFill="accent1" w:themeFillTint="33"/>
            <w:vAlign w:val="center"/>
            <w:hideMark/>
          </w:tcPr>
          <w:p w14:paraId="71107354" w14:textId="77777777" w:rsidR="00052FB5" w:rsidRPr="000B3007" w:rsidRDefault="00052FB5" w:rsidP="00C20C2A">
            <w:pPr>
              <w:spacing w:after="0"/>
              <w:ind w:firstLine="0"/>
              <w:rPr>
                <w:b/>
                <w:bCs/>
                <w:color w:val="000000"/>
                <w:sz w:val="20"/>
                <w:lang w:eastAsia="lv-LV"/>
              </w:rPr>
            </w:pPr>
          </w:p>
        </w:tc>
        <w:tc>
          <w:tcPr>
            <w:tcW w:w="4111" w:type="dxa"/>
            <w:gridSpan w:val="3"/>
            <w:shd w:val="clear" w:color="000000" w:fill="DDEBF7"/>
            <w:noWrap/>
            <w:vAlign w:val="center"/>
            <w:hideMark/>
          </w:tcPr>
          <w:p w14:paraId="1F256271" w14:textId="5A4E0EEE" w:rsidR="00052FB5" w:rsidRPr="000B3007" w:rsidRDefault="00052FB5" w:rsidP="00C166DF">
            <w:pPr>
              <w:spacing w:after="0"/>
              <w:ind w:firstLine="0"/>
              <w:jc w:val="center"/>
              <w:rPr>
                <w:b/>
                <w:bCs/>
                <w:color w:val="000000"/>
                <w:sz w:val="20"/>
                <w:lang w:eastAsia="lv-LV"/>
              </w:rPr>
            </w:pPr>
          </w:p>
        </w:tc>
        <w:tc>
          <w:tcPr>
            <w:tcW w:w="3867" w:type="dxa"/>
            <w:gridSpan w:val="3"/>
            <w:shd w:val="clear" w:color="000000" w:fill="DDEBF7"/>
            <w:noWrap/>
            <w:vAlign w:val="center"/>
            <w:hideMark/>
          </w:tcPr>
          <w:p w14:paraId="783E4584" w14:textId="77777777" w:rsidR="00052FB5" w:rsidRPr="000B3007" w:rsidRDefault="00052FB5" w:rsidP="00052FB5">
            <w:pPr>
              <w:spacing w:after="0"/>
              <w:ind w:firstLine="0"/>
              <w:jc w:val="center"/>
              <w:rPr>
                <w:b/>
                <w:bCs/>
                <w:color w:val="000000"/>
                <w:sz w:val="20"/>
                <w:lang w:eastAsia="lv-LV"/>
              </w:rPr>
            </w:pPr>
            <w:r w:rsidRPr="000B3007">
              <w:rPr>
                <w:b/>
                <w:bCs/>
                <w:color w:val="000000"/>
                <w:sz w:val="20"/>
                <w:lang w:eastAsia="lv-LV"/>
              </w:rPr>
              <w:t>% no IKP</w:t>
            </w:r>
          </w:p>
        </w:tc>
      </w:tr>
      <w:tr w:rsidR="00052FB5" w:rsidRPr="000B3007" w14:paraId="4BA63D7D" w14:textId="77777777" w:rsidTr="00C166DF">
        <w:trPr>
          <w:trHeight w:val="255"/>
        </w:trPr>
        <w:tc>
          <w:tcPr>
            <w:tcW w:w="6946" w:type="dxa"/>
            <w:shd w:val="clear" w:color="000000" w:fill="DDEBF7"/>
            <w:hideMark/>
          </w:tcPr>
          <w:p w14:paraId="2E1C60E7"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Korupcijas novēršanas un apkarošanas birojs</w:t>
            </w:r>
          </w:p>
        </w:tc>
        <w:tc>
          <w:tcPr>
            <w:tcW w:w="992" w:type="dxa"/>
            <w:shd w:val="clear" w:color="000000" w:fill="DDEBF7"/>
            <w:vAlign w:val="center"/>
            <w:hideMark/>
          </w:tcPr>
          <w:p w14:paraId="11BE3A50" w14:textId="7F9FB75E"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49CFD1F9" w14:textId="3CADD39E"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44B71F2A" w14:textId="739C3368"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403362B4" w14:textId="37FF9FC0"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0E5E6212" w14:textId="64A06775"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55E4F560" w14:textId="78ADE41E" w:rsidR="00052FB5" w:rsidRPr="000B3007" w:rsidRDefault="00052FB5" w:rsidP="00052FB5">
            <w:pPr>
              <w:spacing w:after="0"/>
              <w:ind w:firstLine="0"/>
              <w:jc w:val="center"/>
              <w:rPr>
                <w:b/>
                <w:bCs/>
                <w:color w:val="000000"/>
                <w:sz w:val="20"/>
                <w:lang w:eastAsia="lv-LV"/>
              </w:rPr>
            </w:pPr>
          </w:p>
        </w:tc>
      </w:tr>
      <w:tr w:rsidR="00C166DF" w:rsidRPr="000B3007" w14:paraId="0878B504" w14:textId="77777777" w:rsidTr="00C166DF">
        <w:trPr>
          <w:trHeight w:val="510"/>
        </w:trPr>
        <w:tc>
          <w:tcPr>
            <w:tcW w:w="6946" w:type="dxa"/>
            <w:shd w:val="clear" w:color="auto" w:fill="auto"/>
            <w:hideMark/>
          </w:tcPr>
          <w:p w14:paraId="4391C78A" w14:textId="77777777" w:rsidR="00052FB5" w:rsidRPr="000B3007" w:rsidRDefault="00052FB5" w:rsidP="00C20C2A">
            <w:pPr>
              <w:spacing w:after="0"/>
              <w:ind w:firstLine="0"/>
              <w:rPr>
                <w:color w:val="000000"/>
                <w:sz w:val="20"/>
                <w:lang w:eastAsia="lv-LV"/>
              </w:rPr>
            </w:pPr>
            <w:r w:rsidRPr="000B3007">
              <w:rPr>
                <w:color w:val="000000"/>
                <w:sz w:val="20"/>
                <w:lang w:eastAsia="lv-LV"/>
              </w:rPr>
              <w:t>Finansējums prioritārajam pasākumam "Jaunais politisko organizāciju (partiju) finansēšanas modelis"</w:t>
            </w:r>
          </w:p>
        </w:tc>
        <w:tc>
          <w:tcPr>
            <w:tcW w:w="992" w:type="dxa"/>
            <w:shd w:val="clear" w:color="auto" w:fill="auto"/>
            <w:vAlign w:val="center"/>
            <w:hideMark/>
          </w:tcPr>
          <w:p w14:paraId="4AA0DEE3"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18937792"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C5ECBFE"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BC4B2B5"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14087EB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4F28F85"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3B089D29" w14:textId="77777777" w:rsidTr="00F1735E">
        <w:trPr>
          <w:trHeight w:val="255"/>
        </w:trPr>
        <w:tc>
          <w:tcPr>
            <w:tcW w:w="6946" w:type="dxa"/>
            <w:shd w:val="clear" w:color="auto" w:fill="DBE5F1" w:themeFill="accent1" w:themeFillTint="33"/>
            <w:hideMark/>
          </w:tcPr>
          <w:p w14:paraId="19C509CF"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Finanšu ministrija</w:t>
            </w:r>
          </w:p>
        </w:tc>
        <w:tc>
          <w:tcPr>
            <w:tcW w:w="992" w:type="dxa"/>
            <w:shd w:val="clear" w:color="000000" w:fill="DDEBF7"/>
            <w:vAlign w:val="center"/>
            <w:hideMark/>
          </w:tcPr>
          <w:p w14:paraId="37161C3F" w14:textId="2D4A9B78"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664672C1" w14:textId="4A6D02E9"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37AD3619" w14:textId="53156E4C"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0B012AB6" w14:textId="42155353"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46D0427C" w14:textId="472A7DE1"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3E937BFE" w14:textId="442BFBB4" w:rsidR="00052FB5" w:rsidRPr="000B3007" w:rsidRDefault="00052FB5" w:rsidP="00052FB5">
            <w:pPr>
              <w:spacing w:after="0"/>
              <w:ind w:firstLine="0"/>
              <w:jc w:val="center"/>
              <w:rPr>
                <w:b/>
                <w:bCs/>
                <w:color w:val="000000"/>
                <w:sz w:val="20"/>
                <w:lang w:eastAsia="lv-LV"/>
              </w:rPr>
            </w:pPr>
          </w:p>
        </w:tc>
      </w:tr>
      <w:tr w:rsidR="00C166DF" w:rsidRPr="000B3007" w14:paraId="349D50F3" w14:textId="77777777" w:rsidTr="00C166DF">
        <w:trPr>
          <w:trHeight w:val="510"/>
        </w:trPr>
        <w:tc>
          <w:tcPr>
            <w:tcW w:w="6946" w:type="dxa"/>
            <w:shd w:val="clear" w:color="auto" w:fill="auto"/>
            <w:hideMark/>
          </w:tcPr>
          <w:p w14:paraId="5481F839" w14:textId="1C957BE6" w:rsidR="00052FB5" w:rsidRPr="000B3007" w:rsidRDefault="00052FB5" w:rsidP="00C20C2A">
            <w:pPr>
              <w:spacing w:after="0"/>
              <w:ind w:firstLine="0"/>
              <w:rPr>
                <w:color w:val="000000"/>
                <w:sz w:val="20"/>
                <w:lang w:eastAsia="lv-LV"/>
              </w:rPr>
            </w:pPr>
            <w:r w:rsidRPr="000B3007">
              <w:rPr>
                <w:color w:val="000000"/>
                <w:sz w:val="20"/>
                <w:lang w:eastAsia="lv-LV"/>
              </w:rPr>
              <w:t>Finansējuma izmaiņas ilgtermiņa saistību pasākumam "Dotācija VAS "Valsts nekustamie īpašumi" Jaunā Rīgas teātra ēkas rekonstrukcijai"</w:t>
            </w:r>
          </w:p>
        </w:tc>
        <w:tc>
          <w:tcPr>
            <w:tcW w:w="992" w:type="dxa"/>
            <w:shd w:val="clear" w:color="auto" w:fill="auto"/>
            <w:vAlign w:val="center"/>
            <w:hideMark/>
          </w:tcPr>
          <w:p w14:paraId="191C83BE"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P.51</w:t>
            </w:r>
          </w:p>
        </w:tc>
        <w:tc>
          <w:tcPr>
            <w:tcW w:w="1560" w:type="dxa"/>
            <w:shd w:val="clear" w:color="auto" w:fill="auto"/>
            <w:noWrap/>
            <w:vAlign w:val="center"/>
            <w:hideMark/>
          </w:tcPr>
          <w:p w14:paraId="75F6CC1D"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801684D"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90B1DE1"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0A85F44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0,04</w:t>
            </w:r>
          </w:p>
        </w:tc>
        <w:tc>
          <w:tcPr>
            <w:tcW w:w="1316" w:type="dxa"/>
            <w:shd w:val="clear" w:color="auto" w:fill="auto"/>
            <w:vAlign w:val="center"/>
            <w:hideMark/>
          </w:tcPr>
          <w:p w14:paraId="4FF9938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53E0DAC5" w14:textId="77777777" w:rsidTr="00C166DF">
        <w:trPr>
          <w:trHeight w:val="300"/>
        </w:trPr>
        <w:tc>
          <w:tcPr>
            <w:tcW w:w="6946" w:type="dxa"/>
            <w:shd w:val="clear" w:color="auto" w:fill="auto"/>
            <w:hideMark/>
          </w:tcPr>
          <w:p w14:paraId="123748E1" w14:textId="77777777" w:rsidR="00052FB5" w:rsidRPr="000B3007" w:rsidRDefault="00052FB5" w:rsidP="00C20C2A">
            <w:pPr>
              <w:spacing w:after="0"/>
              <w:ind w:firstLine="0"/>
              <w:rPr>
                <w:color w:val="000000"/>
                <w:sz w:val="20"/>
                <w:lang w:eastAsia="lv-LV"/>
              </w:rPr>
            </w:pPr>
            <w:r w:rsidRPr="000B3007">
              <w:rPr>
                <w:color w:val="000000"/>
                <w:sz w:val="20"/>
                <w:lang w:eastAsia="lv-LV"/>
              </w:rPr>
              <w:t>Finansējuma samazinājums atbilstoši izdevumu pārskatīšanas rezultātiem</w:t>
            </w:r>
          </w:p>
        </w:tc>
        <w:tc>
          <w:tcPr>
            <w:tcW w:w="992" w:type="dxa"/>
            <w:shd w:val="clear" w:color="auto" w:fill="auto"/>
            <w:vAlign w:val="center"/>
            <w:hideMark/>
          </w:tcPr>
          <w:p w14:paraId="6DF3A7F7" w14:textId="77777777" w:rsidR="00052FB5" w:rsidRPr="000B3007" w:rsidRDefault="00052FB5" w:rsidP="00C166DF">
            <w:pPr>
              <w:spacing w:after="0"/>
              <w:ind w:firstLine="0"/>
              <w:jc w:val="center"/>
              <w:rPr>
                <w:color w:val="000000"/>
                <w:sz w:val="20"/>
                <w:lang w:eastAsia="lv-LV"/>
              </w:rPr>
            </w:pPr>
          </w:p>
        </w:tc>
        <w:tc>
          <w:tcPr>
            <w:tcW w:w="1560" w:type="dxa"/>
            <w:shd w:val="clear" w:color="auto" w:fill="auto"/>
            <w:noWrap/>
            <w:vAlign w:val="center"/>
            <w:hideMark/>
          </w:tcPr>
          <w:p w14:paraId="377FB2D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8FC51D9"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2DCBBB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-0,09</w:t>
            </w:r>
          </w:p>
        </w:tc>
        <w:tc>
          <w:tcPr>
            <w:tcW w:w="1275" w:type="dxa"/>
            <w:shd w:val="clear" w:color="auto" w:fill="auto"/>
            <w:vAlign w:val="center"/>
            <w:hideMark/>
          </w:tcPr>
          <w:p w14:paraId="291A12B4"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0,03</w:t>
            </w:r>
          </w:p>
        </w:tc>
        <w:tc>
          <w:tcPr>
            <w:tcW w:w="1316" w:type="dxa"/>
            <w:shd w:val="clear" w:color="auto" w:fill="auto"/>
            <w:vAlign w:val="center"/>
            <w:hideMark/>
          </w:tcPr>
          <w:p w14:paraId="684C5835"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-0,07</w:t>
            </w:r>
          </w:p>
        </w:tc>
      </w:tr>
      <w:tr w:rsidR="00052FB5" w:rsidRPr="000B3007" w14:paraId="696BA189" w14:textId="77777777" w:rsidTr="00C166DF">
        <w:trPr>
          <w:trHeight w:val="255"/>
        </w:trPr>
        <w:tc>
          <w:tcPr>
            <w:tcW w:w="6946" w:type="dxa"/>
            <w:shd w:val="clear" w:color="000000" w:fill="DDEBF7"/>
            <w:hideMark/>
          </w:tcPr>
          <w:p w14:paraId="74359885"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Iekšlietu ministrija</w:t>
            </w:r>
          </w:p>
        </w:tc>
        <w:tc>
          <w:tcPr>
            <w:tcW w:w="992" w:type="dxa"/>
            <w:shd w:val="clear" w:color="000000" w:fill="DDEBF7"/>
            <w:vAlign w:val="center"/>
            <w:hideMark/>
          </w:tcPr>
          <w:p w14:paraId="4729282B" w14:textId="223B0A0F"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10F6CB39" w14:textId="783548A6"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66DEF5C3" w14:textId="2F310FDA"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1287328D" w14:textId="6663EF7F"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67AB1699" w14:textId="22E7C370"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298EE172" w14:textId="30417389" w:rsidR="00052FB5" w:rsidRPr="000B3007" w:rsidRDefault="00052FB5" w:rsidP="00052FB5">
            <w:pPr>
              <w:spacing w:after="0"/>
              <w:ind w:firstLine="0"/>
              <w:jc w:val="center"/>
              <w:rPr>
                <w:b/>
                <w:bCs/>
                <w:color w:val="000000"/>
                <w:sz w:val="20"/>
                <w:lang w:eastAsia="lv-LV"/>
              </w:rPr>
            </w:pPr>
          </w:p>
        </w:tc>
      </w:tr>
      <w:tr w:rsidR="00C166DF" w:rsidRPr="000B3007" w14:paraId="39CD944A" w14:textId="77777777" w:rsidTr="00C166DF">
        <w:trPr>
          <w:trHeight w:val="765"/>
        </w:trPr>
        <w:tc>
          <w:tcPr>
            <w:tcW w:w="6946" w:type="dxa"/>
            <w:shd w:val="clear" w:color="auto" w:fill="auto"/>
            <w:hideMark/>
          </w:tcPr>
          <w:p w14:paraId="6120FDC7" w14:textId="77777777" w:rsidR="00052FB5" w:rsidRPr="000B3007" w:rsidRDefault="00052FB5" w:rsidP="00C20C2A">
            <w:pPr>
              <w:spacing w:after="0"/>
              <w:ind w:firstLine="0"/>
              <w:rPr>
                <w:color w:val="000000"/>
                <w:sz w:val="20"/>
                <w:lang w:eastAsia="lv-LV"/>
              </w:rPr>
            </w:pPr>
            <w:r w:rsidRPr="000B3007">
              <w:rPr>
                <w:color w:val="000000"/>
                <w:sz w:val="20"/>
                <w:lang w:eastAsia="lv-LV"/>
              </w:rPr>
              <w:t>Izdevumu palielinājums prioritārajam pasākumam, lai nodrošinātu atlīdzības palielinājumu Iekšlietu sistēmas iestāžu amatpersonām ar speciālo dienesta pakāpi, nodrošinot Izmeklētāju mēnešalgas atbilstību rajona prokurora mēnešalgai</w:t>
            </w:r>
          </w:p>
        </w:tc>
        <w:tc>
          <w:tcPr>
            <w:tcW w:w="992" w:type="dxa"/>
            <w:shd w:val="clear" w:color="auto" w:fill="auto"/>
            <w:vAlign w:val="center"/>
            <w:hideMark/>
          </w:tcPr>
          <w:p w14:paraId="49B4A28B"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31CC93E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051C90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C98C990"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7C795481"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55ABC5BC"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6A3D3D44" w14:textId="77777777" w:rsidTr="00C166DF">
        <w:trPr>
          <w:trHeight w:val="510"/>
        </w:trPr>
        <w:tc>
          <w:tcPr>
            <w:tcW w:w="6946" w:type="dxa"/>
            <w:shd w:val="clear" w:color="auto" w:fill="auto"/>
            <w:hideMark/>
          </w:tcPr>
          <w:p w14:paraId="1EBEB04E" w14:textId="77777777" w:rsidR="00052FB5" w:rsidRPr="000B3007" w:rsidRDefault="00052FB5" w:rsidP="00C20C2A">
            <w:pPr>
              <w:spacing w:after="0"/>
              <w:ind w:firstLine="0"/>
              <w:rPr>
                <w:color w:val="000000"/>
                <w:sz w:val="20"/>
                <w:lang w:eastAsia="lv-LV"/>
              </w:rPr>
            </w:pPr>
            <w:r w:rsidRPr="000B3007">
              <w:rPr>
                <w:color w:val="000000"/>
                <w:sz w:val="20"/>
                <w:lang w:eastAsia="lv-LV"/>
              </w:rPr>
              <w:t>Izdevumu palielinājums prioritārajam pasākumam, lai nodrošinātu atlīdzības palielinājumu Iekšlietu sistēmas iestāžu amatpersonām ar speciālo dienesta pakāpi</w:t>
            </w:r>
          </w:p>
        </w:tc>
        <w:tc>
          <w:tcPr>
            <w:tcW w:w="992" w:type="dxa"/>
            <w:shd w:val="clear" w:color="auto" w:fill="auto"/>
            <w:vAlign w:val="center"/>
            <w:hideMark/>
          </w:tcPr>
          <w:p w14:paraId="147E5683"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4DC99F9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4AFBCF4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94AA5F7"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7FCDB4CA"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119DB534"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2B8BCC34" w14:textId="77777777" w:rsidTr="00C166DF">
        <w:trPr>
          <w:trHeight w:val="255"/>
        </w:trPr>
        <w:tc>
          <w:tcPr>
            <w:tcW w:w="6946" w:type="dxa"/>
            <w:shd w:val="clear" w:color="000000" w:fill="DDEBF7"/>
            <w:hideMark/>
          </w:tcPr>
          <w:p w14:paraId="4A644E71"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Izglītības un zinātnes ministrija</w:t>
            </w:r>
          </w:p>
        </w:tc>
        <w:tc>
          <w:tcPr>
            <w:tcW w:w="992" w:type="dxa"/>
            <w:shd w:val="clear" w:color="000000" w:fill="DDEBF7"/>
            <w:vAlign w:val="center"/>
            <w:hideMark/>
          </w:tcPr>
          <w:p w14:paraId="05221EBE" w14:textId="4DFDB585"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090222C3" w14:textId="0839E84E"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31FC4E1C" w14:textId="30919E1A"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374D55A6" w14:textId="59FA0C0F"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2CDB941A" w14:textId="68AD8B9D"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7ECD7844" w14:textId="64D20303" w:rsidR="00052FB5" w:rsidRPr="000B3007" w:rsidRDefault="00052FB5" w:rsidP="00052FB5">
            <w:pPr>
              <w:spacing w:after="0"/>
              <w:ind w:firstLine="0"/>
              <w:jc w:val="center"/>
              <w:rPr>
                <w:b/>
                <w:bCs/>
                <w:color w:val="000000"/>
                <w:sz w:val="20"/>
                <w:lang w:eastAsia="lv-LV"/>
              </w:rPr>
            </w:pPr>
          </w:p>
        </w:tc>
      </w:tr>
      <w:tr w:rsidR="00C166DF" w:rsidRPr="000B3007" w14:paraId="2E270A5C" w14:textId="77777777" w:rsidTr="00C166DF">
        <w:trPr>
          <w:trHeight w:val="300"/>
        </w:trPr>
        <w:tc>
          <w:tcPr>
            <w:tcW w:w="6946" w:type="dxa"/>
            <w:shd w:val="clear" w:color="auto" w:fill="auto"/>
            <w:hideMark/>
          </w:tcPr>
          <w:p w14:paraId="2D25B857" w14:textId="77777777" w:rsidR="00052FB5" w:rsidRPr="000B3007" w:rsidRDefault="00052FB5" w:rsidP="00C20C2A">
            <w:pPr>
              <w:spacing w:after="0"/>
              <w:ind w:firstLine="0"/>
              <w:rPr>
                <w:color w:val="000000"/>
                <w:sz w:val="20"/>
                <w:lang w:eastAsia="lv-LV"/>
              </w:rPr>
            </w:pPr>
            <w:r w:rsidRPr="000B3007">
              <w:rPr>
                <w:color w:val="000000"/>
                <w:sz w:val="20"/>
                <w:lang w:eastAsia="lv-LV"/>
              </w:rPr>
              <w:t>Izmaiņas ēdināšanas funkcijas nodrošināšanas finansējumā (1.-4.klase)</w:t>
            </w:r>
          </w:p>
        </w:tc>
        <w:tc>
          <w:tcPr>
            <w:tcW w:w="992" w:type="dxa"/>
            <w:shd w:val="clear" w:color="auto" w:fill="auto"/>
            <w:vAlign w:val="center"/>
            <w:hideMark/>
          </w:tcPr>
          <w:p w14:paraId="1B1DA618" w14:textId="77777777" w:rsidR="00052FB5" w:rsidRPr="000B3007" w:rsidRDefault="00052FB5" w:rsidP="00C166DF">
            <w:pPr>
              <w:spacing w:after="0"/>
              <w:ind w:firstLine="0"/>
              <w:jc w:val="center"/>
              <w:rPr>
                <w:color w:val="000000"/>
                <w:sz w:val="20"/>
                <w:lang w:eastAsia="lv-LV"/>
              </w:rPr>
            </w:pPr>
          </w:p>
        </w:tc>
        <w:tc>
          <w:tcPr>
            <w:tcW w:w="1560" w:type="dxa"/>
            <w:shd w:val="clear" w:color="auto" w:fill="auto"/>
            <w:noWrap/>
            <w:vAlign w:val="center"/>
            <w:hideMark/>
          </w:tcPr>
          <w:p w14:paraId="5B799AF1"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33A008A"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333AB0A"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-0,03</w:t>
            </w:r>
          </w:p>
        </w:tc>
        <w:tc>
          <w:tcPr>
            <w:tcW w:w="1275" w:type="dxa"/>
            <w:shd w:val="clear" w:color="auto" w:fill="auto"/>
            <w:vAlign w:val="center"/>
            <w:hideMark/>
          </w:tcPr>
          <w:p w14:paraId="3035709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0D2DB93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5D55E530" w14:textId="77777777" w:rsidTr="00C166DF">
        <w:trPr>
          <w:trHeight w:val="510"/>
        </w:trPr>
        <w:tc>
          <w:tcPr>
            <w:tcW w:w="6946" w:type="dxa"/>
            <w:shd w:val="clear" w:color="auto" w:fill="auto"/>
            <w:hideMark/>
          </w:tcPr>
          <w:p w14:paraId="2AC538AD" w14:textId="77777777" w:rsidR="00052FB5" w:rsidRPr="000B3007" w:rsidRDefault="00052FB5" w:rsidP="00C20C2A">
            <w:pPr>
              <w:spacing w:after="0"/>
              <w:ind w:firstLine="0"/>
              <w:rPr>
                <w:sz w:val="20"/>
                <w:lang w:eastAsia="lv-LV"/>
              </w:rPr>
            </w:pPr>
            <w:r w:rsidRPr="000B3007">
              <w:rPr>
                <w:sz w:val="20"/>
                <w:lang w:eastAsia="lv-LV"/>
              </w:rPr>
              <w:t>Finansējuma palielinājums prioritārajam pasākumam par dalību Eiropas Kosmosa aģentūras Sadarbības valsts vai Asociētās dalībvalsts statusā</w:t>
            </w:r>
          </w:p>
        </w:tc>
        <w:tc>
          <w:tcPr>
            <w:tcW w:w="992" w:type="dxa"/>
            <w:shd w:val="clear" w:color="auto" w:fill="auto"/>
            <w:vAlign w:val="center"/>
            <w:hideMark/>
          </w:tcPr>
          <w:p w14:paraId="6B1C02B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2CA1E7D9"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A484BEB"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2955947"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568EC9A4"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3EDA720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r>
      <w:tr w:rsidR="00C166DF" w:rsidRPr="000B3007" w14:paraId="57143F10" w14:textId="77777777" w:rsidTr="00C166DF">
        <w:trPr>
          <w:trHeight w:val="510"/>
        </w:trPr>
        <w:tc>
          <w:tcPr>
            <w:tcW w:w="6946" w:type="dxa"/>
            <w:shd w:val="clear" w:color="auto" w:fill="auto"/>
            <w:hideMark/>
          </w:tcPr>
          <w:p w14:paraId="4346506F" w14:textId="77777777" w:rsidR="00052FB5" w:rsidRPr="000B3007" w:rsidRDefault="00052FB5" w:rsidP="00C20C2A">
            <w:pPr>
              <w:spacing w:after="0"/>
              <w:ind w:firstLine="0"/>
              <w:rPr>
                <w:color w:val="000000"/>
                <w:sz w:val="20"/>
                <w:lang w:eastAsia="lv-LV"/>
              </w:rPr>
            </w:pPr>
            <w:r w:rsidRPr="000B3007">
              <w:rPr>
                <w:color w:val="000000"/>
                <w:sz w:val="20"/>
                <w:lang w:eastAsia="lv-LV"/>
              </w:rPr>
              <w:t>Finansējuma palielinājums ERAF, ESF, Erasmus+ un Eiropas Solidaritātes korpuss projektu īstenošanai</w:t>
            </w:r>
          </w:p>
        </w:tc>
        <w:tc>
          <w:tcPr>
            <w:tcW w:w="992" w:type="dxa"/>
            <w:shd w:val="clear" w:color="auto" w:fill="auto"/>
            <w:vAlign w:val="center"/>
            <w:hideMark/>
          </w:tcPr>
          <w:p w14:paraId="7B887EAC" w14:textId="77777777" w:rsidR="00052FB5" w:rsidRPr="000B3007" w:rsidRDefault="00052FB5" w:rsidP="00C166DF">
            <w:pPr>
              <w:spacing w:after="0"/>
              <w:ind w:firstLine="0"/>
              <w:jc w:val="center"/>
              <w:rPr>
                <w:color w:val="000000"/>
                <w:sz w:val="20"/>
                <w:lang w:eastAsia="lv-LV"/>
              </w:rPr>
            </w:pPr>
          </w:p>
        </w:tc>
        <w:tc>
          <w:tcPr>
            <w:tcW w:w="1560" w:type="dxa"/>
            <w:shd w:val="clear" w:color="auto" w:fill="auto"/>
            <w:noWrap/>
            <w:vAlign w:val="center"/>
            <w:hideMark/>
          </w:tcPr>
          <w:p w14:paraId="3E709035"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7F5927AD"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1A5423A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0,10</w:t>
            </w:r>
          </w:p>
        </w:tc>
        <w:tc>
          <w:tcPr>
            <w:tcW w:w="1275" w:type="dxa"/>
            <w:shd w:val="clear" w:color="auto" w:fill="auto"/>
            <w:vAlign w:val="center"/>
            <w:hideMark/>
          </w:tcPr>
          <w:p w14:paraId="28E90880"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-0,08</w:t>
            </w:r>
          </w:p>
        </w:tc>
        <w:tc>
          <w:tcPr>
            <w:tcW w:w="1316" w:type="dxa"/>
            <w:shd w:val="clear" w:color="auto" w:fill="auto"/>
            <w:vAlign w:val="center"/>
            <w:hideMark/>
          </w:tcPr>
          <w:p w14:paraId="0EF7E4E1"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r>
      <w:tr w:rsidR="00052FB5" w:rsidRPr="000B3007" w14:paraId="663988BE" w14:textId="77777777" w:rsidTr="00C166DF">
        <w:trPr>
          <w:trHeight w:val="255"/>
        </w:trPr>
        <w:tc>
          <w:tcPr>
            <w:tcW w:w="6946" w:type="dxa"/>
            <w:shd w:val="clear" w:color="000000" w:fill="DDEBF7"/>
            <w:hideMark/>
          </w:tcPr>
          <w:p w14:paraId="3EC432E9"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Zemkopības ministrija</w:t>
            </w:r>
          </w:p>
        </w:tc>
        <w:tc>
          <w:tcPr>
            <w:tcW w:w="992" w:type="dxa"/>
            <w:shd w:val="clear" w:color="000000" w:fill="DDEBF7"/>
            <w:vAlign w:val="center"/>
            <w:hideMark/>
          </w:tcPr>
          <w:p w14:paraId="07E1F648" w14:textId="19298184"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02B1CF46" w14:textId="5D6B13E6"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7A695CDC" w14:textId="6FE75131"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371C591D" w14:textId="67CA8964"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55937B62" w14:textId="6005B278"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15F1543E" w14:textId="559C8A12" w:rsidR="00052FB5" w:rsidRPr="000B3007" w:rsidRDefault="00052FB5" w:rsidP="00052FB5">
            <w:pPr>
              <w:spacing w:after="0"/>
              <w:ind w:firstLine="0"/>
              <w:jc w:val="center"/>
              <w:rPr>
                <w:b/>
                <w:bCs/>
                <w:color w:val="000000"/>
                <w:sz w:val="20"/>
                <w:lang w:eastAsia="lv-LV"/>
              </w:rPr>
            </w:pPr>
          </w:p>
        </w:tc>
      </w:tr>
      <w:tr w:rsidR="00C166DF" w:rsidRPr="000B3007" w14:paraId="008E503C" w14:textId="77777777" w:rsidTr="00C166DF">
        <w:trPr>
          <w:trHeight w:val="510"/>
        </w:trPr>
        <w:tc>
          <w:tcPr>
            <w:tcW w:w="6946" w:type="dxa"/>
            <w:shd w:val="clear" w:color="auto" w:fill="auto"/>
            <w:hideMark/>
          </w:tcPr>
          <w:p w14:paraId="483FC008" w14:textId="77777777" w:rsidR="00052FB5" w:rsidRPr="000B3007" w:rsidRDefault="00052FB5" w:rsidP="00C20C2A">
            <w:pPr>
              <w:spacing w:after="0"/>
              <w:ind w:firstLine="0"/>
              <w:rPr>
                <w:color w:val="000000"/>
                <w:sz w:val="20"/>
                <w:lang w:eastAsia="lv-LV"/>
              </w:rPr>
            </w:pPr>
            <w:r w:rsidRPr="000B3007">
              <w:rPr>
                <w:color w:val="000000"/>
                <w:sz w:val="20"/>
                <w:lang w:eastAsia="lv-LV"/>
              </w:rPr>
              <w:t>Valsts atbalsts vaislas lauksaimniecības dzīvnieku ierakstīšanai ciltsgrāmatā, kā arī to ģenētiskās kvalitātes noteikšanai un produktivitātes datu izvērtēšanai</w:t>
            </w:r>
          </w:p>
        </w:tc>
        <w:tc>
          <w:tcPr>
            <w:tcW w:w="992" w:type="dxa"/>
            <w:shd w:val="clear" w:color="auto" w:fill="auto"/>
            <w:vAlign w:val="center"/>
            <w:hideMark/>
          </w:tcPr>
          <w:p w14:paraId="50B6D908"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D.3</w:t>
            </w:r>
          </w:p>
        </w:tc>
        <w:tc>
          <w:tcPr>
            <w:tcW w:w="1560" w:type="dxa"/>
            <w:shd w:val="clear" w:color="auto" w:fill="auto"/>
            <w:noWrap/>
            <w:vAlign w:val="center"/>
            <w:hideMark/>
          </w:tcPr>
          <w:p w14:paraId="11B0F7DA"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4D2127E8"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C04D49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0,05</w:t>
            </w:r>
          </w:p>
        </w:tc>
        <w:tc>
          <w:tcPr>
            <w:tcW w:w="1275" w:type="dxa"/>
            <w:shd w:val="clear" w:color="auto" w:fill="auto"/>
            <w:vAlign w:val="center"/>
            <w:hideMark/>
          </w:tcPr>
          <w:p w14:paraId="305C482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-0,05</w:t>
            </w:r>
          </w:p>
        </w:tc>
        <w:tc>
          <w:tcPr>
            <w:tcW w:w="1316" w:type="dxa"/>
            <w:shd w:val="clear" w:color="auto" w:fill="auto"/>
            <w:vAlign w:val="center"/>
            <w:hideMark/>
          </w:tcPr>
          <w:p w14:paraId="5F48A27C"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526B9DDF" w14:textId="77777777" w:rsidTr="00C166DF">
        <w:trPr>
          <w:trHeight w:val="1020"/>
        </w:trPr>
        <w:tc>
          <w:tcPr>
            <w:tcW w:w="6946" w:type="dxa"/>
            <w:shd w:val="clear" w:color="auto" w:fill="auto"/>
            <w:hideMark/>
          </w:tcPr>
          <w:p w14:paraId="6EA8B176" w14:textId="758371BB" w:rsidR="00052FB5" w:rsidRPr="000B3007" w:rsidRDefault="00052FB5" w:rsidP="00C20C2A">
            <w:pPr>
              <w:spacing w:after="0"/>
              <w:ind w:firstLine="0"/>
              <w:rPr>
                <w:color w:val="000000"/>
                <w:sz w:val="20"/>
                <w:lang w:eastAsia="lv-LV"/>
              </w:rPr>
            </w:pPr>
            <w:r w:rsidRPr="000B3007">
              <w:rPr>
                <w:color w:val="000000"/>
                <w:sz w:val="20"/>
                <w:lang w:eastAsia="lv-LV"/>
              </w:rPr>
              <w:t>Valsts atbalsts investīciju veicināšanai – daļējai kredītprocentu dzēšanai primāro lauksaimniecības produktu ražotājiem, atbilstīgām kooperatīvajām sabiedrībām, kā arī lauksaimniecības, zvejniecības un zvejas produktu pārstrādes un apstrādes komersantiem</w:t>
            </w:r>
          </w:p>
        </w:tc>
        <w:tc>
          <w:tcPr>
            <w:tcW w:w="992" w:type="dxa"/>
            <w:shd w:val="clear" w:color="auto" w:fill="auto"/>
            <w:vAlign w:val="center"/>
            <w:hideMark/>
          </w:tcPr>
          <w:p w14:paraId="58ACE76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D.99</w:t>
            </w:r>
          </w:p>
        </w:tc>
        <w:tc>
          <w:tcPr>
            <w:tcW w:w="1560" w:type="dxa"/>
            <w:shd w:val="clear" w:color="auto" w:fill="auto"/>
            <w:noWrap/>
            <w:vAlign w:val="center"/>
            <w:hideMark/>
          </w:tcPr>
          <w:p w14:paraId="7C35BF8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501232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7ADDD0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3405B4F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59FCCDA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558EA9FB" w14:textId="77777777" w:rsidTr="00C166DF">
        <w:trPr>
          <w:trHeight w:val="300"/>
        </w:trPr>
        <w:tc>
          <w:tcPr>
            <w:tcW w:w="6946" w:type="dxa"/>
            <w:shd w:val="clear" w:color="auto" w:fill="auto"/>
            <w:hideMark/>
          </w:tcPr>
          <w:p w14:paraId="0594520D" w14:textId="77777777" w:rsidR="00052FB5" w:rsidRPr="000B3007" w:rsidRDefault="00052FB5" w:rsidP="00C20C2A">
            <w:pPr>
              <w:spacing w:after="0"/>
              <w:ind w:firstLine="0"/>
              <w:rPr>
                <w:color w:val="000000"/>
                <w:sz w:val="20"/>
                <w:lang w:eastAsia="lv-LV"/>
              </w:rPr>
            </w:pPr>
            <w:r w:rsidRPr="000B3007">
              <w:rPr>
                <w:color w:val="000000"/>
                <w:sz w:val="20"/>
                <w:lang w:eastAsia="lv-LV"/>
              </w:rPr>
              <w:t xml:space="preserve">Ienākumu atbalsts mazajiem ražojošajiem lauksaimniekiem </w:t>
            </w:r>
            <w:r w:rsidRPr="00220F2A">
              <w:rPr>
                <w:i/>
                <w:color w:val="000000"/>
                <w:sz w:val="20"/>
                <w:lang w:eastAsia="lv-LV"/>
              </w:rPr>
              <w:t>de minimis</w:t>
            </w:r>
            <w:r w:rsidRPr="000B3007">
              <w:rPr>
                <w:color w:val="000000"/>
                <w:sz w:val="20"/>
                <w:lang w:eastAsia="lv-LV"/>
              </w:rPr>
              <w:t xml:space="preserve"> ietvaros</w:t>
            </w:r>
          </w:p>
        </w:tc>
        <w:tc>
          <w:tcPr>
            <w:tcW w:w="992" w:type="dxa"/>
            <w:shd w:val="clear" w:color="auto" w:fill="auto"/>
            <w:vAlign w:val="center"/>
            <w:hideMark/>
          </w:tcPr>
          <w:p w14:paraId="261C6EA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2BCCC8EB"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A449C3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529B05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0B5EC297"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4D5BCB2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1ECC004A" w14:textId="77777777" w:rsidTr="00C166DF">
        <w:trPr>
          <w:trHeight w:val="300"/>
        </w:trPr>
        <w:tc>
          <w:tcPr>
            <w:tcW w:w="6946" w:type="dxa"/>
            <w:shd w:val="clear" w:color="auto" w:fill="auto"/>
            <w:hideMark/>
          </w:tcPr>
          <w:p w14:paraId="5D1BEF34" w14:textId="77777777" w:rsidR="00052FB5" w:rsidRPr="000B3007" w:rsidRDefault="00052FB5" w:rsidP="00C20C2A">
            <w:pPr>
              <w:spacing w:after="0"/>
              <w:ind w:firstLine="0"/>
              <w:rPr>
                <w:color w:val="000000"/>
                <w:sz w:val="20"/>
                <w:lang w:eastAsia="lv-LV"/>
              </w:rPr>
            </w:pPr>
            <w:r w:rsidRPr="000B3007">
              <w:rPr>
                <w:color w:val="000000"/>
                <w:sz w:val="20"/>
                <w:lang w:eastAsia="lv-LV"/>
              </w:rPr>
              <w:lastRenderedPageBreak/>
              <w:t>Papildu finansējums ELFLA tehniskās palīdzības izdevumu nodrošināšanai</w:t>
            </w:r>
          </w:p>
        </w:tc>
        <w:tc>
          <w:tcPr>
            <w:tcW w:w="992" w:type="dxa"/>
            <w:shd w:val="clear" w:color="auto" w:fill="auto"/>
            <w:vAlign w:val="center"/>
            <w:hideMark/>
          </w:tcPr>
          <w:p w14:paraId="13B482BF"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0F089F99"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8DF6BA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E30B810"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7E11F69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122E8C60"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3B931593" w14:textId="77777777" w:rsidTr="00C166DF">
        <w:trPr>
          <w:trHeight w:val="255"/>
        </w:trPr>
        <w:tc>
          <w:tcPr>
            <w:tcW w:w="6946" w:type="dxa"/>
            <w:shd w:val="clear" w:color="000000" w:fill="DDEBF7"/>
            <w:hideMark/>
          </w:tcPr>
          <w:p w14:paraId="1333E051"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Satiksmes ministrija</w:t>
            </w:r>
          </w:p>
        </w:tc>
        <w:tc>
          <w:tcPr>
            <w:tcW w:w="992" w:type="dxa"/>
            <w:shd w:val="clear" w:color="000000" w:fill="DDEBF7"/>
            <w:vAlign w:val="center"/>
            <w:hideMark/>
          </w:tcPr>
          <w:p w14:paraId="48313733" w14:textId="685A6264"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231F8D13" w14:textId="1822C18F"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0C73DAD0" w14:textId="08684F10"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539E06EC" w14:textId="7169C4A1"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707C6FC3" w14:textId="01A94A81"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70D8787C" w14:textId="569BEDA3" w:rsidR="00052FB5" w:rsidRPr="000B3007" w:rsidRDefault="00052FB5" w:rsidP="00052FB5">
            <w:pPr>
              <w:spacing w:after="0"/>
              <w:ind w:firstLine="0"/>
              <w:jc w:val="center"/>
              <w:rPr>
                <w:b/>
                <w:bCs/>
                <w:color w:val="000000"/>
                <w:sz w:val="20"/>
                <w:lang w:eastAsia="lv-LV"/>
              </w:rPr>
            </w:pPr>
          </w:p>
        </w:tc>
      </w:tr>
      <w:tr w:rsidR="00C166DF" w:rsidRPr="000B3007" w14:paraId="476C3E8F" w14:textId="77777777" w:rsidTr="00C166DF">
        <w:trPr>
          <w:trHeight w:val="300"/>
        </w:trPr>
        <w:tc>
          <w:tcPr>
            <w:tcW w:w="6946" w:type="dxa"/>
            <w:shd w:val="clear" w:color="auto" w:fill="auto"/>
            <w:hideMark/>
          </w:tcPr>
          <w:p w14:paraId="14AF6ADE" w14:textId="77777777" w:rsidR="00052FB5" w:rsidRPr="000B3007" w:rsidRDefault="00052FB5" w:rsidP="00C20C2A">
            <w:pPr>
              <w:spacing w:after="0"/>
              <w:ind w:firstLine="0"/>
              <w:rPr>
                <w:color w:val="000000"/>
                <w:sz w:val="20"/>
                <w:lang w:eastAsia="lv-LV"/>
              </w:rPr>
            </w:pPr>
            <w:r w:rsidRPr="000B3007">
              <w:rPr>
                <w:color w:val="000000"/>
                <w:sz w:val="20"/>
                <w:lang w:eastAsia="lv-LV"/>
              </w:rPr>
              <w:t>Palielināti izdevumi kompensācijām par abonētās preses piegādi un saistību izpildi</w:t>
            </w:r>
          </w:p>
        </w:tc>
        <w:tc>
          <w:tcPr>
            <w:tcW w:w="992" w:type="dxa"/>
            <w:shd w:val="clear" w:color="auto" w:fill="auto"/>
            <w:vAlign w:val="center"/>
            <w:hideMark/>
          </w:tcPr>
          <w:p w14:paraId="28A37E8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D.99</w:t>
            </w:r>
          </w:p>
        </w:tc>
        <w:tc>
          <w:tcPr>
            <w:tcW w:w="1560" w:type="dxa"/>
            <w:shd w:val="clear" w:color="auto" w:fill="auto"/>
            <w:noWrap/>
            <w:vAlign w:val="center"/>
            <w:hideMark/>
          </w:tcPr>
          <w:p w14:paraId="233A87AB"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773778D"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3BE1A30"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6EFF8597"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5BB4F01C"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22208F71" w14:textId="77777777" w:rsidTr="00C166DF">
        <w:trPr>
          <w:trHeight w:val="510"/>
        </w:trPr>
        <w:tc>
          <w:tcPr>
            <w:tcW w:w="6946" w:type="dxa"/>
            <w:shd w:val="clear" w:color="auto" w:fill="auto"/>
            <w:hideMark/>
          </w:tcPr>
          <w:p w14:paraId="1EA8CC5E" w14:textId="77777777" w:rsidR="00052FB5" w:rsidRPr="000B3007" w:rsidRDefault="00052FB5" w:rsidP="00C20C2A">
            <w:pPr>
              <w:spacing w:after="0"/>
              <w:ind w:firstLine="0"/>
              <w:rPr>
                <w:color w:val="000000"/>
                <w:sz w:val="20"/>
                <w:lang w:eastAsia="lv-LV"/>
              </w:rPr>
            </w:pPr>
            <w:r w:rsidRPr="000B3007">
              <w:rPr>
                <w:color w:val="000000"/>
                <w:sz w:val="20"/>
                <w:lang w:eastAsia="lv-LV"/>
              </w:rPr>
              <w:t>Palielināti izdevumi prioritārajam pasākumam Autoceļu sakārtošanas programmas 2014.-2023.gadam īstenošanai</w:t>
            </w:r>
          </w:p>
        </w:tc>
        <w:tc>
          <w:tcPr>
            <w:tcW w:w="992" w:type="dxa"/>
            <w:shd w:val="clear" w:color="auto" w:fill="auto"/>
            <w:vAlign w:val="center"/>
            <w:hideMark/>
          </w:tcPr>
          <w:p w14:paraId="4CB4F283"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P.51</w:t>
            </w:r>
          </w:p>
        </w:tc>
        <w:tc>
          <w:tcPr>
            <w:tcW w:w="1560" w:type="dxa"/>
            <w:shd w:val="clear" w:color="auto" w:fill="auto"/>
            <w:noWrap/>
            <w:vAlign w:val="center"/>
            <w:hideMark/>
          </w:tcPr>
          <w:p w14:paraId="54C8668D"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27131CB2"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3409A9A"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0077D9C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10EAFE0A"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0EEBB024" w14:textId="77777777" w:rsidTr="00C166DF">
        <w:trPr>
          <w:trHeight w:val="765"/>
        </w:trPr>
        <w:tc>
          <w:tcPr>
            <w:tcW w:w="6946" w:type="dxa"/>
            <w:shd w:val="clear" w:color="auto" w:fill="auto"/>
            <w:hideMark/>
          </w:tcPr>
          <w:p w14:paraId="562B9DCE" w14:textId="77777777" w:rsidR="00052FB5" w:rsidRPr="000B3007" w:rsidRDefault="00052FB5" w:rsidP="00C20C2A">
            <w:pPr>
              <w:spacing w:after="0"/>
              <w:ind w:firstLine="0"/>
              <w:rPr>
                <w:color w:val="000000"/>
                <w:sz w:val="20"/>
                <w:lang w:eastAsia="lv-LV"/>
              </w:rPr>
            </w:pPr>
            <w:r w:rsidRPr="000B3007">
              <w:rPr>
                <w:color w:val="000000"/>
                <w:sz w:val="20"/>
                <w:lang w:eastAsia="lv-LV"/>
              </w:rPr>
              <w:t>Papildu finansējums, KF projekta Nr. 6.1.5.0/18/I/002 “Valsts galvenā autoceļa A2Rīga-Sigulda-Igaunijas robeža (Veclaicene) posma un valsts galvenā autoceļa A3 Inčukalns-Valmiera Igaunijas robeža (Valka) posma segas pārbūve” īstenošanai</w:t>
            </w:r>
          </w:p>
        </w:tc>
        <w:tc>
          <w:tcPr>
            <w:tcW w:w="992" w:type="dxa"/>
            <w:shd w:val="clear" w:color="auto" w:fill="auto"/>
            <w:vAlign w:val="center"/>
            <w:hideMark/>
          </w:tcPr>
          <w:p w14:paraId="6251CF6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P.51</w:t>
            </w:r>
          </w:p>
        </w:tc>
        <w:tc>
          <w:tcPr>
            <w:tcW w:w="1560" w:type="dxa"/>
            <w:shd w:val="clear" w:color="auto" w:fill="auto"/>
            <w:noWrap/>
            <w:vAlign w:val="center"/>
            <w:hideMark/>
          </w:tcPr>
          <w:p w14:paraId="778F53D3"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08FAD9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302DE35"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1013701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54C11912"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2C7D36E2" w14:textId="77777777" w:rsidTr="00C166DF">
        <w:trPr>
          <w:trHeight w:val="255"/>
        </w:trPr>
        <w:tc>
          <w:tcPr>
            <w:tcW w:w="6946" w:type="dxa"/>
            <w:shd w:val="clear" w:color="000000" w:fill="DDEBF7"/>
            <w:hideMark/>
          </w:tcPr>
          <w:p w14:paraId="02D11E70"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Labklājības ministrija</w:t>
            </w:r>
          </w:p>
        </w:tc>
        <w:tc>
          <w:tcPr>
            <w:tcW w:w="992" w:type="dxa"/>
            <w:shd w:val="clear" w:color="000000" w:fill="DDEBF7"/>
            <w:vAlign w:val="center"/>
            <w:hideMark/>
          </w:tcPr>
          <w:p w14:paraId="2B895B7F" w14:textId="6E7D946E"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4F87E271" w14:textId="24ADD090"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2B06E896" w14:textId="3B26DD2F"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43158CAC" w14:textId="36F85797"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2CC27595" w14:textId="704504D5"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3B259977" w14:textId="22D75C70" w:rsidR="00052FB5" w:rsidRPr="000B3007" w:rsidRDefault="00052FB5" w:rsidP="00052FB5">
            <w:pPr>
              <w:spacing w:after="0"/>
              <w:ind w:firstLine="0"/>
              <w:jc w:val="center"/>
              <w:rPr>
                <w:b/>
                <w:bCs/>
                <w:color w:val="000000"/>
                <w:sz w:val="20"/>
                <w:lang w:eastAsia="lv-LV"/>
              </w:rPr>
            </w:pPr>
          </w:p>
        </w:tc>
      </w:tr>
      <w:tr w:rsidR="00C166DF" w:rsidRPr="000B3007" w14:paraId="32A5C754" w14:textId="77777777" w:rsidTr="00C166DF">
        <w:trPr>
          <w:trHeight w:val="255"/>
        </w:trPr>
        <w:tc>
          <w:tcPr>
            <w:tcW w:w="6946" w:type="dxa"/>
            <w:shd w:val="clear" w:color="auto" w:fill="auto"/>
            <w:hideMark/>
          </w:tcPr>
          <w:p w14:paraId="5AAF4EF9" w14:textId="77777777" w:rsidR="00052FB5" w:rsidRPr="000B3007" w:rsidRDefault="00052FB5" w:rsidP="00C20C2A">
            <w:pPr>
              <w:spacing w:after="0"/>
              <w:ind w:firstLine="0"/>
              <w:rPr>
                <w:b/>
                <w:bCs/>
                <w:sz w:val="20"/>
                <w:lang w:eastAsia="lv-LV"/>
              </w:rPr>
            </w:pPr>
            <w:r w:rsidRPr="000B3007">
              <w:rPr>
                <w:b/>
                <w:bCs/>
                <w:sz w:val="20"/>
                <w:lang w:eastAsia="lv-LV"/>
              </w:rPr>
              <w:t>Pamatbudžets</w:t>
            </w:r>
          </w:p>
        </w:tc>
        <w:tc>
          <w:tcPr>
            <w:tcW w:w="992" w:type="dxa"/>
            <w:shd w:val="clear" w:color="auto" w:fill="auto"/>
            <w:vAlign w:val="center"/>
            <w:hideMark/>
          </w:tcPr>
          <w:p w14:paraId="12757C41" w14:textId="77777777" w:rsidR="00052FB5" w:rsidRPr="000B3007" w:rsidRDefault="00052FB5" w:rsidP="00C166DF">
            <w:pPr>
              <w:spacing w:after="0"/>
              <w:ind w:firstLine="0"/>
              <w:jc w:val="center"/>
              <w:rPr>
                <w:b/>
                <w:bCs/>
                <w:sz w:val="20"/>
                <w:lang w:eastAsia="lv-LV"/>
              </w:rPr>
            </w:pPr>
          </w:p>
        </w:tc>
        <w:tc>
          <w:tcPr>
            <w:tcW w:w="1560" w:type="dxa"/>
            <w:shd w:val="clear" w:color="auto" w:fill="auto"/>
            <w:vAlign w:val="center"/>
            <w:hideMark/>
          </w:tcPr>
          <w:p w14:paraId="402C7C44" w14:textId="77777777" w:rsidR="00052FB5" w:rsidRPr="000B3007" w:rsidRDefault="00052FB5" w:rsidP="00C166DF">
            <w:pPr>
              <w:spacing w:after="0"/>
              <w:ind w:firstLine="0"/>
              <w:jc w:val="center"/>
              <w:rPr>
                <w:sz w:val="20"/>
                <w:lang w:eastAsia="lv-LV"/>
              </w:rPr>
            </w:pPr>
          </w:p>
        </w:tc>
        <w:tc>
          <w:tcPr>
            <w:tcW w:w="1559" w:type="dxa"/>
            <w:shd w:val="clear" w:color="auto" w:fill="auto"/>
            <w:vAlign w:val="center"/>
            <w:hideMark/>
          </w:tcPr>
          <w:p w14:paraId="05A80E74" w14:textId="77777777" w:rsidR="00052FB5" w:rsidRPr="000B3007" w:rsidRDefault="00052FB5" w:rsidP="00C166DF">
            <w:pPr>
              <w:spacing w:after="0"/>
              <w:ind w:firstLine="0"/>
              <w:jc w:val="center"/>
              <w:rPr>
                <w:sz w:val="20"/>
                <w:lang w:eastAsia="lv-LV"/>
              </w:rPr>
            </w:pPr>
          </w:p>
        </w:tc>
        <w:tc>
          <w:tcPr>
            <w:tcW w:w="1276" w:type="dxa"/>
            <w:shd w:val="clear" w:color="auto" w:fill="auto"/>
            <w:vAlign w:val="center"/>
            <w:hideMark/>
          </w:tcPr>
          <w:p w14:paraId="1B3F3223" w14:textId="77777777" w:rsidR="00052FB5" w:rsidRPr="000B3007" w:rsidRDefault="00052FB5" w:rsidP="00052FB5">
            <w:pPr>
              <w:spacing w:after="0"/>
              <w:ind w:firstLine="0"/>
              <w:jc w:val="center"/>
              <w:rPr>
                <w:sz w:val="20"/>
                <w:lang w:eastAsia="lv-LV"/>
              </w:rPr>
            </w:pPr>
          </w:p>
        </w:tc>
        <w:tc>
          <w:tcPr>
            <w:tcW w:w="1275" w:type="dxa"/>
            <w:shd w:val="clear" w:color="auto" w:fill="auto"/>
            <w:vAlign w:val="center"/>
            <w:hideMark/>
          </w:tcPr>
          <w:p w14:paraId="627332D1" w14:textId="77777777" w:rsidR="00052FB5" w:rsidRPr="000B3007" w:rsidRDefault="00052FB5" w:rsidP="00052FB5">
            <w:pPr>
              <w:spacing w:after="0"/>
              <w:ind w:firstLine="0"/>
              <w:jc w:val="center"/>
              <w:rPr>
                <w:sz w:val="20"/>
                <w:lang w:eastAsia="lv-LV"/>
              </w:rPr>
            </w:pPr>
          </w:p>
        </w:tc>
        <w:tc>
          <w:tcPr>
            <w:tcW w:w="1316" w:type="dxa"/>
            <w:shd w:val="clear" w:color="auto" w:fill="auto"/>
            <w:vAlign w:val="center"/>
            <w:hideMark/>
          </w:tcPr>
          <w:p w14:paraId="78716E6A" w14:textId="77777777" w:rsidR="00052FB5" w:rsidRPr="000B3007" w:rsidRDefault="00052FB5" w:rsidP="00052FB5">
            <w:pPr>
              <w:spacing w:after="0"/>
              <w:ind w:firstLine="0"/>
              <w:jc w:val="center"/>
              <w:rPr>
                <w:sz w:val="20"/>
                <w:lang w:eastAsia="lv-LV"/>
              </w:rPr>
            </w:pPr>
          </w:p>
        </w:tc>
      </w:tr>
      <w:tr w:rsidR="00C166DF" w:rsidRPr="000B3007" w14:paraId="4F5CCA74" w14:textId="77777777" w:rsidTr="00C166DF">
        <w:trPr>
          <w:trHeight w:val="765"/>
        </w:trPr>
        <w:tc>
          <w:tcPr>
            <w:tcW w:w="6946" w:type="dxa"/>
            <w:shd w:val="clear" w:color="auto" w:fill="auto"/>
            <w:hideMark/>
          </w:tcPr>
          <w:p w14:paraId="1CDCADDF" w14:textId="77777777" w:rsidR="00052FB5" w:rsidRPr="000B3007" w:rsidRDefault="00052FB5" w:rsidP="00C20C2A">
            <w:pPr>
              <w:spacing w:after="0"/>
              <w:ind w:firstLine="0"/>
              <w:rPr>
                <w:color w:val="000000"/>
                <w:sz w:val="20"/>
                <w:lang w:eastAsia="lv-LV"/>
              </w:rPr>
            </w:pPr>
            <w:r w:rsidRPr="000B3007">
              <w:rPr>
                <w:color w:val="000000"/>
                <w:sz w:val="20"/>
                <w:lang w:eastAsia="lv-LV"/>
              </w:rPr>
              <w:t>Palielināti resursi un izdevumi, lai prioritārā pasākuma “Atbalsts minimālo ienākumu līmeņa palielināšanai” ietvaros nodrošinātu valsts sociālā nodrošinājuma pabalsta pārskatīšanu personām ar invaliditāti</w:t>
            </w:r>
          </w:p>
        </w:tc>
        <w:tc>
          <w:tcPr>
            <w:tcW w:w="992" w:type="dxa"/>
            <w:shd w:val="clear" w:color="auto" w:fill="auto"/>
            <w:vAlign w:val="center"/>
            <w:hideMark/>
          </w:tcPr>
          <w:p w14:paraId="5906FB02"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D.6</w:t>
            </w:r>
          </w:p>
        </w:tc>
        <w:tc>
          <w:tcPr>
            <w:tcW w:w="1560" w:type="dxa"/>
            <w:shd w:val="clear" w:color="auto" w:fill="auto"/>
            <w:noWrap/>
            <w:vAlign w:val="center"/>
            <w:hideMark/>
          </w:tcPr>
          <w:p w14:paraId="7BD8620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73497E1"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77B37292"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3A3F3118"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54B287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50670898" w14:textId="77777777" w:rsidTr="00C166DF">
        <w:trPr>
          <w:trHeight w:val="255"/>
        </w:trPr>
        <w:tc>
          <w:tcPr>
            <w:tcW w:w="6946" w:type="dxa"/>
            <w:shd w:val="clear" w:color="auto" w:fill="auto"/>
            <w:hideMark/>
          </w:tcPr>
          <w:p w14:paraId="35CFA0D4"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Speciālais budžets</w:t>
            </w:r>
          </w:p>
        </w:tc>
        <w:tc>
          <w:tcPr>
            <w:tcW w:w="992" w:type="dxa"/>
            <w:shd w:val="clear" w:color="auto" w:fill="auto"/>
            <w:vAlign w:val="center"/>
            <w:hideMark/>
          </w:tcPr>
          <w:p w14:paraId="7959B2F0" w14:textId="77777777" w:rsidR="00052FB5" w:rsidRPr="000B3007" w:rsidRDefault="00052FB5" w:rsidP="00C166DF">
            <w:pPr>
              <w:spacing w:after="0"/>
              <w:ind w:firstLine="0"/>
              <w:jc w:val="center"/>
              <w:rPr>
                <w:b/>
                <w:bCs/>
                <w:color w:val="000000"/>
                <w:sz w:val="20"/>
                <w:lang w:eastAsia="lv-LV"/>
              </w:rPr>
            </w:pPr>
          </w:p>
        </w:tc>
        <w:tc>
          <w:tcPr>
            <w:tcW w:w="1560" w:type="dxa"/>
            <w:shd w:val="clear" w:color="auto" w:fill="auto"/>
            <w:vAlign w:val="center"/>
            <w:hideMark/>
          </w:tcPr>
          <w:p w14:paraId="01329DCC" w14:textId="77777777" w:rsidR="00052FB5" w:rsidRPr="000B3007" w:rsidRDefault="00052FB5" w:rsidP="00C166DF">
            <w:pPr>
              <w:spacing w:after="0"/>
              <w:ind w:firstLine="0"/>
              <w:jc w:val="center"/>
              <w:rPr>
                <w:sz w:val="20"/>
                <w:lang w:eastAsia="lv-LV"/>
              </w:rPr>
            </w:pPr>
          </w:p>
        </w:tc>
        <w:tc>
          <w:tcPr>
            <w:tcW w:w="1559" w:type="dxa"/>
            <w:shd w:val="clear" w:color="auto" w:fill="auto"/>
            <w:vAlign w:val="center"/>
            <w:hideMark/>
          </w:tcPr>
          <w:p w14:paraId="0DDC5149" w14:textId="77777777" w:rsidR="00052FB5" w:rsidRPr="000B3007" w:rsidRDefault="00052FB5" w:rsidP="00C166DF">
            <w:pPr>
              <w:spacing w:after="0"/>
              <w:ind w:firstLine="0"/>
              <w:jc w:val="center"/>
              <w:rPr>
                <w:sz w:val="20"/>
                <w:lang w:eastAsia="lv-LV"/>
              </w:rPr>
            </w:pPr>
          </w:p>
        </w:tc>
        <w:tc>
          <w:tcPr>
            <w:tcW w:w="1276" w:type="dxa"/>
            <w:shd w:val="clear" w:color="auto" w:fill="auto"/>
            <w:vAlign w:val="center"/>
            <w:hideMark/>
          </w:tcPr>
          <w:p w14:paraId="58271D82"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275" w:type="dxa"/>
            <w:shd w:val="clear" w:color="auto" w:fill="auto"/>
            <w:vAlign w:val="center"/>
            <w:hideMark/>
          </w:tcPr>
          <w:p w14:paraId="6FA3EE3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7EF67803"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57135A29" w14:textId="77777777" w:rsidTr="00C166DF">
        <w:trPr>
          <w:trHeight w:val="510"/>
        </w:trPr>
        <w:tc>
          <w:tcPr>
            <w:tcW w:w="6946" w:type="dxa"/>
            <w:shd w:val="clear" w:color="auto" w:fill="auto"/>
            <w:hideMark/>
          </w:tcPr>
          <w:p w14:paraId="1BC192A7" w14:textId="77777777" w:rsidR="00052FB5" w:rsidRPr="000B3007" w:rsidRDefault="00052FB5" w:rsidP="00C20C2A">
            <w:pPr>
              <w:spacing w:after="0"/>
              <w:ind w:firstLine="0"/>
              <w:rPr>
                <w:color w:val="000000"/>
                <w:sz w:val="20"/>
                <w:lang w:eastAsia="lv-LV"/>
              </w:rPr>
            </w:pPr>
            <w:r w:rsidRPr="000B3007">
              <w:rPr>
                <w:color w:val="000000"/>
                <w:sz w:val="20"/>
                <w:lang w:eastAsia="lv-LV"/>
              </w:rPr>
              <w:t>Izdevumu samazinājums pasākuma "Bezdarbnieka pabalsta saņemšanas un izmaksas kārtības pārskatīšana" īstenošanai</w:t>
            </w:r>
          </w:p>
        </w:tc>
        <w:tc>
          <w:tcPr>
            <w:tcW w:w="992" w:type="dxa"/>
            <w:shd w:val="clear" w:color="auto" w:fill="auto"/>
            <w:vAlign w:val="center"/>
            <w:hideMark/>
          </w:tcPr>
          <w:p w14:paraId="6C23C591"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D.6</w:t>
            </w:r>
          </w:p>
        </w:tc>
        <w:tc>
          <w:tcPr>
            <w:tcW w:w="1560" w:type="dxa"/>
            <w:shd w:val="clear" w:color="auto" w:fill="auto"/>
            <w:noWrap/>
            <w:vAlign w:val="center"/>
            <w:hideMark/>
          </w:tcPr>
          <w:p w14:paraId="335F2EA8"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58DBAE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948CC0D"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-0,04</w:t>
            </w:r>
          </w:p>
        </w:tc>
        <w:tc>
          <w:tcPr>
            <w:tcW w:w="1275" w:type="dxa"/>
            <w:shd w:val="clear" w:color="auto" w:fill="auto"/>
            <w:vAlign w:val="center"/>
            <w:hideMark/>
          </w:tcPr>
          <w:p w14:paraId="48C8B9CE"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578CFEA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676EBA44" w14:textId="77777777" w:rsidTr="00C166DF">
        <w:trPr>
          <w:trHeight w:val="765"/>
        </w:trPr>
        <w:tc>
          <w:tcPr>
            <w:tcW w:w="6946" w:type="dxa"/>
            <w:shd w:val="clear" w:color="auto" w:fill="auto"/>
            <w:hideMark/>
          </w:tcPr>
          <w:p w14:paraId="1C76C7E4" w14:textId="77777777" w:rsidR="00052FB5" w:rsidRPr="000B3007" w:rsidRDefault="00052FB5" w:rsidP="00C20C2A">
            <w:pPr>
              <w:spacing w:after="0"/>
              <w:ind w:firstLine="0"/>
              <w:rPr>
                <w:color w:val="000000"/>
                <w:sz w:val="20"/>
                <w:lang w:eastAsia="lv-LV"/>
              </w:rPr>
            </w:pPr>
            <w:r w:rsidRPr="000B3007">
              <w:rPr>
                <w:color w:val="000000"/>
                <w:sz w:val="20"/>
                <w:lang w:eastAsia="lv-LV"/>
              </w:rPr>
              <w:t>Izdevumu palielinājums, lai prioritārā pasākuma "Atbalsts minimālo ienākumu līmeņa palielināšanai" ietvaros nodrošinātu minimālās pensijas paaugstināšanu un valsts sociālā nodrošinājuma pabalsta pārskatīšanu personām ar invaliditāti</w:t>
            </w:r>
          </w:p>
        </w:tc>
        <w:tc>
          <w:tcPr>
            <w:tcW w:w="992" w:type="dxa"/>
            <w:shd w:val="clear" w:color="auto" w:fill="auto"/>
            <w:vAlign w:val="center"/>
            <w:hideMark/>
          </w:tcPr>
          <w:p w14:paraId="13DF2603"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D.6</w:t>
            </w:r>
          </w:p>
        </w:tc>
        <w:tc>
          <w:tcPr>
            <w:tcW w:w="1560" w:type="dxa"/>
            <w:shd w:val="clear" w:color="auto" w:fill="auto"/>
            <w:noWrap/>
            <w:vAlign w:val="center"/>
            <w:hideMark/>
          </w:tcPr>
          <w:p w14:paraId="72C1ECB2"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4A25DEE"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3FA3147"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20414504"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0301643A"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4D4A093D" w14:textId="77777777" w:rsidTr="00C166DF">
        <w:trPr>
          <w:trHeight w:val="255"/>
        </w:trPr>
        <w:tc>
          <w:tcPr>
            <w:tcW w:w="6946" w:type="dxa"/>
            <w:shd w:val="clear" w:color="000000" w:fill="DDEBF7"/>
            <w:hideMark/>
          </w:tcPr>
          <w:p w14:paraId="1DECC190"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Tieslietu ministrija</w:t>
            </w:r>
          </w:p>
        </w:tc>
        <w:tc>
          <w:tcPr>
            <w:tcW w:w="992" w:type="dxa"/>
            <w:shd w:val="clear" w:color="000000" w:fill="DDEBF7"/>
            <w:vAlign w:val="center"/>
            <w:hideMark/>
          </w:tcPr>
          <w:p w14:paraId="1ECA6949" w14:textId="62B434B3"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5635E34B" w14:textId="5D0028BE"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6C5DA2EA" w14:textId="6A27E49A"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5F3FCFB6" w14:textId="3B01EE4F"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2E1057C1" w14:textId="54201A53"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44034A66" w14:textId="6E9EC2E2" w:rsidR="00052FB5" w:rsidRPr="000B3007" w:rsidRDefault="00052FB5" w:rsidP="00052FB5">
            <w:pPr>
              <w:spacing w:after="0"/>
              <w:ind w:firstLine="0"/>
              <w:jc w:val="center"/>
              <w:rPr>
                <w:b/>
                <w:bCs/>
                <w:color w:val="000000"/>
                <w:sz w:val="20"/>
                <w:lang w:eastAsia="lv-LV"/>
              </w:rPr>
            </w:pPr>
          </w:p>
        </w:tc>
      </w:tr>
      <w:tr w:rsidR="00C166DF" w:rsidRPr="000B3007" w14:paraId="716220B7" w14:textId="77777777" w:rsidTr="00C166DF">
        <w:trPr>
          <w:trHeight w:val="510"/>
        </w:trPr>
        <w:tc>
          <w:tcPr>
            <w:tcW w:w="6946" w:type="dxa"/>
            <w:shd w:val="clear" w:color="auto" w:fill="auto"/>
            <w:hideMark/>
          </w:tcPr>
          <w:p w14:paraId="2C514F5D" w14:textId="77777777" w:rsidR="00052FB5" w:rsidRPr="000B3007" w:rsidRDefault="00052FB5" w:rsidP="00C20C2A">
            <w:pPr>
              <w:spacing w:after="0"/>
              <w:ind w:firstLine="0"/>
              <w:rPr>
                <w:color w:val="000000"/>
                <w:sz w:val="20"/>
                <w:lang w:eastAsia="lv-LV"/>
              </w:rPr>
            </w:pPr>
            <w:r w:rsidRPr="000B3007">
              <w:rPr>
                <w:color w:val="000000"/>
                <w:sz w:val="20"/>
                <w:lang w:eastAsia="lv-LV"/>
              </w:rPr>
              <w:t>Finansējuma izmaiņas ilgtermiņa saistību pasākumam “Jauna cietuma būvniecība Liepājā"</w:t>
            </w:r>
          </w:p>
        </w:tc>
        <w:tc>
          <w:tcPr>
            <w:tcW w:w="992" w:type="dxa"/>
            <w:shd w:val="clear" w:color="auto" w:fill="auto"/>
            <w:vAlign w:val="center"/>
            <w:hideMark/>
          </w:tcPr>
          <w:p w14:paraId="465E7355"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P.51</w:t>
            </w:r>
          </w:p>
        </w:tc>
        <w:tc>
          <w:tcPr>
            <w:tcW w:w="1560" w:type="dxa"/>
            <w:shd w:val="clear" w:color="auto" w:fill="auto"/>
            <w:noWrap/>
            <w:vAlign w:val="center"/>
            <w:hideMark/>
          </w:tcPr>
          <w:p w14:paraId="307B67D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94B3C0F"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64BD19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45B41B91"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29926CBC"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0,12</w:t>
            </w:r>
          </w:p>
        </w:tc>
      </w:tr>
      <w:tr w:rsidR="00052FB5" w:rsidRPr="000B3007" w14:paraId="6DF68A9A" w14:textId="77777777" w:rsidTr="00C166DF">
        <w:trPr>
          <w:trHeight w:val="255"/>
        </w:trPr>
        <w:tc>
          <w:tcPr>
            <w:tcW w:w="6946" w:type="dxa"/>
            <w:shd w:val="clear" w:color="000000" w:fill="DDEBF7"/>
            <w:hideMark/>
          </w:tcPr>
          <w:p w14:paraId="5C8E0411"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Vides aizsardzības un reģionālās attīstības ministrija</w:t>
            </w:r>
          </w:p>
        </w:tc>
        <w:tc>
          <w:tcPr>
            <w:tcW w:w="992" w:type="dxa"/>
            <w:shd w:val="clear" w:color="000000" w:fill="DDEBF7"/>
            <w:vAlign w:val="center"/>
            <w:hideMark/>
          </w:tcPr>
          <w:p w14:paraId="4F3ED61E" w14:textId="365690DE"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38A923DA" w14:textId="1779D126"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4BD12BB3" w14:textId="3759532E"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32865323" w14:textId="5BA7450C"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663028C6" w14:textId="3B10BB65"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60992392" w14:textId="0BF1E9F6" w:rsidR="00052FB5" w:rsidRPr="000B3007" w:rsidRDefault="00052FB5" w:rsidP="00052FB5">
            <w:pPr>
              <w:spacing w:after="0"/>
              <w:ind w:firstLine="0"/>
              <w:jc w:val="center"/>
              <w:rPr>
                <w:b/>
                <w:bCs/>
                <w:color w:val="000000"/>
                <w:sz w:val="20"/>
                <w:lang w:eastAsia="lv-LV"/>
              </w:rPr>
            </w:pPr>
          </w:p>
        </w:tc>
      </w:tr>
      <w:tr w:rsidR="00C166DF" w:rsidRPr="000B3007" w14:paraId="44178B37" w14:textId="77777777" w:rsidTr="00C166DF">
        <w:trPr>
          <w:trHeight w:val="300"/>
        </w:trPr>
        <w:tc>
          <w:tcPr>
            <w:tcW w:w="6946" w:type="dxa"/>
            <w:shd w:val="clear" w:color="auto" w:fill="auto"/>
            <w:hideMark/>
          </w:tcPr>
          <w:p w14:paraId="26302BBC" w14:textId="77777777" w:rsidR="00052FB5" w:rsidRPr="000B3007" w:rsidRDefault="00052FB5" w:rsidP="00C20C2A">
            <w:pPr>
              <w:spacing w:after="0"/>
              <w:ind w:firstLine="0"/>
              <w:rPr>
                <w:color w:val="000000"/>
                <w:sz w:val="20"/>
                <w:lang w:eastAsia="lv-LV"/>
              </w:rPr>
            </w:pPr>
            <w:r w:rsidRPr="000B3007">
              <w:rPr>
                <w:color w:val="000000"/>
                <w:sz w:val="20"/>
                <w:lang w:eastAsia="lv-LV"/>
              </w:rPr>
              <w:t>Palielināti izdevumi pasākumam "Integrēta pieeja resursu pārvaldībai, I posms"</w:t>
            </w:r>
          </w:p>
        </w:tc>
        <w:tc>
          <w:tcPr>
            <w:tcW w:w="992" w:type="dxa"/>
            <w:shd w:val="clear" w:color="auto" w:fill="auto"/>
            <w:vAlign w:val="center"/>
            <w:hideMark/>
          </w:tcPr>
          <w:p w14:paraId="210A9374" w14:textId="77777777" w:rsidR="00052FB5" w:rsidRPr="000B3007" w:rsidRDefault="00052FB5" w:rsidP="00C166DF">
            <w:pPr>
              <w:spacing w:after="0"/>
              <w:ind w:firstLine="0"/>
              <w:jc w:val="center"/>
              <w:rPr>
                <w:color w:val="000000"/>
                <w:sz w:val="20"/>
                <w:lang w:eastAsia="lv-LV"/>
              </w:rPr>
            </w:pPr>
          </w:p>
        </w:tc>
        <w:tc>
          <w:tcPr>
            <w:tcW w:w="1560" w:type="dxa"/>
            <w:shd w:val="clear" w:color="auto" w:fill="auto"/>
            <w:noWrap/>
            <w:vAlign w:val="center"/>
            <w:hideMark/>
          </w:tcPr>
          <w:p w14:paraId="2DC79FE9"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E4E6E28"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1E4DD6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440FAA30"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800DC7E"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6D6470C9" w14:textId="77777777" w:rsidTr="00C166DF">
        <w:trPr>
          <w:trHeight w:val="510"/>
        </w:trPr>
        <w:tc>
          <w:tcPr>
            <w:tcW w:w="6946" w:type="dxa"/>
            <w:shd w:val="clear" w:color="auto" w:fill="auto"/>
            <w:hideMark/>
          </w:tcPr>
          <w:p w14:paraId="564494B8" w14:textId="77777777" w:rsidR="00052FB5" w:rsidRPr="000B3007" w:rsidRDefault="00052FB5" w:rsidP="00C20C2A">
            <w:pPr>
              <w:spacing w:after="0"/>
              <w:ind w:firstLine="0"/>
              <w:rPr>
                <w:color w:val="000000"/>
                <w:sz w:val="20"/>
                <w:lang w:eastAsia="lv-LV"/>
              </w:rPr>
            </w:pPr>
            <w:r w:rsidRPr="000B3007">
              <w:rPr>
                <w:color w:val="000000"/>
                <w:sz w:val="20"/>
                <w:lang w:eastAsia="lv-LV"/>
              </w:rPr>
              <w:t>Palielināti izdevumi prioritārajam pasākumam par Administratīvi teritoriālās reformas īstenošanu</w:t>
            </w:r>
          </w:p>
        </w:tc>
        <w:tc>
          <w:tcPr>
            <w:tcW w:w="992" w:type="dxa"/>
            <w:shd w:val="clear" w:color="auto" w:fill="auto"/>
            <w:vAlign w:val="center"/>
            <w:hideMark/>
          </w:tcPr>
          <w:p w14:paraId="200A4B96" w14:textId="77777777" w:rsidR="00052FB5" w:rsidRPr="000B3007" w:rsidRDefault="00052FB5" w:rsidP="00C166DF">
            <w:pPr>
              <w:spacing w:after="0"/>
              <w:ind w:firstLine="0"/>
              <w:jc w:val="center"/>
              <w:rPr>
                <w:color w:val="000000"/>
                <w:sz w:val="20"/>
                <w:lang w:eastAsia="lv-LV"/>
              </w:rPr>
            </w:pPr>
          </w:p>
        </w:tc>
        <w:tc>
          <w:tcPr>
            <w:tcW w:w="1560" w:type="dxa"/>
            <w:shd w:val="clear" w:color="auto" w:fill="auto"/>
            <w:noWrap/>
            <w:vAlign w:val="center"/>
            <w:hideMark/>
          </w:tcPr>
          <w:p w14:paraId="46026CD1"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615780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0AA5FC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275" w:type="dxa"/>
            <w:shd w:val="clear" w:color="auto" w:fill="auto"/>
            <w:vAlign w:val="center"/>
            <w:hideMark/>
          </w:tcPr>
          <w:p w14:paraId="032A7C0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316" w:type="dxa"/>
            <w:shd w:val="clear" w:color="auto" w:fill="auto"/>
            <w:vAlign w:val="center"/>
            <w:hideMark/>
          </w:tcPr>
          <w:p w14:paraId="0FE55E6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r>
      <w:tr w:rsidR="00052FB5" w:rsidRPr="000B3007" w14:paraId="5B68EC9A" w14:textId="77777777" w:rsidTr="00C166DF">
        <w:trPr>
          <w:trHeight w:val="255"/>
        </w:trPr>
        <w:tc>
          <w:tcPr>
            <w:tcW w:w="6946" w:type="dxa"/>
            <w:shd w:val="clear" w:color="000000" w:fill="DDEBF7"/>
            <w:hideMark/>
          </w:tcPr>
          <w:p w14:paraId="4147C329"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Kultūras ministrija</w:t>
            </w:r>
          </w:p>
        </w:tc>
        <w:tc>
          <w:tcPr>
            <w:tcW w:w="992" w:type="dxa"/>
            <w:shd w:val="clear" w:color="000000" w:fill="DDEBF7"/>
            <w:vAlign w:val="center"/>
            <w:hideMark/>
          </w:tcPr>
          <w:p w14:paraId="7916C459" w14:textId="32006652"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79777CF8" w14:textId="78D8E446"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780232FF" w14:textId="33BA4618"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076B590D" w14:textId="5AA934CB"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3C43F74D" w14:textId="285B32F4"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16732BED" w14:textId="4DBE80FF" w:rsidR="00052FB5" w:rsidRPr="000B3007" w:rsidRDefault="00052FB5" w:rsidP="00052FB5">
            <w:pPr>
              <w:spacing w:after="0"/>
              <w:ind w:firstLine="0"/>
              <w:jc w:val="center"/>
              <w:rPr>
                <w:b/>
                <w:bCs/>
                <w:color w:val="000000"/>
                <w:sz w:val="20"/>
                <w:lang w:eastAsia="lv-LV"/>
              </w:rPr>
            </w:pPr>
          </w:p>
        </w:tc>
      </w:tr>
      <w:tr w:rsidR="00C166DF" w:rsidRPr="000B3007" w14:paraId="40D0A76F" w14:textId="77777777" w:rsidTr="00C166DF">
        <w:trPr>
          <w:trHeight w:val="510"/>
        </w:trPr>
        <w:tc>
          <w:tcPr>
            <w:tcW w:w="6946" w:type="dxa"/>
            <w:shd w:val="clear" w:color="auto" w:fill="auto"/>
            <w:hideMark/>
          </w:tcPr>
          <w:p w14:paraId="6349B10D" w14:textId="77777777" w:rsidR="00052FB5" w:rsidRPr="000B3007" w:rsidRDefault="00052FB5" w:rsidP="00C20C2A">
            <w:pPr>
              <w:spacing w:after="0"/>
              <w:ind w:firstLine="0"/>
              <w:rPr>
                <w:color w:val="000000"/>
                <w:sz w:val="20"/>
                <w:lang w:eastAsia="lv-LV"/>
              </w:rPr>
            </w:pPr>
            <w:r w:rsidRPr="000B3007">
              <w:rPr>
                <w:color w:val="000000"/>
                <w:sz w:val="20"/>
                <w:lang w:eastAsia="lv-LV"/>
              </w:rPr>
              <w:t>Finansējuma palielinājums prioritārajam pasākumam par atalgojuma celšanai kultūras nozarē nodarbinātajiem</w:t>
            </w:r>
          </w:p>
        </w:tc>
        <w:tc>
          <w:tcPr>
            <w:tcW w:w="992" w:type="dxa"/>
            <w:shd w:val="clear" w:color="auto" w:fill="auto"/>
            <w:vAlign w:val="center"/>
            <w:hideMark/>
          </w:tcPr>
          <w:p w14:paraId="1D1A292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0FA9601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FD7F831"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B59659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0,03</w:t>
            </w:r>
          </w:p>
        </w:tc>
        <w:tc>
          <w:tcPr>
            <w:tcW w:w="1275" w:type="dxa"/>
            <w:shd w:val="clear" w:color="auto" w:fill="auto"/>
            <w:vAlign w:val="center"/>
            <w:hideMark/>
          </w:tcPr>
          <w:p w14:paraId="3F9B1A03"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3C41BBDB"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r>
      <w:tr w:rsidR="00052FB5" w:rsidRPr="000B3007" w14:paraId="4A1C1F65" w14:textId="77777777" w:rsidTr="00C166DF">
        <w:trPr>
          <w:trHeight w:val="255"/>
        </w:trPr>
        <w:tc>
          <w:tcPr>
            <w:tcW w:w="6946" w:type="dxa"/>
            <w:shd w:val="clear" w:color="000000" w:fill="DDEBF7"/>
            <w:hideMark/>
          </w:tcPr>
          <w:p w14:paraId="1FB4363A"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Veselības ministrija</w:t>
            </w:r>
          </w:p>
        </w:tc>
        <w:tc>
          <w:tcPr>
            <w:tcW w:w="992" w:type="dxa"/>
            <w:shd w:val="clear" w:color="000000" w:fill="DDEBF7"/>
            <w:vAlign w:val="center"/>
            <w:hideMark/>
          </w:tcPr>
          <w:p w14:paraId="5F910DEF" w14:textId="5462312D"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5AD072DF" w14:textId="0C1FD985"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09D3C82E" w14:textId="3CE86BC7"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1CB34728" w14:textId="2067A5FB"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24BD9716" w14:textId="435764E0"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1859DA65" w14:textId="0AC5C549" w:rsidR="00052FB5" w:rsidRPr="000B3007" w:rsidRDefault="00052FB5" w:rsidP="00052FB5">
            <w:pPr>
              <w:spacing w:after="0"/>
              <w:ind w:firstLine="0"/>
              <w:jc w:val="center"/>
              <w:rPr>
                <w:b/>
                <w:bCs/>
                <w:color w:val="000000"/>
                <w:sz w:val="20"/>
                <w:lang w:eastAsia="lv-LV"/>
              </w:rPr>
            </w:pPr>
          </w:p>
        </w:tc>
      </w:tr>
      <w:tr w:rsidR="00C166DF" w:rsidRPr="000B3007" w14:paraId="404DC4FF" w14:textId="77777777" w:rsidTr="00C166DF">
        <w:trPr>
          <w:trHeight w:val="765"/>
        </w:trPr>
        <w:tc>
          <w:tcPr>
            <w:tcW w:w="6946" w:type="dxa"/>
            <w:shd w:val="clear" w:color="auto" w:fill="auto"/>
            <w:hideMark/>
          </w:tcPr>
          <w:p w14:paraId="33ED4334" w14:textId="77777777" w:rsidR="00052FB5" w:rsidRPr="000B3007" w:rsidRDefault="00052FB5" w:rsidP="00C20C2A">
            <w:pPr>
              <w:spacing w:after="0"/>
              <w:ind w:firstLine="0"/>
              <w:rPr>
                <w:color w:val="000000"/>
                <w:sz w:val="20"/>
                <w:lang w:eastAsia="lv-LV"/>
              </w:rPr>
            </w:pPr>
            <w:r w:rsidRPr="000B3007">
              <w:rPr>
                <w:color w:val="000000"/>
                <w:sz w:val="20"/>
                <w:lang w:eastAsia="lv-LV"/>
              </w:rPr>
              <w:lastRenderedPageBreak/>
              <w:t>Palielināta dotācija no vispārējiem ieņēmumiem un izdevumi, lai nodrošinātu rezidentūras finansēšanu, pārdalot finansējumu no 74.budžeta resora 08.00.00 programmas “Veselības aprūpes sistēmas reformas ieviešanas finansējums”</w:t>
            </w:r>
          </w:p>
        </w:tc>
        <w:tc>
          <w:tcPr>
            <w:tcW w:w="992" w:type="dxa"/>
            <w:shd w:val="clear" w:color="auto" w:fill="auto"/>
            <w:vAlign w:val="center"/>
            <w:hideMark/>
          </w:tcPr>
          <w:p w14:paraId="3037EFBE" w14:textId="77777777" w:rsidR="00052FB5" w:rsidRPr="000B3007" w:rsidRDefault="00052FB5" w:rsidP="00C166DF">
            <w:pPr>
              <w:spacing w:after="0"/>
              <w:ind w:firstLine="0"/>
              <w:jc w:val="center"/>
              <w:rPr>
                <w:color w:val="000000"/>
                <w:sz w:val="20"/>
                <w:lang w:eastAsia="lv-LV"/>
              </w:rPr>
            </w:pPr>
          </w:p>
        </w:tc>
        <w:tc>
          <w:tcPr>
            <w:tcW w:w="1560" w:type="dxa"/>
            <w:shd w:val="clear" w:color="auto" w:fill="auto"/>
            <w:noWrap/>
            <w:vAlign w:val="center"/>
            <w:hideMark/>
          </w:tcPr>
          <w:p w14:paraId="6CF51B4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2251332"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35E1DE3"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275" w:type="dxa"/>
            <w:shd w:val="clear" w:color="auto" w:fill="auto"/>
            <w:vAlign w:val="center"/>
            <w:hideMark/>
          </w:tcPr>
          <w:p w14:paraId="3CAD5433"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6083EDFC"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r>
      <w:tr w:rsidR="00C166DF" w:rsidRPr="000B3007" w14:paraId="57DE518B" w14:textId="77777777" w:rsidTr="00C166DF">
        <w:trPr>
          <w:trHeight w:val="765"/>
        </w:trPr>
        <w:tc>
          <w:tcPr>
            <w:tcW w:w="6946" w:type="dxa"/>
            <w:shd w:val="clear" w:color="auto" w:fill="auto"/>
            <w:hideMark/>
          </w:tcPr>
          <w:p w14:paraId="028B4C6C" w14:textId="77777777" w:rsidR="00052FB5" w:rsidRPr="000B3007" w:rsidRDefault="00052FB5" w:rsidP="00C20C2A">
            <w:pPr>
              <w:spacing w:after="0"/>
              <w:ind w:firstLine="0"/>
              <w:rPr>
                <w:color w:val="000000"/>
                <w:sz w:val="20"/>
                <w:lang w:eastAsia="lv-LV"/>
              </w:rPr>
            </w:pPr>
            <w:r w:rsidRPr="000B3007">
              <w:rPr>
                <w:color w:val="000000"/>
                <w:sz w:val="20"/>
                <w:lang w:eastAsia="lv-LV"/>
              </w:rPr>
              <w:t>Papildu izdevumi, lai prioritārā pasākuma “Kompensējamo medikamentu un materiālu sistēmas uzlabošana” ietvaros nodrošinātu inovatīvos medikamentus onkoloģijā un kardioloģijā</w:t>
            </w:r>
          </w:p>
        </w:tc>
        <w:tc>
          <w:tcPr>
            <w:tcW w:w="992" w:type="dxa"/>
            <w:shd w:val="clear" w:color="auto" w:fill="auto"/>
            <w:vAlign w:val="center"/>
            <w:hideMark/>
          </w:tcPr>
          <w:p w14:paraId="34FF8049"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D.3</w:t>
            </w:r>
          </w:p>
        </w:tc>
        <w:tc>
          <w:tcPr>
            <w:tcW w:w="1560" w:type="dxa"/>
            <w:shd w:val="clear" w:color="auto" w:fill="auto"/>
            <w:noWrap/>
            <w:vAlign w:val="center"/>
            <w:hideMark/>
          </w:tcPr>
          <w:p w14:paraId="48E93B13"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68C2E7B"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ADFF1B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3C48A278"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498D96C8"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77021D76" w14:textId="77777777" w:rsidTr="00C166DF">
        <w:trPr>
          <w:trHeight w:val="765"/>
        </w:trPr>
        <w:tc>
          <w:tcPr>
            <w:tcW w:w="6946" w:type="dxa"/>
            <w:shd w:val="clear" w:color="auto" w:fill="auto"/>
            <w:hideMark/>
          </w:tcPr>
          <w:p w14:paraId="06EB2800" w14:textId="77777777" w:rsidR="00052FB5" w:rsidRPr="000B3007" w:rsidRDefault="00052FB5"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ģimenes ārstu kapitācijas naudas pieaugumu</w:t>
            </w:r>
          </w:p>
        </w:tc>
        <w:tc>
          <w:tcPr>
            <w:tcW w:w="992" w:type="dxa"/>
            <w:shd w:val="clear" w:color="auto" w:fill="auto"/>
            <w:vAlign w:val="center"/>
            <w:hideMark/>
          </w:tcPr>
          <w:p w14:paraId="066A4E1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374168E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362E68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4336744"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230D96D0"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5B5F6DB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2B9E20C8" w14:textId="77777777" w:rsidTr="00C166DF">
        <w:trPr>
          <w:trHeight w:val="765"/>
        </w:trPr>
        <w:tc>
          <w:tcPr>
            <w:tcW w:w="6946" w:type="dxa"/>
            <w:shd w:val="clear" w:color="auto" w:fill="auto"/>
            <w:hideMark/>
          </w:tcPr>
          <w:p w14:paraId="27313958" w14:textId="77777777" w:rsidR="00052FB5" w:rsidRPr="000B3007" w:rsidRDefault="00052FB5"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psihiatrijas plāna ietvaros plānoto ārstniecības personu darba samaksas pieaugumu</w:t>
            </w:r>
          </w:p>
        </w:tc>
        <w:tc>
          <w:tcPr>
            <w:tcW w:w="992" w:type="dxa"/>
            <w:shd w:val="clear" w:color="auto" w:fill="auto"/>
            <w:vAlign w:val="center"/>
            <w:hideMark/>
          </w:tcPr>
          <w:p w14:paraId="2671BA0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73F9E525"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4D8B76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1900A0BE"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482366F3"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11314E86"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6E88E681" w14:textId="77777777" w:rsidTr="00C166DF">
        <w:trPr>
          <w:trHeight w:val="765"/>
        </w:trPr>
        <w:tc>
          <w:tcPr>
            <w:tcW w:w="6946" w:type="dxa"/>
            <w:shd w:val="clear" w:color="auto" w:fill="auto"/>
            <w:hideMark/>
          </w:tcPr>
          <w:p w14:paraId="6C5C51AD" w14:textId="77777777" w:rsidR="00052FB5" w:rsidRPr="000B3007" w:rsidRDefault="00052FB5"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stacionārajās ārstniecības iestādēs strādājošo ārstniecības personu darba samaksas pieaugumu</w:t>
            </w:r>
          </w:p>
        </w:tc>
        <w:tc>
          <w:tcPr>
            <w:tcW w:w="992" w:type="dxa"/>
            <w:shd w:val="clear" w:color="auto" w:fill="auto"/>
            <w:vAlign w:val="center"/>
            <w:hideMark/>
          </w:tcPr>
          <w:p w14:paraId="2CB63C7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663A097A"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B8A774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A0E65C2"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0,05</w:t>
            </w:r>
          </w:p>
        </w:tc>
        <w:tc>
          <w:tcPr>
            <w:tcW w:w="1275" w:type="dxa"/>
            <w:shd w:val="clear" w:color="auto" w:fill="auto"/>
            <w:vAlign w:val="center"/>
            <w:hideMark/>
          </w:tcPr>
          <w:p w14:paraId="4562BF8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785BA2FE"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485FB1DE" w14:textId="77777777" w:rsidTr="00C166DF">
        <w:trPr>
          <w:trHeight w:val="765"/>
        </w:trPr>
        <w:tc>
          <w:tcPr>
            <w:tcW w:w="6946" w:type="dxa"/>
            <w:shd w:val="clear" w:color="auto" w:fill="auto"/>
            <w:hideMark/>
          </w:tcPr>
          <w:p w14:paraId="14FFC300" w14:textId="77777777" w:rsidR="00052FB5" w:rsidRPr="000B3007" w:rsidRDefault="00052FB5"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stacionārajās ārstniecības iestādēs strādājošo ārstniecības personu darba samaksas pieaugumu</w:t>
            </w:r>
          </w:p>
        </w:tc>
        <w:tc>
          <w:tcPr>
            <w:tcW w:w="992" w:type="dxa"/>
            <w:shd w:val="clear" w:color="auto" w:fill="auto"/>
            <w:vAlign w:val="center"/>
            <w:hideMark/>
          </w:tcPr>
          <w:p w14:paraId="32E88C4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1E5A38E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645460B"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A9CC4DA"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0,03</w:t>
            </w:r>
          </w:p>
        </w:tc>
        <w:tc>
          <w:tcPr>
            <w:tcW w:w="1275" w:type="dxa"/>
            <w:shd w:val="clear" w:color="auto" w:fill="auto"/>
            <w:vAlign w:val="center"/>
            <w:hideMark/>
          </w:tcPr>
          <w:p w14:paraId="5B38A327"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6D805B5"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C166DF" w:rsidRPr="000B3007" w14:paraId="379D84F0" w14:textId="77777777" w:rsidTr="00C166DF">
        <w:trPr>
          <w:trHeight w:val="713"/>
        </w:trPr>
        <w:tc>
          <w:tcPr>
            <w:tcW w:w="6946" w:type="dxa"/>
            <w:shd w:val="clear" w:color="auto" w:fill="auto"/>
            <w:hideMark/>
          </w:tcPr>
          <w:p w14:paraId="1A376592" w14:textId="77777777" w:rsidR="00052FB5" w:rsidRPr="000B3007" w:rsidRDefault="00052FB5"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neatliekamās medicīniskās palīdzības ārstniecības personu un pārējo darbinieku plānoto darba samaksas pieaugumu</w:t>
            </w:r>
          </w:p>
        </w:tc>
        <w:tc>
          <w:tcPr>
            <w:tcW w:w="992" w:type="dxa"/>
            <w:shd w:val="clear" w:color="auto" w:fill="auto"/>
            <w:vAlign w:val="center"/>
            <w:hideMark/>
          </w:tcPr>
          <w:p w14:paraId="5A40564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713B8DA7"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4B63D07"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E4FE4AD"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4A047DFD"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9623525"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1A09A3AD" w14:textId="77777777" w:rsidTr="00C166DF">
        <w:trPr>
          <w:trHeight w:val="255"/>
        </w:trPr>
        <w:tc>
          <w:tcPr>
            <w:tcW w:w="6946" w:type="dxa"/>
            <w:shd w:val="clear" w:color="000000" w:fill="DDEBF7"/>
            <w:hideMark/>
          </w:tcPr>
          <w:p w14:paraId="3101C361"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Radio un televīzija</w:t>
            </w:r>
          </w:p>
        </w:tc>
        <w:tc>
          <w:tcPr>
            <w:tcW w:w="992" w:type="dxa"/>
            <w:shd w:val="clear" w:color="000000" w:fill="DDEBF7"/>
            <w:vAlign w:val="center"/>
            <w:hideMark/>
          </w:tcPr>
          <w:p w14:paraId="2BB13210" w14:textId="56057FEF"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47DA50C6" w14:textId="3B7B8E6E"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1D59A847" w14:textId="0E13E356"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1399784C" w14:textId="602E482D"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01A8C08C" w14:textId="6A93CB33"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41EF7288" w14:textId="42E75019" w:rsidR="00052FB5" w:rsidRPr="000B3007" w:rsidRDefault="00052FB5" w:rsidP="00052FB5">
            <w:pPr>
              <w:spacing w:after="0"/>
              <w:ind w:firstLine="0"/>
              <w:jc w:val="center"/>
              <w:rPr>
                <w:b/>
                <w:bCs/>
                <w:color w:val="000000"/>
                <w:sz w:val="20"/>
                <w:lang w:eastAsia="lv-LV"/>
              </w:rPr>
            </w:pPr>
          </w:p>
        </w:tc>
      </w:tr>
      <w:tr w:rsidR="00C166DF" w:rsidRPr="000B3007" w14:paraId="2A959B6F" w14:textId="77777777" w:rsidTr="00C166DF">
        <w:trPr>
          <w:trHeight w:val="510"/>
        </w:trPr>
        <w:tc>
          <w:tcPr>
            <w:tcW w:w="6946" w:type="dxa"/>
            <w:shd w:val="clear" w:color="auto" w:fill="auto"/>
            <w:hideMark/>
          </w:tcPr>
          <w:p w14:paraId="7ED8E1BC" w14:textId="77777777" w:rsidR="00052FB5" w:rsidRPr="000B3007" w:rsidRDefault="00052FB5" w:rsidP="00C20C2A">
            <w:pPr>
              <w:spacing w:after="0"/>
              <w:ind w:firstLine="0"/>
              <w:rPr>
                <w:sz w:val="20"/>
                <w:lang w:eastAsia="lv-LV"/>
              </w:rPr>
            </w:pPr>
            <w:r w:rsidRPr="000B3007">
              <w:rPr>
                <w:sz w:val="20"/>
                <w:lang w:eastAsia="lv-LV"/>
              </w:rPr>
              <w:t xml:space="preserve">Papildu izdevumi, lai nodrošinātu prioritārā pasākuma par sabiedrisko mediju iziešana no reklāmas tirgus nodrošināšanu </w:t>
            </w:r>
          </w:p>
        </w:tc>
        <w:tc>
          <w:tcPr>
            <w:tcW w:w="992" w:type="dxa"/>
            <w:shd w:val="clear" w:color="auto" w:fill="auto"/>
            <w:vAlign w:val="center"/>
            <w:hideMark/>
          </w:tcPr>
          <w:p w14:paraId="6158EAD9" w14:textId="77777777" w:rsidR="00052FB5" w:rsidRPr="000B3007" w:rsidRDefault="00052FB5" w:rsidP="00C166DF">
            <w:pPr>
              <w:spacing w:after="0"/>
              <w:ind w:firstLine="0"/>
              <w:jc w:val="center"/>
              <w:rPr>
                <w:sz w:val="20"/>
                <w:lang w:eastAsia="lv-LV"/>
              </w:rPr>
            </w:pPr>
            <w:r w:rsidRPr="000B3007">
              <w:rPr>
                <w:sz w:val="20"/>
                <w:lang w:eastAsia="lv-LV"/>
              </w:rPr>
              <w:t>D.7</w:t>
            </w:r>
          </w:p>
        </w:tc>
        <w:tc>
          <w:tcPr>
            <w:tcW w:w="1560" w:type="dxa"/>
            <w:shd w:val="clear" w:color="auto" w:fill="auto"/>
            <w:noWrap/>
            <w:vAlign w:val="center"/>
            <w:hideMark/>
          </w:tcPr>
          <w:p w14:paraId="2B3662EC"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07DB44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5179D8A4" w14:textId="77777777" w:rsidR="00052FB5" w:rsidRPr="000B3007" w:rsidRDefault="00052FB5" w:rsidP="00052FB5">
            <w:pPr>
              <w:spacing w:after="0"/>
              <w:ind w:firstLine="0"/>
              <w:jc w:val="center"/>
              <w:rPr>
                <w:sz w:val="20"/>
                <w:lang w:eastAsia="lv-LV"/>
              </w:rPr>
            </w:pPr>
            <w:r w:rsidRPr="000B3007">
              <w:rPr>
                <w:sz w:val="20"/>
                <w:lang w:eastAsia="lv-LV"/>
              </w:rPr>
              <w:t>0,01</w:t>
            </w:r>
          </w:p>
        </w:tc>
        <w:tc>
          <w:tcPr>
            <w:tcW w:w="1275" w:type="dxa"/>
            <w:shd w:val="clear" w:color="auto" w:fill="auto"/>
            <w:vAlign w:val="center"/>
            <w:hideMark/>
          </w:tcPr>
          <w:p w14:paraId="4A78E50B" w14:textId="77777777" w:rsidR="00052FB5" w:rsidRPr="000B3007" w:rsidRDefault="00052FB5" w:rsidP="00052FB5">
            <w:pPr>
              <w:spacing w:after="0"/>
              <w:ind w:firstLine="0"/>
              <w:jc w:val="center"/>
              <w:rPr>
                <w:sz w:val="20"/>
                <w:lang w:eastAsia="lv-LV"/>
              </w:rPr>
            </w:pPr>
            <w:r w:rsidRPr="000B3007">
              <w:rPr>
                <w:sz w:val="20"/>
                <w:lang w:eastAsia="lv-LV"/>
              </w:rPr>
              <w:t>0,00</w:t>
            </w:r>
          </w:p>
        </w:tc>
        <w:tc>
          <w:tcPr>
            <w:tcW w:w="1316" w:type="dxa"/>
            <w:shd w:val="clear" w:color="auto" w:fill="auto"/>
            <w:vAlign w:val="center"/>
            <w:hideMark/>
          </w:tcPr>
          <w:p w14:paraId="1AF7AC31" w14:textId="77777777" w:rsidR="00052FB5" w:rsidRPr="000B3007" w:rsidRDefault="00052FB5" w:rsidP="00052FB5">
            <w:pPr>
              <w:spacing w:after="0"/>
              <w:ind w:firstLine="0"/>
              <w:jc w:val="center"/>
              <w:rPr>
                <w:sz w:val="20"/>
                <w:lang w:eastAsia="lv-LV"/>
              </w:rPr>
            </w:pPr>
            <w:r w:rsidRPr="000B3007">
              <w:rPr>
                <w:sz w:val="20"/>
                <w:lang w:eastAsia="lv-LV"/>
              </w:rPr>
              <w:t>0,00</w:t>
            </w:r>
          </w:p>
        </w:tc>
      </w:tr>
      <w:tr w:rsidR="00052FB5" w:rsidRPr="000B3007" w14:paraId="1A8537B3" w14:textId="77777777" w:rsidTr="00C166DF">
        <w:trPr>
          <w:trHeight w:val="255"/>
        </w:trPr>
        <w:tc>
          <w:tcPr>
            <w:tcW w:w="6946" w:type="dxa"/>
            <w:shd w:val="clear" w:color="000000" w:fill="DDEBF7"/>
            <w:hideMark/>
          </w:tcPr>
          <w:p w14:paraId="4878BDAD"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Mērķdotācijas pašvaldībām</w:t>
            </w:r>
          </w:p>
        </w:tc>
        <w:tc>
          <w:tcPr>
            <w:tcW w:w="992" w:type="dxa"/>
            <w:shd w:val="clear" w:color="000000" w:fill="DDEBF7"/>
            <w:vAlign w:val="center"/>
            <w:hideMark/>
          </w:tcPr>
          <w:p w14:paraId="5B117335" w14:textId="2C09E5F1"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477D9E88" w14:textId="2C0517C3"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39379EEC" w14:textId="5A6D4C2F"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25D8A392" w14:textId="3EF8B07D"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0307D7BB" w14:textId="65978A58"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5EEBE38B" w14:textId="01A33122" w:rsidR="00052FB5" w:rsidRPr="000B3007" w:rsidRDefault="00052FB5" w:rsidP="00052FB5">
            <w:pPr>
              <w:spacing w:after="0"/>
              <w:ind w:firstLine="0"/>
              <w:jc w:val="center"/>
              <w:rPr>
                <w:b/>
                <w:bCs/>
                <w:color w:val="000000"/>
                <w:sz w:val="20"/>
                <w:lang w:eastAsia="lv-LV"/>
              </w:rPr>
            </w:pPr>
          </w:p>
        </w:tc>
      </w:tr>
      <w:tr w:rsidR="00C166DF" w:rsidRPr="000B3007" w14:paraId="2CE21B5F" w14:textId="77777777" w:rsidTr="00C166DF">
        <w:trPr>
          <w:trHeight w:val="510"/>
        </w:trPr>
        <w:tc>
          <w:tcPr>
            <w:tcW w:w="6946" w:type="dxa"/>
            <w:shd w:val="clear" w:color="auto" w:fill="auto"/>
            <w:hideMark/>
          </w:tcPr>
          <w:p w14:paraId="03B67D3C" w14:textId="5A6B8C52" w:rsidR="00052FB5" w:rsidRPr="000B3007" w:rsidRDefault="00052FB5" w:rsidP="00C20C2A">
            <w:pPr>
              <w:spacing w:after="0"/>
              <w:ind w:firstLine="0"/>
              <w:rPr>
                <w:color w:val="000000"/>
                <w:sz w:val="20"/>
                <w:lang w:eastAsia="lv-LV"/>
              </w:rPr>
            </w:pPr>
            <w:r w:rsidRPr="000B3007">
              <w:rPr>
                <w:color w:val="000000"/>
                <w:sz w:val="20"/>
                <w:lang w:eastAsia="lv-LV"/>
              </w:rPr>
              <w:t xml:space="preserve">Papildu izdevumi, lai nodrošinātu prioritārā pasākuma pedagogu zemākās darba algas likme paaugstināšanu līdz 750 </w:t>
            </w:r>
            <w:r w:rsidRPr="000B3007">
              <w:rPr>
                <w:i/>
                <w:iCs/>
                <w:color w:val="000000"/>
                <w:sz w:val="20"/>
                <w:lang w:eastAsia="lv-LV"/>
              </w:rPr>
              <w:t>euro</w:t>
            </w:r>
          </w:p>
        </w:tc>
        <w:tc>
          <w:tcPr>
            <w:tcW w:w="992" w:type="dxa"/>
            <w:shd w:val="clear" w:color="auto" w:fill="auto"/>
            <w:vAlign w:val="center"/>
            <w:hideMark/>
          </w:tcPr>
          <w:p w14:paraId="0AEF2AE9"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144DE465"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B3FAF91"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53EFBFC"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0,06</w:t>
            </w:r>
          </w:p>
        </w:tc>
        <w:tc>
          <w:tcPr>
            <w:tcW w:w="1275" w:type="dxa"/>
            <w:shd w:val="clear" w:color="auto" w:fill="auto"/>
            <w:vAlign w:val="center"/>
            <w:hideMark/>
          </w:tcPr>
          <w:p w14:paraId="7C55AFC3"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7E44B509"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3EBD6500" w14:textId="77777777" w:rsidTr="00C166DF">
        <w:trPr>
          <w:trHeight w:val="255"/>
        </w:trPr>
        <w:tc>
          <w:tcPr>
            <w:tcW w:w="6946" w:type="dxa"/>
            <w:shd w:val="clear" w:color="000000" w:fill="DDEBF7"/>
            <w:hideMark/>
          </w:tcPr>
          <w:p w14:paraId="7940E426"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Dotācija pašvaldībām</w:t>
            </w:r>
          </w:p>
        </w:tc>
        <w:tc>
          <w:tcPr>
            <w:tcW w:w="992" w:type="dxa"/>
            <w:shd w:val="clear" w:color="000000" w:fill="DDEBF7"/>
            <w:vAlign w:val="center"/>
            <w:hideMark/>
          </w:tcPr>
          <w:p w14:paraId="497D8170" w14:textId="12C71A88"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6EDB746F" w14:textId="2E1097B1"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740EC2DA" w14:textId="4D983B5D"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75562133" w14:textId="6CA08CB0"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0444930C" w14:textId="664223A3"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55C9EE07" w14:textId="125E1895" w:rsidR="00052FB5" w:rsidRPr="000B3007" w:rsidRDefault="00052FB5" w:rsidP="00052FB5">
            <w:pPr>
              <w:spacing w:after="0"/>
              <w:ind w:firstLine="0"/>
              <w:jc w:val="center"/>
              <w:rPr>
                <w:b/>
                <w:bCs/>
                <w:color w:val="000000"/>
                <w:sz w:val="20"/>
                <w:lang w:eastAsia="lv-LV"/>
              </w:rPr>
            </w:pPr>
          </w:p>
        </w:tc>
      </w:tr>
      <w:tr w:rsidR="00C166DF" w:rsidRPr="000B3007" w14:paraId="09C40F18" w14:textId="77777777" w:rsidTr="00C166DF">
        <w:trPr>
          <w:trHeight w:val="510"/>
        </w:trPr>
        <w:tc>
          <w:tcPr>
            <w:tcW w:w="6946" w:type="dxa"/>
            <w:shd w:val="clear" w:color="auto" w:fill="auto"/>
            <w:hideMark/>
          </w:tcPr>
          <w:p w14:paraId="02D87E68" w14:textId="7203358B" w:rsidR="00052FB5" w:rsidRPr="000B3007" w:rsidRDefault="00052FB5" w:rsidP="00C20C2A">
            <w:pPr>
              <w:spacing w:after="0"/>
              <w:ind w:firstLine="0"/>
              <w:rPr>
                <w:color w:val="000000"/>
                <w:sz w:val="20"/>
                <w:lang w:eastAsia="lv-LV"/>
              </w:rPr>
            </w:pPr>
            <w:r w:rsidRPr="000B3007">
              <w:rPr>
                <w:color w:val="000000"/>
                <w:sz w:val="20"/>
                <w:lang w:eastAsia="lv-LV"/>
              </w:rPr>
              <w:t xml:space="preserve">Finansējuma izmaiņas, lai nodrošinātu, ka speciālā dotācija pašvaldībām nav mazāka kā 148 060 368 </w:t>
            </w:r>
            <w:r w:rsidRPr="000B3007">
              <w:rPr>
                <w:i/>
                <w:iCs/>
                <w:color w:val="000000"/>
                <w:sz w:val="20"/>
                <w:lang w:eastAsia="lv-LV"/>
              </w:rPr>
              <w:t>euro</w:t>
            </w:r>
          </w:p>
        </w:tc>
        <w:tc>
          <w:tcPr>
            <w:tcW w:w="992" w:type="dxa"/>
            <w:shd w:val="clear" w:color="auto" w:fill="auto"/>
            <w:vAlign w:val="center"/>
            <w:hideMark/>
          </w:tcPr>
          <w:p w14:paraId="4676013F"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381AA0D6"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7098FF2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880FA45"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-0,24</w:t>
            </w:r>
          </w:p>
        </w:tc>
        <w:tc>
          <w:tcPr>
            <w:tcW w:w="1275" w:type="dxa"/>
            <w:shd w:val="clear" w:color="auto" w:fill="auto"/>
            <w:vAlign w:val="center"/>
            <w:hideMark/>
          </w:tcPr>
          <w:p w14:paraId="470DFC03"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7E89DBD9"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1B213BB9" w14:textId="77777777" w:rsidTr="00C166DF">
        <w:trPr>
          <w:trHeight w:val="255"/>
        </w:trPr>
        <w:tc>
          <w:tcPr>
            <w:tcW w:w="6946" w:type="dxa"/>
            <w:shd w:val="clear" w:color="000000" w:fill="DDEBF7"/>
            <w:hideMark/>
          </w:tcPr>
          <w:p w14:paraId="4183B78D" w14:textId="77777777" w:rsidR="00052FB5" w:rsidRPr="000B3007" w:rsidRDefault="00052FB5" w:rsidP="00C20C2A">
            <w:pPr>
              <w:spacing w:after="0"/>
              <w:ind w:firstLine="0"/>
              <w:rPr>
                <w:b/>
                <w:bCs/>
                <w:color w:val="000000"/>
                <w:sz w:val="20"/>
                <w:lang w:eastAsia="lv-LV"/>
              </w:rPr>
            </w:pPr>
            <w:r w:rsidRPr="000B3007">
              <w:rPr>
                <w:b/>
                <w:bCs/>
                <w:color w:val="000000"/>
                <w:sz w:val="20"/>
                <w:lang w:eastAsia="lv-LV"/>
              </w:rPr>
              <w:t>Gadskārtējā valsts budžeta izpildes procesā pārdalāmais finansējums</w:t>
            </w:r>
          </w:p>
        </w:tc>
        <w:tc>
          <w:tcPr>
            <w:tcW w:w="992" w:type="dxa"/>
            <w:shd w:val="clear" w:color="000000" w:fill="DDEBF7"/>
            <w:vAlign w:val="center"/>
            <w:hideMark/>
          </w:tcPr>
          <w:p w14:paraId="75258006" w14:textId="7B518DEC" w:rsidR="00052FB5" w:rsidRPr="000B3007" w:rsidRDefault="00052FB5" w:rsidP="00C166DF">
            <w:pPr>
              <w:spacing w:after="0"/>
              <w:ind w:firstLine="0"/>
              <w:jc w:val="center"/>
              <w:rPr>
                <w:b/>
                <w:bCs/>
                <w:color w:val="000000"/>
                <w:sz w:val="20"/>
                <w:lang w:eastAsia="lv-LV"/>
              </w:rPr>
            </w:pPr>
          </w:p>
        </w:tc>
        <w:tc>
          <w:tcPr>
            <w:tcW w:w="1560" w:type="dxa"/>
            <w:shd w:val="clear" w:color="000000" w:fill="DDEBF7"/>
            <w:vAlign w:val="center"/>
            <w:hideMark/>
          </w:tcPr>
          <w:p w14:paraId="3AAD6449" w14:textId="642A455C" w:rsidR="00052FB5" w:rsidRPr="000B3007" w:rsidRDefault="00052FB5" w:rsidP="00C166DF">
            <w:pPr>
              <w:spacing w:after="0"/>
              <w:ind w:firstLine="0"/>
              <w:jc w:val="center"/>
              <w:rPr>
                <w:b/>
                <w:bCs/>
                <w:color w:val="000000"/>
                <w:sz w:val="20"/>
                <w:lang w:eastAsia="lv-LV"/>
              </w:rPr>
            </w:pPr>
          </w:p>
        </w:tc>
        <w:tc>
          <w:tcPr>
            <w:tcW w:w="1559" w:type="dxa"/>
            <w:shd w:val="clear" w:color="000000" w:fill="DDEBF7"/>
            <w:vAlign w:val="center"/>
            <w:hideMark/>
          </w:tcPr>
          <w:p w14:paraId="28ED12F9" w14:textId="44B3CDD0" w:rsidR="00052FB5" w:rsidRPr="000B3007" w:rsidRDefault="00052FB5" w:rsidP="00C166DF">
            <w:pPr>
              <w:spacing w:after="0"/>
              <w:ind w:firstLine="0"/>
              <w:jc w:val="center"/>
              <w:rPr>
                <w:b/>
                <w:bCs/>
                <w:color w:val="000000"/>
                <w:sz w:val="20"/>
                <w:lang w:eastAsia="lv-LV"/>
              </w:rPr>
            </w:pPr>
          </w:p>
        </w:tc>
        <w:tc>
          <w:tcPr>
            <w:tcW w:w="1276" w:type="dxa"/>
            <w:shd w:val="clear" w:color="000000" w:fill="DDEBF7"/>
            <w:vAlign w:val="center"/>
            <w:hideMark/>
          </w:tcPr>
          <w:p w14:paraId="29FD94C1" w14:textId="3EE1C2FA" w:rsidR="00052FB5" w:rsidRPr="000B3007" w:rsidRDefault="00052FB5" w:rsidP="00052FB5">
            <w:pPr>
              <w:spacing w:after="0"/>
              <w:ind w:firstLine="0"/>
              <w:jc w:val="center"/>
              <w:rPr>
                <w:b/>
                <w:bCs/>
                <w:color w:val="000000"/>
                <w:sz w:val="20"/>
                <w:lang w:eastAsia="lv-LV"/>
              </w:rPr>
            </w:pPr>
          </w:p>
        </w:tc>
        <w:tc>
          <w:tcPr>
            <w:tcW w:w="1275" w:type="dxa"/>
            <w:shd w:val="clear" w:color="000000" w:fill="DDEBF7"/>
            <w:vAlign w:val="center"/>
            <w:hideMark/>
          </w:tcPr>
          <w:p w14:paraId="00406FBB" w14:textId="7601C928" w:rsidR="00052FB5" w:rsidRPr="000B3007" w:rsidRDefault="00052FB5" w:rsidP="00052FB5">
            <w:pPr>
              <w:spacing w:after="0"/>
              <w:ind w:firstLine="0"/>
              <w:jc w:val="center"/>
              <w:rPr>
                <w:b/>
                <w:bCs/>
                <w:color w:val="000000"/>
                <w:sz w:val="20"/>
                <w:lang w:eastAsia="lv-LV"/>
              </w:rPr>
            </w:pPr>
          </w:p>
        </w:tc>
        <w:tc>
          <w:tcPr>
            <w:tcW w:w="1316" w:type="dxa"/>
            <w:shd w:val="clear" w:color="000000" w:fill="DDEBF7"/>
            <w:vAlign w:val="center"/>
            <w:hideMark/>
          </w:tcPr>
          <w:p w14:paraId="430B1494" w14:textId="3D8F09A7" w:rsidR="00052FB5" w:rsidRPr="000B3007" w:rsidRDefault="00052FB5" w:rsidP="00052FB5">
            <w:pPr>
              <w:spacing w:after="0"/>
              <w:ind w:firstLine="0"/>
              <w:jc w:val="center"/>
              <w:rPr>
                <w:b/>
                <w:bCs/>
                <w:color w:val="000000"/>
                <w:sz w:val="20"/>
                <w:lang w:eastAsia="lv-LV"/>
              </w:rPr>
            </w:pPr>
          </w:p>
        </w:tc>
      </w:tr>
      <w:tr w:rsidR="00C166DF" w:rsidRPr="000B3007" w14:paraId="340F3718" w14:textId="77777777" w:rsidTr="00C166DF">
        <w:trPr>
          <w:trHeight w:val="255"/>
        </w:trPr>
        <w:tc>
          <w:tcPr>
            <w:tcW w:w="6946" w:type="dxa"/>
            <w:shd w:val="clear" w:color="auto" w:fill="auto"/>
            <w:hideMark/>
          </w:tcPr>
          <w:p w14:paraId="64FCF4C8" w14:textId="77777777" w:rsidR="00052FB5" w:rsidRPr="000B3007" w:rsidRDefault="00052FB5" w:rsidP="00C20C2A">
            <w:pPr>
              <w:spacing w:after="0"/>
              <w:ind w:firstLine="0"/>
              <w:rPr>
                <w:sz w:val="20"/>
                <w:lang w:eastAsia="lv-LV"/>
              </w:rPr>
            </w:pPr>
            <w:r w:rsidRPr="000B3007">
              <w:rPr>
                <w:sz w:val="20"/>
                <w:lang w:eastAsia="lv-LV"/>
              </w:rPr>
              <w:t>Tehniski precizējumi</w:t>
            </w:r>
          </w:p>
        </w:tc>
        <w:tc>
          <w:tcPr>
            <w:tcW w:w="992" w:type="dxa"/>
            <w:shd w:val="clear" w:color="auto" w:fill="auto"/>
            <w:vAlign w:val="center"/>
            <w:hideMark/>
          </w:tcPr>
          <w:p w14:paraId="57478EEC" w14:textId="77777777" w:rsidR="00052FB5" w:rsidRPr="000B3007" w:rsidRDefault="00052FB5" w:rsidP="00C166DF">
            <w:pPr>
              <w:spacing w:after="0"/>
              <w:ind w:firstLine="0"/>
              <w:jc w:val="center"/>
              <w:rPr>
                <w:sz w:val="20"/>
                <w:lang w:eastAsia="lv-LV"/>
              </w:rPr>
            </w:pPr>
          </w:p>
        </w:tc>
        <w:tc>
          <w:tcPr>
            <w:tcW w:w="1560" w:type="dxa"/>
            <w:shd w:val="clear" w:color="auto" w:fill="auto"/>
            <w:vAlign w:val="center"/>
            <w:hideMark/>
          </w:tcPr>
          <w:p w14:paraId="6F42CDA5" w14:textId="77777777" w:rsidR="00052FB5" w:rsidRPr="000B3007" w:rsidRDefault="00052FB5" w:rsidP="00C166DF">
            <w:pPr>
              <w:spacing w:after="0"/>
              <w:ind w:firstLine="0"/>
              <w:jc w:val="center"/>
              <w:rPr>
                <w:sz w:val="20"/>
                <w:lang w:eastAsia="lv-LV"/>
              </w:rPr>
            </w:pPr>
          </w:p>
        </w:tc>
        <w:tc>
          <w:tcPr>
            <w:tcW w:w="1559" w:type="dxa"/>
            <w:shd w:val="clear" w:color="auto" w:fill="auto"/>
            <w:vAlign w:val="center"/>
            <w:hideMark/>
          </w:tcPr>
          <w:p w14:paraId="70D831F1" w14:textId="77777777" w:rsidR="00052FB5" w:rsidRPr="000B3007" w:rsidRDefault="00052FB5" w:rsidP="00C166DF">
            <w:pPr>
              <w:spacing w:after="0"/>
              <w:ind w:firstLine="0"/>
              <w:jc w:val="center"/>
              <w:rPr>
                <w:sz w:val="20"/>
                <w:lang w:eastAsia="lv-LV"/>
              </w:rPr>
            </w:pPr>
          </w:p>
        </w:tc>
        <w:tc>
          <w:tcPr>
            <w:tcW w:w="1276" w:type="dxa"/>
            <w:shd w:val="clear" w:color="auto" w:fill="auto"/>
            <w:vAlign w:val="center"/>
            <w:hideMark/>
          </w:tcPr>
          <w:p w14:paraId="3100E642" w14:textId="77777777" w:rsidR="00052FB5" w:rsidRPr="000B3007" w:rsidRDefault="00052FB5" w:rsidP="00052FB5">
            <w:pPr>
              <w:spacing w:after="0"/>
              <w:ind w:firstLine="0"/>
              <w:jc w:val="center"/>
              <w:rPr>
                <w:sz w:val="20"/>
                <w:lang w:eastAsia="lv-LV"/>
              </w:rPr>
            </w:pPr>
            <w:r w:rsidRPr="000B3007">
              <w:rPr>
                <w:sz w:val="20"/>
                <w:lang w:eastAsia="lv-LV"/>
              </w:rPr>
              <w:t>0,01</w:t>
            </w:r>
          </w:p>
        </w:tc>
        <w:tc>
          <w:tcPr>
            <w:tcW w:w="1275" w:type="dxa"/>
            <w:shd w:val="clear" w:color="auto" w:fill="auto"/>
            <w:vAlign w:val="center"/>
            <w:hideMark/>
          </w:tcPr>
          <w:p w14:paraId="0A8E47A0" w14:textId="77777777" w:rsidR="00052FB5" w:rsidRPr="000B3007" w:rsidRDefault="00052FB5" w:rsidP="00052FB5">
            <w:pPr>
              <w:spacing w:after="0"/>
              <w:ind w:firstLine="0"/>
              <w:jc w:val="center"/>
              <w:rPr>
                <w:sz w:val="20"/>
                <w:lang w:eastAsia="lv-LV"/>
              </w:rPr>
            </w:pPr>
            <w:r w:rsidRPr="000B3007">
              <w:rPr>
                <w:sz w:val="20"/>
                <w:lang w:eastAsia="lv-LV"/>
              </w:rPr>
              <w:t>0,00</w:t>
            </w:r>
          </w:p>
        </w:tc>
        <w:tc>
          <w:tcPr>
            <w:tcW w:w="1316" w:type="dxa"/>
            <w:shd w:val="clear" w:color="auto" w:fill="auto"/>
            <w:vAlign w:val="center"/>
            <w:hideMark/>
          </w:tcPr>
          <w:p w14:paraId="0F5E69D8" w14:textId="77777777" w:rsidR="00052FB5" w:rsidRPr="000B3007" w:rsidRDefault="00052FB5" w:rsidP="00052FB5">
            <w:pPr>
              <w:spacing w:after="0"/>
              <w:ind w:firstLine="0"/>
              <w:jc w:val="center"/>
              <w:rPr>
                <w:sz w:val="20"/>
                <w:lang w:eastAsia="lv-LV"/>
              </w:rPr>
            </w:pPr>
            <w:r w:rsidRPr="000B3007">
              <w:rPr>
                <w:sz w:val="20"/>
                <w:lang w:eastAsia="lv-LV"/>
              </w:rPr>
              <w:t>0,00</w:t>
            </w:r>
          </w:p>
        </w:tc>
      </w:tr>
      <w:tr w:rsidR="00C166DF" w:rsidRPr="000B3007" w14:paraId="1AD44E5E" w14:textId="77777777" w:rsidTr="00C166DF">
        <w:trPr>
          <w:trHeight w:val="510"/>
        </w:trPr>
        <w:tc>
          <w:tcPr>
            <w:tcW w:w="6946" w:type="dxa"/>
            <w:shd w:val="clear" w:color="auto" w:fill="auto"/>
            <w:hideMark/>
          </w:tcPr>
          <w:p w14:paraId="46C17354" w14:textId="77777777" w:rsidR="00052FB5" w:rsidRPr="000B3007" w:rsidRDefault="00052FB5" w:rsidP="00C20C2A">
            <w:pPr>
              <w:spacing w:after="0"/>
              <w:ind w:firstLine="0"/>
              <w:rPr>
                <w:color w:val="000000"/>
                <w:sz w:val="20"/>
                <w:lang w:eastAsia="lv-LV"/>
              </w:rPr>
            </w:pPr>
            <w:r w:rsidRPr="000B3007">
              <w:rPr>
                <w:color w:val="000000"/>
                <w:sz w:val="20"/>
                <w:lang w:eastAsia="lv-LV"/>
              </w:rPr>
              <w:t>Finansējuma pārdale uz VM pamatbudžeta apakšprogrammu 02.04.00 “Rezidentu apmācība”, lai nodrošinātu rezidentūras finansēšanu</w:t>
            </w:r>
          </w:p>
        </w:tc>
        <w:tc>
          <w:tcPr>
            <w:tcW w:w="992" w:type="dxa"/>
            <w:shd w:val="clear" w:color="auto" w:fill="auto"/>
            <w:vAlign w:val="center"/>
            <w:hideMark/>
          </w:tcPr>
          <w:p w14:paraId="06722EAB" w14:textId="77777777" w:rsidR="00052FB5" w:rsidRPr="000B3007" w:rsidRDefault="00052FB5" w:rsidP="00C166DF">
            <w:pPr>
              <w:spacing w:after="0"/>
              <w:ind w:firstLine="0"/>
              <w:jc w:val="center"/>
              <w:rPr>
                <w:color w:val="000000"/>
                <w:sz w:val="20"/>
                <w:lang w:eastAsia="lv-LV"/>
              </w:rPr>
            </w:pPr>
          </w:p>
        </w:tc>
        <w:tc>
          <w:tcPr>
            <w:tcW w:w="1560" w:type="dxa"/>
            <w:shd w:val="clear" w:color="auto" w:fill="auto"/>
            <w:noWrap/>
            <w:vAlign w:val="center"/>
            <w:hideMark/>
          </w:tcPr>
          <w:p w14:paraId="6574FEBB"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45D3701"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171410DC" w14:textId="77777777" w:rsidR="00052FB5" w:rsidRPr="000B3007" w:rsidRDefault="00052FB5" w:rsidP="00052FB5">
            <w:pPr>
              <w:spacing w:after="0"/>
              <w:ind w:firstLine="0"/>
              <w:jc w:val="center"/>
              <w:rPr>
                <w:sz w:val="20"/>
                <w:lang w:eastAsia="lv-LV"/>
              </w:rPr>
            </w:pPr>
            <w:r w:rsidRPr="000B3007">
              <w:rPr>
                <w:sz w:val="20"/>
                <w:lang w:eastAsia="lv-LV"/>
              </w:rPr>
              <w:t>0,00</w:t>
            </w:r>
          </w:p>
        </w:tc>
        <w:tc>
          <w:tcPr>
            <w:tcW w:w="1275" w:type="dxa"/>
            <w:shd w:val="clear" w:color="auto" w:fill="auto"/>
            <w:vAlign w:val="center"/>
            <w:hideMark/>
          </w:tcPr>
          <w:p w14:paraId="77D7862F" w14:textId="77777777" w:rsidR="00052FB5" w:rsidRPr="000B3007" w:rsidRDefault="00052FB5" w:rsidP="00052FB5">
            <w:pPr>
              <w:spacing w:after="0"/>
              <w:ind w:firstLine="0"/>
              <w:jc w:val="center"/>
              <w:rPr>
                <w:sz w:val="20"/>
                <w:lang w:eastAsia="lv-LV"/>
              </w:rPr>
            </w:pPr>
            <w:r w:rsidRPr="000B3007">
              <w:rPr>
                <w:sz w:val="20"/>
                <w:lang w:eastAsia="lv-LV"/>
              </w:rPr>
              <w:t>-0,01</w:t>
            </w:r>
          </w:p>
        </w:tc>
        <w:tc>
          <w:tcPr>
            <w:tcW w:w="1316" w:type="dxa"/>
            <w:shd w:val="clear" w:color="auto" w:fill="auto"/>
            <w:vAlign w:val="center"/>
            <w:hideMark/>
          </w:tcPr>
          <w:p w14:paraId="2243B71B" w14:textId="77777777" w:rsidR="00052FB5" w:rsidRPr="000B3007" w:rsidRDefault="00052FB5" w:rsidP="00052FB5">
            <w:pPr>
              <w:spacing w:after="0"/>
              <w:ind w:firstLine="0"/>
              <w:jc w:val="center"/>
              <w:rPr>
                <w:sz w:val="20"/>
                <w:lang w:eastAsia="lv-LV"/>
              </w:rPr>
            </w:pPr>
            <w:r w:rsidRPr="000B3007">
              <w:rPr>
                <w:sz w:val="20"/>
                <w:lang w:eastAsia="lv-LV"/>
              </w:rPr>
              <w:t>0,01</w:t>
            </w:r>
          </w:p>
        </w:tc>
      </w:tr>
      <w:tr w:rsidR="00C166DF" w:rsidRPr="000B3007" w14:paraId="7A52A487" w14:textId="77777777" w:rsidTr="00C166DF">
        <w:trPr>
          <w:trHeight w:val="510"/>
        </w:trPr>
        <w:tc>
          <w:tcPr>
            <w:tcW w:w="6946" w:type="dxa"/>
            <w:shd w:val="clear" w:color="auto" w:fill="auto"/>
            <w:hideMark/>
          </w:tcPr>
          <w:p w14:paraId="5DCF3188" w14:textId="77777777" w:rsidR="00052FB5" w:rsidRPr="000B3007" w:rsidRDefault="00052FB5" w:rsidP="00C20C2A">
            <w:pPr>
              <w:spacing w:after="0"/>
              <w:ind w:firstLine="0"/>
              <w:rPr>
                <w:sz w:val="20"/>
                <w:lang w:eastAsia="lv-LV"/>
              </w:rPr>
            </w:pPr>
            <w:r w:rsidRPr="000B3007">
              <w:rPr>
                <w:sz w:val="20"/>
                <w:lang w:eastAsia="lv-LV"/>
              </w:rPr>
              <w:lastRenderedPageBreak/>
              <w:t>Papildu izdevumi, lai nodrošinātu prioritārā pasākuma par noziedzīgi iegūtu līdzekļu legalizācijas un terorisma finansēšanas novēršanas pasākumu nodrošināšanu</w:t>
            </w:r>
          </w:p>
        </w:tc>
        <w:tc>
          <w:tcPr>
            <w:tcW w:w="992" w:type="dxa"/>
            <w:shd w:val="clear" w:color="auto" w:fill="auto"/>
            <w:vAlign w:val="center"/>
            <w:hideMark/>
          </w:tcPr>
          <w:p w14:paraId="70AC0FE3" w14:textId="77777777" w:rsidR="00052FB5" w:rsidRPr="000B3007" w:rsidRDefault="00052FB5" w:rsidP="00C166DF">
            <w:pPr>
              <w:spacing w:after="0"/>
              <w:ind w:firstLine="0"/>
              <w:jc w:val="center"/>
              <w:rPr>
                <w:sz w:val="20"/>
                <w:lang w:eastAsia="lv-LV"/>
              </w:rPr>
            </w:pPr>
          </w:p>
        </w:tc>
        <w:tc>
          <w:tcPr>
            <w:tcW w:w="1560" w:type="dxa"/>
            <w:shd w:val="clear" w:color="auto" w:fill="auto"/>
            <w:noWrap/>
            <w:vAlign w:val="center"/>
            <w:hideMark/>
          </w:tcPr>
          <w:p w14:paraId="13EA5D5F"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210CBA3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04F9184" w14:textId="77777777" w:rsidR="00052FB5" w:rsidRPr="000B3007" w:rsidRDefault="00052FB5" w:rsidP="00052FB5">
            <w:pPr>
              <w:spacing w:after="0"/>
              <w:ind w:firstLine="0"/>
              <w:jc w:val="center"/>
              <w:rPr>
                <w:sz w:val="20"/>
                <w:lang w:eastAsia="lv-LV"/>
              </w:rPr>
            </w:pPr>
            <w:r w:rsidRPr="000B3007">
              <w:rPr>
                <w:sz w:val="20"/>
                <w:lang w:eastAsia="lv-LV"/>
              </w:rPr>
              <w:t>0,03</w:t>
            </w:r>
          </w:p>
        </w:tc>
        <w:tc>
          <w:tcPr>
            <w:tcW w:w="1275" w:type="dxa"/>
            <w:shd w:val="clear" w:color="auto" w:fill="auto"/>
            <w:vAlign w:val="center"/>
            <w:hideMark/>
          </w:tcPr>
          <w:p w14:paraId="078E32C6" w14:textId="77777777" w:rsidR="00052FB5" w:rsidRPr="000B3007" w:rsidRDefault="00052FB5" w:rsidP="00052FB5">
            <w:pPr>
              <w:spacing w:after="0"/>
              <w:ind w:firstLine="0"/>
              <w:jc w:val="center"/>
              <w:rPr>
                <w:sz w:val="20"/>
                <w:lang w:eastAsia="lv-LV"/>
              </w:rPr>
            </w:pPr>
            <w:r w:rsidRPr="000B3007">
              <w:rPr>
                <w:sz w:val="20"/>
                <w:lang w:eastAsia="lv-LV"/>
              </w:rPr>
              <w:t>0,00</w:t>
            </w:r>
          </w:p>
        </w:tc>
        <w:tc>
          <w:tcPr>
            <w:tcW w:w="1316" w:type="dxa"/>
            <w:shd w:val="clear" w:color="auto" w:fill="auto"/>
            <w:vAlign w:val="center"/>
            <w:hideMark/>
          </w:tcPr>
          <w:p w14:paraId="753E83C9" w14:textId="77777777" w:rsidR="00052FB5" w:rsidRPr="000B3007" w:rsidRDefault="00052FB5" w:rsidP="00052FB5">
            <w:pPr>
              <w:spacing w:after="0"/>
              <w:ind w:firstLine="0"/>
              <w:jc w:val="center"/>
              <w:rPr>
                <w:sz w:val="20"/>
                <w:lang w:eastAsia="lv-LV"/>
              </w:rPr>
            </w:pPr>
            <w:r w:rsidRPr="000B3007">
              <w:rPr>
                <w:sz w:val="20"/>
                <w:lang w:eastAsia="lv-LV"/>
              </w:rPr>
              <w:t>0,00</w:t>
            </w:r>
          </w:p>
        </w:tc>
      </w:tr>
      <w:tr w:rsidR="00C166DF" w:rsidRPr="000B3007" w14:paraId="27EF8DA5" w14:textId="77777777" w:rsidTr="00C166DF">
        <w:trPr>
          <w:trHeight w:val="300"/>
        </w:trPr>
        <w:tc>
          <w:tcPr>
            <w:tcW w:w="6946" w:type="dxa"/>
            <w:shd w:val="clear" w:color="auto" w:fill="auto"/>
            <w:hideMark/>
          </w:tcPr>
          <w:p w14:paraId="4F7EBCF6" w14:textId="77777777" w:rsidR="00052FB5" w:rsidRPr="000B3007" w:rsidRDefault="00052FB5" w:rsidP="00C20C2A">
            <w:pPr>
              <w:spacing w:after="0"/>
              <w:ind w:firstLine="0"/>
              <w:rPr>
                <w:sz w:val="20"/>
                <w:lang w:eastAsia="lv-LV"/>
              </w:rPr>
            </w:pPr>
            <w:r w:rsidRPr="000B3007">
              <w:rPr>
                <w:sz w:val="20"/>
                <w:lang w:eastAsia="lv-LV"/>
              </w:rPr>
              <w:t>Papildu izdevumi, lai nodrošinātu demogrāfijas pasākumu īstenošanu</w:t>
            </w:r>
          </w:p>
        </w:tc>
        <w:tc>
          <w:tcPr>
            <w:tcW w:w="992" w:type="dxa"/>
            <w:shd w:val="clear" w:color="auto" w:fill="auto"/>
            <w:vAlign w:val="center"/>
            <w:hideMark/>
          </w:tcPr>
          <w:p w14:paraId="4C241530" w14:textId="77777777" w:rsidR="00052FB5" w:rsidRPr="000B3007" w:rsidRDefault="00052FB5" w:rsidP="00C166DF">
            <w:pPr>
              <w:spacing w:after="0"/>
              <w:ind w:firstLine="0"/>
              <w:jc w:val="center"/>
              <w:rPr>
                <w:sz w:val="20"/>
                <w:lang w:eastAsia="lv-LV"/>
              </w:rPr>
            </w:pPr>
          </w:p>
        </w:tc>
        <w:tc>
          <w:tcPr>
            <w:tcW w:w="1560" w:type="dxa"/>
            <w:shd w:val="clear" w:color="auto" w:fill="auto"/>
            <w:noWrap/>
            <w:vAlign w:val="center"/>
            <w:hideMark/>
          </w:tcPr>
          <w:p w14:paraId="1F4DBAE4"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4077840"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D9CE44D" w14:textId="77777777" w:rsidR="00052FB5" w:rsidRPr="000B3007" w:rsidRDefault="00052FB5" w:rsidP="00052FB5">
            <w:pPr>
              <w:spacing w:after="0"/>
              <w:ind w:firstLine="0"/>
              <w:jc w:val="center"/>
              <w:rPr>
                <w:sz w:val="20"/>
                <w:lang w:eastAsia="lv-LV"/>
              </w:rPr>
            </w:pPr>
            <w:r w:rsidRPr="000B3007">
              <w:rPr>
                <w:sz w:val="20"/>
                <w:lang w:eastAsia="lv-LV"/>
              </w:rPr>
              <w:t>0,02</w:t>
            </w:r>
          </w:p>
        </w:tc>
        <w:tc>
          <w:tcPr>
            <w:tcW w:w="1275" w:type="dxa"/>
            <w:shd w:val="clear" w:color="auto" w:fill="auto"/>
            <w:vAlign w:val="center"/>
            <w:hideMark/>
          </w:tcPr>
          <w:p w14:paraId="76EF2886" w14:textId="77777777" w:rsidR="00052FB5" w:rsidRPr="000B3007" w:rsidRDefault="00052FB5" w:rsidP="00052FB5">
            <w:pPr>
              <w:spacing w:after="0"/>
              <w:ind w:firstLine="0"/>
              <w:jc w:val="center"/>
              <w:rPr>
                <w:sz w:val="20"/>
                <w:lang w:eastAsia="lv-LV"/>
              </w:rPr>
            </w:pPr>
            <w:r w:rsidRPr="000B3007">
              <w:rPr>
                <w:sz w:val="20"/>
                <w:lang w:eastAsia="lv-LV"/>
              </w:rPr>
              <w:t>0,00</w:t>
            </w:r>
          </w:p>
        </w:tc>
        <w:tc>
          <w:tcPr>
            <w:tcW w:w="1316" w:type="dxa"/>
            <w:shd w:val="clear" w:color="auto" w:fill="auto"/>
            <w:vAlign w:val="center"/>
            <w:hideMark/>
          </w:tcPr>
          <w:p w14:paraId="4FF2929E" w14:textId="77777777" w:rsidR="00052FB5" w:rsidRPr="000B3007" w:rsidRDefault="00052FB5" w:rsidP="00052FB5">
            <w:pPr>
              <w:spacing w:after="0"/>
              <w:ind w:firstLine="0"/>
              <w:jc w:val="center"/>
              <w:rPr>
                <w:sz w:val="20"/>
                <w:lang w:eastAsia="lv-LV"/>
              </w:rPr>
            </w:pPr>
            <w:r w:rsidRPr="000B3007">
              <w:rPr>
                <w:sz w:val="20"/>
                <w:lang w:eastAsia="lv-LV"/>
              </w:rPr>
              <w:t>0,00</w:t>
            </w:r>
          </w:p>
        </w:tc>
      </w:tr>
      <w:tr w:rsidR="00C166DF" w:rsidRPr="000B3007" w14:paraId="7E0A7D7D" w14:textId="77777777" w:rsidTr="00C166DF">
        <w:trPr>
          <w:trHeight w:val="510"/>
        </w:trPr>
        <w:tc>
          <w:tcPr>
            <w:tcW w:w="6946" w:type="dxa"/>
            <w:shd w:val="clear" w:color="auto" w:fill="auto"/>
            <w:hideMark/>
          </w:tcPr>
          <w:p w14:paraId="2C19A90B" w14:textId="77777777" w:rsidR="00052FB5" w:rsidRPr="000B3007" w:rsidRDefault="00052FB5" w:rsidP="00C20C2A">
            <w:pPr>
              <w:spacing w:after="0"/>
              <w:ind w:firstLine="0"/>
              <w:rPr>
                <w:sz w:val="20"/>
                <w:lang w:eastAsia="lv-LV"/>
              </w:rPr>
            </w:pPr>
            <w:r w:rsidRPr="000B3007">
              <w:rPr>
                <w:sz w:val="20"/>
                <w:lang w:eastAsia="lv-LV"/>
              </w:rPr>
              <w:t>Pārdalītais finansējums ES politikas instrumentu un pārējās ārvalstu finanšu palīdzības projektu īstenošanai no/uz budžeta resoriem</w:t>
            </w:r>
          </w:p>
        </w:tc>
        <w:tc>
          <w:tcPr>
            <w:tcW w:w="992" w:type="dxa"/>
            <w:shd w:val="clear" w:color="auto" w:fill="auto"/>
            <w:vAlign w:val="center"/>
            <w:hideMark/>
          </w:tcPr>
          <w:p w14:paraId="6F76C404" w14:textId="77777777" w:rsidR="00052FB5" w:rsidRPr="000B3007" w:rsidRDefault="00052FB5" w:rsidP="00C166DF">
            <w:pPr>
              <w:spacing w:after="0"/>
              <w:ind w:firstLine="0"/>
              <w:jc w:val="center"/>
              <w:rPr>
                <w:sz w:val="20"/>
                <w:lang w:eastAsia="lv-LV"/>
              </w:rPr>
            </w:pPr>
          </w:p>
        </w:tc>
        <w:tc>
          <w:tcPr>
            <w:tcW w:w="1560" w:type="dxa"/>
            <w:shd w:val="clear" w:color="auto" w:fill="auto"/>
            <w:noWrap/>
            <w:vAlign w:val="center"/>
            <w:hideMark/>
          </w:tcPr>
          <w:p w14:paraId="3A4AB00F"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E510AC9" w14:textId="77777777" w:rsidR="00052FB5" w:rsidRPr="000B3007" w:rsidRDefault="00052FB5" w:rsidP="00C166DF">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617AAF7" w14:textId="77777777" w:rsidR="00052FB5" w:rsidRPr="000B3007" w:rsidRDefault="00052FB5" w:rsidP="00052FB5">
            <w:pPr>
              <w:spacing w:after="0"/>
              <w:ind w:firstLine="0"/>
              <w:jc w:val="center"/>
              <w:rPr>
                <w:sz w:val="20"/>
                <w:lang w:eastAsia="lv-LV"/>
              </w:rPr>
            </w:pPr>
            <w:r w:rsidRPr="000B3007">
              <w:rPr>
                <w:sz w:val="20"/>
                <w:lang w:eastAsia="lv-LV"/>
              </w:rPr>
              <w:t>-0,13</w:t>
            </w:r>
          </w:p>
        </w:tc>
        <w:tc>
          <w:tcPr>
            <w:tcW w:w="1275" w:type="dxa"/>
            <w:shd w:val="clear" w:color="auto" w:fill="auto"/>
            <w:vAlign w:val="center"/>
            <w:hideMark/>
          </w:tcPr>
          <w:p w14:paraId="3506BFCA" w14:textId="77777777" w:rsidR="00052FB5" w:rsidRPr="000B3007" w:rsidRDefault="00052FB5" w:rsidP="00052FB5">
            <w:pPr>
              <w:spacing w:after="0"/>
              <w:ind w:firstLine="0"/>
              <w:jc w:val="center"/>
              <w:rPr>
                <w:sz w:val="20"/>
                <w:lang w:eastAsia="lv-LV"/>
              </w:rPr>
            </w:pPr>
            <w:r w:rsidRPr="000B3007">
              <w:rPr>
                <w:sz w:val="20"/>
                <w:lang w:eastAsia="lv-LV"/>
              </w:rPr>
              <w:t>0,12</w:t>
            </w:r>
          </w:p>
        </w:tc>
        <w:tc>
          <w:tcPr>
            <w:tcW w:w="1316" w:type="dxa"/>
            <w:shd w:val="clear" w:color="auto" w:fill="auto"/>
            <w:vAlign w:val="center"/>
            <w:hideMark/>
          </w:tcPr>
          <w:p w14:paraId="5EF87E19" w14:textId="77777777" w:rsidR="00052FB5" w:rsidRPr="000B3007" w:rsidRDefault="00052FB5" w:rsidP="00052FB5">
            <w:pPr>
              <w:spacing w:after="0"/>
              <w:ind w:firstLine="0"/>
              <w:jc w:val="center"/>
              <w:rPr>
                <w:sz w:val="20"/>
                <w:lang w:eastAsia="lv-LV"/>
              </w:rPr>
            </w:pPr>
            <w:r w:rsidRPr="000B3007">
              <w:rPr>
                <w:sz w:val="20"/>
                <w:lang w:eastAsia="lv-LV"/>
              </w:rPr>
              <w:t>0,01</w:t>
            </w:r>
          </w:p>
        </w:tc>
      </w:tr>
      <w:tr w:rsidR="00052FB5" w:rsidRPr="000B3007" w14:paraId="1FEFF7BA" w14:textId="77777777" w:rsidTr="00C166DF">
        <w:trPr>
          <w:trHeight w:val="255"/>
        </w:trPr>
        <w:tc>
          <w:tcPr>
            <w:tcW w:w="6946" w:type="dxa"/>
            <w:shd w:val="clear" w:color="000000" w:fill="DDEBF7"/>
            <w:hideMark/>
          </w:tcPr>
          <w:p w14:paraId="737D20A3" w14:textId="77777777" w:rsidR="00052FB5" w:rsidRPr="000B3007" w:rsidRDefault="00052FB5" w:rsidP="00C20C2A">
            <w:pPr>
              <w:spacing w:after="0"/>
              <w:ind w:firstLine="0"/>
              <w:rPr>
                <w:sz w:val="20"/>
                <w:lang w:eastAsia="lv-LV"/>
              </w:rPr>
            </w:pPr>
            <w:r w:rsidRPr="000B3007">
              <w:rPr>
                <w:sz w:val="20"/>
                <w:lang w:eastAsia="lv-LV"/>
              </w:rPr>
              <w:t>Citi prioritārie pasākumi</w:t>
            </w:r>
          </w:p>
        </w:tc>
        <w:tc>
          <w:tcPr>
            <w:tcW w:w="992" w:type="dxa"/>
            <w:shd w:val="clear" w:color="000000" w:fill="DDEBF7"/>
            <w:vAlign w:val="center"/>
            <w:hideMark/>
          </w:tcPr>
          <w:p w14:paraId="225A13B7" w14:textId="02BE919F" w:rsidR="00052FB5" w:rsidRPr="000B3007" w:rsidRDefault="00052FB5" w:rsidP="00C166DF">
            <w:pPr>
              <w:spacing w:after="0"/>
              <w:ind w:firstLine="0"/>
              <w:jc w:val="center"/>
              <w:rPr>
                <w:color w:val="000000"/>
                <w:sz w:val="20"/>
                <w:lang w:eastAsia="lv-LV"/>
              </w:rPr>
            </w:pPr>
          </w:p>
        </w:tc>
        <w:tc>
          <w:tcPr>
            <w:tcW w:w="1560" w:type="dxa"/>
            <w:shd w:val="clear" w:color="000000" w:fill="DDEBF7"/>
            <w:vAlign w:val="center"/>
            <w:hideMark/>
          </w:tcPr>
          <w:p w14:paraId="74B308C0" w14:textId="40EB73E9" w:rsidR="00052FB5" w:rsidRPr="000B3007" w:rsidRDefault="00052FB5" w:rsidP="00C166DF">
            <w:pPr>
              <w:spacing w:after="0"/>
              <w:ind w:firstLine="0"/>
              <w:jc w:val="center"/>
              <w:rPr>
                <w:color w:val="000000"/>
                <w:sz w:val="20"/>
                <w:lang w:eastAsia="lv-LV"/>
              </w:rPr>
            </w:pPr>
          </w:p>
        </w:tc>
        <w:tc>
          <w:tcPr>
            <w:tcW w:w="1559" w:type="dxa"/>
            <w:shd w:val="clear" w:color="000000" w:fill="DDEBF7"/>
            <w:vAlign w:val="center"/>
            <w:hideMark/>
          </w:tcPr>
          <w:p w14:paraId="1363B393" w14:textId="23CA9933" w:rsidR="00052FB5" w:rsidRPr="000B3007" w:rsidRDefault="00052FB5" w:rsidP="00C166DF">
            <w:pPr>
              <w:spacing w:after="0"/>
              <w:ind w:firstLine="0"/>
              <w:jc w:val="center"/>
              <w:rPr>
                <w:color w:val="000000"/>
                <w:sz w:val="20"/>
                <w:lang w:eastAsia="lv-LV"/>
              </w:rPr>
            </w:pPr>
          </w:p>
        </w:tc>
        <w:tc>
          <w:tcPr>
            <w:tcW w:w="1276" w:type="dxa"/>
            <w:shd w:val="clear" w:color="000000" w:fill="DDEBF7"/>
            <w:vAlign w:val="center"/>
            <w:hideMark/>
          </w:tcPr>
          <w:p w14:paraId="72ECD1C3"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0,14</w:t>
            </w:r>
          </w:p>
        </w:tc>
        <w:tc>
          <w:tcPr>
            <w:tcW w:w="1275" w:type="dxa"/>
            <w:shd w:val="clear" w:color="000000" w:fill="DDEBF7"/>
            <w:vAlign w:val="center"/>
            <w:hideMark/>
          </w:tcPr>
          <w:p w14:paraId="02380AFF"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000000" w:fill="DDEBF7"/>
            <w:vAlign w:val="center"/>
            <w:hideMark/>
          </w:tcPr>
          <w:p w14:paraId="3B0A9481"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r>
      <w:tr w:rsidR="00052FB5" w:rsidRPr="000B3007" w14:paraId="5FC67EA3" w14:textId="77777777" w:rsidTr="00C166DF">
        <w:trPr>
          <w:trHeight w:val="255"/>
        </w:trPr>
        <w:tc>
          <w:tcPr>
            <w:tcW w:w="6946" w:type="dxa"/>
            <w:shd w:val="clear" w:color="000000" w:fill="DDEBF7"/>
            <w:hideMark/>
          </w:tcPr>
          <w:p w14:paraId="53FF6366" w14:textId="6052BF45" w:rsidR="00052FB5" w:rsidRPr="000B3007" w:rsidRDefault="00052FB5" w:rsidP="00C20C2A">
            <w:pPr>
              <w:spacing w:after="0"/>
              <w:ind w:firstLine="0"/>
              <w:rPr>
                <w:sz w:val="20"/>
                <w:lang w:eastAsia="lv-LV"/>
              </w:rPr>
            </w:pPr>
            <w:r w:rsidRPr="000B3007">
              <w:rPr>
                <w:sz w:val="20"/>
                <w:lang w:eastAsia="lv-LV"/>
              </w:rPr>
              <w:t>Citi M</w:t>
            </w:r>
            <w:r w:rsidR="005070C6">
              <w:rPr>
                <w:sz w:val="20"/>
                <w:lang w:eastAsia="lv-LV"/>
              </w:rPr>
              <w:t xml:space="preserve">K </w:t>
            </w:r>
            <w:r w:rsidRPr="000B3007">
              <w:rPr>
                <w:sz w:val="20"/>
                <w:lang w:eastAsia="lv-LV"/>
              </w:rPr>
              <w:t>lēmumi budžeta sagatavošanas laikā</w:t>
            </w:r>
          </w:p>
        </w:tc>
        <w:tc>
          <w:tcPr>
            <w:tcW w:w="992" w:type="dxa"/>
            <w:shd w:val="clear" w:color="000000" w:fill="DDEBF7"/>
            <w:vAlign w:val="center"/>
            <w:hideMark/>
          </w:tcPr>
          <w:p w14:paraId="07952F2D" w14:textId="63E5300A" w:rsidR="00052FB5" w:rsidRPr="000B3007" w:rsidRDefault="00052FB5" w:rsidP="00C166DF">
            <w:pPr>
              <w:spacing w:after="0"/>
              <w:ind w:firstLine="0"/>
              <w:jc w:val="center"/>
              <w:rPr>
                <w:color w:val="000000"/>
                <w:sz w:val="20"/>
                <w:lang w:eastAsia="lv-LV"/>
              </w:rPr>
            </w:pPr>
          </w:p>
        </w:tc>
        <w:tc>
          <w:tcPr>
            <w:tcW w:w="1560" w:type="dxa"/>
            <w:shd w:val="clear" w:color="000000" w:fill="DDEBF7"/>
            <w:vAlign w:val="center"/>
            <w:hideMark/>
          </w:tcPr>
          <w:p w14:paraId="013F9324" w14:textId="2E63EE0E" w:rsidR="00052FB5" w:rsidRPr="000B3007" w:rsidRDefault="00052FB5" w:rsidP="00C166DF">
            <w:pPr>
              <w:spacing w:after="0"/>
              <w:ind w:firstLine="0"/>
              <w:jc w:val="center"/>
              <w:rPr>
                <w:color w:val="000000"/>
                <w:sz w:val="20"/>
                <w:lang w:eastAsia="lv-LV"/>
              </w:rPr>
            </w:pPr>
          </w:p>
        </w:tc>
        <w:tc>
          <w:tcPr>
            <w:tcW w:w="1559" w:type="dxa"/>
            <w:shd w:val="clear" w:color="000000" w:fill="DDEBF7"/>
            <w:vAlign w:val="center"/>
            <w:hideMark/>
          </w:tcPr>
          <w:p w14:paraId="7EFC6B9F" w14:textId="4AB04F39" w:rsidR="00052FB5" w:rsidRPr="000B3007" w:rsidRDefault="00052FB5" w:rsidP="00C166DF">
            <w:pPr>
              <w:spacing w:after="0"/>
              <w:ind w:firstLine="0"/>
              <w:jc w:val="center"/>
              <w:rPr>
                <w:color w:val="000000"/>
                <w:sz w:val="20"/>
                <w:lang w:eastAsia="lv-LV"/>
              </w:rPr>
            </w:pPr>
          </w:p>
        </w:tc>
        <w:tc>
          <w:tcPr>
            <w:tcW w:w="1276" w:type="dxa"/>
            <w:shd w:val="clear" w:color="000000" w:fill="DDEBF7"/>
            <w:vAlign w:val="center"/>
            <w:hideMark/>
          </w:tcPr>
          <w:p w14:paraId="34B99EA9"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0,07</w:t>
            </w:r>
          </w:p>
        </w:tc>
        <w:tc>
          <w:tcPr>
            <w:tcW w:w="1275" w:type="dxa"/>
            <w:shd w:val="clear" w:color="000000" w:fill="DDEBF7"/>
            <w:vAlign w:val="center"/>
            <w:hideMark/>
          </w:tcPr>
          <w:p w14:paraId="50088DFD"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-0,03</w:t>
            </w:r>
          </w:p>
        </w:tc>
        <w:tc>
          <w:tcPr>
            <w:tcW w:w="1316" w:type="dxa"/>
            <w:shd w:val="clear" w:color="000000" w:fill="DDEBF7"/>
            <w:vAlign w:val="center"/>
            <w:hideMark/>
          </w:tcPr>
          <w:p w14:paraId="733BFF85"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0,01</w:t>
            </w:r>
          </w:p>
        </w:tc>
      </w:tr>
      <w:tr w:rsidR="00052FB5" w:rsidRPr="000B3007" w14:paraId="368EF8F1" w14:textId="77777777" w:rsidTr="00C166DF">
        <w:trPr>
          <w:trHeight w:val="255"/>
        </w:trPr>
        <w:tc>
          <w:tcPr>
            <w:tcW w:w="6946" w:type="dxa"/>
            <w:shd w:val="clear" w:color="000000" w:fill="DDEBF7"/>
            <w:hideMark/>
          </w:tcPr>
          <w:p w14:paraId="5CF50DA7" w14:textId="77777777" w:rsidR="00052FB5" w:rsidRPr="000B3007" w:rsidRDefault="00052FB5" w:rsidP="00C20C2A">
            <w:pPr>
              <w:spacing w:after="0"/>
              <w:ind w:firstLine="0"/>
              <w:rPr>
                <w:color w:val="000000"/>
                <w:sz w:val="20"/>
                <w:lang w:eastAsia="lv-LV"/>
              </w:rPr>
            </w:pPr>
            <w:r w:rsidRPr="000B3007">
              <w:rPr>
                <w:color w:val="000000"/>
                <w:sz w:val="20"/>
                <w:lang w:eastAsia="lv-LV"/>
              </w:rPr>
              <w:t>Citi tehniskie precizējumi</w:t>
            </w:r>
          </w:p>
        </w:tc>
        <w:tc>
          <w:tcPr>
            <w:tcW w:w="992" w:type="dxa"/>
            <w:shd w:val="clear" w:color="000000" w:fill="DDEBF7"/>
            <w:vAlign w:val="center"/>
            <w:hideMark/>
          </w:tcPr>
          <w:p w14:paraId="4019A2B9" w14:textId="6A70E113" w:rsidR="00052FB5" w:rsidRPr="000B3007" w:rsidRDefault="00052FB5" w:rsidP="00C166DF">
            <w:pPr>
              <w:spacing w:after="0"/>
              <w:ind w:firstLine="0"/>
              <w:jc w:val="center"/>
              <w:rPr>
                <w:color w:val="000000"/>
                <w:sz w:val="20"/>
                <w:lang w:eastAsia="lv-LV"/>
              </w:rPr>
            </w:pPr>
          </w:p>
        </w:tc>
        <w:tc>
          <w:tcPr>
            <w:tcW w:w="1560" w:type="dxa"/>
            <w:shd w:val="clear" w:color="000000" w:fill="DDEBF7"/>
            <w:vAlign w:val="center"/>
            <w:hideMark/>
          </w:tcPr>
          <w:p w14:paraId="328471FE" w14:textId="68DC2A20" w:rsidR="00052FB5" w:rsidRPr="000B3007" w:rsidRDefault="00052FB5" w:rsidP="00C166DF">
            <w:pPr>
              <w:spacing w:after="0"/>
              <w:ind w:firstLine="0"/>
              <w:jc w:val="center"/>
              <w:rPr>
                <w:color w:val="000000"/>
                <w:sz w:val="20"/>
                <w:lang w:eastAsia="lv-LV"/>
              </w:rPr>
            </w:pPr>
          </w:p>
        </w:tc>
        <w:tc>
          <w:tcPr>
            <w:tcW w:w="1559" w:type="dxa"/>
            <w:shd w:val="clear" w:color="000000" w:fill="DDEBF7"/>
            <w:vAlign w:val="center"/>
            <w:hideMark/>
          </w:tcPr>
          <w:p w14:paraId="1E15EE80" w14:textId="61490775" w:rsidR="00052FB5" w:rsidRPr="000B3007" w:rsidRDefault="00052FB5" w:rsidP="00C166DF">
            <w:pPr>
              <w:spacing w:after="0"/>
              <w:ind w:firstLine="0"/>
              <w:jc w:val="center"/>
              <w:rPr>
                <w:color w:val="000000"/>
                <w:sz w:val="20"/>
                <w:lang w:eastAsia="lv-LV"/>
              </w:rPr>
            </w:pPr>
          </w:p>
        </w:tc>
        <w:tc>
          <w:tcPr>
            <w:tcW w:w="1276" w:type="dxa"/>
            <w:shd w:val="clear" w:color="000000" w:fill="DDEBF7"/>
            <w:vAlign w:val="center"/>
            <w:hideMark/>
          </w:tcPr>
          <w:p w14:paraId="4A6B5414"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275" w:type="dxa"/>
            <w:shd w:val="clear" w:color="000000" w:fill="DDEBF7"/>
            <w:vAlign w:val="center"/>
            <w:hideMark/>
          </w:tcPr>
          <w:p w14:paraId="12856A38"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c>
          <w:tcPr>
            <w:tcW w:w="1316" w:type="dxa"/>
            <w:shd w:val="clear" w:color="000000" w:fill="DDEBF7"/>
            <w:vAlign w:val="center"/>
            <w:hideMark/>
          </w:tcPr>
          <w:p w14:paraId="2348AFDA" w14:textId="77777777" w:rsidR="00052FB5" w:rsidRPr="000B3007" w:rsidRDefault="00052FB5" w:rsidP="00052FB5">
            <w:pPr>
              <w:spacing w:after="0"/>
              <w:ind w:firstLine="0"/>
              <w:jc w:val="center"/>
              <w:rPr>
                <w:color w:val="000000"/>
                <w:sz w:val="20"/>
                <w:lang w:eastAsia="lv-LV"/>
              </w:rPr>
            </w:pPr>
            <w:r w:rsidRPr="000B3007">
              <w:rPr>
                <w:color w:val="000000"/>
                <w:sz w:val="20"/>
                <w:lang w:eastAsia="lv-LV"/>
              </w:rPr>
              <w:t>0,00</w:t>
            </w:r>
          </w:p>
        </w:tc>
      </w:tr>
      <w:tr w:rsidR="00052FB5" w:rsidRPr="000B3007" w14:paraId="6DD8F3FC" w14:textId="77777777" w:rsidTr="00C166DF">
        <w:trPr>
          <w:trHeight w:val="255"/>
        </w:trPr>
        <w:tc>
          <w:tcPr>
            <w:tcW w:w="11057" w:type="dxa"/>
            <w:gridSpan w:val="4"/>
            <w:shd w:val="clear" w:color="DDEBF7" w:fill="9BC2E6"/>
            <w:vAlign w:val="center"/>
            <w:hideMark/>
          </w:tcPr>
          <w:p w14:paraId="5CB56AE9" w14:textId="5B34C89B" w:rsidR="00052FB5" w:rsidRPr="000B3007" w:rsidRDefault="00052FB5" w:rsidP="00C20C2A">
            <w:pPr>
              <w:spacing w:after="0"/>
              <w:ind w:firstLine="0"/>
              <w:rPr>
                <w:b/>
                <w:bCs/>
                <w:color w:val="000000"/>
                <w:sz w:val="20"/>
                <w:lang w:eastAsia="lv-LV"/>
              </w:rPr>
            </w:pPr>
            <w:r w:rsidRPr="000B3007">
              <w:rPr>
                <w:b/>
                <w:bCs/>
                <w:color w:val="000000"/>
                <w:sz w:val="20"/>
                <w:lang w:eastAsia="lv-LV"/>
              </w:rPr>
              <w:t>Kopā</w:t>
            </w:r>
          </w:p>
        </w:tc>
        <w:tc>
          <w:tcPr>
            <w:tcW w:w="1276" w:type="dxa"/>
            <w:shd w:val="clear" w:color="DDEBF7" w:fill="9BC2E6"/>
            <w:vAlign w:val="center"/>
            <w:hideMark/>
          </w:tcPr>
          <w:p w14:paraId="36D35B2A" w14:textId="77777777" w:rsidR="00052FB5" w:rsidRPr="000B3007" w:rsidRDefault="00052FB5" w:rsidP="00052FB5">
            <w:pPr>
              <w:spacing w:after="0"/>
              <w:ind w:firstLine="0"/>
              <w:jc w:val="center"/>
              <w:rPr>
                <w:b/>
                <w:bCs/>
                <w:color w:val="000000"/>
                <w:sz w:val="20"/>
                <w:lang w:eastAsia="lv-LV"/>
              </w:rPr>
            </w:pPr>
            <w:r w:rsidRPr="000B3007">
              <w:rPr>
                <w:b/>
                <w:bCs/>
                <w:color w:val="000000"/>
                <w:sz w:val="20"/>
                <w:lang w:eastAsia="lv-LV"/>
              </w:rPr>
              <w:t>0,27</w:t>
            </w:r>
          </w:p>
        </w:tc>
        <w:tc>
          <w:tcPr>
            <w:tcW w:w="1275" w:type="dxa"/>
            <w:shd w:val="clear" w:color="DDEBF7" w:fill="9BC2E6"/>
            <w:vAlign w:val="center"/>
            <w:hideMark/>
          </w:tcPr>
          <w:p w14:paraId="655D3106" w14:textId="77777777" w:rsidR="00052FB5" w:rsidRPr="000B3007" w:rsidRDefault="00052FB5" w:rsidP="00052FB5">
            <w:pPr>
              <w:spacing w:after="0"/>
              <w:ind w:firstLine="0"/>
              <w:jc w:val="center"/>
              <w:rPr>
                <w:b/>
                <w:bCs/>
                <w:color w:val="000000"/>
                <w:sz w:val="20"/>
                <w:lang w:eastAsia="lv-LV"/>
              </w:rPr>
            </w:pPr>
            <w:r w:rsidRPr="000B3007">
              <w:rPr>
                <w:b/>
                <w:bCs/>
                <w:color w:val="000000"/>
                <w:sz w:val="20"/>
                <w:lang w:eastAsia="lv-LV"/>
              </w:rPr>
              <w:t>-0,01</w:t>
            </w:r>
          </w:p>
        </w:tc>
        <w:tc>
          <w:tcPr>
            <w:tcW w:w="1316" w:type="dxa"/>
            <w:shd w:val="clear" w:color="DDEBF7" w:fill="9BC2E6"/>
            <w:vAlign w:val="center"/>
            <w:hideMark/>
          </w:tcPr>
          <w:p w14:paraId="432E9A0E" w14:textId="77777777" w:rsidR="00052FB5" w:rsidRPr="000B3007" w:rsidRDefault="00052FB5" w:rsidP="00052FB5">
            <w:pPr>
              <w:spacing w:after="0"/>
              <w:ind w:firstLine="0"/>
              <w:jc w:val="center"/>
              <w:rPr>
                <w:b/>
                <w:bCs/>
                <w:color w:val="000000"/>
                <w:sz w:val="20"/>
                <w:lang w:eastAsia="lv-LV"/>
              </w:rPr>
            </w:pPr>
            <w:r w:rsidRPr="000B3007">
              <w:rPr>
                <w:b/>
                <w:bCs/>
                <w:color w:val="000000"/>
                <w:sz w:val="20"/>
                <w:lang w:eastAsia="lv-LV"/>
              </w:rPr>
              <w:t>0,05</w:t>
            </w:r>
          </w:p>
        </w:tc>
      </w:tr>
    </w:tbl>
    <w:p w14:paraId="696BFBCD" w14:textId="7EEFDDBC" w:rsidR="00052FB5" w:rsidRDefault="00052FB5" w:rsidP="00052FB5">
      <w:pPr>
        <w:ind w:firstLine="0"/>
        <w:rPr>
          <w:lang w:eastAsia="x-none"/>
        </w:rPr>
      </w:pPr>
    </w:p>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6237"/>
        <w:gridCol w:w="709"/>
      </w:tblGrid>
      <w:tr w:rsidR="00EA5D67" w:rsidRPr="000B3007" w14:paraId="7AAC11D9" w14:textId="77777777" w:rsidTr="00EA5D67">
        <w:trPr>
          <w:trHeight w:val="227"/>
        </w:trPr>
        <w:tc>
          <w:tcPr>
            <w:tcW w:w="6946" w:type="dxa"/>
            <w:gridSpan w:val="2"/>
            <w:shd w:val="clear" w:color="auto" w:fill="DBE5F1" w:themeFill="accent1" w:themeFillTint="33"/>
            <w:vAlign w:val="center"/>
          </w:tcPr>
          <w:p w14:paraId="55F0319C" w14:textId="42ACD2D7" w:rsidR="00EA5D67" w:rsidRPr="00EA5D67" w:rsidRDefault="00EA5D67" w:rsidP="008906EA">
            <w:pPr>
              <w:spacing w:after="0"/>
              <w:ind w:firstLine="0"/>
              <w:jc w:val="center"/>
              <w:rPr>
                <w:b/>
                <w:highlight w:val="yellow"/>
                <w:lang w:eastAsia="lv-LV"/>
              </w:rPr>
            </w:pPr>
            <w:r w:rsidRPr="00EA5D67">
              <w:rPr>
                <w:b/>
                <w:color w:val="000000"/>
                <w:lang w:eastAsia="lv-LV"/>
              </w:rPr>
              <w:t>Citas izmaiņas budžeta sagatavošanas procesā (% no IKP)</w:t>
            </w:r>
          </w:p>
        </w:tc>
      </w:tr>
      <w:tr w:rsidR="003468BB" w:rsidRPr="000B3007" w14:paraId="0A603E92" w14:textId="77777777" w:rsidTr="00E82702">
        <w:trPr>
          <w:trHeight w:val="227"/>
        </w:trPr>
        <w:tc>
          <w:tcPr>
            <w:tcW w:w="6237" w:type="dxa"/>
            <w:shd w:val="clear" w:color="auto" w:fill="auto"/>
            <w:vAlign w:val="bottom"/>
          </w:tcPr>
          <w:p w14:paraId="3635AC6A" w14:textId="331D5F71" w:rsidR="003468BB" w:rsidRPr="000B3007" w:rsidRDefault="003468BB" w:rsidP="00A71B0C">
            <w:pPr>
              <w:spacing w:after="0"/>
              <w:ind w:firstLine="0"/>
              <w:jc w:val="left"/>
              <w:rPr>
                <w:color w:val="000000"/>
                <w:sz w:val="20"/>
                <w:lang w:eastAsia="lv-LV"/>
              </w:rPr>
            </w:pPr>
            <w:r w:rsidRPr="000B3007">
              <w:rPr>
                <w:color w:val="000000"/>
                <w:sz w:val="20"/>
                <w:lang w:eastAsia="lv-LV"/>
              </w:rPr>
              <w:t>Rīgas pašvaldības kontrolētās kapitālsabiedrības "Rīgas Satiksme" radītās negatīvās fiskālās ietekmes kompensēšana</w:t>
            </w:r>
          </w:p>
        </w:tc>
        <w:tc>
          <w:tcPr>
            <w:tcW w:w="709" w:type="dxa"/>
            <w:shd w:val="clear" w:color="auto" w:fill="auto"/>
            <w:vAlign w:val="center"/>
          </w:tcPr>
          <w:p w14:paraId="3D83F524" w14:textId="56E2C627" w:rsidR="003468BB" w:rsidRPr="000B3007" w:rsidRDefault="003468BB" w:rsidP="00A71B0C">
            <w:pPr>
              <w:spacing w:after="0"/>
              <w:ind w:firstLine="0"/>
              <w:jc w:val="center"/>
              <w:rPr>
                <w:color w:val="000000"/>
                <w:sz w:val="20"/>
                <w:lang w:eastAsia="lv-LV"/>
              </w:rPr>
            </w:pPr>
            <w:r w:rsidRPr="000B3007">
              <w:rPr>
                <w:color w:val="000000"/>
                <w:sz w:val="20"/>
                <w:lang w:eastAsia="lv-LV"/>
              </w:rPr>
              <w:t>-0,11</w:t>
            </w:r>
          </w:p>
        </w:tc>
      </w:tr>
      <w:tr w:rsidR="003468BB" w:rsidRPr="000B3007" w14:paraId="5630E5E9" w14:textId="77777777" w:rsidTr="00E82702">
        <w:trPr>
          <w:trHeight w:val="227"/>
        </w:trPr>
        <w:tc>
          <w:tcPr>
            <w:tcW w:w="6237" w:type="dxa"/>
            <w:shd w:val="clear" w:color="auto" w:fill="DBE5F1" w:themeFill="accent1" w:themeFillTint="33"/>
            <w:vAlign w:val="bottom"/>
          </w:tcPr>
          <w:p w14:paraId="294D2E5F" w14:textId="6DAD3CBA" w:rsidR="003468BB" w:rsidRPr="000B3007" w:rsidRDefault="003468BB" w:rsidP="00A71B0C">
            <w:pPr>
              <w:spacing w:after="0"/>
              <w:ind w:firstLine="0"/>
              <w:jc w:val="left"/>
              <w:rPr>
                <w:color w:val="000000"/>
                <w:sz w:val="20"/>
                <w:lang w:eastAsia="lv-LV"/>
              </w:rPr>
            </w:pPr>
            <w:r w:rsidRPr="000B3007">
              <w:rPr>
                <w:color w:val="000000"/>
                <w:sz w:val="20"/>
                <w:lang w:eastAsia="lv-LV"/>
              </w:rPr>
              <w:t>AS "Pasažieru vilciens" ietekmes samazinājums</w:t>
            </w:r>
          </w:p>
        </w:tc>
        <w:tc>
          <w:tcPr>
            <w:tcW w:w="709" w:type="dxa"/>
            <w:shd w:val="clear" w:color="auto" w:fill="DBE5F1" w:themeFill="accent1" w:themeFillTint="33"/>
            <w:vAlign w:val="center"/>
          </w:tcPr>
          <w:p w14:paraId="33516F8B" w14:textId="54D8AEEB" w:rsidR="003468BB" w:rsidRPr="000B3007" w:rsidRDefault="003468BB" w:rsidP="00A71B0C">
            <w:pPr>
              <w:spacing w:after="0"/>
              <w:ind w:firstLine="0"/>
              <w:jc w:val="center"/>
              <w:rPr>
                <w:color w:val="000000"/>
                <w:sz w:val="20"/>
                <w:lang w:eastAsia="lv-LV"/>
              </w:rPr>
            </w:pPr>
            <w:r w:rsidRPr="000B3007">
              <w:rPr>
                <w:color w:val="000000"/>
                <w:sz w:val="20"/>
                <w:lang w:eastAsia="lv-LV"/>
              </w:rPr>
              <w:t>-0,01</w:t>
            </w:r>
          </w:p>
        </w:tc>
      </w:tr>
      <w:tr w:rsidR="003468BB" w:rsidRPr="000B3007" w14:paraId="21AC16DC" w14:textId="77777777" w:rsidTr="00E82702">
        <w:trPr>
          <w:trHeight w:val="227"/>
        </w:trPr>
        <w:tc>
          <w:tcPr>
            <w:tcW w:w="6237" w:type="dxa"/>
            <w:shd w:val="clear" w:color="auto" w:fill="auto"/>
            <w:vAlign w:val="bottom"/>
          </w:tcPr>
          <w:p w14:paraId="2CF10140" w14:textId="71DC1BE5" w:rsidR="003468BB" w:rsidRPr="000B3007" w:rsidRDefault="00E82702" w:rsidP="000B3007">
            <w:pPr>
              <w:spacing w:after="0"/>
              <w:ind w:firstLine="0"/>
              <w:jc w:val="left"/>
              <w:rPr>
                <w:color w:val="000000"/>
                <w:sz w:val="20"/>
                <w:lang w:eastAsia="lv-LV"/>
              </w:rPr>
            </w:pPr>
            <w:r w:rsidRPr="00E82702">
              <w:rPr>
                <w:color w:val="000000"/>
                <w:sz w:val="20"/>
                <w:lang w:eastAsia="lv-LV"/>
              </w:rPr>
              <w:t>ES fondu izdevumu pārvērtēšana</w:t>
            </w:r>
          </w:p>
        </w:tc>
        <w:tc>
          <w:tcPr>
            <w:tcW w:w="709" w:type="dxa"/>
            <w:shd w:val="clear" w:color="auto" w:fill="auto"/>
            <w:vAlign w:val="center"/>
          </w:tcPr>
          <w:p w14:paraId="38F4C811" w14:textId="17BB44AA" w:rsidR="003468BB" w:rsidRPr="000B3007" w:rsidRDefault="003468BB" w:rsidP="00A71B0C">
            <w:pPr>
              <w:spacing w:after="0"/>
              <w:ind w:firstLine="0"/>
              <w:jc w:val="center"/>
              <w:rPr>
                <w:color w:val="000000"/>
                <w:sz w:val="20"/>
                <w:lang w:eastAsia="lv-LV"/>
              </w:rPr>
            </w:pPr>
            <w:r w:rsidRPr="000B3007">
              <w:rPr>
                <w:color w:val="000000"/>
                <w:sz w:val="20"/>
                <w:lang w:eastAsia="lv-LV"/>
              </w:rPr>
              <w:t>-0,03</w:t>
            </w:r>
          </w:p>
        </w:tc>
      </w:tr>
      <w:tr w:rsidR="00A71B0C" w:rsidRPr="000B3007" w14:paraId="7B4AEBA9" w14:textId="77777777" w:rsidTr="00E82702">
        <w:trPr>
          <w:trHeight w:val="227"/>
        </w:trPr>
        <w:tc>
          <w:tcPr>
            <w:tcW w:w="6237" w:type="dxa"/>
            <w:shd w:val="clear" w:color="auto" w:fill="DBE5F1" w:themeFill="accent1" w:themeFillTint="33"/>
            <w:noWrap/>
            <w:vAlign w:val="center"/>
            <w:hideMark/>
          </w:tcPr>
          <w:p w14:paraId="4FF58C8B" w14:textId="77777777" w:rsidR="00A71B0C" w:rsidRPr="000B3007" w:rsidRDefault="00A71B0C" w:rsidP="00A71B0C">
            <w:pPr>
              <w:spacing w:after="0"/>
              <w:ind w:firstLine="0"/>
              <w:jc w:val="right"/>
              <w:rPr>
                <w:b/>
                <w:color w:val="000000"/>
                <w:sz w:val="20"/>
                <w:lang w:eastAsia="lv-LV"/>
              </w:rPr>
            </w:pPr>
            <w:r w:rsidRPr="000B3007">
              <w:rPr>
                <w:b/>
                <w:color w:val="000000"/>
                <w:sz w:val="20"/>
                <w:lang w:eastAsia="lv-LV"/>
              </w:rPr>
              <w:t>Kopā</w:t>
            </w:r>
          </w:p>
        </w:tc>
        <w:tc>
          <w:tcPr>
            <w:tcW w:w="709" w:type="dxa"/>
            <w:shd w:val="clear" w:color="auto" w:fill="DBE5F1" w:themeFill="accent1" w:themeFillTint="33"/>
            <w:noWrap/>
            <w:vAlign w:val="bottom"/>
            <w:hideMark/>
          </w:tcPr>
          <w:p w14:paraId="1A1D90DB" w14:textId="4B98FBCB" w:rsidR="00A71B0C" w:rsidRPr="000B3007" w:rsidRDefault="000060F6" w:rsidP="00A71B0C">
            <w:pPr>
              <w:spacing w:after="0"/>
              <w:ind w:firstLine="0"/>
              <w:jc w:val="center"/>
              <w:rPr>
                <w:b/>
                <w:color w:val="000000"/>
                <w:sz w:val="20"/>
                <w:lang w:eastAsia="lv-LV"/>
              </w:rPr>
            </w:pPr>
            <w:r>
              <w:rPr>
                <w:b/>
                <w:color w:val="000000"/>
                <w:sz w:val="20"/>
                <w:lang w:eastAsia="lv-LV"/>
              </w:rPr>
              <w:t>-0,16</w:t>
            </w:r>
          </w:p>
        </w:tc>
      </w:tr>
    </w:tbl>
    <w:p w14:paraId="531A8336" w14:textId="16680E53" w:rsidR="00A71B0C" w:rsidRDefault="00A71B0C" w:rsidP="00052FB5">
      <w:pPr>
        <w:ind w:firstLine="0"/>
        <w:rPr>
          <w:lang w:eastAsia="x-none"/>
        </w:rPr>
      </w:pPr>
    </w:p>
    <w:p w14:paraId="260B355E" w14:textId="77777777" w:rsidR="006068F2" w:rsidRDefault="006068F2">
      <w:pPr>
        <w:spacing w:after="0"/>
        <w:ind w:firstLine="0"/>
        <w:jc w:val="left"/>
        <w:rPr>
          <w:b/>
          <w:bCs/>
          <w:color w:val="18185F"/>
          <w:szCs w:val="28"/>
          <w:lang w:eastAsia="x-none"/>
        </w:rPr>
      </w:pPr>
      <w:bookmarkStart w:id="28" w:name="_Toc494786355"/>
      <w:r>
        <w:rPr>
          <w:color w:val="18185F"/>
        </w:rPr>
        <w:br w:type="page"/>
      </w:r>
    </w:p>
    <w:p w14:paraId="7AAA0E54" w14:textId="00D27CD2" w:rsidR="00006BD6" w:rsidRDefault="00F900B2" w:rsidP="00006BD6">
      <w:pPr>
        <w:pStyle w:val="Heading1"/>
        <w:tabs>
          <w:tab w:val="left" w:pos="1276"/>
        </w:tabs>
        <w:spacing w:before="0" w:after="240"/>
        <w:ind w:left="1276" w:hanging="1276"/>
        <w:jc w:val="left"/>
        <w:rPr>
          <w:rFonts w:ascii="Times New Roman" w:hAnsi="Times New Roman"/>
          <w:color w:val="18185F"/>
          <w:sz w:val="24"/>
          <w:lang w:val="lv-LV"/>
        </w:rPr>
      </w:pPr>
      <w:bookmarkStart w:id="29" w:name="_Toc21516516"/>
      <w:r>
        <w:rPr>
          <w:rFonts w:ascii="Times New Roman" w:hAnsi="Times New Roman"/>
          <w:color w:val="18185F"/>
          <w:sz w:val="24"/>
          <w:lang w:val="lv-LV"/>
        </w:rPr>
        <w:lastRenderedPageBreak/>
        <w:t>Tabula</w:t>
      </w:r>
      <w:r w:rsidRPr="00DC2914">
        <w:rPr>
          <w:rFonts w:ascii="Times New Roman" w:hAnsi="Times New Roman"/>
          <w:color w:val="18185F"/>
          <w:sz w:val="24"/>
        </w:rPr>
        <w:t xml:space="preserve"> </w:t>
      </w:r>
      <w:r w:rsidR="00006BD6" w:rsidRPr="00DC2914">
        <w:rPr>
          <w:rFonts w:ascii="Times New Roman" w:hAnsi="Times New Roman"/>
          <w:color w:val="18185F"/>
          <w:sz w:val="24"/>
        </w:rPr>
        <w:t>5.b</w:t>
      </w:r>
      <w:r w:rsidR="005B2F54">
        <w:rPr>
          <w:rFonts w:ascii="Times New Roman" w:hAnsi="Times New Roman"/>
          <w:color w:val="18185F"/>
          <w:sz w:val="24"/>
          <w:lang w:val="lv-LV"/>
        </w:rPr>
        <w:t>.i)</w:t>
      </w:r>
      <w:r w:rsidR="00006BD6" w:rsidRPr="00DC2914">
        <w:rPr>
          <w:rFonts w:ascii="Times New Roman" w:hAnsi="Times New Roman"/>
          <w:color w:val="18185F"/>
          <w:sz w:val="24"/>
        </w:rPr>
        <w:t>:</w:t>
      </w:r>
      <w:r w:rsidR="00006BD6">
        <w:rPr>
          <w:rFonts w:ascii="Times New Roman" w:hAnsi="Times New Roman"/>
          <w:color w:val="18185F"/>
          <w:sz w:val="24"/>
        </w:rPr>
        <w:t xml:space="preserve"> </w:t>
      </w:r>
      <w:r w:rsidR="00006BD6" w:rsidRPr="00DC2914">
        <w:rPr>
          <w:rFonts w:ascii="Times New Roman" w:hAnsi="Times New Roman"/>
          <w:color w:val="18185F"/>
          <w:sz w:val="24"/>
        </w:rPr>
        <w:t>Diskrecionārie</w:t>
      </w:r>
      <w:r w:rsidR="00006BD6" w:rsidRPr="00DC2914">
        <w:rPr>
          <w:rFonts w:ascii="Times New Roman" w:hAnsi="Times New Roman"/>
          <w:color w:val="18185F"/>
          <w:sz w:val="24"/>
          <w:lang w:val="lv-LV"/>
        </w:rPr>
        <w:t xml:space="preserve"> ieņēmumu</w:t>
      </w:r>
      <w:r w:rsidR="00006BD6" w:rsidRPr="00DC2914">
        <w:rPr>
          <w:rFonts w:ascii="Times New Roman" w:hAnsi="Times New Roman"/>
          <w:color w:val="18185F"/>
          <w:sz w:val="24"/>
        </w:rPr>
        <w:t xml:space="preserve"> pasākumi </w:t>
      </w:r>
      <w:r w:rsidR="00006BD6" w:rsidRPr="00DC2914">
        <w:rPr>
          <w:rFonts w:ascii="Times New Roman" w:hAnsi="Times New Roman"/>
          <w:color w:val="18185F"/>
          <w:sz w:val="24"/>
          <w:lang w:val="lv-LV"/>
        </w:rPr>
        <w:t>centrālās valdības budžetā</w:t>
      </w:r>
      <w:bookmarkEnd w:id="28"/>
      <w:bookmarkEnd w:id="29"/>
    </w:p>
    <w:tbl>
      <w:tblP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2835"/>
        <w:gridCol w:w="3402"/>
        <w:gridCol w:w="1298"/>
        <w:gridCol w:w="791"/>
        <w:gridCol w:w="1255"/>
        <w:gridCol w:w="1481"/>
        <w:gridCol w:w="730"/>
        <w:gridCol w:w="932"/>
        <w:gridCol w:w="932"/>
        <w:gridCol w:w="932"/>
      </w:tblGrid>
      <w:tr w:rsidR="00D50141" w:rsidRPr="000B3007" w14:paraId="62384701" w14:textId="77777777" w:rsidTr="00073140">
        <w:trPr>
          <w:trHeight w:val="227"/>
        </w:trPr>
        <w:tc>
          <w:tcPr>
            <w:tcW w:w="2835" w:type="dxa"/>
            <w:vMerge w:val="restart"/>
            <w:shd w:val="clear" w:color="auto" w:fill="auto"/>
            <w:vAlign w:val="center"/>
            <w:hideMark/>
          </w:tcPr>
          <w:p w14:paraId="11745B37"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Pasākumu saraksts</w:t>
            </w:r>
          </w:p>
        </w:tc>
        <w:tc>
          <w:tcPr>
            <w:tcW w:w="3402" w:type="dxa"/>
            <w:vMerge w:val="restart"/>
            <w:shd w:val="clear" w:color="auto" w:fill="auto"/>
            <w:vAlign w:val="center"/>
            <w:hideMark/>
          </w:tcPr>
          <w:p w14:paraId="37DC1117"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Detalizēts apraksts*</w:t>
            </w:r>
          </w:p>
        </w:tc>
        <w:tc>
          <w:tcPr>
            <w:tcW w:w="1298" w:type="dxa"/>
            <w:vMerge w:val="restart"/>
            <w:shd w:val="clear" w:color="auto" w:fill="auto"/>
            <w:vAlign w:val="center"/>
            <w:hideMark/>
          </w:tcPr>
          <w:p w14:paraId="10887D78"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Nodokļu veids</w:t>
            </w:r>
          </w:p>
        </w:tc>
        <w:tc>
          <w:tcPr>
            <w:tcW w:w="791" w:type="dxa"/>
            <w:vMerge w:val="restart"/>
            <w:shd w:val="clear" w:color="auto" w:fill="auto"/>
            <w:vAlign w:val="center"/>
            <w:hideMark/>
          </w:tcPr>
          <w:p w14:paraId="5F421D76"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ESA kods</w:t>
            </w:r>
          </w:p>
        </w:tc>
        <w:tc>
          <w:tcPr>
            <w:tcW w:w="1255" w:type="dxa"/>
            <w:vMerge w:val="restart"/>
            <w:shd w:val="clear" w:color="auto" w:fill="auto"/>
            <w:vAlign w:val="center"/>
            <w:hideMark/>
          </w:tcPr>
          <w:p w14:paraId="067132E7"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Uzskaites princips</w:t>
            </w:r>
          </w:p>
        </w:tc>
        <w:tc>
          <w:tcPr>
            <w:tcW w:w="1481" w:type="dxa"/>
            <w:vMerge w:val="restart"/>
            <w:shd w:val="clear" w:color="auto" w:fill="auto"/>
            <w:vAlign w:val="center"/>
            <w:hideMark/>
          </w:tcPr>
          <w:p w14:paraId="3FBA8522"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Pieņemšanas statuss</w:t>
            </w:r>
          </w:p>
        </w:tc>
        <w:tc>
          <w:tcPr>
            <w:tcW w:w="730" w:type="dxa"/>
            <w:shd w:val="clear" w:color="auto" w:fill="auto"/>
            <w:noWrap/>
            <w:vAlign w:val="bottom"/>
            <w:hideMark/>
          </w:tcPr>
          <w:p w14:paraId="7192528C" w14:textId="77777777" w:rsidR="00D50141" w:rsidRPr="000B3007" w:rsidRDefault="00D50141" w:rsidP="00D50141">
            <w:pPr>
              <w:spacing w:after="0"/>
              <w:ind w:firstLine="0"/>
              <w:jc w:val="left"/>
              <w:rPr>
                <w:b/>
                <w:bCs/>
                <w:color w:val="000000"/>
                <w:sz w:val="20"/>
                <w:lang w:eastAsia="lv-LV"/>
              </w:rPr>
            </w:pPr>
            <w:r w:rsidRPr="000B3007">
              <w:rPr>
                <w:b/>
                <w:bCs/>
                <w:color w:val="000000"/>
                <w:sz w:val="20"/>
                <w:lang w:eastAsia="lv-LV"/>
              </w:rPr>
              <w:t> </w:t>
            </w:r>
          </w:p>
        </w:tc>
        <w:tc>
          <w:tcPr>
            <w:tcW w:w="2796" w:type="dxa"/>
            <w:gridSpan w:val="3"/>
            <w:shd w:val="clear" w:color="auto" w:fill="auto"/>
            <w:noWrap/>
            <w:vAlign w:val="bottom"/>
            <w:hideMark/>
          </w:tcPr>
          <w:p w14:paraId="1575C5F7"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Ietekme uz budžetu</w:t>
            </w:r>
          </w:p>
        </w:tc>
      </w:tr>
      <w:tr w:rsidR="00D50141" w:rsidRPr="000B3007" w14:paraId="5F76CCEF" w14:textId="77777777" w:rsidTr="00073140">
        <w:trPr>
          <w:trHeight w:val="227"/>
        </w:trPr>
        <w:tc>
          <w:tcPr>
            <w:tcW w:w="2835" w:type="dxa"/>
            <w:vMerge/>
            <w:vAlign w:val="center"/>
            <w:hideMark/>
          </w:tcPr>
          <w:p w14:paraId="2408ECFF" w14:textId="77777777" w:rsidR="00D50141" w:rsidRPr="000B3007" w:rsidRDefault="00D50141" w:rsidP="00D50141">
            <w:pPr>
              <w:spacing w:after="0"/>
              <w:ind w:firstLine="0"/>
              <w:jc w:val="left"/>
              <w:rPr>
                <w:b/>
                <w:bCs/>
                <w:color w:val="000000"/>
                <w:sz w:val="20"/>
                <w:lang w:eastAsia="lv-LV"/>
              </w:rPr>
            </w:pPr>
          </w:p>
        </w:tc>
        <w:tc>
          <w:tcPr>
            <w:tcW w:w="3402" w:type="dxa"/>
            <w:vMerge/>
            <w:vAlign w:val="center"/>
            <w:hideMark/>
          </w:tcPr>
          <w:p w14:paraId="0578C13E" w14:textId="77777777" w:rsidR="00D50141" w:rsidRPr="000B3007" w:rsidRDefault="00D50141" w:rsidP="00D50141">
            <w:pPr>
              <w:spacing w:after="0"/>
              <w:ind w:firstLine="0"/>
              <w:jc w:val="left"/>
              <w:rPr>
                <w:b/>
                <w:bCs/>
                <w:color w:val="000000"/>
                <w:sz w:val="20"/>
                <w:lang w:eastAsia="lv-LV"/>
              </w:rPr>
            </w:pPr>
          </w:p>
        </w:tc>
        <w:tc>
          <w:tcPr>
            <w:tcW w:w="1298" w:type="dxa"/>
            <w:vMerge/>
            <w:vAlign w:val="center"/>
            <w:hideMark/>
          </w:tcPr>
          <w:p w14:paraId="049A0965" w14:textId="77777777" w:rsidR="00D50141" w:rsidRPr="000B3007" w:rsidRDefault="00D50141" w:rsidP="00D50141">
            <w:pPr>
              <w:spacing w:after="0"/>
              <w:ind w:firstLine="0"/>
              <w:jc w:val="center"/>
              <w:rPr>
                <w:b/>
                <w:bCs/>
                <w:color w:val="000000"/>
                <w:sz w:val="20"/>
                <w:lang w:eastAsia="lv-LV"/>
              </w:rPr>
            </w:pPr>
          </w:p>
        </w:tc>
        <w:tc>
          <w:tcPr>
            <w:tcW w:w="791" w:type="dxa"/>
            <w:vMerge/>
            <w:vAlign w:val="center"/>
            <w:hideMark/>
          </w:tcPr>
          <w:p w14:paraId="24671F11" w14:textId="77777777" w:rsidR="00D50141" w:rsidRPr="000B3007" w:rsidRDefault="00D50141" w:rsidP="00D50141">
            <w:pPr>
              <w:spacing w:after="0"/>
              <w:ind w:firstLine="0"/>
              <w:jc w:val="left"/>
              <w:rPr>
                <w:b/>
                <w:bCs/>
                <w:color w:val="000000"/>
                <w:sz w:val="20"/>
                <w:lang w:eastAsia="lv-LV"/>
              </w:rPr>
            </w:pPr>
          </w:p>
        </w:tc>
        <w:tc>
          <w:tcPr>
            <w:tcW w:w="1255" w:type="dxa"/>
            <w:vMerge/>
            <w:vAlign w:val="center"/>
            <w:hideMark/>
          </w:tcPr>
          <w:p w14:paraId="231F8B92" w14:textId="77777777" w:rsidR="00D50141" w:rsidRPr="000B3007" w:rsidRDefault="00D50141" w:rsidP="00D50141">
            <w:pPr>
              <w:spacing w:after="0"/>
              <w:ind w:firstLine="0"/>
              <w:jc w:val="left"/>
              <w:rPr>
                <w:b/>
                <w:bCs/>
                <w:color w:val="000000"/>
                <w:sz w:val="20"/>
                <w:lang w:eastAsia="lv-LV"/>
              </w:rPr>
            </w:pPr>
          </w:p>
        </w:tc>
        <w:tc>
          <w:tcPr>
            <w:tcW w:w="1481" w:type="dxa"/>
            <w:vMerge/>
            <w:vAlign w:val="center"/>
            <w:hideMark/>
          </w:tcPr>
          <w:p w14:paraId="0C3A22F4" w14:textId="77777777" w:rsidR="00D50141" w:rsidRPr="000B3007" w:rsidRDefault="00D50141" w:rsidP="00D50141">
            <w:pPr>
              <w:spacing w:after="0"/>
              <w:ind w:firstLine="0"/>
              <w:jc w:val="left"/>
              <w:rPr>
                <w:b/>
                <w:bCs/>
                <w:color w:val="000000"/>
                <w:sz w:val="20"/>
                <w:lang w:eastAsia="lv-LV"/>
              </w:rPr>
            </w:pPr>
          </w:p>
        </w:tc>
        <w:tc>
          <w:tcPr>
            <w:tcW w:w="730" w:type="dxa"/>
            <w:vMerge w:val="restart"/>
            <w:shd w:val="clear" w:color="auto" w:fill="auto"/>
            <w:noWrap/>
            <w:vAlign w:val="bottom"/>
            <w:hideMark/>
          </w:tcPr>
          <w:p w14:paraId="2D5BA5FC"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 </w:t>
            </w:r>
          </w:p>
        </w:tc>
        <w:tc>
          <w:tcPr>
            <w:tcW w:w="932" w:type="dxa"/>
            <w:shd w:val="clear" w:color="auto" w:fill="auto"/>
            <w:vAlign w:val="center"/>
            <w:hideMark/>
          </w:tcPr>
          <w:p w14:paraId="2FFB88FE" w14:textId="77777777" w:rsidR="00D50141" w:rsidRPr="000B3007" w:rsidRDefault="00D50141" w:rsidP="00D50141">
            <w:pPr>
              <w:spacing w:after="0"/>
              <w:ind w:firstLine="0"/>
              <w:jc w:val="center"/>
              <w:rPr>
                <w:b/>
                <w:bCs/>
                <w:color w:val="000000"/>
                <w:sz w:val="20"/>
                <w:lang w:eastAsia="lv-LV"/>
              </w:rPr>
            </w:pPr>
            <w:r w:rsidRPr="000B3007">
              <w:rPr>
                <w:b/>
                <w:bCs/>
                <w:color w:val="000000"/>
                <w:sz w:val="20"/>
              </w:rPr>
              <w:t>2020</w:t>
            </w:r>
          </w:p>
        </w:tc>
        <w:tc>
          <w:tcPr>
            <w:tcW w:w="932" w:type="dxa"/>
            <w:shd w:val="clear" w:color="auto" w:fill="auto"/>
            <w:vAlign w:val="center"/>
            <w:hideMark/>
          </w:tcPr>
          <w:p w14:paraId="5FC346F2" w14:textId="77777777" w:rsidR="00D50141" w:rsidRPr="000B3007" w:rsidRDefault="00D50141" w:rsidP="00D50141">
            <w:pPr>
              <w:spacing w:after="0"/>
              <w:ind w:firstLine="0"/>
              <w:jc w:val="center"/>
              <w:rPr>
                <w:b/>
                <w:bCs/>
                <w:color w:val="000000"/>
                <w:sz w:val="20"/>
                <w:lang w:eastAsia="lv-LV"/>
              </w:rPr>
            </w:pPr>
            <w:r w:rsidRPr="000B3007">
              <w:rPr>
                <w:b/>
                <w:bCs/>
                <w:color w:val="000000"/>
                <w:sz w:val="20"/>
              </w:rPr>
              <w:t>2021</w:t>
            </w:r>
          </w:p>
        </w:tc>
        <w:tc>
          <w:tcPr>
            <w:tcW w:w="932" w:type="dxa"/>
            <w:shd w:val="clear" w:color="auto" w:fill="auto"/>
            <w:vAlign w:val="center"/>
            <w:hideMark/>
          </w:tcPr>
          <w:p w14:paraId="6185A77A" w14:textId="77777777" w:rsidR="00D50141" w:rsidRPr="000B3007" w:rsidRDefault="00D50141" w:rsidP="00D50141">
            <w:pPr>
              <w:spacing w:after="0"/>
              <w:ind w:firstLine="0"/>
              <w:jc w:val="center"/>
              <w:rPr>
                <w:b/>
                <w:bCs/>
                <w:color w:val="000000"/>
                <w:sz w:val="20"/>
                <w:lang w:eastAsia="lv-LV"/>
              </w:rPr>
            </w:pPr>
            <w:r w:rsidRPr="000B3007">
              <w:rPr>
                <w:b/>
                <w:bCs/>
                <w:color w:val="000000"/>
                <w:sz w:val="20"/>
              </w:rPr>
              <w:t>2022</w:t>
            </w:r>
          </w:p>
        </w:tc>
      </w:tr>
      <w:tr w:rsidR="00D50141" w:rsidRPr="000B3007" w14:paraId="3D4BA351" w14:textId="77777777" w:rsidTr="00073140">
        <w:trPr>
          <w:trHeight w:val="227"/>
        </w:trPr>
        <w:tc>
          <w:tcPr>
            <w:tcW w:w="2835" w:type="dxa"/>
            <w:vMerge/>
            <w:vAlign w:val="center"/>
            <w:hideMark/>
          </w:tcPr>
          <w:p w14:paraId="6BA0CFF4" w14:textId="77777777" w:rsidR="00D50141" w:rsidRPr="000B3007" w:rsidRDefault="00D50141" w:rsidP="00D50141">
            <w:pPr>
              <w:spacing w:after="0"/>
              <w:ind w:firstLine="0"/>
              <w:jc w:val="left"/>
              <w:rPr>
                <w:b/>
                <w:bCs/>
                <w:color w:val="000000"/>
                <w:sz w:val="20"/>
                <w:lang w:eastAsia="lv-LV"/>
              </w:rPr>
            </w:pPr>
          </w:p>
        </w:tc>
        <w:tc>
          <w:tcPr>
            <w:tcW w:w="3402" w:type="dxa"/>
            <w:vMerge/>
            <w:vAlign w:val="center"/>
            <w:hideMark/>
          </w:tcPr>
          <w:p w14:paraId="1356A965" w14:textId="77777777" w:rsidR="00D50141" w:rsidRPr="000B3007" w:rsidRDefault="00D50141" w:rsidP="00D50141">
            <w:pPr>
              <w:spacing w:after="0"/>
              <w:ind w:firstLine="0"/>
              <w:jc w:val="left"/>
              <w:rPr>
                <w:b/>
                <w:bCs/>
                <w:color w:val="000000"/>
                <w:sz w:val="20"/>
                <w:lang w:eastAsia="lv-LV"/>
              </w:rPr>
            </w:pPr>
          </w:p>
        </w:tc>
        <w:tc>
          <w:tcPr>
            <w:tcW w:w="1298" w:type="dxa"/>
            <w:vMerge/>
            <w:vAlign w:val="center"/>
            <w:hideMark/>
          </w:tcPr>
          <w:p w14:paraId="7EAD54F0" w14:textId="77777777" w:rsidR="00D50141" w:rsidRPr="000B3007" w:rsidRDefault="00D50141" w:rsidP="00D50141">
            <w:pPr>
              <w:spacing w:after="0"/>
              <w:ind w:firstLine="0"/>
              <w:jc w:val="center"/>
              <w:rPr>
                <w:b/>
                <w:bCs/>
                <w:color w:val="000000"/>
                <w:sz w:val="20"/>
                <w:lang w:eastAsia="lv-LV"/>
              </w:rPr>
            </w:pPr>
          </w:p>
        </w:tc>
        <w:tc>
          <w:tcPr>
            <w:tcW w:w="791" w:type="dxa"/>
            <w:vMerge/>
            <w:vAlign w:val="center"/>
            <w:hideMark/>
          </w:tcPr>
          <w:p w14:paraId="5AA085CE" w14:textId="77777777" w:rsidR="00D50141" w:rsidRPr="000B3007" w:rsidRDefault="00D50141" w:rsidP="00D50141">
            <w:pPr>
              <w:spacing w:after="0"/>
              <w:ind w:firstLine="0"/>
              <w:jc w:val="left"/>
              <w:rPr>
                <w:b/>
                <w:bCs/>
                <w:color w:val="000000"/>
                <w:sz w:val="20"/>
                <w:lang w:eastAsia="lv-LV"/>
              </w:rPr>
            </w:pPr>
          </w:p>
        </w:tc>
        <w:tc>
          <w:tcPr>
            <w:tcW w:w="1255" w:type="dxa"/>
            <w:vMerge/>
            <w:vAlign w:val="center"/>
            <w:hideMark/>
          </w:tcPr>
          <w:p w14:paraId="5B3A0B2C" w14:textId="77777777" w:rsidR="00D50141" w:rsidRPr="000B3007" w:rsidRDefault="00D50141" w:rsidP="00D50141">
            <w:pPr>
              <w:spacing w:after="0"/>
              <w:ind w:firstLine="0"/>
              <w:jc w:val="left"/>
              <w:rPr>
                <w:b/>
                <w:bCs/>
                <w:color w:val="000000"/>
                <w:sz w:val="20"/>
                <w:lang w:eastAsia="lv-LV"/>
              </w:rPr>
            </w:pPr>
          </w:p>
        </w:tc>
        <w:tc>
          <w:tcPr>
            <w:tcW w:w="1481" w:type="dxa"/>
            <w:vMerge/>
            <w:vAlign w:val="center"/>
            <w:hideMark/>
          </w:tcPr>
          <w:p w14:paraId="5CCB80EE" w14:textId="77777777" w:rsidR="00D50141" w:rsidRPr="000B3007" w:rsidRDefault="00D50141" w:rsidP="00D50141">
            <w:pPr>
              <w:spacing w:after="0"/>
              <w:ind w:firstLine="0"/>
              <w:jc w:val="left"/>
              <w:rPr>
                <w:b/>
                <w:bCs/>
                <w:color w:val="000000"/>
                <w:sz w:val="20"/>
                <w:lang w:eastAsia="lv-LV"/>
              </w:rPr>
            </w:pPr>
          </w:p>
        </w:tc>
        <w:tc>
          <w:tcPr>
            <w:tcW w:w="730" w:type="dxa"/>
            <w:vMerge/>
            <w:vAlign w:val="center"/>
            <w:hideMark/>
          </w:tcPr>
          <w:p w14:paraId="061E2486" w14:textId="77777777" w:rsidR="00D50141" w:rsidRPr="000B3007" w:rsidRDefault="00D50141" w:rsidP="00D50141">
            <w:pPr>
              <w:spacing w:after="0"/>
              <w:ind w:firstLine="0"/>
              <w:jc w:val="left"/>
              <w:rPr>
                <w:b/>
                <w:bCs/>
                <w:color w:val="000000"/>
                <w:sz w:val="20"/>
                <w:lang w:eastAsia="lv-LV"/>
              </w:rPr>
            </w:pPr>
          </w:p>
        </w:tc>
        <w:tc>
          <w:tcPr>
            <w:tcW w:w="2796" w:type="dxa"/>
            <w:gridSpan w:val="3"/>
            <w:shd w:val="clear" w:color="auto" w:fill="auto"/>
            <w:vAlign w:val="center"/>
            <w:hideMark/>
          </w:tcPr>
          <w:p w14:paraId="4D6BD809" w14:textId="77777777" w:rsidR="00D50141" w:rsidRPr="000B3007" w:rsidRDefault="00D50141" w:rsidP="00D50141">
            <w:pPr>
              <w:spacing w:after="0"/>
              <w:ind w:firstLine="0"/>
              <w:jc w:val="center"/>
              <w:rPr>
                <w:b/>
                <w:bCs/>
                <w:color w:val="000000"/>
                <w:sz w:val="20"/>
                <w:lang w:eastAsia="lv-LV"/>
              </w:rPr>
            </w:pPr>
            <w:r w:rsidRPr="000B3007">
              <w:rPr>
                <w:b/>
                <w:bCs/>
                <w:color w:val="000000"/>
                <w:sz w:val="20"/>
                <w:lang w:eastAsia="lv-LV"/>
              </w:rPr>
              <w:t>% IKP</w:t>
            </w:r>
          </w:p>
        </w:tc>
      </w:tr>
      <w:tr w:rsidR="006068F2" w:rsidRPr="000B3007" w14:paraId="36AD5F37" w14:textId="77777777" w:rsidTr="00073140">
        <w:trPr>
          <w:trHeight w:val="227"/>
        </w:trPr>
        <w:tc>
          <w:tcPr>
            <w:tcW w:w="2835" w:type="dxa"/>
            <w:vMerge w:val="restart"/>
            <w:shd w:val="clear" w:color="auto" w:fill="DBE5F1" w:themeFill="accent1" w:themeFillTint="33"/>
            <w:vAlign w:val="center"/>
            <w:hideMark/>
          </w:tcPr>
          <w:p w14:paraId="19C5304C" w14:textId="77777777" w:rsidR="006068F2" w:rsidRPr="000B3007" w:rsidRDefault="006068F2" w:rsidP="006068F2">
            <w:pPr>
              <w:spacing w:after="0"/>
              <w:ind w:firstLine="0"/>
              <w:rPr>
                <w:color w:val="000000"/>
                <w:sz w:val="20"/>
                <w:highlight w:val="yellow"/>
                <w:lang w:eastAsia="lv-LV"/>
              </w:rPr>
            </w:pPr>
            <w:r w:rsidRPr="000B3007">
              <w:rPr>
                <w:color w:val="000000"/>
                <w:sz w:val="20"/>
                <w:lang w:eastAsia="lv-LV"/>
              </w:rPr>
              <w:t>VAS "Latvijas valsts meži" dividendēs izmaksājamās peļņas daļas palielināšana</w:t>
            </w:r>
          </w:p>
        </w:tc>
        <w:tc>
          <w:tcPr>
            <w:tcW w:w="3402" w:type="dxa"/>
            <w:vMerge w:val="restart"/>
            <w:shd w:val="clear" w:color="auto" w:fill="DBE5F1" w:themeFill="accent1" w:themeFillTint="33"/>
            <w:vAlign w:val="center"/>
            <w:hideMark/>
          </w:tcPr>
          <w:p w14:paraId="3CDA8D3B" w14:textId="77777777" w:rsidR="006068F2" w:rsidRPr="000B3007" w:rsidRDefault="006068F2" w:rsidP="006068F2">
            <w:pPr>
              <w:spacing w:after="0"/>
              <w:ind w:firstLine="0"/>
              <w:rPr>
                <w:color w:val="000000"/>
                <w:sz w:val="20"/>
                <w:highlight w:val="yellow"/>
                <w:lang w:eastAsia="lv-LV"/>
              </w:rPr>
            </w:pPr>
            <w:r w:rsidRPr="000B3007">
              <w:rPr>
                <w:color w:val="000000"/>
                <w:sz w:val="20"/>
                <w:lang w:eastAsia="lv-LV"/>
              </w:rPr>
              <w:t>VAS "Latvijas valsts meži" dividendēs izmaksājamās peļņas daļas par 2019.gadu palielināšana</w:t>
            </w:r>
          </w:p>
        </w:tc>
        <w:tc>
          <w:tcPr>
            <w:tcW w:w="1298" w:type="dxa"/>
            <w:shd w:val="clear" w:color="auto" w:fill="DBE5F1" w:themeFill="accent1" w:themeFillTint="33"/>
            <w:vAlign w:val="center"/>
            <w:hideMark/>
          </w:tcPr>
          <w:p w14:paraId="2768DE10" w14:textId="77777777" w:rsidR="006068F2" w:rsidRPr="000B3007" w:rsidRDefault="006068F2" w:rsidP="006068F2">
            <w:pPr>
              <w:spacing w:after="0"/>
              <w:ind w:firstLine="0"/>
              <w:jc w:val="center"/>
              <w:rPr>
                <w:color w:val="000000"/>
                <w:sz w:val="20"/>
                <w:highlight w:val="yellow"/>
                <w:lang w:eastAsia="lv-LV"/>
              </w:rPr>
            </w:pPr>
            <w:r w:rsidRPr="000B3007">
              <w:rPr>
                <w:color w:val="000000"/>
                <w:sz w:val="20"/>
              </w:rPr>
              <w:t xml:space="preserve">Nenodokļi </w:t>
            </w:r>
          </w:p>
        </w:tc>
        <w:tc>
          <w:tcPr>
            <w:tcW w:w="791" w:type="dxa"/>
            <w:shd w:val="clear" w:color="auto" w:fill="DBE5F1" w:themeFill="accent1" w:themeFillTint="33"/>
            <w:vAlign w:val="center"/>
            <w:hideMark/>
          </w:tcPr>
          <w:p w14:paraId="7D1BC62E" w14:textId="77777777" w:rsidR="006068F2" w:rsidRPr="000B3007" w:rsidRDefault="006068F2" w:rsidP="006068F2">
            <w:pPr>
              <w:spacing w:after="0"/>
              <w:ind w:firstLine="0"/>
              <w:jc w:val="center"/>
              <w:rPr>
                <w:color w:val="000000"/>
                <w:sz w:val="20"/>
                <w:highlight w:val="yellow"/>
                <w:lang w:eastAsia="lv-LV"/>
              </w:rPr>
            </w:pPr>
            <w:r w:rsidRPr="000B3007">
              <w:rPr>
                <w:color w:val="000000"/>
                <w:sz w:val="20"/>
              </w:rPr>
              <w:t>D.421</w:t>
            </w:r>
          </w:p>
        </w:tc>
        <w:tc>
          <w:tcPr>
            <w:tcW w:w="1255" w:type="dxa"/>
            <w:shd w:val="clear" w:color="auto" w:fill="DBE5F1" w:themeFill="accent1" w:themeFillTint="33"/>
            <w:vAlign w:val="center"/>
            <w:hideMark/>
          </w:tcPr>
          <w:p w14:paraId="2D8EBFA8" w14:textId="77777777" w:rsidR="006068F2" w:rsidRPr="000B3007" w:rsidRDefault="006068F2" w:rsidP="006068F2">
            <w:pPr>
              <w:spacing w:after="0"/>
              <w:ind w:firstLine="0"/>
              <w:jc w:val="center"/>
              <w:rPr>
                <w:color w:val="000000"/>
                <w:sz w:val="20"/>
                <w:highlight w:val="yellow"/>
                <w:lang w:eastAsia="lv-LV"/>
              </w:rPr>
            </w:pPr>
            <w:r w:rsidRPr="000B3007">
              <w:rPr>
                <w:color w:val="000000"/>
                <w:sz w:val="20"/>
              </w:rPr>
              <w:t>Uzkrājuma</w:t>
            </w:r>
          </w:p>
        </w:tc>
        <w:tc>
          <w:tcPr>
            <w:tcW w:w="1481" w:type="dxa"/>
            <w:shd w:val="clear" w:color="auto" w:fill="DBE5F1" w:themeFill="accent1" w:themeFillTint="33"/>
            <w:vAlign w:val="center"/>
            <w:hideMark/>
          </w:tcPr>
          <w:p w14:paraId="585B6E11" w14:textId="77777777" w:rsidR="006068F2" w:rsidRPr="000B3007" w:rsidRDefault="006068F2" w:rsidP="006068F2">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DBE5F1" w:themeFill="accent1" w:themeFillTint="33"/>
            <w:noWrap/>
            <w:vAlign w:val="bottom"/>
            <w:hideMark/>
          </w:tcPr>
          <w:p w14:paraId="469A5A71" w14:textId="77777777" w:rsidR="006068F2" w:rsidRPr="000B3007" w:rsidRDefault="006068F2" w:rsidP="006068F2">
            <w:pPr>
              <w:spacing w:after="0"/>
              <w:ind w:firstLine="0"/>
              <w:jc w:val="center"/>
              <w:rPr>
                <w:b/>
                <w:bCs/>
                <w:color w:val="000000"/>
                <w:sz w:val="20"/>
                <w:lang w:eastAsia="lv-LV"/>
              </w:rPr>
            </w:pPr>
            <w:r w:rsidRPr="000B3007">
              <w:rPr>
                <w:b/>
                <w:bCs/>
                <w:color w:val="000000"/>
                <w:sz w:val="20"/>
                <w:lang w:eastAsia="lv-LV"/>
              </w:rPr>
              <w:t> </w:t>
            </w:r>
          </w:p>
        </w:tc>
        <w:tc>
          <w:tcPr>
            <w:tcW w:w="932" w:type="dxa"/>
            <w:shd w:val="clear" w:color="auto" w:fill="DBE5F1" w:themeFill="accent1" w:themeFillTint="33"/>
            <w:vAlign w:val="center"/>
            <w:hideMark/>
          </w:tcPr>
          <w:p w14:paraId="2A8C79D8" w14:textId="0B56C9AB" w:rsidR="006068F2" w:rsidRPr="000B3007" w:rsidRDefault="006068F2" w:rsidP="006068F2">
            <w:pPr>
              <w:spacing w:after="0"/>
              <w:ind w:firstLine="0"/>
              <w:jc w:val="center"/>
              <w:rPr>
                <w:color w:val="000000"/>
                <w:sz w:val="20"/>
                <w:highlight w:val="yellow"/>
                <w:lang w:eastAsia="lv-LV"/>
              </w:rPr>
            </w:pPr>
            <w:r>
              <w:rPr>
                <w:color w:val="000000"/>
                <w:sz w:val="22"/>
                <w:szCs w:val="22"/>
              </w:rPr>
              <w:t>0,12</w:t>
            </w:r>
          </w:p>
        </w:tc>
        <w:tc>
          <w:tcPr>
            <w:tcW w:w="932" w:type="dxa"/>
            <w:shd w:val="clear" w:color="auto" w:fill="DBE5F1" w:themeFill="accent1" w:themeFillTint="33"/>
            <w:vAlign w:val="center"/>
            <w:hideMark/>
          </w:tcPr>
          <w:p w14:paraId="6A2B104F" w14:textId="16C5AFF5" w:rsidR="006068F2" w:rsidRPr="000B3007" w:rsidRDefault="006068F2" w:rsidP="006068F2">
            <w:pPr>
              <w:spacing w:after="0"/>
              <w:ind w:firstLine="0"/>
              <w:jc w:val="center"/>
              <w:rPr>
                <w:color w:val="000000"/>
                <w:sz w:val="20"/>
                <w:highlight w:val="yellow"/>
                <w:lang w:eastAsia="lv-LV"/>
              </w:rPr>
            </w:pPr>
            <w:r>
              <w:rPr>
                <w:color w:val="000000"/>
                <w:sz w:val="22"/>
                <w:szCs w:val="22"/>
              </w:rPr>
              <w:t>-0,11</w:t>
            </w:r>
          </w:p>
        </w:tc>
        <w:tc>
          <w:tcPr>
            <w:tcW w:w="932" w:type="dxa"/>
            <w:shd w:val="clear" w:color="auto" w:fill="DBE5F1" w:themeFill="accent1" w:themeFillTint="33"/>
            <w:vAlign w:val="center"/>
            <w:hideMark/>
          </w:tcPr>
          <w:p w14:paraId="111D936C" w14:textId="3920A7DC" w:rsidR="006068F2" w:rsidRPr="000B3007" w:rsidRDefault="006068F2" w:rsidP="006068F2">
            <w:pPr>
              <w:spacing w:after="0"/>
              <w:ind w:firstLine="0"/>
              <w:jc w:val="center"/>
              <w:rPr>
                <w:color w:val="000000"/>
                <w:sz w:val="20"/>
                <w:highlight w:val="yellow"/>
                <w:lang w:eastAsia="lv-LV"/>
              </w:rPr>
            </w:pPr>
            <w:r>
              <w:rPr>
                <w:color w:val="000000"/>
                <w:sz w:val="22"/>
                <w:szCs w:val="22"/>
              </w:rPr>
              <w:t>0,00</w:t>
            </w:r>
          </w:p>
        </w:tc>
      </w:tr>
      <w:tr w:rsidR="006068F2" w:rsidRPr="000B3007" w14:paraId="2BE26609" w14:textId="77777777" w:rsidTr="00073140">
        <w:trPr>
          <w:trHeight w:val="227"/>
        </w:trPr>
        <w:tc>
          <w:tcPr>
            <w:tcW w:w="2835" w:type="dxa"/>
            <w:vMerge/>
            <w:vAlign w:val="center"/>
            <w:hideMark/>
          </w:tcPr>
          <w:p w14:paraId="342A97AC" w14:textId="77777777" w:rsidR="006068F2" w:rsidRPr="000B3007" w:rsidRDefault="006068F2" w:rsidP="006068F2">
            <w:pPr>
              <w:spacing w:after="0"/>
              <w:ind w:firstLine="0"/>
              <w:rPr>
                <w:color w:val="000000"/>
                <w:sz w:val="20"/>
                <w:highlight w:val="yellow"/>
                <w:lang w:eastAsia="lv-LV"/>
              </w:rPr>
            </w:pPr>
          </w:p>
        </w:tc>
        <w:tc>
          <w:tcPr>
            <w:tcW w:w="3402" w:type="dxa"/>
            <w:vMerge/>
            <w:vAlign w:val="center"/>
            <w:hideMark/>
          </w:tcPr>
          <w:p w14:paraId="61098164" w14:textId="77777777" w:rsidR="006068F2" w:rsidRPr="000B3007" w:rsidRDefault="006068F2" w:rsidP="006068F2">
            <w:pPr>
              <w:spacing w:after="0"/>
              <w:ind w:firstLine="0"/>
              <w:rPr>
                <w:color w:val="000000"/>
                <w:sz w:val="20"/>
                <w:highlight w:val="yellow"/>
                <w:lang w:eastAsia="lv-LV"/>
              </w:rPr>
            </w:pPr>
          </w:p>
        </w:tc>
        <w:tc>
          <w:tcPr>
            <w:tcW w:w="1298" w:type="dxa"/>
            <w:shd w:val="clear" w:color="auto" w:fill="auto"/>
            <w:vAlign w:val="center"/>
            <w:hideMark/>
          </w:tcPr>
          <w:p w14:paraId="44B5C659" w14:textId="77777777" w:rsidR="006068F2" w:rsidRPr="000B3007" w:rsidRDefault="006068F2" w:rsidP="006068F2">
            <w:pPr>
              <w:spacing w:after="0"/>
              <w:ind w:firstLine="0"/>
              <w:jc w:val="center"/>
              <w:rPr>
                <w:color w:val="000000"/>
                <w:sz w:val="20"/>
                <w:highlight w:val="yellow"/>
                <w:lang w:eastAsia="lv-LV"/>
              </w:rPr>
            </w:pPr>
            <w:r w:rsidRPr="000B3007">
              <w:rPr>
                <w:color w:val="000000"/>
                <w:sz w:val="20"/>
              </w:rPr>
              <w:t>UIN</w:t>
            </w:r>
          </w:p>
        </w:tc>
        <w:tc>
          <w:tcPr>
            <w:tcW w:w="791" w:type="dxa"/>
            <w:shd w:val="clear" w:color="auto" w:fill="auto"/>
            <w:vAlign w:val="center"/>
            <w:hideMark/>
          </w:tcPr>
          <w:p w14:paraId="0C872930" w14:textId="77777777" w:rsidR="006068F2" w:rsidRPr="000B3007" w:rsidRDefault="006068F2" w:rsidP="006068F2">
            <w:pPr>
              <w:spacing w:after="0"/>
              <w:ind w:firstLine="0"/>
              <w:jc w:val="center"/>
              <w:rPr>
                <w:color w:val="000000"/>
                <w:sz w:val="20"/>
                <w:highlight w:val="yellow"/>
                <w:lang w:eastAsia="lv-LV"/>
              </w:rPr>
            </w:pPr>
            <w:r w:rsidRPr="000B3007">
              <w:rPr>
                <w:color w:val="000000"/>
                <w:sz w:val="20"/>
              </w:rPr>
              <w:t>D.5</w:t>
            </w:r>
          </w:p>
        </w:tc>
        <w:tc>
          <w:tcPr>
            <w:tcW w:w="1255" w:type="dxa"/>
            <w:shd w:val="clear" w:color="auto" w:fill="auto"/>
            <w:vAlign w:val="center"/>
            <w:hideMark/>
          </w:tcPr>
          <w:p w14:paraId="3843DCA5" w14:textId="77777777" w:rsidR="006068F2" w:rsidRPr="000B3007" w:rsidRDefault="006068F2" w:rsidP="006068F2">
            <w:pPr>
              <w:spacing w:after="0"/>
              <w:ind w:firstLine="0"/>
              <w:jc w:val="center"/>
              <w:rPr>
                <w:color w:val="000000"/>
                <w:sz w:val="20"/>
                <w:highlight w:val="yellow"/>
                <w:lang w:eastAsia="lv-LV"/>
              </w:rPr>
            </w:pPr>
            <w:r w:rsidRPr="000B3007">
              <w:rPr>
                <w:color w:val="000000"/>
                <w:sz w:val="20"/>
              </w:rPr>
              <w:t>Uzkrājuma</w:t>
            </w:r>
          </w:p>
        </w:tc>
        <w:tc>
          <w:tcPr>
            <w:tcW w:w="1481" w:type="dxa"/>
            <w:shd w:val="clear" w:color="auto" w:fill="auto"/>
            <w:vAlign w:val="center"/>
            <w:hideMark/>
          </w:tcPr>
          <w:p w14:paraId="1E74875A" w14:textId="77777777" w:rsidR="006068F2" w:rsidRPr="000B3007" w:rsidRDefault="006068F2" w:rsidP="006068F2">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auto"/>
            <w:noWrap/>
            <w:vAlign w:val="bottom"/>
            <w:hideMark/>
          </w:tcPr>
          <w:p w14:paraId="77794043" w14:textId="77777777" w:rsidR="006068F2" w:rsidRPr="000B3007" w:rsidRDefault="006068F2" w:rsidP="006068F2">
            <w:pPr>
              <w:spacing w:after="0"/>
              <w:ind w:firstLine="0"/>
              <w:jc w:val="center"/>
              <w:rPr>
                <w:b/>
                <w:bCs/>
                <w:color w:val="000000"/>
                <w:sz w:val="20"/>
                <w:lang w:eastAsia="lv-LV"/>
              </w:rPr>
            </w:pPr>
            <w:r w:rsidRPr="000B3007">
              <w:rPr>
                <w:b/>
                <w:bCs/>
                <w:color w:val="000000"/>
                <w:sz w:val="20"/>
                <w:lang w:eastAsia="lv-LV"/>
              </w:rPr>
              <w:t> </w:t>
            </w:r>
          </w:p>
        </w:tc>
        <w:tc>
          <w:tcPr>
            <w:tcW w:w="932" w:type="dxa"/>
            <w:shd w:val="clear" w:color="auto" w:fill="auto"/>
            <w:vAlign w:val="center"/>
            <w:hideMark/>
          </w:tcPr>
          <w:p w14:paraId="01A34FDE" w14:textId="57B76B85" w:rsidR="006068F2" w:rsidRPr="000B3007" w:rsidRDefault="006068F2" w:rsidP="006068F2">
            <w:pPr>
              <w:spacing w:after="0"/>
              <w:ind w:firstLine="0"/>
              <w:jc w:val="center"/>
              <w:rPr>
                <w:color w:val="000000"/>
                <w:sz w:val="20"/>
                <w:highlight w:val="yellow"/>
                <w:lang w:eastAsia="lv-LV"/>
              </w:rPr>
            </w:pPr>
            <w:r>
              <w:rPr>
                <w:color w:val="000000"/>
                <w:sz w:val="22"/>
                <w:szCs w:val="22"/>
              </w:rPr>
              <w:t>0,03</w:t>
            </w:r>
          </w:p>
        </w:tc>
        <w:tc>
          <w:tcPr>
            <w:tcW w:w="932" w:type="dxa"/>
            <w:shd w:val="clear" w:color="auto" w:fill="auto"/>
            <w:vAlign w:val="center"/>
            <w:hideMark/>
          </w:tcPr>
          <w:p w14:paraId="713B9F22" w14:textId="70DBA4A4" w:rsidR="006068F2" w:rsidRPr="000B3007" w:rsidRDefault="006068F2" w:rsidP="006068F2">
            <w:pPr>
              <w:spacing w:after="0"/>
              <w:ind w:firstLine="0"/>
              <w:jc w:val="center"/>
              <w:rPr>
                <w:color w:val="000000"/>
                <w:sz w:val="20"/>
                <w:highlight w:val="yellow"/>
                <w:lang w:eastAsia="lv-LV"/>
              </w:rPr>
            </w:pPr>
            <w:r>
              <w:rPr>
                <w:color w:val="000000"/>
                <w:sz w:val="22"/>
                <w:szCs w:val="22"/>
              </w:rPr>
              <w:t>-0,03</w:t>
            </w:r>
          </w:p>
        </w:tc>
        <w:tc>
          <w:tcPr>
            <w:tcW w:w="932" w:type="dxa"/>
            <w:shd w:val="clear" w:color="auto" w:fill="auto"/>
            <w:vAlign w:val="center"/>
            <w:hideMark/>
          </w:tcPr>
          <w:p w14:paraId="1754D0FE" w14:textId="2B30E095" w:rsidR="006068F2" w:rsidRPr="000B3007" w:rsidRDefault="006068F2" w:rsidP="006068F2">
            <w:pPr>
              <w:spacing w:after="0"/>
              <w:ind w:firstLine="0"/>
              <w:jc w:val="center"/>
              <w:rPr>
                <w:color w:val="000000"/>
                <w:sz w:val="20"/>
                <w:highlight w:val="yellow"/>
                <w:lang w:eastAsia="lv-LV"/>
              </w:rPr>
            </w:pPr>
            <w:r>
              <w:rPr>
                <w:color w:val="000000"/>
                <w:sz w:val="22"/>
                <w:szCs w:val="22"/>
              </w:rPr>
              <w:t>0,00</w:t>
            </w:r>
          </w:p>
        </w:tc>
      </w:tr>
      <w:tr w:rsidR="006068F2" w:rsidRPr="000B3007" w14:paraId="2B211968" w14:textId="77777777" w:rsidTr="00073140">
        <w:trPr>
          <w:trHeight w:val="227"/>
        </w:trPr>
        <w:tc>
          <w:tcPr>
            <w:tcW w:w="2835" w:type="dxa"/>
            <w:vAlign w:val="center"/>
          </w:tcPr>
          <w:p w14:paraId="27711EDE" w14:textId="77777777" w:rsidR="006068F2" w:rsidRPr="000B3007" w:rsidRDefault="006068F2" w:rsidP="006068F2">
            <w:pPr>
              <w:spacing w:after="0"/>
              <w:ind w:firstLine="0"/>
              <w:rPr>
                <w:color w:val="000000"/>
                <w:sz w:val="20"/>
                <w:highlight w:val="yellow"/>
                <w:lang w:eastAsia="lv-LV"/>
              </w:rPr>
            </w:pPr>
            <w:r w:rsidRPr="000B3007">
              <w:rPr>
                <w:color w:val="000000"/>
                <w:sz w:val="20"/>
                <w:lang w:eastAsia="lv-LV"/>
              </w:rPr>
              <w:t>Azartspēļu nodokļa likmes palielināšana un sadalījuma pa budžetiem izmaiņas</w:t>
            </w:r>
          </w:p>
        </w:tc>
        <w:tc>
          <w:tcPr>
            <w:tcW w:w="3402" w:type="dxa"/>
            <w:vAlign w:val="center"/>
          </w:tcPr>
          <w:p w14:paraId="39B9FBF2" w14:textId="03B4DB94" w:rsidR="006068F2" w:rsidRPr="000B3007" w:rsidRDefault="006068F2" w:rsidP="006068F2">
            <w:pPr>
              <w:spacing w:after="0"/>
              <w:ind w:firstLine="0"/>
              <w:rPr>
                <w:color w:val="000000"/>
                <w:sz w:val="20"/>
                <w:highlight w:val="yellow"/>
                <w:lang w:eastAsia="lv-LV"/>
              </w:rPr>
            </w:pPr>
            <w:r w:rsidRPr="000B3007">
              <w:rPr>
                <w:color w:val="000000"/>
                <w:sz w:val="20"/>
                <w:lang w:eastAsia="lv-LV"/>
              </w:rPr>
              <w:t xml:space="preserve">Azartspēļu nodokļa likmes palielināšana automātiem uz 5 172 </w:t>
            </w:r>
            <w:r w:rsidRPr="000B3007">
              <w:rPr>
                <w:i/>
                <w:iCs/>
                <w:color w:val="000000"/>
                <w:sz w:val="20"/>
                <w:lang w:eastAsia="lv-LV"/>
              </w:rPr>
              <w:t>euro</w:t>
            </w:r>
            <w:r w:rsidRPr="000B3007">
              <w:rPr>
                <w:color w:val="000000"/>
                <w:sz w:val="20"/>
                <w:lang w:eastAsia="lv-LV"/>
              </w:rPr>
              <w:t xml:space="preserve">/gadā un spēļu galdiem līdz 28 080 </w:t>
            </w:r>
            <w:r w:rsidRPr="000B3007">
              <w:rPr>
                <w:i/>
                <w:iCs/>
                <w:color w:val="000000"/>
                <w:sz w:val="20"/>
                <w:lang w:eastAsia="lv-LV"/>
              </w:rPr>
              <w:t>euro</w:t>
            </w:r>
            <w:r w:rsidRPr="000B3007">
              <w:rPr>
                <w:color w:val="000000"/>
                <w:sz w:val="20"/>
                <w:lang w:eastAsia="lv-LV"/>
              </w:rPr>
              <w:t>/gadā un sadalījuma pa budžetiem izmaiņas (90% valsts budžetā un 10% pašvaldību budžetā)</w:t>
            </w:r>
          </w:p>
        </w:tc>
        <w:tc>
          <w:tcPr>
            <w:tcW w:w="1298" w:type="dxa"/>
            <w:shd w:val="clear" w:color="auto" w:fill="auto"/>
            <w:vAlign w:val="center"/>
          </w:tcPr>
          <w:p w14:paraId="2F034FD4" w14:textId="77777777" w:rsidR="006068F2" w:rsidRPr="000B3007" w:rsidRDefault="006068F2" w:rsidP="006068F2">
            <w:pPr>
              <w:spacing w:after="0"/>
              <w:ind w:firstLine="0"/>
              <w:jc w:val="center"/>
              <w:rPr>
                <w:color w:val="000000"/>
                <w:sz w:val="20"/>
              </w:rPr>
            </w:pPr>
            <w:r w:rsidRPr="000B3007">
              <w:rPr>
                <w:color w:val="000000"/>
                <w:sz w:val="20"/>
                <w:lang w:eastAsia="lv-LV"/>
              </w:rPr>
              <w:t>Azartspēļu nodoklis</w:t>
            </w:r>
          </w:p>
        </w:tc>
        <w:tc>
          <w:tcPr>
            <w:tcW w:w="791" w:type="dxa"/>
            <w:shd w:val="clear" w:color="auto" w:fill="auto"/>
            <w:vAlign w:val="center"/>
          </w:tcPr>
          <w:p w14:paraId="2D1A347C" w14:textId="77777777" w:rsidR="006068F2" w:rsidRPr="000B3007" w:rsidRDefault="006068F2" w:rsidP="006068F2">
            <w:pPr>
              <w:spacing w:after="0"/>
              <w:ind w:firstLine="0"/>
              <w:jc w:val="center"/>
              <w:rPr>
                <w:color w:val="000000"/>
                <w:sz w:val="20"/>
              </w:rPr>
            </w:pPr>
            <w:r w:rsidRPr="000B3007">
              <w:rPr>
                <w:color w:val="000000"/>
                <w:sz w:val="20"/>
                <w:lang w:eastAsia="lv-LV"/>
              </w:rPr>
              <w:t>D.21</w:t>
            </w:r>
          </w:p>
        </w:tc>
        <w:tc>
          <w:tcPr>
            <w:tcW w:w="1255" w:type="dxa"/>
            <w:shd w:val="clear" w:color="auto" w:fill="auto"/>
            <w:vAlign w:val="center"/>
          </w:tcPr>
          <w:p w14:paraId="615C42ED" w14:textId="77777777" w:rsidR="006068F2" w:rsidRPr="000B3007" w:rsidRDefault="006068F2" w:rsidP="006068F2">
            <w:pPr>
              <w:spacing w:after="0"/>
              <w:ind w:firstLine="0"/>
              <w:jc w:val="center"/>
              <w:rPr>
                <w:color w:val="000000"/>
                <w:sz w:val="20"/>
              </w:rPr>
            </w:pPr>
            <w:r w:rsidRPr="000B3007">
              <w:rPr>
                <w:color w:val="000000"/>
                <w:sz w:val="20"/>
                <w:lang w:eastAsia="lv-LV"/>
              </w:rPr>
              <w:t>Uzkrājuma</w:t>
            </w:r>
          </w:p>
        </w:tc>
        <w:tc>
          <w:tcPr>
            <w:tcW w:w="1481" w:type="dxa"/>
            <w:shd w:val="clear" w:color="auto" w:fill="auto"/>
            <w:vAlign w:val="center"/>
          </w:tcPr>
          <w:p w14:paraId="2B805BAF" w14:textId="77777777" w:rsidR="006068F2" w:rsidRPr="000B3007" w:rsidRDefault="006068F2" w:rsidP="006068F2">
            <w:pPr>
              <w:spacing w:after="0"/>
              <w:ind w:firstLine="0"/>
              <w:jc w:val="center"/>
              <w:rPr>
                <w:color w:val="000000"/>
                <w:sz w:val="20"/>
              </w:rPr>
            </w:pPr>
            <w:r w:rsidRPr="000B3007">
              <w:rPr>
                <w:color w:val="000000"/>
                <w:sz w:val="20"/>
                <w:lang w:eastAsia="lv-LV"/>
              </w:rPr>
              <w:t>Daļēji pieņemts</w:t>
            </w:r>
          </w:p>
        </w:tc>
        <w:tc>
          <w:tcPr>
            <w:tcW w:w="730" w:type="dxa"/>
            <w:shd w:val="clear" w:color="auto" w:fill="auto"/>
            <w:noWrap/>
            <w:vAlign w:val="center"/>
          </w:tcPr>
          <w:p w14:paraId="764A1D64" w14:textId="77777777" w:rsidR="006068F2" w:rsidRPr="000B3007" w:rsidRDefault="006068F2" w:rsidP="006068F2">
            <w:pPr>
              <w:spacing w:after="0"/>
              <w:ind w:firstLine="0"/>
              <w:jc w:val="center"/>
              <w:rPr>
                <w:b/>
                <w:bCs/>
                <w:color w:val="000000"/>
                <w:sz w:val="20"/>
                <w:highlight w:val="yellow"/>
                <w:lang w:eastAsia="lv-LV"/>
              </w:rPr>
            </w:pPr>
          </w:p>
        </w:tc>
        <w:tc>
          <w:tcPr>
            <w:tcW w:w="932" w:type="dxa"/>
            <w:shd w:val="clear" w:color="auto" w:fill="auto"/>
            <w:vAlign w:val="center"/>
          </w:tcPr>
          <w:p w14:paraId="145676D9" w14:textId="4A9300DE" w:rsidR="006068F2" w:rsidRPr="000B3007" w:rsidRDefault="006068F2" w:rsidP="006068F2">
            <w:pPr>
              <w:spacing w:after="0"/>
              <w:ind w:firstLine="0"/>
              <w:jc w:val="center"/>
              <w:rPr>
                <w:color w:val="000000"/>
                <w:sz w:val="20"/>
              </w:rPr>
            </w:pPr>
            <w:r>
              <w:rPr>
                <w:color w:val="000000"/>
                <w:sz w:val="22"/>
                <w:szCs w:val="22"/>
              </w:rPr>
              <w:t>0,04</w:t>
            </w:r>
          </w:p>
        </w:tc>
        <w:tc>
          <w:tcPr>
            <w:tcW w:w="932" w:type="dxa"/>
            <w:shd w:val="clear" w:color="auto" w:fill="auto"/>
            <w:vAlign w:val="center"/>
          </w:tcPr>
          <w:p w14:paraId="541A1D80" w14:textId="658EEC4C" w:rsidR="006068F2" w:rsidRPr="000B3007" w:rsidRDefault="006068F2" w:rsidP="006068F2">
            <w:pPr>
              <w:spacing w:after="0"/>
              <w:ind w:firstLine="0"/>
              <w:jc w:val="center"/>
              <w:rPr>
                <w:color w:val="000000"/>
                <w:sz w:val="20"/>
              </w:rPr>
            </w:pPr>
            <w:r>
              <w:rPr>
                <w:color w:val="000000"/>
                <w:sz w:val="22"/>
                <w:szCs w:val="22"/>
              </w:rPr>
              <w:t>0,00</w:t>
            </w:r>
          </w:p>
        </w:tc>
        <w:tc>
          <w:tcPr>
            <w:tcW w:w="932" w:type="dxa"/>
            <w:shd w:val="clear" w:color="auto" w:fill="auto"/>
            <w:vAlign w:val="center"/>
          </w:tcPr>
          <w:p w14:paraId="08EA99F6" w14:textId="66CE6480" w:rsidR="006068F2" w:rsidRPr="000B3007" w:rsidRDefault="006068F2" w:rsidP="006068F2">
            <w:pPr>
              <w:spacing w:after="0"/>
              <w:ind w:firstLine="0"/>
              <w:jc w:val="center"/>
              <w:rPr>
                <w:color w:val="000000"/>
                <w:sz w:val="20"/>
              </w:rPr>
            </w:pPr>
            <w:r>
              <w:rPr>
                <w:color w:val="000000"/>
                <w:sz w:val="22"/>
                <w:szCs w:val="22"/>
              </w:rPr>
              <w:t>0,00</w:t>
            </w:r>
          </w:p>
        </w:tc>
      </w:tr>
      <w:tr w:rsidR="006068F2" w:rsidRPr="000B3007" w14:paraId="358102CB" w14:textId="77777777" w:rsidTr="00073140">
        <w:trPr>
          <w:trHeight w:val="227"/>
        </w:trPr>
        <w:tc>
          <w:tcPr>
            <w:tcW w:w="2835" w:type="dxa"/>
            <w:vMerge w:val="restart"/>
            <w:shd w:val="clear" w:color="auto" w:fill="DBE5F1" w:themeFill="accent1" w:themeFillTint="33"/>
            <w:vAlign w:val="center"/>
          </w:tcPr>
          <w:p w14:paraId="2FD8769C" w14:textId="77777777" w:rsidR="006068F2" w:rsidRPr="000B3007" w:rsidRDefault="006068F2" w:rsidP="006068F2">
            <w:pPr>
              <w:spacing w:after="0"/>
              <w:ind w:firstLine="0"/>
              <w:rPr>
                <w:color w:val="000000"/>
                <w:sz w:val="20"/>
                <w:lang w:eastAsia="lv-LV"/>
              </w:rPr>
            </w:pPr>
            <w:r w:rsidRPr="000B3007">
              <w:rPr>
                <w:color w:val="000000"/>
                <w:sz w:val="20"/>
                <w:lang w:eastAsia="lv-LV"/>
              </w:rPr>
              <w:t>Diferencētā neapliekamā minimuma paaugstināšana 2020.gadā</w:t>
            </w:r>
          </w:p>
        </w:tc>
        <w:tc>
          <w:tcPr>
            <w:tcW w:w="3402" w:type="dxa"/>
            <w:vMerge w:val="restart"/>
            <w:shd w:val="clear" w:color="auto" w:fill="DBE5F1" w:themeFill="accent1" w:themeFillTint="33"/>
            <w:vAlign w:val="center"/>
          </w:tcPr>
          <w:p w14:paraId="1E4B119F" w14:textId="77777777" w:rsidR="006068F2" w:rsidRPr="000B3007" w:rsidRDefault="006068F2" w:rsidP="006068F2">
            <w:pPr>
              <w:spacing w:after="0"/>
              <w:ind w:firstLine="0"/>
              <w:rPr>
                <w:color w:val="000000"/>
                <w:sz w:val="20"/>
                <w:lang w:eastAsia="lv-LV"/>
              </w:rPr>
            </w:pPr>
            <w:r w:rsidRPr="000B3007">
              <w:rPr>
                <w:sz w:val="20"/>
                <w:lang w:eastAsia="lv-LV"/>
              </w:rPr>
              <w:t xml:space="preserve">Diferencētā neapliekamā minimuma paaugstināšana līdz 300 </w:t>
            </w:r>
            <w:r w:rsidRPr="000B3007">
              <w:rPr>
                <w:i/>
                <w:iCs/>
                <w:sz w:val="20"/>
                <w:lang w:eastAsia="lv-LV"/>
              </w:rPr>
              <w:t>euro</w:t>
            </w:r>
            <w:r w:rsidRPr="000B3007">
              <w:rPr>
                <w:sz w:val="20"/>
                <w:lang w:eastAsia="lv-LV"/>
              </w:rPr>
              <w:t xml:space="preserve">/mēnesī un augstākās robežas, līdz kurai piemēro maksimālo gada diferencēto neapliekamo minimumu, paaugstināta līdz 500 </w:t>
            </w:r>
            <w:r w:rsidRPr="000B3007">
              <w:rPr>
                <w:i/>
                <w:iCs/>
                <w:sz w:val="20"/>
                <w:lang w:eastAsia="lv-LV"/>
              </w:rPr>
              <w:t>euro</w:t>
            </w:r>
            <w:r w:rsidRPr="000B3007">
              <w:rPr>
                <w:sz w:val="20"/>
                <w:lang w:eastAsia="lv-LV"/>
              </w:rPr>
              <w:t xml:space="preserve">/mēnesī </w:t>
            </w:r>
          </w:p>
        </w:tc>
        <w:tc>
          <w:tcPr>
            <w:tcW w:w="1298" w:type="dxa"/>
            <w:shd w:val="clear" w:color="auto" w:fill="DBE5F1" w:themeFill="accent1" w:themeFillTint="33"/>
            <w:vAlign w:val="center"/>
          </w:tcPr>
          <w:p w14:paraId="40EFB729"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IIN</w:t>
            </w:r>
          </w:p>
        </w:tc>
        <w:tc>
          <w:tcPr>
            <w:tcW w:w="791" w:type="dxa"/>
            <w:shd w:val="clear" w:color="auto" w:fill="DBE5F1" w:themeFill="accent1" w:themeFillTint="33"/>
            <w:vAlign w:val="center"/>
          </w:tcPr>
          <w:p w14:paraId="475274CA"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D.5</w:t>
            </w:r>
          </w:p>
        </w:tc>
        <w:tc>
          <w:tcPr>
            <w:tcW w:w="1255" w:type="dxa"/>
            <w:shd w:val="clear" w:color="auto" w:fill="DBE5F1" w:themeFill="accent1" w:themeFillTint="33"/>
            <w:vAlign w:val="center"/>
          </w:tcPr>
          <w:p w14:paraId="41573B81"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DBE5F1" w:themeFill="accent1" w:themeFillTint="33"/>
            <w:vAlign w:val="center"/>
          </w:tcPr>
          <w:p w14:paraId="4A92A0B3"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DBE5F1" w:themeFill="accent1" w:themeFillTint="33"/>
            <w:noWrap/>
            <w:vAlign w:val="center"/>
          </w:tcPr>
          <w:p w14:paraId="762BCEE3" w14:textId="77777777" w:rsidR="006068F2" w:rsidRPr="000B3007" w:rsidRDefault="006068F2" w:rsidP="006068F2">
            <w:pPr>
              <w:spacing w:after="0"/>
              <w:ind w:firstLine="0"/>
              <w:jc w:val="center"/>
              <w:rPr>
                <w:color w:val="000000"/>
                <w:sz w:val="20"/>
                <w:lang w:eastAsia="lv-LV"/>
              </w:rPr>
            </w:pPr>
          </w:p>
        </w:tc>
        <w:tc>
          <w:tcPr>
            <w:tcW w:w="932" w:type="dxa"/>
            <w:shd w:val="clear" w:color="auto" w:fill="DBE5F1" w:themeFill="accent1" w:themeFillTint="33"/>
            <w:vAlign w:val="center"/>
          </w:tcPr>
          <w:p w14:paraId="09ACCED5" w14:textId="6DDE03F8" w:rsidR="006068F2" w:rsidRPr="000B3007" w:rsidRDefault="006068F2" w:rsidP="006068F2">
            <w:pPr>
              <w:spacing w:after="0"/>
              <w:ind w:firstLine="0"/>
              <w:jc w:val="center"/>
              <w:rPr>
                <w:color w:val="000000"/>
                <w:sz w:val="20"/>
                <w:lang w:eastAsia="lv-LV"/>
              </w:rPr>
            </w:pPr>
            <w:r>
              <w:rPr>
                <w:color w:val="000000"/>
                <w:sz w:val="22"/>
                <w:szCs w:val="22"/>
              </w:rPr>
              <w:t>-0,02</w:t>
            </w:r>
          </w:p>
        </w:tc>
        <w:tc>
          <w:tcPr>
            <w:tcW w:w="932" w:type="dxa"/>
            <w:shd w:val="clear" w:color="auto" w:fill="DBE5F1" w:themeFill="accent1" w:themeFillTint="33"/>
            <w:vAlign w:val="center"/>
          </w:tcPr>
          <w:p w14:paraId="4587784D" w14:textId="552388CE"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DBE5F1" w:themeFill="accent1" w:themeFillTint="33"/>
            <w:vAlign w:val="center"/>
          </w:tcPr>
          <w:p w14:paraId="791F0147" w14:textId="034A62A9" w:rsidR="006068F2" w:rsidRPr="000B3007" w:rsidRDefault="006068F2" w:rsidP="006068F2">
            <w:pPr>
              <w:spacing w:after="0"/>
              <w:ind w:firstLine="0"/>
              <w:jc w:val="center"/>
              <w:rPr>
                <w:color w:val="000000"/>
                <w:sz w:val="20"/>
              </w:rPr>
            </w:pPr>
            <w:r>
              <w:rPr>
                <w:color w:val="000000"/>
                <w:sz w:val="22"/>
                <w:szCs w:val="22"/>
              </w:rPr>
              <w:t>0,00</w:t>
            </w:r>
          </w:p>
        </w:tc>
      </w:tr>
      <w:tr w:rsidR="006068F2" w:rsidRPr="000B3007" w14:paraId="6569EDFA" w14:textId="77777777" w:rsidTr="00073140">
        <w:trPr>
          <w:trHeight w:val="227"/>
        </w:trPr>
        <w:tc>
          <w:tcPr>
            <w:tcW w:w="2835" w:type="dxa"/>
            <w:vMerge/>
            <w:shd w:val="clear" w:color="auto" w:fill="DBE5F1" w:themeFill="accent1" w:themeFillTint="33"/>
            <w:vAlign w:val="center"/>
          </w:tcPr>
          <w:p w14:paraId="31550548" w14:textId="77777777" w:rsidR="006068F2" w:rsidRPr="000B3007" w:rsidRDefault="006068F2" w:rsidP="006068F2">
            <w:pPr>
              <w:spacing w:after="0"/>
              <w:ind w:firstLine="0"/>
              <w:rPr>
                <w:color w:val="000000"/>
                <w:sz w:val="20"/>
                <w:lang w:eastAsia="lv-LV"/>
              </w:rPr>
            </w:pPr>
          </w:p>
        </w:tc>
        <w:tc>
          <w:tcPr>
            <w:tcW w:w="3402" w:type="dxa"/>
            <w:vMerge/>
            <w:shd w:val="clear" w:color="auto" w:fill="DBE5F1" w:themeFill="accent1" w:themeFillTint="33"/>
            <w:vAlign w:val="center"/>
          </w:tcPr>
          <w:p w14:paraId="25B86556" w14:textId="77777777" w:rsidR="006068F2" w:rsidRPr="000B3007" w:rsidRDefault="006068F2" w:rsidP="006068F2">
            <w:pPr>
              <w:spacing w:after="0"/>
              <w:ind w:firstLine="0"/>
              <w:rPr>
                <w:color w:val="000000"/>
                <w:sz w:val="20"/>
                <w:lang w:eastAsia="lv-LV"/>
              </w:rPr>
            </w:pPr>
          </w:p>
        </w:tc>
        <w:tc>
          <w:tcPr>
            <w:tcW w:w="1298" w:type="dxa"/>
            <w:shd w:val="clear" w:color="auto" w:fill="auto"/>
            <w:vAlign w:val="center"/>
          </w:tcPr>
          <w:p w14:paraId="2E146757"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PVN</w:t>
            </w:r>
          </w:p>
        </w:tc>
        <w:tc>
          <w:tcPr>
            <w:tcW w:w="791" w:type="dxa"/>
            <w:shd w:val="clear" w:color="auto" w:fill="auto"/>
            <w:vAlign w:val="center"/>
          </w:tcPr>
          <w:p w14:paraId="5FCD38F0"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D.2</w:t>
            </w:r>
          </w:p>
        </w:tc>
        <w:tc>
          <w:tcPr>
            <w:tcW w:w="1255" w:type="dxa"/>
            <w:shd w:val="clear" w:color="auto" w:fill="auto"/>
            <w:vAlign w:val="center"/>
          </w:tcPr>
          <w:p w14:paraId="5F0E4233"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auto"/>
            <w:vAlign w:val="center"/>
          </w:tcPr>
          <w:p w14:paraId="410E97C3"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auto"/>
            <w:noWrap/>
            <w:vAlign w:val="center"/>
          </w:tcPr>
          <w:p w14:paraId="67E0E9A1" w14:textId="77777777" w:rsidR="006068F2" w:rsidRPr="000B3007" w:rsidRDefault="006068F2" w:rsidP="006068F2">
            <w:pPr>
              <w:spacing w:after="0"/>
              <w:ind w:firstLine="0"/>
              <w:jc w:val="center"/>
              <w:rPr>
                <w:color w:val="000000"/>
                <w:sz w:val="20"/>
                <w:lang w:eastAsia="lv-LV"/>
              </w:rPr>
            </w:pPr>
          </w:p>
        </w:tc>
        <w:tc>
          <w:tcPr>
            <w:tcW w:w="932" w:type="dxa"/>
            <w:shd w:val="clear" w:color="auto" w:fill="auto"/>
            <w:vAlign w:val="center"/>
          </w:tcPr>
          <w:p w14:paraId="3A6FC4DE" w14:textId="3D16007E" w:rsidR="006068F2" w:rsidRPr="000B3007" w:rsidRDefault="006068F2" w:rsidP="006068F2">
            <w:pPr>
              <w:spacing w:after="0"/>
              <w:ind w:firstLine="0"/>
              <w:jc w:val="center"/>
              <w:rPr>
                <w:color w:val="000000"/>
                <w:sz w:val="20"/>
                <w:lang w:eastAsia="lv-LV"/>
              </w:rPr>
            </w:pPr>
            <w:r>
              <w:rPr>
                <w:color w:val="000000"/>
                <w:sz w:val="22"/>
                <w:szCs w:val="22"/>
              </w:rPr>
              <w:t>0,01</w:t>
            </w:r>
          </w:p>
        </w:tc>
        <w:tc>
          <w:tcPr>
            <w:tcW w:w="932" w:type="dxa"/>
            <w:shd w:val="clear" w:color="auto" w:fill="auto"/>
            <w:vAlign w:val="center"/>
          </w:tcPr>
          <w:p w14:paraId="6CE04A65" w14:textId="60AD5C74"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auto"/>
            <w:vAlign w:val="center"/>
          </w:tcPr>
          <w:p w14:paraId="7392E50C" w14:textId="7EAACF4E" w:rsidR="006068F2" w:rsidRPr="000B3007" w:rsidRDefault="006068F2" w:rsidP="006068F2">
            <w:pPr>
              <w:spacing w:after="0"/>
              <w:ind w:firstLine="0"/>
              <w:jc w:val="center"/>
              <w:rPr>
                <w:color w:val="000000"/>
                <w:sz w:val="20"/>
              </w:rPr>
            </w:pPr>
            <w:r>
              <w:rPr>
                <w:color w:val="000000"/>
                <w:sz w:val="22"/>
                <w:szCs w:val="22"/>
              </w:rPr>
              <w:t>0,00</w:t>
            </w:r>
          </w:p>
        </w:tc>
      </w:tr>
      <w:tr w:rsidR="006068F2" w:rsidRPr="000B3007" w14:paraId="4A5EC061" w14:textId="77777777" w:rsidTr="00073140">
        <w:trPr>
          <w:trHeight w:val="227"/>
        </w:trPr>
        <w:tc>
          <w:tcPr>
            <w:tcW w:w="2835" w:type="dxa"/>
            <w:vMerge w:val="restart"/>
            <w:vAlign w:val="center"/>
          </w:tcPr>
          <w:p w14:paraId="2BDB69F6" w14:textId="77777777" w:rsidR="006068F2" w:rsidRPr="000B3007" w:rsidRDefault="006068F2" w:rsidP="006068F2">
            <w:pPr>
              <w:spacing w:after="0"/>
              <w:ind w:firstLine="0"/>
              <w:rPr>
                <w:color w:val="000000"/>
                <w:sz w:val="20"/>
                <w:lang w:eastAsia="lv-LV"/>
              </w:rPr>
            </w:pPr>
            <w:r w:rsidRPr="000B3007">
              <w:rPr>
                <w:color w:val="000000"/>
                <w:sz w:val="20"/>
                <w:lang w:eastAsia="lv-LV"/>
              </w:rPr>
              <w:t xml:space="preserve">Ar 2021.gadu minimālās mēneša darba algas paaugstināšana no 430 </w:t>
            </w:r>
            <w:r w:rsidRPr="000B3007">
              <w:rPr>
                <w:i/>
                <w:iCs/>
                <w:color w:val="000000"/>
                <w:sz w:val="20"/>
                <w:lang w:eastAsia="lv-LV"/>
              </w:rPr>
              <w:t>euro</w:t>
            </w:r>
            <w:r w:rsidRPr="000B3007">
              <w:rPr>
                <w:color w:val="000000"/>
                <w:sz w:val="20"/>
                <w:lang w:eastAsia="lv-LV"/>
              </w:rPr>
              <w:t xml:space="preserve">/mēnesī līdz 500 </w:t>
            </w:r>
            <w:r w:rsidRPr="000B3007">
              <w:rPr>
                <w:i/>
                <w:iCs/>
                <w:color w:val="000000"/>
                <w:sz w:val="20"/>
                <w:lang w:eastAsia="lv-LV"/>
              </w:rPr>
              <w:t>euro</w:t>
            </w:r>
            <w:r w:rsidRPr="000B3007">
              <w:rPr>
                <w:color w:val="000000"/>
                <w:sz w:val="20"/>
                <w:lang w:eastAsia="lv-LV"/>
              </w:rPr>
              <w:t>/mēnesī</w:t>
            </w:r>
          </w:p>
        </w:tc>
        <w:tc>
          <w:tcPr>
            <w:tcW w:w="3402" w:type="dxa"/>
            <w:vMerge w:val="restart"/>
            <w:vAlign w:val="center"/>
          </w:tcPr>
          <w:p w14:paraId="1B7CC98D" w14:textId="77777777" w:rsidR="006068F2" w:rsidRPr="000B3007" w:rsidRDefault="006068F2" w:rsidP="006068F2">
            <w:pPr>
              <w:spacing w:after="0"/>
              <w:ind w:firstLine="0"/>
              <w:rPr>
                <w:color w:val="000000"/>
                <w:sz w:val="20"/>
                <w:lang w:eastAsia="lv-LV"/>
              </w:rPr>
            </w:pPr>
            <w:r w:rsidRPr="000B3007">
              <w:rPr>
                <w:color w:val="000000"/>
                <w:sz w:val="20"/>
                <w:lang w:eastAsia="lv-LV"/>
              </w:rPr>
              <w:t xml:space="preserve">Ar 2021.gadu minimālās mēneša darba algas paaugstināšana no 430 </w:t>
            </w:r>
            <w:r w:rsidRPr="000B3007">
              <w:rPr>
                <w:i/>
                <w:iCs/>
                <w:color w:val="000000"/>
                <w:sz w:val="20"/>
                <w:lang w:eastAsia="lv-LV"/>
              </w:rPr>
              <w:t>euro</w:t>
            </w:r>
            <w:r w:rsidRPr="000B3007">
              <w:rPr>
                <w:color w:val="000000"/>
                <w:sz w:val="20"/>
                <w:lang w:eastAsia="lv-LV"/>
              </w:rPr>
              <w:t xml:space="preserve">/mēnesī līdz 500 </w:t>
            </w:r>
            <w:r w:rsidRPr="000B3007">
              <w:rPr>
                <w:i/>
                <w:iCs/>
                <w:color w:val="000000"/>
                <w:sz w:val="20"/>
                <w:lang w:eastAsia="lv-LV"/>
              </w:rPr>
              <w:t>euro</w:t>
            </w:r>
            <w:r w:rsidRPr="000B3007">
              <w:rPr>
                <w:color w:val="000000"/>
                <w:sz w:val="20"/>
                <w:lang w:eastAsia="lv-LV"/>
              </w:rPr>
              <w:t>/mēnesī</w:t>
            </w:r>
          </w:p>
        </w:tc>
        <w:tc>
          <w:tcPr>
            <w:tcW w:w="1298" w:type="dxa"/>
            <w:shd w:val="clear" w:color="auto" w:fill="DBE5F1" w:themeFill="accent1" w:themeFillTint="33"/>
            <w:vAlign w:val="center"/>
          </w:tcPr>
          <w:p w14:paraId="1D4CEF21"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PVN</w:t>
            </w:r>
          </w:p>
        </w:tc>
        <w:tc>
          <w:tcPr>
            <w:tcW w:w="791" w:type="dxa"/>
            <w:shd w:val="clear" w:color="auto" w:fill="DBE5F1" w:themeFill="accent1" w:themeFillTint="33"/>
            <w:vAlign w:val="center"/>
          </w:tcPr>
          <w:p w14:paraId="2B7E94B7"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D.2</w:t>
            </w:r>
          </w:p>
        </w:tc>
        <w:tc>
          <w:tcPr>
            <w:tcW w:w="1255" w:type="dxa"/>
            <w:shd w:val="clear" w:color="auto" w:fill="DBE5F1" w:themeFill="accent1" w:themeFillTint="33"/>
            <w:vAlign w:val="center"/>
          </w:tcPr>
          <w:p w14:paraId="321BEE26"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DBE5F1" w:themeFill="accent1" w:themeFillTint="33"/>
            <w:vAlign w:val="center"/>
          </w:tcPr>
          <w:p w14:paraId="748BEE16"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DBE5F1" w:themeFill="accent1" w:themeFillTint="33"/>
            <w:noWrap/>
            <w:vAlign w:val="center"/>
          </w:tcPr>
          <w:p w14:paraId="3739AA5E" w14:textId="77777777" w:rsidR="006068F2" w:rsidRPr="000B3007" w:rsidRDefault="006068F2" w:rsidP="006068F2">
            <w:pPr>
              <w:spacing w:after="0"/>
              <w:ind w:firstLine="0"/>
              <w:jc w:val="center"/>
              <w:rPr>
                <w:color w:val="000000"/>
                <w:sz w:val="20"/>
                <w:lang w:eastAsia="lv-LV"/>
              </w:rPr>
            </w:pPr>
          </w:p>
        </w:tc>
        <w:tc>
          <w:tcPr>
            <w:tcW w:w="932" w:type="dxa"/>
            <w:shd w:val="clear" w:color="auto" w:fill="DBE5F1" w:themeFill="accent1" w:themeFillTint="33"/>
            <w:vAlign w:val="center"/>
          </w:tcPr>
          <w:p w14:paraId="3A49B30A" w14:textId="1B238E29"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DBE5F1" w:themeFill="accent1" w:themeFillTint="33"/>
            <w:vAlign w:val="center"/>
          </w:tcPr>
          <w:p w14:paraId="386646C6" w14:textId="40AF628F" w:rsidR="006068F2" w:rsidRPr="000B3007" w:rsidRDefault="006068F2" w:rsidP="006068F2">
            <w:pPr>
              <w:spacing w:after="0"/>
              <w:ind w:firstLine="0"/>
              <w:jc w:val="center"/>
              <w:rPr>
                <w:color w:val="000000"/>
                <w:sz w:val="20"/>
                <w:lang w:eastAsia="lv-LV"/>
              </w:rPr>
            </w:pPr>
            <w:r>
              <w:rPr>
                <w:color w:val="000000"/>
                <w:sz w:val="22"/>
                <w:szCs w:val="22"/>
              </w:rPr>
              <w:t>0,01</w:t>
            </w:r>
          </w:p>
        </w:tc>
        <w:tc>
          <w:tcPr>
            <w:tcW w:w="932" w:type="dxa"/>
            <w:shd w:val="clear" w:color="auto" w:fill="DBE5F1" w:themeFill="accent1" w:themeFillTint="33"/>
            <w:vAlign w:val="center"/>
          </w:tcPr>
          <w:p w14:paraId="46B5DFFD" w14:textId="708D102C" w:rsidR="006068F2" w:rsidRPr="000B3007" w:rsidRDefault="006068F2" w:rsidP="006068F2">
            <w:pPr>
              <w:spacing w:after="0"/>
              <w:ind w:firstLine="0"/>
              <w:jc w:val="center"/>
              <w:rPr>
                <w:color w:val="000000"/>
                <w:sz w:val="20"/>
              </w:rPr>
            </w:pPr>
            <w:r>
              <w:rPr>
                <w:color w:val="000000"/>
                <w:sz w:val="22"/>
                <w:szCs w:val="22"/>
              </w:rPr>
              <w:t>0,00</w:t>
            </w:r>
          </w:p>
        </w:tc>
      </w:tr>
      <w:tr w:rsidR="006068F2" w:rsidRPr="000B3007" w14:paraId="7FD6D009" w14:textId="77777777" w:rsidTr="00073140">
        <w:trPr>
          <w:trHeight w:val="227"/>
        </w:trPr>
        <w:tc>
          <w:tcPr>
            <w:tcW w:w="2835" w:type="dxa"/>
            <w:vMerge/>
            <w:vAlign w:val="center"/>
          </w:tcPr>
          <w:p w14:paraId="3007306A" w14:textId="77777777" w:rsidR="006068F2" w:rsidRPr="000B3007" w:rsidRDefault="006068F2" w:rsidP="006068F2">
            <w:pPr>
              <w:spacing w:after="0"/>
              <w:ind w:firstLine="0"/>
              <w:rPr>
                <w:color w:val="000000"/>
                <w:sz w:val="20"/>
                <w:lang w:eastAsia="lv-LV"/>
              </w:rPr>
            </w:pPr>
          </w:p>
        </w:tc>
        <w:tc>
          <w:tcPr>
            <w:tcW w:w="3402" w:type="dxa"/>
            <w:vMerge/>
            <w:vAlign w:val="center"/>
          </w:tcPr>
          <w:p w14:paraId="1ED930EB" w14:textId="77777777" w:rsidR="006068F2" w:rsidRPr="000B3007" w:rsidRDefault="006068F2" w:rsidP="006068F2">
            <w:pPr>
              <w:spacing w:after="0"/>
              <w:ind w:firstLine="0"/>
              <w:rPr>
                <w:color w:val="000000"/>
                <w:sz w:val="20"/>
                <w:lang w:eastAsia="lv-LV"/>
              </w:rPr>
            </w:pPr>
          </w:p>
        </w:tc>
        <w:tc>
          <w:tcPr>
            <w:tcW w:w="1298" w:type="dxa"/>
            <w:shd w:val="clear" w:color="auto" w:fill="auto"/>
            <w:vAlign w:val="center"/>
          </w:tcPr>
          <w:p w14:paraId="0D367C1E"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IIN</w:t>
            </w:r>
          </w:p>
        </w:tc>
        <w:tc>
          <w:tcPr>
            <w:tcW w:w="791" w:type="dxa"/>
            <w:shd w:val="clear" w:color="auto" w:fill="auto"/>
            <w:vAlign w:val="center"/>
          </w:tcPr>
          <w:p w14:paraId="7E444F14"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D.5</w:t>
            </w:r>
          </w:p>
        </w:tc>
        <w:tc>
          <w:tcPr>
            <w:tcW w:w="1255" w:type="dxa"/>
            <w:shd w:val="clear" w:color="auto" w:fill="auto"/>
            <w:vAlign w:val="center"/>
          </w:tcPr>
          <w:p w14:paraId="1D9ABDB6"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auto"/>
            <w:vAlign w:val="center"/>
          </w:tcPr>
          <w:p w14:paraId="546CA3F1"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auto"/>
            <w:noWrap/>
            <w:vAlign w:val="center"/>
          </w:tcPr>
          <w:p w14:paraId="66DA3090" w14:textId="77777777" w:rsidR="006068F2" w:rsidRPr="000B3007" w:rsidRDefault="006068F2" w:rsidP="006068F2">
            <w:pPr>
              <w:spacing w:after="0"/>
              <w:ind w:firstLine="0"/>
              <w:jc w:val="center"/>
              <w:rPr>
                <w:color w:val="000000"/>
                <w:sz w:val="20"/>
                <w:lang w:eastAsia="lv-LV"/>
              </w:rPr>
            </w:pPr>
          </w:p>
        </w:tc>
        <w:tc>
          <w:tcPr>
            <w:tcW w:w="932" w:type="dxa"/>
            <w:shd w:val="clear" w:color="auto" w:fill="auto"/>
            <w:vAlign w:val="center"/>
          </w:tcPr>
          <w:p w14:paraId="5B85E040" w14:textId="4BFADAB4"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auto"/>
            <w:vAlign w:val="center"/>
          </w:tcPr>
          <w:p w14:paraId="39F8CC38" w14:textId="632275F7" w:rsidR="006068F2" w:rsidRPr="000B3007" w:rsidRDefault="006068F2" w:rsidP="006068F2">
            <w:pPr>
              <w:spacing w:after="0"/>
              <w:ind w:firstLine="0"/>
              <w:jc w:val="center"/>
              <w:rPr>
                <w:color w:val="000000"/>
                <w:sz w:val="20"/>
                <w:lang w:eastAsia="lv-LV"/>
              </w:rPr>
            </w:pPr>
            <w:r>
              <w:rPr>
                <w:color w:val="000000"/>
                <w:sz w:val="22"/>
                <w:szCs w:val="22"/>
              </w:rPr>
              <w:t>0,01</w:t>
            </w:r>
          </w:p>
        </w:tc>
        <w:tc>
          <w:tcPr>
            <w:tcW w:w="932" w:type="dxa"/>
            <w:shd w:val="clear" w:color="auto" w:fill="auto"/>
            <w:vAlign w:val="center"/>
          </w:tcPr>
          <w:p w14:paraId="18BF5970" w14:textId="77AD33FB" w:rsidR="006068F2" w:rsidRPr="000B3007" w:rsidRDefault="006068F2" w:rsidP="006068F2">
            <w:pPr>
              <w:spacing w:after="0"/>
              <w:ind w:firstLine="0"/>
              <w:jc w:val="center"/>
              <w:rPr>
                <w:color w:val="000000"/>
                <w:sz w:val="20"/>
              </w:rPr>
            </w:pPr>
            <w:r>
              <w:rPr>
                <w:color w:val="000000"/>
                <w:sz w:val="22"/>
                <w:szCs w:val="22"/>
              </w:rPr>
              <w:t>0,00</w:t>
            </w:r>
          </w:p>
        </w:tc>
      </w:tr>
      <w:tr w:rsidR="006068F2" w:rsidRPr="000B3007" w14:paraId="778A9D1D" w14:textId="77777777" w:rsidTr="00073140">
        <w:trPr>
          <w:trHeight w:val="227"/>
        </w:trPr>
        <w:tc>
          <w:tcPr>
            <w:tcW w:w="2835" w:type="dxa"/>
            <w:vMerge/>
            <w:vAlign w:val="center"/>
          </w:tcPr>
          <w:p w14:paraId="6EF7EBDE" w14:textId="77777777" w:rsidR="006068F2" w:rsidRPr="000B3007" w:rsidRDefault="006068F2" w:rsidP="006068F2">
            <w:pPr>
              <w:spacing w:after="0"/>
              <w:ind w:firstLine="0"/>
              <w:rPr>
                <w:color w:val="000000"/>
                <w:sz w:val="20"/>
                <w:lang w:eastAsia="lv-LV"/>
              </w:rPr>
            </w:pPr>
          </w:p>
        </w:tc>
        <w:tc>
          <w:tcPr>
            <w:tcW w:w="3402" w:type="dxa"/>
            <w:vMerge/>
            <w:vAlign w:val="center"/>
          </w:tcPr>
          <w:p w14:paraId="38209491" w14:textId="77777777" w:rsidR="006068F2" w:rsidRPr="000B3007" w:rsidRDefault="006068F2" w:rsidP="006068F2">
            <w:pPr>
              <w:spacing w:after="0"/>
              <w:ind w:firstLine="0"/>
              <w:rPr>
                <w:color w:val="000000"/>
                <w:sz w:val="20"/>
                <w:lang w:eastAsia="lv-LV"/>
              </w:rPr>
            </w:pPr>
          </w:p>
        </w:tc>
        <w:tc>
          <w:tcPr>
            <w:tcW w:w="1298" w:type="dxa"/>
            <w:shd w:val="clear" w:color="auto" w:fill="DBE5F1" w:themeFill="accent1" w:themeFillTint="33"/>
            <w:vAlign w:val="center"/>
          </w:tcPr>
          <w:p w14:paraId="54F04E53"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SOC</w:t>
            </w:r>
          </w:p>
        </w:tc>
        <w:tc>
          <w:tcPr>
            <w:tcW w:w="791" w:type="dxa"/>
            <w:shd w:val="clear" w:color="auto" w:fill="DBE5F1" w:themeFill="accent1" w:themeFillTint="33"/>
            <w:vAlign w:val="center"/>
          </w:tcPr>
          <w:p w14:paraId="21F9A337"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D.61</w:t>
            </w:r>
          </w:p>
        </w:tc>
        <w:tc>
          <w:tcPr>
            <w:tcW w:w="1255" w:type="dxa"/>
            <w:shd w:val="clear" w:color="auto" w:fill="DBE5F1" w:themeFill="accent1" w:themeFillTint="33"/>
            <w:vAlign w:val="center"/>
          </w:tcPr>
          <w:p w14:paraId="00F73F63"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DBE5F1" w:themeFill="accent1" w:themeFillTint="33"/>
            <w:vAlign w:val="center"/>
          </w:tcPr>
          <w:p w14:paraId="28477A9B"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DBE5F1" w:themeFill="accent1" w:themeFillTint="33"/>
            <w:noWrap/>
            <w:vAlign w:val="center"/>
          </w:tcPr>
          <w:p w14:paraId="59374448" w14:textId="77777777" w:rsidR="006068F2" w:rsidRPr="000B3007" w:rsidRDefault="006068F2" w:rsidP="006068F2">
            <w:pPr>
              <w:spacing w:after="0"/>
              <w:ind w:firstLine="0"/>
              <w:jc w:val="center"/>
              <w:rPr>
                <w:color w:val="000000"/>
                <w:sz w:val="20"/>
                <w:lang w:eastAsia="lv-LV"/>
              </w:rPr>
            </w:pPr>
          </w:p>
        </w:tc>
        <w:tc>
          <w:tcPr>
            <w:tcW w:w="932" w:type="dxa"/>
            <w:shd w:val="clear" w:color="auto" w:fill="DBE5F1" w:themeFill="accent1" w:themeFillTint="33"/>
            <w:vAlign w:val="center"/>
          </w:tcPr>
          <w:p w14:paraId="3843576F" w14:textId="5F741E1C"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DBE5F1" w:themeFill="accent1" w:themeFillTint="33"/>
            <w:vAlign w:val="center"/>
          </w:tcPr>
          <w:p w14:paraId="0A7E143F" w14:textId="0A9F5D7E" w:rsidR="006068F2" w:rsidRPr="000B3007" w:rsidRDefault="006068F2" w:rsidP="006068F2">
            <w:pPr>
              <w:spacing w:after="0"/>
              <w:ind w:firstLine="0"/>
              <w:jc w:val="center"/>
              <w:rPr>
                <w:color w:val="000000"/>
                <w:sz w:val="20"/>
                <w:lang w:eastAsia="lv-LV"/>
              </w:rPr>
            </w:pPr>
            <w:r>
              <w:rPr>
                <w:color w:val="000000"/>
                <w:sz w:val="22"/>
                <w:szCs w:val="22"/>
              </w:rPr>
              <w:t>0,06</w:t>
            </w:r>
          </w:p>
        </w:tc>
        <w:tc>
          <w:tcPr>
            <w:tcW w:w="932" w:type="dxa"/>
            <w:shd w:val="clear" w:color="auto" w:fill="DBE5F1" w:themeFill="accent1" w:themeFillTint="33"/>
            <w:vAlign w:val="center"/>
          </w:tcPr>
          <w:p w14:paraId="21DB5CFA" w14:textId="07CFAAEB" w:rsidR="006068F2" w:rsidRPr="000B3007" w:rsidRDefault="006068F2" w:rsidP="006068F2">
            <w:pPr>
              <w:spacing w:after="0"/>
              <w:ind w:firstLine="0"/>
              <w:jc w:val="center"/>
              <w:rPr>
                <w:color w:val="000000"/>
                <w:sz w:val="20"/>
              </w:rPr>
            </w:pPr>
            <w:r>
              <w:rPr>
                <w:color w:val="000000"/>
                <w:sz w:val="22"/>
                <w:szCs w:val="22"/>
              </w:rPr>
              <w:t>0,00</w:t>
            </w:r>
          </w:p>
        </w:tc>
      </w:tr>
      <w:tr w:rsidR="006068F2" w:rsidRPr="000B3007" w14:paraId="4A4012EE" w14:textId="77777777" w:rsidTr="00073140">
        <w:trPr>
          <w:trHeight w:val="227"/>
        </w:trPr>
        <w:tc>
          <w:tcPr>
            <w:tcW w:w="2835" w:type="dxa"/>
            <w:vMerge/>
            <w:vAlign w:val="center"/>
          </w:tcPr>
          <w:p w14:paraId="1BBA4784" w14:textId="77777777" w:rsidR="006068F2" w:rsidRPr="000B3007" w:rsidRDefault="006068F2" w:rsidP="006068F2">
            <w:pPr>
              <w:spacing w:after="0"/>
              <w:ind w:firstLine="0"/>
              <w:rPr>
                <w:color w:val="000000"/>
                <w:sz w:val="20"/>
                <w:lang w:eastAsia="lv-LV"/>
              </w:rPr>
            </w:pPr>
          </w:p>
        </w:tc>
        <w:tc>
          <w:tcPr>
            <w:tcW w:w="3402" w:type="dxa"/>
            <w:vMerge/>
            <w:vAlign w:val="center"/>
          </w:tcPr>
          <w:p w14:paraId="54564EAC" w14:textId="77777777" w:rsidR="006068F2" w:rsidRPr="000B3007" w:rsidRDefault="006068F2" w:rsidP="006068F2">
            <w:pPr>
              <w:spacing w:after="0"/>
              <w:ind w:firstLine="0"/>
              <w:rPr>
                <w:color w:val="000000"/>
                <w:sz w:val="20"/>
                <w:lang w:eastAsia="lv-LV"/>
              </w:rPr>
            </w:pPr>
          </w:p>
        </w:tc>
        <w:tc>
          <w:tcPr>
            <w:tcW w:w="1298" w:type="dxa"/>
            <w:shd w:val="clear" w:color="auto" w:fill="auto"/>
            <w:vAlign w:val="center"/>
          </w:tcPr>
          <w:p w14:paraId="0E14ED69"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SOC veselības finansēšanai</w:t>
            </w:r>
          </w:p>
        </w:tc>
        <w:tc>
          <w:tcPr>
            <w:tcW w:w="791" w:type="dxa"/>
            <w:shd w:val="clear" w:color="auto" w:fill="auto"/>
            <w:vAlign w:val="center"/>
          </w:tcPr>
          <w:p w14:paraId="53E48F37"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D.61</w:t>
            </w:r>
          </w:p>
        </w:tc>
        <w:tc>
          <w:tcPr>
            <w:tcW w:w="1255" w:type="dxa"/>
            <w:shd w:val="clear" w:color="auto" w:fill="auto"/>
            <w:vAlign w:val="center"/>
          </w:tcPr>
          <w:p w14:paraId="0257020F"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Uzkrājuma</w:t>
            </w:r>
          </w:p>
        </w:tc>
        <w:tc>
          <w:tcPr>
            <w:tcW w:w="1481" w:type="dxa"/>
            <w:shd w:val="clear" w:color="auto" w:fill="auto"/>
            <w:vAlign w:val="center"/>
          </w:tcPr>
          <w:p w14:paraId="5EF69B17"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auto"/>
            <w:noWrap/>
            <w:vAlign w:val="center"/>
          </w:tcPr>
          <w:p w14:paraId="35A8B08D" w14:textId="77777777" w:rsidR="006068F2" w:rsidRPr="000B3007" w:rsidRDefault="006068F2" w:rsidP="006068F2">
            <w:pPr>
              <w:spacing w:after="0"/>
              <w:ind w:firstLine="0"/>
              <w:jc w:val="center"/>
              <w:rPr>
                <w:color w:val="000000"/>
                <w:sz w:val="20"/>
                <w:lang w:eastAsia="lv-LV"/>
              </w:rPr>
            </w:pPr>
          </w:p>
        </w:tc>
        <w:tc>
          <w:tcPr>
            <w:tcW w:w="932" w:type="dxa"/>
            <w:shd w:val="clear" w:color="auto" w:fill="auto"/>
            <w:vAlign w:val="center"/>
          </w:tcPr>
          <w:p w14:paraId="2389F0FC" w14:textId="5EE8C922"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auto"/>
            <w:vAlign w:val="center"/>
          </w:tcPr>
          <w:p w14:paraId="7DEEAC44" w14:textId="7736505A"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auto"/>
            <w:vAlign w:val="center"/>
          </w:tcPr>
          <w:p w14:paraId="485399CC" w14:textId="432D9946" w:rsidR="006068F2" w:rsidRPr="000B3007" w:rsidRDefault="006068F2" w:rsidP="006068F2">
            <w:pPr>
              <w:spacing w:after="0"/>
              <w:ind w:firstLine="0"/>
              <w:jc w:val="center"/>
              <w:rPr>
                <w:color w:val="000000"/>
                <w:sz w:val="20"/>
              </w:rPr>
            </w:pPr>
            <w:r>
              <w:rPr>
                <w:color w:val="000000"/>
                <w:sz w:val="22"/>
                <w:szCs w:val="22"/>
              </w:rPr>
              <w:t>0,00</w:t>
            </w:r>
          </w:p>
        </w:tc>
      </w:tr>
      <w:tr w:rsidR="006068F2" w:rsidRPr="000B3007" w14:paraId="5AE37428" w14:textId="77777777" w:rsidTr="00073140">
        <w:trPr>
          <w:trHeight w:val="227"/>
        </w:trPr>
        <w:tc>
          <w:tcPr>
            <w:tcW w:w="2835" w:type="dxa"/>
            <w:shd w:val="clear" w:color="auto" w:fill="DBE5F1" w:themeFill="accent1" w:themeFillTint="33"/>
            <w:vAlign w:val="center"/>
          </w:tcPr>
          <w:p w14:paraId="69C84348" w14:textId="27C1522B" w:rsidR="006068F2" w:rsidRPr="000B3007" w:rsidRDefault="006068F2" w:rsidP="006068F2">
            <w:pPr>
              <w:spacing w:after="0"/>
              <w:ind w:firstLine="0"/>
              <w:rPr>
                <w:color w:val="000000"/>
                <w:sz w:val="20"/>
                <w:lang w:eastAsia="lv-LV"/>
              </w:rPr>
            </w:pPr>
            <w:r w:rsidRPr="006068F2">
              <w:rPr>
                <w:color w:val="000000"/>
                <w:sz w:val="20"/>
                <w:lang w:eastAsia="lv-LV"/>
              </w:rPr>
              <w:t>DRN likmju paaugstināšana atsevišķiem objektiem (smilts, CO2 emisijas gaisā, akmeņogles) un ieņēmumu sadales maiņa pa budžetiem, palielinot valsts pamatbudžetā ieskaitāmo daļu</w:t>
            </w:r>
          </w:p>
        </w:tc>
        <w:tc>
          <w:tcPr>
            <w:tcW w:w="3402" w:type="dxa"/>
            <w:shd w:val="clear" w:color="auto" w:fill="DBE5F1" w:themeFill="accent1" w:themeFillTint="33"/>
            <w:vAlign w:val="center"/>
          </w:tcPr>
          <w:p w14:paraId="42CA0808" w14:textId="3A6B341A" w:rsidR="006068F2" w:rsidRPr="000B3007" w:rsidRDefault="006068F2" w:rsidP="006068F2">
            <w:pPr>
              <w:spacing w:after="0"/>
              <w:ind w:firstLine="0"/>
              <w:rPr>
                <w:color w:val="000000"/>
                <w:sz w:val="20"/>
                <w:lang w:eastAsia="lv-LV"/>
              </w:rPr>
            </w:pPr>
            <w:r w:rsidRPr="006068F2">
              <w:rPr>
                <w:color w:val="000000"/>
                <w:sz w:val="20"/>
                <w:lang w:eastAsia="lv-LV"/>
              </w:rPr>
              <w:t>DRN likmju paaugstināšana atsevišķiem objektiem (smilts, CO2 emisijas gaisā, akmeņogles) 2020., 2021. un 2022.gadā un ieņēmumu sadales maiņa pa budžetiem, palielinot valsts pamatbudžetā ieskaitāmo daļu</w:t>
            </w:r>
          </w:p>
        </w:tc>
        <w:tc>
          <w:tcPr>
            <w:tcW w:w="1298" w:type="dxa"/>
            <w:shd w:val="clear" w:color="auto" w:fill="DBE5F1" w:themeFill="accent1" w:themeFillTint="33"/>
            <w:vAlign w:val="center"/>
          </w:tcPr>
          <w:p w14:paraId="5BA303CE" w14:textId="61480FBE" w:rsidR="006068F2" w:rsidRPr="006068F2" w:rsidRDefault="006068F2" w:rsidP="006068F2">
            <w:pPr>
              <w:spacing w:after="0"/>
              <w:ind w:firstLine="0"/>
              <w:jc w:val="center"/>
              <w:rPr>
                <w:color w:val="000000"/>
                <w:sz w:val="20"/>
                <w:lang w:eastAsia="lv-LV"/>
              </w:rPr>
            </w:pPr>
            <w:r w:rsidRPr="006068F2">
              <w:rPr>
                <w:color w:val="000000"/>
                <w:sz w:val="20"/>
                <w:lang w:eastAsia="lv-LV"/>
              </w:rPr>
              <w:t>Dabas resursu nodoklis</w:t>
            </w:r>
          </w:p>
        </w:tc>
        <w:tc>
          <w:tcPr>
            <w:tcW w:w="791" w:type="dxa"/>
            <w:shd w:val="clear" w:color="auto" w:fill="DBE5F1" w:themeFill="accent1" w:themeFillTint="33"/>
            <w:vAlign w:val="center"/>
          </w:tcPr>
          <w:p w14:paraId="17D5DB11" w14:textId="43F34C77" w:rsidR="006068F2" w:rsidRPr="006068F2" w:rsidRDefault="006068F2" w:rsidP="006068F2">
            <w:pPr>
              <w:spacing w:after="0"/>
              <w:ind w:firstLine="0"/>
              <w:jc w:val="center"/>
              <w:rPr>
                <w:color w:val="000000"/>
                <w:sz w:val="20"/>
                <w:lang w:eastAsia="lv-LV"/>
              </w:rPr>
            </w:pPr>
            <w:r w:rsidRPr="006068F2">
              <w:rPr>
                <w:color w:val="000000"/>
                <w:sz w:val="20"/>
                <w:lang w:eastAsia="lv-LV"/>
              </w:rPr>
              <w:t>D.29</w:t>
            </w:r>
          </w:p>
        </w:tc>
        <w:tc>
          <w:tcPr>
            <w:tcW w:w="1255" w:type="dxa"/>
            <w:shd w:val="clear" w:color="auto" w:fill="DBE5F1" w:themeFill="accent1" w:themeFillTint="33"/>
            <w:vAlign w:val="center"/>
          </w:tcPr>
          <w:p w14:paraId="0241DDDE" w14:textId="1D9463B6" w:rsidR="006068F2" w:rsidRPr="006068F2" w:rsidRDefault="006068F2" w:rsidP="006068F2">
            <w:pPr>
              <w:spacing w:after="0"/>
              <w:ind w:firstLine="0"/>
              <w:jc w:val="center"/>
              <w:rPr>
                <w:color w:val="000000"/>
                <w:sz w:val="20"/>
                <w:lang w:eastAsia="lv-LV"/>
              </w:rPr>
            </w:pPr>
            <w:r w:rsidRPr="006068F2">
              <w:rPr>
                <w:color w:val="000000"/>
                <w:sz w:val="20"/>
                <w:lang w:eastAsia="lv-LV"/>
              </w:rPr>
              <w:t>Uzkrājuma</w:t>
            </w:r>
          </w:p>
        </w:tc>
        <w:tc>
          <w:tcPr>
            <w:tcW w:w="1481" w:type="dxa"/>
            <w:shd w:val="clear" w:color="auto" w:fill="DBE5F1" w:themeFill="accent1" w:themeFillTint="33"/>
            <w:vAlign w:val="center"/>
          </w:tcPr>
          <w:p w14:paraId="33E93416" w14:textId="1D7BF990" w:rsidR="006068F2" w:rsidRPr="006068F2" w:rsidRDefault="006068F2" w:rsidP="006068F2">
            <w:pPr>
              <w:spacing w:after="0"/>
              <w:ind w:firstLine="0"/>
              <w:jc w:val="center"/>
              <w:rPr>
                <w:color w:val="000000"/>
                <w:sz w:val="20"/>
                <w:lang w:eastAsia="lv-LV"/>
              </w:rPr>
            </w:pPr>
            <w:r w:rsidRPr="006068F2">
              <w:rPr>
                <w:color w:val="000000"/>
                <w:sz w:val="20"/>
                <w:lang w:eastAsia="lv-LV"/>
              </w:rPr>
              <w:t>Daļēji pieņemts</w:t>
            </w:r>
          </w:p>
        </w:tc>
        <w:tc>
          <w:tcPr>
            <w:tcW w:w="730" w:type="dxa"/>
            <w:shd w:val="clear" w:color="auto" w:fill="DBE5F1" w:themeFill="accent1" w:themeFillTint="33"/>
            <w:noWrap/>
            <w:vAlign w:val="center"/>
          </w:tcPr>
          <w:p w14:paraId="148010CE" w14:textId="77777777" w:rsidR="006068F2" w:rsidRPr="000B3007" w:rsidRDefault="006068F2" w:rsidP="006068F2">
            <w:pPr>
              <w:spacing w:after="0"/>
              <w:ind w:firstLine="0"/>
              <w:jc w:val="center"/>
              <w:rPr>
                <w:color w:val="000000"/>
                <w:sz w:val="20"/>
                <w:lang w:eastAsia="lv-LV"/>
              </w:rPr>
            </w:pPr>
          </w:p>
        </w:tc>
        <w:tc>
          <w:tcPr>
            <w:tcW w:w="932" w:type="dxa"/>
            <w:shd w:val="clear" w:color="auto" w:fill="DBE5F1" w:themeFill="accent1" w:themeFillTint="33"/>
            <w:vAlign w:val="center"/>
          </w:tcPr>
          <w:p w14:paraId="10116D08" w14:textId="475DDE7B" w:rsidR="006068F2" w:rsidRPr="000B3007" w:rsidRDefault="006068F2" w:rsidP="006068F2">
            <w:pPr>
              <w:spacing w:after="0"/>
              <w:ind w:firstLine="0"/>
              <w:jc w:val="center"/>
              <w:rPr>
                <w:color w:val="000000"/>
                <w:sz w:val="20"/>
              </w:rPr>
            </w:pPr>
            <w:r>
              <w:rPr>
                <w:color w:val="000000"/>
                <w:sz w:val="22"/>
                <w:szCs w:val="22"/>
              </w:rPr>
              <w:t>0,02</w:t>
            </w:r>
          </w:p>
        </w:tc>
        <w:tc>
          <w:tcPr>
            <w:tcW w:w="932" w:type="dxa"/>
            <w:shd w:val="clear" w:color="auto" w:fill="DBE5F1" w:themeFill="accent1" w:themeFillTint="33"/>
            <w:vAlign w:val="center"/>
          </w:tcPr>
          <w:p w14:paraId="0790763F" w14:textId="772CFC88" w:rsidR="006068F2" w:rsidRPr="000B3007" w:rsidRDefault="006068F2" w:rsidP="006068F2">
            <w:pPr>
              <w:spacing w:after="0"/>
              <w:ind w:firstLine="0"/>
              <w:jc w:val="center"/>
              <w:rPr>
                <w:color w:val="000000"/>
                <w:sz w:val="20"/>
              </w:rPr>
            </w:pPr>
            <w:r>
              <w:rPr>
                <w:color w:val="000000"/>
                <w:sz w:val="22"/>
                <w:szCs w:val="22"/>
              </w:rPr>
              <w:t>0,00</w:t>
            </w:r>
          </w:p>
        </w:tc>
        <w:tc>
          <w:tcPr>
            <w:tcW w:w="932" w:type="dxa"/>
            <w:shd w:val="clear" w:color="auto" w:fill="DBE5F1" w:themeFill="accent1" w:themeFillTint="33"/>
            <w:vAlign w:val="center"/>
          </w:tcPr>
          <w:p w14:paraId="4C14F40D" w14:textId="13E0E42C" w:rsidR="006068F2" w:rsidRPr="000B3007" w:rsidRDefault="006068F2" w:rsidP="006068F2">
            <w:pPr>
              <w:spacing w:after="0"/>
              <w:ind w:firstLine="0"/>
              <w:jc w:val="center"/>
              <w:rPr>
                <w:color w:val="000000"/>
                <w:sz w:val="20"/>
              </w:rPr>
            </w:pPr>
            <w:r>
              <w:rPr>
                <w:color w:val="000000"/>
                <w:sz w:val="22"/>
                <w:szCs w:val="22"/>
              </w:rPr>
              <w:t>0,00</w:t>
            </w:r>
          </w:p>
        </w:tc>
      </w:tr>
      <w:tr w:rsidR="006068F2" w:rsidRPr="000B3007" w14:paraId="3E187525" w14:textId="77777777" w:rsidTr="00073140">
        <w:trPr>
          <w:trHeight w:val="227"/>
        </w:trPr>
        <w:tc>
          <w:tcPr>
            <w:tcW w:w="2835" w:type="dxa"/>
            <w:vAlign w:val="center"/>
          </w:tcPr>
          <w:p w14:paraId="5E65DC4E" w14:textId="3B0F253B" w:rsidR="006068F2" w:rsidRPr="000B3007" w:rsidRDefault="006068F2" w:rsidP="006068F2">
            <w:pPr>
              <w:spacing w:after="0"/>
              <w:ind w:firstLine="0"/>
              <w:rPr>
                <w:color w:val="000000"/>
                <w:sz w:val="20"/>
                <w:lang w:eastAsia="lv-LV"/>
              </w:rPr>
            </w:pPr>
            <w:r w:rsidRPr="006068F2">
              <w:rPr>
                <w:color w:val="000000"/>
                <w:sz w:val="20"/>
                <w:lang w:eastAsia="lv-LV"/>
              </w:rPr>
              <w:t>Rīgas pašvaldības kontrolētās kapitālsabiedrības "Rīgas Satiksme" radītās negatīvās fiskālās ietekmes kompensēšana</w:t>
            </w:r>
          </w:p>
        </w:tc>
        <w:tc>
          <w:tcPr>
            <w:tcW w:w="3402" w:type="dxa"/>
            <w:vAlign w:val="center"/>
          </w:tcPr>
          <w:p w14:paraId="5A9E320F" w14:textId="77777777" w:rsidR="006068F2" w:rsidRPr="006068F2" w:rsidRDefault="006068F2" w:rsidP="006068F2">
            <w:pPr>
              <w:spacing w:after="0"/>
              <w:ind w:firstLine="0"/>
              <w:rPr>
                <w:color w:val="000000"/>
                <w:sz w:val="20"/>
                <w:lang w:eastAsia="lv-LV"/>
              </w:rPr>
            </w:pPr>
            <w:r w:rsidRPr="006068F2">
              <w:rPr>
                <w:color w:val="000000"/>
                <w:sz w:val="20"/>
                <w:lang w:eastAsia="lv-LV"/>
              </w:rPr>
              <w:t>Rīgas pašvaldības kontrolētās kapitālsabiedrības "Rīgas Satiksme" radītās negatīvās fiskālās ietekmes kompensēšana</w:t>
            </w:r>
          </w:p>
          <w:p w14:paraId="04C18B3C" w14:textId="77777777" w:rsidR="006068F2" w:rsidRPr="000B3007" w:rsidRDefault="006068F2" w:rsidP="006068F2">
            <w:pPr>
              <w:spacing w:after="0"/>
              <w:ind w:firstLine="0"/>
              <w:rPr>
                <w:color w:val="000000"/>
                <w:sz w:val="20"/>
                <w:lang w:eastAsia="lv-LV"/>
              </w:rPr>
            </w:pPr>
          </w:p>
        </w:tc>
        <w:tc>
          <w:tcPr>
            <w:tcW w:w="1298" w:type="dxa"/>
            <w:shd w:val="clear" w:color="auto" w:fill="auto"/>
            <w:vAlign w:val="center"/>
          </w:tcPr>
          <w:p w14:paraId="100729AF" w14:textId="16CC9B4F" w:rsidR="006068F2" w:rsidRPr="000B3007" w:rsidRDefault="006068F2" w:rsidP="003468BB">
            <w:pPr>
              <w:spacing w:after="0"/>
              <w:ind w:firstLine="0"/>
              <w:jc w:val="center"/>
              <w:rPr>
                <w:color w:val="000000"/>
                <w:sz w:val="20"/>
                <w:lang w:eastAsia="lv-LV"/>
              </w:rPr>
            </w:pPr>
            <w:r w:rsidRPr="006068F2">
              <w:rPr>
                <w:color w:val="000000"/>
                <w:sz w:val="20"/>
                <w:lang w:eastAsia="lv-LV"/>
              </w:rPr>
              <w:t xml:space="preserve">Nenodokļi </w:t>
            </w:r>
          </w:p>
        </w:tc>
        <w:tc>
          <w:tcPr>
            <w:tcW w:w="791" w:type="dxa"/>
            <w:shd w:val="clear" w:color="auto" w:fill="auto"/>
            <w:vAlign w:val="center"/>
          </w:tcPr>
          <w:p w14:paraId="7DD6CA7B" w14:textId="5AC01272" w:rsidR="006068F2" w:rsidRPr="000B3007" w:rsidRDefault="006068F2" w:rsidP="003468BB">
            <w:pPr>
              <w:spacing w:after="0"/>
              <w:ind w:firstLine="0"/>
              <w:jc w:val="center"/>
              <w:rPr>
                <w:color w:val="000000"/>
                <w:sz w:val="20"/>
                <w:lang w:eastAsia="lv-LV"/>
              </w:rPr>
            </w:pPr>
            <w:r w:rsidRPr="006068F2">
              <w:rPr>
                <w:color w:val="000000"/>
                <w:sz w:val="20"/>
                <w:lang w:eastAsia="lv-LV"/>
              </w:rPr>
              <w:t>P.13</w:t>
            </w:r>
          </w:p>
        </w:tc>
        <w:tc>
          <w:tcPr>
            <w:tcW w:w="1255" w:type="dxa"/>
            <w:shd w:val="clear" w:color="auto" w:fill="auto"/>
            <w:vAlign w:val="center"/>
          </w:tcPr>
          <w:p w14:paraId="3422BB75" w14:textId="256B1A82" w:rsidR="006068F2" w:rsidRPr="000B3007" w:rsidRDefault="006068F2" w:rsidP="003468BB">
            <w:pPr>
              <w:spacing w:after="0"/>
              <w:ind w:firstLine="0"/>
              <w:jc w:val="center"/>
              <w:rPr>
                <w:color w:val="000000"/>
                <w:sz w:val="20"/>
                <w:lang w:eastAsia="lv-LV"/>
              </w:rPr>
            </w:pPr>
            <w:r w:rsidRPr="006068F2">
              <w:rPr>
                <w:color w:val="000000"/>
                <w:sz w:val="20"/>
                <w:lang w:eastAsia="lv-LV"/>
              </w:rPr>
              <w:t>Naudas plūsmas</w:t>
            </w:r>
          </w:p>
        </w:tc>
        <w:tc>
          <w:tcPr>
            <w:tcW w:w="1481" w:type="dxa"/>
            <w:shd w:val="clear" w:color="auto" w:fill="auto"/>
            <w:vAlign w:val="center"/>
          </w:tcPr>
          <w:p w14:paraId="337E4B33" w14:textId="6D5AB52A" w:rsidR="006068F2" w:rsidRPr="000B3007" w:rsidRDefault="006068F2" w:rsidP="003468BB">
            <w:pPr>
              <w:spacing w:after="0"/>
              <w:ind w:firstLine="0"/>
              <w:jc w:val="center"/>
              <w:rPr>
                <w:color w:val="000000"/>
                <w:sz w:val="20"/>
                <w:lang w:eastAsia="lv-LV"/>
              </w:rPr>
            </w:pPr>
            <w:r w:rsidRPr="006068F2">
              <w:rPr>
                <w:color w:val="000000"/>
                <w:sz w:val="20"/>
                <w:lang w:eastAsia="lv-LV"/>
              </w:rPr>
              <w:t>Daļēji pieņemts</w:t>
            </w:r>
          </w:p>
        </w:tc>
        <w:tc>
          <w:tcPr>
            <w:tcW w:w="730" w:type="dxa"/>
            <w:shd w:val="clear" w:color="auto" w:fill="auto"/>
            <w:noWrap/>
            <w:vAlign w:val="center"/>
          </w:tcPr>
          <w:p w14:paraId="0F17B940" w14:textId="77777777" w:rsidR="006068F2" w:rsidRPr="000B3007" w:rsidRDefault="006068F2" w:rsidP="006068F2">
            <w:pPr>
              <w:spacing w:after="0"/>
              <w:ind w:firstLine="0"/>
              <w:jc w:val="center"/>
              <w:rPr>
                <w:color w:val="000000"/>
                <w:sz w:val="20"/>
                <w:lang w:eastAsia="lv-LV"/>
              </w:rPr>
            </w:pPr>
          </w:p>
        </w:tc>
        <w:tc>
          <w:tcPr>
            <w:tcW w:w="932" w:type="dxa"/>
            <w:shd w:val="clear" w:color="auto" w:fill="auto"/>
            <w:vAlign w:val="center"/>
          </w:tcPr>
          <w:p w14:paraId="1C2A77F0" w14:textId="359E1BB7" w:rsidR="006068F2" w:rsidRPr="000B3007" w:rsidRDefault="006068F2" w:rsidP="006068F2">
            <w:pPr>
              <w:spacing w:after="0"/>
              <w:ind w:firstLine="0"/>
              <w:jc w:val="center"/>
              <w:rPr>
                <w:color w:val="000000"/>
                <w:sz w:val="20"/>
              </w:rPr>
            </w:pPr>
            <w:r>
              <w:rPr>
                <w:color w:val="000000"/>
                <w:sz w:val="22"/>
                <w:szCs w:val="22"/>
              </w:rPr>
              <w:t>0,11</w:t>
            </w:r>
          </w:p>
        </w:tc>
        <w:tc>
          <w:tcPr>
            <w:tcW w:w="932" w:type="dxa"/>
            <w:shd w:val="clear" w:color="auto" w:fill="auto"/>
            <w:vAlign w:val="center"/>
          </w:tcPr>
          <w:p w14:paraId="2447E1B2" w14:textId="0D9A0A02" w:rsidR="006068F2" w:rsidRPr="000B3007" w:rsidRDefault="006068F2" w:rsidP="006068F2">
            <w:pPr>
              <w:spacing w:after="0"/>
              <w:ind w:firstLine="0"/>
              <w:jc w:val="center"/>
              <w:rPr>
                <w:color w:val="000000"/>
                <w:sz w:val="20"/>
              </w:rPr>
            </w:pPr>
            <w:r>
              <w:rPr>
                <w:color w:val="000000"/>
                <w:sz w:val="22"/>
                <w:szCs w:val="22"/>
              </w:rPr>
              <w:t>-0,08</w:t>
            </w:r>
          </w:p>
        </w:tc>
        <w:tc>
          <w:tcPr>
            <w:tcW w:w="932" w:type="dxa"/>
            <w:shd w:val="clear" w:color="auto" w:fill="auto"/>
            <w:vAlign w:val="center"/>
          </w:tcPr>
          <w:p w14:paraId="74AA2348" w14:textId="697EAFFD" w:rsidR="006068F2" w:rsidRPr="000B3007" w:rsidRDefault="006068F2" w:rsidP="006068F2">
            <w:pPr>
              <w:spacing w:after="0"/>
              <w:ind w:firstLine="0"/>
              <w:jc w:val="center"/>
              <w:rPr>
                <w:color w:val="000000"/>
                <w:sz w:val="20"/>
              </w:rPr>
            </w:pPr>
            <w:r>
              <w:rPr>
                <w:color w:val="000000"/>
                <w:sz w:val="22"/>
                <w:szCs w:val="22"/>
              </w:rPr>
              <w:t>-0,03</w:t>
            </w:r>
          </w:p>
        </w:tc>
      </w:tr>
      <w:tr w:rsidR="006068F2" w:rsidRPr="000B3007" w14:paraId="73B27581" w14:textId="77777777" w:rsidTr="00073140">
        <w:trPr>
          <w:trHeight w:val="227"/>
        </w:trPr>
        <w:tc>
          <w:tcPr>
            <w:tcW w:w="2835" w:type="dxa"/>
            <w:shd w:val="clear" w:color="auto" w:fill="DBE5F1" w:themeFill="accent1" w:themeFillTint="33"/>
            <w:vAlign w:val="center"/>
          </w:tcPr>
          <w:p w14:paraId="17231CEA" w14:textId="77777777" w:rsidR="006068F2" w:rsidRPr="000B3007" w:rsidRDefault="006068F2" w:rsidP="006068F2">
            <w:pPr>
              <w:spacing w:after="0"/>
              <w:ind w:firstLine="0"/>
              <w:rPr>
                <w:color w:val="000000"/>
                <w:sz w:val="20"/>
                <w:lang w:eastAsia="lv-LV"/>
              </w:rPr>
            </w:pPr>
            <w:r w:rsidRPr="000B3007">
              <w:rPr>
                <w:color w:val="000000"/>
                <w:sz w:val="20"/>
                <w:lang w:eastAsia="lv-LV"/>
              </w:rPr>
              <w:lastRenderedPageBreak/>
              <w:t>No 2020.gada valsts aizdevumu un galvojumu saņēmēju maksājumi par aizdevumu un galvojumu apkalpošanu turpmāk tiks ieskaitīti valsts budžeta nenodokļu ieņēmumos</w:t>
            </w:r>
          </w:p>
        </w:tc>
        <w:tc>
          <w:tcPr>
            <w:tcW w:w="3402" w:type="dxa"/>
            <w:shd w:val="clear" w:color="auto" w:fill="DBE5F1" w:themeFill="accent1" w:themeFillTint="33"/>
            <w:vAlign w:val="center"/>
          </w:tcPr>
          <w:p w14:paraId="3918F86D" w14:textId="77777777" w:rsidR="006068F2" w:rsidRPr="000B3007" w:rsidRDefault="006068F2" w:rsidP="006068F2">
            <w:pPr>
              <w:spacing w:after="0"/>
              <w:ind w:firstLine="0"/>
              <w:rPr>
                <w:color w:val="000000"/>
                <w:sz w:val="20"/>
                <w:lang w:eastAsia="lv-LV"/>
              </w:rPr>
            </w:pPr>
            <w:r w:rsidRPr="000B3007">
              <w:rPr>
                <w:color w:val="000000"/>
                <w:sz w:val="20"/>
                <w:lang w:eastAsia="lv-LV"/>
              </w:rPr>
              <w:t>No 2020.gada valsts aizdevumu un galvojumu saņēmēju maksājumi par aizdevumu un galvojumu apkalpošanu turpmāk tiks ieskaitīti valsts budžeta nenodokļu ieņēmumos</w:t>
            </w:r>
          </w:p>
        </w:tc>
        <w:tc>
          <w:tcPr>
            <w:tcW w:w="1298" w:type="dxa"/>
            <w:shd w:val="clear" w:color="auto" w:fill="DBE5F1" w:themeFill="accent1" w:themeFillTint="33"/>
            <w:vAlign w:val="center"/>
          </w:tcPr>
          <w:p w14:paraId="0DFF4903"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xml:space="preserve">Nenodokļi </w:t>
            </w:r>
          </w:p>
        </w:tc>
        <w:tc>
          <w:tcPr>
            <w:tcW w:w="791" w:type="dxa"/>
            <w:shd w:val="clear" w:color="auto" w:fill="DBE5F1" w:themeFill="accent1" w:themeFillTint="33"/>
            <w:vAlign w:val="center"/>
          </w:tcPr>
          <w:p w14:paraId="15A0C2A5"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P.13</w:t>
            </w:r>
          </w:p>
        </w:tc>
        <w:tc>
          <w:tcPr>
            <w:tcW w:w="1255" w:type="dxa"/>
            <w:shd w:val="clear" w:color="auto" w:fill="DBE5F1" w:themeFill="accent1" w:themeFillTint="33"/>
            <w:vAlign w:val="center"/>
          </w:tcPr>
          <w:p w14:paraId="53580384"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Naudas plūsmas</w:t>
            </w:r>
          </w:p>
        </w:tc>
        <w:tc>
          <w:tcPr>
            <w:tcW w:w="1481" w:type="dxa"/>
            <w:shd w:val="clear" w:color="auto" w:fill="DBE5F1" w:themeFill="accent1" w:themeFillTint="33"/>
            <w:vAlign w:val="center"/>
          </w:tcPr>
          <w:p w14:paraId="728BB50B"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Daļēji pieņemts</w:t>
            </w:r>
          </w:p>
        </w:tc>
        <w:tc>
          <w:tcPr>
            <w:tcW w:w="730" w:type="dxa"/>
            <w:shd w:val="clear" w:color="auto" w:fill="DBE5F1" w:themeFill="accent1" w:themeFillTint="33"/>
            <w:noWrap/>
            <w:vAlign w:val="center"/>
          </w:tcPr>
          <w:p w14:paraId="74AD5BE2" w14:textId="77777777" w:rsidR="006068F2" w:rsidRPr="000B3007" w:rsidRDefault="006068F2" w:rsidP="006068F2">
            <w:pPr>
              <w:spacing w:after="0"/>
              <w:ind w:firstLine="0"/>
              <w:jc w:val="center"/>
              <w:rPr>
                <w:color w:val="000000"/>
                <w:sz w:val="20"/>
                <w:lang w:eastAsia="lv-LV"/>
              </w:rPr>
            </w:pPr>
          </w:p>
        </w:tc>
        <w:tc>
          <w:tcPr>
            <w:tcW w:w="932" w:type="dxa"/>
            <w:shd w:val="clear" w:color="auto" w:fill="DBE5F1" w:themeFill="accent1" w:themeFillTint="33"/>
            <w:vAlign w:val="center"/>
          </w:tcPr>
          <w:p w14:paraId="39AAD4BA" w14:textId="736A6795" w:rsidR="006068F2" w:rsidRPr="000B3007" w:rsidRDefault="006068F2" w:rsidP="006068F2">
            <w:pPr>
              <w:spacing w:after="0"/>
              <w:ind w:firstLine="0"/>
              <w:jc w:val="center"/>
              <w:rPr>
                <w:color w:val="000000"/>
                <w:sz w:val="20"/>
                <w:lang w:eastAsia="lv-LV"/>
              </w:rPr>
            </w:pPr>
            <w:r>
              <w:rPr>
                <w:color w:val="000000"/>
                <w:sz w:val="22"/>
                <w:szCs w:val="22"/>
              </w:rPr>
              <w:t>0,02</w:t>
            </w:r>
          </w:p>
        </w:tc>
        <w:tc>
          <w:tcPr>
            <w:tcW w:w="932" w:type="dxa"/>
            <w:shd w:val="clear" w:color="auto" w:fill="DBE5F1" w:themeFill="accent1" w:themeFillTint="33"/>
            <w:vAlign w:val="center"/>
          </w:tcPr>
          <w:p w14:paraId="69AFC580" w14:textId="3814730C"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DBE5F1" w:themeFill="accent1" w:themeFillTint="33"/>
            <w:vAlign w:val="center"/>
          </w:tcPr>
          <w:p w14:paraId="1738A8DA" w14:textId="08E93BBF" w:rsidR="006068F2" w:rsidRPr="000B3007" w:rsidRDefault="006068F2" w:rsidP="006068F2">
            <w:pPr>
              <w:spacing w:after="0"/>
              <w:ind w:firstLine="0"/>
              <w:jc w:val="center"/>
              <w:rPr>
                <w:color w:val="000000"/>
                <w:sz w:val="20"/>
                <w:lang w:eastAsia="lv-LV"/>
              </w:rPr>
            </w:pPr>
            <w:r>
              <w:rPr>
                <w:color w:val="000000"/>
                <w:sz w:val="22"/>
                <w:szCs w:val="22"/>
              </w:rPr>
              <w:t>0,00</w:t>
            </w:r>
          </w:p>
        </w:tc>
      </w:tr>
      <w:tr w:rsidR="006068F2" w:rsidRPr="000B3007" w14:paraId="150EEA67" w14:textId="77777777" w:rsidTr="00073140">
        <w:trPr>
          <w:trHeight w:val="227"/>
        </w:trPr>
        <w:tc>
          <w:tcPr>
            <w:tcW w:w="2835" w:type="dxa"/>
            <w:vAlign w:val="center"/>
          </w:tcPr>
          <w:p w14:paraId="2052CC8D" w14:textId="77777777" w:rsidR="006068F2" w:rsidRPr="000B3007" w:rsidRDefault="006068F2" w:rsidP="006068F2">
            <w:pPr>
              <w:spacing w:after="0"/>
              <w:ind w:firstLine="0"/>
              <w:rPr>
                <w:color w:val="000000"/>
                <w:sz w:val="20"/>
                <w:lang w:eastAsia="lv-LV"/>
              </w:rPr>
            </w:pPr>
            <w:r w:rsidRPr="000B3007">
              <w:rPr>
                <w:color w:val="000000"/>
                <w:sz w:val="20"/>
                <w:lang w:eastAsia="lv-LV"/>
              </w:rPr>
              <w:t>Citi nodokļu pasākumi</w:t>
            </w:r>
          </w:p>
        </w:tc>
        <w:tc>
          <w:tcPr>
            <w:tcW w:w="3402" w:type="dxa"/>
            <w:vAlign w:val="center"/>
          </w:tcPr>
          <w:p w14:paraId="237E0C46" w14:textId="77777777" w:rsidR="006068F2" w:rsidRPr="000B3007" w:rsidRDefault="006068F2" w:rsidP="006068F2">
            <w:pPr>
              <w:spacing w:after="0"/>
              <w:ind w:firstLine="0"/>
              <w:rPr>
                <w:color w:val="000000"/>
                <w:sz w:val="20"/>
                <w:lang w:eastAsia="lv-LV"/>
              </w:rPr>
            </w:pPr>
            <w:r w:rsidRPr="000B3007">
              <w:rPr>
                <w:color w:val="000000"/>
                <w:sz w:val="20"/>
                <w:lang w:eastAsia="lv-LV"/>
              </w:rPr>
              <w:t> </w:t>
            </w:r>
          </w:p>
        </w:tc>
        <w:tc>
          <w:tcPr>
            <w:tcW w:w="1298" w:type="dxa"/>
            <w:shd w:val="clear" w:color="auto" w:fill="auto"/>
            <w:vAlign w:val="center"/>
          </w:tcPr>
          <w:p w14:paraId="35A9A51C"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w:t>
            </w:r>
          </w:p>
        </w:tc>
        <w:tc>
          <w:tcPr>
            <w:tcW w:w="791" w:type="dxa"/>
            <w:shd w:val="clear" w:color="auto" w:fill="auto"/>
            <w:vAlign w:val="center"/>
          </w:tcPr>
          <w:p w14:paraId="482FE82E"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w:t>
            </w:r>
          </w:p>
        </w:tc>
        <w:tc>
          <w:tcPr>
            <w:tcW w:w="1255" w:type="dxa"/>
            <w:shd w:val="clear" w:color="auto" w:fill="auto"/>
            <w:vAlign w:val="center"/>
          </w:tcPr>
          <w:p w14:paraId="70EB11B6"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w:t>
            </w:r>
          </w:p>
        </w:tc>
        <w:tc>
          <w:tcPr>
            <w:tcW w:w="1481" w:type="dxa"/>
            <w:shd w:val="clear" w:color="auto" w:fill="auto"/>
            <w:vAlign w:val="center"/>
          </w:tcPr>
          <w:p w14:paraId="05136DA1"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w:t>
            </w:r>
          </w:p>
        </w:tc>
        <w:tc>
          <w:tcPr>
            <w:tcW w:w="730" w:type="dxa"/>
            <w:shd w:val="clear" w:color="auto" w:fill="auto"/>
            <w:noWrap/>
            <w:vAlign w:val="center"/>
          </w:tcPr>
          <w:p w14:paraId="55616C5D" w14:textId="77777777" w:rsidR="006068F2" w:rsidRPr="000B3007" w:rsidRDefault="006068F2" w:rsidP="006068F2">
            <w:pPr>
              <w:spacing w:after="0"/>
              <w:ind w:firstLine="0"/>
              <w:jc w:val="center"/>
              <w:rPr>
                <w:color w:val="000000"/>
                <w:sz w:val="20"/>
                <w:lang w:eastAsia="lv-LV"/>
              </w:rPr>
            </w:pPr>
          </w:p>
        </w:tc>
        <w:tc>
          <w:tcPr>
            <w:tcW w:w="932" w:type="dxa"/>
            <w:shd w:val="clear" w:color="auto" w:fill="auto"/>
            <w:vAlign w:val="center"/>
          </w:tcPr>
          <w:p w14:paraId="15871271" w14:textId="5263D1ED" w:rsidR="006068F2" w:rsidRPr="000B3007" w:rsidRDefault="006068F2" w:rsidP="006068F2">
            <w:pPr>
              <w:spacing w:after="0"/>
              <w:ind w:firstLine="0"/>
              <w:jc w:val="center"/>
              <w:rPr>
                <w:color w:val="000000"/>
                <w:sz w:val="20"/>
                <w:lang w:eastAsia="lv-LV"/>
              </w:rPr>
            </w:pPr>
            <w:r>
              <w:rPr>
                <w:color w:val="000000"/>
                <w:sz w:val="22"/>
                <w:szCs w:val="22"/>
              </w:rPr>
              <w:t>0,03</w:t>
            </w:r>
          </w:p>
        </w:tc>
        <w:tc>
          <w:tcPr>
            <w:tcW w:w="932" w:type="dxa"/>
            <w:shd w:val="clear" w:color="auto" w:fill="auto"/>
            <w:vAlign w:val="center"/>
          </w:tcPr>
          <w:p w14:paraId="79DB26AE" w14:textId="7D560729"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auto"/>
            <w:vAlign w:val="center"/>
          </w:tcPr>
          <w:p w14:paraId="6767D2CD" w14:textId="6F2DAA53" w:rsidR="006068F2" w:rsidRPr="000B3007" w:rsidRDefault="006068F2" w:rsidP="006068F2">
            <w:pPr>
              <w:spacing w:after="0"/>
              <w:ind w:firstLine="0"/>
              <w:jc w:val="center"/>
              <w:rPr>
                <w:color w:val="000000"/>
                <w:sz w:val="20"/>
                <w:lang w:eastAsia="lv-LV"/>
              </w:rPr>
            </w:pPr>
            <w:r>
              <w:rPr>
                <w:color w:val="000000"/>
                <w:sz w:val="22"/>
                <w:szCs w:val="22"/>
              </w:rPr>
              <w:t>0,00</w:t>
            </w:r>
          </w:p>
        </w:tc>
      </w:tr>
      <w:tr w:rsidR="006068F2" w:rsidRPr="000B3007" w14:paraId="1F2AE719" w14:textId="77777777" w:rsidTr="00073140">
        <w:trPr>
          <w:trHeight w:val="227"/>
        </w:trPr>
        <w:tc>
          <w:tcPr>
            <w:tcW w:w="2835" w:type="dxa"/>
            <w:shd w:val="clear" w:color="auto" w:fill="DBE5F1" w:themeFill="accent1" w:themeFillTint="33"/>
            <w:vAlign w:val="center"/>
          </w:tcPr>
          <w:p w14:paraId="7843226B" w14:textId="77777777" w:rsidR="006068F2" w:rsidRPr="000B3007" w:rsidRDefault="006068F2" w:rsidP="006068F2">
            <w:pPr>
              <w:spacing w:after="0"/>
              <w:ind w:firstLine="0"/>
              <w:rPr>
                <w:color w:val="000000"/>
                <w:sz w:val="20"/>
                <w:lang w:eastAsia="lv-LV"/>
              </w:rPr>
            </w:pPr>
            <w:r w:rsidRPr="000B3007">
              <w:rPr>
                <w:color w:val="000000"/>
                <w:sz w:val="20"/>
                <w:lang w:eastAsia="lv-LV"/>
              </w:rPr>
              <w:t>Citi nenodokļu pasākumi</w:t>
            </w:r>
          </w:p>
        </w:tc>
        <w:tc>
          <w:tcPr>
            <w:tcW w:w="3402" w:type="dxa"/>
            <w:shd w:val="clear" w:color="auto" w:fill="DBE5F1" w:themeFill="accent1" w:themeFillTint="33"/>
            <w:vAlign w:val="center"/>
          </w:tcPr>
          <w:p w14:paraId="428C5B22" w14:textId="77777777" w:rsidR="006068F2" w:rsidRPr="000B3007" w:rsidRDefault="006068F2" w:rsidP="006068F2">
            <w:pPr>
              <w:spacing w:after="0"/>
              <w:ind w:firstLine="0"/>
              <w:rPr>
                <w:color w:val="000000"/>
                <w:sz w:val="20"/>
                <w:lang w:eastAsia="lv-LV"/>
              </w:rPr>
            </w:pPr>
            <w:r w:rsidRPr="000B3007">
              <w:rPr>
                <w:color w:val="000000"/>
                <w:sz w:val="20"/>
                <w:lang w:eastAsia="lv-LV"/>
              </w:rPr>
              <w:t> </w:t>
            </w:r>
          </w:p>
        </w:tc>
        <w:tc>
          <w:tcPr>
            <w:tcW w:w="1298" w:type="dxa"/>
            <w:shd w:val="clear" w:color="auto" w:fill="DBE5F1" w:themeFill="accent1" w:themeFillTint="33"/>
            <w:vAlign w:val="center"/>
          </w:tcPr>
          <w:p w14:paraId="1D90EF5C"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w:t>
            </w:r>
          </w:p>
        </w:tc>
        <w:tc>
          <w:tcPr>
            <w:tcW w:w="791" w:type="dxa"/>
            <w:shd w:val="clear" w:color="auto" w:fill="DBE5F1" w:themeFill="accent1" w:themeFillTint="33"/>
            <w:vAlign w:val="center"/>
          </w:tcPr>
          <w:p w14:paraId="5C3B6540"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w:t>
            </w:r>
          </w:p>
        </w:tc>
        <w:tc>
          <w:tcPr>
            <w:tcW w:w="1255" w:type="dxa"/>
            <w:shd w:val="clear" w:color="auto" w:fill="DBE5F1" w:themeFill="accent1" w:themeFillTint="33"/>
            <w:vAlign w:val="center"/>
          </w:tcPr>
          <w:p w14:paraId="6DA8375E"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w:t>
            </w:r>
          </w:p>
        </w:tc>
        <w:tc>
          <w:tcPr>
            <w:tcW w:w="1481" w:type="dxa"/>
            <w:shd w:val="clear" w:color="auto" w:fill="DBE5F1" w:themeFill="accent1" w:themeFillTint="33"/>
            <w:vAlign w:val="center"/>
          </w:tcPr>
          <w:p w14:paraId="6960F94C" w14:textId="77777777" w:rsidR="006068F2" w:rsidRPr="000B3007" w:rsidRDefault="006068F2" w:rsidP="006068F2">
            <w:pPr>
              <w:spacing w:after="0"/>
              <w:ind w:firstLine="0"/>
              <w:jc w:val="center"/>
              <w:rPr>
                <w:color w:val="000000"/>
                <w:sz w:val="20"/>
                <w:lang w:eastAsia="lv-LV"/>
              </w:rPr>
            </w:pPr>
            <w:r w:rsidRPr="000B3007">
              <w:rPr>
                <w:color w:val="000000"/>
                <w:sz w:val="20"/>
                <w:lang w:eastAsia="lv-LV"/>
              </w:rPr>
              <w:t> </w:t>
            </w:r>
          </w:p>
        </w:tc>
        <w:tc>
          <w:tcPr>
            <w:tcW w:w="730" w:type="dxa"/>
            <w:shd w:val="clear" w:color="auto" w:fill="DBE5F1" w:themeFill="accent1" w:themeFillTint="33"/>
            <w:noWrap/>
            <w:vAlign w:val="center"/>
          </w:tcPr>
          <w:p w14:paraId="4848C508" w14:textId="77777777" w:rsidR="006068F2" w:rsidRPr="000B3007" w:rsidRDefault="006068F2" w:rsidP="006068F2">
            <w:pPr>
              <w:spacing w:after="0"/>
              <w:ind w:firstLine="0"/>
              <w:jc w:val="center"/>
              <w:rPr>
                <w:color w:val="000000"/>
                <w:sz w:val="20"/>
                <w:lang w:eastAsia="lv-LV"/>
              </w:rPr>
            </w:pPr>
          </w:p>
        </w:tc>
        <w:tc>
          <w:tcPr>
            <w:tcW w:w="932" w:type="dxa"/>
            <w:shd w:val="clear" w:color="auto" w:fill="DBE5F1" w:themeFill="accent1" w:themeFillTint="33"/>
            <w:vAlign w:val="center"/>
          </w:tcPr>
          <w:p w14:paraId="2ABB9761" w14:textId="0E552144"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DBE5F1" w:themeFill="accent1" w:themeFillTint="33"/>
            <w:vAlign w:val="center"/>
          </w:tcPr>
          <w:p w14:paraId="79AB250C" w14:textId="0F8AA93E" w:rsidR="006068F2" w:rsidRPr="000B3007" w:rsidRDefault="006068F2" w:rsidP="006068F2">
            <w:pPr>
              <w:spacing w:after="0"/>
              <w:ind w:firstLine="0"/>
              <w:jc w:val="center"/>
              <w:rPr>
                <w:color w:val="000000"/>
                <w:sz w:val="20"/>
                <w:lang w:eastAsia="lv-LV"/>
              </w:rPr>
            </w:pPr>
            <w:r>
              <w:rPr>
                <w:color w:val="000000"/>
                <w:sz w:val="22"/>
                <w:szCs w:val="22"/>
              </w:rPr>
              <w:t>0,00</w:t>
            </w:r>
          </w:p>
        </w:tc>
        <w:tc>
          <w:tcPr>
            <w:tcW w:w="932" w:type="dxa"/>
            <w:shd w:val="clear" w:color="auto" w:fill="DBE5F1" w:themeFill="accent1" w:themeFillTint="33"/>
            <w:vAlign w:val="center"/>
          </w:tcPr>
          <w:p w14:paraId="35B94222" w14:textId="60367F1A" w:rsidR="006068F2" w:rsidRPr="000B3007" w:rsidRDefault="006068F2" w:rsidP="006068F2">
            <w:pPr>
              <w:spacing w:after="0"/>
              <w:ind w:firstLine="0"/>
              <w:jc w:val="center"/>
              <w:rPr>
                <w:color w:val="000000"/>
                <w:sz w:val="20"/>
                <w:lang w:eastAsia="lv-LV"/>
              </w:rPr>
            </w:pPr>
            <w:r>
              <w:rPr>
                <w:color w:val="000000"/>
                <w:sz w:val="22"/>
                <w:szCs w:val="22"/>
              </w:rPr>
              <w:t>0,00</w:t>
            </w:r>
          </w:p>
        </w:tc>
      </w:tr>
      <w:tr w:rsidR="006068F2" w:rsidRPr="000B3007" w14:paraId="1D4BC761" w14:textId="77777777" w:rsidTr="000B3007">
        <w:trPr>
          <w:trHeight w:val="227"/>
        </w:trPr>
        <w:tc>
          <w:tcPr>
            <w:tcW w:w="11792" w:type="dxa"/>
            <w:gridSpan w:val="7"/>
            <w:shd w:val="clear" w:color="auto" w:fill="FFFFFF" w:themeFill="background1"/>
            <w:noWrap/>
            <w:vAlign w:val="center"/>
            <w:hideMark/>
          </w:tcPr>
          <w:p w14:paraId="28AEBDBB" w14:textId="77777777" w:rsidR="006068F2" w:rsidRPr="000B3007" w:rsidRDefault="006068F2" w:rsidP="006068F2">
            <w:pPr>
              <w:spacing w:after="0"/>
              <w:ind w:firstLine="0"/>
              <w:jc w:val="right"/>
              <w:rPr>
                <w:b/>
                <w:bCs/>
                <w:color w:val="000000"/>
                <w:sz w:val="20"/>
                <w:highlight w:val="yellow"/>
                <w:lang w:eastAsia="lv-LV"/>
              </w:rPr>
            </w:pPr>
            <w:r w:rsidRPr="000B3007">
              <w:rPr>
                <w:b/>
                <w:bCs/>
                <w:color w:val="000000"/>
                <w:sz w:val="20"/>
                <w:lang w:eastAsia="lv-LV"/>
              </w:rPr>
              <w:t>Kopā</w:t>
            </w:r>
          </w:p>
        </w:tc>
        <w:tc>
          <w:tcPr>
            <w:tcW w:w="932" w:type="dxa"/>
            <w:shd w:val="clear" w:color="auto" w:fill="FFFFFF" w:themeFill="background1"/>
            <w:noWrap/>
            <w:vAlign w:val="center"/>
            <w:hideMark/>
          </w:tcPr>
          <w:p w14:paraId="52B17CDC" w14:textId="0F4AD2D4" w:rsidR="006068F2" w:rsidRPr="000B3007" w:rsidRDefault="006068F2" w:rsidP="006068F2">
            <w:pPr>
              <w:spacing w:after="0"/>
              <w:ind w:firstLine="0"/>
              <w:jc w:val="center"/>
              <w:rPr>
                <w:b/>
                <w:bCs/>
                <w:color w:val="000000"/>
                <w:sz w:val="20"/>
                <w:highlight w:val="yellow"/>
                <w:lang w:eastAsia="lv-LV"/>
              </w:rPr>
            </w:pPr>
            <w:r>
              <w:rPr>
                <w:b/>
                <w:bCs/>
                <w:color w:val="000000"/>
                <w:sz w:val="22"/>
                <w:szCs w:val="22"/>
              </w:rPr>
              <w:t>0,36</w:t>
            </w:r>
          </w:p>
        </w:tc>
        <w:tc>
          <w:tcPr>
            <w:tcW w:w="932" w:type="dxa"/>
            <w:shd w:val="clear" w:color="auto" w:fill="FFFFFF" w:themeFill="background1"/>
            <w:noWrap/>
            <w:vAlign w:val="center"/>
            <w:hideMark/>
          </w:tcPr>
          <w:p w14:paraId="7E0FDA29" w14:textId="002275FC" w:rsidR="006068F2" w:rsidRPr="000B3007" w:rsidRDefault="006068F2" w:rsidP="006068F2">
            <w:pPr>
              <w:spacing w:after="0"/>
              <w:ind w:firstLine="0"/>
              <w:jc w:val="center"/>
              <w:rPr>
                <w:b/>
                <w:bCs/>
                <w:color w:val="000000"/>
                <w:sz w:val="20"/>
                <w:highlight w:val="yellow"/>
                <w:lang w:eastAsia="lv-LV"/>
              </w:rPr>
            </w:pPr>
            <w:r>
              <w:rPr>
                <w:b/>
                <w:bCs/>
                <w:color w:val="000000"/>
                <w:sz w:val="22"/>
                <w:szCs w:val="22"/>
              </w:rPr>
              <w:t>-0,14</w:t>
            </w:r>
          </w:p>
        </w:tc>
        <w:tc>
          <w:tcPr>
            <w:tcW w:w="932" w:type="dxa"/>
            <w:shd w:val="clear" w:color="auto" w:fill="FFFFFF" w:themeFill="background1"/>
            <w:noWrap/>
            <w:vAlign w:val="center"/>
            <w:hideMark/>
          </w:tcPr>
          <w:p w14:paraId="413159B8" w14:textId="50EECAAE" w:rsidR="006068F2" w:rsidRPr="000B3007" w:rsidRDefault="006068F2" w:rsidP="006068F2">
            <w:pPr>
              <w:spacing w:after="0"/>
              <w:ind w:firstLine="0"/>
              <w:jc w:val="center"/>
              <w:rPr>
                <w:b/>
                <w:bCs/>
                <w:color w:val="000000"/>
                <w:sz w:val="20"/>
                <w:lang w:eastAsia="lv-LV"/>
              </w:rPr>
            </w:pPr>
            <w:r>
              <w:rPr>
                <w:b/>
                <w:bCs/>
                <w:color w:val="000000"/>
                <w:sz w:val="22"/>
                <w:szCs w:val="22"/>
              </w:rPr>
              <w:t>-0,03</w:t>
            </w:r>
          </w:p>
        </w:tc>
      </w:tr>
    </w:tbl>
    <w:p w14:paraId="60BAB17F" w14:textId="0DE0A143" w:rsidR="001F6968" w:rsidRDefault="001F6968" w:rsidP="00D50141">
      <w:pPr>
        <w:pStyle w:val="Heading1"/>
        <w:tabs>
          <w:tab w:val="left" w:pos="1276"/>
        </w:tabs>
        <w:spacing w:before="0" w:after="240"/>
        <w:ind w:firstLine="0"/>
        <w:jc w:val="left"/>
      </w:pPr>
    </w:p>
    <w:p w14:paraId="75382C6D" w14:textId="61D5FE34" w:rsidR="005B2F54" w:rsidRPr="00C3203D" w:rsidRDefault="00382BC7" w:rsidP="005B2F54">
      <w:pPr>
        <w:pStyle w:val="Heading1"/>
        <w:tabs>
          <w:tab w:val="left" w:pos="1276"/>
        </w:tabs>
        <w:spacing w:before="0" w:after="240"/>
        <w:ind w:left="1276" w:hanging="1276"/>
        <w:jc w:val="left"/>
        <w:rPr>
          <w:rFonts w:ascii="Times New Roman" w:hAnsi="Times New Roman"/>
          <w:color w:val="18185F"/>
          <w:sz w:val="24"/>
          <w:lang w:val="lv-LV"/>
        </w:rPr>
      </w:pPr>
      <w:r w:rsidRPr="001F6968">
        <w:br w:type="page"/>
      </w:r>
      <w:bookmarkStart w:id="30" w:name="_Toc494786356"/>
      <w:bookmarkStart w:id="31" w:name="_Toc21516517"/>
      <w:r w:rsidR="00B228CA" w:rsidRPr="00B228CA">
        <w:rPr>
          <w:rFonts w:ascii="Times New Roman" w:hAnsi="Times New Roman"/>
          <w:color w:val="18185F"/>
          <w:sz w:val="24"/>
        </w:rPr>
        <w:lastRenderedPageBreak/>
        <w:t xml:space="preserve">Tabula </w:t>
      </w:r>
      <w:r w:rsidR="005B2F54" w:rsidRPr="003318B1">
        <w:rPr>
          <w:rFonts w:ascii="Times New Roman" w:hAnsi="Times New Roman"/>
          <w:color w:val="18185F"/>
          <w:sz w:val="24"/>
        </w:rPr>
        <w:t>5.b</w:t>
      </w:r>
      <w:r w:rsidR="005B2F54" w:rsidRPr="00B228CA">
        <w:rPr>
          <w:rFonts w:ascii="Times New Roman" w:hAnsi="Times New Roman"/>
          <w:color w:val="18185F"/>
          <w:sz w:val="24"/>
        </w:rPr>
        <w:t>.</w:t>
      </w:r>
      <w:r w:rsidR="005B2F54" w:rsidRPr="003318B1">
        <w:rPr>
          <w:rFonts w:ascii="Times New Roman" w:hAnsi="Times New Roman"/>
          <w:color w:val="18185F"/>
          <w:sz w:val="24"/>
          <w:lang w:val="lv-LV"/>
        </w:rPr>
        <w:t>ii)</w:t>
      </w:r>
      <w:r w:rsidR="005B2F54" w:rsidRPr="003318B1">
        <w:rPr>
          <w:rFonts w:ascii="Times New Roman" w:hAnsi="Times New Roman"/>
          <w:color w:val="18185F"/>
          <w:sz w:val="24"/>
        </w:rPr>
        <w:t>: Diskrecionārie</w:t>
      </w:r>
      <w:r w:rsidR="005B2F54" w:rsidRPr="003318B1">
        <w:rPr>
          <w:rFonts w:ascii="Times New Roman" w:hAnsi="Times New Roman"/>
          <w:color w:val="18185F"/>
          <w:sz w:val="24"/>
          <w:lang w:val="lv-LV"/>
        </w:rPr>
        <w:t xml:space="preserve"> izdevumi</w:t>
      </w:r>
      <w:r w:rsidR="005B2F54" w:rsidRPr="003318B1">
        <w:rPr>
          <w:rFonts w:ascii="Times New Roman" w:hAnsi="Times New Roman"/>
          <w:color w:val="18185F"/>
          <w:sz w:val="24"/>
        </w:rPr>
        <w:t xml:space="preserve"> pasākumi </w:t>
      </w:r>
      <w:r w:rsidR="005B2F54" w:rsidRPr="003318B1">
        <w:rPr>
          <w:rFonts w:ascii="Times New Roman" w:hAnsi="Times New Roman"/>
          <w:color w:val="18185F"/>
          <w:sz w:val="24"/>
          <w:lang w:val="lv-LV"/>
        </w:rPr>
        <w:t>centrālās valdības budžetā</w:t>
      </w:r>
      <w:bookmarkEnd w:id="30"/>
      <w:bookmarkEnd w:id="31"/>
    </w:p>
    <w:tbl>
      <w:tblPr>
        <w:tblW w:w="14924"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6946"/>
        <w:gridCol w:w="992"/>
        <w:gridCol w:w="1560"/>
        <w:gridCol w:w="1559"/>
        <w:gridCol w:w="1276"/>
        <w:gridCol w:w="1275"/>
        <w:gridCol w:w="1316"/>
      </w:tblGrid>
      <w:tr w:rsidR="00C166DF" w:rsidRPr="000B3007" w14:paraId="383D71E1" w14:textId="77777777" w:rsidTr="008906EA">
        <w:trPr>
          <w:trHeight w:val="510"/>
        </w:trPr>
        <w:tc>
          <w:tcPr>
            <w:tcW w:w="6946" w:type="dxa"/>
            <w:shd w:val="clear" w:color="DDEBF7" w:fill="8EA9DB"/>
            <w:vAlign w:val="center"/>
            <w:hideMark/>
          </w:tcPr>
          <w:p w14:paraId="038AD22D" w14:textId="77777777" w:rsidR="00C166DF" w:rsidRPr="000B3007" w:rsidRDefault="00C166DF" w:rsidP="00C20C2A">
            <w:pPr>
              <w:spacing w:after="0"/>
              <w:ind w:firstLine="0"/>
              <w:jc w:val="center"/>
              <w:rPr>
                <w:b/>
                <w:bCs/>
                <w:color w:val="000000"/>
                <w:sz w:val="20"/>
                <w:lang w:eastAsia="lv-LV"/>
              </w:rPr>
            </w:pPr>
            <w:bookmarkStart w:id="32" w:name="_Toc494786357"/>
            <w:r w:rsidRPr="000B3007">
              <w:rPr>
                <w:b/>
                <w:bCs/>
                <w:color w:val="000000"/>
                <w:sz w:val="20"/>
                <w:lang w:eastAsia="lv-LV"/>
              </w:rPr>
              <w:t>Pasākuma nosaukums</w:t>
            </w:r>
          </w:p>
        </w:tc>
        <w:tc>
          <w:tcPr>
            <w:tcW w:w="992" w:type="dxa"/>
            <w:shd w:val="clear" w:color="DDEBF7" w:fill="8EA9DB"/>
            <w:vAlign w:val="center"/>
            <w:hideMark/>
          </w:tcPr>
          <w:p w14:paraId="7FADC0FD"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EKS</w:t>
            </w:r>
          </w:p>
        </w:tc>
        <w:tc>
          <w:tcPr>
            <w:tcW w:w="1560" w:type="dxa"/>
            <w:shd w:val="clear" w:color="DDEBF7" w:fill="8EA9DB"/>
            <w:vAlign w:val="center"/>
            <w:hideMark/>
          </w:tcPr>
          <w:p w14:paraId="47D1B667"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Uzskaites princips</w:t>
            </w:r>
          </w:p>
        </w:tc>
        <w:tc>
          <w:tcPr>
            <w:tcW w:w="1559" w:type="dxa"/>
            <w:shd w:val="clear" w:color="DDEBF7" w:fill="8EA9DB"/>
            <w:vAlign w:val="center"/>
            <w:hideMark/>
          </w:tcPr>
          <w:p w14:paraId="534F5712"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Pieņemšanas statuss</w:t>
            </w:r>
          </w:p>
        </w:tc>
        <w:tc>
          <w:tcPr>
            <w:tcW w:w="1276" w:type="dxa"/>
            <w:shd w:val="clear" w:color="DDEBF7" w:fill="8EA9DB"/>
            <w:vAlign w:val="center"/>
            <w:hideMark/>
          </w:tcPr>
          <w:p w14:paraId="25CC3C96"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2020</w:t>
            </w:r>
          </w:p>
        </w:tc>
        <w:tc>
          <w:tcPr>
            <w:tcW w:w="1275" w:type="dxa"/>
            <w:shd w:val="clear" w:color="DDEBF7" w:fill="8EA9DB"/>
            <w:vAlign w:val="center"/>
            <w:hideMark/>
          </w:tcPr>
          <w:p w14:paraId="273D0150"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2021</w:t>
            </w:r>
          </w:p>
        </w:tc>
        <w:tc>
          <w:tcPr>
            <w:tcW w:w="1316" w:type="dxa"/>
            <w:shd w:val="clear" w:color="DDEBF7" w:fill="8EA9DB"/>
            <w:vAlign w:val="center"/>
            <w:hideMark/>
          </w:tcPr>
          <w:p w14:paraId="6A682417"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2022</w:t>
            </w:r>
          </w:p>
        </w:tc>
      </w:tr>
      <w:tr w:rsidR="00C166DF" w:rsidRPr="000B3007" w14:paraId="27AA809A" w14:textId="77777777" w:rsidTr="008906EA">
        <w:trPr>
          <w:trHeight w:val="255"/>
        </w:trPr>
        <w:tc>
          <w:tcPr>
            <w:tcW w:w="6946" w:type="dxa"/>
            <w:shd w:val="clear" w:color="auto" w:fill="DBE5F1" w:themeFill="accent1" w:themeFillTint="33"/>
            <w:vAlign w:val="center"/>
            <w:hideMark/>
          </w:tcPr>
          <w:p w14:paraId="28469151" w14:textId="77777777" w:rsidR="00C166DF" w:rsidRPr="000B3007" w:rsidRDefault="00C166DF" w:rsidP="00C20C2A">
            <w:pPr>
              <w:spacing w:after="0"/>
              <w:ind w:firstLine="0"/>
              <w:rPr>
                <w:b/>
                <w:bCs/>
                <w:color w:val="000000"/>
                <w:sz w:val="20"/>
                <w:lang w:eastAsia="lv-LV"/>
              </w:rPr>
            </w:pPr>
          </w:p>
        </w:tc>
        <w:tc>
          <w:tcPr>
            <w:tcW w:w="4111" w:type="dxa"/>
            <w:gridSpan w:val="3"/>
            <w:shd w:val="clear" w:color="000000" w:fill="DDEBF7"/>
            <w:noWrap/>
            <w:vAlign w:val="center"/>
            <w:hideMark/>
          </w:tcPr>
          <w:p w14:paraId="36419C54" w14:textId="77777777" w:rsidR="00C166DF" w:rsidRPr="000B3007" w:rsidRDefault="00C166DF" w:rsidP="008906EA">
            <w:pPr>
              <w:spacing w:after="0"/>
              <w:ind w:firstLine="0"/>
              <w:jc w:val="center"/>
              <w:rPr>
                <w:b/>
                <w:bCs/>
                <w:color w:val="000000"/>
                <w:sz w:val="20"/>
                <w:lang w:eastAsia="lv-LV"/>
              </w:rPr>
            </w:pPr>
          </w:p>
        </w:tc>
        <w:tc>
          <w:tcPr>
            <w:tcW w:w="3867" w:type="dxa"/>
            <w:gridSpan w:val="3"/>
            <w:shd w:val="clear" w:color="000000" w:fill="DDEBF7"/>
            <w:noWrap/>
            <w:vAlign w:val="center"/>
            <w:hideMark/>
          </w:tcPr>
          <w:p w14:paraId="0E171C6F"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 no IKP</w:t>
            </w:r>
          </w:p>
        </w:tc>
      </w:tr>
      <w:tr w:rsidR="00C166DF" w:rsidRPr="000B3007" w14:paraId="2B420196" w14:textId="77777777" w:rsidTr="008906EA">
        <w:trPr>
          <w:trHeight w:val="255"/>
        </w:trPr>
        <w:tc>
          <w:tcPr>
            <w:tcW w:w="6946" w:type="dxa"/>
            <w:shd w:val="clear" w:color="000000" w:fill="DDEBF7"/>
            <w:hideMark/>
          </w:tcPr>
          <w:p w14:paraId="53146936"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Korupcijas novēršanas un apkarošanas birojs</w:t>
            </w:r>
          </w:p>
        </w:tc>
        <w:tc>
          <w:tcPr>
            <w:tcW w:w="992" w:type="dxa"/>
            <w:shd w:val="clear" w:color="000000" w:fill="DDEBF7"/>
            <w:vAlign w:val="center"/>
            <w:hideMark/>
          </w:tcPr>
          <w:p w14:paraId="51153194"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351BE95C"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0AD44C29"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0D7A7D4A"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2F2542CC"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43804774" w14:textId="77777777" w:rsidR="00C166DF" w:rsidRPr="000B3007" w:rsidRDefault="00C166DF" w:rsidP="008906EA">
            <w:pPr>
              <w:spacing w:after="0"/>
              <w:ind w:firstLine="0"/>
              <w:jc w:val="center"/>
              <w:rPr>
                <w:b/>
                <w:bCs/>
                <w:color w:val="000000"/>
                <w:sz w:val="20"/>
                <w:lang w:eastAsia="lv-LV"/>
              </w:rPr>
            </w:pPr>
          </w:p>
        </w:tc>
      </w:tr>
      <w:tr w:rsidR="00C166DF" w:rsidRPr="000B3007" w14:paraId="50974ED6" w14:textId="77777777" w:rsidTr="008906EA">
        <w:trPr>
          <w:trHeight w:val="510"/>
        </w:trPr>
        <w:tc>
          <w:tcPr>
            <w:tcW w:w="6946" w:type="dxa"/>
            <w:shd w:val="clear" w:color="auto" w:fill="auto"/>
            <w:hideMark/>
          </w:tcPr>
          <w:p w14:paraId="1E43A62B" w14:textId="77777777" w:rsidR="00C166DF" w:rsidRPr="000B3007" w:rsidRDefault="00C166DF" w:rsidP="00C20C2A">
            <w:pPr>
              <w:spacing w:after="0"/>
              <w:ind w:firstLine="0"/>
              <w:rPr>
                <w:color w:val="000000"/>
                <w:sz w:val="20"/>
                <w:lang w:eastAsia="lv-LV"/>
              </w:rPr>
            </w:pPr>
            <w:r w:rsidRPr="000B3007">
              <w:rPr>
                <w:color w:val="000000"/>
                <w:sz w:val="20"/>
                <w:lang w:eastAsia="lv-LV"/>
              </w:rPr>
              <w:t>Finansējums prioritārajam pasākumam "Jaunais politisko organizāciju (partiju) finansēšanas modelis"</w:t>
            </w:r>
          </w:p>
        </w:tc>
        <w:tc>
          <w:tcPr>
            <w:tcW w:w="992" w:type="dxa"/>
            <w:shd w:val="clear" w:color="auto" w:fill="auto"/>
            <w:vAlign w:val="center"/>
            <w:hideMark/>
          </w:tcPr>
          <w:p w14:paraId="244A8ED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5B55E7E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9AE6C0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373EE1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11829BA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5A99928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21F45F2B" w14:textId="77777777" w:rsidTr="008906EA">
        <w:trPr>
          <w:trHeight w:val="255"/>
        </w:trPr>
        <w:tc>
          <w:tcPr>
            <w:tcW w:w="6946" w:type="dxa"/>
            <w:shd w:val="clear" w:color="000000" w:fill="DDEBF7"/>
            <w:hideMark/>
          </w:tcPr>
          <w:p w14:paraId="57B84301"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Finanšu ministrija</w:t>
            </w:r>
          </w:p>
        </w:tc>
        <w:tc>
          <w:tcPr>
            <w:tcW w:w="992" w:type="dxa"/>
            <w:shd w:val="clear" w:color="000000" w:fill="DDEBF7"/>
            <w:vAlign w:val="center"/>
            <w:hideMark/>
          </w:tcPr>
          <w:p w14:paraId="52EF6058"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444FE7C9"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487BDF5D"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5334C85A"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2AF70F2C"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630DC2BB" w14:textId="77777777" w:rsidR="00C166DF" w:rsidRPr="000B3007" w:rsidRDefault="00C166DF" w:rsidP="008906EA">
            <w:pPr>
              <w:spacing w:after="0"/>
              <w:ind w:firstLine="0"/>
              <w:jc w:val="center"/>
              <w:rPr>
                <w:b/>
                <w:bCs/>
                <w:color w:val="000000"/>
                <w:sz w:val="20"/>
                <w:lang w:eastAsia="lv-LV"/>
              </w:rPr>
            </w:pPr>
          </w:p>
        </w:tc>
      </w:tr>
      <w:tr w:rsidR="00C166DF" w:rsidRPr="000B3007" w14:paraId="7E6CEB63" w14:textId="77777777" w:rsidTr="008906EA">
        <w:trPr>
          <w:trHeight w:val="510"/>
        </w:trPr>
        <w:tc>
          <w:tcPr>
            <w:tcW w:w="6946" w:type="dxa"/>
            <w:shd w:val="clear" w:color="auto" w:fill="auto"/>
            <w:hideMark/>
          </w:tcPr>
          <w:p w14:paraId="36F3C94A" w14:textId="77777777" w:rsidR="00C166DF" w:rsidRPr="000B3007" w:rsidRDefault="00C166DF" w:rsidP="00C20C2A">
            <w:pPr>
              <w:spacing w:after="0"/>
              <w:ind w:firstLine="0"/>
              <w:rPr>
                <w:color w:val="000000"/>
                <w:sz w:val="20"/>
                <w:lang w:eastAsia="lv-LV"/>
              </w:rPr>
            </w:pPr>
            <w:r w:rsidRPr="000B3007">
              <w:rPr>
                <w:color w:val="000000"/>
                <w:sz w:val="20"/>
                <w:lang w:eastAsia="lv-LV"/>
              </w:rPr>
              <w:t>Finansējuma izmaiņas ilgtermiņa saistību pasākumam "Dotācija VAS "Valsts nekustamie īpašumi" Jaunā Rīgas teātra ēkas rekonstrukcijai"</w:t>
            </w:r>
          </w:p>
        </w:tc>
        <w:tc>
          <w:tcPr>
            <w:tcW w:w="992" w:type="dxa"/>
            <w:shd w:val="clear" w:color="auto" w:fill="auto"/>
            <w:vAlign w:val="center"/>
            <w:hideMark/>
          </w:tcPr>
          <w:p w14:paraId="417DFF76"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P.51</w:t>
            </w:r>
          </w:p>
        </w:tc>
        <w:tc>
          <w:tcPr>
            <w:tcW w:w="1560" w:type="dxa"/>
            <w:shd w:val="clear" w:color="auto" w:fill="auto"/>
            <w:noWrap/>
            <w:vAlign w:val="center"/>
            <w:hideMark/>
          </w:tcPr>
          <w:p w14:paraId="19BE3B1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1ECD5E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5D74A9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0F54B7B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0,04</w:t>
            </w:r>
          </w:p>
        </w:tc>
        <w:tc>
          <w:tcPr>
            <w:tcW w:w="1316" w:type="dxa"/>
            <w:shd w:val="clear" w:color="auto" w:fill="auto"/>
            <w:vAlign w:val="center"/>
            <w:hideMark/>
          </w:tcPr>
          <w:p w14:paraId="4018471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3BD12EA1" w14:textId="77777777" w:rsidTr="008906EA">
        <w:trPr>
          <w:trHeight w:val="300"/>
        </w:trPr>
        <w:tc>
          <w:tcPr>
            <w:tcW w:w="6946" w:type="dxa"/>
            <w:shd w:val="clear" w:color="auto" w:fill="auto"/>
            <w:hideMark/>
          </w:tcPr>
          <w:p w14:paraId="338F3C96" w14:textId="77777777" w:rsidR="00C166DF" w:rsidRPr="000B3007" w:rsidRDefault="00C166DF" w:rsidP="00C20C2A">
            <w:pPr>
              <w:spacing w:after="0"/>
              <w:ind w:firstLine="0"/>
              <w:rPr>
                <w:color w:val="000000"/>
                <w:sz w:val="20"/>
                <w:lang w:eastAsia="lv-LV"/>
              </w:rPr>
            </w:pPr>
            <w:r w:rsidRPr="000B3007">
              <w:rPr>
                <w:color w:val="000000"/>
                <w:sz w:val="20"/>
                <w:lang w:eastAsia="lv-LV"/>
              </w:rPr>
              <w:t>Finansējuma samazinājums atbilstoši izdevumu pārskatīšanas rezultātiem</w:t>
            </w:r>
          </w:p>
        </w:tc>
        <w:tc>
          <w:tcPr>
            <w:tcW w:w="992" w:type="dxa"/>
            <w:shd w:val="clear" w:color="auto" w:fill="auto"/>
            <w:vAlign w:val="center"/>
            <w:hideMark/>
          </w:tcPr>
          <w:p w14:paraId="191417A4" w14:textId="77777777" w:rsidR="00C166DF" w:rsidRPr="000B3007" w:rsidRDefault="00C166DF" w:rsidP="008906EA">
            <w:pPr>
              <w:spacing w:after="0"/>
              <w:ind w:firstLine="0"/>
              <w:jc w:val="center"/>
              <w:rPr>
                <w:color w:val="000000"/>
                <w:sz w:val="20"/>
                <w:lang w:eastAsia="lv-LV"/>
              </w:rPr>
            </w:pPr>
          </w:p>
        </w:tc>
        <w:tc>
          <w:tcPr>
            <w:tcW w:w="1560" w:type="dxa"/>
            <w:shd w:val="clear" w:color="auto" w:fill="auto"/>
            <w:noWrap/>
            <w:vAlign w:val="center"/>
            <w:hideMark/>
          </w:tcPr>
          <w:p w14:paraId="32DBBD8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303B54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04EEDB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-0,09</w:t>
            </w:r>
          </w:p>
        </w:tc>
        <w:tc>
          <w:tcPr>
            <w:tcW w:w="1275" w:type="dxa"/>
            <w:shd w:val="clear" w:color="auto" w:fill="auto"/>
            <w:vAlign w:val="center"/>
            <w:hideMark/>
          </w:tcPr>
          <w:p w14:paraId="5F03504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0,03</w:t>
            </w:r>
          </w:p>
        </w:tc>
        <w:tc>
          <w:tcPr>
            <w:tcW w:w="1316" w:type="dxa"/>
            <w:shd w:val="clear" w:color="auto" w:fill="auto"/>
            <w:vAlign w:val="center"/>
            <w:hideMark/>
          </w:tcPr>
          <w:p w14:paraId="1D2BFE8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-0,07</w:t>
            </w:r>
          </w:p>
        </w:tc>
      </w:tr>
      <w:tr w:rsidR="00C166DF" w:rsidRPr="000B3007" w14:paraId="40D55D39" w14:textId="77777777" w:rsidTr="008906EA">
        <w:trPr>
          <w:trHeight w:val="255"/>
        </w:trPr>
        <w:tc>
          <w:tcPr>
            <w:tcW w:w="6946" w:type="dxa"/>
            <w:shd w:val="clear" w:color="000000" w:fill="DDEBF7"/>
            <w:hideMark/>
          </w:tcPr>
          <w:p w14:paraId="62F6B44C"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Iekšlietu ministrija</w:t>
            </w:r>
          </w:p>
        </w:tc>
        <w:tc>
          <w:tcPr>
            <w:tcW w:w="992" w:type="dxa"/>
            <w:shd w:val="clear" w:color="000000" w:fill="DDEBF7"/>
            <w:vAlign w:val="center"/>
            <w:hideMark/>
          </w:tcPr>
          <w:p w14:paraId="2D6FB156"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30F2EF09"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72C8E7FC"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2078A5D6"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4F7EBCD0"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4C1E48A2" w14:textId="77777777" w:rsidR="00C166DF" w:rsidRPr="000B3007" w:rsidRDefault="00C166DF" w:rsidP="008906EA">
            <w:pPr>
              <w:spacing w:after="0"/>
              <w:ind w:firstLine="0"/>
              <w:jc w:val="center"/>
              <w:rPr>
                <w:b/>
                <w:bCs/>
                <w:color w:val="000000"/>
                <w:sz w:val="20"/>
                <w:lang w:eastAsia="lv-LV"/>
              </w:rPr>
            </w:pPr>
          </w:p>
        </w:tc>
      </w:tr>
      <w:tr w:rsidR="00C166DF" w:rsidRPr="000B3007" w14:paraId="704E312D" w14:textId="77777777" w:rsidTr="008906EA">
        <w:trPr>
          <w:trHeight w:val="765"/>
        </w:trPr>
        <w:tc>
          <w:tcPr>
            <w:tcW w:w="6946" w:type="dxa"/>
            <w:shd w:val="clear" w:color="auto" w:fill="auto"/>
            <w:hideMark/>
          </w:tcPr>
          <w:p w14:paraId="54661C89" w14:textId="77777777" w:rsidR="00C166DF" w:rsidRPr="000B3007" w:rsidRDefault="00C166DF" w:rsidP="00C20C2A">
            <w:pPr>
              <w:spacing w:after="0"/>
              <w:ind w:firstLine="0"/>
              <w:rPr>
                <w:color w:val="000000"/>
                <w:sz w:val="20"/>
                <w:lang w:eastAsia="lv-LV"/>
              </w:rPr>
            </w:pPr>
            <w:r w:rsidRPr="000B3007">
              <w:rPr>
                <w:color w:val="000000"/>
                <w:sz w:val="20"/>
                <w:lang w:eastAsia="lv-LV"/>
              </w:rPr>
              <w:t>Izdevumu palielinājums prioritārajam pasākumam, lai nodrošinātu atlīdzības palielinājumu Iekšlietu sistēmas iestāžu amatpersonām ar speciālo dienesta pakāpi, nodrošinot Izmeklētāju mēnešalgas atbilstību rajona prokurora mēnešalgai</w:t>
            </w:r>
          </w:p>
        </w:tc>
        <w:tc>
          <w:tcPr>
            <w:tcW w:w="992" w:type="dxa"/>
            <w:shd w:val="clear" w:color="auto" w:fill="auto"/>
            <w:vAlign w:val="center"/>
            <w:hideMark/>
          </w:tcPr>
          <w:p w14:paraId="6C61A2E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78B2C69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7D7A617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5AF9990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34714F9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7A06C20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552340C9" w14:textId="77777777" w:rsidTr="008906EA">
        <w:trPr>
          <w:trHeight w:val="510"/>
        </w:trPr>
        <w:tc>
          <w:tcPr>
            <w:tcW w:w="6946" w:type="dxa"/>
            <w:shd w:val="clear" w:color="auto" w:fill="auto"/>
            <w:hideMark/>
          </w:tcPr>
          <w:p w14:paraId="02C172D4" w14:textId="77777777" w:rsidR="00C166DF" w:rsidRPr="000B3007" w:rsidRDefault="00C166DF" w:rsidP="00C20C2A">
            <w:pPr>
              <w:spacing w:after="0"/>
              <w:ind w:firstLine="0"/>
              <w:rPr>
                <w:color w:val="000000"/>
                <w:sz w:val="20"/>
                <w:lang w:eastAsia="lv-LV"/>
              </w:rPr>
            </w:pPr>
            <w:r w:rsidRPr="000B3007">
              <w:rPr>
                <w:color w:val="000000"/>
                <w:sz w:val="20"/>
                <w:lang w:eastAsia="lv-LV"/>
              </w:rPr>
              <w:t>Izdevumu palielinājums prioritārajam pasākumam, lai nodrošinātu atlīdzības palielinājumu Iekšlietu sistēmas iestāžu amatpersonām ar speciālo dienesta pakāpi</w:t>
            </w:r>
          </w:p>
        </w:tc>
        <w:tc>
          <w:tcPr>
            <w:tcW w:w="992" w:type="dxa"/>
            <w:shd w:val="clear" w:color="auto" w:fill="auto"/>
            <w:vAlign w:val="center"/>
            <w:hideMark/>
          </w:tcPr>
          <w:p w14:paraId="525EDCA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1C43978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8193B5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B06208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251B473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287F73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7B212E18" w14:textId="77777777" w:rsidTr="008906EA">
        <w:trPr>
          <w:trHeight w:val="255"/>
        </w:trPr>
        <w:tc>
          <w:tcPr>
            <w:tcW w:w="6946" w:type="dxa"/>
            <w:shd w:val="clear" w:color="000000" w:fill="DDEBF7"/>
            <w:hideMark/>
          </w:tcPr>
          <w:p w14:paraId="44793004"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Izglītības un zinātnes ministrija</w:t>
            </w:r>
          </w:p>
        </w:tc>
        <w:tc>
          <w:tcPr>
            <w:tcW w:w="992" w:type="dxa"/>
            <w:shd w:val="clear" w:color="000000" w:fill="DDEBF7"/>
            <w:vAlign w:val="center"/>
            <w:hideMark/>
          </w:tcPr>
          <w:p w14:paraId="7833F0DA"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7BABCE82"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091E400D"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688BD8B6"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58059B7A"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6A2A7D98" w14:textId="77777777" w:rsidR="00C166DF" w:rsidRPr="000B3007" w:rsidRDefault="00C166DF" w:rsidP="008906EA">
            <w:pPr>
              <w:spacing w:after="0"/>
              <w:ind w:firstLine="0"/>
              <w:jc w:val="center"/>
              <w:rPr>
                <w:b/>
                <w:bCs/>
                <w:color w:val="000000"/>
                <w:sz w:val="20"/>
                <w:lang w:eastAsia="lv-LV"/>
              </w:rPr>
            </w:pPr>
          </w:p>
        </w:tc>
      </w:tr>
      <w:tr w:rsidR="00C166DF" w:rsidRPr="000B3007" w14:paraId="502644C5" w14:textId="77777777" w:rsidTr="008906EA">
        <w:trPr>
          <w:trHeight w:val="300"/>
        </w:trPr>
        <w:tc>
          <w:tcPr>
            <w:tcW w:w="6946" w:type="dxa"/>
            <w:shd w:val="clear" w:color="auto" w:fill="auto"/>
            <w:hideMark/>
          </w:tcPr>
          <w:p w14:paraId="42F254EA" w14:textId="77777777" w:rsidR="00C166DF" w:rsidRPr="000B3007" w:rsidRDefault="00C166DF" w:rsidP="00C20C2A">
            <w:pPr>
              <w:spacing w:after="0"/>
              <w:ind w:firstLine="0"/>
              <w:rPr>
                <w:color w:val="000000"/>
                <w:sz w:val="20"/>
                <w:lang w:eastAsia="lv-LV"/>
              </w:rPr>
            </w:pPr>
            <w:r w:rsidRPr="000B3007">
              <w:rPr>
                <w:color w:val="000000"/>
                <w:sz w:val="20"/>
                <w:lang w:eastAsia="lv-LV"/>
              </w:rPr>
              <w:t>Izmaiņas ēdināšanas funkcijas nodrošināšanas finansējumā (1.-4.klase)</w:t>
            </w:r>
          </w:p>
        </w:tc>
        <w:tc>
          <w:tcPr>
            <w:tcW w:w="992" w:type="dxa"/>
            <w:shd w:val="clear" w:color="auto" w:fill="auto"/>
            <w:vAlign w:val="center"/>
            <w:hideMark/>
          </w:tcPr>
          <w:p w14:paraId="65B07B22" w14:textId="77777777" w:rsidR="00C166DF" w:rsidRPr="000B3007" w:rsidRDefault="00C166DF" w:rsidP="008906EA">
            <w:pPr>
              <w:spacing w:after="0"/>
              <w:ind w:firstLine="0"/>
              <w:jc w:val="center"/>
              <w:rPr>
                <w:color w:val="000000"/>
                <w:sz w:val="20"/>
                <w:lang w:eastAsia="lv-LV"/>
              </w:rPr>
            </w:pPr>
          </w:p>
        </w:tc>
        <w:tc>
          <w:tcPr>
            <w:tcW w:w="1560" w:type="dxa"/>
            <w:shd w:val="clear" w:color="auto" w:fill="auto"/>
            <w:noWrap/>
            <w:vAlign w:val="center"/>
            <w:hideMark/>
          </w:tcPr>
          <w:p w14:paraId="3E70B74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534A05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EF74F1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-0,03</w:t>
            </w:r>
          </w:p>
        </w:tc>
        <w:tc>
          <w:tcPr>
            <w:tcW w:w="1275" w:type="dxa"/>
            <w:shd w:val="clear" w:color="auto" w:fill="auto"/>
            <w:vAlign w:val="center"/>
            <w:hideMark/>
          </w:tcPr>
          <w:p w14:paraId="00A2156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651ACC8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57BEAF65" w14:textId="77777777" w:rsidTr="008906EA">
        <w:trPr>
          <w:trHeight w:val="510"/>
        </w:trPr>
        <w:tc>
          <w:tcPr>
            <w:tcW w:w="6946" w:type="dxa"/>
            <w:shd w:val="clear" w:color="auto" w:fill="auto"/>
            <w:hideMark/>
          </w:tcPr>
          <w:p w14:paraId="67290F0F" w14:textId="77777777" w:rsidR="00C166DF" w:rsidRPr="000B3007" w:rsidRDefault="00C166DF" w:rsidP="00C20C2A">
            <w:pPr>
              <w:spacing w:after="0"/>
              <w:ind w:firstLine="0"/>
              <w:rPr>
                <w:sz w:val="20"/>
                <w:lang w:eastAsia="lv-LV"/>
              </w:rPr>
            </w:pPr>
            <w:r w:rsidRPr="000B3007">
              <w:rPr>
                <w:sz w:val="20"/>
                <w:lang w:eastAsia="lv-LV"/>
              </w:rPr>
              <w:t>Finansējuma palielinājums prioritārajam pasākumam par dalību Eiropas Kosmosa aģentūras Sadarbības valsts vai Asociētās dalībvalsts statusā</w:t>
            </w:r>
          </w:p>
        </w:tc>
        <w:tc>
          <w:tcPr>
            <w:tcW w:w="992" w:type="dxa"/>
            <w:shd w:val="clear" w:color="auto" w:fill="auto"/>
            <w:vAlign w:val="center"/>
            <w:hideMark/>
          </w:tcPr>
          <w:p w14:paraId="2D3395F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2F0C93D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091B0E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03B333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3A2823B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30EEE47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r>
      <w:tr w:rsidR="00C166DF" w:rsidRPr="000B3007" w14:paraId="1A3187E2" w14:textId="77777777" w:rsidTr="008906EA">
        <w:trPr>
          <w:trHeight w:val="510"/>
        </w:trPr>
        <w:tc>
          <w:tcPr>
            <w:tcW w:w="6946" w:type="dxa"/>
            <w:shd w:val="clear" w:color="auto" w:fill="auto"/>
            <w:hideMark/>
          </w:tcPr>
          <w:p w14:paraId="495BA88E" w14:textId="77777777" w:rsidR="00C166DF" w:rsidRPr="000B3007" w:rsidRDefault="00C166DF" w:rsidP="00C20C2A">
            <w:pPr>
              <w:spacing w:after="0"/>
              <w:ind w:firstLine="0"/>
              <w:rPr>
                <w:color w:val="000000"/>
                <w:sz w:val="20"/>
                <w:lang w:eastAsia="lv-LV"/>
              </w:rPr>
            </w:pPr>
            <w:r w:rsidRPr="000B3007">
              <w:rPr>
                <w:color w:val="000000"/>
                <w:sz w:val="20"/>
                <w:lang w:eastAsia="lv-LV"/>
              </w:rPr>
              <w:t>Finansējuma palielinājums ERAF, ESF, Erasmus+ un Eiropas Solidaritātes korpuss projektu īstenošanai</w:t>
            </w:r>
          </w:p>
        </w:tc>
        <w:tc>
          <w:tcPr>
            <w:tcW w:w="992" w:type="dxa"/>
            <w:shd w:val="clear" w:color="auto" w:fill="auto"/>
            <w:vAlign w:val="center"/>
            <w:hideMark/>
          </w:tcPr>
          <w:p w14:paraId="5C5E3AE2" w14:textId="77777777" w:rsidR="00C166DF" w:rsidRPr="000B3007" w:rsidRDefault="00C166DF" w:rsidP="008906EA">
            <w:pPr>
              <w:spacing w:after="0"/>
              <w:ind w:firstLine="0"/>
              <w:jc w:val="center"/>
              <w:rPr>
                <w:color w:val="000000"/>
                <w:sz w:val="20"/>
                <w:lang w:eastAsia="lv-LV"/>
              </w:rPr>
            </w:pPr>
          </w:p>
        </w:tc>
        <w:tc>
          <w:tcPr>
            <w:tcW w:w="1560" w:type="dxa"/>
            <w:shd w:val="clear" w:color="auto" w:fill="auto"/>
            <w:noWrap/>
            <w:vAlign w:val="center"/>
            <w:hideMark/>
          </w:tcPr>
          <w:p w14:paraId="2605CE2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47C1ECF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75AD31F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0,10</w:t>
            </w:r>
          </w:p>
        </w:tc>
        <w:tc>
          <w:tcPr>
            <w:tcW w:w="1275" w:type="dxa"/>
            <w:shd w:val="clear" w:color="auto" w:fill="auto"/>
            <w:vAlign w:val="center"/>
            <w:hideMark/>
          </w:tcPr>
          <w:p w14:paraId="106300A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-0,08</w:t>
            </w:r>
          </w:p>
        </w:tc>
        <w:tc>
          <w:tcPr>
            <w:tcW w:w="1316" w:type="dxa"/>
            <w:shd w:val="clear" w:color="auto" w:fill="auto"/>
            <w:vAlign w:val="center"/>
            <w:hideMark/>
          </w:tcPr>
          <w:p w14:paraId="411D401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r>
      <w:tr w:rsidR="00C166DF" w:rsidRPr="000B3007" w14:paraId="59C2F32E" w14:textId="77777777" w:rsidTr="008906EA">
        <w:trPr>
          <w:trHeight w:val="255"/>
        </w:trPr>
        <w:tc>
          <w:tcPr>
            <w:tcW w:w="6946" w:type="dxa"/>
            <w:shd w:val="clear" w:color="000000" w:fill="DDEBF7"/>
            <w:hideMark/>
          </w:tcPr>
          <w:p w14:paraId="7936996D"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Zemkopības ministrija</w:t>
            </w:r>
          </w:p>
        </w:tc>
        <w:tc>
          <w:tcPr>
            <w:tcW w:w="992" w:type="dxa"/>
            <w:shd w:val="clear" w:color="000000" w:fill="DDEBF7"/>
            <w:vAlign w:val="center"/>
            <w:hideMark/>
          </w:tcPr>
          <w:p w14:paraId="3EA8F0DF"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722D61AB"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5208C1F9"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35065A2E"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4FBE5FB1"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5569DFFE" w14:textId="77777777" w:rsidR="00C166DF" w:rsidRPr="000B3007" w:rsidRDefault="00C166DF" w:rsidP="008906EA">
            <w:pPr>
              <w:spacing w:after="0"/>
              <w:ind w:firstLine="0"/>
              <w:jc w:val="center"/>
              <w:rPr>
                <w:b/>
                <w:bCs/>
                <w:color w:val="000000"/>
                <w:sz w:val="20"/>
                <w:lang w:eastAsia="lv-LV"/>
              </w:rPr>
            </w:pPr>
          </w:p>
        </w:tc>
      </w:tr>
      <w:tr w:rsidR="00C166DF" w:rsidRPr="000B3007" w14:paraId="012C114A" w14:textId="77777777" w:rsidTr="008906EA">
        <w:trPr>
          <w:trHeight w:val="510"/>
        </w:trPr>
        <w:tc>
          <w:tcPr>
            <w:tcW w:w="6946" w:type="dxa"/>
            <w:shd w:val="clear" w:color="auto" w:fill="auto"/>
            <w:hideMark/>
          </w:tcPr>
          <w:p w14:paraId="26F818BC" w14:textId="77777777" w:rsidR="00C166DF" w:rsidRPr="000B3007" w:rsidRDefault="00C166DF" w:rsidP="00C20C2A">
            <w:pPr>
              <w:spacing w:after="0"/>
              <w:ind w:firstLine="0"/>
              <w:rPr>
                <w:color w:val="000000"/>
                <w:sz w:val="20"/>
                <w:lang w:eastAsia="lv-LV"/>
              </w:rPr>
            </w:pPr>
            <w:r w:rsidRPr="000B3007">
              <w:rPr>
                <w:color w:val="000000"/>
                <w:sz w:val="20"/>
                <w:lang w:eastAsia="lv-LV"/>
              </w:rPr>
              <w:t>Valsts atbalsts vaislas lauksaimniecības dzīvnieku ierakstīšanai ciltsgrāmatā, kā arī to ģenētiskās kvalitātes noteikšanai un produktivitātes datu izvērtēšanai</w:t>
            </w:r>
          </w:p>
        </w:tc>
        <w:tc>
          <w:tcPr>
            <w:tcW w:w="992" w:type="dxa"/>
            <w:shd w:val="clear" w:color="auto" w:fill="auto"/>
            <w:vAlign w:val="center"/>
            <w:hideMark/>
          </w:tcPr>
          <w:p w14:paraId="16D9A2C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D.3</w:t>
            </w:r>
          </w:p>
        </w:tc>
        <w:tc>
          <w:tcPr>
            <w:tcW w:w="1560" w:type="dxa"/>
            <w:shd w:val="clear" w:color="auto" w:fill="auto"/>
            <w:noWrap/>
            <w:vAlign w:val="center"/>
            <w:hideMark/>
          </w:tcPr>
          <w:p w14:paraId="3646E59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8E2B34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0C03F04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0,05</w:t>
            </w:r>
          </w:p>
        </w:tc>
        <w:tc>
          <w:tcPr>
            <w:tcW w:w="1275" w:type="dxa"/>
            <w:shd w:val="clear" w:color="auto" w:fill="auto"/>
            <w:vAlign w:val="center"/>
            <w:hideMark/>
          </w:tcPr>
          <w:p w14:paraId="0E258C9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-0,05</w:t>
            </w:r>
          </w:p>
        </w:tc>
        <w:tc>
          <w:tcPr>
            <w:tcW w:w="1316" w:type="dxa"/>
            <w:shd w:val="clear" w:color="auto" w:fill="auto"/>
            <w:vAlign w:val="center"/>
            <w:hideMark/>
          </w:tcPr>
          <w:p w14:paraId="518F4A8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5B5EB18C" w14:textId="77777777" w:rsidTr="008906EA">
        <w:trPr>
          <w:trHeight w:val="1020"/>
        </w:trPr>
        <w:tc>
          <w:tcPr>
            <w:tcW w:w="6946" w:type="dxa"/>
            <w:shd w:val="clear" w:color="auto" w:fill="auto"/>
            <w:hideMark/>
          </w:tcPr>
          <w:p w14:paraId="12A00659" w14:textId="77777777" w:rsidR="00C166DF" w:rsidRPr="000B3007" w:rsidRDefault="00C166DF" w:rsidP="00C20C2A">
            <w:pPr>
              <w:spacing w:after="0"/>
              <w:ind w:firstLine="0"/>
              <w:rPr>
                <w:color w:val="000000"/>
                <w:sz w:val="20"/>
                <w:lang w:eastAsia="lv-LV"/>
              </w:rPr>
            </w:pPr>
            <w:r w:rsidRPr="000B3007">
              <w:rPr>
                <w:color w:val="000000"/>
                <w:sz w:val="20"/>
                <w:lang w:eastAsia="lv-LV"/>
              </w:rPr>
              <w:t>Valsts atbalsts investīciju veicināšanai – daļējai kredītprocentu dzēšanai primāro lauksaimniecības produktu ražotājiem, atbilstīgām kooperatīvajām sabiedrībām, kā arī lauksaimniecības, zvejniecības un zvejas produktu pārstrādes un apstrādes komersantiem</w:t>
            </w:r>
          </w:p>
        </w:tc>
        <w:tc>
          <w:tcPr>
            <w:tcW w:w="992" w:type="dxa"/>
            <w:shd w:val="clear" w:color="auto" w:fill="auto"/>
            <w:vAlign w:val="center"/>
            <w:hideMark/>
          </w:tcPr>
          <w:p w14:paraId="20203C3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D.99</w:t>
            </w:r>
          </w:p>
        </w:tc>
        <w:tc>
          <w:tcPr>
            <w:tcW w:w="1560" w:type="dxa"/>
            <w:shd w:val="clear" w:color="auto" w:fill="auto"/>
            <w:noWrap/>
            <w:vAlign w:val="center"/>
            <w:hideMark/>
          </w:tcPr>
          <w:p w14:paraId="0FB375B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72B8D519"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7D404D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5BC9E1B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6AE4821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68EE808E" w14:textId="77777777" w:rsidTr="008906EA">
        <w:trPr>
          <w:trHeight w:val="300"/>
        </w:trPr>
        <w:tc>
          <w:tcPr>
            <w:tcW w:w="6946" w:type="dxa"/>
            <w:shd w:val="clear" w:color="auto" w:fill="auto"/>
            <w:hideMark/>
          </w:tcPr>
          <w:p w14:paraId="5ACE2CF0" w14:textId="77777777" w:rsidR="00C166DF" w:rsidRPr="000B3007" w:rsidRDefault="00C166DF" w:rsidP="00C20C2A">
            <w:pPr>
              <w:spacing w:after="0"/>
              <w:ind w:firstLine="0"/>
              <w:rPr>
                <w:color w:val="000000"/>
                <w:sz w:val="20"/>
                <w:lang w:eastAsia="lv-LV"/>
              </w:rPr>
            </w:pPr>
            <w:r w:rsidRPr="000B3007">
              <w:rPr>
                <w:color w:val="000000"/>
                <w:sz w:val="20"/>
                <w:lang w:eastAsia="lv-LV"/>
              </w:rPr>
              <w:t xml:space="preserve">Ienākumu atbalsts mazajiem ražojošajiem lauksaimniekiem </w:t>
            </w:r>
            <w:r w:rsidRPr="00073140">
              <w:rPr>
                <w:i/>
                <w:color w:val="000000"/>
                <w:sz w:val="20"/>
                <w:lang w:eastAsia="lv-LV"/>
              </w:rPr>
              <w:t>de minimis</w:t>
            </w:r>
            <w:r w:rsidRPr="000B3007">
              <w:rPr>
                <w:color w:val="000000"/>
                <w:sz w:val="20"/>
                <w:lang w:eastAsia="lv-LV"/>
              </w:rPr>
              <w:t xml:space="preserve"> ietvaros</w:t>
            </w:r>
          </w:p>
        </w:tc>
        <w:tc>
          <w:tcPr>
            <w:tcW w:w="992" w:type="dxa"/>
            <w:shd w:val="clear" w:color="auto" w:fill="auto"/>
            <w:vAlign w:val="center"/>
            <w:hideMark/>
          </w:tcPr>
          <w:p w14:paraId="329ECE4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115D350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FC7BA8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C4B082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1585CFB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497D59E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54032969" w14:textId="77777777" w:rsidTr="008906EA">
        <w:trPr>
          <w:trHeight w:val="300"/>
        </w:trPr>
        <w:tc>
          <w:tcPr>
            <w:tcW w:w="6946" w:type="dxa"/>
            <w:shd w:val="clear" w:color="auto" w:fill="auto"/>
            <w:hideMark/>
          </w:tcPr>
          <w:p w14:paraId="20C6A3AD" w14:textId="77777777" w:rsidR="00C166DF" w:rsidRPr="000B3007" w:rsidRDefault="00C166DF" w:rsidP="00C20C2A">
            <w:pPr>
              <w:spacing w:after="0"/>
              <w:ind w:firstLine="0"/>
              <w:rPr>
                <w:color w:val="000000"/>
                <w:sz w:val="20"/>
                <w:lang w:eastAsia="lv-LV"/>
              </w:rPr>
            </w:pPr>
            <w:r w:rsidRPr="000B3007">
              <w:rPr>
                <w:color w:val="000000"/>
                <w:sz w:val="20"/>
                <w:lang w:eastAsia="lv-LV"/>
              </w:rPr>
              <w:lastRenderedPageBreak/>
              <w:t>Papildu finansējums ELFLA tehniskās palīdzības izdevumu nodrošināšanai</w:t>
            </w:r>
          </w:p>
        </w:tc>
        <w:tc>
          <w:tcPr>
            <w:tcW w:w="992" w:type="dxa"/>
            <w:shd w:val="clear" w:color="auto" w:fill="auto"/>
            <w:vAlign w:val="center"/>
            <w:hideMark/>
          </w:tcPr>
          <w:p w14:paraId="7F81E06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348A2D2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3F3F0E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06D10A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6323B3F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6BBD30B9"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56891462" w14:textId="77777777" w:rsidTr="008906EA">
        <w:trPr>
          <w:trHeight w:val="255"/>
        </w:trPr>
        <w:tc>
          <w:tcPr>
            <w:tcW w:w="6946" w:type="dxa"/>
            <w:shd w:val="clear" w:color="000000" w:fill="DDEBF7"/>
            <w:hideMark/>
          </w:tcPr>
          <w:p w14:paraId="185872E5"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Satiksmes ministrija</w:t>
            </w:r>
          </w:p>
        </w:tc>
        <w:tc>
          <w:tcPr>
            <w:tcW w:w="992" w:type="dxa"/>
            <w:shd w:val="clear" w:color="000000" w:fill="DDEBF7"/>
            <w:vAlign w:val="center"/>
            <w:hideMark/>
          </w:tcPr>
          <w:p w14:paraId="143C7530"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6E687C8A"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397EACA0"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4BB13E95"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69BAA667"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388EBA2D" w14:textId="77777777" w:rsidR="00C166DF" w:rsidRPr="000B3007" w:rsidRDefault="00C166DF" w:rsidP="008906EA">
            <w:pPr>
              <w:spacing w:after="0"/>
              <w:ind w:firstLine="0"/>
              <w:jc w:val="center"/>
              <w:rPr>
                <w:b/>
                <w:bCs/>
                <w:color w:val="000000"/>
                <w:sz w:val="20"/>
                <w:lang w:eastAsia="lv-LV"/>
              </w:rPr>
            </w:pPr>
          </w:p>
        </w:tc>
      </w:tr>
      <w:tr w:rsidR="00C166DF" w:rsidRPr="000B3007" w14:paraId="5EFD9571" w14:textId="77777777" w:rsidTr="008906EA">
        <w:trPr>
          <w:trHeight w:val="300"/>
        </w:trPr>
        <w:tc>
          <w:tcPr>
            <w:tcW w:w="6946" w:type="dxa"/>
            <w:shd w:val="clear" w:color="auto" w:fill="auto"/>
            <w:hideMark/>
          </w:tcPr>
          <w:p w14:paraId="63DFCABE" w14:textId="77777777" w:rsidR="00C166DF" w:rsidRPr="000B3007" w:rsidRDefault="00C166DF" w:rsidP="00C20C2A">
            <w:pPr>
              <w:spacing w:after="0"/>
              <w:ind w:firstLine="0"/>
              <w:rPr>
                <w:color w:val="000000"/>
                <w:sz w:val="20"/>
                <w:lang w:eastAsia="lv-LV"/>
              </w:rPr>
            </w:pPr>
            <w:r w:rsidRPr="000B3007">
              <w:rPr>
                <w:color w:val="000000"/>
                <w:sz w:val="20"/>
                <w:lang w:eastAsia="lv-LV"/>
              </w:rPr>
              <w:t>Palielināti izdevumi kompensācijām par abonētās preses piegādi un saistību izpildi</w:t>
            </w:r>
          </w:p>
        </w:tc>
        <w:tc>
          <w:tcPr>
            <w:tcW w:w="992" w:type="dxa"/>
            <w:shd w:val="clear" w:color="auto" w:fill="auto"/>
            <w:vAlign w:val="center"/>
            <w:hideMark/>
          </w:tcPr>
          <w:p w14:paraId="1B71BE6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D.99</w:t>
            </w:r>
          </w:p>
        </w:tc>
        <w:tc>
          <w:tcPr>
            <w:tcW w:w="1560" w:type="dxa"/>
            <w:shd w:val="clear" w:color="auto" w:fill="auto"/>
            <w:noWrap/>
            <w:vAlign w:val="center"/>
            <w:hideMark/>
          </w:tcPr>
          <w:p w14:paraId="75A1638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4B743F8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5B535A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53D8B9F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3C63E2B9"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16E4F317" w14:textId="77777777" w:rsidTr="008906EA">
        <w:trPr>
          <w:trHeight w:val="510"/>
        </w:trPr>
        <w:tc>
          <w:tcPr>
            <w:tcW w:w="6946" w:type="dxa"/>
            <w:shd w:val="clear" w:color="auto" w:fill="auto"/>
            <w:hideMark/>
          </w:tcPr>
          <w:p w14:paraId="415AFFC5" w14:textId="77777777" w:rsidR="00C166DF" w:rsidRPr="000B3007" w:rsidRDefault="00C166DF" w:rsidP="00C20C2A">
            <w:pPr>
              <w:spacing w:after="0"/>
              <w:ind w:firstLine="0"/>
              <w:rPr>
                <w:color w:val="000000"/>
                <w:sz w:val="20"/>
                <w:lang w:eastAsia="lv-LV"/>
              </w:rPr>
            </w:pPr>
            <w:r w:rsidRPr="000B3007">
              <w:rPr>
                <w:color w:val="000000"/>
                <w:sz w:val="20"/>
                <w:lang w:eastAsia="lv-LV"/>
              </w:rPr>
              <w:t>Palielināti izdevumi prioritārajam pasākumam Autoceļu sakārtošanas programmas 2014.-2023.gadam īstenošanai</w:t>
            </w:r>
          </w:p>
        </w:tc>
        <w:tc>
          <w:tcPr>
            <w:tcW w:w="992" w:type="dxa"/>
            <w:shd w:val="clear" w:color="auto" w:fill="auto"/>
            <w:vAlign w:val="center"/>
            <w:hideMark/>
          </w:tcPr>
          <w:p w14:paraId="5B12FBB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P.51</w:t>
            </w:r>
          </w:p>
        </w:tc>
        <w:tc>
          <w:tcPr>
            <w:tcW w:w="1560" w:type="dxa"/>
            <w:shd w:val="clear" w:color="auto" w:fill="auto"/>
            <w:noWrap/>
            <w:vAlign w:val="center"/>
            <w:hideMark/>
          </w:tcPr>
          <w:p w14:paraId="02504CF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DA5684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D9DA59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13E654C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064EC4E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1466D52E" w14:textId="77777777" w:rsidTr="008906EA">
        <w:trPr>
          <w:trHeight w:val="765"/>
        </w:trPr>
        <w:tc>
          <w:tcPr>
            <w:tcW w:w="6946" w:type="dxa"/>
            <w:shd w:val="clear" w:color="auto" w:fill="auto"/>
            <w:hideMark/>
          </w:tcPr>
          <w:p w14:paraId="684E8807" w14:textId="735DE2BC" w:rsidR="00C166DF" w:rsidRPr="000B3007" w:rsidRDefault="00C166DF" w:rsidP="00C20C2A">
            <w:pPr>
              <w:spacing w:after="0"/>
              <w:ind w:firstLine="0"/>
              <w:rPr>
                <w:color w:val="000000"/>
                <w:sz w:val="20"/>
                <w:lang w:eastAsia="lv-LV"/>
              </w:rPr>
            </w:pPr>
            <w:r w:rsidRPr="000B3007">
              <w:rPr>
                <w:color w:val="000000"/>
                <w:sz w:val="20"/>
                <w:lang w:eastAsia="lv-LV"/>
              </w:rPr>
              <w:t>Papildu finansējums, KF projekta Nr. 6.1.5.0/18/I/002 “Valsts galvenā autoceļa A2</w:t>
            </w:r>
            <w:r w:rsidR="00C841D1">
              <w:rPr>
                <w:color w:val="000000"/>
                <w:sz w:val="20"/>
                <w:lang w:eastAsia="lv-LV"/>
              </w:rPr>
              <w:t xml:space="preserve"> </w:t>
            </w:r>
            <w:r w:rsidRPr="000B3007">
              <w:rPr>
                <w:color w:val="000000"/>
                <w:sz w:val="20"/>
                <w:lang w:eastAsia="lv-LV"/>
              </w:rPr>
              <w:t>Rīga-Sigulda-Igaunijas robeža (Veclaicene) posma un valsts galvenā autoceļa A3 Inčukalns-Valmiera Igaunijas robeža (Valka) posma segas pārbūve” īstenošanai</w:t>
            </w:r>
          </w:p>
        </w:tc>
        <w:tc>
          <w:tcPr>
            <w:tcW w:w="992" w:type="dxa"/>
            <w:shd w:val="clear" w:color="auto" w:fill="auto"/>
            <w:vAlign w:val="center"/>
            <w:hideMark/>
          </w:tcPr>
          <w:p w14:paraId="27C56A1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P.51</w:t>
            </w:r>
          </w:p>
        </w:tc>
        <w:tc>
          <w:tcPr>
            <w:tcW w:w="1560" w:type="dxa"/>
            <w:shd w:val="clear" w:color="auto" w:fill="auto"/>
            <w:noWrap/>
            <w:vAlign w:val="center"/>
            <w:hideMark/>
          </w:tcPr>
          <w:p w14:paraId="5B84676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1807D5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39563E8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3CAA013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60FE3C9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4908E48D" w14:textId="77777777" w:rsidTr="008906EA">
        <w:trPr>
          <w:trHeight w:val="255"/>
        </w:trPr>
        <w:tc>
          <w:tcPr>
            <w:tcW w:w="6946" w:type="dxa"/>
            <w:shd w:val="clear" w:color="000000" w:fill="DDEBF7"/>
            <w:hideMark/>
          </w:tcPr>
          <w:p w14:paraId="480D1044"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Labklājības ministrija</w:t>
            </w:r>
          </w:p>
        </w:tc>
        <w:tc>
          <w:tcPr>
            <w:tcW w:w="992" w:type="dxa"/>
            <w:shd w:val="clear" w:color="000000" w:fill="DDEBF7"/>
            <w:vAlign w:val="center"/>
            <w:hideMark/>
          </w:tcPr>
          <w:p w14:paraId="3835D047"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038409E4"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7B7C17FD"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62B12C89"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420665B3"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0A786D61" w14:textId="77777777" w:rsidR="00C166DF" w:rsidRPr="000B3007" w:rsidRDefault="00C166DF" w:rsidP="008906EA">
            <w:pPr>
              <w:spacing w:after="0"/>
              <w:ind w:firstLine="0"/>
              <w:jc w:val="center"/>
              <w:rPr>
                <w:b/>
                <w:bCs/>
                <w:color w:val="000000"/>
                <w:sz w:val="20"/>
                <w:lang w:eastAsia="lv-LV"/>
              </w:rPr>
            </w:pPr>
          </w:p>
        </w:tc>
      </w:tr>
      <w:tr w:rsidR="00C166DF" w:rsidRPr="000B3007" w14:paraId="6D6333CB" w14:textId="77777777" w:rsidTr="008906EA">
        <w:trPr>
          <w:trHeight w:val="255"/>
        </w:trPr>
        <w:tc>
          <w:tcPr>
            <w:tcW w:w="6946" w:type="dxa"/>
            <w:shd w:val="clear" w:color="auto" w:fill="auto"/>
            <w:hideMark/>
          </w:tcPr>
          <w:p w14:paraId="7534C58B" w14:textId="77777777" w:rsidR="00C166DF" w:rsidRPr="000B3007" w:rsidRDefault="00C166DF" w:rsidP="00C20C2A">
            <w:pPr>
              <w:spacing w:after="0"/>
              <w:ind w:firstLine="0"/>
              <w:rPr>
                <w:b/>
                <w:bCs/>
                <w:sz w:val="20"/>
                <w:lang w:eastAsia="lv-LV"/>
              </w:rPr>
            </w:pPr>
            <w:r w:rsidRPr="000B3007">
              <w:rPr>
                <w:b/>
                <w:bCs/>
                <w:sz w:val="20"/>
                <w:lang w:eastAsia="lv-LV"/>
              </w:rPr>
              <w:t>Pamatbudžets</w:t>
            </w:r>
          </w:p>
        </w:tc>
        <w:tc>
          <w:tcPr>
            <w:tcW w:w="992" w:type="dxa"/>
            <w:shd w:val="clear" w:color="auto" w:fill="auto"/>
            <w:vAlign w:val="center"/>
            <w:hideMark/>
          </w:tcPr>
          <w:p w14:paraId="048B5AEA" w14:textId="77777777" w:rsidR="00C166DF" w:rsidRPr="000B3007" w:rsidRDefault="00C166DF" w:rsidP="008906EA">
            <w:pPr>
              <w:spacing w:after="0"/>
              <w:ind w:firstLine="0"/>
              <w:jc w:val="center"/>
              <w:rPr>
                <w:b/>
                <w:bCs/>
                <w:sz w:val="20"/>
                <w:lang w:eastAsia="lv-LV"/>
              </w:rPr>
            </w:pPr>
          </w:p>
        </w:tc>
        <w:tc>
          <w:tcPr>
            <w:tcW w:w="1560" w:type="dxa"/>
            <w:shd w:val="clear" w:color="auto" w:fill="auto"/>
            <w:vAlign w:val="center"/>
            <w:hideMark/>
          </w:tcPr>
          <w:p w14:paraId="712B6865" w14:textId="77777777" w:rsidR="00C166DF" w:rsidRPr="000B3007" w:rsidRDefault="00C166DF" w:rsidP="008906EA">
            <w:pPr>
              <w:spacing w:after="0"/>
              <w:ind w:firstLine="0"/>
              <w:jc w:val="center"/>
              <w:rPr>
                <w:sz w:val="20"/>
                <w:lang w:eastAsia="lv-LV"/>
              </w:rPr>
            </w:pPr>
          </w:p>
        </w:tc>
        <w:tc>
          <w:tcPr>
            <w:tcW w:w="1559" w:type="dxa"/>
            <w:shd w:val="clear" w:color="auto" w:fill="auto"/>
            <w:vAlign w:val="center"/>
            <w:hideMark/>
          </w:tcPr>
          <w:p w14:paraId="2950DD09" w14:textId="77777777" w:rsidR="00C166DF" w:rsidRPr="000B3007" w:rsidRDefault="00C166DF" w:rsidP="008906EA">
            <w:pPr>
              <w:spacing w:after="0"/>
              <w:ind w:firstLine="0"/>
              <w:jc w:val="center"/>
              <w:rPr>
                <w:sz w:val="20"/>
                <w:lang w:eastAsia="lv-LV"/>
              </w:rPr>
            </w:pPr>
          </w:p>
        </w:tc>
        <w:tc>
          <w:tcPr>
            <w:tcW w:w="1276" w:type="dxa"/>
            <w:shd w:val="clear" w:color="auto" w:fill="auto"/>
            <w:vAlign w:val="center"/>
            <w:hideMark/>
          </w:tcPr>
          <w:p w14:paraId="1E3C5CF1" w14:textId="77777777" w:rsidR="00C166DF" w:rsidRPr="000B3007" w:rsidRDefault="00C166DF" w:rsidP="008906EA">
            <w:pPr>
              <w:spacing w:after="0"/>
              <w:ind w:firstLine="0"/>
              <w:jc w:val="center"/>
              <w:rPr>
                <w:sz w:val="20"/>
                <w:lang w:eastAsia="lv-LV"/>
              </w:rPr>
            </w:pPr>
          </w:p>
        </w:tc>
        <w:tc>
          <w:tcPr>
            <w:tcW w:w="1275" w:type="dxa"/>
            <w:shd w:val="clear" w:color="auto" w:fill="auto"/>
            <w:vAlign w:val="center"/>
            <w:hideMark/>
          </w:tcPr>
          <w:p w14:paraId="0CC645A6" w14:textId="77777777" w:rsidR="00C166DF" w:rsidRPr="000B3007" w:rsidRDefault="00C166DF" w:rsidP="008906EA">
            <w:pPr>
              <w:spacing w:after="0"/>
              <w:ind w:firstLine="0"/>
              <w:jc w:val="center"/>
              <w:rPr>
                <w:sz w:val="20"/>
                <w:lang w:eastAsia="lv-LV"/>
              </w:rPr>
            </w:pPr>
          </w:p>
        </w:tc>
        <w:tc>
          <w:tcPr>
            <w:tcW w:w="1316" w:type="dxa"/>
            <w:shd w:val="clear" w:color="auto" w:fill="auto"/>
            <w:vAlign w:val="center"/>
            <w:hideMark/>
          </w:tcPr>
          <w:p w14:paraId="2D6A9858" w14:textId="77777777" w:rsidR="00C166DF" w:rsidRPr="000B3007" w:rsidRDefault="00C166DF" w:rsidP="008906EA">
            <w:pPr>
              <w:spacing w:after="0"/>
              <w:ind w:firstLine="0"/>
              <w:jc w:val="center"/>
              <w:rPr>
                <w:sz w:val="20"/>
                <w:lang w:eastAsia="lv-LV"/>
              </w:rPr>
            </w:pPr>
          </w:p>
        </w:tc>
      </w:tr>
      <w:tr w:rsidR="00C166DF" w:rsidRPr="000B3007" w14:paraId="1A309371" w14:textId="77777777" w:rsidTr="008906EA">
        <w:trPr>
          <w:trHeight w:val="765"/>
        </w:trPr>
        <w:tc>
          <w:tcPr>
            <w:tcW w:w="6946" w:type="dxa"/>
            <w:shd w:val="clear" w:color="auto" w:fill="auto"/>
            <w:hideMark/>
          </w:tcPr>
          <w:p w14:paraId="11C6EC0F" w14:textId="77777777" w:rsidR="00C166DF" w:rsidRPr="000B3007" w:rsidRDefault="00C166DF" w:rsidP="00C20C2A">
            <w:pPr>
              <w:spacing w:after="0"/>
              <w:ind w:firstLine="0"/>
              <w:rPr>
                <w:color w:val="000000"/>
                <w:sz w:val="20"/>
                <w:lang w:eastAsia="lv-LV"/>
              </w:rPr>
            </w:pPr>
            <w:r w:rsidRPr="000B3007">
              <w:rPr>
                <w:color w:val="000000"/>
                <w:sz w:val="20"/>
                <w:lang w:eastAsia="lv-LV"/>
              </w:rPr>
              <w:t>Palielināti resursi un izdevumi, lai prioritārā pasākuma “Atbalsts minimālo ienākumu līmeņa palielināšanai” ietvaros nodrošinātu valsts sociālā nodrošinājuma pabalsta pārskatīšanu personām ar invaliditāti</w:t>
            </w:r>
          </w:p>
        </w:tc>
        <w:tc>
          <w:tcPr>
            <w:tcW w:w="992" w:type="dxa"/>
            <w:shd w:val="clear" w:color="auto" w:fill="auto"/>
            <w:vAlign w:val="center"/>
            <w:hideMark/>
          </w:tcPr>
          <w:p w14:paraId="175AB1E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D.6</w:t>
            </w:r>
          </w:p>
        </w:tc>
        <w:tc>
          <w:tcPr>
            <w:tcW w:w="1560" w:type="dxa"/>
            <w:shd w:val="clear" w:color="auto" w:fill="auto"/>
            <w:noWrap/>
            <w:vAlign w:val="center"/>
            <w:hideMark/>
          </w:tcPr>
          <w:p w14:paraId="0D68869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7E00699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70DF5656"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43001FF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76D666B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01B94251" w14:textId="77777777" w:rsidTr="008906EA">
        <w:trPr>
          <w:trHeight w:val="255"/>
        </w:trPr>
        <w:tc>
          <w:tcPr>
            <w:tcW w:w="6946" w:type="dxa"/>
            <w:shd w:val="clear" w:color="auto" w:fill="auto"/>
            <w:hideMark/>
          </w:tcPr>
          <w:p w14:paraId="549518D0"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Speciālais budžets</w:t>
            </w:r>
          </w:p>
        </w:tc>
        <w:tc>
          <w:tcPr>
            <w:tcW w:w="992" w:type="dxa"/>
            <w:shd w:val="clear" w:color="auto" w:fill="auto"/>
            <w:vAlign w:val="center"/>
            <w:hideMark/>
          </w:tcPr>
          <w:p w14:paraId="76E5B754" w14:textId="77777777" w:rsidR="00C166DF" w:rsidRPr="000B3007" w:rsidRDefault="00C166DF" w:rsidP="008906EA">
            <w:pPr>
              <w:spacing w:after="0"/>
              <w:ind w:firstLine="0"/>
              <w:jc w:val="center"/>
              <w:rPr>
                <w:b/>
                <w:bCs/>
                <w:color w:val="000000"/>
                <w:sz w:val="20"/>
                <w:lang w:eastAsia="lv-LV"/>
              </w:rPr>
            </w:pPr>
          </w:p>
        </w:tc>
        <w:tc>
          <w:tcPr>
            <w:tcW w:w="1560" w:type="dxa"/>
            <w:shd w:val="clear" w:color="auto" w:fill="auto"/>
            <w:vAlign w:val="center"/>
            <w:hideMark/>
          </w:tcPr>
          <w:p w14:paraId="65B71490" w14:textId="77777777" w:rsidR="00C166DF" w:rsidRPr="000B3007" w:rsidRDefault="00C166DF" w:rsidP="008906EA">
            <w:pPr>
              <w:spacing w:after="0"/>
              <w:ind w:firstLine="0"/>
              <w:jc w:val="center"/>
              <w:rPr>
                <w:sz w:val="20"/>
                <w:lang w:eastAsia="lv-LV"/>
              </w:rPr>
            </w:pPr>
          </w:p>
        </w:tc>
        <w:tc>
          <w:tcPr>
            <w:tcW w:w="1559" w:type="dxa"/>
            <w:shd w:val="clear" w:color="auto" w:fill="auto"/>
            <w:vAlign w:val="center"/>
            <w:hideMark/>
          </w:tcPr>
          <w:p w14:paraId="3B9CCCAD" w14:textId="77777777" w:rsidR="00C166DF" w:rsidRPr="000B3007" w:rsidRDefault="00C166DF" w:rsidP="008906EA">
            <w:pPr>
              <w:spacing w:after="0"/>
              <w:ind w:firstLine="0"/>
              <w:jc w:val="center"/>
              <w:rPr>
                <w:sz w:val="20"/>
                <w:lang w:eastAsia="lv-LV"/>
              </w:rPr>
            </w:pPr>
          </w:p>
        </w:tc>
        <w:tc>
          <w:tcPr>
            <w:tcW w:w="1276" w:type="dxa"/>
            <w:shd w:val="clear" w:color="auto" w:fill="auto"/>
            <w:vAlign w:val="center"/>
            <w:hideMark/>
          </w:tcPr>
          <w:p w14:paraId="0964E61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275" w:type="dxa"/>
            <w:shd w:val="clear" w:color="auto" w:fill="auto"/>
            <w:vAlign w:val="center"/>
            <w:hideMark/>
          </w:tcPr>
          <w:p w14:paraId="7EDAA5C9"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517162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17A260DF" w14:textId="77777777" w:rsidTr="008906EA">
        <w:trPr>
          <w:trHeight w:val="510"/>
        </w:trPr>
        <w:tc>
          <w:tcPr>
            <w:tcW w:w="6946" w:type="dxa"/>
            <w:shd w:val="clear" w:color="auto" w:fill="auto"/>
            <w:hideMark/>
          </w:tcPr>
          <w:p w14:paraId="3B31CBBB" w14:textId="77777777" w:rsidR="00C166DF" w:rsidRPr="000B3007" w:rsidRDefault="00C166DF" w:rsidP="00C20C2A">
            <w:pPr>
              <w:spacing w:after="0"/>
              <w:ind w:firstLine="0"/>
              <w:rPr>
                <w:color w:val="000000"/>
                <w:sz w:val="20"/>
                <w:lang w:eastAsia="lv-LV"/>
              </w:rPr>
            </w:pPr>
            <w:r w:rsidRPr="000B3007">
              <w:rPr>
                <w:color w:val="000000"/>
                <w:sz w:val="20"/>
                <w:lang w:eastAsia="lv-LV"/>
              </w:rPr>
              <w:t>Izdevumu samazinājums pasākuma "Bezdarbnieka pabalsta saņemšanas un izmaksas kārtības pārskatīšana" īstenošanai</w:t>
            </w:r>
          </w:p>
        </w:tc>
        <w:tc>
          <w:tcPr>
            <w:tcW w:w="992" w:type="dxa"/>
            <w:shd w:val="clear" w:color="auto" w:fill="auto"/>
            <w:vAlign w:val="center"/>
            <w:hideMark/>
          </w:tcPr>
          <w:p w14:paraId="0061A88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D.6</w:t>
            </w:r>
          </w:p>
        </w:tc>
        <w:tc>
          <w:tcPr>
            <w:tcW w:w="1560" w:type="dxa"/>
            <w:shd w:val="clear" w:color="auto" w:fill="auto"/>
            <w:noWrap/>
            <w:vAlign w:val="center"/>
            <w:hideMark/>
          </w:tcPr>
          <w:p w14:paraId="3D8AA9C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BA0A26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C83CAA6"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-0,04</w:t>
            </w:r>
          </w:p>
        </w:tc>
        <w:tc>
          <w:tcPr>
            <w:tcW w:w="1275" w:type="dxa"/>
            <w:shd w:val="clear" w:color="auto" w:fill="auto"/>
            <w:vAlign w:val="center"/>
            <w:hideMark/>
          </w:tcPr>
          <w:p w14:paraId="57020BB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0489057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2D42D0AB" w14:textId="77777777" w:rsidTr="008906EA">
        <w:trPr>
          <w:trHeight w:val="765"/>
        </w:trPr>
        <w:tc>
          <w:tcPr>
            <w:tcW w:w="6946" w:type="dxa"/>
            <w:shd w:val="clear" w:color="auto" w:fill="auto"/>
            <w:hideMark/>
          </w:tcPr>
          <w:p w14:paraId="4B6B13EB" w14:textId="77777777" w:rsidR="00C166DF" w:rsidRPr="000B3007" w:rsidRDefault="00C166DF" w:rsidP="00C20C2A">
            <w:pPr>
              <w:spacing w:after="0"/>
              <w:ind w:firstLine="0"/>
              <w:rPr>
                <w:color w:val="000000"/>
                <w:sz w:val="20"/>
                <w:lang w:eastAsia="lv-LV"/>
              </w:rPr>
            </w:pPr>
            <w:r w:rsidRPr="000B3007">
              <w:rPr>
                <w:color w:val="000000"/>
                <w:sz w:val="20"/>
                <w:lang w:eastAsia="lv-LV"/>
              </w:rPr>
              <w:t>Izdevumu palielinājums, lai prioritārā pasākuma "Atbalsts minimālo ienākumu līmeņa palielināšanai" ietvaros nodrošinātu minimālās pensijas paaugstināšanu un valsts sociālā nodrošinājuma pabalsta pārskatīšanu personām ar invaliditāti</w:t>
            </w:r>
          </w:p>
        </w:tc>
        <w:tc>
          <w:tcPr>
            <w:tcW w:w="992" w:type="dxa"/>
            <w:shd w:val="clear" w:color="auto" w:fill="auto"/>
            <w:vAlign w:val="center"/>
            <w:hideMark/>
          </w:tcPr>
          <w:p w14:paraId="65E7EE1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D.6</w:t>
            </w:r>
          </w:p>
        </w:tc>
        <w:tc>
          <w:tcPr>
            <w:tcW w:w="1560" w:type="dxa"/>
            <w:shd w:val="clear" w:color="auto" w:fill="auto"/>
            <w:noWrap/>
            <w:vAlign w:val="center"/>
            <w:hideMark/>
          </w:tcPr>
          <w:p w14:paraId="0DA5F2C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25E7609"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CE2F94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5A8219F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4C2B1EA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17BD1D95" w14:textId="77777777" w:rsidTr="008906EA">
        <w:trPr>
          <w:trHeight w:val="255"/>
        </w:trPr>
        <w:tc>
          <w:tcPr>
            <w:tcW w:w="6946" w:type="dxa"/>
            <w:shd w:val="clear" w:color="000000" w:fill="DDEBF7"/>
            <w:hideMark/>
          </w:tcPr>
          <w:p w14:paraId="774C0337"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Tieslietu ministrija</w:t>
            </w:r>
          </w:p>
        </w:tc>
        <w:tc>
          <w:tcPr>
            <w:tcW w:w="992" w:type="dxa"/>
            <w:shd w:val="clear" w:color="000000" w:fill="DDEBF7"/>
            <w:vAlign w:val="center"/>
            <w:hideMark/>
          </w:tcPr>
          <w:p w14:paraId="3A243FAE"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1BABC2DD"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275F6B28"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129EB354"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6D52502A"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09DA535F" w14:textId="77777777" w:rsidR="00C166DF" w:rsidRPr="000B3007" w:rsidRDefault="00C166DF" w:rsidP="008906EA">
            <w:pPr>
              <w:spacing w:after="0"/>
              <w:ind w:firstLine="0"/>
              <w:jc w:val="center"/>
              <w:rPr>
                <w:b/>
                <w:bCs/>
                <w:color w:val="000000"/>
                <w:sz w:val="20"/>
                <w:lang w:eastAsia="lv-LV"/>
              </w:rPr>
            </w:pPr>
          </w:p>
        </w:tc>
      </w:tr>
      <w:tr w:rsidR="00C166DF" w:rsidRPr="000B3007" w14:paraId="59D549C9" w14:textId="77777777" w:rsidTr="008906EA">
        <w:trPr>
          <w:trHeight w:val="510"/>
        </w:trPr>
        <w:tc>
          <w:tcPr>
            <w:tcW w:w="6946" w:type="dxa"/>
            <w:shd w:val="clear" w:color="auto" w:fill="auto"/>
            <w:hideMark/>
          </w:tcPr>
          <w:p w14:paraId="4D24AE33" w14:textId="77777777" w:rsidR="00C166DF" w:rsidRPr="000B3007" w:rsidRDefault="00C166DF" w:rsidP="00C20C2A">
            <w:pPr>
              <w:spacing w:after="0"/>
              <w:ind w:firstLine="0"/>
              <w:rPr>
                <w:color w:val="000000"/>
                <w:sz w:val="20"/>
                <w:lang w:eastAsia="lv-LV"/>
              </w:rPr>
            </w:pPr>
            <w:r w:rsidRPr="000B3007">
              <w:rPr>
                <w:color w:val="000000"/>
                <w:sz w:val="20"/>
                <w:lang w:eastAsia="lv-LV"/>
              </w:rPr>
              <w:t>Finansējuma izmaiņas ilgtermiņa saistību pasākumam “Jauna cietuma būvniecība Liepājā"</w:t>
            </w:r>
          </w:p>
        </w:tc>
        <w:tc>
          <w:tcPr>
            <w:tcW w:w="992" w:type="dxa"/>
            <w:shd w:val="clear" w:color="auto" w:fill="auto"/>
            <w:vAlign w:val="center"/>
            <w:hideMark/>
          </w:tcPr>
          <w:p w14:paraId="133BC8E6"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P.51</w:t>
            </w:r>
          </w:p>
        </w:tc>
        <w:tc>
          <w:tcPr>
            <w:tcW w:w="1560" w:type="dxa"/>
            <w:shd w:val="clear" w:color="auto" w:fill="auto"/>
            <w:noWrap/>
            <w:vAlign w:val="center"/>
            <w:hideMark/>
          </w:tcPr>
          <w:p w14:paraId="7796E86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735DE6B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7469091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7C8DC47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65B7DE3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0,12</w:t>
            </w:r>
          </w:p>
        </w:tc>
      </w:tr>
      <w:tr w:rsidR="00C166DF" w:rsidRPr="000B3007" w14:paraId="1EDE23D7" w14:textId="77777777" w:rsidTr="008906EA">
        <w:trPr>
          <w:trHeight w:val="255"/>
        </w:trPr>
        <w:tc>
          <w:tcPr>
            <w:tcW w:w="6946" w:type="dxa"/>
            <w:shd w:val="clear" w:color="000000" w:fill="DDEBF7"/>
            <w:hideMark/>
          </w:tcPr>
          <w:p w14:paraId="667C8161"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Vides aizsardzības un reģionālās attīstības ministrija</w:t>
            </w:r>
          </w:p>
        </w:tc>
        <w:tc>
          <w:tcPr>
            <w:tcW w:w="992" w:type="dxa"/>
            <w:shd w:val="clear" w:color="000000" w:fill="DDEBF7"/>
            <w:vAlign w:val="center"/>
            <w:hideMark/>
          </w:tcPr>
          <w:p w14:paraId="517C4C84"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28903B79"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40464A6D"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63A21DA6"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5D585247"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205959FE" w14:textId="77777777" w:rsidR="00C166DF" w:rsidRPr="000B3007" w:rsidRDefault="00C166DF" w:rsidP="008906EA">
            <w:pPr>
              <w:spacing w:after="0"/>
              <w:ind w:firstLine="0"/>
              <w:jc w:val="center"/>
              <w:rPr>
                <w:b/>
                <w:bCs/>
                <w:color w:val="000000"/>
                <w:sz w:val="20"/>
                <w:lang w:eastAsia="lv-LV"/>
              </w:rPr>
            </w:pPr>
          </w:p>
        </w:tc>
      </w:tr>
      <w:tr w:rsidR="00C166DF" w:rsidRPr="000B3007" w14:paraId="0FDCA744" w14:textId="77777777" w:rsidTr="008906EA">
        <w:trPr>
          <w:trHeight w:val="300"/>
        </w:trPr>
        <w:tc>
          <w:tcPr>
            <w:tcW w:w="6946" w:type="dxa"/>
            <w:shd w:val="clear" w:color="auto" w:fill="auto"/>
            <w:hideMark/>
          </w:tcPr>
          <w:p w14:paraId="4B11BC48" w14:textId="77777777" w:rsidR="00C166DF" w:rsidRPr="000B3007" w:rsidRDefault="00C166DF" w:rsidP="00C20C2A">
            <w:pPr>
              <w:spacing w:after="0"/>
              <w:ind w:firstLine="0"/>
              <w:rPr>
                <w:color w:val="000000"/>
                <w:sz w:val="20"/>
                <w:lang w:eastAsia="lv-LV"/>
              </w:rPr>
            </w:pPr>
            <w:r w:rsidRPr="000B3007">
              <w:rPr>
                <w:color w:val="000000"/>
                <w:sz w:val="20"/>
                <w:lang w:eastAsia="lv-LV"/>
              </w:rPr>
              <w:t>Palielināti izdevumi pasākumam "Integrēta pieeja resursu pārvaldībai, I posms"</w:t>
            </w:r>
          </w:p>
        </w:tc>
        <w:tc>
          <w:tcPr>
            <w:tcW w:w="992" w:type="dxa"/>
            <w:shd w:val="clear" w:color="auto" w:fill="auto"/>
            <w:vAlign w:val="center"/>
            <w:hideMark/>
          </w:tcPr>
          <w:p w14:paraId="0270F372" w14:textId="77777777" w:rsidR="00C166DF" w:rsidRPr="000B3007" w:rsidRDefault="00C166DF" w:rsidP="008906EA">
            <w:pPr>
              <w:spacing w:after="0"/>
              <w:ind w:firstLine="0"/>
              <w:jc w:val="center"/>
              <w:rPr>
                <w:color w:val="000000"/>
                <w:sz w:val="20"/>
                <w:lang w:eastAsia="lv-LV"/>
              </w:rPr>
            </w:pPr>
          </w:p>
        </w:tc>
        <w:tc>
          <w:tcPr>
            <w:tcW w:w="1560" w:type="dxa"/>
            <w:shd w:val="clear" w:color="auto" w:fill="auto"/>
            <w:noWrap/>
            <w:vAlign w:val="center"/>
            <w:hideMark/>
          </w:tcPr>
          <w:p w14:paraId="4238155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7C98460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78C4A3E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2AD1023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F4F4A2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2C9A3BCD" w14:textId="77777777" w:rsidTr="008906EA">
        <w:trPr>
          <w:trHeight w:val="510"/>
        </w:trPr>
        <w:tc>
          <w:tcPr>
            <w:tcW w:w="6946" w:type="dxa"/>
            <w:shd w:val="clear" w:color="auto" w:fill="auto"/>
            <w:hideMark/>
          </w:tcPr>
          <w:p w14:paraId="1F09A12A" w14:textId="77777777" w:rsidR="00C166DF" w:rsidRPr="000B3007" w:rsidRDefault="00C166DF" w:rsidP="00C20C2A">
            <w:pPr>
              <w:spacing w:after="0"/>
              <w:ind w:firstLine="0"/>
              <w:rPr>
                <w:color w:val="000000"/>
                <w:sz w:val="20"/>
                <w:lang w:eastAsia="lv-LV"/>
              </w:rPr>
            </w:pPr>
            <w:r w:rsidRPr="000B3007">
              <w:rPr>
                <w:color w:val="000000"/>
                <w:sz w:val="20"/>
                <w:lang w:eastAsia="lv-LV"/>
              </w:rPr>
              <w:t>Palielināti izdevumi prioritārajam pasākumam par Administratīvi teritoriālās reformas īstenošanu</w:t>
            </w:r>
          </w:p>
        </w:tc>
        <w:tc>
          <w:tcPr>
            <w:tcW w:w="992" w:type="dxa"/>
            <w:shd w:val="clear" w:color="auto" w:fill="auto"/>
            <w:vAlign w:val="center"/>
            <w:hideMark/>
          </w:tcPr>
          <w:p w14:paraId="4F788A58" w14:textId="77777777" w:rsidR="00C166DF" w:rsidRPr="000B3007" w:rsidRDefault="00C166DF" w:rsidP="008906EA">
            <w:pPr>
              <w:spacing w:after="0"/>
              <w:ind w:firstLine="0"/>
              <w:jc w:val="center"/>
              <w:rPr>
                <w:color w:val="000000"/>
                <w:sz w:val="20"/>
                <w:lang w:eastAsia="lv-LV"/>
              </w:rPr>
            </w:pPr>
          </w:p>
        </w:tc>
        <w:tc>
          <w:tcPr>
            <w:tcW w:w="1560" w:type="dxa"/>
            <w:shd w:val="clear" w:color="auto" w:fill="auto"/>
            <w:noWrap/>
            <w:vAlign w:val="center"/>
            <w:hideMark/>
          </w:tcPr>
          <w:p w14:paraId="5E6033C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2BAE282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53479DD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275" w:type="dxa"/>
            <w:shd w:val="clear" w:color="auto" w:fill="auto"/>
            <w:vAlign w:val="center"/>
            <w:hideMark/>
          </w:tcPr>
          <w:p w14:paraId="7D7E042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316" w:type="dxa"/>
            <w:shd w:val="clear" w:color="auto" w:fill="auto"/>
            <w:vAlign w:val="center"/>
            <w:hideMark/>
          </w:tcPr>
          <w:p w14:paraId="667188C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r>
      <w:tr w:rsidR="00C166DF" w:rsidRPr="000B3007" w14:paraId="490D3C0A" w14:textId="77777777" w:rsidTr="008906EA">
        <w:trPr>
          <w:trHeight w:val="255"/>
        </w:trPr>
        <w:tc>
          <w:tcPr>
            <w:tcW w:w="6946" w:type="dxa"/>
            <w:shd w:val="clear" w:color="000000" w:fill="DDEBF7"/>
            <w:hideMark/>
          </w:tcPr>
          <w:p w14:paraId="33F4EFB4"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Kultūras ministrija</w:t>
            </w:r>
          </w:p>
        </w:tc>
        <w:tc>
          <w:tcPr>
            <w:tcW w:w="992" w:type="dxa"/>
            <w:shd w:val="clear" w:color="000000" w:fill="DDEBF7"/>
            <w:vAlign w:val="center"/>
            <w:hideMark/>
          </w:tcPr>
          <w:p w14:paraId="569CAA20"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53377061"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10DF2284"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5B3BDD4C"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22A5810E"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4254C4C3" w14:textId="77777777" w:rsidR="00C166DF" w:rsidRPr="000B3007" w:rsidRDefault="00C166DF" w:rsidP="008906EA">
            <w:pPr>
              <w:spacing w:after="0"/>
              <w:ind w:firstLine="0"/>
              <w:jc w:val="center"/>
              <w:rPr>
                <w:b/>
                <w:bCs/>
                <w:color w:val="000000"/>
                <w:sz w:val="20"/>
                <w:lang w:eastAsia="lv-LV"/>
              </w:rPr>
            </w:pPr>
          </w:p>
        </w:tc>
      </w:tr>
      <w:tr w:rsidR="00C166DF" w:rsidRPr="000B3007" w14:paraId="1DCC1316" w14:textId="77777777" w:rsidTr="008906EA">
        <w:trPr>
          <w:trHeight w:val="510"/>
        </w:trPr>
        <w:tc>
          <w:tcPr>
            <w:tcW w:w="6946" w:type="dxa"/>
            <w:shd w:val="clear" w:color="auto" w:fill="auto"/>
            <w:hideMark/>
          </w:tcPr>
          <w:p w14:paraId="1BC52540" w14:textId="77777777" w:rsidR="00C166DF" w:rsidRPr="000B3007" w:rsidRDefault="00C166DF" w:rsidP="00C20C2A">
            <w:pPr>
              <w:spacing w:after="0"/>
              <w:ind w:firstLine="0"/>
              <w:rPr>
                <w:color w:val="000000"/>
                <w:sz w:val="20"/>
                <w:lang w:eastAsia="lv-LV"/>
              </w:rPr>
            </w:pPr>
            <w:r w:rsidRPr="000B3007">
              <w:rPr>
                <w:color w:val="000000"/>
                <w:sz w:val="20"/>
                <w:lang w:eastAsia="lv-LV"/>
              </w:rPr>
              <w:t>Finansējuma palielinājums prioritārajam pasākumam par atalgojuma celšanai kultūras nozarē nodarbinātajiem</w:t>
            </w:r>
          </w:p>
        </w:tc>
        <w:tc>
          <w:tcPr>
            <w:tcW w:w="992" w:type="dxa"/>
            <w:shd w:val="clear" w:color="auto" w:fill="auto"/>
            <w:vAlign w:val="center"/>
            <w:hideMark/>
          </w:tcPr>
          <w:p w14:paraId="7532C50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37BD103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B238E8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E1ECF1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0,03</w:t>
            </w:r>
          </w:p>
        </w:tc>
        <w:tc>
          <w:tcPr>
            <w:tcW w:w="1275" w:type="dxa"/>
            <w:shd w:val="clear" w:color="auto" w:fill="auto"/>
            <w:vAlign w:val="center"/>
            <w:hideMark/>
          </w:tcPr>
          <w:p w14:paraId="0EFC8D3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09C320C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r>
      <w:tr w:rsidR="00C166DF" w:rsidRPr="000B3007" w14:paraId="5E17F67A" w14:textId="77777777" w:rsidTr="008906EA">
        <w:trPr>
          <w:trHeight w:val="255"/>
        </w:trPr>
        <w:tc>
          <w:tcPr>
            <w:tcW w:w="6946" w:type="dxa"/>
            <w:shd w:val="clear" w:color="000000" w:fill="DDEBF7"/>
            <w:hideMark/>
          </w:tcPr>
          <w:p w14:paraId="3904E259"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Veselības ministrija</w:t>
            </w:r>
          </w:p>
        </w:tc>
        <w:tc>
          <w:tcPr>
            <w:tcW w:w="992" w:type="dxa"/>
            <w:shd w:val="clear" w:color="000000" w:fill="DDEBF7"/>
            <w:vAlign w:val="center"/>
            <w:hideMark/>
          </w:tcPr>
          <w:p w14:paraId="0B6C4262"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533B591B"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26D640CB"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04807960"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4FBD123E"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2371C179" w14:textId="77777777" w:rsidR="00C166DF" w:rsidRPr="000B3007" w:rsidRDefault="00C166DF" w:rsidP="008906EA">
            <w:pPr>
              <w:spacing w:after="0"/>
              <w:ind w:firstLine="0"/>
              <w:jc w:val="center"/>
              <w:rPr>
                <w:b/>
                <w:bCs/>
                <w:color w:val="000000"/>
                <w:sz w:val="20"/>
                <w:lang w:eastAsia="lv-LV"/>
              </w:rPr>
            </w:pPr>
          </w:p>
        </w:tc>
      </w:tr>
      <w:tr w:rsidR="00C166DF" w:rsidRPr="000B3007" w14:paraId="2CD75D51" w14:textId="77777777" w:rsidTr="008906EA">
        <w:trPr>
          <w:trHeight w:val="765"/>
        </w:trPr>
        <w:tc>
          <w:tcPr>
            <w:tcW w:w="6946" w:type="dxa"/>
            <w:shd w:val="clear" w:color="auto" w:fill="auto"/>
            <w:hideMark/>
          </w:tcPr>
          <w:p w14:paraId="58579703" w14:textId="77777777" w:rsidR="00C166DF" w:rsidRPr="000B3007" w:rsidRDefault="00C166DF" w:rsidP="00C20C2A">
            <w:pPr>
              <w:spacing w:after="0"/>
              <w:ind w:firstLine="0"/>
              <w:rPr>
                <w:color w:val="000000"/>
                <w:sz w:val="20"/>
                <w:lang w:eastAsia="lv-LV"/>
              </w:rPr>
            </w:pPr>
            <w:r w:rsidRPr="000B3007">
              <w:rPr>
                <w:color w:val="000000"/>
                <w:sz w:val="20"/>
                <w:lang w:eastAsia="lv-LV"/>
              </w:rPr>
              <w:lastRenderedPageBreak/>
              <w:t>Palielināta dotācija no vispārējiem ieņēmumiem un izdevumi, lai nodrošinātu rezidentūras finansēšanu, pārdalot finansējumu no 74.budžeta resora 08.00.00 programmas “Veselības aprūpes sistēmas reformas ieviešanas finansējums”</w:t>
            </w:r>
          </w:p>
        </w:tc>
        <w:tc>
          <w:tcPr>
            <w:tcW w:w="992" w:type="dxa"/>
            <w:shd w:val="clear" w:color="auto" w:fill="auto"/>
            <w:vAlign w:val="center"/>
            <w:hideMark/>
          </w:tcPr>
          <w:p w14:paraId="33492F20" w14:textId="77777777" w:rsidR="00C166DF" w:rsidRPr="000B3007" w:rsidRDefault="00C166DF" w:rsidP="008906EA">
            <w:pPr>
              <w:spacing w:after="0"/>
              <w:ind w:firstLine="0"/>
              <w:jc w:val="center"/>
              <w:rPr>
                <w:color w:val="000000"/>
                <w:sz w:val="20"/>
                <w:lang w:eastAsia="lv-LV"/>
              </w:rPr>
            </w:pPr>
          </w:p>
        </w:tc>
        <w:tc>
          <w:tcPr>
            <w:tcW w:w="1560" w:type="dxa"/>
            <w:shd w:val="clear" w:color="auto" w:fill="auto"/>
            <w:noWrap/>
            <w:vAlign w:val="center"/>
            <w:hideMark/>
          </w:tcPr>
          <w:p w14:paraId="19A19AB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7B9523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B9506B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275" w:type="dxa"/>
            <w:shd w:val="clear" w:color="auto" w:fill="auto"/>
            <w:vAlign w:val="center"/>
            <w:hideMark/>
          </w:tcPr>
          <w:p w14:paraId="2F2F6D6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316" w:type="dxa"/>
            <w:shd w:val="clear" w:color="auto" w:fill="auto"/>
            <w:vAlign w:val="center"/>
            <w:hideMark/>
          </w:tcPr>
          <w:p w14:paraId="4985CB5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r>
      <w:tr w:rsidR="00C166DF" w:rsidRPr="000B3007" w14:paraId="5ABFD9E7" w14:textId="77777777" w:rsidTr="008906EA">
        <w:trPr>
          <w:trHeight w:val="765"/>
        </w:trPr>
        <w:tc>
          <w:tcPr>
            <w:tcW w:w="6946" w:type="dxa"/>
            <w:shd w:val="clear" w:color="auto" w:fill="auto"/>
            <w:hideMark/>
          </w:tcPr>
          <w:p w14:paraId="5D23BE8C" w14:textId="77777777" w:rsidR="00C166DF" w:rsidRPr="000B3007" w:rsidRDefault="00C166DF" w:rsidP="00C20C2A">
            <w:pPr>
              <w:spacing w:after="0"/>
              <w:ind w:firstLine="0"/>
              <w:rPr>
                <w:color w:val="000000"/>
                <w:sz w:val="20"/>
                <w:lang w:eastAsia="lv-LV"/>
              </w:rPr>
            </w:pPr>
            <w:r w:rsidRPr="000B3007">
              <w:rPr>
                <w:color w:val="000000"/>
                <w:sz w:val="20"/>
                <w:lang w:eastAsia="lv-LV"/>
              </w:rPr>
              <w:t>Papildu izdevumi, lai prioritārā pasākuma “Kompensējamo medikamentu un materiālu sistēmas uzlabošana” ietvaros nodrošinātu inovatīvos medikamentus onkoloģijā un kardioloģijā</w:t>
            </w:r>
          </w:p>
        </w:tc>
        <w:tc>
          <w:tcPr>
            <w:tcW w:w="992" w:type="dxa"/>
            <w:shd w:val="clear" w:color="auto" w:fill="auto"/>
            <w:vAlign w:val="center"/>
            <w:hideMark/>
          </w:tcPr>
          <w:p w14:paraId="3F51DDB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D.3</w:t>
            </w:r>
          </w:p>
        </w:tc>
        <w:tc>
          <w:tcPr>
            <w:tcW w:w="1560" w:type="dxa"/>
            <w:shd w:val="clear" w:color="auto" w:fill="auto"/>
            <w:noWrap/>
            <w:vAlign w:val="center"/>
            <w:hideMark/>
          </w:tcPr>
          <w:p w14:paraId="42B2D18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11CF60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F17E13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4227869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016354F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7AACC830" w14:textId="77777777" w:rsidTr="008906EA">
        <w:trPr>
          <w:trHeight w:val="765"/>
        </w:trPr>
        <w:tc>
          <w:tcPr>
            <w:tcW w:w="6946" w:type="dxa"/>
            <w:shd w:val="clear" w:color="auto" w:fill="auto"/>
            <w:hideMark/>
          </w:tcPr>
          <w:p w14:paraId="0D176005" w14:textId="77777777" w:rsidR="00C166DF" w:rsidRPr="000B3007" w:rsidRDefault="00C166DF"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ģimenes ārstu kapitācijas naudas pieaugumu</w:t>
            </w:r>
          </w:p>
        </w:tc>
        <w:tc>
          <w:tcPr>
            <w:tcW w:w="992" w:type="dxa"/>
            <w:shd w:val="clear" w:color="auto" w:fill="auto"/>
            <w:vAlign w:val="center"/>
            <w:hideMark/>
          </w:tcPr>
          <w:p w14:paraId="54CB4A6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15F1255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F3118C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79902BE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2AF25F0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2F340B9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34AB8A40" w14:textId="77777777" w:rsidTr="008906EA">
        <w:trPr>
          <w:trHeight w:val="765"/>
        </w:trPr>
        <w:tc>
          <w:tcPr>
            <w:tcW w:w="6946" w:type="dxa"/>
            <w:shd w:val="clear" w:color="auto" w:fill="auto"/>
            <w:hideMark/>
          </w:tcPr>
          <w:p w14:paraId="5188C5B5" w14:textId="77777777" w:rsidR="00C166DF" w:rsidRPr="000B3007" w:rsidRDefault="00C166DF"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psihiatrijas plāna ietvaros plānoto ārstniecības personu darba samaksas pieaugumu</w:t>
            </w:r>
          </w:p>
        </w:tc>
        <w:tc>
          <w:tcPr>
            <w:tcW w:w="992" w:type="dxa"/>
            <w:shd w:val="clear" w:color="auto" w:fill="auto"/>
            <w:vAlign w:val="center"/>
            <w:hideMark/>
          </w:tcPr>
          <w:p w14:paraId="07159CB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632A5B9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6B08AFC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74B81A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c>
          <w:tcPr>
            <w:tcW w:w="1275" w:type="dxa"/>
            <w:shd w:val="clear" w:color="auto" w:fill="auto"/>
            <w:vAlign w:val="center"/>
            <w:hideMark/>
          </w:tcPr>
          <w:p w14:paraId="36B9343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7A15E2D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547F24D4" w14:textId="77777777" w:rsidTr="008906EA">
        <w:trPr>
          <w:trHeight w:val="765"/>
        </w:trPr>
        <w:tc>
          <w:tcPr>
            <w:tcW w:w="6946" w:type="dxa"/>
            <w:shd w:val="clear" w:color="auto" w:fill="auto"/>
            <w:hideMark/>
          </w:tcPr>
          <w:p w14:paraId="33E38BBF" w14:textId="77777777" w:rsidR="00C166DF" w:rsidRPr="000B3007" w:rsidRDefault="00C166DF"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stacionārajās ārstniecības iestādēs strādājošo ārstniecības personu darba samaksas pieaugumu</w:t>
            </w:r>
          </w:p>
        </w:tc>
        <w:tc>
          <w:tcPr>
            <w:tcW w:w="992" w:type="dxa"/>
            <w:shd w:val="clear" w:color="auto" w:fill="auto"/>
            <w:vAlign w:val="center"/>
            <w:hideMark/>
          </w:tcPr>
          <w:p w14:paraId="3B74F7B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114F7BA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31475F2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1A1B335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0,05</w:t>
            </w:r>
          </w:p>
        </w:tc>
        <w:tc>
          <w:tcPr>
            <w:tcW w:w="1275" w:type="dxa"/>
            <w:shd w:val="clear" w:color="auto" w:fill="auto"/>
            <w:vAlign w:val="center"/>
            <w:hideMark/>
          </w:tcPr>
          <w:p w14:paraId="208C687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4590865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7360B9DA" w14:textId="77777777" w:rsidTr="008906EA">
        <w:trPr>
          <w:trHeight w:val="765"/>
        </w:trPr>
        <w:tc>
          <w:tcPr>
            <w:tcW w:w="6946" w:type="dxa"/>
            <w:shd w:val="clear" w:color="auto" w:fill="auto"/>
            <w:hideMark/>
          </w:tcPr>
          <w:p w14:paraId="2CB4B5B4" w14:textId="77777777" w:rsidR="00C166DF" w:rsidRPr="000B3007" w:rsidRDefault="00C166DF"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stacionārajās ārstniecības iestādēs strādājošo ārstniecības personu darba samaksas pieaugumu</w:t>
            </w:r>
          </w:p>
        </w:tc>
        <w:tc>
          <w:tcPr>
            <w:tcW w:w="992" w:type="dxa"/>
            <w:shd w:val="clear" w:color="auto" w:fill="auto"/>
            <w:vAlign w:val="center"/>
            <w:hideMark/>
          </w:tcPr>
          <w:p w14:paraId="2BAB885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6E9961A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D44B996"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09068A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0,03</w:t>
            </w:r>
          </w:p>
        </w:tc>
        <w:tc>
          <w:tcPr>
            <w:tcW w:w="1275" w:type="dxa"/>
            <w:shd w:val="clear" w:color="auto" w:fill="auto"/>
            <w:vAlign w:val="center"/>
            <w:hideMark/>
          </w:tcPr>
          <w:p w14:paraId="5F0C0BE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6C32C94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12D0CD56" w14:textId="77777777" w:rsidTr="008906EA">
        <w:trPr>
          <w:trHeight w:val="713"/>
        </w:trPr>
        <w:tc>
          <w:tcPr>
            <w:tcW w:w="6946" w:type="dxa"/>
            <w:shd w:val="clear" w:color="auto" w:fill="auto"/>
            <w:hideMark/>
          </w:tcPr>
          <w:p w14:paraId="60C6D335" w14:textId="77777777" w:rsidR="00C166DF" w:rsidRPr="000B3007" w:rsidRDefault="00C166DF" w:rsidP="00C20C2A">
            <w:pPr>
              <w:spacing w:after="0"/>
              <w:ind w:firstLine="0"/>
              <w:rPr>
                <w:color w:val="000000"/>
                <w:sz w:val="20"/>
                <w:lang w:eastAsia="lv-LV"/>
              </w:rPr>
            </w:pPr>
            <w:r w:rsidRPr="000B3007">
              <w:rPr>
                <w:color w:val="000000"/>
                <w:sz w:val="20"/>
                <w:lang w:eastAsia="lv-LV"/>
              </w:rPr>
              <w:t>Papildu izdevumi, lai prioritārā pasākuma “Ārstniecības personu darba samaksas pieauguma nodrošināšana” ietvaros nodrošinātu neatliekamās medicīniskās palīdzības ārstniecības personu un pārējo darbinieku plānoto darba samaksas pieaugumu</w:t>
            </w:r>
          </w:p>
        </w:tc>
        <w:tc>
          <w:tcPr>
            <w:tcW w:w="992" w:type="dxa"/>
            <w:shd w:val="clear" w:color="auto" w:fill="auto"/>
            <w:vAlign w:val="center"/>
            <w:hideMark/>
          </w:tcPr>
          <w:p w14:paraId="46A1919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3F5A1E1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7F4093CB"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6B72CB3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0,02</w:t>
            </w:r>
          </w:p>
        </w:tc>
        <w:tc>
          <w:tcPr>
            <w:tcW w:w="1275" w:type="dxa"/>
            <w:shd w:val="clear" w:color="auto" w:fill="auto"/>
            <w:vAlign w:val="center"/>
            <w:hideMark/>
          </w:tcPr>
          <w:p w14:paraId="2DEB734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3CB1FA0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25387E45" w14:textId="77777777" w:rsidTr="008906EA">
        <w:trPr>
          <w:trHeight w:val="255"/>
        </w:trPr>
        <w:tc>
          <w:tcPr>
            <w:tcW w:w="6946" w:type="dxa"/>
            <w:shd w:val="clear" w:color="000000" w:fill="DDEBF7"/>
            <w:hideMark/>
          </w:tcPr>
          <w:p w14:paraId="6F620EF7"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Radio un televīzija</w:t>
            </w:r>
          </w:p>
        </w:tc>
        <w:tc>
          <w:tcPr>
            <w:tcW w:w="992" w:type="dxa"/>
            <w:shd w:val="clear" w:color="000000" w:fill="DDEBF7"/>
            <w:vAlign w:val="center"/>
            <w:hideMark/>
          </w:tcPr>
          <w:p w14:paraId="1FE518D0"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32F59970"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130C282B"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546DC23A"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11C1054A"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34F48FAC" w14:textId="77777777" w:rsidR="00C166DF" w:rsidRPr="000B3007" w:rsidRDefault="00C166DF" w:rsidP="008906EA">
            <w:pPr>
              <w:spacing w:after="0"/>
              <w:ind w:firstLine="0"/>
              <w:jc w:val="center"/>
              <w:rPr>
                <w:b/>
                <w:bCs/>
                <w:color w:val="000000"/>
                <w:sz w:val="20"/>
                <w:lang w:eastAsia="lv-LV"/>
              </w:rPr>
            </w:pPr>
          </w:p>
        </w:tc>
      </w:tr>
      <w:tr w:rsidR="00C166DF" w:rsidRPr="000B3007" w14:paraId="0FFECCEC" w14:textId="77777777" w:rsidTr="008906EA">
        <w:trPr>
          <w:trHeight w:val="510"/>
        </w:trPr>
        <w:tc>
          <w:tcPr>
            <w:tcW w:w="6946" w:type="dxa"/>
            <w:shd w:val="clear" w:color="auto" w:fill="auto"/>
            <w:hideMark/>
          </w:tcPr>
          <w:p w14:paraId="0350ED2B" w14:textId="77777777" w:rsidR="00C166DF" w:rsidRPr="000B3007" w:rsidRDefault="00C166DF" w:rsidP="00C20C2A">
            <w:pPr>
              <w:spacing w:after="0"/>
              <w:ind w:firstLine="0"/>
              <w:rPr>
                <w:sz w:val="20"/>
                <w:lang w:eastAsia="lv-LV"/>
              </w:rPr>
            </w:pPr>
            <w:r w:rsidRPr="000B3007">
              <w:rPr>
                <w:sz w:val="20"/>
                <w:lang w:eastAsia="lv-LV"/>
              </w:rPr>
              <w:t xml:space="preserve">Papildu izdevumi, lai nodrošinātu prioritārā pasākuma par sabiedrisko mediju iziešana no reklāmas tirgus nodrošināšanu </w:t>
            </w:r>
          </w:p>
        </w:tc>
        <w:tc>
          <w:tcPr>
            <w:tcW w:w="992" w:type="dxa"/>
            <w:shd w:val="clear" w:color="auto" w:fill="auto"/>
            <w:vAlign w:val="center"/>
            <w:hideMark/>
          </w:tcPr>
          <w:p w14:paraId="52A744C4" w14:textId="77777777" w:rsidR="00C166DF" w:rsidRPr="000B3007" w:rsidRDefault="00C166DF" w:rsidP="008906EA">
            <w:pPr>
              <w:spacing w:after="0"/>
              <w:ind w:firstLine="0"/>
              <w:jc w:val="center"/>
              <w:rPr>
                <w:sz w:val="20"/>
                <w:lang w:eastAsia="lv-LV"/>
              </w:rPr>
            </w:pPr>
            <w:r w:rsidRPr="000B3007">
              <w:rPr>
                <w:sz w:val="20"/>
                <w:lang w:eastAsia="lv-LV"/>
              </w:rPr>
              <w:t>D.7</w:t>
            </w:r>
          </w:p>
        </w:tc>
        <w:tc>
          <w:tcPr>
            <w:tcW w:w="1560" w:type="dxa"/>
            <w:shd w:val="clear" w:color="auto" w:fill="auto"/>
            <w:noWrap/>
            <w:vAlign w:val="center"/>
            <w:hideMark/>
          </w:tcPr>
          <w:p w14:paraId="7605EB3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C1EAAC6"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1F8A5482" w14:textId="77777777" w:rsidR="00C166DF" w:rsidRPr="000B3007" w:rsidRDefault="00C166DF" w:rsidP="008906EA">
            <w:pPr>
              <w:spacing w:after="0"/>
              <w:ind w:firstLine="0"/>
              <w:jc w:val="center"/>
              <w:rPr>
                <w:sz w:val="20"/>
                <w:lang w:eastAsia="lv-LV"/>
              </w:rPr>
            </w:pPr>
            <w:r w:rsidRPr="000B3007">
              <w:rPr>
                <w:sz w:val="20"/>
                <w:lang w:eastAsia="lv-LV"/>
              </w:rPr>
              <w:t>0,01</w:t>
            </w:r>
          </w:p>
        </w:tc>
        <w:tc>
          <w:tcPr>
            <w:tcW w:w="1275" w:type="dxa"/>
            <w:shd w:val="clear" w:color="auto" w:fill="auto"/>
            <w:vAlign w:val="center"/>
            <w:hideMark/>
          </w:tcPr>
          <w:p w14:paraId="18D8CC41" w14:textId="77777777" w:rsidR="00C166DF" w:rsidRPr="000B3007" w:rsidRDefault="00C166DF" w:rsidP="008906EA">
            <w:pPr>
              <w:spacing w:after="0"/>
              <w:ind w:firstLine="0"/>
              <w:jc w:val="center"/>
              <w:rPr>
                <w:sz w:val="20"/>
                <w:lang w:eastAsia="lv-LV"/>
              </w:rPr>
            </w:pPr>
            <w:r w:rsidRPr="000B3007">
              <w:rPr>
                <w:sz w:val="20"/>
                <w:lang w:eastAsia="lv-LV"/>
              </w:rPr>
              <w:t>0,00</w:t>
            </w:r>
          </w:p>
        </w:tc>
        <w:tc>
          <w:tcPr>
            <w:tcW w:w="1316" w:type="dxa"/>
            <w:shd w:val="clear" w:color="auto" w:fill="auto"/>
            <w:vAlign w:val="center"/>
            <w:hideMark/>
          </w:tcPr>
          <w:p w14:paraId="5020A8F6" w14:textId="77777777" w:rsidR="00C166DF" w:rsidRPr="000B3007" w:rsidRDefault="00C166DF" w:rsidP="008906EA">
            <w:pPr>
              <w:spacing w:after="0"/>
              <w:ind w:firstLine="0"/>
              <w:jc w:val="center"/>
              <w:rPr>
                <w:sz w:val="20"/>
                <w:lang w:eastAsia="lv-LV"/>
              </w:rPr>
            </w:pPr>
            <w:r w:rsidRPr="000B3007">
              <w:rPr>
                <w:sz w:val="20"/>
                <w:lang w:eastAsia="lv-LV"/>
              </w:rPr>
              <w:t>0,00</w:t>
            </w:r>
          </w:p>
        </w:tc>
      </w:tr>
      <w:tr w:rsidR="00C166DF" w:rsidRPr="000B3007" w14:paraId="440EB900" w14:textId="77777777" w:rsidTr="008906EA">
        <w:trPr>
          <w:trHeight w:val="255"/>
        </w:trPr>
        <w:tc>
          <w:tcPr>
            <w:tcW w:w="6946" w:type="dxa"/>
            <w:shd w:val="clear" w:color="000000" w:fill="DDEBF7"/>
            <w:hideMark/>
          </w:tcPr>
          <w:p w14:paraId="3D082E42"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Mērķdotācijas pašvaldībām</w:t>
            </w:r>
          </w:p>
        </w:tc>
        <w:tc>
          <w:tcPr>
            <w:tcW w:w="992" w:type="dxa"/>
            <w:shd w:val="clear" w:color="000000" w:fill="DDEBF7"/>
            <w:vAlign w:val="center"/>
            <w:hideMark/>
          </w:tcPr>
          <w:p w14:paraId="7DE3807A"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1BC4B4BE"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6456B091"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6CC098D1"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33B38A94"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09D824F6" w14:textId="77777777" w:rsidR="00C166DF" w:rsidRPr="000B3007" w:rsidRDefault="00C166DF" w:rsidP="008906EA">
            <w:pPr>
              <w:spacing w:after="0"/>
              <w:ind w:firstLine="0"/>
              <w:jc w:val="center"/>
              <w:rPr>
                <w:b/>
                <w:bCs/>
                <w:color w:val="000000"/>
                <w:sz w:val="20"/>
                <w:lang w:eastAsia="lv-LV"/>
              </w:rPr>
            </w:pPr>
          </w:p>
        </w:tc>
      </w:tr>
      <w:tr w:rsidR="00C166DF" w:rsidRPr="000B3007" w14:paraId="270C27E3" w14:textId="77777777" w:rsidTr="008906EA">
        <w:trPr>
          <w:trHeight w:val="510"/>
        </w:trPr>
        <w:tc>
          <w:tcPr>
            <w:tcW w:w="6946" w:type="dxa"/>
            <w:shd w:val="clear" w:color="auto" w:fill="auto"/>
            <w:hideMark/>
          </w:tcPr>
          <w:p w14:paraId="03DC015B" w14:textId="77777777" w:rsidR="00C166DF" w:rsidRPr="000B3007" w:rsidRDefault="00C166DF" w:rsidP="00C20C2A">
            <w:pPr>
              <w:spacing w:after="0"/>
              <w:ind w:firstLine="0"/>
              <w:rPr>
                <w:color w:val="000000"/>
                <w:sz w:val="20"/>
                <w:lang w:eastAsia="lv-LV"/>
              </w:rPr>
            </w:pPr>
            <w:r w:rsidRPr="000B3007">
              <w:rPr>
                <w:color w:val="000000"/>
                <w:sz w:val="20"/>
                <w:lang w:eastAsia="lv-LV"/>
              </w:rPr>
              <w:t xml:space="preserve">Papildu izdevumi, lai nodrošinātu prioritārā pasākuma pedagogu zemākās darba algas likme paaugstināšanu līdz 750 </w:t>
            </w:r>
            <w:r w:rsidRPr="000B3007">
              <w:rPr>
                <w:i/>
                <w:iCs/>
                <w:color w:val="000000"/>
                <w:sz w:val="20"/>
                <w:lang w:eastAsia="lv-LV"/>
              </w:rPr>
              <w:t>euro</w:t>
            </w:r>
          </w:p>
        </w:tc>
        <w:tc>
          <w:tcPr>
            <w:tcW w:w="992" w:type="dxa"/>
            <w:shd w:val="clear" w:color="auto" w:fill="auto"/>
            <w:vAlign w:val="center"/>
            <w:hideMark/>
          </w:tcPr>
          <w:p w14:paraId="2A2CB70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D.1</w:t>
            </w:r>
          </w:p>
        </w:tc>
        <w:tc>
          <w:tcPr>
            <w:tcW w:w="1560" w:type="dxa"/>
            <w:shd w:val="clear" w:color="auto" w:fill="auto"/>
            <w:noWrap/>
            <w:vAlign w:val="center"/>
            <w:hideMark/>
          </w:tcPr>
          <w:p w14:paraId="10777A5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29E194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163D7ECF"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0,06</w:t>
            </w:r>
          </w:p>
        </w:tc>
        <w:tc>
          <w:tcPr>
            <w:tcW w:w="1275" w:type="dxa"/>
            <w:shd w:val="clear" w:color="auto" w:fill="auto"/>
            <w:vAlign w:val="center"/>
            <w:hideMark/>
          </w:tcPr>
          <w:p w14:paraId="50368AE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577B0F7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54A522CB" w14:textId="77777777" w:rsidTr="008906EA">
        <w:trPr>
          <w:trHeight w:val="255"/>
        </w:trPr>
        <w:tc>
          <w:tcPr>
            <w:tcW w:w="6946" w:type="dxa"/>
            <w:shd w:val="clear" w:color="000000" w:fill="DDEBF7"/>
            <w:hideMark/>
          </w:tcPr>
          <w:p w14:paraId="1862EE08"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Dotācija pašvaldībām</w:t>
            </w:r>
          </w:p>
        </w:tc>
        <w:tc>
          <w:tcPr>
            <w:tcW w:w="992" w:type="dxa"/>
            <w:shd w:val="clear" w:color="000000" w:fill="DDEBF7"/>
            <w:vAlign w:val="center"/>
            <w:hideMark/>
          </w:tcPr>
          <w:p w14:paraId="26527616"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4488E0EA"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52295051"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15FB0F11"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5B7DB845"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011318A5" w14:textId="77777777" w:rsidR="00C166DF" w:rsidRPr="000B3007" w:rsidRDefault="00C166DF" w:rsidP="008906EA">
            <w:pPr>
              <w:spacing w:after="0"/>
              <w:ind w:firstLine="0"/>
              <w:jc w:val="center"/>
              <w:rPr>
                <w:b/>
                <w:bCs/>
                <w:color w:val="000000"/>
                <w:sz w:val="20"/>
                <w:lang w:eastAsia="lv-LV"/>
              </w:rPr>
            </w:pPr>
          </w:p>
        </w:tc>
      </w:tr>
      <w:tr w:rsidR="00C166DF" w:rsidRPr="000B3007" w14:paraId="36AC51B4" w14:textId="77777777" w:rsidTr="008906EA">
        <w:trPr>
          <w:trHeight w:val="510"/>
        </w:trPr>
        <w:tc>
          <w:tcPr>
            <w:tcW w:w="6946" w:type="dxa"/>
            <w:shd w:val="clear" w:color="auto" w:fill="auto"/>
            <w:hideMark/>
          </w:tcPr>
          <w:p w14:paraId="5E34B012" w14:textId="77777777" w:rsidR="00C166DF" w:rsidRPr="000B3007" w:rsidRDefault="00C166DF" w:rsidP="00C20C2A">
            <w:pPr>
              <w:spacing w:after="0"/>
              <w:ind w:firstLine="0"/>
              <w:rPr>
                <w:color w:val="000000"/>
                <w:sz w:val="20"/>
                <w:lang w:eastAsia="lv-LV"/>
              </w:rPr>
            </w:pPr>
            <w:r w:rsidRPr="000B3007">
              <w:rPr>
                <w:color w:val="000000"/>
                <w:sz w:val="20"/>
                <w:lang w:eastAsia="lv-LV"/>
              </w:rPr>
              <w:t xml:space="preserve">Finansējuma izmaiņas, lai nodrošinātu, ka speciālā dotācija pašvaldībām nav mazāka kā 148 060 368 </w:t>
            </w:r>
            <w:r w:rsidRPr="000B3007">
              <w:rPr>
                <w:i/>
                <w:iCs/>
                <w:color w:val="000000"/>
                <w:sz w:val="20"/>
                <w:lang w:eastAsia="lv-LV"/>
              </w:rPr>
              <w:t>euro</w:t>
            </w:r>
          </w:p>
        </w:tc>
        <w:tc>
          <w:tcPr>
            <w:tcW w:w="992" w:type="dxa"/>
            <w:shd w:val="clear" w:color="auto" w:fill="auto"/>
            <w:vAlign w:val="center"/>
            <w:hideMark/>
          </w:tcPr>
          <w:p w14:paraId="26537E2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D.7</w:t>
            </w:r>
          </w:p>
        </w:tc>
        <w:tc>
          <w:tcPr>
            <w:tcW w:w="1560" w:type="dxa"/>
            <w:shd w:val="clear" w:color="auto" w:fill="auto"/>
            <w:noWrap/>
            <w:vAlign w:val="center"/>
            <w:hideMark/>
          </w:tcPr>
          <w:p w14:paraId="6C1C63CE"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82DBF6A"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E14F67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-0,24</w:t>
            </w:r>
          </w:p>
        </w:tc>
        <w:tc>
          <w:tcPr>
            <w:tcW w:w="1275" w:type="dxa"/>
            <w:shd w:val="clear" w:color="auto" w:fill="auto"/>
            <w:vAlign w:val="center"/>
            <w:hideMark/>
          </w:tcPr>
          <w:p w14:paraId="753EF19D"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auto" w:fill="auto"/>
            <w:vAlign w:val="center"/>
            <w:hideMark/>
          </w:tcPr>
          <w:p w14:paraId="0AC8067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3507D515" w14:textId="77777777" w:rsidTr="008906EA">
        <w:trPr>
          <w:trHeight w:val="255"/>
        </w:trPr>
        <w:tc>
          <w:tcPr>
            <w:tcW w:w="6946" w:type="dxa"/>
            <w:shd w:val="clear" w:color="000000" w:fill="DDEBF7"/>
            <w:hideMark/>
          </w:tcPr>
          <w:p w14:paraId="0BC73DC3"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Gadskārtējā valsts budžeta izpildes procesā pārdalāmais finansējums</w:t>
            </w:r>
          </w:p>
        </w:tc>
        <w:tc>
          <w:tcPr>
            <w:tcW w:w="992" w:type="dxa"/>
            <w:shd w:val="clear" w:color="000000" w:fill="DDEBF7"/>
            <w:vAlign w:val="center"/>
            <w:hideMark/>
          </w:tcPr>
          <w:p w14:paraId="75990D5F" w14:textId="77777777" w:rsidR="00C166DF" w:rsidRPr="000B3007" w:rsidRDefault="00C166DF" w:rsidP="008906EA">
            <w:pPr>
              <w:spacing w:after="0"/>
              <w:ind w:firstLine="0"/>
              <w:jc w:val="center"/>
              <w:rPr>
                <w:b/>
                <w:bCs/>
                <w:color w:val="000000"/>
                <w:sz w:val="20"/>
                <w:lang w:eastAsia="lv-LV"/>
              </w:rPr>
            </w:pPr>
          </w:p>
        </w:tc>
        <w:tc>
          <w:tcPr>
            <w:tcW w:w="1560" w:type="dxa"/>
            <w:shd w:val="clear" w:color="000000" w:fill="DDEBF7"/>
            <w:vAlign w:val="center"/>
            <w:hideMark/>
          </w:tcPr>
          <w:p w14:paraId="0BA2E3CF" w14:textId="77777777" w:rsidR="00C166DF" w:rsidRPr="000B3007" w:rsidRDefault="00C166DF" w:rsidP="008906EA">
            <w:pPr>
              <w:spacing w:after="0"/>
              <w:ind w:firstLine="0"/>
              <w:jc w:val="center"/>
              <w:rPr>
                <w:b/>
                <w:bCs/>
                <w:color w:val="000000"/>
                <w:sz w:val="20"/>
                <w:lang w:eastAsia="lv-LV"/>
              </w:rPr>
            </w:pPr>
          </w:p>
        </w:tc>
        <w:tc>
          <w:tcPr>
            <w:tcW w:w="1559" w:type="dxa"/>
            <w:shd w:val="clear" w:color="000000" w:fill="DDEBF7"/>
            <w:vAlign w:val="center"/>
            <w:hideMark/>
          </w:tcPr>
          <w:p w14:paraId="030A3E11" w14:textId="77777777" w:rsidR="00C166DF" w:rsidRPr="000B3007" w:rsidRDefault="00C166DF" w:rsidP="008906EA">
            <w:pPr>
              <w:spacing w:after="0"/>
              <w:ind w:firstLine="0"/>
              <w:jc w:val="center"/>
              <w:rPr>
                <w:b/>
                <w:bCs/>
                <w:color w:val="000000"/>
                <w:sz w:val="20"/>
                <w:lang w:eastAsia="lv-LV"/>
              </w:rPr>
            </w:pPr>
          </w:p>
        </w:tc>
        <w:tc>
          <w:tcPr>
            <w:tcW w:w="1276" w:type="dxa"/>
            <w:shd w:val="clear" w:color="000000" w:fill="DDEBF7"/>
            <w:vAlign w:val="center"/>
            <w:hideMark/>
          </w:tcPr>
          <w:p w14:paraId="3AFBB8B1" w14:textId="77777777" w:rsidR="00C166DF" w:rsidRPr="000B3007" w:rsidRDefault="00C166DF" w:rsidP="008906EA">
            <w:pPr>
              <w:spacing w:after="0"/>
              <w:ind w:firstLine="0"/>
              <w:jc w:val="center"/>
              <w:rPr>
                <w:b/>
                <w:bCs/>
                <w:color w:val="000000"/>
                <w:sz w:val="20"/>
                <w:lang w:eastAsia="lv-LV"/>
              </w:rPr>
            </w:pPr>
          </w:p>
        </w:tc>
        <w:tc>
          <w:tcPr>
            <w:tcW w:w="1275" w:type="dxa"/>
            <w:shd w:val="clear" w:color="000000" w:fill="DDEBF7"/>
            <w:vAlign w:val="center"/>
            <w:hideMark/>
          </w:tcPr>
          <w:p w14:paraId="65E91FB7" w14:textId="77777777" w:rsidR="00C166DF" w:rsidRPr="000B3007" w:rsidRDefault="00C166DF" w:rsidP="008906EA">
            <w:pPr>
              <w:spacing w:after="0"/>
              <w:ind w:firstLine="0"/>
              <w:jc w:val="center"/>
              <w:rPr>
                <w:b/>
                <w:bCs/>
                <w:color w:val="000000"/>
                <w:sz w:val="20"/>
                <w:lang w:eastAsia="lv-LV"/>
              </w:rPr>
            </w:pPr>
          </w:p>
        </w:tc>
        <w:tc>
          <w:tcPr>
            <w:tcW w:w="1316" w:type="dxa"/>
            <w:shd w:val="clear" w:color="000000" w:fill="DDEBF7"/>
            <w:vAlign w:val="center"/>
            <w:hideMark/>
          </w:tcPr>
          <w:p w14:paraId="3B728FEA" w14:textId="77777777" w:rsidR="00C166DF" w:rsidRPr="000B3007" w:rsidRDefault="00C166DF" w:rsidP="008906EA">
            <w:pPr>
              <w:spacing w:after="0"/>
              <w:ind w:firstLine="0"/>
              <w:jc w:val="center"/>
              <w:rPr>
                <w:b/>
                <w:bCs/>
                <w:color w:val="000000"/>
                <w:sz w:val="20"/>
                <w:lang w:eastAsia="lv-LV"/>
              </w:rPr>
            </w:pPr>
          </w:p>
        </w:tc>
      </w:tr>
      <w:tr w:rsidR="00C166DF" w:rsidRPr="000B3007" w14:paraId="30285B8D" w14:textId="77777777" w:rsidTr="008906EA">
        <w:trPr>
          <w:trHeight w:val="255"/>
        </w:trPr>
        <w:tc>
          <w:tcPr>
            <w:tcW w:w="6946" w:type="dxa"/>
            <w:shd w:val="clear" w:color="auto" w:fill="auto"/>
            <w:hideMark/>
          </w:tcPr>
          <w:p w14:paraId="08864EA4" w14:textId="77777777" w:rsidR="00C166DF" w:rsidRPr="000B3007" w:rsidRDefault="00C166DF" w:rsidP="00C20C2A">
            <w:pPr>
              <w:spacing w:after="0"/>
              <w:ind w:firstLine="0"/>
              <w:rPr>
                <w:sz w:val="20"/>
                <w:lang w:eastAsia="lv-LV"/>
              </w:rPr>
            </w:pPr>
            <w:r w:rsidRPr="000B3007">
              <w:rPr>
                <w:sz w:val="20"/>
                <w:lang w:eastAsia="lv-LV"/>
              </w:rPr>
              <w:t>Tehniski precizējumi</w:t>
            </w:r>
          </w:p>
        </w:tc>
        <w:tc>
          <w:tcPr>
            <w:tcW w:w="992" w:type="dxa"/>
            <w:shd w:val="clear" w:color="auto" w:fill="auto"/>
            <w:vAlign w:val="center"/>
            <w:hideMark/>
          </w:tcPr>
          <w:p w14:paraId="23838C0C" w14:textId="77777777" w:rsidR="00C166DF" w:rsidRPr="000B3007" w:rsidRDefault="00C166DF" w:rsidP="008906EA">
            <w:pPr>
              <w:spacing w:after="0"/>
              <w:ind w:firstLine="0"/>
              <w:jc w:val="center"/>
              <w:rPr>
                <w:sz w:val="20"/>
                <w:lang w:eastAsia="lv-LV"/>
              </w:rPr>
            </w:pPr>
          </w:p>
        </w:tc>
        <w:tc>
          <w:tcPr>
            <w:tcW w:w="1560" w:type="dxa"/>
            <w:shd w:val="clear" w:color="auto" w:fill="auto"/>
            <w:vAlign w:val="center"/>
            <w:hideMark/>
          </w:tcPr>
          <w:p w14:paraId="08A0711E" w14:textId="77777777" w:rsidR="00C166DF" w:rsidRPr="000B3007" w:rsidRDefault="00C166DF" w:rsidP="008906EA">
            <w:pPr>
              <w:spacing w:after="0"/>
              <w:ind w:firstLine="0"/>
              <w:jc w:val="center"/>
              <w:rPr>
                <w:sz w:val="20"/>
                <w:lang w:eastAsia="lv-LV"/>
              </w:rPr>
            </w:pPr>
          </w:p>
        </w:tc>
        <w:tc>
          <w:tcPr>
            <w:tcW w:w="1559" w:type="dxa"/>
            <w:shd w:val="clear" w:color="auto" w:fill="auto"/>
            <w:vAlign w:val="center"/>
            <w:hideMark/>
          </w:tcPr>
          <w:p w14:paraId="0E204DB0" w14:textId="77777777" w:rsidR="00C166DF" w:rsidRPr="000B3007" w:rsidRDefault="00C166DF" w:rsidP="008906EA">
            <w:pPr>
              <w:spacing w:after="0"/>
              <w:ind w:firstLine="0"/>
              <w:jc w:val="center"/>
              <w:rPr>
                <w:sz w:val="20"/>
                <w:lang w:eastAsia="lv-LV"/>
              </w:rPr>
            </w:pPr>
          </w:p>
        </w:tc>
        <w:tc>
          <w:tcPr>
            <w:tcW w:w="1276" w:type="dxa"/>
            <w:shd w:val="clear" w:color="auto" w:fill="auto"/>
            <w:vAlign w:val="center"/>
            <w:hideMark/>
          </w:tcPr>
          <w:p w14:paraId="08511ED9" w14:textId="77777777" w:rsidR="00C166DF" w:rsidRPr="000B3007" w:rsidRDefault="00C166DF" w:rsidP="008906EA">
            <w:pPr>
              <w:spacing w:after="0"/>
              <w:ind w:firstLine="0"/>
              <w:jc w:val="center"/>
              <w:rPr>
                <w:sz w:val="20"/>
                <w:lang w:eastAsia="lv-LV"/>
              </w:rPr>
            </w:pPr>
            <w:r w:rsidRPr="000B3007">
              <w:rPr>
                <w:sz w:val="20"/>
                <w:lang w:eastAsia="lv-LV"/>
              </w:rPr>
              <w:t>0,01</w:t>
            </w:r>
          </w:p>
        </w:tc>
        <w:tc>
          <w:tcPr>
            <w:tcW w:w="1275" w:type="dxa"/>
            <w:shd w:val="clear" w:color="auto" w:fill="auto"/>
            <w:vAlign w:val="center"/>
            <w:hideMark/>
          </w:tcPr>
          <w:p w14:paraId="2B19305E" w14:textId="77777777" w:rsidR="00C166DF" w:rsidRPr="000B3007" w:rsidRDefault="00C166DF" w:rsidP="008906EA">
            <w:pPr>
              <w:spacing w:after="0"/>
              <w:ind w:firstLine="0"/>
              <w:jc w:val="center"/>
              <w:rPr>
                <w:sz w:val="20"/>
                <w:lang w:eastAsia="lv-LV"/>
              </w:rPr>
            </w:pPr>
            <w:r w:rsidRPr="000B3007">
              <w:rPr>
                <w:sz w:val="20"/>
                <w:lang w:eastAsia="lv-LV"/>
              </w:rPr>
              <w:t>0,00</w:t>
            </w:r>
          </w:p>
        </w:tc>
        <w:tc>
          <w:tcPr>
            <w:tcW w:w="1316" w:type="dxa"/>
            <w:shd w:val="clear" w:color="auto" w:fill="auto"/>
            <w:vAlign w:val="center"/>
            <w:hideMark/>
          </w:tcPr>
          <w:p w14:paraId="00614F35" w14:textId="77777777" w:rsidR="00C166DF" w:rsidRPr="000B3007" w:rsidRDefault="00C166DF" w:rsidP="008906EA">
            <w:pPr>
              <w:spacing w:after="0"/>
              <w:ind w:firstLine="0"/>
              <w:jc w:val="center"/>
              <w:rPr>
                <w:sz w:val="20"/>
                <w:lang w:eastAsia="lv-LV"/>
              </w:rPr>
            </w:pPr>
            <w:r w:rsidRPr="000B3007">
              <w:rPr>
                <w:sz w:val="20"/>
                <w:lang w:eastAsia="lv-LV"/>
              </w:rPr>
              <w:t>0,00</w:t>
            </w:r>
          </w:p>
        </w:tc>
      </w:tr>
      <w:tr w:rsidR="00C166DF" w:rsidRPr="000B3007" w14:paraId="42680FDF" w14:textId="77777777" w:rsidTr="008906EA">
        <w:trPr>
          <w:trHeight w:val="510"/>
        </w:trPr>
        <w:tc>
          <w:tcPr>
            <w:tcW w:w="6946" w:type="dxa"/>
            <w:shd w:val="clear" w:color="auto" w:fill="auto"/>
            <w:hideMark/>
          </w:tcPr>
          <w:p w14:paraId="174D0C04" w14:textId="77777777" w:rsidR="00C166DF" w:rsidRPr="000B3007" w:rsidRDefault="00C166DF" w:rsidP="00C20C2A">
            <w:pPr>
              <w:spacing w:after="0"/>
              <w:ind w:firstLine="0"/>
              <w:rPr>
                <w:color w:val="000000"/>
                <w:sz w:val="20"/>
                <w:lang w:eastAsia="lv-LV"/>
              </w:rPr>
            </w:pPr>
            <w:r w:rsidRPr="000B3007">
              <w:rPr>
                <w:color w:val="000000"/>
                <w:sz w:val="20"/>
                <w:lang w:eastAsia="lv-LV"/>
              </w:rPr>
              <w:t>Finansējuma pārdale uz VM pamatbudžeta apakšprogrammu 02.04.00 “Rezidentu apmācība”, lai nodrošinātu rezidentūras finansēšanu</w:t>
            </w:r>
          </w:p>
        </w:tc>
        <w:tc>
          <w:tcPr>
            <w:tcW w:w="992" w:type="dxa"/>
            <w:shd w:val="clear" w:color="auto" w:fill="auto"/>
            <w:vAlign w:val="center"/>
            <w:hideMark/>
          </w:tcPr>
          <w:p w14:paraId="01D2A483" w14:textId="77777777" w:rsidR="00C166DF" w:rsidRPr="000B3007" w:rsidRDefault="00C166DF" w:rsidP="008906EA">
            <w:pPr>
              <w:spacing w:after="0"/>
              <w:ind w:firstLine="0"/>
              <w:jc w:val="center"/>
              <w:rPr>
                <w:color w:val="000000"/>
                <w:sz w:val="20"/>
                <w:lang w:eastAsia="lv-LV"/>
              </w:rPr>
            </w:pPr>
          </w:p>
        </w:tc>
        <w:tc>
          <w:tcPr>
            <w:tcW w:w="1560" w:type="dxa"/>
            <w:shd w:val="clear" w:color="auto" w:fill="auto"/>
            <w:noWrap/>
            <w:vAlign w:val="center"/>
            <w:hideMark/>
          </w:tcPr>
          <w:p w14:paraId="08FDEBC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04A7E3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14D81348" w14:textId="77777777" w:rsidR="00C166DF" w:rsidRPr="000B3007" w:rsidRDefault="00C166DF" w:rsidP="008906EA">
            <w:pPr>
              <w:spacing w:after="0"/>
              <w:ind w:firstLine="0"/>
              <w:jc w:val="center"/>
              <w:rPr>
                <w:sz w:val="20"/>
                <w:lang w:eastAsia="lv-LV"/>
              </w:rPr>
            </w:pPr>
            <w:r w:rsidRPr="000B3007">
              <w:rPr>
                <w:sz w:val="20"/>
                <w:lang w:eastAsia="lv-LV"/>
              </w:rPr>
              <w:t>0,00</w:t>
            </w:r>
          </w:p>
        </w:tc>
        <w:tc>
          <w:tcPr>
            <w:tcW w:w="1275" w:type="dxa"/>
            <w:shd w:val="clear" w:color="auto" w:fill="auto"/>
            <w:vAlign w:val="center"/>
            <w:hideMark/>
          </w:tcPr>
          <w:p w14:paraId="4068748E" w14:textId="77777777" w:rsidR="00C166DF" w:rsidRPr="000B3007" w:rsidRDefault="00C166DF" w:rsidP="008906EA">
            <w:pPr>
              <w:spacing w:after="0"/>
              <w:ind w:firstLine="0"/>
              <w:jc w:val="center"/>
              <w:rPr>
                <w:sz w:val="20"/>
                <w:lang w:eastAsia="lv-LV"/>
              </w:rPr>
            </w:pPr>
            <w:r w:rsidRPr="000B3007">
              <w:rPr>
                <w:sz w:val="20"/>
                <w:lang w:eastAsia="lv-LV"/>
              </w:rPr>
              <w:t>-0,01</w:t>
            </w:r>
          </w:p>
        </w:tc>
        <w:tc>
          <w:tcPr>
            <w:tcW w:w="1316" w:type="dxa"/>
            <w:shd w:val="clear" w:color="auto" w:fill="auto"/>
            <w:vAlign w:val="center"/>
            <w:hideMark/>
          </w:tcPr>
          <w:p w14:paraId="024C410C" w14:textId="77777777" w:rsidR="00C166DF" w:rsidRPr="000B3007" w:rsidRDefault="00C166DF" w:rsidP="008906EA">
            <w:pPr>
              <w:spacing w:after="0"/>
              <w:ind w:firstLine="0"/>
              <w:jc w:val="center"/>
              <w:rPr>
                <w:sz w:val="20"/>
                <w:lang w:eastAsia="lv-LV"/>
              </w:rPr>
            </w:pPr>
            <w:r w:rsidRPr="000B3007">
              <w:rPr>
                <w:sz w:val="20"/>
                <w:lang w:eastAsia="lv-LV"/>
              </w:rPr>
              <w:t>0,01</w:t>
            </w:r>
          </w:p>
        </w:tc>
      </w:tr>
      <w:tr w:rsidR="00C166DF" w:rsidRPr="000B3007" w14:paraId="11DEC9A8" w14:textId="77777777" w:rsidTr="008906EA">
        <w:trPr>
          <w:trHeight w:val="510"/>
        </w:trPr>
        <w:tc>
          <w:tcPr>
            <w:tcW w:w="6946" w:type="dxa"/>
            <w:shd w:val="clear" w:color="auto" w:fill="auto"/>
            <w:hideMark/>
          </w:tcPr>
          <w:p w14:paraId="2D35C5CB" w14:textId="77777777" w:rsidR="00C166DF" w:rsidRPr="000B3007" w:rsidRDefault="00C166DF" w:rsidP="00C20C2A">
            <w:pPr>
              <w:spacing w:after="0"/>
              <w:ind w:firstLine="0"/>
              <w:rPr>
                <w:sz w:val="20"/>
                <w:lang w:eastAsia="lv-LV"/>
              </w:rPr>
            </w:pPr>
            <w:r w:rsidRPr="000B3007">
              <w:rPr>
                <w:sz w:val="20"/>
                <w:lang w:eastAsia="lv-LV"/>
              </w:rPr>
              <w:lastRenderedPageBreak/>
              <w:t>Papildu izdevumi, lai nodrošinātu prioritārā pasākuma par noziedzīgi iegūtu līdzekļu legalizācijas un terorisma finansēšanas novēršanas pasākumu nodrošināšanu</w:t>
            </w:r>
          </w:p>
        </w:tc>
        <w:tc>
          <w:tcPr>
            <w:tcW w:w="992" w:type="dxa"/>
            <w:shd w:val="clear" w:color="auto" w:fill="auto"/>
            <w:vAlign w:val="center"/>
            <w:hideMark/>
          </w:tcPr>
          <w:p w14:paraId="02F1B6D2" w14:textId="77777777" w:rsidR="00C166DF" w:rsidRPr="000B3007" w:rsidRDefault="00C166DF" w:rsidP="008906EA">
            <w:pPr>
              <w:spacing w:after="0"/>
              <w:ind w:firstLine="0"/>
              <w:jc w:val="center"/>
              <w:rPr>
                <w:sz w:val="20"/>
                <w:lang w:eastAsia="lv-LV"/>
              </w:rPr>
            </w:pPr>
          </w:p>
        </w:tc>
        <w:tc>
          <w:tcPr>
            <w:tcW w:w="1560" w:type="dxa"/>
            <w:shd w:val="clear" w:color="auto" w:fill="auto"/>
            <w:noWrap/>
            <w:vAlign w:val="center"/>
            <w:hideMark/>
          </w:tcPr>
          <w:p w14:paraId="0DFF4100"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146D6503"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43C8DD8F" w14:textId="77777777" w:rsidR="00C166DF" w:rsidRPr="000B3007" w:rsidRDefault="00C166DF" w:rsidP="008906EA">
            <w:pPr>
              <w:spacing w:after="0"/>
              <w:ind w:firstLine="0"/>
              <w:jc w:val="center"/>
              <w:rPr>
                <w:sz w:val="20"/>
                <w:lang w:eastAsia="lv-LV"/>
              </w:rPr>
            </w:pPr>
            <w:r w:rsidRPr="000B3007">
              <w:rPr>
                <w:sz w:val="20"/>
                <w:lang w:eastAsia="lv-LV"/>
              </w:rPr>
              <w:t>0,03</w:t>
            </w:r>
          </w:p>
        </w:tc>
        <w:tc>
          <w:tcPr>
            <w:tcW w:w="1275" w:type="dxa"/>
            <w:shd w:val="clear" w:color="auto" w:fill="auto"/>
            <w:vAlign w:val="center"/>
            <w:hideMark/>
          </w:tcPr>
          <w:p w14:paraId="0BE89D01" w14:textId="77777777" w:rsidR="00C166DF" w:rsidRPr="000B3007" w:rsidRDefault="00C166DF" w:rsidP="008906EA">
            <w:pPr>
              <w:spacing w:after="0"/>
              <w:ind w:firstLine="0"/>
              <w:jc w:val="center"/>
              <w:rPr>
                <w:sz w:val="20"/>
                <w:lang w:eastAsia="lv-LV"/>
              </w:rPr>
            </w:pPr>
            <w:r w:rsidRPr="000B3007">
              <w:rPr>
                <w:sz w:val="20"/>
                <w:lang w:eastAsia="lv-LV"/>
              </w:rPr>
              <w:t>0,00</w:t>
            </w:r>
          </w:p>
        </w:tc>
        <w:tc>
          <w:tcPr>
            <w:tcW w:w="1316" w:type="dxa"/>
            <w:shd w:val="clear" w:color="auto" w:fill="auto"/>
            <w:vAlign w:val="center"/>
            <w:hideMark/>
          </w:tcPr>
          <w:p w14:paraId="75DBF1F9" w14:textId="77777777" w:rsidR="00C166DF" w:rsidRPr="000B3007" w:rsidRDefault="00C166DF" w:rsidP="008906EA">
            <w:pPr>
              <w:spacing w:after="0"/>
              <w:ind w:firstLine="0"/>
              <w:jc w:val="center"/>
              <w:rPr>
                <w:sz w:val="20"/>
                <w:lang w:eastAsia="lv-LV"/>
              </w:rPr>
            </w:pPr>
            <w:r w:rsidRPr="000B3007">
              <w:rPr>
                <w:sz w:val="20"/>
                <w:lang w:eastAsia="lv-LV"/>
              </w:rPr>
              <w:t>0,00</w:t>
            </w:r>
          </w:p>
        </w:tc>
      </w:tr>
      <w:tr w:rsidR="00C166DF" w:rsidRPr="000B3007" w14:paraId="541817C3" w14:textId="77777777" w:rsidTr="008906EA">
        <w:trPr>
          <w:trHeight w:val="300"/>
        </w:trPr>
        <w:tc>
          <w:tcPr>
            <w:tcW w:w="6946" w:type="dxa"/>
            <w:shd w:val="clear" w:color="auto" w:fill="auto"/>
            <w:hideMark/>
          </w:tcPr>
          <w:p w14:paraId="2AEAF099" w14:textId="77777777" w:rsidR="00C166DF" w:rsidRPr="000B3007" w:rsidRDefault="00C166DF" w:rsidP="00C20C2A">
            <w:pPr>
              <w:spacing w:after="0"/>
              <w:ind w:firstLine="0"/>
              <w:rPr>
                <w:sz w:val="20"/>
                <w:lang w:eastAsia="lv-LV"/>
              </w:rPr>
            </w:pPr>
            <w:r w:rsidRPr="000B3007">
              <w:rPr>
                <w:sz w:val="20"/>
                <w:lang w:eastAsia="lv-LV"/>
              </w:rPr>
              <w:t>Papildu izdevumi, lai nodrošinātu demogrāfijas pasākumu īstenošanu</w:t>
            </w:r>
          </w:p>
        </w:tc>
        <w:tc>
          <w:tcPr>
            <w:tcW w:w="992" w:type="dxa"/>
            <w:shd w:val="clear" w:color="auto" w:fill="auto"/>
            <w:vAlign w:val="center"/>
            <w:hideMark/>
          </w:tcPr>
          <w:p w14:paraId="121CEAC3" w14:textId="77777777" w:rsidR="00C166DF" w:rsidRPr="000B3007" w:rsidRDefault="00C166DF" w:rsidP="008906EA">
            <w:pPr>
              <w:spacing w:after="0"/>
              <w:ind w:firstLine="0"/>
              <w:jc w:val="center"/>
              <w:rPr>
                <w:sz w:val="20"/>
                <w:lang w:eastAsia="lv-LV"/>
              </w:rPr>
            </w:pPr>
          </w:p>
        </w:tc>
        <w:tc>
          <w:tcPr>
            <w:tcW w:w="1560" w:type="dxa"/>
            <w:shd w:val="clear" w:color="auto" w:fill="auto"/>
            <w:noWrap/>
            <w:vAlign w:val="center"/>
            <w:hideMark/>
          </w:tcPr>
          <w:p w14:paraId="7A66F1C2"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5A55A526"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22AD7E72" w14:textId="77777777" w:rsidR="00C166DF" w:rsidRPr="000B3007" w:rsidRDefault="00C166DF" w:rsidP="008906EA">
            <w:pPr>
              <w:spacing w:after="0"/>
              <w:ind w:firstLine="0"/>
              <w:jc w:val="center"/>
              <w:rPr>
                <w:sz w:val="20"/>
                <w:lang w:eastAsia="lv-LV"/>
              </w:rPr>
            </w:pPr>
            <w:r w:rsidRPr="000B3007">
              <w:rPr>
                <w:sz w:val="20"/>
                <w:lang w:eastAsia="lv-LV"/>
              </w:rPr>
              <w:t>0,02</w:t>
            </w:r>
          </w:p>
        </w:tc>
        <w:tc>
          <w:tcPr>
            <w:tcW w:w="1275" w:type="dxa"/>
            <w:shd w:val="clear" w:color="auto" w:fill="auto"/>
            <w:vAlign w:val="center"/>
            <w:hideMark/>
          </w:tcPr>
          <w:p w14:paraId="74D89482" w14:textId="77777777" w:rsidR="00C166DF" w:rsidRPr="000B3007" w:rsidRDefault="00C166DF" w:rsidP="008906EA">
            <w:pPr>
              <w:spacing w:after="0"/>
              <w:ind w:firstLine="0"/>
              <w:jc w:val="center"/>
              <w:rPr>
                <w:sz w:val="20"/>
                <w:lang w:eastAsia="lv-LV"/>
              </w:rPr>
            </w:pPr>
            <w:r w:rsidRPr="000B3007">
              <w:rPr>
                <w:sz w:val="20"/>
                <w:lang w:eastAsia="lv-LV"/>
              </w:rPr>
              <w:t>0,00</w:t>
            </w:r>
          </w:p>
        </w:tc>
        <w:tc>
          <w:tcPr>
            <w:tcW w:w="1316" w:type="dxa"/>
            <w:shd w:val="clear" w:color="auto" w:fill="auto"/>
            <w:vAlign w:val="center"/>
            <w:hideMark/>
          </w:tcPr>
          <w:p w14:paraId="33C628CD" w14:textId="77777777" w:rsidR="00C166DF" w:rsidRPr="000B3007" w:rsidRDefault="00C166DF" w:rsidP="008906EA">
            <w:pPr>
              <w:spacing w:after="0"/>
              <w:ind w:firstLine="0"/>
              <w:jc w:val="center"/>
              <w:rPr>
                <w:sz w:val="20"/>
                <w:lang w:eastAsia="lv-LV"/>
              </w:rPr>
            </w:pPr>
            <w:r w:rsidRPr="000B3007">
              <w:rPr>
                <w:sz w:val="20"/>
                <w:lang w:eastAsia="lv-LV"/>
              </w:rPr>
              <w:t>0,00</w:t>
            </w:r>
          </w:p>
        </w:tc>
      </w:tr>
      <w:tr w:rsidR="00C166DF" w:rsidRPr="000B3007" w14:paraId="40E32B7B" w14:textId="77777777" w:rsidTr="008906EA">
        <w:trPr>
          <w:trHeight w:val="510"/>
        </w:trPr>
        <w:tc>
          <w:tcPr>
            <w:tcW w:w="6946" w:type="dxa"/>
            <w:shd w:val="clear" w:color="auto" w:fill="auto"/>
            <w:hideMark/>
          </w:tcPr>
          <w:p w14:paraId="3B548522" w14:textId="77777777" w:rsidR="00C166DF" w:rsidRPr="000B3007" w:rsidRDefault="00C166DF" w:rsidP="00C20C2A">
            <w:pPr>
              <w:spacing w:after="0"/>
              <w:ind w:firstLine="0"/>
              <w:rPr>
                <w:sz w:val="20"/>
                <w:lang w:eastAsia="lv-LV"/>
              </w:rPr>
            </w:pPr>
            <w:r w:rsidRPr="000B3007">
              <w:rPr>
                <w:sz w:val="20"/>
                <w:lang w:eastAsia="lv-LV"/>
              </w:rPr>
              <w:t>Pārdalītais finansējums ES politikas instrumentu un pārējās ārvalstu finanšu palīdzības projektu īstenošanai no/uz budžeta resoriem</w:t>
            </w:r>
          </w:p>
        </w:tc>
        <w:tc>
          <w:tcPr>
            <w:tcW w:w="992" w:type="dxa"/>
            <w:shd w:val="clear" w:color="auto" w:fill="auto"/>
            <w:vAlign w:val="center"/>
            <w:hideMark/>
          </w:tcPr>
          <w:p w14:paraId="34843568" w14:textId="77777777" w:rsidR="00C166DF" w:rsidRPr="000B3007" w:rsidRDefault="00C166DF" w:rsidP="008906EA">
            <w:pPr>
              <w:spacing w:after="0"/>
              <w:ind w:firstLine="0"/>
              <w:jc w:val="center"/>
              <w:rPr>
                <w:sz w:val="20"/>
                <w:lang w:eastAsia="lv-LV"/>
              </w:rPr>
            </w:pPr>
          </w:p>
        </w:tc>
        <w:tc>
          <w:tcPr>
            <w:tcW w:w="1560" w:type="dxa"/>
            <w:shd w:val="clear" w:color="auto" w:fill="auto"/>
            <w:noWrap/>
            <w:vAlign w:val="center"/>
            <w:hideMark/>
          </w:tcPr>
          <w:p w14:paraId="4F019845"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Naudas plūsma</w:t>
            </w:r>
          </w:p>
        </w:tc>
        <w:tc>
          <w:tcPr>
            <w:tcW w:w="1559" w:type="dxa"/>
            <w:shd w:val="clear" w:color="auto" w:fill="auto"/>
            <w:noWrap/>
            <w:vAlign w:val="center"/>
            <w:hideMark/>
          </w:tcPr>
          <w:p w14:paraId="0B3B5F78"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Apstiprināts valdībā</w:t>
            </w:r>
          </w:p>
        </w:tc>
        <w:tc>
          <w:tcPr>
            <w:tcW w:w="1276" w:type="dxa"/>
            <w:shd w:val="clear" w:color="auto" w:fill="auto"/>
            <w:vAlign w:val="center"/>
            <w:hideMark/>
          </w:tcPr>
          <w:p w14:paraId="7FCA2E3F" w14:textId="77777777" w:rsidR="00C166DF" w:rsidRPr="000B3007" w:rsidRDefault="00C166DF" w:rsidP="008906EA">
            <w:pPr>
              <w:spacing w:after="0"/>
              <w:ind w:firstLine="0"/>
              <w:jc w:val="center"/>
              <w:rPr>
                <w:sz w:val="20"/>
                <w:lang w:eastAsia="lv-LV"/>
              </w:rPr>
            </w:pPr>
            <w:r w:rsidRPr="000B3007">
              <w:rPr>
                <w:sz w:val="20"/>
                <w:lang w:eastAsia="lv-LV"/>
              </w:rPr>
              <w:t>-0,13</w:t>
            </w:r>
          </w:p>
        </w:tc>
        <w:tc>
          <w:tcPr>
            <w:tcW w:w="1275" w:type="dxa"/>
            <w:shd w:val="clear" w:color="auto" w:fill="auto"/>
            <w:vAlign w:val="center"/>
            <w:hideMark/>
          </w:tcPr>
          <w:p w14:paraId="0A5D14CF" w14:textId="77777777" w:rsidR="00C166DF" w:rsidRPr="000B3007" w:rsidRDefault="00C166DF" w:rsidP="008906EA">
            <w:pPr>
              <w:spacing w:after="0"/>
              <w:ind w:firstLine="0"/>
              <w:jc w:val="center"/>
              <w:rPr>
                <w:sz w:val="20"/>
                <w:lang w:eastAsia="lv-LV"/>
              </w:rPr>
            </w:pPr>
            <w:r w:rsidRPr="000B3007">
              <w:rPr>
                <w:sz w:val="20"/>
                <w:lang w:eastAsia="lv-LV"/>
              </w:rPr>
              <w:t>0,12</w:t>
            </w:r>
          </w:p>
        </w:tc>
        <w:tc>
          <w:tcPr>
            <w:tcW w:w="1316" w:type="dxa"/>
            <w:shd w:val="clear" w:color="auto" w:fill="auto"/>
            <w:vAlign w:val="center"/>
            <w:hideMark/>
          </w:tcPr>
          <w:p w14:paraId="2FF40EA9" w14:textId="77777777" w:rsidR="00C166DF" w:rsidRPr="000B3007" w:rsidRDefault="00C166DF" w:rsidP="008906EA">
            <w:pPr>
              <w:spacing w:after="0"/>
              <w:ind w:firstLine="0"/>
              <w:jc w:val="center"/>
              <w:rPr>
                <w:sz w:val="20"/>
                <w:lang w:eastAsia="lv-LV"/>
              </w:rPr>
            </w:pPr>
            <w:r w:rsidRPr="000B3007">
              <w:rPr>
                <w:sz w:val="20"/>
                <w:lang w:eastAsia="lv-LV"/>
              </w:rPr>
              <w:t>0,01</w:t>
            </w:r>
          </w:p>
        </w:tc>
      </w:tr>
      <w:tr w:rsidR="00C166DF" w:rsidRPr="000B3007" w14:paraId="64CC8923" w14:textId="77777777" w:rsidTr="008906EA">
        <w:trPr>
          <w:trHeight w:val="255"/>
        </w:trPr>
        <w:tc>
          <w:tcPr>
            <w:tcW w:w="6946" w:type="dxa"/>
            <w:shd w:val="clear" w:color="000000" w:fill="DDEBF7"/>
            <w:hideMark/>
          </w:tcPr>
          <w:p w14:paraId="6607EF77" w14:textId="77777777" w:rsidR="00C166DF" w:rsidRPr="000B3007" w:rsidRDefault="00C166DF" w:rsidP="00C20C2A">
            <w:pPr>
              <w:spacing w:after="0"/>
              <w:ind w:firstLine="0"/>
              <w:rPr>
                <w:sz w:val="20"/>
                <w:lang w:eastAsia="lv-LV"/>
              </w:rPr>
            </w:pPr>
            <w:r w:rsidRPr="000B3007">
              <w:rPr>
                <w:sz w:val="20"/>
                <w:lang w:eastAsia="lv-LV"/>
              </w:rPr>
              <w:t>Citi prioritārie pasākumi</w:t>
            </w:r>
          </w:p>
        </w:tc>
        <w:tc>
          <w:tcPr>
            <w:tcW w:w="992" w:type="dxa"/>
            <w:shd w:val="clear" w:color="000000" w:fill="DDEBF7"/>
            <w:vAlign w:val="center"/>
            <w:hideMark/>
          </w:tcPr>
          <w:p w14:paraId="597A83A4" w14:textId="77777777" w:rsidR="00C166DF" w:rsidRPr="000B3007" w:rsidRDefault="00C166DF" w:rsidP="008906EA">
            <w:pPr>
              <w:spacing w:after="0"/>
              <w:ind w:firstLine="0"/>
              <w:jc w:val="center"/>
              <w:rPr>
                <w:color w:val="000000"/>
                <w:sz w:val="20"/>
                <w:lang w:eastAsia="lv-LV"/>
              </w:rPr>
            </w:pPr>
          </w:p>
        </w:tc>
        <w:tc>
          <w:tcPr>
            <w:tcW w:w="1560" w:type="dxa"/>
            <w:shd w:val="clear" w:color="000000" w:fill="DDEBF7"/>
            <w:vAlign w:val="center"/>
            <w:hideMark/>
          </w:tcPr>
          <w:p w14:paraId="4C191B7F" w14:textId="77777777" w:rsidR="00C166DF" w:rsidRPr="000B3007" w:rsidRDefault="00C166DF" w:rsidP="008906EA">
            <w:pPr>
              <w:spacing w:after="0"/>
              <w:ind w:firstLine="0"/>
              <w:jc w:val="center"/>
              <w:rPr>
                <w:color w:val="000000"/>
                <w:sz w:val="20"/>
                <w:lang w:eastAsia="lv-LV"/>
              </w:rPr>
            </w:pPr>
          </w:p>
        </w:tc>
        <w:tc>
          <w:tcPr>
            <w:tcW w:w="1559" w:type="dxa"/>
            <w:shd w:val="clear" w:color="000000" w:fill="DDEBF7"/>
            <w:vAlign w:val="center"/>
            <w:hideMark/>
          </w:tcPr>
          <w:p w14:paraId="7A40A6B5" w14:textId="77777777" w:rsidR="00C166DF" w:rsidRPr="000B3007" w:rsidRDefault="00C166DF" w:rsidP="008906EA">
            <w:pPr>
              <w:spacing w:after="0"/>
              <w:ind w:firstLine="0"/>
              <w:jc w:val="center"/>
              <w:rPr>
                <w:color w:val="000000"/>
                <w:sz w:val="20"/>
                <w:lang w:eastAsia="lv-LV"/>
              </w:rPr>
            </w:pPr>
          </w:p>
        </w:tc>
        <w:tc>
          <w:tcPr>
            <w:tcW w:w="1276" w:type="dxa"/>
            <w:shd w:val="clear" w:color="000000" w:fill="DDEBF7"/>
            <w:vAlign w:val="center"/>
            <w:hideMark/>
          </w:tcPr>
          <w:p w14:paraId="1D486A36"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0,14</w:t>
            </w:r>
          </w:p>
        </w:tc>
        <w:tc>
          <w:tcPr>
            <w:tcW w:w="1275" w:type="dxa"/>
            <w:shd w:val="clear" w:color="000000" w:fill="DDEBF7"/>
            <w:vAlign w:val="center"/>
            <w:hideMark/>
          </w:tcPr>
          <w:p w14:paraId="7E1F683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000000" w:fill="DDEBF7"/>
            <w:vAlign w:val="center"/>
            <w:hideMark/>
          </w:tcPr>
          <w:p w14:paraId="15EDF49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r>
      <w:tr w:rsidR="00C166DF" w:rsidRPr="000B3007" w14:paraId="2DCFDE1C" w14:textId="77777777" w:rsidTr="008906EA">
        <w:trPr>
          <w:trHeight w:val="255"/>
        </w:trPr>
        <w:tc>
          <w:tcPr>
            <w:tcW w:w="6946" w:type="dxa"/>
            <w:shd w:val="clear" w:color="000000" w:fill="DDEBF7"/>
            <w:hideMark/>
          </w:tcPr>
          <w:p w14:paraId="15B5E679" w14:textId="30376103" w:rsidR="00C166DF" w:rsidRPr="000B3007" w:rsidRDefault="00C166DF" w:rsidP="00C20C2A">
            <w:pPr>
              <w:spacing w:after="0"/>
              <w:ind w:firstLine="0"/>
              <w:rPr>
                <w:sz w:val="20"/>
                <w:lang w:eastAsia="lv-LV"/>
              </w:rPr>
            </w:pPr>
            <w:r w:rsidRPr="000B3007">
              <w:rPr>
                <w:sz w:val="20"/>
                <w:lang w:eastAsia="lv-LV"/>
              </w:rPr>
              <w:t>Citi M</w:t>
            </w:r>
            <w:r w:rsidR="005070C6">
              <w:rPr>
                <w:sz w:val="20"/>
                <w:lang w:eastAsia="lv-LV"/>
              </w:rPr>
              <w:t xml:space="preserve">K </w:t>
            </w:r>
            <w:r w:rsidRPr="000B3007">
              <w:rPr>
                <w:sz w:val="20"/>
                <w:lang w:eastAsia="lv-LV"/>
              </w:rPr>
              <w:t>lēmumi budžeta sagatavošanas laikā</w:t>
            </w:r>
          </w:p>
        </w:tc>
        <w:tc>
          <w:tcPr>
            <w:tcW w:w="992" w:type="dxa"/>
            <w:shd w:val="clear" w:color="000000" w:fill="DDEBF7"/>
            <w:vAlign w:val="center"/>
            <w:hideMark/>
          </w:tcPr>
          <w:p w14:paraId="7E5772DD" w14:textId="77777777" w:rsidR="00C166DF" w:rsidRPr="000B3007" w:rsidRDefault="00C166DF" w:rsidP="008906EA">
            <w:pPr>
              <w:spacing w:after="0"/>
              <w:ind w:firstLine="0"/>
              <w:jc w:val="center"/>
              <w:rPr>
                <w:color w:val="000000"/>
                <w:sz w:val="20"/>
                <w:lang w:eastAsia="lv-LV"/>
              </w:rPr>
            </w:pPr>
          </w:p>
        </w:tc>
        <w:tc>
          <w:tcPr>
            <w:tcW w:w="1560" w:type="dxa"/>
            <w:shd w:val="clear" w:color="000000" w:fill="DDEBF7"/>
            <w:vAlign w:val="center"/>
            <w:hideMark/>
          </w:tcPr>
          <w:p w14:paraId="7BDE905A" w14:textId="77777777" w:rsidR="00C166DF" w:rsidRPr="000B3007" w:rsidRDefault="00C166DF" w:rsidP="008906EA">
            <w:pPr>
              <w:spacing w:after="0"/>
              <w:ind w:firstLine="0"/>
              <w:jc w:val="center"/>
              <w:rPr>
                <w:color w:val="000000"/>
                <w:sz w:val="20"/>
                <w:lang w:eastAsia="lv-LV"/>
              </w:rPr>
            </w:pPr>
          </w:p>
        </w:tc>
        <w:tc>
          <w:tcPr>
            <w:tcW w:w="1559" w:type="dxa"/>
            <w:shd w:val="clear" w:color="000000" w:fill="DDEBF7"/>
            <w:vAlign w:val="center"/>
            <w:hideMark/>
          </w:tcPr>
          <w:p w14:paraId="2454C781" w14:textId="77777777" w:rsidR="00C166DF" w:rsidRPr="000B3007" w:rsidRDefault="00C166DF" w:rsidP="008906EA">
            <w:pPr>
              <w:spacing w:after="0"/>
              <w:ind w:firstLine="0"/>
              <w:jc w:val="center"/>
              <w:rPr>
                <w:color w:val="000000"/>
                <w:sz w:val="20"/>
                <w:lang w:eastAsia="lv-LV"/>
              </w:rPr>
            </w:pPr>
          </w:p>
        </w:tc>
        <w:tc>
          <w:tcPr>
            <w:tcW w:w="1276" w:type="dxa"/>
            <w:shd w:val="clear" w:color="000000" w:fill="DDEBF7"/>
            <w:vAlign w:val="center"/>
            <w:hideMark/>
          </w:tcPr>
          <w:p w14:paraId="63766E9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0,07</w:t>
            </w:r>
          </w:p>
        </w:tc>
        <w:tc>
          <w:tcPr>
            <w:tcW w:w="1275" w:type="dxa"/>
            <w:shd w:val="clear" w:color="000000" w:fill="DDEBF7"/>
            <w:vAlign w:val="center"/>
            <w:hideMark/>
          </w:tcPr>
          <w:p w14:paraId="517E533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-0,03</w:t>
            </w:r>
          </w:p>
        </w:tc>
        <w:tc>
          <w:tcPr>
            <w:tcW w:w="1316" w:type="dxa"/>
            <w:shd w:val="clear" w:color="000000" w:fill="DDEBF7"/>
            <w:vAlign w:val="center"/>
            <w:hideMark/>
          </w:tcPr>
          <w:p w14:paraId="764AC761"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0,01</w:t>
            </w:r>
          </w:p>
        </w:tc>
      </w:tr>
      <w:tr w:rsidR="00C166DF" w:rsidRPr="000B3007" w14:paraId="6A1D433A" w14:textId="77777777" w:rsidTr="008906EA">
        <w:trPr>
          <w:trHeight w:val="255"/>
        </w:trPr>
        <w:tc>
          <w:tcPr>
            <w:tcW w:w="6946" w:type="dxa"/>
            <w:shd w:val="clear" w:color="000000" w:fill="DDEBF7"/>
            <w:hideMark/>
          </w:tcPr>
          <w:p w14:paraId="1A88940B" w14:textId="77777777" w:rsidR="00C166DF" w:rsidRPr="000B3007" w:rsidRDefault="00C166DF" w:rsidP="00C20C2A">
            <w:pPr>
              <w:spacing w:after="0"/>
              <w:ind w:firstLine="0"/>
              <w:rPr>
                <w:color w:val="000000"/>
                <w:sz w:val="20"/>
                <w:lang w:eastAsia="lv-LV"/>
              </w:rPr>
            </w:pPr>
            <w:r w:rsidRPr="000B3007">
              <w:rPr>
                <w:color w:val="000000"/>
                <w:sz w:val="20"/>
                <w:lang w:eastAsia="lv-LV"/>
              </w:rPr>
              <w:t>Citi tehniskie precizējumi</w:t>
            </w:r>
          </w:p>
        </w:tc>
        <w:tc>
          <w:tcPr>
            <w:tcW w:w="992" w:type="dxa"/>
            <w:shd w:val="clear" w:color="000000" w:fill="DDEBF7"/>
            <w:vAlign w:val="center"/>
            <w:hideMark/>
          </w:tcPr>
          <w:p w14:paraId="04A4227F" w14:textId="77777777" w:rsidR="00C166DF" w:rsidRPr="000B3007" w:rsidRDefault="00C166DF" w:rsidP="008906EA">
            <w:pPr>
              <w:spacing w:after="0"/>
              <w:ind w:firstLine="0"/>
              <w:jc w:val="center"/>
              <w:rPr>
                <w:color w:val="000000"/>
                <w:sz w:val="20"/>
                <w:lang w:eastAsia="lv-LV"/>
              </w:rPr>
            </w:pPr>
          </w:p>
        </w:tc>
        <w:tc>
          <w:tcPr>
            <w:tcW w:w="1560" w:type="dxa"/>
            <w:shd w:val="clear" w:color="000000" w:fill="DDEBF7"/>
            <w:vAlign w:val="center"/>
            <w:hideMark/>
          </w:tcPr>
          <w:p w14:paraId="27CC13F7" w14:textId="77777777" w:rsidR="00C166DF" w:rsidRPr="000B3007" w:rsidRDefault="00C166DF" w:rsidP="008906EA">
            <w:pPr>
              <w:spacing w:after="0"/>
              <w:ind w:firstLine="0"/>
              <w:jc w:val="center"/>
              <w:rPr>
                <w:color w:val="000000"/>
                <w:sz w:val="20"/>
                <w:lang w:eastAsia="lv-LV"/>
              </w:rPr>
            </w:pPr>
          </w:p>
        </w:tc>
        <w:tc>
          <w:tcPr>
            <w:tcW w:w="1559" w:type="dxa"/>
            <w:shd w:val="clear" w:color="000000" w:fill="DDEBF7"/>
            <w:vAlign w:val="center"/>
            <w:hideMark/>
          </w:tcPr>
          <w:p w14:paraId="5B26BC8D" w14:textId="77777777" w:rsidR="00C166DF" w:rsidRPr="000B3007" w:rsidRDefault="00C166DF" w:rsidP="008906EA">
            <w:pPr>
              <w:spacing w:after="0"/>
              <w:ind w:firstLine="0"/>
              <w:jc w:val="center"/>
              <w:rPr>
                <w:color w:val="000000"/>
                <w:sz w:val="20"/>
                <w:lang w:eastAsia="lv-LV"/>
              </w:rPr>
            </w:pPr>
          </w:p>
        </w:tc>
        <w:tc>
          <w:tcPr>
            <w:tcW w:w="1276" w:type="dxa"/>
            <w:shd w:val="clear" w:color="000000" w:fill="DDEBF7"/>
            <w:vAlign w:val="center"/>
            <w:hideMark/>
          </w:tcPr>
          <w:p w14:paraId="781C548C"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275" w:type="dxa"/>
            <w:shd w:val="clear" w:color="000000" w:fill="DDEBF7"/>
            <w:vAlign w:val="center"/>
            <w:hideMark/>
          </w:tcPr>
          <w:p w14:paraId="71E46B34"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c>
          <w:tcPr>
            <w:tcW w:w="1316" w:type="dxa"/>
            <w:shd w:val="clear" w:color="000000" w:fill="DDEBF7"/>
            <w:vAlign w:val="center"/>
            <w:hideMark/>
          </w:tcPr>
          <w:p w14:paraId="62F19CE7" w14:textId="77777777" w:rsidR="00C166DF" w:rsidRPr="000B3007" w:rsidRDefault="00C166DF" w:rsidP="008906EA">
            <w:pPr>
              <w:spacing w:after="0"/>
              <w:ind w:firstLine="0"/>
              <w:jc w:val="center"/>
              <w:rPr>
                <w:color w:val="000000"/>
                <w:sz w:val="20"/>
                <w:lang w:eastAsia="lv-LV"/>
              </w:rPr>
            </w:pPr>
            <w:r w:rsidRPr="000B3007">
              <w:rPr>
                <w:color w:val="000000"/>
                <w:sz w:val="20"/>
                <w:lang w:eastAsia="lv-LV"/>
              </w:rPr>
              <w:t>0,00</w:t>
            </w:r>
          </w:p>
        </w:tc>
      </w:tr>
      <w:tr w:rsidR="00C166DF" w:rsidRPr="000B3007" w14:paraId="4680B634" w14:textId="77777777" w:rsidTr="008906EA">
        <w:trPr>
          <w:trHeight w:val="255"/>
        </w:trPr>
        <w:tc>
          <w:tcPr>
            <w:tcW w:w="11057" w:type="dxa"/>
            <w:gridSpan w:val="4"/>
            <w:shd w:val="clear" w:color="DDEBF7" w:fill="9BC2E6"/>
            <w:vAlign w:val="center"/>
            <w:hideMark/>
          </w:tcPr>
          <w:p w14:paraId="7FA8E4D4" w14:textId="77777777" w:rsidR="00C166DF" w:rsidRPr="000B3007" w:rsidRDefault="00C166DF" w:rsidP="00C20C2A">
            <w:pPr>
              <w:spacing w:after="0"/>
              <w:ind w:firstLine="0"/>
              <w:rPr>
                <w:b/>
                <w:bCs/>
                <w:color w:val="000000"/>
                <w:sz w:val="20"/>
                <w:lang w:eastAsia="lv-LV"/>
              </w:rPr>
            </w:pPr>
            <w:r w:rsidRPr="000B3007">
              <w:rPr>
                <w:b/>
                <w:bCs/>
                <w:color w:val="000000"/>
                <w:sz w:val="20"/>
                <w:lang w:eastAsia="lv-LV"/>
              </w:rPr>
              <w:t>Kopā</w:t>
            </w:r>
          </w:p>
        </w:tc>
        <w:tc>
          <w:tcPr>
            <w:tcW w:w="1276" w:type="dxa"/>
            <w:shd w:val="clear" w:color="DDEBF7" w:fill="9BC2E6"/>
            <w:vAlign w:val="center"/>
            <w:hideMark/>
          </w:tcPr>
          <w:p w14:paraId="0D5F9447"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0,27</w:t>
            </w:r>
          </w:p>
        </w:tc>
        <w:tc>
          <w:tcPr>
            <w:tcW w:w="1275" w:type="dxa"/>
            <w:shd w:val="clear" w:color="DDEBF7" w:fill="9BC2E6"/>
            <w:vAlign w:val="center"/>
            <w:hideMark/>
          </w:tcPr>
          <w:p w14:paraId="26C813A1"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-0,01</w:t>
            </w:r>
          </w:p>
        </w:tc>
        <w:tc>
          <w:tcPr>
            <w:tcW w:w="1316" w:type="dxa"/>
            <w:shd w:val="clear" w:color="DDEBF7" w:fill="9BC2E6"/>
            <w:vAlign w:val="center"/>
            <w:hideMark/>
          </w:tcPr>
          <w:p w14:paraId="64A5C4ED" w14:textId="77777777" w:rsidR="00C166DF" w:rsidRPr="000B3007" w:rsidRDefault="00C166DF" w:rsidP="008906EA">
            <w:pPr>
              <w:spacing w:after="0"/>
              <w:ind w:firstLine="0"/>
              <w:jc w:val="center"/>
              <w:rPr>
                <w:b/>
                <w:bCs/>
                <w:color w:val="000000"/>
                <w:sz w:val="20"/>
                <w:lang w:eastAsia="lv-LV"/>
              </w:rPr>
            </w:pPr>
            <w:r w:rsidRPr="000B3007">
              <w:rPr>
                <w:b/>
                <w:bCs/>
                <w:color w:val="000000"/>
                <w:sz w:val="20"/>
                <w:lang w:eastAsia="lv-LV"/>
              </w:rPr>
              <w:t>0,05</w:t>
            </w:r>
          </w:p>
        </w:tc>
      </w:tr>
    </w:tbl>
    <w:p w14:paraId="2B61FDAE" w14:textId="77777777" w:rsidR="00423C48" w:rsidRDefault="00423C48" w:rsidP="00382BC7">
      <w:pPr>
        <w:pStyle w:val="Heading1"/>
        <w:tabs>
          <w:tab w:val="left" w:pos="1276"/>
        </w:tabs>
        <w:spacing w:before="0" w:after="240"/>
        <w:ind w:left="1276" w:hanging="1276"/>
        <w:jc w:val="left"/>
        <w:rPr>
          <w:rFonts w:ascii="Times New Roman" w:hAnsi="Times New Roman"/>
          <w:color w:val="18185F"/>
          <w:sz w:val="24"/>
          <w:lang w:val="lv-LV"/>
        </w:rPr>
      </w:pPr>
    </w:p>
    <w:p w14:paraId="6875D546" w14:textId="77777777" w:rsidR="00423C48" w:rsidRDefault="00423C48">
      <w:pPr>
        <w:spacing w:after="0"/>
        <w:ind w:firstLine="0"/>
        <w:jc w:val="left"/>
        <w:rPr>
          <w:b/>
          <w:bCs/>
          <w:color w:val="18185F"/>
          <w:szCs w:val="28"/>
          <w:lang w:eastAsia="x-none"/>
        </w:rPr>
      </w:pPr>
      <w:r>
        <w:rPr>
          <w:color w:val="18185F"/>
        </w:rPr>
        <w:br w:type="page"/>
      </w:r>
    </w:p>
    <w:p w14:paraId="42911510" w14:textId="694DCB1C" w:rsidR="00382BC7" w:rsidRPr="00314FA1" w:rsidRDefault="00F900B2" w:rsidP="00382BC7">
      <w:pPr>
        <w:pStyle w:val="Heading1"/>
        <w:tabs>
          <w:tab w:val="left" w:pos="1276"/>
        </w:tabs>
        <w:spacing w:before="0" w:after="240"/>
        <w:ind w:left="1276" w:hanging="1276"/>
        <w:jc w:val="left"/>
        <w:rPr>
          <w:rFonts w:ascii="Times New Roman" w:hAnsi="Times New Roman"/>
          <w:color w:val="18185F"/>
          <w:sz w:val="24"/>
          <w:lang w:val="lv-LV"/>
        </w:rPr>
      </w:pPr>
      <w:bookmarkStart w:id="33" w:name="_Toc21516518"/>
      <w:r>
        <w:rPr>
          <w:rFonts w:ascii="Times New Roman" w:hAnsi="Times New Roman"/>
          <w:color w:val="18185F"/>
          <w:sz w:val="24"/>
          <w:lang w:val="lv-LV"/>
        </w:rPr>
        <w:lastRenderedPageBreak/>
        <w:t>Tabula</w:t>
      </w:r>
      <w:r>
        <w:rPr>
          <w:rFonts w:ascii="Times New Roman" w:hAnsi="Times New Roman"/>
          <w:color w:val="18185F"/>
          <w:sz w:val="24"/>
        </w:rPr>
        <w:t xml:space="preserve"> </w:t>
      </w:r>
      <w:r w:rsidR="00382BC7">
        <w:rPr>
          <w:rFonts w:ascii="Times New Roman" w:hAnsi="Times New Roman"/>
          <w:color w:val="18185F"/>
          <w:sz w:val="24"/>
        </w:rPr>
        <w:t>5.c:</w:t>
      </w:r>
      <w:r w:rsidR="00382BC7" w:rsidRPr="00DC2914">
        <w:rPr>
          <w:rFonts w:ascii="Times New Roman" w:hAnsi="Times New Roman"/>
          <w:color w:val="18185F"/>
          <w:sz w:val="24"/>
        </w:rPr>
        <w:t xml:space="preserve"> Diskrecionārie</w:t>
      </w:r>
      <w:r w:rsidR="00382BC7" w:rsidRPr="00DC2914">
        <w:rPr>
          <w:rFonts w:ascii="Times New Roman" w:hAnsi="Times New Roman"/>
          <w:color w:val="18185F"/>
          <w:sz w:val="24"/>
          <w:lang w:val="lv-LV"/>
        </w:rPr>
        <w:t xml:space="preserve"> ieņēmumu</w:t>
      </w:r>
      <w:r w:rsidR="00382BC7" w:rsidRPr="00DC2914">
        <w:rPr>
          <w:rFonts w:ascii="Times New Roman" w:hAnsi="Times New Roman"/>
          <w:color w:val="18185F"/>
          <w:sz w:val="24"/>
        </w:rPr>
        <w:t xml:space="preserve"> pasākumi </w:t>
      </w:r>
      <w:r w:rsidR="00382BC7" w:rsidRPr="00DC2914">
        <w:rPr>
          <w:rFonts w:ascii="Times New Roman" w:hAnsi="Times New Roman"/>
          <w:color w:val="18185F"/>
          <w:sz w:val="24"/>
          <w:lang w:val="lv-LV"/>
        </w:rPr>
        <w:t>vietējās valdības budžetā</w:t>
      </w:r>
      <w:bookmarkEnd w:id="32"/>
      <w:bookmarkEnd w:id="33"/>
    </w:p>
    <w:tbl>
      <w:tblPr>
        <w:tblpPr w:leftFromText="180" w:rightFromText="180" w:vertAnchor="text" w:tblpXSpec="center" w:tblpY="1"/>
        <w:tblOverlap w:val="never"/>
        <w:tblW w:w="1467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802"/>
        <w:gridCol w:w="3765"/>
        <w:gridCol w:w="1083"/>
        <w:gridCol w:w="850"/>
        <w:gridCol w:w="1194"/>
        <w:gridCol w:w="1701"/>
        <w:gridCol w:w="730"/>
        <w:gridCol w:w="851"/>
        <w:gridCol w:w="992"/>
        <w:gridCol w:w="709"/>
      </w:tblGrid>
      <w:tr w:rsidR="007A0A9C" w:rsidRPr="000B3007" w14:paraId="06DF79EF" w14:textId="77777777" w:rsidTr="00551B2A">
        <w:trPr>
          <w:trHeight w:val="20"/>
        </w:trPr>
        <w:tc>
          <w:tcPr>
            <w:tcW w:w="2802" w:type="dxa"/>
            <w:vMerge w:val="restart"/>
            <w:shd w:val="clear" w:color="auto" w:fill="DBE5F1" w:themeFill="accent1" w:themeFillTint="33"/>
            <w:vAlign w:val="center"/>
            <w:hideMark/>
          </w:tcPr>
          <w:p w14:paraId="52E1D02B"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Pasākumu saraksts</w:t>
            </w:r>
          </w:p>
        </w:tc>
        <w:tc>
          <w:tcPr>
            <w:tcW w:w="3827" w:type="dxa"/>
            <w:vMerge w:val="restart"/>
            <w:shd w:val="clear" w:color="auto" w:fill="DBE5F1" w:themeFill="accent1" w:themeFillTint="33"/>
            <w:vAlign w:val="center"/>
            <w:hideMark/>
          </w:tcPr>
          <w:p w14:paraId="3BFBD4CB"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Detalizēts apraksts*</w:t>
            </w:r>
          </w:p>
        </w:tc>
        <w:tc>
          <w:tcPr>
            <w:tcW w:w="1021" w:type="dxa"/>
            <w:vMerge w:val="restart"/>
            <w:shd w:val="clear" w:color="auto" w:fill="DBE5F1" w:themeFill="accent1" w:themeFillTint="33"/>
            <w:vAlign w:val="center"/>
            <w:hideMark/>
          </w:tcPr>
          <w:p w14:paraId="471F3B0D"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Nodokļu veids</w:t>
            </w:r>
          </w:p>
        </w:tc>
        <w:tc>
          <w:tcPr>
            <w:tcW w:w="850" w:type="dxa"/>
            <w:vMerge w:val="restart"/>
            <w:shd w:val="clear" w:color="auto" w:fill="DBE5F1" w:themeFill="accent1" w:themeFillTint="33"/>
            <w:vAlign w:val="center"/>
            <w:hideMark/>
          </w:tcPr>
          <w:p w14:paraId="14292A42"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ESA kods</w:t>
            </w:r>
          </w:p>
        </w:tc>
        <w:tc>
          <w:tcPr>
            <w:tcW w:w="1194" w:type="dxa"/>
            <w:vMerge w:val="restart"/>
            <w:shd w:val="clear" w:color="auto" w:fill="DBE5F1" w:themeFill="accent1" w:themeFillTint="33"/>
            <w:vAlign w:val="center"/>
            <w:hideMark/>
          </w:tcPr>
          <w:p w14:paraId="0A46D2DD"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Uzskaites princips</w:t>
            </w:r>
          </w:p>
        </w:tc>
        <w:tc>
          <w:tcPr>
            <w:tcW w:w="1701" w:type="dxa"/>
            <w:vMerge w:val="restart"/>
            <w:shd w:val="clear" w:color="auto" w:fill="DBE5F1" w:themeFill="accent1" w:themeFillTint="33"/>
            <w:vAlign w:val="center"/>
            <w:hideMark/>
          </w:tcPr>
          <w:p w14:paraId="5A141431"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Pieņemšanas statuss</w:t>
            </w:r>
          </w:p>
        </w:tc>
        <w:tc>
          <w:tcPr>
            <w:tcW w:w="730" w:type="dxa"/>
            <w:shd w:val="clear" w:color="auto" w:fill="DBE5F1" w:themeFill="accent1" w:themeFillTint="33"/>
            <w:noWrap/>
            <w:vAlign w:val="bottom"/>
            <w:hideMark/>
          </w:tcPr>
          <w:p w14:paraId="4F578693" w14:textId="77777777" w:rsidR="007A0A9C" w:rsidRPr="000B3007" w:rsidRDefault="007A0A9C" w:rsidP="0005656C">
            <w:pPr>
              <w:spacing w:after="0"/>
              <w:ind w:firstLine="0"/>
              <w:jc w:val="left"/>
              <w:rPr>
                <w:b/>
                <w:bCs/>
                <w:color w:val="000000"/>
                <w:sz w:val="20"/>
                <w:lang w:eastAsia="lv-LV"/>
              </w:rPr>
            </w:pPr>
            <w:r w:rsidRPr="000B3007">
              <w:rPr>
                <w:b/>
                <w:bCs/>
                <w:color w:val="000000"/>
                <w:sz w:val="20"/>
                <w:lang w:eastAsia="lv-LV"/>
              </w:rPr>
              <w:t> </w:t>
            </w:r>
          </w:p>
        </w:tc>
        <w:tc>
          <w:tcPr>
            <w:tcW w:w="2552" w:type="dxa"/>
            <w:gridSpan w:val="3"/>
            <w:shd w:val="clear" w:color="auto" w:fill="DBE5F1" w:themeFill="accent1" w:themeFillTint="33"/>
            <w:noWrap/>
            <w:vAlign w:val="bottom"/>
            <w:hideMark/>
          </w:tcPr>
          <w:p w14:paraId="6BD28905"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Ietekme uz budžetu</w:t>
            </w:r>
          </w:p>
        </w:tc>
      </w:tr>
      <w:tr w:rsidR="007A0A9C" w:rsidRPr="000B3007" w14:paraId="5753B507" w14:textId="77777777" w:rsidTr="00551B2A">
        <w:trPr>
          <w:trHeight w:val="20"/>
        </w:trPr>
        <w:tc>
          <w:tcPr>
            <w:tcW w:w="2802" w:type="dxa"/>
            <w:vMerge/>
            <w:shd w:val="clear" w:color="auto" w:fill="DBE5F1" w:themeFill="accent1" w:themeFillTint="33"/>
            <w:vAlign w:val="center"/>
            <w:hideMark/>
          </w:tcPr>
          <w:p w14:paraId="465575B4" w14:textId="77777777" w:rsidR="007A0A9C" w:rsidRPr="000B3007" w:rsidRDefault="007A0A9C" w:rsidP="0005656C">
            <w:pPr>
              <w:spacing w:after="0"/>
              <w:ind w:firstLine="0"/>
              <w:jc w:val="left"/>
              <w:rPr>
                <w:b/>
                <w:bCs/>
                <w:color w:val="000000"/>
                <w:sz w:val="20"/>
                <w:lang w:eastAsia="lv-LV"/>
              </w:rPr>
            </w:pPr>
          </w:p>
        </w:tc>
        <w:tc>
          <w:tcPr>
            <w:tcW w:w="3827" w:type="dxa"/>
            <w:vMerge/>
            <w:shd w:val="clear" w:color="auto" w:fill="DBE5F1" w:themeFill="accent1" w:themeFillTint="33"/>
            <w:vAlign w:val="center"/>
            <w:hideMark/>
          </w:tcPr>
          <w:p w14:paraId="579156DA" w14:textId="77777777" w:rsidR="007A0A9C" w:rsidRPr="000B3007" w:rsidRDefault="007A0A9C" w:rsidP="0005656C">
            <w:pPr>
              <w:spacing w:after="0"/>
              <w:ind w:firstLine="0"/>
              <w:jc w:val="left"/>
              <w:rPr>
                <w:b/>
                <w:bCs/>
                <w:color w:val="000000"/>
                <w:sz w:val="20"/>
                <w:lang w:eastAsia="lv-LV"/>
              </w:rPr>
            </w:pPr>
          </w:p>
        </w:tc>
        <w:tc>
          <w:tcPr>
            <w:tcW w:w="1021" w:type="dxa"/>
            <w:vMerge/>
            <w:shd w:val="clear" w:color="auto" w:fill="DBE5F1" w:themeFill="accent1" w:themeFillTint="33"/>
            <w:vAlign w:val="center"/>
            <w:hideMark/>
          </w:tcPr>
          <w:p w14:paraId="7DBDC893" w14:textId="77777777" w:rsidR="007A0A9C" w:rsidRPr="000B3007" w:rsidRDefault="007A0A9C" w:rsidP="0005656C">
            <w:pPr>
              <w:spacing w:after="0"/>
              <w:ind w:firstLine="0"/>
              <w:jc w:val="left"/>
              <w:rPr>
                <w:b/>
                <w:bCs/>
                <w:color w:val="000000"/>
                <w:sz w:val="20"/>
                <w:lang w:eastAsia="lv-LV"/>
              </w:rPr>
            </w:pPr>
          </w:p>
        </w:tc>
        <w:tc>
          <w:tcPr>
            <w:tcW w:w="850" w:type="dxa"/>
            <w:vMerge/>
            <w:shd w:val="clear" w:color="auto" w:fill="DBE5F1" w:themeFill="accent1" w:themeFillTint="33"/>
            <w:vAlign w:val="center"/>
            <w:hideMark/>
          </w:tcPr>
          <w:p w14:paraId="74C4B85E" w14:textId="77777777" w:rsidR="007A0A9C" w:rsidRPr="000B3007" w:rsidRDefault="007A0A9C" w:rsidP="0005656C">
            <w:pPr>
              <w:spacing w:after="0"/>
              <w:ind w:firstLine="0"/>
              <w:jc w:val="left"/>
              <w:rPr>
                <w:b/>
                <w:bCs/>
                <w:color w:val="000000"/>
                <w:sz w:val="20"/>
                <w:lang w:eastAsia="lv-LV"/>
              </w:rPr>
            </w:pPr>
          </w:p>
        </w:tc>
        <w:tc>
          <w:tcPr>
            <w:tcW w:w="1194" w:type="dxa"/>
            <w:vMerge/>
            <w:shd w:val="clear" w:color="auto" w:fill="DBE5F1" w:themeFill="accent1" w:themeFillTint="33"/>
            <w:vAlign w:val="center"/>
            <w:hideMark/>
          </w:tcPr>
          <w:p w14:paraId="39E1EFDA" w14:textId="77777777" w:rsidR="007A0A9C" w:rsidRPr="000B3007" w:rsidRDefault="007A0A9C" w:rsidP="0005656C">
            <w:pPr>
              <w:spacing w:after="0"/>
              <w:ind w:firstLine="0"/>
              <w:jc w:val="left"/>
              <w:rPr>
                <w:b/>
                <w:bCs/>
                <w:color w:val="000000"/>
                <w:sz w:val="20"/>
                <w:lang w:eastAsia="lv-LV"/>
              </w:rPr>
            </w:pPr>
          </w:p>
        </w:tc>
        <w:tc>
          <w:tcPr>
            <w:tcW w:w="1701" w:type="dxa"/>
            <w:vMerge/>
            <w:shd w:val="clear" w:color="auto" w:fill="DBE5F1" w:themeFill="accent1" w:themeFillTint="33"/>
            <w:vAlign w:val="center"/>
            <w:hideMark/>
          </w:tcPr>
          <w:p w14:paraId="2BBB41DB" w14:textId="77777777" w:rsidR="007A0A9C" w:rsidRPr="000B3007" w:rsidRDefault="007A0A9C" w:rsidP="0005656C">
            <w:pPr>
              <w:spacing w:after="0"/>
              <w:ind w:firstLine="0"/>
              <w:jc w:val="left"/>
              <w:rPr>
                <w:b/>
                <w:bCs/>
                <w:color w:val="000000"/>
                <w:sz w:val="20"/>
                <w:lang w:eastAsia="lv-LV"/>
              </w:rPr>
            </w:pPr>
          </w:p>
        </w:tc>
        <w:tc>
          <w:tcPr>
            <w:tcW w:w="730" w:type="dxa"/>
            <w:vMerge w:val="restart"/>
            <w:shd w:val="clear" w:color="auto" w:fill="DBE5F1" w:themeFill="accent1" w:themeFillTint="33"/>
            <w:noWrap/>
            <w:vAlign w:val="bottom"/>
            <w:hideMark/>
          </w:tcPr>
          <w:p w14:paraId="49DA4939"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 </w:t>
            </w:r>
          </w:p>
        </w:tc>
        <w:tc>
          <w:tcPr>
            <w:tcW w:w="851" w:type="dxa"/>
            <w:shd w:val="clear" w:color="auto" w:fill="DBE5F1" w:themeFill="accent1" w:themeFillTint="33"/>
            <w:vAlign w:val="center"/>
            <w:hideMark/>
          </w:tcPr>
          <w:p w14:paraId="5637E14E" w14:textId="1916FB22" w:rsidR="007A0A9C" w:rsidRPr="000B3007" w:rsidRDefault="007A0A9C" w:rsidP="003822F3">
            <w:pPr>
              <w:spacing w:after="0"/>
              <w:ind w:firstLine="0"/>
              <w:jc w:val="center"/>
              <w:rPr>
                <w:b/>
                <w:bCs/>
                <w:color w:val="000000"/>
                <w:sz w:val="20"/>
                <w:lang w:eastAsia="lv-LV"/>
              </w:rPr>
            </w:pPr>
            <w:r w:rsidRPr="000B3007">
              <w:rPr>
                <w:b/>
                <w:bCs/>
                <w:color w:val="000000"/>
                <w:sz w:val="20"/>
                <w:lang w:eastAsia="lv-LV"/>
              </w:rPr>
              <w:t>20</w:t>
            </w:r>
            <w:r w:rsidR="003822F3" w:rsidRPr="000B3007">
              <w:rPr>
                <w:b/>
                <w:bCs/>
                <w:color w:val="000000"/>
                <w:sz w:val="20"/>
                <w:lang w:eastAsia="lv-LV"/>
              </w:rPr>
              <w:t>20</w:t>
            </w:r>
          </w:p>
        </w:tc>
        <w:tc>
          <w:tcPr>
            <w:tcW w:w="992" w:type="dxa"/>
            <w:shd w:val="clear" w:color="auto" w:fill="DBE5F1" w:themeFill="accent1" w:themeFillTint="33"/>
            <w:vAlign w:val="center"/>
            <w:hideMark/>
          </w:tcPr>
          <w:p w14:paraId="38CB3FC2" w14:textId="718150F3" w:rsidR="007A0A9C" w:rsidRPr="000B3007" w:rsidRDefault="007A0A9C" w:rsidP="003822F3">
            <w:pPr>
              <w:spacing w:after="0"/>
              <w:ind w:firstLine="0"/>
              <w:jc w:val="center"/>
              <w:rPr>
                <w:b/>
                <w:bCs/>
                <w:color w:val="000000"/>
                <w:sz w:val="20"/>
                <w:lang w:eastAsia="lv-LV"/>
              </w:rPr>
            </w:pPr>
            <w:r w:rsidRPr="000B3007">
              <w:rPr>
                <w:b/>
                <w:bCs/>
                <w:color w:val="000000"/>
                <w:sz w:val="20"/>
                <w:lang w:eastAsia="lv-LV"/>
              </w:rPr>
              <w:t>202</w:t>
            </w:r>
            <w:r w:rsidR="003822F3" w:rsidRPr="000B3007">
              <w:rPr>
                <w:b/>
                <w:bCs/>
                <w:color w:val="000000"/>
                <w:sz w:val="20"/>
                <w:lang w:eastAsia="lv-LV"/>
              </w:rPr>
              <w:t>1</w:t>
            </w:r>
          </w:p>
        </w:tc>
        <w:tc>
          <w:tcPr>
            <w:tcW w:w="709" w:type="dxa"/>
            <w:shd w:val="clear" w:color="auto" w:fill="DBE5F1" w:themeFill="accent1" w:themeFillTint="33"/>
            <w:vAlign w:val="center"/>
            <w:hideMark/>
          </w:tcPr>
          <w:p w14:paraId="6859C7D2" w14:textId="4BA29B72" w:rsidR="007A0A9C" w:rsidRPr="000B3007" w:rsidRDefault="007A0A9C" w:rsidP="00D45CE3">
            <w:pPr>
              <w:spacing w:after="0"/>
              <w:ind w:firstLine="0"/>
              <w:jc w:val="center"/>
              <w:rPr>
                <w:b/>
                <w:bCs/>
                <w:color w:val="000000"/>
                <w:sz w:val="20"/>
                <w:highlight w:val="yellow"/>
                <w:lang w:eastAsia="lv-LV"/>
              </w:rPr>
            </w:pPr>
            <w:r w:rsidRPr="000B3007">
              <w:rPr>
                <w:b/>
                <w:bCs/>
                <w:color w:val="000000"/>
                <w:sz w:val="20"/>
                <w:lang w:eastAsia="lv-LV"/>
              </w:rPr>
              <w:t>202</w:t>
            </w:r>
            <w:r w:rsidR="00D45CE3" w:rsidRPr="000B3007">
              <w:rPr>
                <w:b/>
                <w:bCs/>
                <w:color w:val="000000"/>
                <w:sz w:val="20"/>
                <w:lang w:eastAsia="lv-LV"/>
              </w:rPr>
              <w:t>2</w:t>
            </w:r>
          </w:p>
        </w:tc>
      </w:tr>
      <w:tr w:rsidR="007A0A9C" w:rsidRPr="000B3007" w14:paraId="64252CA6" w14:textId="77777777" w:rsidTr="00551B2A">
        <w:trPr>
          <w:trHeight w:val="20"/>
        </w:trPr>
        <w:tc>
          <w:tcPr>
            <w:tcW w:w="2802" w:type="dxa"/>
            <w:vMerge/>
            <w:shd w:val="clear" w:color="auto" w:fill="DBE5F1" w:themeFill="accent1" w:themeFillTint="33"/>
            <w:vAlign w:val="center"/>
            <w:hideMark/>
          </w:tcPr>
          <w:p w14:paraId="4154C368" w14:textId="77777777" w:rsidR="007A0A9C" w:rsidRPr="000B3007" w:rsidRDefault="007A0A9C" w:rsidP="0005656C">
            <w:pPr>
              <w:spacing w:after="0"/>
              <w:ind w:firstLine="0"/>
              <w:jc w:val="left"/>
              <w:rPr>
                <w:b/>
                <w:bCs/>
                <w:color w:val="000000"/>
                <w:sz w:val="20"/>
                <w:highlight w:val="yellow"/>
                <w:lang w:eastAsia="lv-LV"/>
              </w:rPr>
            </w:pPr>
          </w:p>
        </w:tc>
        <w:tc>
          <w:tcPr>
            <w:tcW w:w="3827" w:type="dxa"/>
            <w:vMerge/>
            <w:shd w:val="clear" w:color="auto" w:fill="DBE5F1" w:themeFill="accent1" w:themeFillTint="33"/>
            <w:vAlign w:val="center"/>
            <w:hideMark/>
          </w:tcPr>
          <w:p w14:paraId="6BD93BE7" w14:textId="77777777" w:rsidR="007A0A9C" w:rsidRPr="000B3007" w:rsidRDefault="007A0A9C" w:rsidP="0005656C">
            <w:pPr>
              <w:spacing w:after="0"/>
              <w:ind w:firstLine="0"/>
              <w:jc w:val="left"/>
              <w:rPr>
                <w:b/>
                <w:bCs/>
                <w:color w:val="000000"/>
                <w:sz w:val="20"/>
                <w:highlight w:val="yellow"/>
                <w:lang w:eastAsia="lv-LV"/>
              </w:rPr>
            </w:pPr>
          </w:p>
        </w:tc>
        <w:tc>
          <w:tcPr>
            <w:tcW w:w="1021" w:type="dxa"/>
            <w:vMerge/>
            <w:shd w:val="clear" w:color="auto" w:fill="DBE5F1" w:themeFill="accent1" w:themeFillTint="33"/>
            <w:vAlign w:val="center"/>
            <w:hideMark/>
          </w:tcPr>
          <w:p w14:paraId="07DC05EE" w14:textId="77777777" w:rsidR="007A0A9C" w:rsidRPr="000B3007" w:rsidRDefault="007A0A9C" w:rsidP="0005656C">
            <w:pPr>
              <w:spacing w:after="0"/>
              <w:ind w:firstLine="0"/>
              <w:jc w:val="left"/>
              <w:rPr>
                <w:b/>
                <w:bCs/>
                <w:color w:val="000000"/>
                <w:sz w:val="20"/>
                <w:highlight w:val="yellow"/>
                <w:lang w:eastAsia="lv-LV"/>
              </w:rPr>
            </w:pPr>
          </w:p>
        </w:tc>
        <w:tc>
          <w:tcPr>
            <w:tcW w:w="850" w:type="dxa"/>
            <w:vMerge/>
            <w:shd w:val="clear" w:color="auto" w:fill="DBE5F1" w:themeFill="accent1" w:themeFillTint="33"/>
            <w:vAlign w:val="center"/>
            <w:hideMark/>
          </w:tcPr>
          <w:p w14:paraId="1EDC3C6D" w14:textId="77777777" w:rsidR="007A0A9C" w:rsidRPr="000B3007" w:rsidRDefault="007A0A9C" w:rsidP="0005656C">
            <w:pPr>
              <w:spacing w:after="0"/>
              <w:ind w:firstLine="0"/>
              <w:jc w:val="left"/>
              <w:rPr>
                <w:b/>
                <w:bCs/>
                <w:color w:val="000000"/>
                <w:sz w:val="20"/>
                <w:highlight w:val="yellow"/>
                <w:lang w:eastAsia="lv-LV"/>
              </w:rPr>
            </w:pPr>
          </w:p>
        </w:tc>
        <w:tc>
          <w:tcPr>
            <w:tcW w:w="1194" w:type="dxa"/>
            <w:vMerge/>
            <w:shd w:val="clear" w:color="auto" w:fill="DBE5F1" w:themeFill="accent1" w:themeFillTint="33"/>
            <w:vAlign w:val="center"/>
            <w:hideMark/>
          </w:tcPr>
          <w:p w14:paraId="0206E796" w14:textId="77777777" w:rsidR="007A0A9C" w:rsidRPr="000B3007" w:rsidRDefault="007A0A9C" w:rsidP="0005656C">
            <w:pPr>
              <w:spacing w:after="0"/>
              <w:ind w:firstLine="0"/>
              <w:jc w:val="left"/>
              <w:rPr>
                <w:b/>
                <w:bCs/>
                <w:color w:val="000000"/>
                <w:sz w:val="20"/>
                <w:highlight w:val="yellow"/>
                <w:lang w:eastAsia="lv-LV"/>
              </w:rPr>
            </w:pPr>
          </w:p>
        </w:tc>
        <w:tc>
          <w:tcPr>
            <w:tcW w:w="1701" w:type="dxa"/>
            <w:vMerge/>
            <w:shd w:val="clear" w:color="auto" w:fill="DBE5F1" w:themeFill="accent1" w:themeFillTint="33"/>
            <w:vAlign w:val="center"/>
            <w:hideMark/>
          </w:tcPr>
          <w:p w14:paraId="5DEF0BA1" w14:textId="77777777" w:rsidR="007A0A9C" w:rsidRPr="000B3007" w:rsidRDefault="007A0A9C" w:rsidP="0005656C">
            <w:pPr>
              <w:spacing w:after="0"/>
              <w:ind w:firstLine="0"/>
              <w:jc w:val="left"/>
              <w:rPr>
                <w:b/>
                <w:bCs/>
                <w:color w:val="000000"/>
                <w:sz w:val="20"/>
                <w:highlight w:val="yellow"/>
                <w:lang w:eastAsia="lv-LV"/>
              </w:rPr>
            </w:pPr>
          </w:p>
        </w:tc>
        <w:tc>
          <w:tcPr>
            <w:tcW w:w="730" w:type="dxa"/>
            <w:vMerge/>
            <w:shd w:val="clear" w:color="auto" w:fill="DBE5F1" w:themeFill="accent1" w:themeFillTint="33"/>
            <w:vAlign w:val="center"/>
            <w:hideMark/>
          </w:tcPr>
          <w:p w14:paraId="369E0ACA" w14:textId="77777777" w:rsidR="007A0A9C" w:rsidRPr="000B3007" w:rsidRDefault="007A0A9C" w:rsidP="0005656C">
            <w:pPr>
              <w:spacing w:after="0"/>
              <w:ind w:firstLine="0"/>
              <w:jc w:val="left"/>
              <w:rPr>
                <w:b/>
                <w:bCs/>
                <w:color w:val="000000"/>
                <w:sz w:val="20"/>
                <w:highlight w:val="yellow"/>
                <w:lang w:eastAsia="lv-LV"/>
              </w:rPr>
            </w:pPr>
          </w:p>
        </w:tc>
        <w:tc>
          <w:tcPr>
            <w:tcW w:w="2552" w:type="dxa"/>
            <w:gridSpan w:val="3"/>
            <w:shd w:val="clear" w:color="auto" w:fill="DBE5F1" w:themeFill="accent1" w:themeFillTint="33"/>
            <w:vAlign w:val="center"/>
            <w:hideMark/>
          </w:tcPr>
          <w:p w14:paraId="6810B60E" w14:textId="77777777" w:rsidR="007A0A9C" w:rsidRPr="000B3007" w:rsidRDefault="007A0A9C" w:rsidP="0005656C">
            <w:pPr>
              <w:spacing w:after="0"/>
              <w:ind w:firstLine="0"/>
              <w:jc w:val="center"/>
              <w:rPr>
                <w:b/>
                <w:bCs/>
                <w:color w:val="000000"/>
                <w:sz w:val="20"/>
                <w:lang w:eastAsia="lv-LV"/>
              </w:rPr>
            </w:pPr>
            <w:r w:rsidRPr="000B3007">
              <w:rPr>
                <w:b/>
                <w:bCs/>
                <w:color w:val="000000"/>
                <w:sz w:val="20"/>
                <w:lang w:eastAsia="lv-LV"/>
              </w:rPr>
              <w:t>% IKP</w:t>
            </w:r>
          </w:p>
        </w:tc>
      </w:tr>
      <w:tr w:rsidR="00D50141" w:rsidRPr="000B3007" w14:paraId="7A82D9E4" w14:textId="77777777" w:rsidTr="00551B2A">
        <w:trPr>
          <w:trHeight w:val="20"/>
        </w:trPr>
        <w:tc>
          <w:tcPr>
            <w:tcW w:w="2802" w:type="dxa"/>
            <w:shd w:val="clear" w:color="auto" w:fill="auto"/>
            <w:vAlign w:val="center"/>
            <w:hideMark/>
          </w:tcPr>
          <w:p w14:paraId="012EB5EC" w14:textId="4AA54874" w:rsidR="00D50141" w:rsidRPr="000B3007" w:rsidRDefault="00D50141" w:rsidP="00D50141">
            <w:pPr>
              <w:spacing w:after="0"/>
              <w:ind w:firstLine="0"/>
              <w:rPr>
                <w:color w:val="000000"/>
                <w:sz w:val="20"/>
                <w:highlight w:val="yellow"/>
                <w:lang w:eastAsia="lv-LV"/>
              </w:rPr>
            </w:pPr>
            <w:r w:rsidRPr="000B3007">
              <w:rPr>
                <w:color w:val="000000"/>
                <w:sz w:val="20"/>
              </w:rPr>
              <w:t>Azartspēļu nodokļa likmes palielināšana un sadalījuma pa budžetiem izmaiņas</w:t>
            </w:r>
          </w:p>
        </w:tc>
        <w:tc>
          <w:tcPr>
            <w:tcW w:w="3827" w:type="dxa"/>
            <w:shd w:val="clear" w:color="auto" w:fill="auto"/>
            <w:vAlign w:val="center"/>
            <w:hideMark/>
          </w:tcPr>
          <w:p w14:paraId="7805DB80" w14:textId="2F981382" w:rsidR="00D50141" w:rsidRPr="000B3007" w:rsidRDefault="00D50141" w:rsidP="00D50141">
            <w:pPr>
              <w:spacing w:after="0"/>
              <w:ind w:firstLine="0"/>
              <w:rPr>
                <w:color w:val="000000"/>
                <w:sz w:val="20"/>
                <w:highlight w:val="yellow"/>
                <w:lang w:eastAsia="lv-LV"/>
              </w:rPr>
            </w:pPr>
            <w:r w:rsidRPr="000B3007">
              <w:rPr>
                <w:color w:val="000000"/>
                <w:sz w:val="20"/>
              </w:rPr>
              <w:t xml:space="preserve">Azartspēļu nodokļa likmes palielināšana automātiem uz </w:t>
            </w:r>
            <w:r w:rsidRPr="000B3007">
              <w:rPr>
                <w:sz w:val="20"/>
              </w:rPr>
              <w:t>5 172</w:t>
            </w:r>
            <w:r w:rsidRPr="000B3007">
              <w:rPr>
                <w:color w:val="000000"/>
                <w:sz w:val="20"/>
              </w:rPr>
              <w:t xml:space="preserve"> </w:t>
            </w:r>
            <w:r w:rsidRPr="000B3007">
              <w:rPr>
                <w:i/>
                <w:color w:val="000000"/>
                <w:sz w:val="20"/>
              </w:rPr>
              <w:t>euro</w:t>
            </w:r>
            <w:r w:rsidR="00551B2A">
              <w:rPr>
                <w:color w:val="000000"/>
                <w:sz w:val="20"/>
              </w:rPr>
              <w:t>/gadā</w:t>
            </w:r>
            <w:r w:rsidRPr="000B3007">
              <w:rPr>
                <w:color w:val="000000"/>
                <w:sz w:val="20"/>
              </w:rPr>
              <w:t xml:space="preserve"> un spēļu galdiem līdz 28 080</w:t>
            </w:r>
            <w:r w:rsidRPr="000B3007">
              <w:rPr>
                <w:i/>
                <w:color w:val="000000"/>
                <w:sz w:val="20"/>
              </w:rPr>
              <w:t xml:space="preserve"> euro</w:t>
            </w:r>
            <w:r w:rsidRPr="000B3007">
              <w:rPr>
                <w:color w:val="000000"/>
                <w:sz w:val="20"/>
              </w:rPr>
              <w:t xml:space="preserve"> /gadā un sadalījuma pa budžetiem izmaiņas (90% valsts budžetā un 10% pašvaldību budžetā)</w:t>
            </w:r>
          </w:p>
        </w:tc>
        <w:tc>
          <w:tcPr>
            <w:tcW w:w="1021" w:type="dxa"/>
            <w:shd w:val="clear" w:color="auto" w:fill="auto"/>
            <w:vAlign w:val="center"/>
            <w:hideMark/>
          </w:tcPr>
          <w:p w14:paraId="13C2A342" w14:textId="6C0896AF" w:rsidR="00D50141" w:rsidRPr="000B3007" w:rsidRDefault="00D50141" w:rsidP="00D50141">
            <w:pPr>
              <w:spacing w:after="0"/>
              <w:ind w:firstLine="0"/>
              <w:jc w:val="left"/>
              <w:rPr>
                <w:color w:val="000000"/>
                <w:sz w:val="20"/>
                <w:highlight w:val="yellow"/>
                <w:lang w:eastAsia="lv-LV"/>
              </w:rPr>
            </w:pPr>
            <w:r w:rsidRPr="000B3007">
              <w:rPr>
                <w:color w:val="000000"/>
                <w:sz w:val="20"/>
              </w:rPr>
              <w:t>Azartspēļu nodoklis</w:t>
            </w:r>
          </w:p>
        </w:tc>
        <w:tc>
          <w:tcPr>
            <w:tcW w:w="850" w:type="dxa"/>
            <w:shd w:val="clear" w:color="auto" w:fill="auto"/>
            <w:vAlign w:val="center"/>
            <w:hideMark/>
          </w:tcPr>
          <w:p w14:paraId="2CFDCD41" w14:textId="3E4728E0" w:rsidR="00D50141" w:rsidRPr="000B3007" w:rsidRDefault="00D50141" w:rsidP="00D50141">
            <w:pPr>
              <w:spacing w:after="0"/>
              <w:ind w:firstLine="0"/>
              <w:jc w:val="center"/>
              <w:rPr>
                <w:color w:val="000000"/>
                <w:sz w:val="20"/>
                <w:highlight w:val="yellow"/>
                <w:lang w:eastAsia="lv-LV"/>
              </w:rPr>
            </w:pPr>
            <w:r w:rsidRPr="000B3007">
              <w:rPr>
                <w:color w:val="000000"/>
                <w:sz w:val="20"/>
              </w:rPr>
              <w:t>D.21</w:t>
            </w:r>
          </w:p>
        </w:tc>
        <w:tc>
          <w:tcPr>
            <w:tcW w:w="1194" w:type="dxa"/>
            <w:shd w:val="clear" w:color="auto" w:fill="auto"/>
            <w:vAlign w:val="center"/>
            <w:hideMark/>
          </w:tcPr>
          <w:p w14:paraId="1FB80BE2" w14:textId="5FE63C60" w:rsidR="00D50141" w:rsidRPr="000B3007" w:rsidRDefault="00D50141" w:rsidP="00D50141">
            <w:pPr>
              <w:spacing w:after="0"/>
              <w:ind w:firstLine="0"/>
              <w:jc w:val="center"/>
              <w:rPr>
                <w:color w:val="000000"/>
                <w:sz w:val="20"/>
                <w:highlight w:val="yellow"/>
                <w:lang w:eastAsia="lv-LV"/>
              </w:rPr>
            </w:pPr>
            <w:r w:rsidRPr="000B3007">
              <w:rPr>
                <w:color w:val="000000"/>
                <w:sz w:val="20"/>
              </w:rPr>
              <w:t>Uzkrājuma</w:t>
            </w:r>
          </w:p>
        </w:tc>
        <w:tc>
          <w:tcPr>
            <w:tcW w:w="1701" w:type="dxa"/>
            <w:shd w:val="clear" w:color="auto" w:fill="auto"/>
            <w:vAlign w:val="center"/>
            <w:hideMark/>
          </w:tcPr>
          <w:p w14:paraId="72ACABB3" w14:textId="3AA7EF03" w:rsidR="00D50141" w:rsidRPr="000B3007" w:rsidRDefault="00D50141" w:rsidP="00D50141">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auto"/>
            <w:noWrap/>
            <w:vAlign w:val="bottom"/>
            <w:hideMark/>
          </w:tcPr>
          <w:p w14:paraId="6543E09F" w14:textId="77777777" w:rsidR="00D50141" w:rsidRPr="000B3007" w:rsidRDefault="00D50141" w:rsidP="00D50141">
            <w:pPr>
              <w:spacing w:after="0"/>
              <w:ind w:firstLine="0"/>
              <w:jc w:val="left"/>
              <w:rPr>
                <w:color w:val="000000"/>
                <w:sz w:val="20"/>
                <w:lang w:eastAsia="lv-LV"/>
              </w:rPr>
            </w:pPr>
            <w:r w:rsidRPr="000B3007">
              <w:rPr>
                <w:color w:val="000000"/>
                <w:sz w:val="20"/>
                <w:lang w:eastAsia="lv-LV"/>
              </w:rPr>
              <w:t> </w:t>
            </w:r>
          </w:p>
        </w:tc>
        <w:tc>
          <w:tcPr>
            <w:tcW w:w="851" w:type="dxa"/>
            <w:shd w:val="clear" w:color="auto" w:fill="auto"/>
            <w:noWrap/>
            <w:vAlign w:val="center"/>
            <w:hideMark/>
          </w:tcPr>
          <w:p w14:paraId="780D117E" w14:textId="726F1EFF" w:rsidR="00D50141" w:rsidRPr="000B3007" w:rsidRDefault="00D50141" w:rsidP="00D50141">
            <w:pPr>
              <w:spacing w:after="0"/>
              <w:ind w:firstLine="0"/>
              <w:jc w:val="center"/>
              <w:rPr>
                <w:color w:val="000000"/>
                <w:sz w:val="20"/>
                <w:highlight w:val="yellow"/>
                <w:lang w:eastAsia="lv-LV"/>
              </w:rPr>
            </w:pPr>
            <w:r w:rsidRPr="000B3007">
              <w:rPr>
                <w:color w:val="000000"/>
                <w:sz w:val="20"/>
              </w:rPr>
              <w:t>-0,02</w:t>
            </w:r>
          </w:p>
        </w:tc>
        <w:tc>
          <w:tcPr>
            <w:tcW w:w="992" w:type="dxa"/>
            <w:shd w:val="clear" w:color="auto" w:fill="auto"/>
            <w:noWrap/>
            <w:vAlign w:val="center"/>
            <w:hideMark/>
          </w:tcPr>
          <w:p w14:paraId="286517E5" w14:textId="58B7D24E" w:rsidR="00D50141" w:rsidRPr="000B3007" w:rsidRDefault="00D50141" w:rsidP="00D50141">
            <w:pPr>
              <w:spacing w:after="0"/>
              <w:ind w:firstLine="0"/>
              <w:jc w:val="center"/>
              <w:rPr>
                <w:color w:val="000000"/>
                <w:sz w:val="20"/>
                <w:highlight w:val="yellow"/>
                <w:lang w:eastAsia="lv-LV"/>
              </w:rPr>
            </w:pPr>
            <w:r w:rsidRPr="000B3007">
              <w:rPr>
                <w:color w:val="000000"/>
                <w:sz w:val="20"/>
              </w:rPr>
              <w:t>0,00</w:t>
            </w:r>
          </w:p>
        </w:tc>
        <w:tc>
          <w:tcPr>
            <w:tcW w:w="709" w:type="dxa"/>
            <w:shd w:val="clear" w:color="auto" w:fill="auto"/>
            <w:noWrap/>
            <w:vAlign w:val="center"/>
            <w:hideMark/>
          </w:tcPr>
          <w:p w14:paraId="49526F41" w14:textId="22B54115" w:rsidR="00D50141" w:rsidRPr="000B3007" w:rsidRDefault="00D50141" w:rsidP="00D50141">
            <w:pPr>
              <w:spacing w:after="0"/>
              <w:ind w:firstLine="0"/>
              <w:jc w:val="center"/>
              <w:rPr>
                <w:color w:val="000000"/>
                <w:sz w:val="20"/>
                <w:highlight w:val="yellow"/>
                <w:lang w:eastAsia="lv-LV"/>
              </w:rPr>
            </w:pPr>
            <w:r w:rsidRPr="000B3007">
              <w:rPr>
                <w:color w:val="000000"/>
                <w:sz w:val="20"/>
              </w:rPr>
              <w:t>0,00</w:t>
            </w:r>
          </w:p>
        </w:tc>
      </w:tr>
      <w:tr w:rsidR="00D50141" w:rsidRPr="000B3007" w14:paraId="032FF14B" w14:textId="77777777" w:rsidTr="00551B2A">
        <w:trPr>
          <w:trHeight w:val="20"/>
        </w:trPr>
        <w:tc>
          <w:tcPr>
            <w:tcW w:w="2802" w:type="dxa"/>
            <w:shd w:val="clear" w:color="auto" w:fill="DBE5F1" w:themeFill="accent1" w:themeFillTint="33"/>
            <w:vAlign w:val="center"/>
            <w:hideMark/>
          </w:tcPr>
          <w:p w14:paraId="08EDF266" w14:textId="4C2262C0" w:rsidR="00D50141" w:rsidRPr="000B3007" w:rsidRDefault="00D50141" w:rsidP="00D50141">
            <w:pPr>
              <w:spacing w:after="0"/>
              <w:ind w:firstLine="0"/>
              <w:rPr>
                <w:color w:val="000000"/>
                <w:sz w:val="20"/>
                <w:highlight w:val="yellow"/>
                <w:lang w:eastAsia="lv-LV"/>
              </w:rPr>
            </w:pPr>
            <w:r w:rsidRPr="000B3007">
              <w:rPr>
                <w:color w:val="000000"/>
                <w:sz w:val="20"/>
              </w:rPr>
              <w:t>Diferencētā neapliekamā minimuma paaugstināšana 2020.gadā</w:t>
            </w:r>
          </w:p>
        </w:tc>
        <w:tc>
          <w:tcPr>
            <w:tcW w:w="3827" w:type="dxa"/>
            <w:shd w:val="clear" w:color="auto" w:fill="DBE5F1" w:themeFill="accent1" w:themeFillTint="33"/>
            <w:vAlign w:val="center"/>
            <w:hideMark/>
          </w:tcPr>
          <w:p w14:paraId="2B78DC31" w14:textId="373379E6" w:rsidR="00D50141" w:rsidRPr="000B3007" w:rsidRDefault="00D50141" w:rsidP="00D50141">
            <w:pPr>
              <w:spacing w:after="0"/>
              <w:ind w:firstLine="0"/>
              <w:rPr>
                <w:color w:val="000000"/>
                <w:sz w:val="20"/>
                <w:highlight w:val="yellow"/>
                <w:lang w:eastAsia="lv-LV"/>
              </w:rPr>
            </w:pPr>
            <w:r w:rsidRPr="000B3007">
              <w:rPr>
                <w:color w:val="000000"/>
                <w:sz w:val="20"/>
              </w:rPr>
              <w:t>Diferencētā neapliekamā minimuma paaugstināšana 2020.gadā līdz 300</w:t>
            </w:r>
            <w:r w:rsidRPr="000B3007">
              <w:rPr>
                <w:i/>
                <w:color w:val="000000"/>
                <w:sz w:val="20"/>
              </w:rPr>
              <w:t xml:space="preserve"> euro</w:t>
            </w:r>
            <w:r w:rsidRPr="000B3007">
              <w:rPr>
                <w:color w:val="000000"/>
                <w:sz w:val="20"/>
              </w:rPr>
              <w:t>/mēnesī un augstākās robežas, līdz kurai piemēro maksimālo gada diferencēto neapliekamo minimumu, paaugstināta līdz 500</w:t>
            </w:r>
            <w:r w:rsidRPr="000B3007">
              <w:rPr>
                <w:i/>
                <w:color w:val="000000"/>
                <w:sz w:val="20"/>
              </w:rPr>
              <w:t xml:space="preserve"> euro</w:t>
            </w:r>
            <w:r w:rsidRPr="000B3007">
              <w:rPr>
                <w:color w:val="000000"/>
                <w:sz w:val="20"/>
              </w:rPr>
              <w:t xml:space="preserve">/ mēnesī </w:t>
            </w:r>
          </w:p>
        </w:tc>
        <w:tc>
          <w:tcPr>
            <w:tcW w:w="1021" w:type="dxa"/>
            <w:shd w:val="clear" w:color="auto" w:fill="DBE5F1" w:themeFill="accent1" w:themeFillTint="33"/>
            <w:vAlign w:val="center"/>
            <w:hideMark/>
          </w:tcPr>
          <w:p w14:paraId="56A412ED" w14:textId="5C11B96C" w:rsidR="00D50141" w:rsidRPr="000B3007" w:rsidRDefault="00D50141" w:rsidP="00D50141">
            <w:pPr>
              <w:spacing w:after="0"/>
              <w:ind w:firstLine="0"/>
              <w:jc w:val="left"/>
              <w:rPr>
                <w:color w:val="000000"/>
                <w:sz w:val="20"/>
                <w:highlight w:val="yellow"/>
                <w:lang w:eastAsia="lv-LV"/>
              </w:rPr>
            </w:pPr>
            <w:r w:rsidRPr="000B3007">
              <w:rPr>
                <w:color w:val="000000"/>
                <w:sz w:val="20"/>
              </w:rPr>
              <w:t>IIN</w:t>
            </w:r>
          </w:p>
        </w:tc>
        <w:tc>
          <w:tcPr>
            <w:tcW w:w="850" w:type="dxa"/>
            <w:shd w:val="clear" w:color="auto" w:fill="DBE5F1" w:themeFill="accent1" w:themeFillTint="33"/>
            <w:vAlign w:val="center"/>
            <w:hideMark/>
          </w:tcPr>
          <w:p w14:paraId="6F76E0BE" w14:textId="2545D623" w:rsidR="00D50141" w:rsidRPr="000B3007" w:rsidRDefault="00D50141" w:rsidP="00D50141">
            <w:pPr>
              <w:spacing w:after="0"/>
              <w:ind w:firstLine="0"/>
              <w:jc w:val="center"/>
              <w:rPr>
                <w:color w:val="000000"/>
                <w:sz w:val="20"/>
                <w:highlight w:val="yellow"/>
                <w:lang w:eastAsia="lv-LV"/>
              </w:rPr>
            </w:pPr>
            <w:r w:rsidRPr="000B3007">
              <w:rPr>
                <w:color w:val="000000"/>
                <w:sz w:val="20"/>
              </w:rPr>
              <w:t>D.5</w:t>
            </w:r>
          </w:p>
        </w:tc>
        <w:tc>
          <w:tcPr>
            <w:tcW w:w="1194" w:type="dxa"/>
            <w:shd w:val="clear" w:color="auto" w:fill="DBE5F1" w:themeFill="accent1" w:themeFillTint="33"/>
            <w:vAlign w:val="center"/>
            <w:hideMark/>
          </w:tcPr>
          <w:p w14:paraId="3E98C046" w14:textId="0BA3E806" w:rsidR="00D50141" w:rsidRPr="000B3007" w:rsidRDefault="00D50141" w:rsidP="00D50141">
            <w:pPr>
              <w:spacing w:after="0"/>
              <w:ind w:firstLine="0"/>
              <w:jc w:val="center"/>
              <w:rPr>
                <w:color w:val="000000"/>
                <w:sz w:val="20"/>
                <w:highlight w:val="yellow"/>
                <w:lang w:eastAsia="lv-LV"/>
              </w:rPr>
            </w:pPr>
            <w:r w:rsidRPr="000B3007">
              <w:rPr>
                <w:color w:val="000000"/>
                <w:sz w:val="20"/>
              </w:rPr>
              <w:t>Uzkrājuma</w:t>
            </w:r>
          </w:p>
        </w:tc>
        <w:tc>
          <w:tcPr>
            <w:tcW w:w="1701" w:type="dxa"/>
            <w:shd w:val="clear" w:color="auto" w:fill="DBE5F1" w:themeFill="accent1" w:themeFillTint="33"/>
            <w:vAlign w:val="center"/>
            <w:hideMark/>
          </w:tcPr>
          <w:p w14:paraId="051522F6" w14:textId="43023A7A" w:rsidR="00D50141" w:rsidRPr="000B3007" w:rsidRDefault="00D50141" w:rsidP="00D50141">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DBE5F1" w:themeFill="accent1" w:themeFillTint="33"/>
            <w:noWrap/>
            <w:vAlign w:val="bottom"/>
            <w:hideMark/>
          </w:tcPr>
          <w:p w14:paraId="16EAEF91" w14:textId="77777777" w:rsidR="00D50141" w:rsidRPr="000B3007" w:rsidRDefault="00D50141" w:rsidP="00D50141">
            <w:pPr>
              <w:spacing w:after="0"/>
              <w:ind w:firstLine="0"/>
              <w:jc w:val="left"/>
              <w:rPr>
                <w:color w:val="000000"/>
                <w:sz w:val="20"/>
                <w:lang w:eastAsia="lv-LV"/>
              </w:rPr>
            </w:pPr>
            <w:r w:rsidRPr="000B3007">
              <w:rPr>
                <w:color w:val="000000"/>
                <w:sz w:val="20"/>
                <w:lang w:eastAsia="lv-LV"/>
              </w:rPr>
              <w:t> </w:t>
            </w:r>
          </w:p>
        </w:tc>
        <w:tc>
          <w:tcPr>
            <w:tcW w:w="851" w:type="dxa"/>
            <w:shd w:val="clear" w:color="auto" w:fill="DBE5F1" w:themeFill="accent1" w:themeFillTint="33"/>
            <w:noWrap/>
            <w:vAlign w:val="center"/>
            <w:hideMark/>
          </w:tcPr>
          <w:p w14:paraId="4DF549FE" w14:textId="5F26E400" w:rsidR="00D50141" w:rsidRPr="000B3007" w:rsidRDefault="00D50141" w:rsidP="00D50141">
            <w:pPr>
              <w:spacing w:after="0"/>
              <w:ind w:firstLine="0"/>
              <w:jc w:val="center"/>
              <w:rPr>
                <w:color w:val="000000"/>
                <w:sz w:val="20"/>
                <w:highlight w:val="yellow"/>
                <w:lang w:eastAsia="lv-LV"/>
              </w:rPr>
            </w:pPr>
            <w:r w:rsidRPr="000B3007">
              <w:rPr>
                <w:color w:val="000000"/>
                <w:sz w:val="20"/>
              </w:rPr>
              <w:t>-0,08</w:t>
            </w:r>
          </w:p>
        </w:tc>
        <w:tc>
          <w:tcPr>
            <w:tcW w:w="992" w:type="dxa"/>
            <w:shd w:val="clear" w:color="auto" w:fill="DBE5F1" w:themeFill="accent1" w:themeFillTint="33"/>
            <w:noWrap/>
            <w:vAlign w:val="center"/>
            <w:hideMark/>
          </w:tcPr>
          <w:p w14:paraId="56247794" w14:textId="5E5E091D" w:rsidR="00D50141" w:rsidRPr="000B3007" w:rsidRDefault="00D50141" w:rsidP="00D50141">
            <w:pPr>
              <w:spacing w:after="0"/>
              <w:ind w:firstLine="0"/>
              <w:jc w:val="center"/>
              <w:rPr>
                <w:color w:val="000000"/>
                <w:sz w:val="20"/>
                <w:highlight w:val="yellow"/>
                <w:lang w:eastAsia="lv-LV"/>
              </w:rPr>
            </w:pPr>
            <w:r w:rsidRPr="000B3007">
              <w:rPr>
                <w:color w:val="000000"/>
                <w:sz w:val="20"/>
              </w:rPr>
              <w:t>0,00</w:t>
            </w:r>
          </w:p>
        </w:tc>
        <w:tc>
          <w:tcPr>
            <w:tcW w:w="709" w:type="dxa"/>
            <w:shd w:val="clear" w:color="auto" w:fill="DBE5F1" w:themeFill="accent1" w:themeFillTint="33"/>
            <w:noWrap/>
            <w:vAlign w:val="center"/>
            <w:hideMark/>
          </w:tcPr>
          <w:p w14:paraId="500C4E98" w14:textId="3AB61EBC" w:rsidR="00D50141" w:rsidRPr="000B3007" w:rsidRDefault="00D50141" w:rsidP="00D50141">
            <w:pPr>
              <w:spacing w:after="0"/>
              <w:ind w:firstLine="0"/>
              <w:jc w:val="center"/>
              <w:rPr>
                <w:color w:val="000000"/>
                <w:sz w:val="20"/>
                <w:highlight w:val="yellow"/>
                <w:lang w:eastAsia="lv-LV"/>
              </w:rPr>
            </w:pPr>
            <w:r w:rsidRPr="000B3007">
              <w:rPr>
                <w:color w:val="000000"/>
                <w:sz w:val="20"/>
              </w:rPr>
              <w:t>0,00</w:t>
            </w:r>
          </w:p>
        </w:tc>
      </w:tr>
      <w:tr w:rsidR="00D50141" w:rsidRPr="000B3007" w14:paraId="107F9407" w14:textId="77777777" w:rsidTr="00551B2A">
        <w:trPr>
          <w:trHeight w:val="20"/>
        </w:trPr>
        <w:tc>
          <w:tcPr>
            <w:tcW w:w="2802" w:type="dxa"/>
            <w:shd w:val="clear" w:color="auto" w:fill="auto"/>
            <w:vAlign w:val="center"/>
            <w:hideMark/>
          </w:tcPr>
          <w:p w14:paraId="61487614" w14:textId="7090CC5E" w:rsidR="00D50141" w:rsidRPr="000B3007" w:rsidRDefault="00D50141" w:rsidP="00D50141">
            <w:pPr>
              <w:spacing w:after="0"/>
              <w:ind w:firstLine="0"/>
              <w:rPr>
                <w:color w:val="000000"/>
                <w:sz w:val="20"/>
                <w:highlight w:val="yellow"/>
                <w:lang w:eastAsia="lv-LV"/>
              </w:rPr>
            </w:pPr>
            <w:r w:rsidRPr="000B3007">
              <w:rPr>
                <w:color w:val="000000"/>
                <w:sz w:val="20"/>
              </w:rPr>
              <w:t>Ēnu ekonomikas ierobežošanas pasākums - Valdes locekļu atbildības pilnveidošana</w:t>
            </w:r>
          </w:p>
        </w:tc>
        <w:tc>
          <w:tcPr>
            <w:tcW w:w="3827" w:type="dxa"/>
            <w:shd w:val="clear" w:color="auto" w:fill="auto"/>
            <w:vAlign w:val="center"/>
            <w:hideMark/>
          </w:tcPr>
          <w:p w14:paraId="33E6C113" w14:textId="45F03474" w:rsidR="00D50141" w:rsidRPr="000B3007" w:rsidRDefault="00D50141" w:rsidP="00D50141">
            <w:pPr>
              <w:spacing w:after="0"/>
              <w:ind w:firstLine="0"/>
              <w:rPr>
                <w:color w:val="000000"/>
                <w:sz w:val="20"/>
                <w:highlight w:val="yellow"/>
                <w:lang w:eastAsia="lv-LV"/>
              </w:rPr>
            </w:pPr>
            <w:r w:rsidRPr="000B3007">
              <w:rPr>
                <w:color w:val="000000"/>
                <w:sz w:val="20"/>
              </w:rPr>
              <w:t>Ēnu ekonomikas ierobežošanas pasākums - Valdes locekļu atbildības pilnveidošana</w:t>
            </w:r>
          </w:p>
        </w:tc>
        <w:tc>
          <w:tcPr>
            <w:tcW w:w="1021" w:type="dxa"/>
            <w:shd w:val="clear" w:color="auto" w:fill="auto"/>
            <w:vAlign w:val="center"/>
            <w:hideMark/>
          </w:tcPr>
          <w:p w14:paraId="3689BE49" w14:textId="2AECCB04" w:rsidR="00D50141" w:rsidRPr="000B3007" w:rsidRDefault="00D50141" w:rsidP="00D50141">
            <w:pPr>
              <w:spacing w:after="0"/>
              <w:ind w:firstLine="0"/>
              <w:jc w:val="center"/>
              <w:rPr>
                <w:color w:val="000000"/>
                <w:sz w:val="20"/>
                <w:highlight w:val="yellow"/>
                <w:lang w:eastAsia="lv-LV"/>
              </w:rPr>
            </w:pPr>
            <w:r w:rsidRPr="000B3007">
              <w:rPr>
                <w:color w:val="000000"/>
                <w:sz w:val="20"/>
              </w:rPr>
              <w:t>IIN</w:t>
            </w:r>
          </w:p>
        </w:tc>
        <w:tc>
          <w:tcPr>
            <w:tcW w:w="850" w:type="dxa"/>
            <w:shd w:val="clear" w:color="auto" w:fill="auto"/>
            <w:vAlign w:val="center"/>
            <w:hideMark/>
          </w:tcPr>
          <w:p w14:paraId="5D55BBD4" w14:textId="1A8E347D" w:rsidR="00D50141" w:rsidRPr="000B3007" w:rsidRDefault="00D50141" w:rsidP="00D50141">
            <w:pPr>
              <w:spacing w:after="0"/>
              <w:ind w:firstLine="0"/>
              <w:jc w:val="center"/>
              <w:rPr>
                <w:color w:val="000000"/>
                <w:sz w:val="20"/>
                <w:highlight w:val="yellow"/>
                <w:lang w:eastAsia="lv-LV"/>
              </w:rPr>
            </w:pPr>
            <w:r w:rsidRPr="000B3007">
              <w:rPr>
                <w:color w:val="000000"/>
                <w:sz w:val="20"/>
              </w:rPr>
              <w:t>D.5</w:t>
            </w:r>
          </w:p>
        </w:tc>
        <w:tc>
          <w:tcPr>
            <w:tcW w:w="1194" w:type="dxa"/>
            <w:shd w:val="clear" w:color="auto" w:fill="auto"/>
            <w:vAlign w:val="center"/>
            <w:hideMark/>
          </w:tcPr>
          <w:p w14:paraId="3D138E88" w14:textId="31895E6C" w:rsidR="00D50141" w:rsidRPr="000B3007" w:rsidRDefault="00D50141" w:rsidP="00D50141">
            <w:pPr>
              <w:spacing w:after="0"/>
              <w:ind w:firstLine="0"/>
              <w:jc w:val="center"/>
              <w:rPr>
                <w:color w:val="000000"/>
                <w:sz w:val="20"/>
                <w:highlight w:val="yellow"/>
                <w:lang w:eastAsia="lv-LV"/>
              </w:rPr>
            </w:pPr>
            <w:r w:rsidRPr="000B3007">
              <w:rPr>
                <w:color w:val="000000"/>
                <w:sz w:val="20"/>
              </w:rPr>
              <w:t>Uzkrājuma</w:t>
            </w:r>
          </w:p>
        </w:tc>
        <w:tc>
          <w:tcPr>
            <w:tcW w:w="1701" w:type="dxa"/>
            <w:shd w:val="clear" w:color="auto" w:fill="auto"/>
            <w:vAlign w:val="center"/>
            <w:hideMark/>
          </w:tcPr>
          <w:p w14:paraId="324FBB11" w14:textId="1CB2128D" w:rsidR="00D50141" w:rsidRPr="000B3007" w:rsidRDefault="00D50141" w:rsidP="00D50141">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auto"/>
            <w:noWrap/>
            <w:vAlign w:val="bottom"/>
            <w:hideMark/>
          </w:tcPr>
          <w:p w14:paraId="37C855D7" w14:textId="77777777" w:rsidR="00D50141" w:rsidRPr="000B3007" w:rsidRDefault="00D50141" w:rsidP="00D50141">
            <w:pPr>
              <w:spacing w:after="0"/>
              <w:ind w:firstLine="0"/>
              <w:jc w:val="center"/>
              <w:rPr>
                <w:color w:val="000000"/>
                <w:sz w:val="20"/>
                <w:highlight w:val="yellow"/>
                <w:lang w:eastAsia="lv-LV"/>
              </w:rPr>
            </w:pPr>
          </w:p>
        </w:tc>
        <w:tc>
          <w:tcPr>
            <w:tcW w:w="851" w:type="dxa"/>
            <w:shd w:val="clear" w:color="auto" w:fill="auto"/>
            <w:noWrap/>
            <w:vAlign w:val="center"/>
            <w:hideMark/>
          </w:tcPr>
          <w:p w14:paraId="1B91EAB4" w14:textId="7F234AD5" w:rsidR="00D50141" w:rsidRPr="000B3007" w:rsidRDefault="00D50141" w:rsidP="00D50141">
            <w:pPr>
              <w:spacing w:after="0"/>
              <w:ind w:firstLine="0"/>
              <w:jc w:val="center"/>
              <w:rPr>
                <w:color w:val="000000"/>
                <w:sz w:val="20"/>
                <w:highlight w:val="yellow"/>
                <w:lang w:eastAsia="lv-LV"/>
              </w:rPr>
            </w:pPr>
            <w:r w:rsidRPr="000B3007">
              <w:rPr>
                <w:color w:val="000000"/>
                <w:sz w:val="20"/>
              </w:rPr>
              <w:t>0,00</w:t>
            </w:r>
          </w:p>
        </w:tc>
        <w:tc>
          <w:tcPr>
            <w:tcW w:w="992" w:type="dxa"/>
            <w:shd w:val="clear" w:color="auto" w:fill="auto"/>
            <w:noWrap/>
            <w:vAlign w:val="center"/>
            <w:hideMark/>
          </w:tcPr>
          <w:p w14:paraId="47E5CDD0" w14:textId="39F8B289" w:rsidR="00D50141" w:rsidRPr="000B3007" w:rsidRDefault="00D50141" w:rsidP="00D50141">
            <w:pPr>
              <w:spacing w:after="0"/>
              <w:ind w:firstLine="0"/>
              <w:jc w:val="center"/>
              <w:rPr>
                <w:color w:val="000000"/>
                <w:sz w:val="20"/>
                <w:highlight w:val="yellow"/>
                <w:lang w:eastAsia="lv-LV"/>
              </w:rPr>
            </w:pPr>
            <w:r w:rsidRPr="000B3007">
              <w:rPr>
                <w:color w:val="000000"/>
                <w:sz w:val="20"/>
              </w:rPr>
              <w:t>0,00</w:t>
            </w:r>
          </w:p>
        </w:tc>
        <w:tc>
          <w:tcPr>
            <w:tcW w:w="709" w:type="dxa"/>
            <w:shd w:val="clear" w:color="auto" w:fill="auto"/>
            <w:noWrap/>
            <w:vAlign w:val="center"/>
            <w:hideMark/>
          </w:tcPr>
          <w:p w14:paraId="561576E8" w14:textId="55757294" w:rsidR="00D50141" w:rsidRPr="000B3007" w:rsidRDefault="00D50141" w:rsidP="00D50141">
            <w:pPr>
              <w:spacing w:after="0"/>
              <w:ind w:firstLine="0"/>
              <w:jc w:val="center"/>
              <w:rPr>
                <w:color w:val="000000"/>
                <w:sz w:val="20"/>
                <w:highlight w:val="yellow"/>
                <w:lang w:eastAsia="lv-LV"/>
              </w:rPr>
            </w:pPr>
            <w:r w:rsidRPr="000B3007">
              <w:rPr>
                <w:color w:val="000000"/>
                <w:sz w:val="20"/>
              </w:rPr>
              <w:t>0,00</w:t>
            </w:r>
          </w:p>
        </w:tc>
      </w:tr>
      <w:tr w:rsidR="00D50141" w:rsidRPr="000B3007" w14:paraId="224781D6" w14:textId="77777777" w:rsidTr="00551B2A">
        <w:trPr>
          <w:trHeight w:val="20"/>
        </w:trPr>
        <w:tc>
          <w:tcPr>
            <w:tcW w:w="2802" w:type="dxa"/>
            <w:shd w:val="clear" w:color="auto" w:fill="DBE5F1" w:themeFill="accent1" w:themeFillTint="33"/>
            <w:vAlign w:val="center"/>
          </w:tcPr>
          <w:p w14:paraId="7C4EB4A1" w14:textId="176A3126" w:rsidR="00D50141" w:rsidRPr="000B3007" w:rsidRDefault="00D50141" w:rsidP="00D50141">
            <w:pPr>
              <w:spacing w:after="0"/>
              <w:ind w:firstLine="0"/>
              <w:rPr>
                <w:color w:val="000000"/>
                <w:sz w:val="20"/>
                <w:highlight w:val="yellow"/>
                <w:lang w:eastAsia="lv-LV"/>
              </w:rPr>
            </w:pPr>
            <w:r w:rsidRPr="000B3007">
              <w:rPr>
                <w:color w:val="000000"/>
                <w:sz w:val="20"/>
              </w:rPr>
              <w:t xml:space="preserve">Ar 2021.gadu minimālās mēneša darba algas paaugstināšana no 430 </w:t>
            </w:r>
            <w:r w:rsidRPr="000B3007">
              <w:rPr>
                <w:i/>
                <w:color w:val="000000"/>
                <w:sz w:val="20"/>
              </w:rPr>
              <w:t>euro</w:t>
            </w:r>
            <w:r w:rsidRPr="000B3007">
              <w:rPr>
                <w:color w:val="000000"/>
                <w:sz w:val="20"/>
              </w:rPr>
              <w:t xml:space="preserve">/mēnesī līdz 500 </w:t>
            </w:r>
            <w:r w:rsidRPr="000B3007">
              <w:rPr>
                <w:i/>
                <w:color w:val="000000"/>
                <w:sz w:val="20"/>
              </w:rPr>
              <w:t>euro</w:t>
            </w:r>
            <w:r w:rsidRPr="000B3007">
              <w:rPr>
                <w:color w:val="000000"/>
                <w:sz w:val="20"/>
              </w:rPr>
              <w:t>/mēnesī</w:t>
            </w:r>
          </w:p>
        </w:tc>
        <w:tc>
          <w:tcPr>
            <w:tcW w:w="3827" w:type="dxa"/>
            <w:shd w:val="clear" w:color="auto" w:fill="DBE5F1" w:themeFill="accent1" w:themeFillTint="33"/>
            <w:vAlign w:val="center"/>
          </w:tcPr>
          <w:p w14:paraId="7274728E" w14:textId="2B191AE3" w:rsidR="00D50141" w:rsidRPr="000B3007" w:rsidRDefault="00D50141" w:rsidP="00D50141">
            <w:pPr>
              <w:spacing w:after="0"/>
              <w:ind w:firstLine="0"/>
              <w:rPr>
                <w:color w:val="000000"/>
                <w:sz w:val="20"/>
                <w:highlight w:val="yellow"/>
                <w:lang w:eastAsia="lv-LV"/>
              </w:rPr>
            </w:pPr>
            <w:r w:rsidRPr="000B3007">
              <w:rPr>
                <w:color w:val="000000"/>
                <w:sz w:val="20"/>
              </w:rPr>
              <w:t xml:space="preserve">Ar 2021.gadu minimālās mēneša darba algas paaugstināšana no 430 </w:t>
            </w:r>
            <w:r w:rsidRPr="000B3007">
              <w:rPr>
                <w:i/>
                <w:color w:val="000000"/>
                <w:sz w:val="20"/>
              </w:rPr>
              <w:t>euro</w:t>
            </w:r>
            <w:r w:rsidRPr="000B3007">
              <w:rPr>
                <w:color w:val="000000"/>
                <w:sz w:val="20"/>
              </w:rPr>
              <w:t xml:space="preserve">/mēnesī līdz 500 </w:t>
            </w:r>
            <w:r w:rsidRPr="000B3007">
              <w:rPr>
                <w:i/>
                <w:color w:val="000000"/>
                <w:sz w:val="20"/>
              </w:rPr>
              <w:t>euro</w:t>
            </w:r>
            <w:r w:rsidRPr="000B3007">
              <w:rPr>
                <w:color w:val="000000"/>
                <w:sz w:val="20"/>
              </w:rPr>
              <w:t>/mēnesī</w:t>
            </w:r>
          </w:p>
        </w:tc>
        <w:tc>
          <w:tcPr>
            <w:tcW w:w="1021" w:type="dxa"/>
            <w:shd w:val="clear" w:color="auto" w:fill="DBE5F1" w:themeFill="accent1" w:themeFillTint="33"/>
            <w:vAlign w:val="center"/>
          </w:tcPr>
          <w:p w14:paraId="785BAB57" w14:textId="59351A17" w:rsidR="00D50141" w:rsidRPr="000B3007" w:rsidRDefault="00D50141" w:rsidP="00D50141">
            <w:pPr>
              <w:spacing w:after="0"/>
              <w:ind w:firstLine="0"/>
              <w:jc w:val="center"/>
              <w:rPr>
                <w:color w:val="000000"/>
                <w:sz w:val="20"/>
                <w:highlight w:val="yellow"/>
                <w:lang w:eastAsia="lv-LV"/>
              </w:rPr>
            </w:pPr>
            <w:r w:rsidRPr="000B3007">
              <w:rPr>
                <w:color w:val="000000"/>
                <w:sz w:val="20"/>
              </w:rPr>
              <w:t>IIN</w:t>
            </w:r>
          </w:p>
        </w:tc>
        <w:tc>
          <w:tcPr>
            <w:tcW w:w="850" w:type="dxa"/>
            <w:shd w:val="clear" w:color="auto" w:fill="DBE5F1" w:themeFill="accent1" w:themeFillTint="33"/>
            <w:vAlign w:val="center"/>
          </w:tcPr>
          <w:p w14:paraId="6FC92F40" w14:textId="5C805D14" w:rsidR="00D50141" w:rsidRPr="000B3007" w:rsidRDefault="00D50141" w:rsidP="00D50141">
            <w:pPr>
              <w:spacing w:after="0"/>
              <w:ind w:firstLine="0"/>
              <w:jc w:val="center"/>
              <w:rPr>
                <w:color w:val="000000"/>
                <w:sz w:val="20"/>
                <w:highlight w:val="yellow"/>
                <w:lang w:eastAsia="lv-LV"/>
              </w:rPr>
            </w:pPr>
            <w:r w:rsidRPr="000B3007">
              <w:rPr>
                <w:color w:val="000000"/>
                <w:sz w:val="20"/>
              </w:rPr>
              <w:t>D.5</w:t>
            </w:r>
          </w:p>
        </w:tc>
        <w:tc>
          <w:tcPr>
            <w:tcW w:w="1194" w:type="dxa"/>
            <w:shd w:val="clear" w:color="auto" w:fill="DBE5F1" w:themeFill="accent1" w:themeFillTint="33"/>
            <w:vAlign w:val="center"/>
          </w:tcPr>
          <w:p w14:paraId="142693D4" w14:textId="7DF81213" w:rsidR="00D50141" w:rsidRPr="000B3007" w:rsidRDefault="00D50141" w:rsidP="00D50141">
            <w:pPr>
              <w:spacing w:after="0"/>
              <w:ind w:firstLine="0"/>
              <w:jc w:val="center"/>
              <w:rPr>
                <w:color w:val="000000"/>
                <w:sz w:val="20"/>
                <w:highlight w:val="yellow"/>
                <w:lang w:eastAsia="lv-LV"/>
              </w:rPr>
            </w:pPr>
            <w:r w:rsidRPr="000B3007">
              <w:rPr>
                <w:color w:val="000000"/>
                <w:sz w:val="20"/>
              </w:rPr>
              <w:t>Uzkrājuma</w:t>
            </w:r>
          </w:p>
        </w:tc>
        <w:tc>
          <w:tcPr>
            <w:tcW w:w="1701" w:type="dxa"/>
            <w:shd w:val="clear" w:color="auto" w:fill="DBE5F1" w:themeFill="accent1" w:themeFillTint="33"/>
            <w:vAlign w:val="center"/>
          </w:tcPr>
          <w:p w14:paraId="2701DCF2" w14:textId="767E6B49" w:rsidR="00D50141" w:rsidRPr="000B3007" w:rsidRDefault="00D50141" w:rsidP="00D50141">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DBE5F1" w:themeFill="accent1" w:themeFillTint="33"/>
            <w:noWrap/>
            <w:vAlign w:val="bottom"/>
          </w:tcPr>
          <w:p w14:paraId="0D85FAD9" w14:textId="77777777" w:rsidR="00D50141" w:rsidRPr="000B3007" w:rsidRDefault="00D50141" w:rsidP="00D50141">
            <w:pPr>
              <w:spacing w:after="0"/>
              <w:ind w:firstLine="0"/>
              <w:jc w:val="center"/>
              <w:rPr>
                <w:color w:val="000000"/>
                <w:sz w:val="20"/>
                <w:highlight w:val="yellow"/>
                <w:lang w:eastAsia="lv-LV"/>
              </w:rPr>
            </w:pPr>
          </w:p>
        </w:tc>
        <w:tc>
          <w:tcPr>
            <w:tcW w:w="851" w:type="dxa"/>
            <w:shd w:val="clear" w:color="auto" w:fill="DBE5F1" w:themeFill="accent1" w:themeFillTint="33"/>
            <w:noWrap/>
            <w:vAlign w:val="center"/>
          </w:tcPr>
          <w:p w14:paraId="67F4FC85" w14:textId="15B98876" w:rsidR="00D50141" w:rsidRPr="000B3007" w:rsidRDefault="00D50141" w:rsidP="00D50141">
            <w:pPr>
              <w:spacing w:after="0"/>
              <w:ind w:firstLine="0"/>
              <w:jc w:val="center"/>
              <w:rPr>
                <w:color w:val="000000"/>
                <w:sz w:val="20"/>
                <w:highlight w:val="yellow"/>
              </w:rPr>
            </w:pPr>
            <w:r w:rsidRPr="000B3007">
              <w:rPr>
                <w:color w:val="000000"/>
                <w:sz w:val="20"/>
              </w:rPr>
              <w:t>0,00</w:t>
            </w:r>
          </w:p>
        </w:tc>
        <w:tc>
          <w:tcPr>
            <w:tcW w:w="992" w:type="dxa"/>
            <w:shd w:val="clear" w:color="auto" w:fill="DBE5F1" w:themeFill="accent1" w:themeFillTint="33"/>
            <w:noWrap/>
            <w:vAlign w:val="center"/>
          </w:tcPr>
          <w:p w14:paraId="3C88622B" w14:textId="09B4D18A" w:rsidR="00D50141" w:rsidRPr="000B3007" w:rsidRDefault="00D50141" w:rsidP="00D50141">
            <w:pPr>
              <w:spacing w:after="0"/>
              <w:ind w:firstLine="0"/>
              <w:jc w:val="center"/>
              <w:rPr>
                <w:color w:val="000000"/>
                <w:sz w:val="20"/>
                <w:highlight w:val="yellow"/>
              </w:rPr>
            </w:pPr>
            <w:r w:rsidRPr="000B3007">
              <w:rPr>
                <w:color w:val="000000"/>
                <w:sz w:val="20"/>
              </w:rPr>
              <w:t>0,03</w:t>
            </w:r>
          </w:p>
        </w:tc>
        <w:tc>
          <w:tcPr>
            <w:tcW w:w="709" w:type="dxa"/>
            <w:shd w:val="clear" w:color="auto" w:fill="DBE5F1" w:themeFill="accent1" w:themeFillTint="33"/>
            <w:noWrap/>
            <w:vAlign w:val="center"/>
          </w:tcPr>
          <w:p w14:paraId="572ADC05" w14:textId="78D75739" w:rsidR="00D50141" w:rsidRPr="000B3007" w:rsidRDefault="00D50141" w:rsidP="00D50141">
            <w:pPr>
              <w:spacing w:after="0"/>
              <w:ind w:firstLine="0"/>
              <w:jc w:val="center"/>
              <w:rPr>
                <w:color w:val="000000"/>
                <w:sz w:val="20"/>
                <w:highlight w:val="yellow"/>
              </w:rPr>
            </w:pPr>
            <w:r w:rsidRPr="000B3007">
              <w:rPr>
                <w:color w:val="000000"/>
                <w:sz w:val="20"/>
              </w:rPr>
              <w:t>0,00</w:t>
            </w:r>
          </w:p>
        </w:tc>
      </w:tr>
      <w:tr w:rsidR="00D50141" w:rsidRPr="000B3007" w14:paraId="23C81CA4" w14:textId="77777777" w:rsidTr="00551B2A">
        <w:trPr>
          <w:trHeight w:val="20"/>
        </w:trPr>
        <w:tc>
          <w:tcPr>
            <w:tcW w:w="2802" w:type="dxa"/>
            <w:shd w:val="clear" w:color="auto" w:fill="auto"/>
            <w:vAlign w:val="bottom"/>
          </w:tcPr>
          <w:p w14:paraId="154EC78D" w14:textId="723A1E34" w:rsidR="00D50141" w:rsidRPr="000B3007" w:rsidRDefault="00D50141" w:rsidP="00D50141">
            <w:pPr>
              <w:spacing w:after="0"/>
              <w:ind w:firstLine="0"/>
              <w:rPr>
                <w:color w:val="000000"/>
                <w:sz w:val="20"/>
                <w:highlight w:val="yellow"/>
                <w:lang w:eastAsia="lv-LV"/>
              </w:rPr>
            </w:pPr>
            <w:r w:rsidRPr="000B3007">
              <w:rPr>
                <w:color w:val="000000"/>
                <w:sz w:val="20"/>
              </w:rPr>
              <w:t>DRN likmju paaugstināšana atsevišķiem objektiem (smilts, CO2 emisijas gaisā, akmeņogles) un ieņēmumu sadales maiņa pa budžetiem, palielinot valsts pamatbudžetā ieskaitāmo daļu</w:t>
            </w:r>
          </w:p>
        </w:tc>
        <w:tc>
          <w:tcPr>
            <w:tcW w:w="3827" w:type="dxa"/>
            <w:shd w:val="clear" w:color="auto" w:fill="auto"/>
            <w:vAlign w:val="bottom"/>
          </w:tcPr>
          <w:p w14:paraId="0A4A17E9" w14:textId="7D293AA5" w:rsidR="00D50141" w:rsidRPr="000B3007" w:rsidRDefault="00D50141" w:rsidP="00D50141">
            <w:pPr>
              <w:spacing w:after="0"/>
              <w:ind w:firstLine="0"/>
              <w:rPr>
                <w:color w:val="000000"/>
                <w:sz w:val="20"/>
                <w:highlight w:val="yellow"/>
                <w:lang w:eastAsia="lv-LV"/>
              </w:rPr>
            </w:pPr>
            <w:r w:rsidRPr="000B3007">
              <w:rPr>
                <w:color w:val="000000"/>
                <w:sz w:val="20"/>
              </w:rPr>
              <w:t>DRN likmju paaugstināšana atsevišķiem objektiem (smilts, CO2 emisijas gaisā, akmeņogles) 2020., 2021. un 2022.gadā un ieņēmumu sadales maiņa pa budžetiem, palielinot valsts pamatbudžetā ieskaitāmo daļu</w:t>
            </w:r>
          </w:p>
        </w:tc>
        <w:tc>
          <w:tcPr>
            <w:tcW w:w="1021" w:type="dxa"/>
            <w:shd w:val="clear" w:color="auto" w:fill="auto"/>
            <w:vAlign w:val="center"/>
          </w:tcPr>
          <w:p w14:paraId="5783F526" w14:textId="6536C2B0" w:rsidR="00D50141" w:rsidRPr="000B3007" w:rsidRDefault="00D50141" w:rsidP="00D50141">
            <w:pPr>
              <w:spacing w:after="0"/>
              <w:ind w:firstLine="0"/>
              <w:jc w:val="center"/>
              <w:rPr>
                <w:color w:val="000000"/>
                <w:sz w:val="20"/>
                <w:highlight w:val="yellow"/>
                <w:lang w:eastAsia="lv-LV"/>
              </w:rPr>
            </w:pPr>
            <w:r w:rsidRPr="000B3007">
              <w:rPr>
                <w:color w:val="000000"/>
                <w:sz w:val="20"/>
              </w:rPr>
              <w:t>Dabas resursu nodoklis</w:t>
            </w:r>
          </w:p>
        </w:tc>
        <w:tc>
          <w:tcPr>
            <w:tcW w:w="850" w:type="dxa"/>
            <w:shd w:val="clear" w:color="auto" w:fill="auto"/>
            <w:vAlign w:val="center"/>
          </w:tcPr>
          <w:p w14:paraId="7C6092C9" w14:textId="437FA58D" w:rsidR="00D50141" w:rsidRPr="000B3007" w:rsidRDefault="00D50141" w:rsidP="00D50141">
            <w:pPr>
              <w:spacing w:after="0"/>
              <w:ind w:firstLine="0"/>
              <w:jc w:val="center"/>
              <w:rPr>
                <w:color w:val="000000"/>
                <w:sz w:val="20"/>
                <w:highlight w:val="yellow"/>
                <w:lang w:eastAsia="lv-LV"/>
              </w:rPr>
            </w:pPr>
            <w:r w:rsidRPr="000B3007">
              <w:rPr>
                <w:color w:val="000000"/>
                <w:sz w:val="20"/>
              </w:rPr>
              <w:t>D.29</w:t>
            </w:r>
          </w:p>
        </w:tc>
        <w:tc>
          <w:tcPr>
            <w:tcW w:w="1194" w:type="dxa"/>
            <w:shd w:val="clear" w:color="auto" w:fill="auto"/>
            <w:vAlign w:val="center"/>
          </w:tcPr>
          <w:p w14:paraId="1FEC1D03" w14:textId="30DA4FA0" w:rsidR="00D50141" w:rsidRPr="000B3007" w:rsidRDefault="00D50141" w:rsidP="00D50141">
            <w:pPr>
              <w:spacing w:after="0"/>
              <w:ind w:firstLine="0"/>
              <w:jc w:val="center"/>
              <w:rPr>
                <w:color w:val="000000"/>
                <w:sz w:val="20"/>
                <w:highlight w:val="yellow"/>
                <w:lang w:eastAsia="lv-LV"/>
              </w:rPr>
            </w:pPr>
            <w:r w:rsidRPr="000B3007">
              <w:rPr>
                <w:color w:val="000000"/>
                <w:sz w:val="20"/>
              </w:rPr>
              <w:t>Uzkrājuma</w:t>
            </w:r>
          </w:p>
        </w:tc>
        <w:tc>
          <w:tcPr>
            <w:tcW w:w="1701" w:type="dxa"/>
            <w:shd w:val="clear" w:color="auto" w:fill="auto"/>
            <w:vAlign w:val="center"/>
          </w:tcPr>
          <w:p w14:paraId="4021B676" w14:textId="6AE6B4F8" w:rsidR="00D50141" w:rsidRPr="000B3007" w:rsidRDefault="00D50141" w:rsidP="00D50141">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auto"/>
            <w:noWrap/>
            <w:vAlign w:val="bottom"/>
          </w:tcPr>
          <w:p w14:paraId="68619373" w14:textId="77777777" w:rsidR="00D50141" w:rsidRPr="000B3007" w:rsidRDefault="00D50141" w:rsidP="00D50141">
            <w:pPr>
              <w:spacing w:after="0"/>
              <w:ind w:firstLine="0"/>
              <w:jc w:val="center"/>
              <w:rPr>
                <w:color w:val="000000"/>
                <w:sz w:val="20"/>
                <w:highlight w:val="yellow"/>
                <w:lang w:eastAsia="lv-LV"/>
              </w:rPr>
            </w:pPr>
          </w:p>
        </w:tc>
        <w:tc>
          <w:tcPr>
            <w:tcW w:w="851" w:type="dxa"/>
            <w:shd w:val="clear" w:color="auto" w:fill="auto"/>
            <w:noWrap/>
            <w:vAlign w:val="center"/>
          </w:tcPr>
          <w:p w14:paraId="026280AB" w14:textId="783A1978" w:rsidR="00D50141" w:rsidRPr="000B3007" w:rsidRDefault="00D50141" w:rsidP="00D50141">
            <w:pPr>
              <w:spacing w:after="0"/>
              <w:ind w:firstLine="0"/>
              <w:jc w:val="center"/>
              <w:rPr>
                <w:color w:val="000000"/>
                <w:sz w:val="20"/>
                <w:highlight w:val="yellow"/>
              </w:rPr>
            </w:pPr>
            <w:r w:rsidRPr="000B3007">
              <w:rPr>
                <w:color w:val="000000"/>
                <w:sz w:val="20"/>
              </w:rPr>
              <w:t>-0,02</w:t>
            </w:r>
          </w:p>
        </w:tc>
        <w:tc>
          <w:tcPr>
            <w:tcW w:w="992" w:type="dxa"/>
            <w:shd w:val="clear" w:color="auto" w:fill="auto"/>
            <w:noWrap/>
            <w:vAlign w:val="center"/>
          </w:tcPr>
          <w:p w14:paraId="17EEC417" w14:textId="67F002DB" w:rsidR="00D50141" w:rsidRPr="000B3007" w:rsidRDefault="00D50141" w:rsidP="00D50141">
            <w:pPr>
              <w:spacing w:after="0"/>
              <w:ind w:firstLine="0"/>
              <w:jc w:val="center"/>
              <w:rPr>
                <w:color w:val="000000"/>
                <w:sz w:val="20"/>
                <w:highlight w:val="yellow"/>
              </w:rPr>
            </w:pPr>
            <w:r w:rsidRPr="000B3007">
              <w:rPr>
                <w:color w:val="000000"/>
                <w:sz w:val="20"/>
              </w:rPr>
              <w:t>0,00</w:t>
            </w:r>
          </w:p>
        </w:tc>
        <w:tc>
          <w:tcPr>
            <w:tcW w:w="709" w:type="dxa"/>
            <w:shd w:val="clear" w:color="auto" w:fill="auto"/>
            <w:noWrap/>
            <w:vAlign w:val="center"/>
          </w:tcPr>
          <w:p w14:paraId="3DE56107" w14:textId="7DAA8BE8" w:rsidR="00D50141" w:rsidRPr="000B3007" w:rsidRDefault="00D50141" w:rsidP="00D50141">
            <w:pPr>
              <w:spacing w:after="0"/>
              <w:ind w:firstLine="0"/>
              <w:jc w:val="center"/>
              <w:rPr>
                <w:color w:val="000000"/>
                <w:sz w:val="20"/>
                <w:highlight w:val="yellow"/>
              </w:rPr>
            </w:pPr>
            <w:r w:rsidRPr="000B3007">
              <w:rPr>
                <w:color w:val="000000"/>
                <w:sz w:val="20"/>
              </w:rPr>
              <w:t>0,00</w:t>
            </w:r>
          </w:p>
        </w:tc>
      </w:tr>
      <w:tr w:rsidR="00D50141" w:rsidRPr="000B3007" w14:paraId="115BB8AC" w14:textId="77777777" w:rsidTr="00C841D1">
        <w:trPr>
          <w:trHeight w:val="20"/>
        </w:trPr>
        <w:tc>
          <w:tcPr>
            <w:tcW w:w="2802" w:type="dxa"/>
            <w:shd w:val="clear" w:color="auto" w:fill="DBE5F1" w:themeFill="accent1" w:themeFillTint="33"/>
            <w:vAlign w:val="bottom"/>
          </w:tcPr>
          <w:p w14:paraId="3769234E" w14:textId="3AA59F69" w:rsidR="00D50141" w:rsidRPr="000B3007" w:rsidRDefault="00D50141" w:rsidP="00D50141">
            <w:pPr>
              <w:spacing w:after="0"/>
              <w:ind w:firstLine="0"/>
              <w:rPr>
                <w:color w:val="000000"/>
                <w:sz w:val="20"/>
                <w:highlight w:val="yellow"/>
                <w:lang w:eastAsia="lv-LV"/>
              </w:rPr>
            </w:pPr>
            <w:r w:rsidRPr="000B3007">
              <w:rPr>
                <w:color w:val="000000"/>
                <w:sz w:val="20"/>
              </w:rPr>
              <w:t>Rīgas pašvaldības kontrolētās kapitālsabiedrības "Rīgas Satiksme" radītās negatīvās fiskālās ietekmes kompensēšana</w:t>
            </w:r>
          </w:p>
        </w:tc>
        <w:tc>
          <w:tcPr>
            <w:tcW w:w="3827" w:type="dxa"/>
            <w:shd w:val="clear" w:color="auto" w:fill="DBE5F1" w:themeFill="accent1" w:themeFillTint="33"/>
            <w:vAlign w:val="center"/>
          </w:tcPr>
          <w:p w14:paraId="577C3629" w14:textId="31BBD762" w:rsidR="00D50141" w:rsidRPr="000B3007" w:rsidRDefault="00D50141" w:rsidP="00C841D1">
            <w:pPr>
              <w:spacing w:after="0"/>
              <w:ind w:firstLine="0"/>
              <w:jc w:val="center"/>
              <w:rPr>
                <w:color w:val="000000"/>
                <w:sz w:val="20"/>
                <w:highlight w:val="yellow"/>
                <w:lang w:eastAsia="lv-LV"/>
              </w:rPr>
            </w:pPr>
            <w:r w:rsidRPr="000B3007">
              <w:rPr>
                <w:color w:val="000000"/>
                <w:sz w:val="20"/>
              </w:rPr>
              <w:t>Rīgas pašvaldības kontrolētās kapitālsabiedrības "Rīgas Satiksme" radītās negatīvās fiskālās ietekmes kompensēšana</w:t>
            </w:r>
          </w:p>
        </w:tc>
        <w:tc>
          <w:tcPr>
            <w:tcW w:w="1021" w:type="dxa"/>
            <w:shd w:val="clear" w:color="auto" w:fill="DBE5F1" w:themeFill="accent1" w:themeFillTint="33"/>
            <w:vAlign w:val="center"/>
          </w:tcPr>
          <w:p w14:paraId="5336A008" w14:textId="1AFB4D65" w:rsidR="00D50141" w:rsidRPr="000B3007" w:rsidRDefault="00D50141" w:rsidP="00D50141">
            <w:pPr>
              <w:spacing w:after="0"/>
              <w:ind w:firstLine="0"/>
              <w:jc w:val="center"/>
              <w:rPr>
                <w:color w:val="000000"/>
                <w:sz w:val="20"/>
                <w:lang w:eastAsia="lv-LV"/>
              </w:rPr>
            </w:pPr>
            <w:r w:rsidRPr="000B3007">
              <w:rPr>
                <w:color w:val="000000"/>
                <w:sz w:val="20"/>
              </w:rPr>
              <w:t xml:space="preserve">Nenodokļi </w:t>
            </w:r>
          </w:p>
        </w:tc>
        <w:tc>
          <w:tcPr>
            <w:tcW w:w="850" w:type="dxa"/>
            <w:shd w:val="clear" w:color="auto" w:fill="DBE5F1" w:themeFill="accent1" w:themeFillTint="33"/>
            <w:vAlign w:val="center"/>
          </w:tcPr>
          <w:p w14:paraId="71A62447" w14:textId="12FEF189" w:rsidR="00D50141" w:rsidRPr="000B3007" w:rsidRDefault="00D50141" w:rsidP="00D50141">
            <w:pPr>
              <w:spacing w:after="0"/>
              <w:ind w:firstLine="0"/>
              <w:jc w:val="center"/>
              <w:rPr>
                <w:color w:val="000000"/>
                <w:sz w:val="20"/>
                <w:highlight w:val="yellow"/>
                <w:lang w:eastAsia="lv-LV"/>
              </w:rPr>
            </w:pPr>
            <w:r w:rsidRPr="000B3007">
              <w:rPr>
                <w:color w:val="000000"/>
                <w:sz w:val="20"/>
              </w:rPr>
              <w:t>P.13</w:t>
            </w:r>
          </w:p>
        </w:tc>
        <w:tc>
          <w:tcPr>
            <w:tcW w:w="1194" w:type="dxa"/>
            <w:shd w:val="clear" w:color="auto" w:fill="DBE5F1" w:themeFill="accent1" w:themeFillTint="33"/>
            <w:vAlign w:val="center"/>
          </w:tcPr>
          <w:p w14:paraId="0DCA9BAD" w14:textId="422D762E" w:rsidR="00D50141" w:rsidRPr="000B3007" w:rsidRDefault="00D50141" w:rsidP="00D50141">
            <w:pPr>
              <w:spacing w:after="0"/>
              <w:ind w:firstLine="0"/>
              <w:jc w:val="center"/>
              <w:rPr>
                <w:color w:val="000000"/>
                <w:sz w:val="20"/>
                <w:highlight w:val="yellow"/>
                <w:lang w:eastAsia="lv-LV"/>
              </w:rPr>
            </w:pPr>
            <w:r w:rsidRPr="000B3007">
              <w:rPr>
                <w:color w:val="000000"/>
                <w:sz w:val="20"/>
              </w:rPr>
              <w:t>Naudas plūsmas</w:t>
            </w:r>
          </w:p>
        </w:tc>
        <w:tc>
          <w:tcPr>
            <w:tcW w:w="1701" w:type="dxa"/>
            <w:shd w:val="clear" w:color="auto" w:fill="DBE5F1" w:themeFill="accent1" w:themeFillTint="33"/>
            <w:vAlign w:val="center"/>
          </w:tcPr>
          <w:p w14:paraId="30C2F445" w14:textId="2FB98C33" w:rsidR="00D50141" w:rsidRPr="000B3007" w:rsidRDefault="00D50141" w:rsidP="00D50141">
            <w:pPr>
              <w:spacing w:after="0"/>
              <w:ind w:firstLine="0"/>
              <w:jc w:val="center"/>
              <w:rPr>
                <w:color w:val="000000"/>
                <w:sz w:val="20"/>
                <w:highlight w:val="yellow"/>
                <w:lang w:eastAsia="lv-LV"/>
              </w:rPr>
            </w:pPr>
            <w:r w:rsidRPr="000B3007">
              <w:rPr>
                <w:color w:val="000000"/>
                <w:sz w:val="20"/>
              </w:rPr>
              <w:t>Daļēji pieņemts</w:t>
            </w:r>
          </w:p>
        </w:tc>
        <w:tc>
          <w:tcPr>
            <w:tcW w:w="730" w:type="dxa"/>
            <w:shd w:val="clear" w:color="auto" w:fill="DBE5F1" w:themeFill="accent1" w:themeFillTint="33"/>
            <w:noWrap/>
            <w:vAlign w:val="bottom"/>
          </w:tcPr>
          <w:p w14:paraId="4221CC4A" w14:textId="77777777" w:rsidR="00D50141" w:rsidRPr="000B3007" w:rsidRDefault="00D50141" w:rsidP="00D50141">
            <w:pPr>
              <w:spacing w:after="0"/>
              <w:ind w:firstLine="0"/>
              <w:jc w:val="center"/>
              <w:rPr>
                <w:color w:val="000000"/>
                <w:sz w:val="20"/>
                <w:highlight w:val="yellow"/>
                <w:lang w:eastAsia="lv-LV"/>
              </w:rPr>
            </w:pPr>
          </w:p>
        </w:tc>
        <w:tc>
          <w:tcPr>
            <w:tcW w:w="851" w:type="dxa"/>
            <w:shd w:val="clear" w:color="auto" w:fill="DBE5F1" w:themeFill="accent1" w:themeFillTint="33"/>
            <w:noWrap/>
            <w:vAlign w:val="center"/>
          </w:tcPr>
          <w:p w14:paraId="25A708D4" w14:textId="12C64942" w:rsidR="00D50141" w:rsidRPr="000B3007" w:rsidRDefault="00D50141" w:rsidP="00D50141">
            <w:pPr>
              <w:spacing w:after="0"/>
              <w:ind w:firstLine="0"/>
              <w:jc w:val="center"/>
              <w:rPr>
                <w:color w:val="000000"/>
                <w:sz w:val="20"/>
                <w:highlight w:val="yellow"/>
              </w:rPr>
            </w:pPr>
            <w:r w:rsidRPr="000B3007">
              <w:rPr>
                <w:color w:val="000000"/>
                <w:sz w:val="20"/>
              </w:rPr>
              <w:t>-0,11</w:t>
            </w:r>
          </w:p>
        </w:tc>
        <w:tc>
          <w:tcPr>
            <w:tcW w:w="992" w:type="dxa"/>
            <w:shd w:val="clear" w:color="auto" w:fill="DBE5F1" w:themeFill="accent1" w:themeFillTint="33"/>
            <w:noWrap/>
            <w:vAlign w:val="center"/>
          </w:tcPr>
          <w:p w14:paraId="140A6D9B" w14:textId="5BF513C2" w:rsidR="00D50141" w:rsidRPr="000B3007" w:rsidRDefault="00D50141" w:rsidP="00D50141">
            <w:pPr>
              <w:spacing w:after="0"/>
              <w:ind w:firstLine="0"/>
              <w:jc w:val="center"/>
              <w:rPr>
                <w:color w:val="000000"/>
                <w:sz w:val="20"/>
                <w:highlight w:val="yellow"/>
              </w:rPr>
            </w:pPr>
            <w:r w:rsidRPr="000B3007">
              <w:rPr>
                <w:color w:val="000000"/>
                <w:sz w:val="20"/>
              </w:rPr>
              <w:t>0,08</w:t>
            </w:r>
          </w:p>
        </w:tc>
        <w:tc>
          <w:tcPr>
            <w:tcW w:w="709" w:type="dxa"/>
            <w:shd w:val="clear" w:color="auto" w:fill="DBE5F1" w:themeFill="accent1" w:themeFillTint="33"/>
            <w:noWrap/>
            <w:vAlign w:val="center"/>
          </w:tcPr>
          <w:p w14:paraId="6F1B9CD0" w14:textId="6403EED0" w:rsidR="00D50141" w:rsidRPr="000B3007" w:rsidRDefault="00D50141" w:rsidP="00D50141">
            <w:pPr>
              <w:spacing w:after="0"/>
              <w:ind w:firstLine="0"/>
              <w:jc w:val="center"/>
              <w:rPr>
                <w:color w:val="000000"/>
                <w:sz w:val="20"/>
                <w:highlight w:val="yellow"/>
              </w:rPr>
            </w:pPr>
            <w:r w:rsidRPr="000B3007">
              <w:rPr>
                <w:color w:val="000000"/>
                <w:sz w:val="20"/>
              </w:rPr>
              <w:t>0,03</w:t>
            </w:r>
          </w:p>
        </w:tc>
      </w:tr>
      <w:tr w:rsidR="00C75EF8" w:rsidRPr="000B3007" w14:paraId="434E8551" w14:textId="77777777" w:rsidTr="00C75EF8">
        <w:trPr>
          <w:trHeight w:val="20"/>
        </w:trPr>
        <w:tc>
          <w:tcPr>
            <w:tcW w:w="12125" w:type="dxa"/>
            <w:gridSpan w:val="7"/>
            <w:shd w:val="clear" w:color="auto" w:fill="auto"/>
            <w:noWrap/>
            <w:vAlign w:val="center"/>
            <w:hideMark/>
          </w:tcPr>
          <w:p w14:paraId="1ABB676C" w14:textId="77777777" w:rsidR="00C75EF8" w:rsidRPr="000B3007" w:rsidRDefault="00C75EF8" w:rsidP="00C75EF8">
            <w:pPr>
              <w:spacing w:after="0"/>
              <w:ind w:firstLine="0"/>
              <w:jc w:val="right"/>
              <w:rPr>
                <w:b/>
                <w:bCs/>
                <w:color w:val="000000"/>
                <w:sz w:val="20"/>
                <w:lang w:eastAsia="lv-LV"/>
              </w:rPr>
            </w:pPr>
            <w:r w:rsidRPr="000B3007">
              <w:rPr>
                <w:b/>
                <w:bCs/>
                <w:color w:val="000000"/>
                <w:sz w:val="20"/>
                <w:lang w:eastAsia="lv-LV"/>
              </w:rPr>
              <w:t>Kopā</w:t>
            </w:r>
          </w:p>
        </w:tc>
        <w:tc>
          <w:tcPr>
            <w:tcW w:w="851" w:type="dxa"/>
            <w:shd w:val="clear" w:color="auto" w:fill="auto"/>
            <w:vAlign w:val="center"/>
            <w:hideMark/>
          </w:tcPr>
          <w:p w14:paraId="227B5581" w14:textId="05391259" w:rsidR="00C75EF8" w:rsidRPr="000B3007" w:rsidRDefault="00C75EF8" w:rsidP="00D50141">
            <w:pPr>
              <w:spacing w:after="0"/>
              <w:ind w:firstLine="0"/>
              <w:jc w:val="center"/>
              <w:rPr>
                <w:b/>
                <w:bCs/>
                <w:color w:val="000000"/>
                <w:sz w:val="20"/>
                <w:lang w:eastAsia="lv-LV"/>
              </w:rPr>
            </w:pPr>
            <w:r w:rsidRPr="000B3007">
              <w:rPr>
                <w:b/>
                <w:bCs/>
                <w:color w:val="000000"/>
                <w:sz w:val="20"/>
              </w:rPr>
              <w:t>-0,23</w:t>
            </w:r>
          </w:p>
        </w:tc>
        <w:tc>
          <w:tcPr>
            <w:tcW w:w="992" w:type="dxa"/>
            <w:shd w:val="clear" w:color="auto" w:fill="auto"/>
            <w:vAlign w:val="center"/>
            <w:hideMark/>
          </w:tcPr>
          <w:p w14:paraId="708C0356" w14:textId="7CAE2B3F" w:rsidR="00C75EF8" w:rsidRPr="000B3007" w:rsidRDefault="00C75EF8" w:rsidP="00D50141">
            <w:pPr>
              <w:spacing w:after="0"/>
              <w:ind w:firstLine="0"/>
              <w:jc w:val="center"/>
              <w:rPr>
                <w:b/>
                <w:bCs/>
                <w:color w:val="000000"/>
                <w:sz w:val="20"/>
                <w:lang w:eastAsia="lv-LV"/>
              </w:rPr>
            </w:pPr>
            <w:r w:rsidRPr="000B3007">
              <w:rPr>
                <w:b/>
                <w:bCs/>
                <w:color w:val="000000"/>
                <w:sz w:val="20"/>
              </w:rPr>
              <w:t>0,11</w:t>
            </w:r>
          </w:p>
        </w:tc>
        <w:tc>
          <w:tcPr>
            <w:tcW w:w="709" w:type="dxa"/>
            <w:shd w:val="clear" w:color="auto" w:fill="auto"/>
            <w:vAlign w:val="center"/>
            <w:hideMark/>
          </w:tcPr>
          <w:p w14:paraId="4668F367" w14:textId="53BEB3A8" w:rsidR="00C75EF8" w:rsidRPr="000B3007" w:rsidRDefault="00C75EF8" w:rsidP="00D50141">
            <w:pPr>
              <w:spacing w:after="0"/>
              <w:ind w:firstLine="0"/>
              <w:jc w:val="center"/>
              <w:rPr>
                <w:b/>
                <w:bCs/>
                <w:color w:val="000000"/>
                <w:sz w:val="20"/>
                <w:lang w:eastAsia="lv-LV"/>
              </w:rPr>
            </w:pPr>
            <w:r w:rsidRPr="000B3007">
              <w:rPr>
                <w:b/>
                <w:bCs/>
                <w:color w:val="000000"/>
                <w:sz w:val="20"/>
              </w:rPr>
              <w:t>0,03</w:t>
            </w:r>
          </w:p>
        </w:tc>
      </w:tr>
    </w:tbl>
    <w:p w14:paraId="361A26A9" w14:textId="77777777" w:rsidR="007A0A9C" w:rsidRDefault="007A0A9C">
      <w:pPr>
        <w:spacing w:after="0"/>
        <w:ind w:firstLine="0"/>
        <w:jc w:val="left"/>
        <w:rPr>
          <w:lang w:val="x-none" w:eastAsia="x-none"/>
        </w:rPr>
      </w:pPr>
      <w:r>
        <w:rPr>
          <w:lang w:val="x-none" w:eastAsia="x-none"/>
        </w:rPr>
        <w:br w:type="page"/>
      </w:r>
    </w:p>
    <w:p w14:paraId="2449DF4A" w14:textId="77777777" w:rsidR="005119CA" w:rsidRPr="00CF6873" w:rsidRDefault="00F900B2" w:rsidP="00CF6873">
      <w:pPr>
        <w:pStyle w:val="Heading1"/>
        <w:tabs>
          <w:tab w:val="left" w:pos="1276"/>
        </w:tabs>
        <w:spacing w:before="0" w:after="240"/>
        <w:ind w:firstLine="0"/>
        <w:jc w:val="left"/>
        <w:rPr>
          <w:rFonts w:ascii="Times New Roman" w:hAnsi="Times New Roman"/>
          <w:color w:val="18185F"/>
          <w:sz w:val="24"/>
        </w:rPr>
      </w:pPr>
      <w:bookmarkStart w:id="34" w:name="_Toc21516519"/>
      <w:r>
        <w:rPr>
          <w:rFonts w:ascii="Times New Roman" w:hAnsi="Times New Roman"/>
          <w:color w:val="18185F"/>
          <w:sz w:val="24"/>
          <w:lang w:val="lv-LV"/>
        </w:rPr>
        <w:lastRenderedPageBreak/>
        <w:t>Tabula</w:t>
      </w:r>
      <w:r w:rsidRPr="00CF6873">
        <w:rPr>
          <w:rFonts w:ascii="Times New Roman" w:hAnsi="Times New Roman"/>
          <w:color w:val="18185F"/>
          <w:sz w:val="24"/>
        </w:rPr>
        <w:t xml:space="preserve"> </w:t>
      </w:r>
      <w:r w:rsidR="005119CA" w:rsidRPr="00CF6873">
        <w:rPr>
          <w:rFonts w:ascii="Times New Roman" w:hAnsi="Times New Roman"/>
          <w:color w:val="18185F"/>
          <w:sz w:val="24"/>
        </w:rPr>
        <w:t>6.a Valstu specifiskās rekomendācijas</w:t>
      </w:r>
      <w:bookmarkEnd w:id="34"/>
      <w:r w:rsidR="005119CA" w:rsidRPr="00CF6873">
        <w:rPr>
          <w:rFonts w:ascii="Times New Roman" w:hAnsi="Times New Roman"/>
          <w:color w:val="18185F"/>
          <w:sz w:val="24"/>
        </w:rPr>
        <w:t xml:space="preserve"> </w:t>
      </w:r>
    </w:p>
    <w:tbl>
      <w:tblPr>
        <w:tblStyle w:val="GridTable6Colorful-Accent11"/>
        <w:tblW w:w="14992" w:type="dxa"/>
        <w:tblLook w:val="04A0" w:firstRow="1" w:lastRow="0" w:firstColumn="1" w:lastColumn="0" w:noHBand="0" w:noVBand="1"/>
      </w:tblPr>
      <w:tblGrid>
        <w:gridCol w:w="704"/>
        <w:gridCol w:w="4961"/>
        <w:gridCol w:w="9327"/>
      </w:tblGrid>
      <w:tr w:rsidR="00510953" w:rsidRPr="00BD2436" w14:paraId="0FC563AD" w14:textId="77777777" w:rsidTr="00C233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1EE80D73" w14:textId="77777777" w:rsidR="00510953" w:rsidRPr="00BD2436" w:rsidRDefault="00510953" w:rsidP="00BD2436">
            <w:pPr>
              <w:ind w:left="-5"/>
              <w:jc w:val="center"/>
              <w:rPr>
                <w:b w:val="0"/>
                <w:color w:val="auto"/>
                <w:sz w:val="20"/>
              </w:rPr>
            </w:pPr>
            <w:r w:rsidRPr="00BD2436">
              <w:rPr>
                <w:color w:val="auto"/>
                <w:sz w:val="20"/>
              </w:rPr>
              <w:t>CSR Nr.</w:t>
            </w:r>
          </w:p>
        </w:tc>
        <w:tc>
          <w:tcPr>
            <w:tcW w:w="4961" w:type="dxa"/>
            <w:vAlign w:val="center"/>
          </w:tcPr>
          <w:p w14:paraId="4758BF08" w14:textId="77777777" w:rsidR="00510953" w:rsidRPr="00BD2436" w:rsidRDefault="00510953" w:rsidP="00BD2436">
            <w:pPr>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BD2436">
              <w:rPr>
                <w:color w:val="auto"/>
                <w:sz w:val="20"/>
              </w:rPr>
              <w:t>Pasākumi</w:t>
            </w:r>
          </w:p>
        </w:tc>
        <w:tc>
          <w:tcPr>
            <w:tcW w:w="9327" w:type="dxa"/>
            <w:vAlign w:val="center"/>
          </w:tcPr>
          <w:p w14:paraId="32A56FF9" w14:textId="77777777" w:rsidR="00510953" w:rsidRPr="00BD2436" w:rsidRDefault="00510953" w:rsidP="00BD2436">
            <w:pPr>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BD2436">
              <w:rPr>
                <w:color w:val="auto"/>
                <w:sz w:val="20"/>
              </w:rPr>
              <w:t>Apraksts</w:t>
            </w:r>
          </w:p>
        </w:tc>
      </w:tr>
      <w:tr w:rsidR="00510953" w:rsidRPr="00BD2436" w14:paraId="2CAA8E0B" w14:textId="77777777" w:rsidTr="00C2332A">
        <w:trPr>
          <w:cnfStyle w:val="000000100000" w:firstRow="0" w:lastRow="0" w:firstColumn="0" w:lastColumn="0" w:oddVBand="0" w:evenVBand="0" w:oddHBand="1" w:evenHBand="0" w:firstRowFirstColumn="0" w:firstRowLastColumn="0" w:lastRowFirstColumn="0" w:lastRowLastColumn="0"/>
          <w:trHeight w:val="1840"/>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28D8A83" w14:textId="189098B6" w:rsidR="00510953" w:rsidRPr="00BD2436" w:rsidRDefault="00C2332A" w:rsidP="000839ED">
            <w:pPr>
              <w:spacing w:after="0"/>
              <w:jc w:val="center"/>
              <w:rPr>
                <w:color w:val="auto"/>
                <w:sz w:val="20"/>
              </w:rPr>
            </w:pPr>
            <w:r>
              <w:rPr>
                <w:color w:val="auto"/>
                <w:sz w:val="20"/>
              </w:rPr>
              <w:t>1</w:t>
            </w:r>
            <w:r w:rsidR="00510953" w:rsidRPr="00BD2436">
              <w:rPr>
                <w:color w:val="auto"/>
                <w:sz w:val="20"/>
              </w:rPr>
              <w:t>1</w:t>
            </w:r>
          </w:p>
        </w:tc>
        <w:tc>
          <w:tcPr>
            <w:tcW w:w="4961" w:type="dxa"/>
          </w:tcPr>
          <w:p w14:paraId="2B0792F1" w14:textId="481456C8" w:rsidR="00510953" w:rsidRPr="00BD2436" w:rsidRDefault="00510953" w:rsidP="000839ED">
            <w:pPr>
              <w:pStyle w:val="ListParagraph"/>
              <w:numPr>
                <w:ilvl w:val="0"/>
                <w:numId w:val="3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sz w:val="20"/>
              </w:rPr>
            </w:pPr>
            <w:r w:rsidRPr="00BD2436">
              <w:rPr>
                <w:rFonts w:ascii="Times New Roman" w:hAnsi="Times New Roman"/>
                <w:noProof/>
                <w:color w:val="000000" w:themeColor="text1"/>
                <w:sz w:val="20"/>
              </w:rPr>
              <w:t>Nodrošināt, ka valdības neto primāro izdevumu nominālā pieaugum</w:t>
            </w:r>
            <w:r w:rsidR="00F87BAE">
              <w:rPr>
                <w:rFonts w:ascii="Times New Roman" w:hAnsi="Times New Roman"/>
                <w:noProof/>
                <w:color w:val="000000" w:themeColor="text1"/>
                <w:sz w:val="20"/>
              </w:rPr>
              <w:t>a temps nepārsniedz 3,5 % 2020.</w:t>
            </w:r>
            <w:r w:rsidRPr="00BD2436">
              <w:rPr>
                <w:rFonts w:ascii="Times New Roman" w:hAnsi="Times New Roman"/>
                <w:noProof/>
                <w:color w:val="000000" w:themeColor="text1"/>
                <w:sz w:val="20"/>
              </w:rPr>
              <w:t xml:space="preserve">gadā, kas atbilst gada strukturālajai korekcijai 0,5 % apmērā no IKP. </w:t>
            </w:r>
          </w:p>
          <w:p w14:paraId="5C9CE8BD"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p>
          <w:p w14:paraId="0A99758D" w14:textId="77777777" w:rsidR="00510953" w:rsidRPr="00BD2436" w:rsidRDefault="00510953" w:rsidP="000839ED">
            <w:pPr>
              <w:pStyle w:val="ListParagraph"/>
              <w:numPr>
                <w:ilvl w:val="0"/>
                <w:numId w:val="3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sz w:val="20"/>
              </w:rPr>
            </w:pPr>
            <w:r w:rsidRPr="00BD2436">
              <w:rPr>
                <w:rFonts w:ascii="Times New Roman" w:hAnsi="Times New Roman"/>
                <w:noProof/>
                <w:color w:val="000000" w:themeColor="text1"/>
                <w:sz w:val="20"/>
              </w:rPr>
              <w:t xml:space="preserve">Samazināt nodokļus zema atalgojuma saņēmējiem, novirzot tos uz citiem avotiem, jo īpaši kapitālu un īpašumu, un uzlabojot nodokļu saistību izpildi. </w:t>
            </w:r>
          </w:p>
          <w:p w14:paraId="3C3F625D"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p>
          <w:p w14:paraId="66AD4FD7" w14:textId="77777777" w:rsidR="00510953" w:rsidRPr="00BD2436" w:rsidRDefault="00510953" w:rsidP="000839ED">
            <w:pPr>
              <w:pStyle w:val="ListParagraph"/>
              <w:numPr>
                <w:ilvl w:val="0"/>
                <w:numId w:val="3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0"/>
              </w:rPr>
            </w:pPr>
            <w:r w:rsidRPr="00BD2436">
              <w:rPr>
                <w:rFonts w:ascii="Times New Roman" w:hAnsi="Times New Roman"/>
                <w:noProof/>
                <w:color w:val="000000" w:themeColor="text1"/>
                <w:sz w:val="20"/>
              </w:rPr>
              <w:t>Nodrošināt efektīvu uzraudzību un noziedzīgi iegūtu līdzekļu legalizēšanas novēršanas regulējuma īstenošanu.</w:t>
            </w:r>
          </w:p>
        </w:tc>
        <w:tc>
          <w:tcPr>
            <w:tcW w:w="9327" w:type="dxa"/>
          </w:tcPr>
          <w:p w14:paraId="373A060E" w14:textId="01C7D876" w:rsidR="00F6538A" w:rsidRPr="00F6538A" w:rsidRDefault="00510953" w:rsidP="00F6538A">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6538A">
              <w:rPr>
                <w:noProof/>
                <w:color w:val="000000" w:themeColor="text1"/>
                <w:sz w:val="20"/>
              </w:rPr>
              <w:t>1)</w:t>
            </w:r>
            <w:r w:rsidR="00F6538A" w:rsidRPr="00F6538A">
              <w:rPr>
                <w:sz w:val="20"/>
              </w:rPr>
              <w:t xml:space="preserve"> </w:t>
            </w:r>
            <w:r w:rsidR="00F6538A" w:rsidRPr="00F6538A">
              <w:rPr>
                <w:color w:val="000000" w:themeColor="text1"/>
                <w:sz w:val="20"/>
              </w:rPr>
              <w:t>Saskaņā ar Latvijas pašas izmantotajiem izlaižu starpības aprēķiniem (0,83% no IKP) un vienreizējiem pasākumiem, kas ir -0,29% no IKP un ietver nodokļu reformas īslaicīgo neto ieņēmumu kritumu un, 2020.gada strukturālais deficīts ir 0,</w:t>
            </w:r>
            <w:r w:rsidR="00510946">
              <w:rPr>
                <w:color w:val="000000" w:themeColor="text1"/>
                <w:sz w:val="20"/>
              </w:rPr>
              <w:t>36</w:t>
            </w:r>
            <w:r w:rsidR="00F6538A" w:rsidRPr="00F6538A">
              <w:rPr>
                <w:color w:val="000000" w:themeColor="text1"/>
                <w:sz w:val="20"/>
              </w:rPr>
              <w:t>% no</w:t>
            </w:r>
            <w:r w:rsidR="00510946">
              <w:rPr>
                <w:color w:val="000000" w:themeColor="text1"/>
                <w:sz w:val="20"/>
              </w:rPr>
              <w:t xml:space="preserve"> </w:t>
            </w:r>
            <w:r w:rsidR="00F6538A" w:rsidRPr="00F6538A">
              <w:rPr>
                <w:color w:val="000000" w:themeColor="text1"/>
                <w:sz w:val="20"/>
              </w:rPr>
              <w:t>IKP (-0,34-0,83*0,38-(-0,29))= -0,36).</w:t>
            </w:r>
          </w:p>
          <w:p w14:paraId="48072066" w14:textId="77777777" w:rsidR="00F6538A" w:rsidRPr="00F6538A" w:rsidRDefault="00F6538A" w:rsidP="00F6538A">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6538A">
              <w:rPr>
                <w:color w:val="000000" w:themeColor="text1"/>
                <w:sz w:val="20"/>
              </w:rPr>
              <w:t>Saskaņā ar Fiskālās disciplīnas likumu 2020.gada budžetā ir plānota fiskālā nodrošinājuma rezerve 0,1% no IKP apmērā. 2020.gada budžets ir sagatavots ievērojot noteikto strukturālās bilances mērķi 2020.gadam, kas ir -0,46% no IKP.</w:t>
            </w:r>
          </w:p>
          <w:p w14:paraId="5472D6AD" w14:textId="77777777" w:rsidR="00F6538A" w:rsidRPr="00F6538A" w:rsidRDefault="00F6538A" w:rsidP="00F6538A">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6538A">
              <w:rPr>
                <w:color w:val="000000" w:themeColor="text1"/>
                <w:sz w:val="20"/>
              </w:rPr>
              <w:t>Sagatavotais 2020.gada budžeta projekts atbilst arī Stabilitātes un izaugsmes pakta bilances nosacījumam. Latvijas strukturālais deficīts 2020.gadā nedrīkst pārsniegt tās VTM, kas Latvijai ir -1% no IKP. Tātad strukturālais deficīts nedrīkst pārsniegt -1,0% no IKP. Kā redzams, tas ar lielu drošības rezervi tiek ievērots, ja izmanto Latvijas aprēķināto izlaižu starpību un Latvijas atzītos vienreizējos pasākumus. Atbilstība tiek ievērota arī vispiesardzīgākajā scenārijā, kur tiek izmantots EK izlaižu starpības vērtējums un EK pieeja attiecībā uz vienreizējiem pasākumiem.</w:t>
            </w:r>
          </w:p>
          <w:p w14:paraId="54A27AB8" w14:textId="77777777" w:rsidR="00F6538A" w:rsidRPr="00F6538A" w:rsidRDefault="00F6538A" w:rsidP="00F6538A">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F6538A">
              <w:rPr>
                <w:color w:val="000000" w:themeColor="text1"/>
                <w:sz w:val="20"/>
              </w:rPr>
              <w:t>Saskaņā ar EK izmantotajiem izlaižu starpības novērtējumiem (EK pavasara prognozes) un ņemot vērā, ka EK neatzīs nodokļu reformas īslaicīgo neto ieņēmumu kritumu par vienreizējo pasākumu, Latvija joprojām izpilda strukturālās bilances nosacījumu (-0.34-1,3*0,38= -0,83).</w:t>
            </w:r>
          </w:p>
          <w:p w14:paraId="028F7B38" w14:textId="46BC4EB9" w:rsidR="00D06D41" w:rsidRPr="000839ED" w:rsidRDefault="00510953" w:rsidP="000839E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0839ED">
              <w:rPr>
                <w:noProof/>
                <w:color w:val="000000" w:themeColor="text1"/>
                <w:sz w:val="20"/>
              </w:rPr>
              <w:t>2)</w:t>
            </w:r>
            <w:r w:rsidR="00D06D41" w:rsidRPr="000839ED">
              <w:rPr>
                <w:noProof/>
                <w:color w:val="000000" w:themeColor="text1"/>
              </w:rPr>
              <w:t xml:space="preserve"> </w:t>
            </w:r>
            <w:r w:rsidR="00D06D41" w:rsidRPr="000839ED">
              <w:rPr>
                <w:noProof/>
                <w:color w:val="000000" w:themeColor="text1"/>
                <w:sz w:val="20"/>
              </w:rPr>
              <w:t>Viena no Valdības prioritātēm jau vairākus gadus ir mazināt iedzīvotāju ienākumu nevienlīdzību, mērķtiecīgi veidojot stabilu nodokļu politiku. 2018.gadā īstenojot nodokļu reformu tika paaugstināts diferencētais neapliekamais minimumus, pensionāra neapliekamais minimums un atvieglojums par apgādībā esošām personām, paaugstināta minimālā alga un ieviestas progresīvas iedzīvotāju ienākuma likmes. Vērtējot reformas ietekmi uz iedzīvotāju ienākuma dinamiku, vērojamas pozitīvas izmaiņas nodarbinātības un darba samaksas struktūrā. Nodarbināto skaits pirmajā pusgadā pieaudzis par 1,4%, savukārt vidējā bruto alga pieaugusi par 7,7%. Algu grupu struktūrā pozitīvas izmaiņas zemāko (t.sk. minimālās) algu kategorijās – darba ņēmēju īpatsvars tajās samazinās, savukārt augstākajās - pieaug.</w:t>
            </w:r>
          </w:p>
          <w:p w14:paraId="5576B9A2" w14:textId="4082C6A5" w:rsidR="00D06D41" w:rsidRPr="000839ED" w:rsidRDefault="00D06D41" w:rsidP="000839E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0839ED">
              <w:rPr>
                <w:noProof/>
                <w:color w:val="000000" w:themeColor="text1"/>
                <w:sz w:val="20"/>
              </w:rPr>
              <w:t>Lai turpinātu mazināt ienākumu nevienlīdzību un sniegtu atbalstu iedzīvotājiem plašākā apmērā nekā bija plānots nodokļu reformas ietvaros, pieņemts lēmums diferencēto neapliekamo minimumu 2020.gadā paaugstināt straujāk. Līdz šim plānoto 3</w:t>
            </w:r>
            <w:r w:rsidR="000839ED" w:rsidRPr="000839ED">
              <w:rPr>
                <w:noProof/>
                <w:color w:val="000000" w:themeColor="text1"/>
                <w:sz w:val="20"/>
              </w:rPr>
              <w:t> </w:t>
            </w:r>
            <w:r w:rsidRPr="000839ED">
              <w:rPr>
                <w:noProof/>
                <w:color w:val="000000" w:themeColor="text1"/>
                <w:sz w:val="20"/>
              </w:rPr>
              <w:t xml:space="preserve">000 </w:t>
            </w:r>
            <w:r w:rsidR="000839ED" w:rsidRPr="000839ED">
              <w:rPr>
                <w:i/>
                <w:noProof/>
                <w:color w:val="000000" w:themeColor="text1"/>
                <w:sz w:val="20"/>
              </w:rPr>
              <w:t>euro</w:t>
            </w:r>
            <w:r w:rsidRPr="000839ED">
              <w:rPr>
                <w:noProof/>
                <w:color w:val="000000" w:themeColor="text1"/>
                <w:sz w:val="20"/>
              </w:rPr>
              <w:t xml:space="preserve"> gadā (250 </w:t>
            </w:r>
            <w:r w:rsidR="000839ED" w:rsidRPr="000839ED">
              <w:rPr>
                <w:i/>
                <w:noProof/>
                <w:color w:val="000000" w:themeColor="text1"/>
                <w:sz w:val="20"/>
              </w:rPr>
              <w:t>euro</w:t>
            </w:r>
            <w:r w:rsidR="000839ED" w:rsidRPr="000839ED">
              <w:rPr>
                <w:noProof/>
                <w:color w:val="000000" w:themeColor="text1"/>
                <w:sz w:val="20"/>
              </w:rPr>
              <w:t xml:space="preserve"> </w:t>
            </w:r>
            <w:r w:rsidRPr="000839ED">
              <w:rPr>
                <w:noProof/>
                <w:color w:val="000000" w:themeColor="text1"/>
                <w:sz w:val="20"/>
              </w:rPr>
              <w:t xml:space="preserve">mēnesī) vietā paaugstināt līdz 3 600 </w:t>
            </w:r>
            <w:r w:rsidR="000839ED" w:rsidRPr="000839ED">
              <w:rPr>
                <w:i/>
                <w:noProof/>
                <w:color w:val="000000" w:themeColor="text1"/>
                <w:sz w:val="20"/>
              </w:rPr>
              <w:t>euro</w:t>
            </w:r>
            <w:r w:rsidRPr="000839ED">
              <w:rPr>
                <w:noProof/>
                <w:color w:val="000000" w:themeColor="text1"/>
                <w:sz w:val="20"/>
              </w:rPr>
              <w:t xml:space="preserve"> gadā (300 </w:t>
            </w:r>
            <w:r w:rsidRPr="000839ED">
              <w:rPr>
                <w:i/>
                <w:noProof/>
                <w:color w:val="000000" w:themeColor="text1"/>
                <w:sz w:val="20"/>
              </w:rPr>
              <w:t>euro</w:t>
            </w:r>
            <w:r w:rsidRPr="000839ED">
              <w:rPr>
                <w:noProof/>
                <w:color w:val="000000" w:themeColor="text1"/>
                <w:sz w:val="20"/>
              </w:rPr>
              <w:t xml:space="preserve"> mēnesī). Kā arī šobrīd paredzēto 5 280 </w:t>
            </w:r>
            <w:r w:rsidR="000839ED" w:rsidRPr="000839ED">
              <w:rPr>
                <w:i/>
                <w:noProof/>
                <w:color w:val="000000" w:themeColor="text1"/>
                <w:sz w:val="20"/>
              </w:rPr>
              <w:t>euro</w:t>
            </w:r>
            <w:r w:rsidRPr="000839ED">
              <w:rPr>
                <w:noProof/>
                <w:color w:val="000000" w:themeColor="text1"/>
                <w:sz w:val="20"/>
              </w:rPr>
              <w:t xml:space="preserve"> gadā (440 </w:t>
            </w:r>
            <w:r w:rsidR="000839ED" w:rsidRPr="000839ED">
              <w:rPr>
                <w:i/>
                <w:noProof/>
                <w:color w:val="000000" w:themeColor="text1"/>
                <w:sz w:val="20"/>
              </w:rPr>
              <w:t>euro</w:t>
            </w:r>
            <w:r w:rsidRPr="000839ED">
              <w:rPr>
                <w:noProof/>
                <w:color w:val="000000" w:themeColor="text1"/>
                <w:sz w:val="20"/>
              </w:rPr>
              <w:t xml:space="preserve"> mēnesī) augstāko robežu līdz kurai piemēro maksimālo gada diferencēto neapliekamo minimumu, paaugstināt līdz 6 000 </w:t>
            </w:r>
            <w:r w:rsidR="000839ED" w:rsidRPr="000839ED">
              <w:rPr>
                <w:i/>
                <w:noProof/>
                <w:color w:val="000000" w:themeColor="text1"/>
                <w:sz w:val="20"/>
              </w:rPr>
              <w:t>euro</w:t>
            </w:r>
            <w:r w:rsidRPr="000839ED">
              <w:rPr>
                <w:noProof/>
                <w:color w:val="000000" w:themeColor="text1"/>
                <w:sz w:val="20"/>
              </w:rPr>
              <w:t xml:space="preserve"> gadā (500 </w:t>
            </w:r>
            <w:r w:rsidR="000839ED" w:rsidRPr="000839ED">
              <w:rPr>
                <w:i/>
                <w:noProof/>
                <w:color w:val="000000" w:themeColor="text1"/>
                <w:sz w:val="20"/>
              </w:rPr>
              <w:t>euro</w:t>
            </w:r>
            <w:r w:rsidRPr="000839ED">
              <w:rPr>
                <w:noProof/>
                <w:color w:val="000000" w:themeColor="text1"/>
                <w:sz w:val="20"/>
              </w:rPr>
              <w:t xml:space="preserve"> mēnesī). </w:t>
            </w:r>
          </w:p>
          <w:p w14:paraId="03927833" w14:textId="66804A81" w:rsidR="00510953" w:rsidRPr="000839ED" w:rsidRDefault="00510953" w:rsidP="000839E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0839ED">
              <w:rPr>
                <w:noProof/>
                <w:color w:val="000000" w:themeColor="text1"/>
                <w:sz w:val="20"/>
              </w:rPr>
              <w:t xml:space="preserve">3) </w:t>
            </w:r>
            <w:r w:rsidR="00510946" w:rsidRPr="000839ED">
              <w:rPr>
                <w:noProof/>
                <w:color w:val="000000" w:themeColor="text1"/>
                <w:sz w:val="20"/>
              </w:rPr>
              <w:t xml:space="preserve">Pēc tam, kad saistībā ar </w:t>
            </w:r>
            <w:r w:rsidR="00510946">
              <w:rPr>
                <w:noProof/>
                <w:color w:val="000000" w:themeColor="text1"/>
                <w:sz w:val="20"/>
              </w:rPr>
              <w:t>paziņojumiem</w:t>
            </w:r>
            <w:r w:rsidR="00510946" w:rsidRPr="000839ED">
              <w:rPr>
                <w:noProof/>
                <w:color w:val="000000" w:themeColor="text1"/>
                <w:sz w:val="20"/>
              </w:rPr>
              <w:t xml:space="preserve"> par noziedzīgi iegūtu līdzekļu legalizāciju tika slēgta trešā lielākā banka, Latvija pastiprināja regulējumu attiecībā uz klientiem nerezidentiem. Tā rezultātā kopš 2018.gada maija ir ievērojami samazinājušies nerezidentu noguldījumi, kas Latvijā ir galvenais noziedzīgi iegūtu līdzekļu legalizācijas riska avots. Turklāt, lai uzlabotu noziedzīgi iegūtu līdzekļu legalizācijas un terorisma finansēšanas novēršanas stratēģiju, Latvija ir izstrādājusi detalizētu pasākumu plānu. Pasākumu plāna galvenās prioritātes cita </w:t>
            </w:r>
            <w:r w:rsidR="00510946" w:rsidRPr="000839ED">
              <w:rPr>
                <w:noProof/>
                <w:color w:val="000000" w:themeColor="text1"/>
                <w:sz w:val="20"/>
              </w:rPr>
              <w:lastRenderedPageBreak/>
              <w:t xml:space="preserve">starpā ir: uz risku balstītas uzraudzības pastiprināšana, nepieciešamo cilvēkresursu nodrošināšana uzraudzības iestādēm un efektīvas informācijas apmaiņas un sadarbības nodrošināšana starp izmeklēšanas iestādēm un ar privāto sektoru. </w:t>
            </w:r>
            <w:r w:rsidR="00510946">
              <w:rPr>
                <w:noProof/>
                <w:color w:val="000000" w:themeColor="text1"/>
                <w:sz w:val="20"/>
              </w:rPr>
              <w:t xml:space="preserve">Tāpat, tiek palielinātas </w:t>
            </w:r>
            <w:r w:rsidR="00510946" w:rsidRPr="000839ED">
              <w:rPr>
                <w:noProof/>
                <w:color w:val="000000" w:themeColor="text1"/>
                <w:sz w:val="20"/>
              </w:rPr>
              <w:t>tiesībaizsardzības un tiesu iestāžu spējas.</w:t>
            </w:r>
          </w:p>
          <w:p w14:paraId="2519EAE9" w14:textId="51CE04CE" w:rsidR="00510953" w:rsidRPr="000839ED" w:rsidRDefault="00510953" w:rsidP="000839E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0839ED">
              <w:rPr>
                <w:noProof/>
                <w:color w:val="000000" w:themeColor="text1"/>
                <w:sz w:val="20"/>
              </w:rPr>
              <w:t>Tieslietu ministrija ir radusi finansējumu n</w:t>
            </w:r>
            <w:r w:rsidR="000839ED" w:rsidRPr="000839ED">
              <w:rPr>
                <w:noProof/>
                <w:color w:val="000000" w:themeColor="text1"/>
                <w:sz w:val="20"/>
              </w:rPr>
              <w:t>o iekšējiem resursiem, un 2020.</w:t>
            </w:r>
            <w:r w:rsidRPr="000839ED">
              <w:rPr>
                <w:noProof/>
                <w:color w:val="000000" w:themeColor="text1"/>
                <w:sz w:val="20"/>
              </w:rPr>
              <w:t>gadā tiks novirzīti līdzekļi:</w:t>
            </w:r>
          </w:p>
          <w:p w14:paraId="6E55B0D4" w14:textId="6A929D21" w:rsidR="00510953" w:rsidRPr="000839ED" w:rsidRDefault="00510953" w:rsidP="000839ED">
            <w:pPr>
              <w:pStyle w:val="ListParagraph"/>
              <w:numPr>
                <w:ilvl w:val="0"/>
                <w:numId w:val="34"/>
              </w:numPr>
              <w:spacing w:after="0" w:line="240" w:lineRule="auto"/>
              <w:ind w:left="296" w:hanging="217"/>
              <w:jc w:val="both"/>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sz w:val="20"/>
              </w:rPr>
            </w:pPr>
            <w:r w:rsidRPr="000839ED">
              <w:rPr>
                <w:rFonts w:ascii="Times New Roman" w:hAnsi="Times New Roman"/>
                <w:noProof/>
                <w:color w:val="000000" w:themeColor="text1"/>
                <w:sz w:val="20"/>
              </w:rPr>
              <w:t xml:space="preserve">136,2 tūkst. </w:t>
            </w:r>
            <w:r w:rsidR="000839ED" w:rsidRPr="000839ED">
              <w:rPr>
                <w:rFonts w:ascii="Times New Roman" w:hAnsi="Times New Roman"/>
                <w:i/>
                <w:noProof/>
                <w:color w:val="000000" w:themeColor="text1"/>
                <w:sz w:val="20"/>
              </w:rPr>
              <w:t>euro</w:t>
            </w:r>
            <w:r w:rsidRPr="000839ED">
              <w:rPr>
                <w:rFonts w:ascii="Times New Roman" w:hAnsi="Times New Roman"/>
                <w:noProof/>
                <w:color w:val="000000" w:themeColor="text1"/>
                <w:sz w:val="20"/>
              </w:rPr>
              <w:t xml:space="preserve"> apmērā ekonomisko lietu tiesas izveidei, lai nodrošinātu ātru un efektīvu komercstrīdu un ekonomisko noziegumu lietu iztiesāšanu;</w:t>
            </w:r>
          </w:p>
          <w:p w14:paraId="686D9A17" w14:textId="6CF1619E" w:rsidR="00510953" w:rsidRPr="000839ED" w:rsidRDefault="00510953" w:rsidP="000839ED">
            <w:pPr>
              <w:pStyle w:val="ListParagraph"/>
              <w:numPr>
                <w:ilvl w:val="0"/>
                <w:numId w:val="34"/>
              </w:numPr>
              <w:spacing w:after="0" w:line="240" w:lineRule="auto"/>
              <w:ind w:left="296" w:hanging="217"/>
              <w:jc w:val="both"/>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sz w:val="20"/>
              </w:rPr>
            </w:pPr>
            <w:r w:rsidRPr="000839ED">
              <w:rPr>
                <w:rFonts w:ascii="Times New Roman" w:hAnsi="Times New Roman"/>
                <w:noProof/>
                <w:color w:val="000000" w:themeColor="text1"/>
                <w:sz w:val="20"/>
              </w:rPr>
              <w:t xml:space="preserve">2,45 milj. </w:t>
            </w:r>
            <w:r w:rsidR="000839ED" w:rsidRPr="000839ED">
              <w:rPr>
                <w:rFonts w:ascii="Times New Roman" w:hAnsi="Times New Roman"/>
                <w:i/>
                <w:noProof/>
                <w:color w:val="000000" w:themeColor="text1"/>
                <w:sz w:val="20"/>
              </w:rPr>
              <w:t>euro</w:t>
            </w:r>
            <w:r w:rsidRPr="000839ED">
              <w:rPr>
                <w:rFonts w:ascii="Times New Roman" w:hAnsi="Times New Roman"/>
                <w:noProof/>
                <w:color w:val="000000" w:themeColor="text1"/>
                <w:sz w:val="20"/>
              </w:rPr>
              <w:t xml:space="preserve"> apmērā tiesu sistēmas darbinieku mēnešalgu palielināšanai vidēji par 10%, lai sasniegtu tiesu darbinieku algu reforma</w:t>
            </w:r>
            <w:r w:rsidR="000839ED" w:rsidRPr="000839ED">
              <w:rPr>
                <w:rFonts w:ascii="Times New Roman" w:hAnsi="Times New Roman"/>
                <w:noProof/>
                <w:color w:val="000000" w:themeColor="text1"/>
                <w:sz w:val="20"/>
              </w:rPr>
              <w:t>s ietvaros iepriekš plānotos 85</w:t>
            </w:r>
            <w:r w:rsidRPr="000839ED">
              <w:rPr>
                <w:rFonts w:ascii="Times New Roman" w:hAnsi="Times New Roman"/>
                <w:noProof/>
                <w:color w:val="000000" w:themeColor="text1"/>
                <w:sz w:val="20"/>
              </w:rPr>
              <w:t>% no mēnešalgu grupas (ko saņem par līdzīgu darba uzdevumu un pamatpienākumu veikšanu), lai nodrošinātu veiktajam darbam atbilstošu atlīdzību un celtu atalgojuma konkurētspēju;</w:t>
            </w:r>
          </w:p>
          <w:p w14:paraId="4FBD65E8" w14:textId="08B926DA" w:rsidR="00510953" w:rsidRPr="000839ED" w:rsidRDefault="00510953" w:rsidP="000839ED">
            <w:pPr>
              <w:pStyle w:val="ListParagraph"/>
              <w:numPr>
                <w:ilvl w:val="0"/>
                <w:numId w:val="34"/>
              </w:numPr>
              <w:spacing w:after="0" w:line="240" w:lineRule="auto"/>
              <w:ind w:left="296" w:hanging="217"/>
              <w:jc w:val="both"/>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themeColor="text1"/>
                <w:sz w:val="20"/>
              </w:rPr>
            </w:pPr>
            <w:r w:rsidRPr="000839ED">
              <w:rPr>
                <w:rFonts w:ascii="Times New Roman" w:hAnsi="Times New Roman"/>
                <w:noProof/>
                <w:color w:val="000000" w:themeColor="text1"/>
                <w:sz w:val="20"/>
              </w:rPr>
              <w:t xml:space="preserve">70,3 tūkst. </w:t>
            </w:r>
            <w:r w:rsidR="000839ED" w:rsidRPr="000839ED">
              <w:rPr>
                <w:rFonts w:ascii="Times New Roman" w:hAnsi="Times New Roman"/>
                <w:i/>
                <w:noProof/>
                <w:color w:val="000000" w:themeColor="text1"/>
                <w:sz w:val="20"/>
              </w:rPr>
              <w:t>euro</w:t>
            </w:r>
            <w:r w:rsidRPr="000839ED">
              <w:rPr>
                <w:rFonts w:ascii="Times New Roman" w:hAnsi="Times New Roman"/>
                <w:noProof/>
                <w:color w:val="000000" w:themeColor="text1"/>
                <w:sz w:val="20"/>
              </w:rPr>
              <w:t xml:space="preserve"> tiks novirzīti tiesu infrastruktūras attīstībai, bet no papildus līdzekļiem šim mērķim tiks piešķirti 280,8 tūkst. </w:t>
            </w:r>
            <w:r w:rsidR="000839ED" w:rsidRPr="000839ED">
              <w:rPr>
                <w:rFonts w:ascii="Times New Roman" w:hAnsi="Times New Roman"/>
                <w:i/>
                <w:noProof/>
                <w:color w:val="000000" w:themeColor="text1"/>
                <w:sz w:val="20"/>
              </w:rPr>
              <w:t>euro</w:t>
            </w:r>
            <w:r w:rsidRPr="000839ED">
              <w:rPr>
                <w:rFonts w:ascii="Times New Roman" w:hAnsi="Times New Roman"/>
                <w:noProof/>
                <w:color w:val="000000" w:themeColor="text1"/>
                <w:sz w:val="20"/>
              </w:rPr>
              <w:t>, lai nodrošinātu tiesu telpu attīstīšanu sabiedrības vajadzībām un tiesas darba efektivitātei.</w:t>
            </w:r>
          </w:p>
          <w:p w14:paraId="2FFB514B" w14:textId="77777777" w:rsidR="00510953" w:rsidRPr="000839ED" w:rsidRDefault="00510953" w:rsidP="000839E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0839ED">
              <w:rPr>
                <w:noProof/>
                <w:color w:val="000000" w:themeColor="text1"/>
                <w:sz w:val="20"/>
              </w:rPr>
              <w:t>3.4.1. SAM “Paaugstināt tiesu un tiesībsargājošo institūciju personāla kompetenci komercdarbības vides uzlabošanas sekmēšanai” ietvaros tiks turpināts ESF projekts “Justīcija attīstībai”, apmācot tiesu, tiesībsargājošo institūciju un tiesu sistēmai piederīgās personas.</w:t>
            </w:r>
          </w:p>
          <w:p w14:paraId="576A862F" w14:textId="21B6FE2A" w:rsidR="00510953" w:rsidRPr="000839ED" w:rsidRDefault="00510953" w:rsidP="000839ED">
            <w:pPr>
              <w:spacing w:after="0"/>
              <w:cnfStyle w:val="000000100000" w:firstRow="0" w:lastRow="0" w:firstColumn="0" w:lastColumn="0" w:oddVBand="0" w:evenVBand="0" w:oddHBand="1" w:evenHBand="0" w:firstRowFirstColumn="0" w:firstRowLastColumn="0" w:lastRowFirstColumn="0" w:lastRowLastColumn="0"/>
              <w:rPr>
                <w:noProof/>
                <w:color w:val="000000" w:themeColor="text1"/>
                <w:sz w:val="20"/>
              </w:rPr>
            </w:pPr>
            <w:r w:rsidRPr="000839ED">
              <w:rPr>
                <w:noProof/>
                <w:color w:val="000000" w:themeColor="text1"/>
                <w:sz w:val="20"/>
              </w:rPr>
              <w:t>Tiks turpināta dalība starptautisko organizāciju Latvijas novērtējumos (OECD Kukuļošanas apkarošanas starptautiskajos biznesa darījumos darba grupas Latvijas 3.fāzes novērtējumā un MONEYVAL/FATF Latvijas novērtējumā), un tiks nodrošināta šo novērtējumu ietvaros izteikto rekomen</w:t>
            </w:r>
            <w:r w:rsidR="000839ED">
              <w:rPr>
                <w:noProof/>
                <w:color w:val="000000" w:themeColor="text1"/>
                <w:sz w:val="20"/>
              </w:rPr>
              <w:t xml:space="preserve">dāciju savlaicīga izpilde, lai </w:t>
            </w:r>
            <w:r w:rsidRPr="000839ED">
              <w:rPr>
                <w:noProof/>
                <w:color w:val="000000" w:themeColor="text1"/>
                <w:sz w:val="20"/>
              </w:rPr>
              <w:t>veicinātu noziedzīgi iegūtu līdzekļu legalizācijas un terorisma un proliferācijas finansēšanas novēršanu.</w:t>
            </w:r>
          </w:p>
        </w:tc>
      </w:tr>
      <w:tr w:rsidR="00510953" w:rsidRPr="00BD2436" w14:paraId="424CE78C" w14:textId="77777777" w:rsidTr="00C2332A">
        <w:tc>
          <w:tcPr>
            <w:cnfStyle w:val="001000000000" w:firstRow="0" w:lastRow="0" w:firstColumn="1" w:lastColumn="0" w:oddVBand="0" w:evenVBand="0" w:oddHBand="0" w:evenHBand="0" w:firstRowFirstColumn="0" w:firstRowLastColumn="0" w:lastRowFirstColumn="0" w:lastRowLastColumn="0"/>
            <w:tcW w:w="704" w:type="dxa"/>
            <w:vAlign w:val="center"/>
          </w:tcPr>
          <w:p w14:paraId="26181516" w14:textId="6519E7BC" w:rsidR="00510953" w:rsidRPr="00BD2436" w:rsidRDefault="00C2332A" w:rsidP="00BD2436">
            <w:pPr>
              <w:jc w:val="center"/>
              <w:rPr>
                <w:color w:val="auto"/>
                <w:sz w:val="20"/>
              </w:rPr>
            </w:pPr>
            <w:r>
              <w:rPr>
                <w:color w:val="auto"/>
                <w:sz w:val="20"/>
              </w:rPr>
              <w:lastRenderedPageBreak/>
              <w:t>2</w:t>
            </w:r>
            <w:r w:rsidR="00510953" w:rsidRPr="00BD2436">
              <w:rPr>
                <w:color w:val="auto"/>
                <w:sz w:val="20"/>
              </w:rPr>
              <w:t>2</w:t>
            </w:r>
          </w:p>
        </w:tc>
        <w:tc>
          <w:tcPr>
            <w:tcW w:w="4961" w:type="dxa"/>
            <w:shd w:val="clear" w:color="auto" w:fill="auto"/>
          </w:tcPr>
          <w:p w14:paraId="04EDC5B6" w14:textId="77777777" w:rsidR="00510953" w:rsidRPr="00BD2436" w:rsidRDefault="00510953" w:rsidP="00510953">
            <w:pPr>
              <w:pStyle w:val="ListParagraph"/>
              <w:numPr>
                <w:ilvl w:val="0"/>
                <w:numId w:val="32"/>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sz w:val="20"/>
              </w:rPr>
            </w:pPr>
            <w:r w:rsidRPr="00BD2436">
              <w:rPr>
                <w:rFonts w:ascii="Times New Roman" w:hAnsi="Times New Roman"/>
                <w:noProof/>
                <w:color w:val="000000" w:themeColor="text1"/>
                <w:sz w:val="20"/>
              </w:rPr>
              <w:t xml:space="preserve">Novērst sociālo atstumtību, jo īpaši uzlabojot minimālo ienākumu pabalstu, minimālo vecuma pensiju un cilvēkiem ar invaliditāti paredzētā ienākumu atbalsta adekvātumu. </w:t>
            </w:r>
          </w:p>
          <w:p w14:paraId="1FE57FEC" w14:textId="77777777" w:rsidR="00510953" w:rsidRDefault="00510953" w:rsidP="00510953">
            <w:pPr>
              <w:pStyle w:val="ListParagraph"/>
              <w:numPr>
                <w:ilvl w:val="0"/>
                <w:numId w:val="32"/>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BD2436">
              <w:rPr>
                <w:rFonts w:ascii="Times New Roman" w:hAnsi="Times New Roman"/>
                <w:noProof/>
                <w:color w:val="000000" w:themeColor="text1"/>
                <w:sz w:val="20"/>
              </w:rPr>
              <w:t>Uzlabot izglītības un apmācības kvalitāti un efektivitāti jo īpaši attiecībā uz mazkvalificētiem darba ņēmējiem un darba meklētājiem, tostarp palielinot līdzdalību profesionālajā izglītībā, apmācībā un pieaugušo izglītībā.</w:t>
            </w:r>
          </w:p>
          <w:p w14:paraId="30C68CFE" w14:textId="2D38E166" w:rsidR="00F87BAE" w:rsidRPr="00BD2436" w:rsidRDefault="00F87BAE" w:rsidP="00510953">
            <w:pPr>
              <w:pStyle w:val="ListParagraph"/>
              <w:numPr>
                <w:ilvl w:val="0"/>
                <w:numId w:val="32"/>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F87BAE">
              <w:rPr>
                <w:rFonts w:ascii="Times New Roman" w:hAnsi="Times New Roman"/>
                <w:noProof/>
                <w:color w:val="000000" w:themeColor="text1"/>
                <w:sz w:val="20"/>
              </w:rPr>
              <w:t>Uzlabot veselības aprūpes sistēmas pieejamību, kvalitāti un izmaksu lietderību.</w:t>
            </w:r>
          </w:p>
        </w:tc>
        <w:tc>
          <w:tcPr>
            <w:tcW w:w="9327" w:type="dxa"/>
          </w:tcPr>
          <w:p w14:paraId="4C1BB6C0" w14:textId="32FCD86F" w:rsidR="00510953" w:rsidRPr="0035710E" w:rsidRDefault="00510953" w:rsidP="00BD2436">
            <w:pPr>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35710E">
              <w:rPr>
                <w:noProof/>
                <w:color w:val="000000" w:themeColor="text1"/>
                <w:sz w:val="20"/>
              </w:rPr>
              <w:t>1)</w:t>
            </w:r>
            <w:r w:rsidR="00F87BAE">
              <w:rPr>
                <w:noProof/>
                <w:color w:val="000000" w:themeColor="text1"/>
                <w:sz w:val="20"/>
              </w:rPr>
              <w:t xml:space="preserve"> </w:t>
            </w:r>
            <w:r w:rsidRPr="0035710E">
              <w:rPr>
                <w:noProof/>
                <w:color w:val="000000" w:themeColor="text1"/>
                <w:sz w:val="20"/>
              </w:rPr>
              <w:t>2019.gada 13.augusta M</w:t>
            </w:r>
            <w:r w:rsidR="005070C6">
              <w:rPr>
                <w:noProof/>
                <w:color w:val="000000" w:themeColor="text1"/>
                <w:sz w:val="20"/>
              </w:rPr>
              <w:t>K sēdē</w:t>
            </w:r>
            <w:r w:rsidRPr="0035710E">
              <w:rPr>
                <w:noProof/>
                <w:color w:val="000000" w:themeColor="text1"/>
                <w:sz w:val="20"/>
              </w:rPr>
              <w:t xml:space="preserve"> konceptuāli atbalstīts un  apstiprināts “Plāns minimālo ienākumu atbalsta sistēmas pilnveidošanai 2020.-2021.gadam” (MK </w:t>
            </w:r>
            <w:r w:rsidR="006114E9" w:rsidRPr="0035710E">
              <w:rPr>
                <w:noProof/>
                <w:color w:val="000000" w:themeColor="text1"/>
                <w:sz w:val="20"/>
              </w:rPr>
              <w:t xml:space="preserve">22.08.2019. rīkojums Nr. 408). </w:t>
            </w:r>
            <w:r w:rsidRPr="0035710E">
              <w:rPr>
                <w:noProof/>
                <w:color w:val="000000" w:themeColor="text1"/>
                <w:sz w:val="20"/>
              </w:rPr>
              <w:t xml:space="preserve">Budžeta likumprojekta izstrādes laikā pieņemts lēmums Plāna īstenošanai novirzīt 10 milj. </w:t>
            </w:r>
            <w:r w:rsidR="006114E9" w:rsidRPr="0035710E">
              <w:rPr>
                <w:i/>
                <w:noProof/>
                <w:color w:val="000000" w:themeColor="text1"/>
                <w:sz w:val="20"/>
              </w:rPr>
              <w:t>euro</w:t>
            </w:r>
            <w:r w:rsidRPr="0035710E">
              <w:rPr>
                <w:noProof/>
                <w:color w:val="000000" w:themeColor="text1"/>
                <w:sz w:val="20"/>
              </w:rPr>
              <w:t xml:space="preserve"> (plānā paredzētais finansējums </w:t>
            </w:r>
            <w:r w:rsidR="00614666" w:rsidRPr="0035710E">
              <w:rPr>
                <w:noProof/>
                <w:color w:val="000000" w:themeColor="text1"/>
                <w:sz w:val="20"/>
              </w:rPr>
              <w:t>–</w:t>
            </w:r>
            <w:r w:rsidRPr="0035710E">
              <w:rPr>
                <w:noProof/>
                <w:color w:val="000000" w:themeColor="text1"/>
                <w:sz w:val="20"/>
              </w:rPr>
              <w:t xml:space="preserve"> 29,5 milj. </w:t>
            </w:r>
            <w:r w:rsidR="006114E9" w:rsidRPr="0035710E">
              <w:rPr>
                <w:i/>
                <w:noProof/>
                <w:color w:val="000000" w:themeColor="text1"/>
                <w:sz w:val="20"/>
              </w:rPr>
              <w:t>euro</w:t>
            </w:r>
            <w:r w:rsidRPr="0035710E">
              <w:rPr>
                <w:noProof/>
                <w:color w:val="000000" w:themeColor="text1"/>
                <w:sz w:val="20"/>
              </w:rPr>
              <w:t>). Ierobežotā finansējuma dēļ Plānā noteiktos pasākumus nevar īstenot pilnā apmērā un sniegt atbalstu visām Plānā noteiktajām mērķa grupām. Sā</w:t>
            </w:r>
            <w:r w:rsidR="004630E1" w:rsidRPr="0035710E">
              <w:rPr>
                <w:noProof/>
                <w:color w:val="000000" w:themeColor="text1"/>
                <w:sz w:val="20"/>
              </w:rPr>
              <w:t>kot ar 2020.gadu ir paredzēts:</w:t>
            </w:r>
          </w:p>
          <w:p w14:paraId="5E3ED2B8" w14:textId="38E46882" w:rsidR="00510953" w:rsidRPr="0035710E" w:rsidRDefault="00510953" w:rsidP="00510953">
            <w:pPr>
              <w:pStyle w:val="ListParagraph"/>
              <w:numPr>
                <w:ilvl w:val="0"/>
                <w:numId w:val="33"/>
              </w:numPr>
              <w:spacing w:after="0" w:line="240" w:lineRule="auto"/>
              <w:ind w:left="438"/>
              <w:jc w:val="both"/>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sz w:val="20"/>
              </w:rPr>
            </w:pPr>
            <w:r w:rsidRPr="0035710E">
              <w:rPr>
                <w:rFonts w:ascii="Times New Roman" w:hAnsi="Times New Roman"/>
                <w:noProof/>
                <w:color w:val="000000" w:themeColor="text1"/>
                <w:sz w:val="20"/>
              </w:rPr>
              <w:t xml:space="preserve">noteikt vecuma pensijas minimālo aprēķina bāzi 80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xml:space="preserve"> (invalīdiem no bērnības – 122,69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xml:space="preserve">); </w:t>
            </w:r>
          </w:p>
          <w:p w14:paraId="2B26B70F" w14:textId="0558D73C" w:rsidR="00510953" w:rsidRPr="0035710E" w:rsidRDefault="00510953" w:rsidP="00510953">
            <w:pPr>
              <w:pStyle w:val="ListParagraph"/>
              <w:numPr>
                <w:ilvl w:val="0"/>
                <w:numId w:val="33"/>
              </w:numPr>
              <w:spacing w:after="0" w:line="240" w:lineRule="auto"/>
              <w:ind w:left="438"/>
              <w:jc w:val="both"/>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sz w:val="20"/>
              </w:rPr>
            </w:pPr>
            <w:r w:rsidRPr="0035710E">
              <w:rPr>
                <w:rFonts w:ascii="Times New Roman" w:hAnsi="Times New Roman"/>
                <w:noProof/>
                <w:color w:val="000000" w:themeColor="text1"/>
                <w:sz w:val="20"/>
              </w:rPr>
              <w:t xml:space="preserve">valsts sociālā nodrošinājuma pabalsta apmēru personām ar invaliditāti no 64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xml:space="preserve"> līdz 80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xml:space="preserve"> (invalīdiem no bērnības – 122,69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xml:space="preserve">) palielināšana; </w:t>
            </w:r>
          </w:p>
          <w:p w14:paraId="0749889A" w14:textId="07734608" w:rsidR="00510953" w:rsidRPr="0035710E" w:rsidRDefault="00510953" w:rsidP="00510953">
            <w:pPr>
              <w:pStyle w:val="ListParagraph"/>
              <w:numPr>
                <w:ilvl w:val="0"/>
                <w:numId w:val="33"/>
              </w:numPr>
              <w:spacing w:after="0" w:line="240" w:lineRule="auto"/>
              <w:ind w:left="438"/>
              <w:jc w:val="both"/>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sz w:val="20"/>
              </w:rPr>
            </w:pPr>
            <w:r w:rsidRPr="0035710E">
              <w:rPr>
                <w:rFonts w:ascii="Times New Roman" w:hAnsi="Times New Roman"/>
                <w:noProof/>
                <w:color w:val="000000" w:themeColor="text1"/>
                <w:sz w:val="20"/>
              </w:rPr>
              <w:t xml:space="preserve">invaliditātes pensijām minimālo apmēru, piemērojot valsts sociālā nodrošinājuma pabalstu 80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xml:space="preserve"> (invalīdiem no bērnības – 122,69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xml:space="preserve">) palielināšana; </w:t>
            </w:r>
          </w:p>
          <w:p w14:paraId="2B0A40BB" w14:textId="4BF2A991" w:rsidR="00510953" w:rsidRPr="0035710E" w:rsidRDefault="00510953" w:rsidP="00510953">
            <w:pPr>
              <w:pStyle w:val="ListParagraph"/>
              <w:numPr>
                <w:ilvl w:val="0"/>
                <w:numId w:val="33"/>
              </w:numPr>
              <w:spacing w:after="0" w:line="240" w:lineRule="auto"/>
              <w:ind w:left="438"/>
              <w:jc w:val="both"/>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themeColor="text1"/>
                <w:sz w:val="20"/>
              </w:rPr>
            </w:pPr>
            <w:r w:rsidRPr="0035710E">
              <w:rPr>
                <w:rFonts w:ascii="Times New Roman" w:hAnsi="Times New Roman"/>
                <w:noProof/>
                <w:color w:val="000000" w:themeColor="text1"/>
                <w:sz w:val="20"/>
              </w:rPr>
              <w:t xml:space="preserve">atlīdzības par darbspēju zaudējumu un kaitējuma atlīdzības minimālo apmēru, piemērojot valsts sociālā nodrošinājuma pabalstu 80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xml:space="preserve"> (invalīdiem no bērnības – 122,69 </w:t>
            </w:r>
            <w:r w:rsidR="006114E9" w:rsidRPr="0035710E">
              <w:rPr>
                <w:rFonts w:ascii="Times New Roman" w:hAnsi="Times New Roman"/>
                <w:i/>
                <w:noProof/>
                <w:color w:val="000000" w:themeColor="text1"/>
                <w:sz w:val="20"/>
              </w:rPr>
              <w:t>euro</w:t>
            </w:r>
            <w:r w:rsidRPr="0035710E">
              <w:rPr>
                <w:rFonts w:ascii="Times New Roman" w:hAnsi="Times New Roman"/>
                <w:noProof/>
                <w:color w:val="000000" w:themeColor="text1"/>
                <w:sz w:val="20"/>
              </w:rPr>
              <w:t>) palielināšana.</w:t>
            </w:r>
          </w:p>
          <w:p w14:paraId="46249F4B" w14:textId="72CA7E45" w:rsidR="00510953" w:rsidRDefault="00510953" w:rsidP="00BD2436">
            <w:pPr>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35710E">
              <w:rPr>
                <w:noProof/>
                <w:color w:val="000000" w:themeColor="text1"/>
                <w:sz w:val="20"/>
              </w:rPr>
              <w:t>2)</w:t>
            </w:r>
            <w:r w:rsidR="00F87BAE">
              <w:rPr>
                <w:noProof/>
                <w:color w:val="000000" w:themeColor="text1"/>
                <w:sz w:val="20"/>
              </w:rPr>
              <w:t xml:space="preserve"> </w:t>
            </w:r>
            <w:r w:rsidRPr="0035710E">
              <w:rPr>
                <w:noProof/>
                <w:color w:val="000000" w:themeColor="text1"/>
                <w:sz w:val="20"/>
              </w:rPr>
              <w:t>Skat. Latvijas NRP.</w:t>
            </w:r>
          </w:p>
          <w:p w14:paraId="195F7093" w14:textId="267D8F42"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Pr>
                <w:noProof/>
                <w:color w:val="000000" w:themeColor="text1"/>
                <w:sz w:val="20"/>
              </w:rPr>
              <w:t>3)</w:t>
            </w:r>
            <w:r w:rsidRPr="00BD2436">
              <w:rPr>
                <w:color w:val="auto"/>
                <w:sz w:val="20"/>
              </w:rPr>
              <w:t xml:space="preserve"> Lai realizētu Sabiedrības veselības pamatnostādnēs izvirzītos virsmērķus, veidojot kvalitatīvu, drošu un ilgtspējīgu veselības aprūpes pakalpojumu sistēmu (t.sk. pacienta līdzmaksājumu samazināšana, rindu saīsināšana uz plānveida pakalpojumiem, darba samaksas paaugstināšana veselības aprūpes nozares darbiniekiem, zāļu pieejamība pacientiem), nodrošinot pakalpojumu vienlīdzīgu pieejamību visiem Latvijas iedzīvotājiem, veicinot pacientu tiešo maksājumu īpatsvara samazināšanos, uzlabojot veselības aprūpes </w:t>
            </w:r>
            <w:r w:rsidRPr="00BD2436">
              <w:rPr>
                <w:color w:val="auto"/>
                <w:sz w:val="20"/>
              </w:rPr>
              <w:lastRenderedPageBreak/>
              <w:t xml:space="preserve">pakalpojumu pieejamību un mazinot gaidīšanas laikus, tai skaitā uzlabojot veselības aprūpes pakalpojumu pieejamību un kvalitāti visos veselības aprūpes līmeņos, tiek īstenoti 2017.gadā uzsāktie un 2018.gadā un 2019.gadā turpinātie veselības reformas pasākumi. </w:t>
            </w:r>
          </w:p>
          <w:p w14:paraId="7D6E657B"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2019.gada I pusgada dati liecina, ka sekundāro ambulatoro veselības aprūpes pakalpojumu faktiskais rindu garuma samazinājums, kas ir izveidojies papildus piešķirtā tiešā finansējuma ietekmē uz veselības aprūpes pakalpojumu pieprasījumu, notiek lēnāk, jo novērojama pacientu uzvedības maiņa: rindā ienāk tie Latvijas iedzīvotāji, kuri rindu, attāluma vai finanšu dēļ līdz šim nav saņēmuši veselības aprūpes pakalpojumus, kā arī notiek daļas pacientu pārvirzīšanās no maksas pakalpojumiem uz valsts apmaksātu veselības aprūpes pakalpojumu sektoru. Šīs divas iedzīvotāju grupas papildus finansējuma tiešai ietekmei palielina pieprasījumu pēc valsts apmaksātas veselības aprūpes, vienlaikus samazinot to pacientu skaitu, kuri līdz šim nav varējuši saņemt veselības aprūpes pakalpojumus.</w:t>
            </w:r>
          </w:p>
          <w:p w14:paraId="0F3814BA"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Uz 2019.gada 1.jūliju pacientu gaidīšanas rindas uz speciālistu konsultācijām ir samazinājušās vidēji līdz 92,27 dienām salīdzinājumā ar situāciju pirms reformu uzsākšanas, kad vidējais gaidīšanas laiks bija līdz 100,48 dienām. 2019.gada I pusgadā rindu samazinājums nodrošināts par 8,17% no sākotnējā rindu apjoma, savukārt rindu samazinājums bez pacientu uzvedības maiņas nodrošināts 14,53% apmērā.</w:t>
            </w:r>
          </w:p>
          <w:p w14:paraId="757FCC8E"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Uz 2019.gada 1.jūliju pacientu gaidīšanas rindas uz dienas stacionārā sniegtajiem pakalpojumiem ir samazinājušās vidēji līdz 207,22 dienām salīdzinājumā ar situāciju pirms reformu uzsākšanas, kad vidējais gaidīšanas laiks bija līdz 407 dienām. 2018.gadā rindu samazinājums nodrošināts par 49,09% no sākotnējā rindu apjoma, savukārt rindu samazinājums bez pacientu uzvedības maiņas nodrošināts 52,61% apmērā.</w:t>
            </w:r>
          </w:p>
          <w:p w14:paraId="42D74B23" w14:textId="77777777" w:rsidR="00F87BAE" w:rsidRPr="00AF4673"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xml:space="preserve">Uz 2019.gada 1.jūliju pacientu gaidīšanas rindas uz ambulatorās rehabilitācijas pakalpojumiem ir samazinājušās vidēji līdz 113,25 dienām salīdzinājumā ar situāciju pirms reformu </w:t>
            </w:r>
            <w:r w:rsidRPr="00AF4673">
              <w:rPr>
                <w:color w:val="auto"/>
                <w:sz w:val="20"/>
              </w:rPr>
              <w:t xml:space="preserve">uzsākšanas, kad vidējais gaidīšanas laiks bija līdz 500,2 dienām. </w:t>
            </w:r>
            <w:r w:rsidRPr="00AF4673">
              <w:rPr>
                <w:color w:val="auto"/>
                <w:sz w:val="20"/>
                <w:lang w:bidi="lo-LA"/>
              </w:rPr>
              <w:t>2019.gada I pusgadā rindu samazinājums nodrošināts par 77,36% no sākotnējā rindu apjoma, savukārt rindu samazinājums bez pacientu uzvedības maiņas nodrošināts 78,93% apmērā</w:t>
            </w:r>
            <w:r w:rsidRPr="00AF4673">
              <w:rPr>
                <w:color w:val="auto"/>
                <w:sz w:val="20"/>
              </w:rPr>
              <w:t>.</w:t>
            </w:r>
          </w:p>
          <w:p w14:paraId="586A58C0"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shd w:val="clear" w:color="auto" w:fill="FFFFFF"/>
              </w:rPr>
            </w:pPr>
            <w:r w:rsidRPr="00BD2436">
              <w:rPr>
                <w:color w:val="auto"/>
                <w:sz w:val="20"/>
              </w:rPr>
              <w:t>M</w:t>
            </w:r>
            <w:r>
              <w:rPr>
                <w:color w:val="auto"/>
                <w:sz w:val="20"/>
              </w:rPr>
              <w:t xml:space="preserve">K </w:t>
            </w:r>
            <w:r w:rsidRPr="00BD2436">
              <w:rPr>
                <w:color w:val="auto"/>
                <w:sz w:val="20"/>
              </w:rPr>
              <w:t xml:space="preserve">2019.gada 20.augusta sēdē (protokols Nr.35 </w:t>
            </w:r>
            <w:r w:rsidRPr="00BD2436">
              <w:rPr>
                <w:rFonts w:eastAsia="Verdana"/>
                <w:bCs/>
                <w:color w:val="auto"/>
                <w:kern w:val="24"/>
                <w:sz w:val="20"/>
              </w:rPr>
              <w:t xml:space="preserve">23.§) tika </w:t>
            </w:r>
            <w:r w:rsidRPr="00BD2436">
              <w:rPr>
                <w:color w:val="auto"/>
                <w:sz w:val="20"/>
              </w:rPr>
              <w:t>apstiprināts informatīvais ziņojums “Par valsts pamatbudžeta un valsts speciālā budžeta bāzi 2020., 2021. un 2022.gadam” un M</w:t>
            </w:r>
            <w:r>
              <w:rPr>
                <w:color w:val="auto"/>
                <w:sz w:val="20"/>
              </w:rPr>
              <w:t xml:space="preserve">K </w:t>
            </w:r>
            <w:r w:rsidRPr="00BD2436">
              <w:rPr>
                <w:color w:val="auto"/>
                <w:sz w:val="20"/>
              </w:rPr>
              <w:t xml:space="preserve">2019.gada 20.augusta sēdē (protokols Nr.35 </w:t>
            </w:r>
            <w:r w:rsidRPr="00BD2436">
              <w:rPr>
                <w:rFonts w:eastAsia="Verdana"/>
                <w:bCs/>
                <w:color w:val="auto"/>
                <w:kern w:val="24"/>
                <w:sz w:val="20"/>
              </w:rPr>
              <w:t xml:space="preserve">26.§, 43.punkts) tika atbalstīts </w:t>
            </w:r>
            <w:r w:rsidRPr="00BD2436">
              <w:rPr>
                <w:color w:val="auto"/>
                <w:sz w:val="20"/>
              </w:rPr>
              <w:t xml:space="preserve">Veselības ministrijas priekšlikums pārdalīt no budžeta resora “74.Gadskārtējā valsts budžeta izpildes procesā pārdalāmais finansējums” 08.00.00 programmas “Veselības aprūpes sistēmas reformas ieviešanas finansējums” rezervēto finansējumu 2020.–2022.gadam ik gadu 144 milj. </w:t>
            </w:r>
            <w:r w:rsidRPr="006114E9">
              <w:rPr>
                <w:i/>
                <w:color w:val="auto"/>
                <w:sz w:val="20"/>
              </w:rPr>
              <w:t>euro</w:t>
            </w:r>
            <w:r w:rsidRPr="00BD2436">
              <w:rPr>
                <w:color w:val="auto"/>
                <w:sz w:val="20"/>
              </w:rPr>
              <w:t xml:space="preserve"> apmērā uz Veselības ministrijas pamatbudžetu, lai nodrošinātu 2017., 2018. un 2019.gadā uzsākto veselības aprūpes sistēmas reformas pasākumu turpināšanu.</w:t>
            </w:r>
          </w:p>
          <w:p w14:paraId="02DBB231" w14:textId="0C100647" w:rsidR="00F87BAE" w:rsidRPr="00BD2436" w:rsidRDefault="00F87BAE" w:rsidP="00F87BAE">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2019.gada 13.septembrī M</w:t>
            </w:r>
            <w:r>
              <w:rPr>
                <w:color w:val="auto"/>
                <w:sz w:val="20"/>
              </w:rPr>
              <w:t xml:space="preserve">K </w:t>
            </w:r>
            <w:r w:rsidRPr="00BD2436">
              <w:rPr>
                <w:color w:val="auto"/>
                <w:sz w:val="20"/>
              </w:rPr>
              <w:t xml:space="preserve">ārkārtas sēdē (protokols Nr.41 </w:t>
            </w:r>
            <w:r w:rsidRPr="00BD2436">
              <w:rPr>
                <w:bCs/>
                <w:color w:val="auto"/>
                <w:sz w:val="20"/>
              </w:rPr>
              <w:t>1</w:t>
            </w:r>
            <w:r w:rsidRPr="00BD2436">
              <w:rPr>
                <w:rFonts w:eastAsia="Verdana"/>
                <w:bCs/>
                <w:color w:val="auto"/>
                <w:kern w:val="24"/>
                <w:sz w:val="20"/>
              </w:rPr>
              <w:t xml:space="preserve">.§) </w:t>
            </w:r>
            <w:r w:rsidRPr="00BD2436">
              <w:rPr>
                <w:color w:val="auto"/>
                <w:sz w:val="20"/>
              </w:rPr>
              <w:t>tika apstiprināts F</w:t>
            </w:r>
            <w:r>
              <w:rPr>
                <w:color w:val="auto"/>
                <w:sz w:val="20"/>
              </w:rPr>
              <w:t xml:space="preserve">M </w:t>
            </w:r>
            <w:r w:rsidRPr="00BD2436">
              <w:rPr>
                <w:color w:val="auto"/>
                <w:sz w:val="20"/>
              </w:rPr>
              <w:t>sagatavotais informatīvais ziņojums “Par fiskālās telpas pasākumiem un izdevumiem prioritārajiem pasākumiem valsts budžetam 2020.gadam un ietvaram 2020.–2022.gadam” un M</w:t>
            </w:r>
            <w:r>
              <w:rPr>
                <w:color w:val="auto"/>
                <w:sz w:val="20"/>
              </w:rPr>
              <w:t xml:space="preserve">K </w:t>
            </w:r>
            <w:r w:rsidRPr="00BD2436">
              <w:rPr>
                <w:color w:val="auto"/>
                <w:sz w:val="20"/>
              </w:rPr>
              <w:t xml:space="preserve">2019.gada 17.septembra sēdē (protokols Nr.42 </w:t>
            </w:r>
            <w:r w:rsidRPr="00BD2436">
              <w:rPr>
                <w:rFonts w:eastAsia="Verdana"/>
                <w:bCs/>
                <w:color w:val="auto"/>
                <w:kern w:val="24"/>
                <w:sz w:val="20"/>
              </w:rPr>
              <w:t xml:space="preserve">34.§) tika </w:t>
            </w:r>
            <w:r w:rsidRPr="00BD2436">
              <w:rPr>
                <w:color w:val="auto"/>
                <w:sz w:val="20"/>
              </w:rPr>
              <w:t>apstiprināts informatīvais ziņojums “Par prioritārajiem pasākumiem valsts budžetam 2020.gadam</w:t>
            </w:r>
            <w:r>
              <w:rPr>
                <w:color w:val="auto"/>
                <w:sz w:val="20"/>
              </w:rPr>
              <w:t xml:space="preserve"> un ietvaram 2020.–2022.gadam”,</w:t>
            </w:r>
            <w:r w:rsidRPr="00BD2436">
              <w:rPr>
                <w:color w:val="auto"/>
                <w:sz w:val="20"/>
              </w:rPr>
              <w:t xml:space="preserve"> kā rezultātā fiskālās telpas palielināšanas pasākumos un priekšlikumos prioritārajiem pasākumiem valsts budžetam 2020.gadam un ietvaram 2020.</w:t>
            </w:r>
            <w:r w:rsidR="00614666" w:rsidRPr="0035710E">
              <w:rPr>
                <w:noProof/>
                <w:color w:val="000000" w:themeColor="text1"/>
                <w:sz w:val="20"/>
              </w:rPr>
              <w:t>–</w:t>
            </w:r>
            <w:r w:rsidRPr="00BD2436">
              <w:rPr>
                <w:color w:val="auto"/>
                <w:sz w:val="20"/>
              </w:rPr>
              <w:t xml:space="preserve">2022.gadam Veselības ministrijas prioritātēm, tajā skaitā ārstniecības personu darba samaksas pieauguma nodrošināšanai (starpnozaru), ir atbalstīti papildus 50 milj. </w:t>
            </w:r>
            <w:r w:rsidRPr="006114E9">
              <w:rPr>
                <w:i/>
                <w:noProof/>
                <w:color w:val="000000" w:themeColor="text1"/>
                <w:sz w:val="20"/>
              </w:rPr>
              <w:t>euro</w:t>
            </w:r>
            <w:r w:rsidRPr="00BD2436">
              <w:rPr>
                <w:color w:val="auto"/>
                <w:sz w:val="20"/>
              </w:rPr>
              <w:t xml:space="preserve"> 2020.-2022.gadiem ik gadu, tai skaitā, 42,11 milj. </w:t>
            </w:r>
            <w:r w:rsidRPr="006114E9">
              <w:rPr>
                <w:i/>
                <w:noProof/>
                <w:color w:val="000000" w:themeColor="text1"/>
                <w:sz w:val="20"/>
              </w:rPr>
              <w:t>euro</w:t>
            </w:r>
            <w:r w:rsidRPr="00BD2436">
              <w:rPr>
                <w:color w:val="auto"/>
                <w:sz w:val="20"/>
              </w:rPr>
              <w:t xml:space="preserve"> paredzēti daļai ārstniecības </w:t>
            </w:r>
            <w:r w:rsidRPr="00BD2436">
              <w:rPr>
                <w:color w:val="auto"/>
                <w:sz w:val="20"/>
              </w:rPr>
              <w:lastRenderedPageBreak/>
              <w:t xml:space="preserve">personu darba samaksas pieaugumam stacionārajās ārstniecības iestādēs strādājošiem, Neatliekamās medicīniskās palīdzības ārstniecības personām un pārējiem darbiniekiem, Tieslietu ministrijas Ieslodzīju vietas pārvaldes ārstniecības personām un pārējiem darbiniekiem, ārstniecības personām Psihiatrijas plāna ietvaros un ģimenes ārstu kapitācijas naudas pieaugumam; 4,27 milj. </w:t>
            </w:r>
            <w:r w:rsidRPr="006114E9">
              <w:rPr>
                <w:i/>
                <w:noProof/>
                <w:color w:val="000000" w:themeColor="text1"/>
                <w:sz w:val="20"/>
              </w:rPr>
              <w:t>euro</w:t>
            </w:r>
            <w:r w:rsidRPr="00BD2436">
              <w:rPr>
                <w:color w:val="auto"/>
                <w:sz w:val="20"/>
              </w:rPr>
              <w:t xml:space="preserve"> inovatīviem kompensējamiem medikamentiem onkoloģijā un kardioloģijā, kā arī 3 milj. </w:t>
            </w:r>
            <w:r w:rsidRPr="006114E9">
              <w:rPr>
                <w:i/>
                <w:noProof/>
                <w:color w:val="000000" w:themeColor="text1"/>
                <w:sz w:val="20"/>
              </w:rPr>
              <w:t>euro</w:t>
            </w:r>
            <w:r w:rsidRPr="00BD2436">
              <w:rPr>
                <w:color w:val="auto"/>
                <w:sz w:val="20"/>
              </w:rPr>
              <w:t xml:space="preserve"> reto slimību medikamentozai ārstēšanai.</w:t>
            </w:r>
          </w:p>
          <w:p w14:paraId="414FBF9E"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Lai uzlabotu veselības aprūpes sistēmas pieejamību, kvalitāti un izmaksu lietderību plānots īstenot dažādus papildu pasākumus:</w:t>
            </w:r>
          </w:p>
          <w:p w14:paraId="2B76E49F"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Turpināt zāļu pieejamības un farmaceitiskās aprūpes uzlabošanu iedzīvotājiem. Lai uzlabotu kompensējamo medikamentu pieejamību un samazinātu pacientu līdzmaksājumus par kompensējamiem medikamentiem, M</w:t>
            </w:r>
            <w:r>
              <w:rPr>
                <w:color w:val="auto"/>
                <w:sz w:val="20"/>
              </w:rPr>
              <w:t xml:space="preserve">K </w:t>
            </w:r>
            <w:r w:rsidRPr="00BD2436">
              <w:rPr>
                <w:color w:val="auto"/>
                <w:sz w:val="20"/>
              </w:rPr>
              <w:t>2019.gada 16.jūlijā apstiprināja Veselības ministrijas rosinātās izmaiņas M</w:t>
            </w:r>
            <w:r>
              <w:rPr>
                <w:color w:val="auto"/>
                <w:sz w:val="20"/>
              </w:rPr>
              <w:t xml:space="preserve">K </w:t>
            </w:r>
            <w:r w:rsidRPr="00BD2436">
              <w:rPr>
                <w:color w:val="auto"/>
                <w:sz w:val="20"/>
              </w:rPr>
              <w:t>noteikumos, kas nosaka kompensējamo zāļu un medicīnas ierīču apmaksas kārtību (M</w:t>
            </w:r>
            <w:r>
              <w:rPr>
                <w:color w:val="auto"/>
                <w:sz w:val="20"/>
              </w:rPr>
              <w:t xml:space="preserve">K </w:t>
            </w:r>
            <w:r w:rsidRPr="00BD2436">
              <w:rPr>
                <w:color w:val="auto"/>
                <w:sz w:val="20"/>
              </w:rPr>
              <w:t xml:space="preserve">2006.gada 31.oktobra noteikumi Nr.899 “Ambulatorajai ārstēšanai paredzēto zāļu un medicīnisko ierīču iegādes izdevumu kompensācijas kārtība”); </w:t>
            </w:r>
          </w:p>
          <w:p w14:paraId="0B2D788A"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xml:space="preserve">Grozījumi paredz, ka no 2020.gada 1.aprīļa ārsts, izrakstot pacientam medikamentus no kompensējamo zāļu saraksta, norādīs vispārīgo nosaukumu (zāļu starptautisko nepatentēto nosaukumu, ko ir rekomendējusi Pasaules veselības organizācija, vai, ja tāda nav, parasto vispārīgo nosaukumu). Ārsts var lietot zīmola nosaukumu tikai tad, ja ir medicīniski apstākļi, piemēram, zināmas blakusparādības, lietojot lētāko zāļu ekvivalentu no kompensējamo zāļu saraksta vai, piemēram, izrakstot zāles ar šauru terapeitisko indeksu. Zāļu vispārīgā nosaukuma izrakstīšanai jābūt vismaz 70% gadījumos no visa gada laikā kopējā izrakstīto zāļu daudzuma; </w:t>
            </w:r>
          </w:p>
          <w:p w14:paraId="6A75F243"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Lai nodrošinātu efektīvāku līdzekļu izmantošanu onkoloģisko slimību farmaceitiskajai ārstēšanai, sākot ar 2019.gada janvāri ķīmijterapijas zāles (intravenozās), ko izmanto onkoloģisko slimību ārstēšanai un atmaksā no valsts budžeta, centralizēti iegādājas Nacionālais veselības dienests;</w:t>
            </w:r>
          </w:p>
          <w:p w14:paraId="49DBF404"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Paplašināt veselības aprūpes pakalpojumu klāstu, kurus Nacionālais veselības dienests iepērk stratēģiskā iepirkuma ietvaros;</w:t>
            </w:r>
          </w:p>
          <w:p w14:paraId="162D2B13"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Turpināt ar E</w:t>
            </w:r>
            <w:r>
              <w:rPr>
                <w:color w:val="auto"/>
                <w:sz w:val="20"/>
              </w:rPr>
              <w:t xml:space="preserve">S </w:t>
            </w:r>
            <w:r w:rsidRPr="00BD2436">
              <w:rPr>
                <w:color w:val="auto"/>
                <w:sz w:val="20"/>
              </w:rPr>
              <w:t>fondu atbalstu īstenotos pasākumus, lai uzlabotu ārstniecības personu kvalifikāciju un atjaunotu to sertifikātus, tādējādi radot iespēju praktizējošam ārstam, kas nav darbojies savā specialitātē, atgriezties darba tirgū;</w:t>
            </w:r>
          </w:p>
          <w:p w14:paraId="5DDA47C6"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Turpināt klīnisko algoritmu, klīnisko pacientu ceļu un kvalitātes rādītāju izstrādi 4 prioritārajās veselības jomās;</w:t>
            </w:r>
          </w:p>
          <w:p w14:paraId="1A0068E6"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Turpināt no E</w:t>
            </w:r>
            <w:r>
              <w:rPr>
                <w:color w:val="auto"/>
                <w:sz w:val="20"/>
              </w:rPr>
              <w:t xml:space="preserve">S </w:t>
            </w:r>
            <w:r w:rsidRPr="00BD2436">
              <w:rPr>
                <w:color w:val="auto"/>
                <w:sz w:val="20"/>
              </w:rPr>
              <w:t>fondu līdzekļiem finansētos atbalsta pasākumus ārstniecības personu (ārstu un medmāsu, kā arī ārstu palīgu, māsu palīgu, vecmāšu, fizioterapeitu un ergoterapeitu) piesaistīšanai darbam reģionos ārpus Rīgas. Līdz 2019.gada septembrim tika noslēgti 340 kompensācijas līgumi.</w:t>
            </w:r>
          </w:p>
          <w:p w14:paraId="1CC4FD99"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Turpināt veselības veicināšanas un slimību profilakses pasākumu īstenošanu, tai skaitā, izmantojot ES fondu finansējumu;</w:t>
            </w:r>
          </w:p>
          <w:p w14:paraId="4C419958"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xml:space="preserve">- Attīstīt efektīvu, labi funkcionējošu slimnīcu sadarbības modeli, lai veicinātu kvalitatīvu un efektīvu veselības aprūpes pakalpojumu nodrošināšanu; </w:t>
            </w:r>
          </w:p>
          <w:p w14:paraId="0BA498BE" w14:textId="77777777" w:rsidR="00F87BAE" w:rsidRPr="00BD2436" w:rsidRDefault="00F87BAE" w:rsidP="00F87BAE">
            <w:pPr>
              <w:tabs>
                <w:tab w:val="left" w:pos="851"/>
                <w:tab w:val="left" w:pos="993"/>
                <w:tab w:val="center" w:pos="4678"/>
                <w:tab w:val="right" w:pos="9072"/>
              </w:tabs>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Ieviest pacientu pieredzes monitoringa sistēmu Latvijā;</w:t>
            </w:r>
          </w:p>
          <w:p w14:paraId="24F4116A" w14:textId="21FAE7FF" w:rsidR="00F87BAE" w:rsidRPr="0035710E" w:rsidRDefault="00F87BAE" w:rsidP="00C2332A">
            <w:pPr>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BD2436">
              <w:rPr>
                <w:color w:val="auto"/>
                <w:sz w:val="20"/>
              </w:rPr>
              <w:t xml:space="preserve">- Turpinot slimnīcu reformu, optimizēt pašreizējo slimnīcu tīklu un izskatīt iespēju iegūt valsts līdzdalību </w:t>
            </w:r>
            <w:r w:rsidRPr="00BD2436">
              <w:rPr>
                <w:color w:val="auto"/>
                <w:sz w:val="20"/>
              </w:rPr>
              <w:lastRenderedPageBreak/>
              <w:t>stratēģiski svarīgajās reģionālajās slimnīcās.</w:t>
            </w:r>
          </w:p>
        </w:tc>
      </w:tr>
      <w:tr w:rsidR="00510953" w:rsidRPr="00BD2436" w14:paraId="74B50238" w14:textId="77777777" w:rsidTr="00C2332A">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704" w:type="dxa"/>
            <w:vAlign w:val="center"/>
          </w:tcPr>
          <w:p w14:paraId="22652953" w14:textId="145BA136" w:rsidR="00510953" w:rsidRPr="00BD2436" w:rsidRDefault="00C2332A" w:rsidP="000839ED">
            <w:pPr>
              <w:spacing w:after="0"/>
              <w:jc w:val="center"/>
              <w:rPr>
                <w:color w:val="000000" w:themeColor="text1"/>
                <w:sz w:val="20"/>
              </w:rPr>
            </w:pPr>
            <w:r>
              <w:rPr>
                <w:color w:val="000000" w:themeColor="text1"/>
                <w:sz w:val="20"/>
              </w:rPr>
              <w:lastRenderedPageBreak/>
              <w:t>3</w:t>
            </w:r>
            <w:r w:rsidR="00510953" w:rsidRPr="00BD2436">
              <w:rPr>
                <w:color w:val="000000" w:themeColor="text1"/>
                <w:sz w:val="20"/>
              </w:rPr>
              <w:t>3</w:t>
            </w:r>
          </w:p>
        </w:tc>
        <w:tc>
          <w:tcPr>
            <w:tcW w:w="4961" w:type="dxa"/>
          </w:tcPr>
          <w:p w14:paraId="1DEF1C7D"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BD2436">
              <w:rPr>
                <w:noProof/>
                <w:color w:val="000000" w:themeColor="text1"/>
                <w:sz w:val="20"/>
              </w:rPr>
              <w:t>Uz ieguldījumiem vērsto ekonomikas politiku koncentrēt uz inovāciju, cenas ziņā pieejamu mājokļu piedāvājumu, transportu – jo īpaši attiecībā uz tā ilgtspēju – , resursu efektivitāti un energoefektivitāti, energotīklu starpsavienojumiem un digitālo infrastruktūru, ņemot vērā reģionālās atšķirības.</w:t>
            </w:r>
          </w:p>
        </w:tc>
        <w:tc>
          <w:tcPr>
            <w:tcW w:w="9327" w:type="dxa"/>
          </w:tcPr>
          <w:p w14:paraId="792497E3"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Skat. Latvijas NRP.</w:t>
            </w:r>
          </w:p>
          <w:p w14:paraId="3D4834A1" w14:textId="7669AA63"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2019.gada 22.maijā ar M</w:t>
            </w:r>
            <w:r w:rsidR="005070C6">
              <w:rPr>
                <w:color w:val="auto"/>
                <w:sz w:val="20"/>
              </w:rPr>
              <w:t xml:space="preserve">K </w:t>
            </w:r>
            <w:r w:rsidRPr="00BD2436">
              <w:rPr>
                <w:color w:val="auto"/>
                <w:sz w:val="20"/>
              </w:rPr>
              <w:t>rīkojumu Nr. 247 apstiprināts Uzņēmējdarbības vides pilnveidošanas pasākumu plāns 2019. – 2022. gadam, kurā institūcijām līdz 2020.gadam ir noteikti konkrēti uzdevumi Nr. 4.12.1. – 4.12.5. ar mērķi veicināt valstī inovāciju attīstību.</w:t>
            </w:r>
          </w:p>
          <w:p w14:paraId="1617D1AB"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Mājokļu garantiju programma un tās attīstīšana (vairāk informāciju skatīt Latvijas NRP)</w:t>
            </w:r>
          </w:p>
          <w:p w14:paraId="2AD3440C" w14:textId="5903AE53"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 xml:space="preserve">2019.gada vasarā Latvija ir uzsākusi divpusējo projektu ar </w:t>
            </w:r>
            <w:r w:rsidR="000839ED">
              <w:rPr>
                <w:color w:val="auto"/>
                <w:sz w:val="20"/>
              </w:rPr>
              <w:t>OECD</w:t>
            </w:r>
            <w:r w:rsidRPr="00BD2436">
              <w:rPr>
                <w:color w:val="auto"/>
                <w:sz w:val="20"/>
              </w:rPr>
              <w:t xml:space="preserve"> par Mājokļu pieejamību Latvijā, kura ietvaros OECD definēs personas un mājsaimniecības, kurām nepieciešams atbalsts mājokļu pieejamības nodrošināšanai, kā arī izstrādās priekšlikumus efektīvam atbalsta instrumentu kompleksam mājokļu pieejamības nodrošināšanai Latvijā, pārņemot un pielāgojot ārvalstu labo praksi. Atbilstoši OECD priekšlikumiem, Latvija plāno izstrādāt mājokļu pieejamības atbalsta pasākumus</w:t>
            </w:r>
          </w:p>
          <w:p w14:paraId="05E6394F"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Gadskārtējā valsts budžeta sagatavošanas laikā transporta sektorā tika pieņemti šādi lēmumi, kas vērsti uz transporta ilgtspējas nodrošināšanu:</w:t>
            </w:r>
          </w:p>
          <w:p w14:paraId="6C3140F9" w14:textId="02A5659F" w:rsidR="00510953" w:rsidRPr="00BD2436" w:rsidRDefault="00510953" w:rsidP="000839ED">
            <w:pPr>
              <w:pStyle w:val="ListParagraph"/>
              <w:numPr>
                <w:ilvl w:val="0"/>
                <w:numId w:val="2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Valdība ir apstiprinājusi finansējumu pasažieru elektrovilcienu un to uzturēšanai nepieciešamā aprīkojuma piegādei un personāla apmācībai, kā arī “Pasažieru vilciens” un “Škoda Vagonka” parakstīja līgumu par 32 jaunu elektrovilcienu pie</w:t>
            </w:r>
            <w:r w:rsidR="00C2332A">
              <w:rPr>
                <w:rFonts w:ascii="Times New Roman" w:hAnsi="Times New Roman"/>
                <w:color w:val="auto"/>
                <w:sz w:val="20"/>
              </w:rPr>
              <w:t>gādi, kas paredz, ka līdz 2023.</w:t>
            </w:r>
            <w:r w:rsidRPr="00BD2436">
              <w:rPr>
                <w:rFonts w:ascii="Times New Roman" w:hAnsi="Times New Roman"/>
                <w:color w:val="auto"/>
                <w:sz w:val="20"/>
              </w:rPr>
              <w:t>gada beigām būs piegādāti visi vilcieni.</w:t>
            </w:r>
          </w:p>
          <w:p w14:paraId="38966FEB"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Lai samazinātu siltumnīcas efektu un klimata sasilšanu izraisošo gāzu emisijas, viens no būtiskiem pasākumiem ir emisiju samazināšana transportā, un konkrēti – iespējami lielāka skaita pasažieru un vairāk kravu no autotransporta jāpārorientē uz dzelzceļu un to līnijas pēc iespējas jāelektrificē. Raugoties ilgtermiņā, dzelzceļam ir jākļūst par sabiedriskā transporta tīkla mugurkaulu.</w:t>
            </w:r>
          </w:p>
          <w:p w14:paraId="7E504DBA" w14:textId="1B657064" w:rsidR="00510953" w:rsidRPr="00BD2436" w:rsidRDefault="00510953" w:rsidP="000839ED">
            <w:pPr>
              <w:pStyle w:val="ListParagraph"/>
              <w:numPr>
                <w:ilvl w:val="0"/>
                <w:numId w:val="2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Centrālā finanšu un līgumu aģentūra ir apstiprinājusi “Latvijas dzelzceļa” projektu elektrovilcienu infrastruktūras attīstīšanai, no Kohēzijas fonda piešķirot finansējumu vairāk nekā 318 milj</w:t>
            </w:r>
            <w:r w:rsidR="00C2332A">
              <w:rPr>
                <w:rFonts w:ascii="Times New Roman" w:hAnsi="Times New Roman"/>
                <w:color w:val="auto"/>
                <w:sz w:val="20"/>
                <w:lang w:val="lv-LV"/>
              </w:rPr>
              <w:t>.</w:t>
            </w:r>
            <w:r w:rsidRPr="00BD2436">
              <w:rPr>
                <w:rFonts w:ascii="Times New Roman" w:hAnsi="Times New Roman"/>
                <w:color w:val="auto"/>
                <w:sz w:val="20"/>
              </w:rPr>
              <w:t xml:space="preserve"> </w:t>
            </w:r>
            <w:r w:rsidR="00C2332A" w:rsidRPr="00C2332A">
              <w:rPr>
                <w:rFonts w:ascii="Times New Roman" w:hAnsi="Times New Roman"/>
                <w:i/>
                <w:color w:val="auto"/>
                <w:sz w:val="20"/>
                <w:lang w:val="lv-LV"/>
              </w:rPr>
              <w:t>euro</w:t>
            </w:r>
            <w:r w:rsidRPr="00BD2436">
              <w:rPr>
                <w:rFonts w:ascii="Times New Roman" w:hAnsi="Times New Roman"/>
                <w:color w:val="auto"/>
                <w:sz w:val="20"/>
              </w:rPr>
              <w:t xml:space="preserve"> apmērā.</w:t>
            </w:r>
          </w:p>
          <w:p w14:paraId="69C2E416"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Lai attīstītu un modernizētu dzelzceļu tīklu Latvijā, veicinot tā drošību, kvalitāti un kapacitāti, kā arī tas kļūtu draudzīgāks videi, projekta ietvaros tiks veikta Eiropas transporta tīkla dzelzceļa infrastruktūras būvniecība, esošās infrastruktūras pārbūve un atjaunošana, piemēram, izbūvējot jaunu vilces jaudas apakšstaciju un elektrotīklus. Rekonstruējot un modernizējot dzelzceļa līniju kopējā garumā – 300 km, CO2 emisijas dzelzceļa pārvadājumos plānots samazināt vismaz par ceturtdaļu.</w:t>
            </w:r>
          </w:p>
        </w:tc>
      </w:tr>
      <w:tr w:rsidR="00510953" w:rsidRPr="00BD2436" w14:paraId="54B497AF" w14:textId="77777777" w:rsidTr="00C2332A">
        <w:trPr>
          <w:trHeight w:val="265"/>
        </w:trPr>
        <w:tc>
          <w:tcPr>
            <w:cnfStyle w:val="001000000000" w:firstRow="0" w:lastRow="0" w:firstColumn="1" w:lastColumn="0" w:oddVBand="0" w:evenVBand="0" w:oddHBand="0" w:evenHBand="0" w:firstRowFirstColumn="0" w:firstRowLastColumn="0" w:lastRowFirstColumn="0" w:lastRowLastColumn="0"/>
            <w:tcW w:w="704" w:type="dxa"/>
            <w:vAlign w:val="center"/>
          </w:tcPr>
          <w:p w14:paraId="5F232391" w14:textId="7BEB68F7" w:rsidR="00510953" w:rsidRPr="00BD2436" w:rsidRDefault="00C2332A" w:rsidP="000839ED">
            <w:pPr>
              <w:spacing w:after="0"/>
              <w:jc w:val="center"/>
              <w:rPr>
                <w:color w:val="auto"/>
                <w:sz w:val="20"/>
              </w:rPr>
            </w:pPr>
            <w:r>
              <w:rPr>
                <w:color w:val="auto"/>
                <w:sz w:val="20"/>
              </w:rPr>
              <w:t>4</w:t>
            </w:r>
            <w:r w:rsidR="00510953" w:rsidRPr="00BD2436">
              <w:rPr>
                <w:color w:val="auto"/>
                <w:sz w:val="20"/>
              </w:rPr>
              <w:t>4</w:t>
            </w:r>
          </w:p>
        </w:tc>
        <w:tc>
          <w:tcPr>
            <w:tcW w:w="4961" w:type="dxa"/>
          </w:tcPr>
          <w:p w14:paraId="62184A04"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noProof/>
                <w:color w:val="000000" w:themeColor="text1"/>
                <w:sz w:val="20"/>
              </w:rPr>
            </w:pPr>
            <w:r w:rsidRPr="00BD2436">
              <w:rPr>
                <w:noProof/>
                <w:color w:val="000000" w:themeColor="text1"/>
                <w:sz w:val="20"/>
              </w:rPr>
              <w:t xml:space="preserve">1)Uzlabot publiskā sektora pārskatatbildību un efektivitāti, jo īpaši attiecībā uz pašvaldībām un valsts un pašvaldību uzņēmumiem, </w:t>
            </w:r>
          </w:p>
          <w:p w14:paraId="58DC5B36"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BD2436">
              <w:rPr>
                <w:noProof/>
                <w:color w:val="000000" w:themeColor="text1"/>
                <w:sz w:val="20"/>
              </w:rPr>
              <w:t>2) kā arī interešu konfliktu novēršanas režīmu.</w:t>
            </w:r>
          </w:p>
        </w:tc>
        <w:tc>
          <w:tcPr>
            <w:tcW w:w="9327" w:type="dxa"/>
          </w:tcPr>
          <w:p w14:paraId="18A405B4"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BD2436">
              <w:rPr>
                <w:color w:val="000000" w:themeColor="text1"/>
                <w:sz w:val="20"/>
              </w:rPr>
              <w:t xml:space="preserve">1) Tiek uzlabota interešu konflikta novēršanas sistēma, regulāri pilnveidojot likuma par interešu konflikta novēršanu valsts amatpersonu darbībā normas. Saeimā 1.lasījumā ir pieņemti grozījumi likumā, kas paredz: būtiski uzlabot ziedojumu pieņemšanas kārtību; noteikt jaunu terminētu ierobežojumu valsts amatpersonai gūt ienākumus no personām, attiecībā uz kurām tās ir pārstāvējušas publiskas personas institūcijas tiesā; noteikt Saeimas deputātiem paziņošanas (pašatstatīšanās) pienākumu un kārtību, kādā Saeimas deputāti paziņo par personisko vai mantisko ieinteresētību amata pienākumu izpildē; noteikt papildu pienākumu informēt par interešu konflikta situācijām vai iespējamiem korupcijas gadījumiem; paplašināt to personu loku, kuras jānorāda valsts amatpersonas deklarācijā; noteikt Satversmes aizsardzības biroja direktora valsts amatpersonas deklarācijas iesniegšanas pienākumu un kārtību; precizēt kārtību, kādā drošības un citās tiesībsargājošās iestādēs nodarbinātās valsts amatpersonas iesniedz deklarācijas un kādā tiek iesniegti šo valsts amatpersonu saraksti; noteikt terminētus </w:t>
            </w:r>
            <w:r w:rsidRPr="00BD2436">
              <w:rPr>
                <w:color w:val="000000" w:themeColor="text1"/>
                <w:sz w:val="20"/>
              </w:rPr>
              <w:lastRenderedPageBreak/>
              <w:t>komercdarbības ierobežojumus valsts amatpersonai, kura veikusi izmeklēšanas funkcijas; precizēt valsts amatpersonas pienākumus un rīcību, nosakot papildu gadījumus un paredzot konkrētus termiņus publiskas personas institūcijas vadītāja informēšanai par valsts amatpersonas iespējamo interešu konfliktu u.c. grozījumus.</w:t>
            </w:r>
          </w:p>
          <w:p w14:paraId="677B911F"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BD2436">
              <w:rPr>
                <w:color w:val="000000" w:themeColor="text1"/>
                <w:sz w:val="20"/>
              </w:rPr>
              <w:t>Lai veicinātu uzņēmējdarbības vides drošību un caurspīdību, un lai novērstu noziedzīgi iegūtu līdzekļu legalizāciju un terorisma finansēšanu, Noziedzīgi iegūtu līdzekļu legalizēšanas un terorisma finansēšanas un proliferācijas novēršanas likumā 2019.gadā pieņemti grozījumi, kas konceptuāli atbalsta Uzņēmumu reģistra reģistros esošās informācijas bezmaksas pieejamību jebkuram. Lai šie grozījumi pilnībā stātos spēkā, ir veikti grozījumi likumā “Par Latvijas Republikas Uzņēmumu reģistru”, un no valsts budžeta ir piešķirti 1,2 milj. eiro, lai nodrošinot informācijas pieejamību bez maksas.</w:t>
            </w:r>
          </w:p>
          <w:p w14:paraId="35099414"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BD2436">
              <w:rPr>
                <w:color w:val="000000" w:themeColor="text1"/>
                <w:sz w:val="20"/>
              </w:rPr>
              <w:t>Valsts pārvaldes reformu plāna 2020 īstenošanas ietvaros Valsts kanceleja plāno:</w:t>
            </w:r>
          </w:p>
          <w:p w14:paraId="4B82A50C" w14:textId="77777777" w:rsidR="00510953" w:rsidRPr="00BD2436" w:rsidRDefault="00510953" w:rsidP="000839ED">
            <w:pPr>
              <w:pStyle w:val="ListParagraph"/>
              <w:numPr>
                <w:ilvl w:val="0"/>
                <w:numId w:val="3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BD2436">
              <w:rPr>
                <w:rFonts w:ascii="Times New Roman" w:hAnsi="Times New Roman"/>
                <w:color w:val="000000" w:themeColor="text1"/>
                <w:sz w:val="20"/>
              </w:rPr>
              <w:t>turpināt starpdisciplināras valsts pārvaldes inovācijas laboratorijas #GovLabLatvia darbību, nodrošinot atbalstu iestādēm Nulles birokrātijas pieejas ieviešanā – administratīvā sloga mazināšanas risinājumu izstrādē;</w:t>
            </w:r>
          </w:p>
          <w:p w14:paraId="6E0298C5" w14:textId="274D6462" w:rsidR="00510953" w:rsidRPr="00BD2436" w:rsidRDefault="00510953" w:rsidP="000839ED">
            <w:pPr>
              <w:pStyle w:val="ListParagraph"/>
              <w:numPr>
                <w:ilvl w:val="0"/>
                <w:numId w:val="3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BD2436">
              <w:rPr>
                <w:rFonts w:ascii="Times New Roman" w:hAnsi="Times New Roman"/>
                <w:color w:val="000000" w:themeColor="text1"/>
                <w:sz w:val="20"/>
              </w:rPr>
              <w:t>sadarbībā ar Būvniecības valsts kontroles biroju un Valsts vides dienestu izvērtēt izmēģinājumprojektus par viedā autoparka vadī</w:t>
            </w:r>
            <w:r w:rsidR="00614666">
              <w:rPr>
                <w:rFonts w:ascii="Times New Roman" w:hAnsi="Times New Roman"/>
                <w:color w:val="000000" w:themeColor="text1"/>
                <w:sz w:val="20"/>
              </w:rPr>
              <w:t>bas sistēmas ieviešanu un 2020.</w:t>
            </w:r>
            <w:r w:rsidRPr="00BD2436">
              <w:rPr>
                <w:rFonts w:ascii="Times New Roman" w:hAnsi="Times New Roman"/>
                <w:color w:val="000000" w:themeColor="text1"/>
                <w:sz w:val="20"/>
              </w:rPr>
              <w:t>gadā sadarbībā ar ministrijām izstrādāt priekšlikumus šīs sistēmas ieviešanai citās valsts pārvaldes iestādēs;</w:t>
            </w:r>
          </w:p>
          <w:p w14:paraId="74ABAE7B" w14:textId="171D6BBE" w:rsidR="00510953" w:rsidRPr="00BD2436" w:rsidRDefault="00510953" w:rsidP="000839ED">
            <w:pPr>
              <w:pStyle w:val="ListParagraph"/>
              <w:numPr>
                <w:ilvl w:val="0"/>
                <w:numId w:val="3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BD2436">
              <w:rPr>
                <w:rFonts w:ascii="Times New Roman" w:hAnsi="Times New Roman"/>
                <w:color w:val="000000" w:themeColor="text1"/>
                <w:sz w:val="20"/>
              </w:rPr>
              <w:t xml:space="preserve">pabeigt jauna atlīdzības </w:t>
            </w:r>
            <w:r w:rsidR="00614666">
              <w:rPr>
                <w:rFonts w:ascii="Times New Roman" w:hAnsi="Times New Roman"/>
                <w:color w:val="000000" w:themeColor="text1"/>
                <w:sz w:val="20"/>
              </w:rPr>
              <w:t>regulējuma izstrādi un ar 2020.</w:t>
            </w:r>
            <w:r w:rsidRPr="00BD2436">
              <w:rPr>
                <w:rFonts w:ascii="Times New Roman" w:hAnsi="Times New Roman"/>
                <w:color w:val="000000" w:themeColor="text1"/>
                <w:sz w:val="20"/>
              </w:rPr>
              <w:t xml:space="preserve">gadu uzsākt tā pakāpenisko ieviešanu; </w:t>
            </w:r>
          </w:p>
          <w:p w14:paraId="79519AB1" w14:textId="77777777" w:rsidR="00510953" w:rsidRPr="00BD2436" w:rsidRDefault="00510953" w:rsidP="000839ED">
            <w:pPr>
              <w:pStyle w:val="ListParagraph"/>
              <w:numPr>
                <w:ilvl w:val="0"/>
                <w:numId w:val="3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BD2436">
              <w:rPr>
                <w:rFonts w:ascii="Times New Roman" w:hAnsi="Times New Roman"/>
                <w:color w:val="000000" w:themeColor="text1"/>
                <w:sz w:val="20"/>
              </w:rPr>
              <w:t>turpināt darbu pie atbalsta funkciju centralizācijas valsts pārvaldē;</w:t>
            </w:r>
          </w:p>
          <w:p w14:paraId="4AA87BCD" w14:textId="77777777" w:rsidR="00510953" w:rsidRPr="00BD2436" w:rsidRDefault="00510953" w:rsidP="000839ED">
            <w:pPr>
              <w:pStyle w:val="ListParagraph"/>
              <w:numPr>
                <w:ilvl w:val="0"/>
                <w:numId w:val="3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BD2436">
              <w:rPr>
                <w:rFonts w:ascii="Times New Roman" w:hAnsi="Times New Roman"/>
                <w:color w:val="000000" w:themeColor="text1"/>
                <w:sz w:val="20"/>
              </w:rPr>
              <w:t>nodrošināt, ka ministrijas, īstenojot papildu funkcijas vai jaunus uzdevumus, varēs pieprasīt jaunas amata vietas un papildu finansējumu, pamatojoties uz iestādes funkciju efektivitātes izvērtējumu;</w:t>
            </w:r>
          </w:p>
          <w:p w14:paraId="5B249195" w14:textId="77777777" w:rsidR="004630E1" w:rsidRDefault="00510953" w:rsidP="000839ED">
            <w:pPr>
              <w:pStyle w:val="ListParagraph"/>
              <w:numPr>
                <w:ilvl w:val="0"/>
                <w:numId w:val="3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sidRPr="00BD2436">
              <w:rPr>
                <w:rFonts w:ascii="Times New Roman" w:hAnsi="Times New Roman"/>
                <w:color w:val="000000" w:themeColor="text1"/>
                <w:sz w:val="20"/>
              </w:rPr>
              <w:t>turpināt projektu “Valsts pārvaldes cilvēkresursu vadības informācijas sistēma” (CIVIS), lai veicinātu efektīvākus cilvēkresursu vadības procesus valsts pārvaldē;</w:t>
            </w:r>
          </w:p>
          <w:p w14:paraId="366E7A38" w14:textId="292BFD85" w:rsidR="00510953" w:rsidRPr="004630E1" w:rsidRDefault="005070C6" w:rsidP="000839ED">
            <w:pPr>
              <w:pStyle w:val="ListParagraph"/>
              <w:numPr>
                <w:ilvl w:val="0"/>
                <w:numId w:val="30"/>
              </w:num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0"/>
              </w:rPr>
            </w:pPr>
            <w:r>
              <w:rPr>
                <w:rFonts w:ascii="Times New Roman" w:hAnsi="Times New Roman"/>
                <w:color w:val="000000" w:themeColor="text1"/>
                <w:sz w:val="20"/>
              </w:rPr>
              <w:t>turpināt darbu pie M</w:t>
            </w:r>
            <w:r w:rsidR="00510953" w:rsidRPr="004630E1">
              <w:rPr>
                <w:rFonts w:ascii="Times New Roman" w:hAnsi="Times New Roman"/>
                <w:color w:val="000000" w:themeColor="text1"/>
                <w:sz w:val="20"/>
              </w:rPr>
              <w:t>K lēmumu pieņemšanas procesu modernizācijas, ieviešot "Tiesību aktu projektu izstrādes un saskaņošanas portālu"  (TAP).</w:t>
            </w:r>
          </w:p>
          <w:p w14:paraId="6BEBEB73" w14:textId="30EA164E" w:rsidR="00510953" w:rsidRPr="004630E1" w:rsidRDefault="00510953" w:rsidP="005070C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4630E1">
              <w:rPr>
                <w:color w:val="000000" w:themeColor="text1"/>
                <w:sz w:val="20"/>
              </w:rPr>
              <w:t xml:space="preserve">Valdības rīcības plāns (apstiprināts ar </w:t>
            </w:r>
            <w:r w:rsidR="00C5582C">
              <w:rPr>
                <w:color w:val="000000" w:themeColor="text1"/>
                <w:sz w:val="20"/>
              </w:rPr>
              <w:t>M</w:t>
            </w:r>
            <w:r w:rsidR="005070C6">
              <w:rPr>
                <w:color w:val="000000" w:themeColor="text1"/>
                <w:sz w:val="20"/>
              </w:rPr>
              <w:t>K</w:t>
            </w:r>
            <w:r w:rsidR="00C5582C">
              <w:rPr>
                <w:color w:val="000000" w:themeColor="text1"/>
                <w:sz w:val="20"/>
              </w:rPr>
              <w:t xml:space="preserve"> 2019.gada 7.</w:t>
            </w:r>
            <w:r w:rsidRPr="004630E1">
              <w:rPr>
                <w:color w:val="000000" w:themeColor="text1"/>
                <w:sz w:val="20"/>
              </w:rPr>
              <w:t>maija rīkojumu Nr. 210) ietver uzdevumu stiprināt Korupcijas novēršanas un apkarošanas biroja kapacitāti, palielinot Korupcijas novēršanas un apkarošanas biroja finansēju</w:t>
            </w:r>
            <w:r w:rsidR="00F05A35">
              <w:rPr>
                <w:color w:val="000000" w:themeColor="text1"/>
                <w:sz w:val="20"/>
              </w:rPr>
              <w:t>mu un štata vietu skaitu par 23</w:t>
            </w:r>
            <w:r w:rsidRPr="004630E1">
              <w:rPr>
                <w:color w:val="000000" w:themeColor="text1"/>
                <w:sz w:val="20"/>
              </w:rPr>
              <w:t>%, kā rezultātā tiks uzlabotas un efektivizētas Korupcijas novēršanas un apkarošanas biroja analītiskās, operatīvās un izmeklēšanas spējas, novēršot un apkarojot koruptīvus noziedzīgus nodarījumus, palielinot novērsto un atklāto koruptīvo noziedzīgo noda</w:t>
            </w:r>
            <w:r w:rsidR="00C5582C">
              <w:rPr>
                <w:color w:val="000000" w:themeColor="text1"/>
                <w:sz w:val="20"/>
              </w:rPr>
              <w:t>rījumu skaitu. Kā arī, no 2019.gada 1.</w:t>
            </w:r>
            <w:r w:rsidRPr="004630E1">
              <w:rPr>
                <w:color w:val="000000" w:themeColor="text1"/>
                <w:sz w:val="20"/>
              </w:rPr>
              <w:t>janvāra ir spēkā normatīvo akti, kas paredz Korupcijas novēršanas un apkarošanas biroja nodarbinātajiem papildu motivēšanas instrumentus (piemaksu par izdienu un izdienas pabalstu).</w:t>
            </w:r>
          </w:p>
        </w:tc>
      </w:tr>
    </w:tbl>
    <w:p w14:paraId="3698F8B3" w14:textId="77777777" w:rsidR="005119CA" w:rsidRPr="00482AA0" w:rsidRDefault="005119CA" w:rsidP="005119CA">
      <w:pPr>
        <w:rPr>
          <w:color w:val="000000" w:themeColor="text1"/>
          <w:sz w:val="22"/>
        </w:rPr>
      </w:pPr>
    </w:p>
    <w:p w14:paraId="1AFA9032" w14:textId="77777777" w:rsidR="00614666" w:rsidRDefault="00614666">
      <w:pPr>
        <w:spacing w:after="0"/>
        <w:ind w:firstLine="0"/>
        <w:jc w:val="left"/>
        <w:rPr>
          <w:b/>
          <w:bCs/>
          <w:color w:val="18185F"/>
          <w:szCs w:val="28"/>
          <w:lang w:eastAsia="x-none"/>
        </w:rPr>
      </w:pPr>
      <w:r>
        <w:rPr>
          <w:color w:val="18185F"/>
        </w:rPr>
        <w:br w:type="page"/>
      </w:r>
    </w:p>
    <w:p w14:paraId="2589BECD" w14:textId="206D44F1" w:rsidR="005119CA" w:rsidRPr="00CF6873" w:rsidRDefault="00F900B2" w:rsidP="00CF6873">
      <w:pPr>
        <w:pStyle w:val="Heading1"/>
        <w:tabs>
          <w:tab w:val="left" w:pos="1276"/>
        </w:tabs>
        <w:spacing w:before="0" w:after="240"/>
        <w:ind w:firstLine="0"/>
        <w:jc w:val="left"/>
        <w:rPr>
          <w:rFonts w:ascii="Times New Roman" w:hAnsi="Times New Roman"/>
          <w:color w:val="18185F"/>
          <w:sz w:val="24"/>
        </w:rPr>
      </w:pPr>
      <w:bookmarkStart w:id="35" w:name="_Toc21516520"/>
      <w:r>
        <w:rPr>
          <w:rFonts w:ascii="Times New Roman" w:hAnsi="Times New Roman"/>
          <w:color w:val="18185F"/>
          <w:sz w:val="24"/>
          <w:lang w:val="lv-LV"/>
        </w:rPr>
        <w:lastRenderedPageBreak/>
        <w:t>Tabula</w:t>
      </w:r>
      <w:r w:rsidRPr="00CF6873">
        <w:rPr>
          <w:rFonts w:ascii="Times New Roman" w:hAnsi="Times New Roman"/>
          <w:color w:val="18185F"/>
          <w:sz w:val="24"/>
        </w:rPr>
        <w:t xml:space="preserve"> </w:t>
      </w:r>
      <w:r w:rsidR="005119CA" w:rsidRPr="00CF6873">
        <w:rPr>
          <w:rFonts w:ascii="Times New Roman" w:hAnsi="Times New Roman"/>
          <w:color w:val="18185F"/>
          <w:sz w:val="24"/>
        </w:rPr>
        <w:t>6.b ES Stratēģijas noteiktie mērķi attiecibā uz izaugsmi un darbu</w:t>
      </w:r>
      <w:bookmarkEnd w:id="35"/>
    </w:p>
    <w:tbl>
      <w:tblPr>
        <w:tblStyle w:val="GridTable6Colorful-Accent11"/>
        <w:tblW w:w="14596" w:type="dxa"/>
        <w:tblLayout w:type="fixed"/>
        <w:tblLook w:val="04A0" w:firstRow="1" w:lastRow="0" w:firstColumn="1" w:lastColumn="0" w:noHBand="0" w:noVBand="1"/>
      </w:tblPr>
      <w:tblGrid>
        <w:gridCol w:w="2122"/>
        <w:gridCol w:w="3827"/>
        <w:gridCol w:w="8647"/>
      </w:tblGrid>
      <w:tr w:rsidR="00510953" w:rsidRPr="00DD1A19" w14:paraId="73719AEF" w14:textId="77777777" w:rsidTr="00BD2436">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D5858C7" w14:textId="77777777" w:rsidR="00510953" w:rsidRPr="00BD2436" w:rsidRDefault="00510953" w:rsidP="00BD2436">
            <w:pPr>
              <w:jc w:val="center"/>
              <w:rPr>
                <w:b w:val="0"/>
                <w:color w:val="auto"/>
                <w:sz w:val="20"/>
              </w:rPr>
            </w:pPr>
            <w:r w:rsidRPr="00BD2436">
              <w:rPr>
                <w:color w:val="auto"/>
                <w:sz w:val="20"/>
              </w:rPr>
              <w:t>Nacionālie 2020 mērķi</w:t>
            </w:r>
          </w:p>
        </w:tc>
        <w:tc>
          <w:tcPr>
            <w:tcW w:w="3827" w:type="dxa"/>
            <w:vAlign w:val="center"/>
          </w:tcPr>
          <w:p w14:paraId="7152C40C" w14:textId="77777777" w:rsidR="00510953" w:rsidRPr="00BD2436" w:rsidRDefault="00510953" w:rsidP="00BD2436">
            <w:pPr>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BD2436">
              <w:rPr>
                <w:color w:val="auto"/>
                <w:sz w:val="20"/>
              </w:rPr>
              <w:t>Pasākumi</w:t>
            </w:r>
          </w:p>
        </w:tc>
        <w:tc>
          <w:tcPr>
            <w:tcW w:w="8647" w:type="dxa"/>
            <w:vAlign w:val="center"/>
          </w:tcPr>
          <w:p w14:paraId="0F380702" w14:textId="77777777" w:rsidR="00510953" w:rsidRPr="00BD2436" w:rsidRDefault="00510953" w:rsidP="00BD2436">
            <w:pPr>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BD2436">
              <w:rPr>
                <w:color w:val="auto"/>
                <w:sz w:val="20"/>
              </w:rPr>
              <w:t>Apraksts</w:t>
            </w:r>
          </w:p>
        </w:tc>
      </w:tr>
      <w:tr w:rsidR="00510953" w:rsidRPr="00FA6726" w14:paraId="2F397DF5" w14:textId="77777777" w:rsidTr="00BD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851C067" w14:textId="77777777" w:rsidR="00510953" w:rsidRPr="00BD2436" w:rsidRDefault="00510953" w:rsidP="00BD2436">
            <w:pPr>
              <w:rPr>
                <w:b w:val="0"/>
                <w:color w:val="auto"/>
                <w:sz w:val="20"/>
              </w:rPr>
            </w:pPr>
            <w:r w:rsidRPr="00BD2436">
              <w:rPr>
                <w:color w:val="auto"/>
                <w:sz w:val="20"/>
              </w:rPr>
              <w:t>Nacionālais 2020 nodarbinātības mērķis (73,0%)</w:t>
            </w:r>
          </w:p>
        </w:tc>
        <w:tc>
          <w:tcPr>
            <w:tcW w:w="3827" w:type="dxa"/>
          </w:tcPr>
          <w:p w14:paraId="234F19BE" w14:textId="77777777" w:rsidR="00510953" w:rsidRPr="00BD2436" w:rsidRDefault="00510953" w:rsidP="00510953">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Bezdarbnieku apmācību pasākumu pilnveidošana;</w:t>
            </w:r>
          </w:p>
          <w:p w14:paraId="2C9B5E33" w14:textId="77777777" w:rsidR="00510953" w:rsidRPr="00BD2436" w:rsidRDefault="00510953" w:rsidP="00510953">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Atbalsta pasākumu jauniešu bezdarba mazināšanai īstenošana;</w:t>
            </w:r>
          </w:p>
          <w:p w14:paraId="5F798BA3" w14:textId="77777777" w:rsidR="00510953" w:rsidRPr="00BD2436" w:rsidRDefault="00510953" w:rsidP="00510953">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Ilgstošo bezdarbnieku un sociālās palīdzības klientu efektīva atgriešana darba tirgū un atbalsts reģionālajai mobilitātei;</w:t>
            </w:r>
          </w:p>
          <w:p w14:paraId="54EEE67F" w14:textId="77777777" w:rsidR="00510953" w:rsidRPr="00BD2436" w:rsidRDefault="00510953" w:rsidP="00510953">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Gados vecāko iedzīvotāju darbspējas saglabāšana un nodarbinātības sekmēšana;</w:t>
            </w:r>
          </w:p>
          <w:p w14:paraId="6C0D80C2" w14:textId="77777777" w:rsidR="00510953" w:rsidRPr="00BD2436" w:rsidRDefault="00510953" w:rsidP="00510953">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Nodarbinātības dienesta darba efektivizācija;</w:t>
            </w:r>
          </w:p>
          <w:p w14:paraId="5D117E86" w14:textId="77777777" w:rsidR="00510953" w:rsidRPr="00BD2436" w:rsidRDefault="00510953" w:rsidP="00510953">
            <w:pPr>
              <w:pStyle w:val="ListParagraph"/>
              <w:numPr>
                <w:ilvl w:val="0"/>
                <w:numId w:val="2"/>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Pašnodarbinātības un uzņēmējdarbības sekmēšana.</w:t>
            </w:r>
          </w:p>
        </w:tc>
        <w:tc>
          <w:tcPr>
            <w:tcW w:w="8647" w:type="dxa"/>
          </w:tcPr>
          <w:p w14:paraId="032FB1D3" w14:textId="0F8BCAD5" w:rsidR="00510953" w:rsidRPr="00BD2436" w:rsidRDefault="00510953" w:rsidP="00BD2436">
            <w:pPr>
              <w:pStyle w:val="tv213"/>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Cs/>
                <w:color w:val="000000" w:themeColor="text1"/>
                <w:sz w:val="20"/>
                <w:szCs w:val="20"/>
              </w:rPr>
            </w:pPr>
            <w:r w:rsidRPr="00BD2436">
              <w:rPr>
                <w:color w:val="000000" w:themeColor="text1"/>
                <w:sz w:val="20"/>
                <w:szCs w:val="20"/>
              </w:rPr>
              <w:t>Lai motivētu bezdarbniekus ātrāk atgriezties darba tirgū, kā arī nodrošinātu izdevumu sociālajiem pabalstiem samazināšanu 2020.</w:t>
            </w:r>
            <w:r w:rsidR="00C5582C" w:rsidRPr="00BD2436">
              <w:rPr>
                <w:color w:val="auto"/>
                <w:sz w:val="20"/>
              </w:rPr>
              <w:t>–</w:t>
            </w:r>
            <w:r w:rsidRPr="00BD2436">
              <w:rPr>
                <w:color w:val="000000" w:themeColor="text1"/>
                <w:sz w:val="20"/>
                <w:szCs w:val="20"/>
              </w:rPr>
              <w:t xml:space="preserve">2022.gadam ik gadu 12 336 730 </w:t>
            </w:r>
            <w:r w:rsidR="006114E9" w:rsidRPr="006114E9">
              <w:rPr>
                <w:i/>
                <w:noProof/>
                <w:color w:val="000000" w:themeColor="text1"/>
                <w:sz w:val="20"/>
              </w:rPr>
              <w:t>euro</w:t>
            </w:r>
            <w:r w:rsidRPr="00BD2436">
              <w:rPr>
                <w:color w:val="000000" w:themeColor="text1"/>
                <w:sz w:val="20"/>
                <w:szCs w:val="20"/>
              </w:rPr>
              <w:t xml:space="preserve"> apmērā (saskaņā ar </w:t>
            </w:r>
            <w:r w:rsidR="005070C6">
              <w:rPr>
                <w:color w:val="000000" w:themeColor="text1"/>
                <w:sz w:val="20"/>
                <w:szCs w:val="20"/>
              </w:rPr>
              <w:t>MK</w:t>
            </w:r>
            <w:r w:rsidRPr="00BD2436">
              <w:rPr>
                <w:color w:val="000000" w:themeColor="text1"/>
                <w:sz w:val="20"/>
                <w:szCs w:val="20"/>
              </w:rPr>
              <w:t xml:space="preserve"> 2019.gada 17.septembra sēdes prot. Nr.42, 34.§, 28.punktā doto uzdevumu)</w:t>
            </w:r>
            <w:r w:rsidRPr="00BD2436">
              <w:rPr>
                <w:iCs/>
                <w:color w:val="000000" w:themeColor="text1"/>
                <w:sz w:val="20"/>
                <w:szCs w:val="20"/>
              </w:rPr>
              <w:t>, ierosinātas izmaiņas bezdarbnieka pabalsta piešķiršanas kārtībā:</w:t>
            </w:r>
          </w:p>
          <w:p w14:paraId="57C5A8A5" w14:textId="77777777" w:rsidR="00510953" w:rsidRPr="00BD2436" w:rsidRDefault="00510953" w:rsidP="00510953">
            <w:pPr>
              <w:pStyle w:val="tv213"/>
              <w:numPr>
                <w:ilvl w:val="0"/>
                <w:numId w:val="36"/>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Cs/>
                <w:color w:val="000000" w:themeColor="text1"/>
                <w:sz w:val="20"/>
                <w:szCs w:val="20"/>
              </w:rPr>
            </w:pPr>
            <w:r w:rsidRPr="00BD2436">
              <w:rPr>
                <w:iCs/>
                <w:color w:val="000000" w:themeColor="text1"/>
                <w:sz w:val="20"/>
                <w:szCs w:val="20"/>
              </w:rPr>
              <w:t xml:space="preserve">samazināts bezdarbnieka pabalsta izmaksas ilgums no 9 mēnešiem uz 8 mēnešiem, </w:t>
            </w:r>
          </w:p>
          <w:p w14:paraId="54E3963D" w14:textId="77777777" w:rsidR="00510953" w:rsidRPr="00BD2436" w:rsidRDefault="00510953" w:rsidP="00510953">
            <w:pPr>
              <w:pStyle w:val="tv213"/>
              <w:numPr>
                <w:ilvl w:val="0"/>
                <w:numId w:val="36"/>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iCs/>
                <w:color w:val="000000" w:themeColor="text1"/>
                <w:sz w:val="20"/>
                <w:szCs w:val="20"/>
              </w:rPr>
            </w:pPr>
            <w:r w:rsidRPr="00BD2436">
              <w:rPr>
                <w:iCs/>
                <w:color w:val="000000" w:themeColor="text1"/>
                <w:sz w:val="20"/>
                <w:szCs w:val="20"/>
              </w:rPr>
              <w:t>samazināts bezdarbnieka pabalsta apmērs atkarībā no bezdarba ilguma:</w:t>
            </w:r>
          </w:p>
          <w:p w14:paraId="3A0779E7" w14:textId="77777777" w:rsidR="00510953" w:rsidRPr="00BD2436" w:rsidRDefault="00510953" w:rsidP="004630E1">
            <w:pPr>
              <w:pStyle w:val="tv213"/>
              <w:numPr>
                <w:ilvl w:val="0"/>
                <w:numId w:val="37"/>
              </w:numPr>
              <w:spacing w:before="0" w:beforeAutospacing="0" w:after="0" w:afterAutospacing="0"/>
              <w:ind w:left="992"/>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D2436">
              <w:rPr>
                <w:color w:val="000000" w:themeColor="text1"/>
                <w:sz w:val="20"/>
                <w:szCs w:val="20"/>
              </w:rPr>
              <w:t>piešķirto bezdarbnieka pabalstu pilnā apmērā izmaksā divus mēnešus (līdz šim trīs mēneši);</w:t>
            </w:r>
          </w:p>
          <w:p w14:paraId="4BDC614B" w14:textId="77777777" w:rsidR="00510953" w:rsidRPr="00BD2436" w:rsidRDefault="00510953" w:rsidP="004630E1">
            <w:pPr>
              <w:pStyle w:val="tv213"/>
              <w:numPr>
                <w:ilvl w:val="0"/>
                <w:numId w:val="37"/>
              </w:numPr>
              <w:spacing w:before="0" w:beforeAutospacing="0" w:after="0" w:afterAutospacing="0"/>
              <w:ind w:left="992"/>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D2436">
              <w:rPr>
                <w:color w:val="000000" w:themeColor="text1"/>
                <w:sz w:val="20"/>
                <w:szCs w:val="20"/>
              </w:rPr>
              <w:t>piešķirto bezdarbnieka pabalstu 75% apmērā izmaksā no 3-4 mēnesim (līdz šim no 4-6 mēnesim;</w:t>
            </w:r>
          </w:p>
          <w:p w14:paraId="608D53EF" w14:textId="77777777" w:rsidR="00510953" w:rsidRPr="00BD2436" w:rsidRDefault="00510953" w:rsidP="004630E1">
            <w:pPr>
              <w:pStyle w:val="tv213"/>
              <w:numPr>
                <w:ilvl w:val="0"/>
                <w:numId w:val="37"/>
              </w:numPr>
              <w:spacing w:before="0" w:beforeAutospacing="0" w:after="0" w:afterAutospacing="0"/>
              <w:ind w:left="992"/>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D2436">
              <w:rPr>
                <w:color w:val="000000" w:themeColor="text1"/>
                <w:sz w:val="20"/>
                <w:szCs w:val="20"/>
              </w:rPr>
              <w:t>piešķirto bezdarbnieka pabalstu 50% apmērā izmaksā no 5-6 mēnesim (līdz šim no 7-9 mēnesim);</w:t>
            </w:r>
          </w:p>
          <w:p w14:paraId="361A6FA3" w14:textId="0BD617C1" w:rsidR="00510953" w:rsidRPr="00510946" w:rsidRDefault="00510953" w:rsidP="00510946">
            <w:pPr>
              <w:pStyle w:val="tv213"/>
              <w:numPr>
                <w:ilvl w:val="0"/>
                <w:numId w:val="37"/>
              </w:numPr>
              <w:spacing w:before="0" w:beforeAutospacing="0" w:after="0" w:afterAutospacing="0"/>
              <w:ind w:left="992"/>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D2436">
              <w:rPr>
                <w:color w:val="000000" w:themeColor="text1"/>
                <w:sz w:val="20"/>
                <w:szCs w:val="20"/>
              </w:rPr>
              <w:t>piešķirto bezdarbnieka pabalstu 45% apmērā izmaksā no 7-8 mēnesim.</w:t>
            </w:r>
          </w:p>
        </w:tc>
      </w:tr>
      <w:tr w:rsidR="00510953" w:rsidRPr="00DD1A19" w14:paraId="30DB371B" w14:textId="77777777" w:rsidTr="00BD2436">
        <w:tc>
          <w:tcPr>
            <w:cnfStyle w:val="001000000000" w:firstRow="0" w:lastRow="0" w:firstColumn="1" w:lastColumn="0" w:oddVBand="0" w:evenVBand="0" w:oddHBand="0" w:evenHBand="0" w:firstRowFirstColumn="0" w:firstRowLastColumn="0" w:lastRowFirstColumn="0" w:lastRowLastColumn="0"/>
            <w:tcW w:w="2122" w:type="dxa"/>
          </w:tcPr>
          <w:p w14:paraId="4BA1ED41" w14:textId="77777777" w:rsidR="00510953" w:rsidRPr="00BD2436" w:rsidRDefault="00510953" w:rsidP="00BD2436">
            <w:pPr>
              <w:rPr>
                <w:b w:val="0"/>
                <w:color w:val="auto"/>
                <w:sz w:val="20"/>
              </w:rPr>
            </w:pPr>
            <w:r w:rsidRPr="00BD2436">
              <w:rPr>
                <w:color w:val="auto"/>
                <w:sz w:val="20"/>
              </w:rPr>
              <w:t>Nacionālais 2020 P&amp;A mērķis</w:t>
            </w:r>
            <w:r w:rsidRPr="00BD2436">
              <w:rPr>
                <w:b w:val="0"/>
                <w:color w:val="auto"/>
                <w:sz w:val="20"/>
              </w:rPr>
              <w:t xml:space="preserve"> </w:t>
            </w:r>
            <w:r w:rsidRPr="00BD2436">
              <w:rPr>
                <w:color w:val="auto"/>
                <w:sz w:val="20"/>
              </w:rPr>
              <w:t>(1,5% no IKP)</w:t>
            </w:r>
          </w:p>
        </w:tc>
        <w:tc>
          <w:tcPr>
            <w:tcW w:w="3827" w:type="dxa"/>
          </w:tcPr>
          <w:p w14:paraId="1E17BADF" w14:textId="1720E112" w:rsidR="00510953" w:rsidRPr="00BD2436" w:rsidRDefault="00510953" w:rsidP="00510953">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 xml:space="preserve">ZTAI nozares konkurētspējas paaugstināšana; </w:t>
            </w:r>
          </w:p>
          <w:p w14:paraId="0F68B1D7" w14:textId="77777777" w:rsidR="00510953" w:rsidRPr="00BD2436" w:rsidRDefault="00510953" w:rsidP="00510953">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ZTAI nozares sasaiste ar sabiedrības un tautsaimniecības attīstības vajadzībām;</w:t>
            </w:r>
          </w:p>
          <w:p w14:paraId="3E7B3AC1" w14:textId="77777777" w:rsidR="00510953" w:rsidRPr="00BD2436" w:rsidRDefault="00510953" w:rsidP="00510953">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ZTIA nozares efektīva pārvaldība;</w:t>
            </w:r>
          </w:p>
          <w:p w14:paraId="1889DA0E" w14:textId="77777777" w:rsidR="00510953" w:rsidRPr="00BD2436" w:rsidRDefault="00510953" w:rsidP="00510953">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Atbalsts inovatīvu komersantu attīstībai;</w:t>
            </w:r>
          </w:p>
          <w:p w14:paraId="7B7EF9B0" w14:textId="77777777" w:rsidR="00510953" w:rsidRPr="00BD2436" w:rsidRDefault="00510953" w:rsidP="00510953">
            <w:pPr>
              <w:pStyle w:val="ListParagraph"/>
              <w:numPr>
                <w:ilvl w:val="0"/>
                <w:numId w:val="6"/>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Sabiedrības izpratnes veicināšana, zinātnes un inovācijas popularizēšana.</w:t>
            </w:r>
          </w:p>
        </w:tc>
        <w:tc>
          <w:tcPr>
            <w:tcW w:w="8647" w:type="dxa"/>
          </w:tcPr>
          <w:p w14:paraId="513DD464" w14:textId="77777777" w:rsidR="00510953" w:rsidRPr="00BD2436" w:rsidRDefault="00510953" w:rsidP="00BD2436">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xml:space="preserve">Skat. Latvijas NRP. </w:t>
            </w:r>
          </w:p>
          <w:p w14:paraId="4C09D91E" w14:textId="5A32C239" w:rsidR="00510953" w:rsidRPr="00BD2436" w:rsidRDefault="00510953" w:rsidP="005070C6">
            <w:pPr>
              <w:autoSpaceDE w:val="0"/>
              <w:autoSpaceDN w:val="0"/>
              <w:adjustRightInd w:val="0"/>
              <w:spacing w:after="6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xml:space="preserve">2019.gada 22.maijā ar </w:t>
            </w:r>
            <w:r w:rsidRPr="00AF4673">
              <w:rPr>
                <w:color w:val="auto"/>
                <w:sz w:val="20"/>
              </w:rPr>
              <w:t>M</w:t>
            </w:r>
            <w:r w:rsidR="005070C6">
              <w:rPr>
                <w:color w:val="auto"/>
                <w:sz w:val="20"/>
              </w:rPr>
              <w:t xml:space="preserve">K </w:t>
            </w:r>
            <w:r w:rsidR="00F94D1D">
              <w:rPr>
                <w:color w:val="auto"/>
                <w:sz w:val="20"/>
              </w:rPr>
              <w:t>rīkojumu Nr.</w:t>
            </w:r>
            <w:r w:rsidRPr="00AF4673">
              <w:rPr>
                <w:color w:val="auto"/>
                <w:sz w:val="20"/>
              </w:rPr>
              <w:t xml:space="preserve">247 apstiprināts </w:t>
            </w:r>
            <w:r w:rsidRPr="00AF4673">
              <w:rPr>
                <w:bCs/>
                <w:color w:val="auto"/>
                <w:sz w:val="20"/>
              </w:rPr>
              <w:t>Uzņēmējdarbības vides pilnveidošan</w:t>
            </w:r>
            <w:r w:rsidR="00F94D1D">
              <w:rPr>
                <w:bCs/>
                <w:color w:val="auto"/>
                <w:sz w:val="20"/>
              </w:rPr>
              <w:t>as pasākumu plāns 2019. – 2022.</w:t>
            </w:r>
            <w:r w:rsidRPr="00AF4673">
              <w:rPr>
                <w:bCs/>
                <w:color w:val="auto"/>
                <w:sz w:val="20"/>
              </w:rPr>
              <w:t>gadam</w:t>
            </w:r>
            <w:r w:rsidRPr="00AF4673">
              <w:rPr>
                <w:color w:val="auto"/>
                <w:sz w:val="20"/>
              </w:rPr>
              <w:t>, kurā institūcijām līdz 2020.gadam ir noteikti konkrēti uzdevumi Nr. 4.12.1. – 4.12.5. ar mērķi veicināt valstī</w:t>
            </w:r>
            <w:r w:rsidRPr="00BD2436">
              <w:rPr>
                <w:color w:val="auto"/>
                <w:sz w:val="20"/>
              </w:rPr>
              <w:t xml:space="preserve"> inovāciju attīstību.</w:t>
            </w:r>
          </w:p>
        </w:tc>
      </w:tr>
      <w:tr w:rsidR="00510953" w:rsidRPr="00FF3D71" w14:paraId="492FB073" w14:textId="77777777" w:rsidTr="00BD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4DDCD2A" w14:textId="77777777" w:rsidR="00510953" w:rsidRPr="00BD2436" w:rsidRDefault="00510953" w:rsidP="000839ED">
            <w:pPr>
              <w:spacing w:after="0"/>
              <w:rPr>
                <w:b w:val="0"/>
                <w:color w:val="auto"/>
                <w:sz w:val="20"/>
              </w:rPr>
            </w:pPr>
            <w:r w:rsidRPr="00BD2436">
              <w:rPr>
                <w:color w:val="auto"/>
                <w:sz w:val="20"/>
              </w:rPr>
              <w:t>Nacionālais SEG emisijas</w:t>
            </w:r>
            <w:r w:rsidRPr="00BD2436">
              <w:rPr>
                <w:b w:val="0"/>
                <w:color w:val="auto"/>
                <w:sz w:val="20"/>
              </w:rPr>
              <w:t xml:space="preserve"> </w:t>
            </w:r>
            <w:r w:rsidRPr="00BD2436">
              <w:rPr>
                <w:color w:val="auto"/>
                <w:sz w:val="20"/>
              </w:rPr>
              <w:t>ierobežošanas mērķis (12,2 Mt CO</w:t>
            </w:r>
            <w:r w:rsidRPr="00BD2436">
              <w:rPr>
                <w:color w:val="auto"/>
                <w:sz w:val="20"/>
                <w:vertAlign w:val="subscript"/>
              </w:rPr>
              <w:t>2</w:t>
            </w:r>
            <w:r w:rsidRPr="00BD2436">
              <w:rPr>
                <w:color w:val="auto"/>
                <w:sz w:val="20"/>
              </w:rPr>
              <w:t>)</w:t>
            </w:r>
          </w:p>
        </w:tc>
        <w:tc>
          <w:tcPr>
            <w:tcW w:w="3827" w:type="dxa"/>
          </w:tcPr>
          <w:p w14:paraId="2C14B39A" w14:textId="77777777" w:rsidR="00510953" w:rsidRPr="00BD2436" w:rsidRDefault="00510953" w:rsidP="000839ED">
            <w:pPr>
              <w:pStyle w:val="ListParagraph"/>
              <w:numPr>
                <w:ilvl w:val="0"/>
                <w:numId w:val="5"/>
              </w:numPr>
              <w:spacing w:after="0" w:line="240" w:lineRule="auto"/>
              <w:ind w:left="180"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Ne-ETS nozaru emisiju ierobežošana;</w:t>
            </w:r>
          </w:p>
          <w:p w14:paraId="313AF1A3" w14:textId="77777777" w:rsidR="00510953" w:rsidRPr="00BD2436" w:rsidRDefault="00510953" w:rsidP="000839ED">
            <w:pPr>
              <w:pStyle w:val="ListParagraph"/>
              <w:numPr>
                <w:ilvl w:val="0"/>
                <w:numId w:val="5"/>
              </w:numPr>
              <w:spacing w:after="0" w:line="240" w:lineRule="auto"/>
              <w:ind w:left="180" w:hanging="219"/>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Pētniecība, inovācijas, sabiedrības informēšana.</w:t>
            </w:r>
          </w:p>
        </w:tc>
        <w:tc>
          <w:tcPr>
            <w:tcW w:w="8647" w:type="dxa"/>
          </w:tcPr>
          <w:p w14:paraId="3D54DA20"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Skat. Latvijas NRP.</w:t>
            </w:r>
          </w:p>
          <w:p w14:paraId="7B40C447"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1. Latvijai laika periodā līdz 2020. gadam pieļauts ne-ETS darbību SEG emisiju pieaugums par 17%, salīdzinot ar Latvijas ne-ETS darbību SEG emisiju apjomu 2005. gadā.</w:t>
            </w:r>
          </w:p>
          <w:p w14:paraId="7EB6E302" w14:textId="518EB778"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Tiek prognozēts, ka Latvija izpildīts SEG emisij</w:t>
            </w:r>
            <w:r w:rsidR="006F4DE6">
              <w:rPr>
                <w:color w:val="auto"/>
                <w:sz w:val="20"/>
              </w:rPr>
              <w:t>u samazināšanas mērķus uz 2020.</w:t>
            </w:r>
            <w:r w:rsidRPr="00BD2436">
              <w:rPr>
                <w:color w:val="auto"/>
                <w:sz w:val="20"/>
              </w:rPr>
              <w:t>gadu, kas noteikti nacionālajos politikas plānošanas dokumentos un ES tiesību aktos.</w:t>
            </w:r>
          </w:p>
        </w:tc>
      </w:tr>
      <w:tr w:rsidR="00510953" w:rsidRPr="00FF3D71" w14:paraId="6C7AD213" w14:textId="77777777" w:rsidTr="00BD2436">
        <w:tc>
          <w:tcPr>
            <w:cnfStyle w:val="001000000000" w:firstRow="0" w:lastRow="0" w:firstColumn="1" w:lastColumn="0" w:oddVBand="0" w:evenVBand="0" w:oddHBand="0" w:evenHBand="0" w:firstRowFirstColumn="0" w:firstRowLastColumn="0" w:lastRowFirstColumn="0" w:lastRowLastColumn="0"/>
            <w:tcW w:w="2122" w:type="dxa"/>
          </w:tcPr>
          <w:p w14:paraId="4590F4D5" w14:textId="77777777" w:rsidR="00510953" w:rsidRPr="00BD2436" w:rsidRDefault="00510953" w:rsidP="00BD2436">
            <w:pPr>
              <w:rPr>
                <w:b w:val="0"/>
                <w:color w:val="auto"/>
                <w:sz w:val="20"/>
              </w:rPr>
            </w:pPr>
            <w:r w:rsidRPr="00BD2436">
              <w:rPr>
                <w:color w:val="auto"/>
                <w:sz w:val="20"/>
              </w:rPr>
              <w:t>Atjaunojamās enerģijas mērķis (40,0%)</w:t>
            </w:r>
          </w:p>
        </w:tc>
        <w:tc>
          <w:tcPr>
            <w:tcW w:w="3827" w:type="dxa"/>
          </w:tcPr>
          <w:p w14:paraId="650D6D0A" w14:textId="77777777" w:rsidR="00510953" w:rsidRPr="00BD2436" w:rsidRDefault="00510953" w:rsidP="00510953">
            <w:pPr>
              <w:pStyle w:val="ListParagraph"/>
              <w:numPr>
                <w:ilvl w:val="0"/>
                <w:numId w:val="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Tiesiskās bāzes sakārtošana;</w:t>
            </w:r>
          </w:p>
          <w:p w14:paraId="4F1CF46B" w14:textId="77777777" w:rsidR="00510953" w:rsidRPr="00BD2436" w:rsidRDefault="00510953" w:rsidP="00510953">
            <w:pPr>
              <w:pStyle w:val="ListParagraph"/>
              <w:numPr>
                <w:ilvl w:val="0"/>
                <w:numId w:val="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Finanšu resursu pieejamības nodrošināšana atjaunojamās enerģijas ražošanai;</w:t>
            </w:r>
          </w:p>
          <w:p w14:paraId="24D99A45" w14:textId="77777777" w:rsidR="00510953" w:rsidRPr="00BD2436" w:rsidRDefault="00510953" w:rsidP="00510953">
            <w:pPr>
              <w:pStyle w:val="ListParagraph"/>
              <w:numPr>
                <w:ilvl w:val="0"/>
                <w:numId w:val="8"/>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Pasākumi atjaunojamo energoresursu 10% mērķa sasniegšanai transporta sektorā.</w:t>
            </w:r>
          </w:p>
        </w:tc>
        <w:tc>
          <w:tcPr>
            <w:tcW w:w="8647" w:type="dxa"/>
          </w:tcPr>
          <w:p w14:paraId="4B000409" w14:textId="77777777" w:rsidR="00510953" w:rsidRPr="00BD2436" w:rsidRDefault="00510953" w:rsidP="00BD2436">
            <w:pPr>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Skat. Latvijas NRP.</w:t>
            </w:r>
          </w:p>
          <w:p w14:paraId="5AA7A53C" w14:textId="77777777" w:rsidR="00510953" w:rsidRPr="00BD2436" w:rsidRDefault="00510953" w:rsidP="00BD2436">
            <w:pPr>
              <w:spacing w:after="60"/>
              <w:cnfStyle w:val="000000000000" w:firstRow="0" w:lastRow="0" w:firstColumn="0" w:lastColumn="0" w:oddVBand="0" w:evenVBand="0" w:oddHBand="0" w:evenHBand="0" w:firstRowFirstColumn="0" w:firstRowLastColumn="0" w:lastRowFirstColumn="0" w:lastRowLastColumn="0"/>
              <w:rPr>
                <w:color w:val="auto"/>
                <w:sz w:val="20"/>
              </w:rPr>
            </w:pPr>
          </w:p>
        </w:tc>
      </w:tr>
      <w:tr w:rsidR="00510953" w:rsidRPr="00FF3D71" w14:paraId="50167A2B" w14:textId="77777777" w:rsidTr="00BD2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EDA1698" w14:textId="77777777" w:rsidR="00510953" w:rsidRPr="00BD2436" w:rsidRDefault="00510953" w:rsidP="000839ED">
            <w:pPr>
              <w:spacing w:after="0"/>
              <w:rPr>
                <w:b w:val="0"/>
                <w:color w:val="auto"/>
                <w:sz w:val="20"/>
              </w:rPr>
            </w:pPr>
            <w:r w:rsidRPr="00BD2436">
              <w:rPr>
                <w:color w:val="auto"/>
                <w:sz w:val="20"/>
              </w:rPr>
              <w:t xml:space="preserve">Nacionālais </w:t>
            </w:r>
            <w:r w:rsidRPr="00BD2436">
              <w:rPr>
                <w:color w:val="auto"/>
                <w:sz w:val="20"/>
              </w:rPr>
              <w:lastRenderedPageBreak/>
              <w:t>energoefektivitātes mērķis (0,670 Mtoe)</w:t>
            </w:r>
          </w:p>
        </w:tc>
        <w:tc>
          <w:tcPr>
            <w:tcW w:w="3827" w:type="dxa"/>
          </w:tcPr>
          <w:p w14:paraId="4FA18A14" w14:textId="77777777" w:rsidR="00510953" w:rsidRPr="00BD2436" w:rsidRDefault="00510953" w:rsidP="000839ED">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lastRenderedPageBreak/>
              <w:t xml:space="preserve">Energoefektivitātes paaugstināšana </w:t>
            </w:r>
            <w:r w:rsidRPr="00BD2436">
              <w:rPr>
                <w:rFonts w:ascii="Times New Roman" w:hAnsi="Times New Roman"/>
                <w:color w:val="auto"/>
                <w:sz w:val="20"/>
              </w:rPr>
              <w:lastRenderedPageBreak/>
              <w:t>mājokļos un rūpnieciskajā ražošanā;</w:t>
            </w:r>
          </w:p>
          <w:p w14:paraId="033AF856" w14:textId="77777777" w:rsidR="00510953" w:rsidRPr="00BD2436" w:rsidRDefault="00510953" w:rsidP="000839ED">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Energoefektivitātes paaugstināšana sabiedriskajās ēkās;</w:t>
            </w:r>
          </w:p>
          <w:p w14:paraId="0855B145" w14:textId="77777777" w:rsidR="00510953" w:rsidRPr="00BD2436" w:rsidRDefault="00510953" w:rsidP="000839ED">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Efektīvas apgaismojuma infrastruktūras ieviešana pašvaldību publiskajās teritorijās;</w:t>
            </w:r>
          </w:p>
          <w:p w14:paraId="5A7E561F" w14:textId="77777777" w:rsidR="00510953" w:rsidRPr="00BD2436" w:rsidRDefault="00510953" w:rsidP="000839ED">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Energoefektivitātes paaugstināšana siltumenerģijas ražošanā;</w:t>
            </w:r>
          </w:p>
          <w:p w14:paraId="3BBABA9F" w14:textId="77777777" w:rsidR="00510953" w:rsidRPr="00BD2436" w:rsidRDefault="00510953" w:rsidP="000839ED">
            <w:pPr>
              <w:pStyle w:val="ListParagraph"/>
              <w:numPr>
                <w:ilvl w:val="0"/>
                <w:numId w:val="7"/>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Atbalsts energoietilpīgiem komersantiem.</w:t>
            </w:r>
          </w:p>
        </w:tc>
        <w:tc>
          <w:tcPr>
            <w:tcW w:w="8647" w:type="dxa"/>
          </w:tcPr>
          <w:p w14:paraId="05962860"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lastRenderedPageBreak/>
              <w:t>Skat. Latvijas NRP.</w:t>
            </w:r>
          </w:p>
          <w:p w14:paraId="6C97B0B5"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lastRenderedPageBreak/>
              <w:t>1.-;</w:t>
            </w:r>
          </w:p>
          <w:p w14:paraId="1262F4AF" w14:textId="602D9462" w:rsidR="00510953" w:rsidRPr="00BD2436" w:rsidRDefault="00614666"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2. 2019.</w:t>
            </w:r>
            <w:r w:rsidR="00510953" w:rsidRPr="00BD2436">
              <w:rPr>
                <w:color w:val="auto"/>
                <w:sz w:val="20"/>
              </w:rPr>
              <w:t>gadā turpinās Emisijas kvotu izsolīšanas instrumenta (EKII) projektu konkursa "Siltumnīcefekta gāzu emisiju samazināšana – zema enerģijas patēriņa ēkas" (turpmāk – EKII-2) 5 projektu īstenošana. Konkursa ievaros divu projektu īst</w:t>
            </w:r>
            <w:r>
              <w:rPr>
                <w:color w:val="auto"/>
                <w:sz w:val="20"/>
              </w:rPr>
              <w:t>enošana ir pabeigta. Līdz 2019.</w:t>
            </w:r>
            <w:r w:rsidR="00510953" w:rsidRPr="00BD2436">
              <w:rPr>
                <w:color w:val="auto"/>
                <w:sz w:val="20"/>
              </w:rPr>
              <w:t>gada 30.augustam EKII finansējums projektiem EKII-2 ietvaros kopā ir izmaksāts 1</w:t>
            </w:r>
            <w:r w:rsidR="00C5582C">
              <w:rPr>
                <w:color w:val="auto"/>
                <w:sz w:val="20"/>
              </w:rPr>
              <w:t> </w:t>
            </w:r>
            <w:r w:rsidR="00510953" w:rsidRPr="00BD2436">
              <w:rPr>
                <w:color w:val="auto"/>
                <w:sz w:val="20"/>
              </w:rPr>
              <w:t>316</w:t>
            </w:r>
            <w:r w:rsidR="00C5582C">
              <w:rPr>
                <w:color w:val="auto"/>
                <w:sz w:val="20"/>
              </w:rPr>
              <w:t> </w:t>
            </w:r>
            <w:r w:rsidR="00510953" w:rsidRPr="00BD2436">
              <w:rPr>
                <w:color w:val="auto"/>
                <w:sz w:val="20"/>
              </w:rPr>
              <w:t xml:space="preserve">716 </w:t>
            </w:r>
            <w:r w:rsidR="006114E9" w:rsidRPr="006114E9">
              <w:rPr>
                <w:i/>
                <w:noProof/>
                <w:color w:val="000000" w:themeColor="text1"/>
                <w:sz w:val="20"/>
              </w:rPr>
              <w:t>euro</w:t>
            </w:r>
            <w:r w:rsidR="00510953" w:rsidRPr="00BD2436">
              <w:rPr>
                <w:color w:val="auto"/>
                <w:sz w:val="20"/>
              </w:rPr>
              <w:t xml:space="preserve"> apmērā.</w:t>
            </w:r>
          </w:p>
          <w:p w14:paraId="7951AAD2" w14:textId="4D3E7378"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Tiek turpināta arī EKII projektu konkursa "Siltumnīcefekta gāzu emisiju samazināšana valsts nozīmes aizsargājamos arhitektūras pieminekļos" (EKII-1) 7 projektu īstenošana. Pārskata per</w:t>
            </w:r>
            <w:r w:rsidR="00AF4673">
              <w:rPr>
                <w:color w:val="auto"/>
                <w:sz w:val="20"/>
              </w:rPr>
              <w:t>iodā viens projekts ir pabeigts</w:t>
            </w:r>
            <w:r w:rsidRPr="00BD2436">
              <w:rPr>
                <w:color w:val="auto"/>
                <w:sz w:val="20"/>
              </w:rPr>
              <w:t xml:space="preserve"> un viens projekta īstenošan</w:t>
            </w:r>
            <w:r w:rsidR="00614666">
              <w:rPr>
                <w:color w:val="auto"/>
                <w:sz w:val="20"/>
              </w:rPr>
              <w:t>as līgums ir lauzts. Līdz 2019.</w:t>
            </w:r>
            <w:r w:rsidRPr="00BD2436">
              <w:rPr>
                <w:color w:val="auto"/>
                <w:sz w:val="20"/>
              </w:rPr>
              <w:t xml:space="preserve">gada 30.augustam  projektiem EKII-1 ietvaros EKII finansējums kopā izmaksāts 1 185 981 </w:t>
            </w:r>
            <w:r w:rsidR="006114E9" w:rsidRPr="006114E9">
              <w:rPr>
                <w:i/>
                <w:noProof/>
                <w:color w:val="000000" w:themeColor="text1"/>
                <w:sz w:val="20"/>
              </w:rPr>
              <w:t>euro</w:t>
            </w:r>
            <w:r w:rsidR="00AF4673">
              <w:rPr>
                <w:color w:val="auto"/>
                <w:sz w:val="20"/>
              </w:rPr>
              <w:t xml:space="preserve"> apmērā.</w:t>
            </w:r>
          </w:p>
          <w:p w14:paraId="4D1344E8"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Abu konkursu ietvaros kopējais plānotais oglekļa dioksīda emisiju samazinājums būs 989 tonnas.</w:t>
            </w:r>
          </w:p>
          <w:p w14:paraId="7747539E" w14:textId="54036EAD" w:rsidR="00510953" w:rsidRPr="00BD2436" w:rsidRDefault="00614666"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2019.</w:t>
            </w:r>
            <w:r w:rsidR="00510953" w:rsidRPr="00BD2436">
              <w:rPr>
                <w:color w:val="auto"/>
                <w:sz w:val="20"/>
              </w:rPr>
              <w:t xml:space="preserve">gadā uzsākta EKII projektu konkursa “Siltumnīcefekta gāzu emisiju samazināšana, attīstot enerģētiski pašpietiekamu ēku būvniecību” (EKII-4) īstenošana kura ietvaros noslēgti 2 projekta īstenošanas līgumi un pārskata periodā veikti izdevumi 5 milj, </w:t>
            </w:r>
            <w:r w:rsidR="006114E9" w:rsidRPr="006114E9">
              <w:rPr>
                <w:i/>
                <w:noProof/>
                <w:color w:val="000000" w:themeColor="text1"/>
                <w:sz w:val="20"/>
              </w:rPr>
              <w:t>euro</w:t>
            </w:r>
            <w:r w:rsidR="00510953" w:rsidRPr="00BD2436">
              <w:rPr>
                <w:color w:val="auto"/>
                <w:sz w:val="20"/>
              </w:rPr>
              <w:t xml:space="preserve"> apmērā. </w:t>
            </w:r>
          </w:p>
          <w:p w14:paraId="065FBE5A" w14:textId="214C0E70" w:rsidR="00510953" w:rsidRPr="00BD2436" w:rsidRDefault="00614666"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3. 2019.</w:t>
            </w:r>
            <w:r w:rsidR="00510953" w:rsidRPr="00BD2436">
              <w:rPr>
                <w:color w:val="auto"/>
                <w:sz w:val="20"/>
              </w:rPr>
              <w:t xml:space="preserve">gadā uzsākta EKII projektu konkursa “Siltumnīcefekta gāzu emisiju samazināšana ar viedajām pilsētvides tehnoloģijām” (EKII-3) īstenošana, kura ietvaros noslēgti 18 projekti īstenošanas līgumi ( divi no tiem pārskata periodā lauzti -). Pārskata periodā EKII-3 projektu konkursa ietvaros izmaksāti 221 434 </w:t>
            </w:r>
            <w:r w:rsidR="006114E9" w:rsidRPr="006114E9">
              <w:rPr>
                <w:i/>
                <w:noProof/>
                <w:color w:val="000000" w:themeColor="text1"/>
                <w:sz w:val="20"/>
              </w:rPr>
              <w:t>euro</w:t>
            </w:r>
            <w:r w:rsidR="00510953" w:rsidRPr="00BD2436">
              <w:rPr>
                <w:color w:val="auto"/>
                <w:sz w:val="20"/>
              </w:rPr>
              <w:t>. Konkursa ietvaros plānotais oglekļa dioksīda emisiju samazinājums būs 649 tonnas. Lielākā daļa iesniegto projektu ir saistītas ar energoefektivitātes risinājumiem ielu apgaismojuma jomā.</w:t>
            </w:r>
          </w:p>
          <w:p w14:paraId="2216302E"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4. -;</w:t>
            </w:r>
          </w:p>
          <w:p w14:paraId="48431201"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5.-.</w:t>
            </w:r>
          </w:p>
        </w:tc>
      </w:tr>
      <w:tr w:rsidR="00510953" w:rsidRPr="003E0771" w14:paraId="3540B38B" w14:textId="77777777" w:rsidTr="00BD2436">
        <w:tc>
          <w:tcPr>
            <w:cnfStyle w:val="001000000000" w:firstRow="0" w:lastRow="0" w:firstColumn="1" w:lastColumn="0" w:oddVBand="0" w:evenVBand="0" w:oddHBand="0" w:evenHBand="0" w:firstRowFirstColumn="0" w:firstRowLastColumn="0" w:lastRowFirstColumn="0" w:lastRowLastColumn="0"/>
            <w:tcW w:w="2122" w:type="dxa"/>
          </w:tcPr>
          <w:p w14:paraId="09599A3E" w14:textId="77777777" w:rsidR="00510953" w:rsidRPr="00BD2436" w:rsidRDefault="00510953" w:rsidP="000839ED">
            <w:pPr>
              <w:spacing w:after="0"/>
              <w:rPr>
                <w:b w:val="0"/>
                <w:color w:val="auto"/>
                <w:sz w:val="20"/>
              </w:rPr>
            </w:pPr>
            <w:r w:rsidRPr="00BD2436">
              <w:rPr>
                <w:color w:val="auto"/>
                <w:sz w:val="20"/>
              </w:rPr>
              <w:lastRenderedPageBreak/>
              <w:t>Nacionālais mērķis attiecībā uz jauniešiem, kuri priekšlaicīgi pārtraukuši mācības (13,4% (10,0%))</w:t>
            </w:r>
          </w:p>
        </w:tc>
        <w:tc>
          <w:tcPr>
            <w:tcW w:w="3827" w:type="dxa"/>
          </w:tcPr>
          <w:p w14:paraId="4D7EEF19" w14:textId="77777777" w:rsidR="00510953" w:rsidRPr="00BD2436" w:rsidRDefault="00510953" w:rsidP="000839ED">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Pamata un vidējās izglītības pieejamības nodrošināšana;</w:t>
            </w:r>
          </w:p>
          <w:p w14:paraId="19A7833A" w14:textId="77777777" w:rsidR="00510953" w:rsidRPr="00BD2436" w:rsidRDefault="00510953" w:rsidP="000839ED">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Modernu mācību metožu ieviešana;</w:t>
            </w:r>
          </w:p>
          <w:p w14:paraId="4A620630" w14:textId="77777777" w:rsidR="00510953" w:rsidRPr="00BD2436" w:rsidRDefault="00510953" w:rsidP="000839ED">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Strukturālo izmaiņu īstenošana profesionālajā izglītībā;</w:t>
            </w:r>
          </w:p>
          <w:p w14:paraId="2D94292B" w14:textId="77777777" w:rsidR="00510953" w:rsidRPr="00BD2436" w:rsidRDefault="00510953" w:rsidP="000839ED">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 xml:space="preserve">Profesionālās izglītības satura reformas īstenošana </w:t>
            </w:r>
          </w:p>
          <w:p w14:paraId="27FC2646" w14:textId="77777777" w:rsidR="00510953" w:rsidRPr="00BD2436" w:rsidRDefault="00510953" w:rsidP="000839ED">
            <w:pPr>
              <w:pStyle w:val="ListParagraph"/>
              <w:numPr>
                <w:ilvl w:val="0"/>
                <w:numId w:val="9"/>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Sadarbības ar sociālajiem partneriem profesionālās izglītības pilnveidošanai un attīstībai stiprināšana nozaru kontekstā.</w:t>
            </w:r>
          </w:p>
        </w:tc>
        <w:tc>
          <w:tcPr>
            <w:tcW w:w="8647" w:type="dxa"/>
          </w:tcPr>
          <w:p w14:paraId="0F550221" w14:textId="6EB5BC60" w:rsidR="00510953" w:rsidRPr="00BD2436" w:rsidRDefault="00C5582C" w:rsidP="000839ED">
            <w:pPr>
              <w:spacing w:after="0"/>
              <w:cnfStyle w:val="000000000000" w:firstRow="0" w:lastRow="0" w:firstColumn="0" w:lastColumn="0" w:oddVBand="0" w:evenVBand="0" w:oddHBand="0" w:evenHBand="0" w:firstRowFirstColumn="0" w:firstRowLastColumn="0" w:lastRowFirstColumn="0" w:lastRowLastColumn="0"/>
              <w:rPr>
                <w:bCs/>
                <w:color w:val="auto"/>
                <w:sz w:val="20"/>
              </w:rPr>
            </w:pPr>
            <w:r>
              <w:rPr>
                <w:bCs/>
                <w:color w:val="auto"/>
                <w:sz w:val="20"/>
              </w:rPr>
              <w:t>Kopš 2017.</w:t>
            </w:r>
            <w:r w:rsidR="00510953" w:rsidRPr="00BD2436">
              <w:rPr>
                <w:bCs/>
                <w:color w:val="auto"/>
                <w:sz w:val="20"/>
              </w:rPr>
              <w:t>gada marta Valsts izglītības kvalitātes dienests īsteno ESF projektu “Atbalsts priekšlaicīgas mācību pārtraukšanas samazināšanai” (“PUMPURS”). Līdz 2019. gada jūnijam ir noslēgti 110 sadarbības līgumi ar pašvaldībām, kopumā iesaistot 410 izglītības iestādes, tai skaitā 32 valsts profesionālās izglītības iestādes un 378 vispārējās izglītības iestādes. Kopš 2017. gada marta tika īstenoti 21</w:t>
            </w:r>
            <w:r w:rsidR="006114E9">
              <w:rPr>
                <w:bCs/>
                <w:color w:val="auto"/>
                <w:sz w:val="20"/>
              </w:rPr>
              <w:t> </w:t>
            </w:r>
            <w:r w:rsidR="00510953" w:rsidRPr="00BD2436">
              <w:rPr>
                <w:bCs/>
                <w:color w:val="auto"/>
                <w:sz w:val="20"/>
              </w:rPr>
              <w:t>858 individuālie atbalsta plāni. Kopējais indikatīvais plānotais finansējums ir 37,5 milj</w:t>
            </w:r>
            <w:r w:rsidR="00F05A35">
              <w:rPr>
                <w:bCs/>
                <w:color w:val="auto"/>
                <w:sz w:val="20"/>
              </w:rPr>
              <w:t xml:space="preserve">. </w:t>
            </w:r>
            <w:r w:rsidR="006114E9" w:rsidRPr="006114E9">
              <w:rPr>
                <w:i/>
                <w:noProof/>
                <w:color w:val="000000" w:themeColor="text1"/>
                <w:sz w:val="20"/>
              </w:rPr>
              <w:t>euro</w:t>
            </w:r>
            <w:r w:rsidR="00510953" w:rsidRPr="00BD2436">
              <w:rPr>
                <w:bCs/>
                <w:color w:val="auto"/>
                <w:sz w:val="20"/>
              </w:rPr>
              <w:t>, t.sk. ESF – 31,8 milj</w:t>
            </w:r>
            <w:r w:rsidR="00F05A35">
              <w:rPr>
                <w:bCs/>
                <w:color w:val="auto"/>
                <w:sz w:val="20"/>
              </w:rPr>
              <w:t>.</w:t>
            </w:r>
            <w:r w:rsidR="00510953" w:rsidRPr="00BD2436">
              <w:rPr>
                <w:bCs/>
                <w:color w:val="auto"/>
                <w:sz w:val="20"/>
              </w:rPr>
              <w:t xml:space="preserve"> </w:t>
            </w:r>
            <w:r w:rsidR="006114E9" w:rsidRPr="006114E9">
              <w:rPr>
                <w:i/>
                <w:noProof/>
                <w:color w:val="000000" w:themeColor="text1"/>
                <w:sz w:val="20"/>
              </w:rPr>
              <w:t>euro</w:t>
            </w:r>
            <w:r>
              <w:rPr>
                <w:bCs/>
                <w:color w:val="auto"/>
                <w:sz w:val="20"/>
              </w:rPr>
              <w:t>. Projekta ilgums ir līdz 2022.</w:t>
            </w:r>
            <w:r w:rsidR="00510953" w:rsidRPr="00BD2436">
              <w:rPr>
                <w:bCs/>
                <w:color w:val="auto"/>
                <w:sz w:val="20"/>
              </w:rPr>
              <w:t>gadam.</w:t>
            </w:r>
          </w:p>
          <w:p w14:paraId="4B3F7664"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bCs/>
                <w:color w:val="auto"/>
                <w:sz w:val="20"/>
              </w:rPr>
              <w:t>(1) Turpinot darbu pie izglītības iestāžu tīkla pilnveides, IZM ir izstrādājusi piedāvājumu skolu tīkla sakārtošanai (iekļauts informatīvajā ziņojumā “Par skolu tīkla sakārtošanu” (izskatīts 21.05.2019. MK sēdē)), kas plānots kontekstā ar administratīvi teritoriālo reformu 2021.gadā. Minētais piedāvājums paredz noteikt minimālo pieļaujamo izglītojamo skaitu klašu grupās pamatizglītības un vidējās izglītības pakāpē pašvaldību, valsts augstskolu un privātajās izglītības iestādēs, vienlaikus ievērojot principus – sākumskola maksimāli tuvu bērnu dzīvesvietai, pamatskola un vidusskola, kurā tiek nodrošināts kompetenču pieejai atbilstošs un kvalitatīvs mācību programmu piedāvājums. Izglītojamo skaitu atbilstoši Latvijas teritoriālajam iedalījumam plānots noteikt, ņemot vērā iedzīvotāju un izglītojamo skaitu konkrētajās teritorijās. Izvērtējot piedāvājumu, IZM 2019.gada augustā ir uzsākusi individuālas sarunas ar katru no 119 Latvijas pašvaldībām par izglītības iestāžu tīkla attīstību.</w:t>
            </w:r>
            <w:r w:rsidRPr="00BD2436">
              <w:rPr>
                <w:color w:val="auto"/>
                <w:sz w:val="20"/>
              </w:rPr>
              <w:t xml:space="preserve"> </w:t>
            </w:r>
          </w:p>
          <w:p w14:paraId="5CADC254"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(2) Skat. Latvijas NRP.</w:t>
            </w:r>
          </w:p>
          <w:p w14:paraId="1104EEDB"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xml:space="preserve">2019.gada 3.septembra noteikumi “Noteikumi par valsts vispārējās vidējās izglītības standartu un </w:t>
            </w:r>
            <w:r w:rsidRPr="00BD2436">
              <w:rPr>
                <w:color w:val="auto"/>
                <w:sz w:val="20"/>
              </w:rPr>
              <w:lastRenderedPageBreak/>
              <w:t>vispārējās vidējās izglītības programmu paraugiem”. Uzsākta jaunā mācību satura ieviešana pirmsskolas izglītības pakāpē. Izstrādātas un publicētas mācību programmas un mācību metodiskie līdzekļi pirmsskolai. Turpinās pedagogu profesionālās pilnveides pasākumi, lai nodrošinātu jaunā satura ieviešanu un uzsāktu pārēju uz mācībām latviešu valodā vidējās izglītības pakāpē. Līdztekus pedagogu profesionālās kompetences pilnveidei Tiek īstenoti atbalsta pasākumi pedagogiem pieredzes apmaiņas semināru, vebināru, e-mācību veidā.</w:t>
            </w:r>
          </w:p>
          <w:p w14:paraId="054BEEFA" w14:textId="77777777" w:rsidR="00510953" w:rsidRPr="00BD2436" w:rsidRDefault="00510953" w:rsidP="000839ED">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Informāciju par 3. un 4. punktu lūdzu skat. tabulas “6.a Valstu specifiskās rekomendācijas” 2. punktu.</w:t>
            </w:r>
          </w:p>
          <w:p w14:paraId="4D1B8EC3" w14:textId="35108F99" w:rsidR="00510953" w:rsidRPr="00BD2436" w:rsidRDefault="00510953" w:rsidP="002F2643">
            <w:pPr>
              <w:spacing w:after="0"/>
              <w:cnfStyle w:val="000000000000" w:firstRow="0" w:lastRow="0" w:firstColumn="0" w:lastColumn="0" w:oddVBand="0" w:evenVBand="0" w:oddHBand="0" w:evenHBand="0" w:firstRowFirstColumn="0" w:firstRowLastColumn="0" w:lastRowFirstColumn="0" w:lastRowLastColumn="0"/>
              <w:rPr>
                <w:color w:val="auto"/>
                <w:sz w:val="20"/>
              </w:rPr>
            </w:pPr>
            <w:r w:rsidRPr="00BD2436">
              <w:rPr>
                <w:color w:val="auto"/>
                <w:sz w:val="20"/>
              </w:rPr>
              <w:t xml:space="preserve">(5) </w:t>
            </w:r>
            <w:r w:rsidR="002F2643" w:rsidRPr="002F2643">
              <w:rPr>
                <w:bCs/>
                <w:color w:val="auto"/>
                <w:sz w:val="20"/>
              </w:rPr>
              <w:t>Latvijas Darba devēju konfederācija</w:t>
            </w:r>
            <w:r w:rsidRPr="00BD2436">
              <w:rPr>
                <w:color w:val="auto"/>
                <w:sz w:val="20"/>
              </w:rPr>
              <w:t xml:space="preserve"> un Lauksaimnieku organizāciju sadarbības padome turpina Nozaru ekspertu padomju (NEP) darba koordinēšanu nozaru ekspertiem iesaistoties profesionālās izglītības satura attīstībā, īstenošanā un kvalifikācijas eksāmenu vērtēšanā, kā arī reformu īstenošanā profesionāl</w:t>
            </w:r>
            <w:r w:rsidR="00C5582C">
              <w:rPr>
                <w:color w:val="auto"/>
                <w:sz w:val="20"/>
              </w:rPr>
              <w:t>ajā izglītībā. Vienlaikus 2019.</w:t>
            </w:r>
            <w:r w:rsidRPr="00BD2436">
              <w:rPr>
                <w:color w:val="auto"/>
                <w:sz w:val="20"/>
              </w:rPr>
              <w:t>gada vidū IZM ir nodrošinājusi finansējumu NEP koordinējošās funkcijas īstenošanai. Līdzīgā apmērā finansējum</w:t>
            </w:r>
            <w:r w:rsidR="00C5582C">
              <w:rPr>
                <w:color w:val="auto"/>
                <w:sz w:val="20"/>
              </w:rPr>
              <w:t>s paredzēts arī 2020.</w:t>
            </w:r>
            <w:r w:rsidRPr="00BD2436">
              <w:rPr>
                <w:color w:val="auto"/>
                <w:sz w:val="20"/>
              </w:rPr>
              <w:t>gadā. Papildu Profesionālās izglītības likuma grozījumu projekts paredz valsts saistības arī turpmāk nodrošināt NE</w:t>
            </w:r>
            <w:r w:rsidR="002F2643">
              <w:rPr>
                <w:color w:val="auto"/>
                <w:sz w:val="20"/>
              </w:rPr>
              <w:t>P</w:t>
            </w:r>
            <w:r w:rsidRPr="00BD2436">
              <w:rPr>
                <w:color w:val="auto"/>
                <w:sz w:val="20"/>
              </w:rPr>
              <w:t xml:space="preserve"> koordinējošās funkcijas finansēšanu. </w:t>
            </w:r>
          </w:p>
        </w:tc>
      </w:tr>
      <w:tr w:rsidR="00510953" w:rsidRPr="003E0771" w14:paraId="76F77756" w14:textId="77777777" w:rsidTr="00BD2436">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122" w:type="dxa"/>
          </w:tcPr>
          <w:p w14:paraId="0E34BA22" w14:textId="77777777" w:rsidR="00510953" w:rsidRPr="00BD2436" w:rsidRDefault="00510953" w:rsidP="000839ED">
            <w:pPr>
              <w:spacing w:after="0"/>
              <w:rPr>
                <w:b w:val="0"/>
                <w:color w:val="auto"/>
                <w:sz w:val="20"/>
              </w:rPr>
            </w:pPr>
            <w:r w:rsidRPr="00BD2436">
              <w:rPr>
                <w:color w:val="auto"/>
                <w:sz w:val="20"/>
              </w:rPr>
              <w:lastRenderedPageBreak/>
              <w:t>Nacionālais augstākās izglītības mērķis (34-36%)</w:t>
            </w:r>
          </w:p>
        </w:tc>
        <w:tc>
          <w:tcPr>
            <w:tcW w:w="3827" w:type="dxa"/>
          </w:tcPr>
          <w:p w14:paraId="17D56DA4" w14:textId="77777777" w:rsidR="00510953" w:rsidRPr="00BD2436" w:rsidRDefault="00510953" w:rsidP="000839ED">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Augstākās izglītības modernizācija – jauna augstākās izglītības finansēšanas modeļa ieviešana;</w:t>
            </w:r>
          </w:p>
          <w:p w14:paraId="71DBE466" w14:textId="77777777" w:rsidR="00510953" w:rsidRPr="00BD2436" w:rsidRDefault="00510953" w:rsidP="000839ED">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Augstākās izglītības institūciju materiāli tehniskās bāzes modernizēšana un resursu izmantošanas efektivitātes paaugstināšana;</w:t>
            </w:r>
          </w:p>
          <w:p w14:paraId="1BD60342" w14:textId="77777777" w:rsidR="00510953" w:rsidRPr="00BD2436" w:rsidRDefault="00510953" w:rsidP="000839ED">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Augstākās izglītības vienlīdzīgas pieejamības nodrošināšana;</w:t>
            </w:r>
          </w:p>
          <w:p w14:paraId="7C47CB85" w14:textId="77777777" w:rsidR="00510953" w:rsidRPr="00BD2436" w:rsidRDefault="00510953" w:rsidP="000839ED">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Nacionālās kvalitātes nodrošināšanas institūcijas izveide;</w:t>
            </w:r>
          </w:p>
          <w:p w14:paraId="6957B7A2" w14:textId="77777777" w:rsidR="00510953" w:rsidRPr="00BD2436" w:rsidRDefault="00510953" w:rsidP="000839ED">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Studiju programmu fragmentācijas mazināšanās, resursu koplietošana;</w:t>
            </w:r>
          </w:p>
          <w:p w14:paraId="652CA7AD" w14:textId="77777777" w:rsidR="00510953" w:rsidRPr="00BD2436" w:rsidRDefault="00510953" w:rsidP="000839ED">
            <w:pPr>
              <w:pStyle w:val="ListParagraph"/>
              <w:numPr>
                <w:ilvl w:val="0"/>
                <w:numId w:val="3"/>
              </w:numPr>
              <w:spacing w:after="0" w:line="240" w:lineRule="auto"/>
              <w:ind w:left="180" w:hanging="183"/>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Ārvalstu studentu piesaistīšana.</w:t>
            </w:r>
          </w:p>
        </w:tc>
        <w:tc>
          <w:tcPr>
            <w:tcW w:w="8647" w:type="dxa"/>
          </w:tcPr>
          <w:p w14:paraId="7D299247"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(1) IZM ieskatā konsultācijās ar Starptautisko Rekonstrukcijas un attīstības banku un nozari izstrādātais trīs pīlāru augstākās finansēšanas modelis, kas paredz stabilitātes, snieguma un attīstības finansējumu joprojām ir optimāls Latvijas augstākās izglītības politikas mērķiem, taču pastāv elementi katra pīlāra ietvaros, attiecībā uz kuriem ir nepieciešama izvērtēšana un turpmākā rīcība.</w:t>
            </w:r>
          </w:p>
          <w:p w14:paraId="3EDDA65A" w14:textId="7A886A1B" w:rsidR="00510953" w:rsidRPr="00BD2436" w:rsidRDefault="001C0A2C"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(2) 2019.</w:t>
            </w:r>
            <w:r w:rsidR="00510953" w:rsidRPr="00BD2436">
              <w:rPr>
                <w:color w:val="auto"/>
                <w:sz w:val="20"/>
              </w:rPr>
              <w:t>gadā turpinās augstākās izglītības institūciju materiāli tehniskās bāzes modernizēšana un resursu izmantošanas efektivitātes paaugstināšana, lai nodrošinātu mūsdienīgu studiju un pētniecības vidi STEM (zinātne, tehnoloģijas, inženierzinātnes, matemātika), t.sk. medicīnas un radošo industriju, studiju programmu īstenošanai un veicinātu augstākās izglītības atbilstību tautsaimniecības attīstības un darba tirgus v</w:t>
            </w:r>
            <w:r>
              <w:rPr>
                <w:color w:val="auto"/>
                <w:sz w:val="20"/>
              </w:rPr>
              <w:t>ajadzībām. ES fondu 2014.</w:t>
            </w:r>
            <w:r w:rsidR="00C5582C" w:rsidRPr="00BD2436">
              <w:rPr>
                <w:color w:val="auto"/>
                <w:sz w:val="20"/>
              </w:rPr>
              <w:t>–</w:t>
            </w:r>
            <w:r>
              <w:rPr>
                <w:color w:val="auto"/>
                <w:sz w:val="20"/>
              </w:rPr>
              <w:t>2020.</w:t>
            </w:r>
            <w:r w:rsidR="00510953" w:rsidRPr="00BD2436">
              <w:rPr>
                <w:color w:val="auto"/>
                <w:sz w:val="20"/>
              </w:rPr>
              <w:t>gada plānošanas periodā plānots sniegt atbalstu studiju un zinātniskā darba infrastruktūras attīstībai (kopējais indikatīvais finansējums 44,6 milj</w:t>
            </w:r>
            <w:r w:rsidR="00F05A35">
              <w:rPr>
                <w:color w:val="auto"/>
                <w:sz w:val="20"/>
              </w:rPr>
              <w:t>.</w:t>
            </w:r>
            <w:r w:rsidR="00510953" w:rsidRPr="00BD2436">
              <w:rPr>
                <w:color w:val="auto"/>
                <w:sz w:val="20"/>
              </w:rPr>
              <w:t xml:space="preserve"> </w:t>
            </w:r>
            <w:r w:rsidR="00510953" w:rsidRPr="001C0A2C">
              <w:rPr>
                <w:i/>
                <w:color w:val="auto"/>
                <w:sz w:val="20"/>
              </w:rPr>
              <w:t>e</w:t>
            </w:r>
            <w:r w:rsidRPr="001C0A2C">
              <w:rPr>
                <w:i/>
                <w:color w:val="auto"/>
                <w:sz w:val="20"/>
              </w:rPr>
              <w:t>u</w:t>
            </w:r>
            <w:r w:rsidR="00510953" w:rsidRPr="001C0A2C">
              <w:rPr>
                <w:i/>
                <w:color w:val="auto"/>
                <w:sz w:val="20"/>
              </w:rPr>
              <w:t>ro</w:t>
            </w:r>
            <w:r w:rsidR="00510953" w:rsidRPr="00BD2436">
              <w:rPr>
                <w:color w:val="auto"/>
                <w:sz w:val="20"/>
              </w:rPr>
              <w:t>, t.sk. ERAF finansējums 37,9 milj</w:t>
            </w:r>
            <w:r w:rsidR="00F05A35">
              <w:rPr>
                <w:color w:val="auto"/>
                <w:sz w:val="20"/>
              </w:rPr>
              <w:t>.</w:t>
            </w:r>
            <w:r w:rsidR="00510953" w:rsidRPr="00BD2436">
              <w:rPr>
                <w:color w:val="auto"/>
                <w:sz w:val="20"/>
              </w:rPr>
              <w:t xml:space="preserve"> </w:t>
            </w:r>
            <w:r w:rsidR="00510953" w:rsidRPr="001C0A2C">
              <w:rPr>
                <w:i/>
                <w:color w:val="auto"/>
                <w:sz w:val="20"/>
              </w:rPr>
              <w:t>e</w:t>
            </w:r>
            <w:r w:rsidRPr="001C0A2C">
              <w:rPr>
                <w:i/>
                <w:color w:val="auto"/>
                <w:sz w:val="20"/>
              </w:rPr>
              <w:t>u</w:t>
            </w:r>
            <w:r w:rsidR="00510953" w:rsidRPr="001C0A2C">
              <w:rPr>
                <w:i/>
                <w:color w:val="auto"/>
                <w:sz w:val="20"/>
              </w:rPr>
              <w:t>ro</w:t>
            </w:r>
            <w:r w:rsidR="00510953" w:rsidRPr="00BD2436">
              <w:rPr>
                <w:color w:val="auto"/>
                <w:sz w:val="20"/>
              </w:rPr>
              <w:t>). Vienlaikus ar ES fondu atbalstu tiek uzlabotas 1.līmeņa profesionālās augstākās izglītības STEM, t.sk. medicīnas un radošās industrijas, studiju mācību vides uzlabošanai koledžās (kopējais indikatīvais finansējums 14,2 milj</w:t>
            </w:r>
            <w:r w:rsidR="00F05A35">
              <w:rPr>
                <w:color w:val="auto"/>
                <w:sz w:val="20"/>
              </w:rPr>
              <w:t>.</w:t>
            </w:r>
            <w:r w:rsidR="00510953" w:rsidRPr="00BD2436">
              <w:rPr>
                <w:color w:val="auto"/>
                <w:sz w:val="20"/>
              </w:rPr>
              <w:t xml:space="preserve"> </w:t>
            </w:r>
            <w:r w:rsidRPr="001C0A2C">
              <w:rPr>
                <w:i/>
                <w:color w:val="auto"/>
                <w:sz w:val="20"/>
              </w:rPr>
              <w:t>euro</w:t>
            </w:r>
            <w:r w:rsidR="00510953" w:rsidRPr="00BD2436">
              <w:rPr>
                <w:color w:val="auto"/>
                <w:sz w:val="20"/>
              </w:rPr>
              <w:t>, t.sk. ERAF finansējums 12 milj</w:t>
            </w:r>
            <w:r w:rsidR="00F05A35">
              <w:rPr>
                <w:color w:val="auto"/>
                <w:sz w:val="20"/>
              </w:rPr>
              <w:t xml:space="preserve">. </w:t>
            </w:r>
            <w:r w:rsidRPr="001C0A2C">
              <w:rPr>
                <w:i/>
                <w:color w:val="auto"/>
                <w:sz w:val="20"/>
              </w:rPr>
              <w:t>euro</w:t>
            </w:r>
            <w:r w:rsidR="00510953" w:rsidRPr="00BD2436">
              <w:rPr>
                <w:color w:val="auto"/>
                <w:sz w:val="20"/>
              </w:rPr>
              <w:t>).</w:t>
            </w:r>
          </w:p>
          <w:p w14:paraId="5843AE93" w14:textId="67B0DAF5"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(3) IZM izveidotā darba grupa studiju un studējošo kredītu sistēmas pilnveidošanai</w:t>
            </w:r>
            <w:r w:rsidRPr="00BD2436">
              <w:rPr>
                <w:rStyle w:val="FootnoteReference"/>
                <w:rFonts w:ascii="Times New Roman" w:hAnsi="Times New Roman"/>
                <w:color w:val="auto"/>
              </w:rPr>
              <w:footnoteReference w:id="4"/>
            </w:r>
            <w:r w:rsidRPr="00BD2436">
              <w:rPr>
                <w:color w:val="auto"/>
                <w:sz w:val="20"/>
              </w:rPr>
              <w:t xml:space="preserve"> ir izstrādājusi jaunās kreditēš</w:t>
            </w:r>
            <w:r w:rsidR="001C0A2C">
              <w:rPr>
                <w:color w:val="auto"/>
                <w:sz w:val="20"/>
              </w:rPr>
              <w:t>anas sistēmas koncepciju. 2019.gada 17.</w:t>
            </w:r>
            <w:r w:rsidRPr="00BD2436">
              <w:rPr>
                <w:color w:val="auto"/>
                <w:sz w:val="20"/>
              </w:rPr>
              <w:t>jūlijā M</w:t>
            </w:r>
            <w:r w:rsidR="00C32BB9">
              <w:rPr>
                <w:color w:val="auto"/>
                <w:sz w:val="20"/>
              </w:rPr>
              <w:t xml:space="preserve">K </w:t>
            </w:r>
            <w:r w:rsidRPr="00BD2436">
              <w:rPr>
                <w:color w:val="auto"/>
                <w:sz w:val="20"/>
              </w:rPr>
              <w:t xml:space="preserve">atbalstījis valsts vārdā sniegto </w:t>
            </w:r>
            <w:r w:rsidRPr="00BD2436">
              <w:rPr>
                <w:color w:val="auto"/>
                <w:sz w:val="20"/>
              </w:rPr>
              <w:lastRenderedPageBreak/>
              <w:t>galvojumu modeļa maiņu</w:t>
            </w:r>
            <w:r w:rsidRPr="00BD2436">
              <w:rPr>
                <w:rStyle w:val="FootnoteReference"/>
                <w:rFonts w:ascii="Times New Roman" w:hAnsi="Times New Roman"/>
                <w:color w:val="auto"/>
              </w:rPr>
              <w:footnoteReference w:id="5"/>
            </w:r>
            <w:r w:rsidRPr="00BD2436">
              <w:rPr>
                <w:color w:val="auto"/>
                <w:sz w:val="20"/>
              </w:rPr>
              <w:t>, kas paredz izsniegt orientējoši 2</w:t>
            </w:r>
            <w:r w:rsidR="00572A15">
              <w:rPr>
                <w:color w:val="auto"/>
                <w:sz w:val="20"/>
              </w:rPr>
              <w:t> </w:t>
            </w:r>
            <w:r w:rsidRPr="00BD2436">
              <w:rPr>
                <w:color w:val="auto"/>
                <w:sz w:val="20"/>
              </w:rPr>
              <w:t>000 jau</w:t>
            </w:r>
            <w:r w:rsidR="001C0A2C">
              <w:rPr>
                <w:color w:val="auto"/>
                <w:sz w:val="20"/>
              </w:rPr>
              <w:t>nu kredītu gadā, sākot ar 2020.</w:t>
            </w:r>
            <w:r w:rsidRPr="00BD2436">
              <w:rPr>
                <w:color w:val="auto"/>
                <w:sz w:val="20"/>
              </w:rPr>
              <w:t>gadu un turpināt kredītu dzēšanu bērnu dzimšanas gadījumos, nāves un invaliditātes gadījumos. Jaunās sistēmas priekšrocība ir atcelta prasība par otru galvotāju; aizdevumus izsniegs vairākas kredītiestādes; vienkāršotas procedūras, paātrināta kredītu saņemšana; nav studiju kredīta griestu; valsts turpinās subsidēt studiju kredīta procentu maksājumus studiju laikā un gadu pēc absolvēšanas.</w:t>
            </w:r>
          </w:p>
          <w:p w14:paraId="378D1C1D"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 xml:space="preserve">2018.gada 1.novembrī tika pieņemts likums “Grozījumi Invaliditātes likumā”. Atbilstoši šim likumam no 2019.gada 1.septembra tiek nodrošinātas tiesības augstskolās un koledžās studējošām personām ar invaliditāti saņemt no valsts budžeta apmaksātu asistenta pakalpojumu pārvietošanās atbalstam un pašaprūpes veikšanai. </w:t>
            </w:r>
          </w:p>
          <w:p w14:paraId="3B7C4ECA"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(4)</w:t>
            </w:r>
            <w:r w:rsidRPr="00BD2436">
              <w:rPr>
                <w:sz w:val="20"/>
              </w:rPr>
              <w:t xml:space="preserve"> </w:t>
            </w:r>
            <w:r w:rsidRPr="00BD2436">
              <w:rPr>
                <w:color w:val="auto"/>
                <w:sz w:val="20"/>
              </w:rPr>
              <w:t xml:space="preserve">Turpinās darbs pie augstākās izglītības kvalitātes nodrošināšanas sistēmas attīstības. </w:t>
            </w:r>
          </w:p>
          <w:p w14:paraId="2AE77573" w14:textId="7D9F134E"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2019.gada 15.jūlijā ir apstiprināta jauna Studiju programmu licencēšanas organizēšanas metodika. Aģentūra ir izstrādājusi e-platformu (eplatforma.aika.lv), lai ikvienam būtu ne tikai informācija par akreditāciju un licencēm, bet arī pašu vērtējums un ekspertu atzinumi.</w:t>
            </w:r>
            <w:r w:rsidR="00572A15">
              <w:rPr>
                <w:color w:val="auto"/>
                <w:sz w:val="20"/>
              </w:rPr>
              <w:t xml:space="preserve"> </w:t>
            </w:r>
            <w:r w:rsidRPr="00BD2436">
              <w:rPr>
                <w:color w:val="auto"/>
                <w:sz w:val="20"/>
              </w:rPr>
              <w:t>Augstskolas visus dokumentus varēs iesniegt elektroniski, bet ekspertiem visi dokumenti būs pieejami e-platformas slēgtajā daļā. Atbilstoši Augstskolu likumam ir noteikts studiju virzienu akreditācijas laika grafiks. Jaunie noteikumi un kārtība nodrošinās starptautiskiem standartiem atbilstošas augstākās izglītības kvalitātes novērtēšanas sistēmas ieviešanu un studiju programmu fragmentācijas mazināšanu, paaugstinot Latvijas augstākās izglītības starptautisko konkurētspēju.</w:t>
            </w:r>
          </w:p>
          <w:p w14:paraId="0C917CFF" w14:textId="28C49FED" w:rsidR="00510953" w:rsidRPr="00BD2436" w:rsidRDefault="00AF467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(5) 2019.</w:t>
            </w:r>
            <w:r w:rsidR="00510953" w:rsidRPr="00BD2436">
              <w:rPr>
                <w:color w:val="auto"/>
                <w:sz w:val="20"/>
              </w:rPr>
              <w:t>gadā augstskolas uzsāka projektu īstenošanu  ESF programmā “Studiju programmu fragmentācijas samazināšana un resursu koplietošanas stiprināšana” (S</w:t>
            </w:r>
            <w:r w:rsidR="00F05A35">
              <w:rPr>
                <w:color w:val="auto"/>
                <w:sz w:val="20"/>
              </w:rPr>
              <w:t>AM 8.2.1.), kas ilgs līdz 2022.</w:t>
            </w:r>
            <w:r w:rsidR="00510953" w:rsidRPr="00BD2436">
              <w:rPr>
                <w:color w:val="auto"/>
                <w:sz w:val="20"/>
              </w:rPr>
              <w:t>gada decembrim. Kopējais indikatīvais finansējums 10,8 milj</w:t>
            </w:r>
            <w:r w:rsidR="00F05A35">
              <w:rPr>
                <w:color w:val="auto"/>
                <w:sz w:val="20"/>
              </w:rPr>
              <w:t>.</w:t>
            </w:r>
            <w:r w:rsidR="00510953" w:rsidRPr="00BD2436">
              <w:rPr>
                <w:color w:val="auto"/>
                <w:sz w:val="20"/>
              </w:rPr>
              <w:t xml:space="preserve"> </w:t>
            </w:r>
            <w:r w:rsidR="00572A15" w:rsidRPr="001C0A2C">
              <w:rPr>
                <w:i/>
                <w:color w:val="auto"/>
                <w:sz w:val="20"/>
              </w:rPr>
              <w:t>euro</w:t>
            </w:r>
            <w:r w:rsidR="00510953" w:rsidRPr="00BD2436">
              <w:rPr>
                <w:color w:val="auto"/>
                <w:sz w:val="20"/>
              </w:rPr>
              <w:t>, t.sk. ESF finansējums 9,2 milj</w:t>
            </w:r>
            <w:r w:rsidR="00F05A35">
              <w:rPr>
                <w:color w:val="auto"/>
                <w:sz w:val="20"/>
              </w:rPr>
              <w:t>.</w:t>
            </w:r>
            <w:r w:rsidR="00510953" w:rsidRPr="00BD2436">
              <w:rPr>
                <w:color w:val="auto"/>
                <w:sz w:val="20"/>
              </w:rPr>
              <w:t xml:space="preserve"> </w:t>
            </w:r>
            <w:r w:rsidR="00572A15" w:rsidRPr="001C0A2C">
              <w:rPr>
                <w:i/>
                <w:color w:val="auto"/>
                <w:sz w:val="20"/>
              </w:rPr>
              <w:t>euro</w:t>
            </w:r>
            <w:r w:rsidR="00510953" w:rsidRPr="00BD2436">
              <w:rPr>
                <w:color w:val="auto"/>
                <w:sz w:val="20"/>
              </w:rPr>
              <w:t xml:space="preserve">. Turpmāko piecu gadu laikā  plānots izveidot jaunas, spēcīgas un starptautiski konkurētspējīgas studiju programmas, t.sk. doktorantūras līmeņa programmās. </w:t>
            </w:r>
          </w:p>
          <w:p w14:paraId="4474E94D" w14:textId="4425BB4D"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(6) Latvijas valsts stipendijas ir viens no instrumentiem ārvalstu studentu piesaistīšanai. 2019./2020. mācību gadam Latvijas valsts stipendijas piešķīra 25 pētniekiem (no 90 pie</w:t>
            </w:r>
            <w:r w:rsidR="00572A15">
              <w:rPr>
                <w:color w:val="auto"/>
                <w:sz w:val="20"/>
              </w:rPr>
              <w:t>teicējiem) un 92 studentiem (no</w:t>
            </w:r>
            <w:r w:rsidRPr="00BD2436">
              <w:rPr>
                <w:color w:val="auto"/>
                <w:sz w:val="20"/>
              </w:rPr>
              <w:t xml:space="preserve"> 244 pieteicējiem), kā arī 7 vasaras skolām, kuras notika Latvijas augstskolās, piešķirot 70 stipendijas ārvalstniekiem. Kopā pa visiem stipendiju veidiem ārzemniekiem ir piešķirtas 197 Latvijas valsts stipendijas.</w:t>
            </w:r>
          </w:p>
          <w:p w14:paraId="5426FE52" w14:textId="77777777" w:rsidR="00510953" w:rsidRPr="00BD2436" w:rsidRDefault="00510953" w:rsidP="000839ED">
            <w:pPr>
              <w:spacing w:after="0"/>
              <w:cnfStyle w:val="000000100000" w:firstRow="0" w:lastRow="0" w:firstColumn="0" w:lastColumn="0" w:oddVBand="0" w:evenVBand="0" w:oddHBand="1" w:evenHBand="0" w:firstRowFirstColumn="0" w:firstRowLastColumn="0" w:lastRowFirstColumn="0" w:lastRowLastColumn="0"/>
              <w:rPr>
                <w:color w:val="auto"/>
                <w:sz w:val="20"/>
              </w:rPr>
            </w:pPr>
            <w:r w:rsidRPr="00BD2436">
              <w:rPr>
                <w:color w:val="auto"/>
                <w:sz w:val="20"/>
              </w:rPr>
              <w:t xml:space="preserve">IZM ir izstrādājusi nosacījumus labajai praksei ārvalstu studējošo piesaistē un studiju nodrošināšanā. Nosacījumi paredz izglītības kvalitāti kā galveno labās prakses principu. Ar šo vienošanos augstākās izglītības iestādes apņemas nodrošināt kvalitatīvu studiju pieredzi visiem studējošajiem, stiprināt Latvijas augstākās izglītības un valsts reputāciju. Tikai tām augstākās izglītības </w:t>
            </w:r>
            <w:r w:rsidRPr="00BD2436">
              <w:rPr>
                <w:color w:val="auto"/>
                <w:sz w:val="20"/>
              </w:rPr>
              <w:lastRenderedPageBreak/>
              <w:t>iestādēm, kas parakstīs vienošanos un to ievēros, turpmāk tiks nodrošinātas iespējas piedalīties par valsts budžeta līdzekļiem organizētajos izglītības eksporta veicināšanas pasākumos, tostarp ārvalstu vizītēs, kā arī izstādēs un mārketinga pasākumos un ārējo tirgu apguvē. Vienošanos par labu praksi ārvalstu studējošo piesaistē ir parakstījušas 17 Latvijas augstskolas. Ir uzsākts darbs pie augstskolu internacionalizācijas monitoringā izstrādes.</w:t>
            </w:r>
          </w:p>
        </w:tc>
      </w:tr>
      <w:tr w:rsidR="00510953" w:rsidRPr="00FA6726" w14:paraId="24BA8377" w14:textId="77777777" w:rsidTr="00BD2436">
        <w:tc>
          <w:tcPr>
            <w:cnfStyle w:val="001000000000" w:firstRow="0" w:lastRow="0" w:firstColumn="1" w:lastColumn="0" w:oddVBand="0" w:evenVBand="0" w:oddHBand="0" w:evenHBand="0" w:firstRowFirstColumn="0" w:firstRowLastColumn="0" w:lastRowFirstColumn="0" w:lastRowLastColumn="0"/>
            <w:tcW w:w="2122" w:type="dxa"/>
          </w:tcPr>
          <w:p w14:paraId="0EAA1F7F" w14:textId="77777777" w:rsidR="00510953" w:rsidRPr="00BD2436" w:rsidRDefault="00510953" w:rsidP="00BD2436">
            <w:pPr>
              <w:rPr>
                <w:b w:val="0"/>
                <w:color w:val="auto"/>
                <w:sz w:val="20"/>
              </w:rPr>
            </w:pPr>
            <w:r w:rsidRPr="00BD2436">
              <w:rPr>
                <w:color w:val="auto"/>
                <w:sz w:val="20"/>
              </w:rPr>
              <w:lastRenderedPageBreak/>
              <w:t>Nacionālais nabadzības mērķis (21,0%)</w:t>
            </w:r>
          </w:p>
        </w:tc>
        <w:tc>
          <w:tcPr>
            <w:tcW w:w="3827" w:type="dxa"/>
          </w:tcPr>
          <w:p w14:paraId="2F870B5A" w14:textId="77777777" w:rsidR="00510953" w:rsidRPr="00BD2436" w:rsidRDefault="00510953" w:rsidP="00510953">
            <w:pPr>
              <w:pStyle w:val="ListParagraph"/>
              <w:numPr>
                <w:ilvl w:val="0"/>
                <w:numId w:val="4"/>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Ienākumu nevienlīdzības samazināšana;</w:t>
            </w:r>
          </w:p>
          <w:p w14:paraId="6ACB48B8" w14:textId="77777777" w:rsidR="00510953" w:rsidRPr="00BD2436" w:rsidRDefault="00510953" w:rsidP="00510953">
            <w:pPr>
              <w:pStyle w:val="ListParagraph"/>
              <w:numPr>
                <w:ilvl w:val="0"/>
                <w:numId w:val="4"/>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Nabadzības un sociālās atstumtības riskam pakļauto personu līdzdalības darba tirgū veicināšana;</w:t>
            </w:r>
          </w:p>
          <w:p w14:paraId="13B1B08F" w14:textId="77777777" w:rsidR="00510953" w:rsidRPr="00BD2436" w:rsidRDefault="00510953" w:rsidP="00510953">
            <w:pPr>
              <w:pStyle w:val="ListParagraph"/>
              <w:numPr>
                <w:ilvl w:val="0"/>
                <w:numId w:val="4"/>
              </w:numPr>
              <w:spacing w:after="0" w:line="240" w:lineRule="auto"/>
              <w:ind w:left="180" w:hanging="183"/>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rPr>
            </w:pPr>
            <w:r w:rsidRPr="00BD2436">
              <w:rPr>
                <w:rFonts w:ascii="Times New Roman" w:hAnsi="Times New Roman"/>
                <w:color w:val="auto"/>
                <w:sz w:val="20"/>
              </w:rPr>
              <w:t>Diskriminācijas draudu un stereotipu mazināšana, kā arī pilsoniskās līdzdalības veicināšana.</w:t>
            </w:r>
          </w:p>
        </w:tc>
        <w:tc>
          <w:tcPr>
            <w:tcW w:w="8647" w:type="dxa"/>
          </w:tcPr>
          <w:p w14:paraId="22CF1F37" w14:textId="2AFB612C" w:rsidR="00510953" w:rsidRPr="00BD2436" w:rsidRDefault="00510953" w:rsidP="00AE143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BD2436">
              <w:rPr>
                <w:color w:val="000000" w:themeColor="text1"/>
                <w:sz w:val="20"/>
              </w:rPr>
              <w:t>2019.gada 13.augusta M</w:t>
            </w:r>
            <w:r w:rsidR="005070C6">
              <w:rPr>
                <w:color w:val="000000" w:themeColor="text1"/>
                <w:sz w:val="20"/>
              </w:rPr>
              <w:t xml:space="preserve">K </w:t>
            </w:r>
            <w:r w:rsidRPr="00BD2436">
              <w:rPr>
                <w:color w:val="000000" w:themeColor="text1"/>
                <w:sz w:val="20"/>
              </w:rPr>
              <w:t xml:space="preserve">sēdē konceptuāli atbalstīts un  apstiprināts “Plāns minimālo ienākumu atbalsta sistēmas pilnveidošanai 2020.-2021.gadam” (MK 22.08.2019. rīkojums Nr. 408). Budžeta likumprojekta izstrādes laikā pieņemts lēmums Plāna īstenošanai novirzīt 10 milj. </w:t>
            </w:r>
            <w:r w:rsidR="006114E9" w:rsidRPr="006114E9">
              <w:rPr>
                <w:i/>
                <w:noProof/>
                <w:color w:val="000000" w:themeColor="text1"/>
                <w:sz w:val="20"/>
              </w:rPr>
              <w:t>euro</w:t>
            </w:r>
            <w:r w:rsidRPr="00BD2436">
              <w:rPr>
                <w:color w:val="000000" w:themeColor="text1"/>
                <w:sz w:val="20"/>
              </w:rPr>
              <w:t xml:space="preserve"> (plānā paredzētais finansējums </w:t>
            </w:r>
            <w:r w:rsidR="006226C3" w:rsidRPr="00AF4673">
              <w:rPr>
                <w:bCs/>
                <w:color w:val="000000" w:themeColor="text1"/>
                <w:sz w:val="20"/>
              </w:rPr>
              <w:t xml:space="preserve">– </w:t>
            </w:r>
            <w:r w:rsidRPr="00BD2436">
              <w:rPr>
                <w:color w:val="000000" w:themeColor="text1"/>
                <w:sz w:val="20"/>
              </w:rPr>
              <w:t xml:space="preserve">29,5 milj. </w:t>
            </w:r>
            <w:r w:rsidR="006114E9" w:rsidRPr="006114E9">
              <w:rPr>
                <w:i/>
                <w:noProof/>
                <w:color w:val="000000" w:themeColor="text1"/>
                <w:sz w:val="20"/>
              </w:rPr>
              <w:t>euro</w:t>
            </w:r>
            <w:r w:rsidRPr="00BD2436">
              <w:rPr>
                <w:color w:val="000000" w:themeColor="text1"/>
                <w:sz w:val="20"/>
              </w:rPr>
              <w:t xml:space="preserve">). Ierobežotā finansējuma dēļ Plānā noteiktos pasākumus nevar īstenot pilnā apmērā un sniegt atbalstu visām Plānā noteiktajām mērķa grupām. Sākot ar 2020.gadu ir paredzēts:  </w:t>
            </w:r>
          </w:p>
          <w:p w14:paraId="7EED3C78" w14:textId="53421095" w:rsidR="00510953" w:rsidRPr="00AF4673" w:rsidRDefault="00510953" w:rsidP="00AE1436">
            <w:pPr>
              <w:spacing w:after="0"/>
              <w:cnfStyle w:val="000000000000" w:firstRow="0" w:lastRow="0" w:firstColumn="0" w:lastColumn="0" w:oddVBand="0" w:evenVBand="0" w:oddHBand="0" w:evenHBand="0" w:firstRowFirstColumn="0" w:firstRowLastColumn="0" w:lastRowFirstColumn="0" w:lastRowLastColumn="0"/>
              <w:rPr>
                <w:bCs/>
                <w:i/>
                <w:iCs/>
                <w:color w:val="000000" w:themeColor="text1"/>
                <w:sz w:val="20"/>
              </w:rPr>
            </w:pPr>
            <w:r w:rsidRPr="00AF4673">
              <w:rPr>
                <w:color w:val="000000" w:themeColor="text1"/>
                <w:sz w:val="20"/>
              </w:rPr>
              <w:t xml:space="preserve">1) noteikt vecuma pensijas minimālo aprēķina bāzi </w:t>
            </w:r>
            <w:r w:rsidRPr="00AF4673">
              <w:rPr>
                <w:bCs/>
                <w:color w:val="000000" w:themeColor="text1"/>
                <w:sz w:val="20"/>
              </w:rPr>
              <w:t xml:space="preserve">80 eiro (invalīdiem no bērnības – 122,69 </w:t>
            </w:r>
            <w:r w:rsidR="00572A15" w:rsidRPr="00AF4673">
              <w:rPr>
                <w:i/>
                <w:color w:val="auto"/>
                <w:sz w:val="20"/>
              </w:rPr>
              <w:t>euro</w:t>
            </w:r>
            <w:r w:rsidRPr="00AF4673">
              <w:rPr>
                <w:bCs/>
                <w:color w:val="000000" w:themeColor="text1"/>
                <w:sz w:val="20"/>
              </w:rPr>
              <w:t>)</w:t>
            </w:r>
            <w:r w:rsidRPr="00AF4673">
              <w:rPr>
                <w:color w:val="000000" w:themeColor="text1"/>
                <w:sz w:val="20"/>
              </w:rPr>
              <w:t xml:space="preserve">; </w:t>
            </w:r>
          </w:p>
          <w:p w14:paraId="6E35D056" w14:textId="39EF34A4" w:rsidR="00510953" w:rsidRPr="00AF4673" w:rsidRDefault="00510953" w:rsidP="00AE1436">
            <w:pPr>
              <w:spacing w:after="0"/>
              <w:cnfStyle w:val="000000000000" w:firstRow="0" w:lastRow="0" w:firstColumn="0" w:lastColumn="0" w:oddVBand="0" w:evenVBand="0" w:oddHBand="0" w:evenHBand="0" w:firstRowFirstColumn="0" w:firstRowLastColumn="0" w:lastRowFirstColumn="0" w:lastRowLastColumn="0"/>
              <w:rPr>
                <w:bCs/>
                <w:i/>
                <w:iCs/>
                <w:color w:val="000000" w:themeColor="text1"/>
                <w:sz w:val="20"/>
              </w:rPr>
            </w:pPr>
            <w:r w:rsidRPr="00AF4673">
              <w:rPr>
                <w:color w:val="000000" w:themeColor="text1"/>
                <w:sz w:val="20"/>
              </w:rPr>
              <w:t xml:space="preserve">2) valsts sociālā nodrošinājuma pabalsta apmēru personām ar invaliditāti no 64 </w:t>
            </w:r>
            <w:r w:rsidR="00F05A35" w:rsidRPr="006114E9">
              <w:rPr>
                <w:i/>
                <w:noProof/>
                <w:color w:val="000000" w:themeColor="text1"/>
                <w:sz w:val="20"/>
              </w:rPr>
              <w:t>euro</w:t>
            </w:r>
            <w:r w:rsidRPr="00AF4673">
              <w:rPr>
                <w:color w:val="000000" w:themeColor="text1"/>
                <w:sz w:val="20"/>
              </w:rPr>
              <w:t xml:space="preserve"> līdz</w:t>
            </w:r>
            <w:r w:rsidRPr="00AF4673">
              <w:rPr>
                <w:bCs/>
                <w:color w:val="000000" w:themeColor="text1"/>
                <w:sz w:val="20"/>
              </w:rPr>
              <w:t xml:space="preserve"> 80 </w:t>
            </w:r>
            <w:r w:rsidR="00572A15" w:rsidRPr="00AF4673">
              <w:rPr>
                <w:i/>
                <w:color w:val="auto"/>
                <w:sz w:val="20"/>
              </w:rPr>
              <w:t>euro</w:t>
            </w:r>
            <w:r w:rsidRPr="00AF4673">
              <w:rPr>
                <w:color w:val="000000" w:themeColor="text1"/>
                <w:sz w:val="20"/>
              </w:rPr>
              <w:t xml:space="preserve"> </w:t>
            </w:r>
            <w:r w:rsidRPr="00AF4673">
              <w:rPr>
                <w:bCs/>
                <w:color w:val="000000" w:themeColor="text1"/>
                <w:sz w:val="20"/>
              </w:rPr>
              <w:t xml:space="preserve">(invalīdiem no bērnības – 122,69 </w:t>
            </w:r>
            <w:r w:rsidR="00572A15" w:rsidRPr="00AF4673">
              <w:rPr>
                <w:i/>
                <w:color w:val="auto"/>
                <w:sz w:val="20"/>
              </w:rPr>
              <w:t>euro</w:t>
            </w:r>
            <w:r w:rsidRPr="00AF4673">
              <w:rPr>
                <w:bCs/>
                <w:color w:val="000000" w:themeColor="text1"/>
                <w:sz w:val="20"/>
              </w:rPr>
              <w:t>) palielināšana</w:t>
            </w:r>
            <w:r w:rsidRPr="00AF4673">
              <w:rPr>
                <w:color w:val="000000" w:themeColor="text1"/>
                <w:sz w:val="20"/>
              </w:rPr>
              <w:t xml:space="preserve">; </w:t>
            </w:r>
          </w:p>
          <w:p w14:paraId="2186601D" w14:textId="2DE1C9F8" w:rsidR="00510953" w:rsidRPr="00AF4673" w:rsidRDefault="00510953" w:rsidP="00AE1436">
            <w:pPr>
              <w:spacing w:after="0"/>
              <w:cnfStyle w:val="000000000000" w:firstRow="0" w:lastRow="0" w:firstColumn="0" w:lastColumn="0" w:oddVBand="0" w:evenVBand="0" w:oddHBand="0" w:evenHBand="0" w:firstRowFirstColumn="0" w:firstRowLastColumn="0" w:lastRowFirstColumn="0" w:lastRowLastColumn="0"/>
              <w:rPr>
                <w:bCs/>
                <w:i/>
                <w:iCs/>
                <w:color w:val="000000" w:themeColor="text1"/>
                <w:sz w:val="20"/>
              </w:rPr>
            </w:pPr>
            <w:r w:rsidRPr="00AF4673">
              <w:rPr>
                <w:color w:val="000000" w:themeColor="text1"/>
                <w:sz w:val="20"/>
              </w:rPr>
              <w:t xml:space="preserve">3) invaliditātes pensijām minimālo apmēru, piemērojot valsts sociālā nodrošinājuma pabalstu </w:t>
            </w:r>
            <w:r w:rsidRPr="00AF4673">
              <w:rPr>
                <w:bCs/>
                <w:color w:val="000000" w:themeColor="text1"/>
                <w:sz w:val="20"/>
              </w:rPr>
              <w:t xml:space="preserve">80 </w:t>
            </w:r>
            <w:r w:rsidR="00572A15" w:rsidRPr="00AF4673">
              <w:rPr>
                <w:i/>
                <w:color w:val="auto"/>
                <w:sz w:val="20"/>
              </w:rPr>
              <w:t>euro</w:t>
            </w:r>
            <w:r w:rsidRPr="00AF4673">
              <w:rPr>
                <w:color w:val="000000" w:themeColor="text1"/>
                <w:sz w:val="20"/>
              </w:rPr>
              <w:t xml:space="preserve"> </w:t>
            </w:r>
            <w:r w:rsidRPr="00AF4673">
              <w:rPr>
                <w:bCs/>
                <w:color w:val="000000" w:themeColor="text1"/>
                <w:sz w:val="20"/>
              </w:rPr>
              <w:t xml:space="preserve">(invalīdiem no bērnības – 122,69 </w:t>
            </w:r>
            <w:r w:rsidR="00572A15" w:rsidRPr="00AF4673">
              <w:rPr>
                <w:i/>
                <w:color w:val="auto"/>
                <w:sz w:val="20"/>
              </w:rPr>
              <w:t>euro</w:t>
            </w:r>
            <w:r w:rsidRPr="00AF4673">
              <w:rPr>
                <w:bCs/>
                <w:color w:val="000000" w:themeColor="text1"/>
                <w:sz w:val="20"/>
              </w:rPr>
              <w:t>)</w:t>
            </w:r>
            <w:r w:rsidRPr="00AF4673">
              <w:rPr>
                <w:color w:val="000000" w:themeColor="text1"/>
                <w:sz w:val="20"/>
              </w:rPr>
              <w:t xml:space="preserve"> palielināšana; </w:t>
            </w:r>
          </w:p>
          <w:p w14:paraId="3B220F87" w14:textId="78E190F6" w:rsidR="00510953" w:rsidRPr="00BD2436" w:rsidRDefault="00510953" w:rsidP="00AE143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AF4673">
              <w:rPr>
                <w:color w:val="000000" w:themeColor="text1"/>
                <w:sz w:val="20"/>
              </w:rPr>
              <w:t xml:space="preserve">4) atlīdzības par darbspēju zaudējumu un kaitējuma atlīdzības minimālo apmēru, piemērojot valsts sociālā nodrošinājuma pabalstu </w:t>
            </w:r>
            <w:r w:rsidRPr="00AF4673">
              <w:rPr>
                <w:bCs/>
                <w:color w:val="000000" w:themeColor="text1"/>
                <w:sz w:val="20"/>
              </w:rPr>
              <w:t xml:space="preserve">80 </w:t>
            </w:r>
            <w:r w:rsidR="00572A15" w:rsidRPr="00AF4673">
              <w:rPr>
                <w:i/>
                <w:color w:val="auto"/>
                <w:sz w:val="20"/>
              </w:rPr>
              <w:t>euro</w:t>
            </w:r>
            <w:r w:rsidRPr="00AF4673">
              <w:rPr>
                <w:color w:val="000000" w:themeColor="text1"/>
                <w:sz w:val="20"/>
              </w:rPr>
              <w:t xml:space="preserve"> </w:t>
            </w:r>
            <w:r w:rsidRPr="00AF4673">
              <w:rPr>
                <w:bCs/>
                <w:color w:val="000000" w:themeColor="text1"/>
                <w:sz w:val="20"/>
              </w:rPr>
              <w:t xml:space="preserve">(invalīdiem no bērnības – 122,69 </w:t>
            </w:r>
            <w:r w:rsidR="00572A15" w:rsidRPr="00AF4673">
              <w:rPr>
                <w:i/>
                <w:color w:val="auto"/>
                <w:sz w:val="20"/>
              </w:rPr>
              <w:t>euro</w:t>
            </w:r>
            <w:r w:rsidRPr="00AF4673">
              <w:rPr>
                <w:bCs/>
                <w:color w:val="000000" w:themeColor="text1"/>
                <w:sz w:val="20"/>
              </w:rPr>
              <w:t>) palielināšana</w:t>
            </w:r>
            <w:r w:rsidRPr="00BD2436">
              <w:rPr>
                <w:color w:val="000000" w:themeColor="text1"/>
                <w:sz w:val="20"/>
              </w:rPr>
              <w:t>.</w:t>
            </w:r>
          </w:p>
        </w:tc>
      </w:tr>
    </w:tbl>
    <w:p w14:paraId="6401A003" w14:textId="2815576D" w:rsidR="005119CA" w:rsidRDefault="005119CA" w:rsidP="005119CA">
      <w:pPr>
        <w:rPr>
          <w:b/>
          <w:bCs/>
          <w:color w:val="000000" w:themeColor="text1"/>
          <w:sz w:val="22"/>
        </w:rPr>
      </w:pPr>
    </w:p>
    <w:p w14:paraId="55C7B29C" w14:textId="77777777" w:rsidR="00510953" w:rsidRPr="00482AA0" w:rsidRDefault="00510953" w:rsidP="005119CA">
      <w:pPr>
        <w:rPr>
          <w:b/>
          <w:bCs/>
          <w:color w:val="000000" w:themeColor="text1"/>
          <w:sz w:val="22"/>
        </w:rPr>
      </w:pPr>
    </w:p>
    <w:p w14:paraId="2D648761" w14:textId="77777777" w:rsidR="005119CA" w:rsidRDefault="005119CA">
      <w:pPr>
        <w:spacing w:after="0"/>
        <w:ind w:firstLine="0"/>
        <w:jc w:val="left"/>
        <w:rPr>
          <w:color w:val="18185F"/>
        </w:rPr>
        <w:sectPr w:rsidR="005119CA" w:rsidSect="005119CA">
          <w:pgSz w:w="16838" w:h="11906" w:orient="landscape"/>
          <w:pgMar w:top="1701" w:right="1418" w:bottom="1134" w:left="709" w:header="1077" w:footer="624" w:gutter="0"/>
          <w:cols w:space="708"/>
          <w:docGrid w:linePitch="360"/>
        </w:sectPr>
      </w:pPr>
    </w:p>
    <w:bookmarkEnd w:id="19"/>
    <w:p w14:paraId="3DFE7DBB" w14:textId="476A5097" w:rsidR="00F529BE" w:rsidRPr="006334F7" w:rsidRDefault="00614666" w:rsidP="00AE1436">
      <w:pPr>
        <w:spacing w:after="0"/>
        <w:ind w:firstLine="720"/>
        <w:rPr>
          <w:noProof/>
          <w:color w:val="000000" w:themeColor="text1"/>
          <w:szCs w:val="24"/>
        </w:rPr>
      </w:pPr>
      <w:r>
        <w:rPr>
          <w:color w:val="000000" w:themeColor="text1"/>
          <w:szCs w:val="24"/>
        </w:rPr>
        <w:lastRenderedPageBreak/>
        <w:t>Atbilstoši 2019.</w:t>
      </w:r>
      <w:r w:rsidR="00F529BE">
        <w:rPr>
          <w:color w:val="000000" w:themeColor="text1"/>
          <w:szCs w:val="24"/>
        </w:rPr>
        <w:t xml:space="preserve">gada aprīļa vispārējās valdības budžeta deficīta un parāda notifikācijai vispārējās valdības budžeta deficīts </w:t>
      </w:r>
      <w:r>
        <w:rPr>
          <w:b/>
          <w:color w:val="000000" w:themeColor="text1"/>
          <w:szCs w:val="24"/>
        </w:rPr>
        <w:t>2018.</w:t>
      </w:r>
      <w:r w:rsidR="00F529BE" w:rsidRPr="00CE3D06">
        <w:rPr>
          <w:b/>
          <w:color w:val="000000" w:themeColor="text1"/>
          <w:szCs w:val="24"/>
        </w:rPr>
        <w:t>gadā</w:t>
      </w:r>
      <w:r>
        <w:rPr>
          <w:color w:val="000000" w:themeColor="text1"/>
          <w:szCs w:val="24"/>
        </w:rPr>
        <w:t xml:space="preserve"> bija 1,0% no IKP. 2019.gada 30.</w:t>
      </w:r>
      <w:r w:rsidR="00F529BE">
        <w:rPr>
          <w:color w:val="000000" w:themeColor="text1"/>
          <w:szCs w:val="24"/>
        </w:rPr>
        <w:t>septembrī C</w:t>
      </w:r>
      <w:r w:rsidR="001C0A2C">
        <w:rPr>
          <w:color w:val="000000" w:themeColor="text1"/>
          <w:szCs w:val="24"/>
        </w:rPr>
        <w:t xml:space="preserve">SP </w:t>
      </w:r>
      <w:r w:rsidR="00F529BE">
        <w:rPr>
          <w:color w:val="000000" w:themeColor="text1"/>
          <w:szCs w:val="24"/>
        </w:rPr>
        <w:t xml:space="preserve">ir iesniegusi </w:t>
      </w:r>
      <w:r w:rsidR="00F529BE" w:rsidRPr="006334F7">
        <w:rPr>
          <w:i/>
          <w:noProof/>
          <w:color w:val="000000" w:themeColor="text1"/>
          <w:szCs w:val="24"/>
        </w:rPr>
        <w:t>Eurostat</w:t>
      </w:r>
      <w:r w:rsidR="00F529BE" w:rsidRPr="006334F7">
        <w:rPr>
          <w:noProof/>
          <w:color w:val="000000" w:themeColor="text1"/>
          <w:szCs w:val="24"/>
        </w:rPr>
        <w:t xml:space="preserve"> šā gada rudens notifikāciju, kuras r</w:t>
      </w:r>
      <w:r w:rsidRPr="006334F7">
        <w:rPr>
          <w:noProof/>
          <w:color w:val="000000" w:themeColor="text1"/>
          <w:szCs w:val="24"/>
        </w:rPr>
        <w:t>ezultāti par 2018.</w:t>
      </w:r>
      <w:r w:rsidR="00F529BE" w:rsidRPr="006334F7">
        <w:rPr>
          <w:noProof/>
          <w:color w:val="000000" w:themeColor="text1"/>
          <w:szCs w:val="24"/>
        </w:rPr>
        <w:t>gada un iepriekšējo gadu deficīta un parāda līmeni būs publicēti oktobra beigās.</w:t>
      </w:r>
    </w:p>
    <w:p w14:paraId="5D3FA9AC" w14:textId="4DB1DE48" w:rsidR="00454A47" w:rsidRDefault="00636D83" w:rsidP="00454A47">
      <w:pPr>
        <w:spacing w:after="0"/>
        <w:rPr>
          <w:szCs w:val="24"/>
          <w:lang w:eastAsia="lv-LV"/>
        </w:rPr>
      </w:pPr>
      <w:r w:rsidRPr="002551D1">
        <w:rPr>
          <w:color w:val="000000" w:themeColor="text1"/>
          <w:szCs w:val="24"/>
        </w:rPr>
        <w:t>Ņemot vērā Valsts kases dat</w:t>
      </w:r>
      <w:r w:rsidR="00614666">
        <w:rPr>
          <w:color w:val="000000" w:themeColor="text1"/>
          <w:szCs w:val="24"/>
        </w:rPr>
        <w:t>us par kopbudžeta izpildi 2019.</w:t>
      </w:r>
      <w:r w:rsidRPr="002551D1">
        <w:rPr>
          <w:color w:val="000000" w:themeColor="text1"/>
          <w:szCs w:val="24"/>
        </w:rPr>
        <w:t xml:space="preserve">gada pirmajā pusē, vispārējās valdības budžeta deficīts </w:t>
      </w:r>
      <w:r w:rsidR="00614666">
        <w:rPr>
          <w:b/>
          <w:color w:val="000000" w:themeColor="text1"/>
          <w:szCs w:val="24"/>
        </w:rPr>
        <w:t>2019.</w:t>
      </w:r>
      <w:r w:rsidRPr="002551D1">
        <w:rPr>
          <w:b/>
          <w:color w:val="000000" w:themeColor="text1"/>
          <w:szCs w:val="24"/>
        </w:rPr>
        <w:t>gadā</w:t>
      </w:r>
      <w:r w:rsidRPr="002551D1">
        <w:rPr>
          <w:color w:val="000000" w:themeColor="text1"/>
          <w:szCs w:val="24"/>
        </w:rPr>
        <w:t xml:space="preserve"> pēc FM novērtējuma tiek prognozēts 0,5% no IKP. Novērtētais deficīts kopumā atbilst likumā “Par valsts budžetu 2019.gadam” plānotajam budžeta deficīta līmenim. Salīdzinot ar plānu</w:t>
      </w:r>
      <w:r w:rsidR="00614666">
        <w:rPr>
          <w:color w:val="000000" w:themeColor="text1"/>
          <w:szCs w:val="24"/>
        </w:rPr>
        <w:t>, nodokļu ieņēmumi kopumā 2019.</w:t>
      </w:r>
      <w:r w:rsidRPr="002551D1">
        <w:rPr>
          <w:color w:val="000000" w:themeColor="text1"/>
          <w:szCs w:val="24"/>
        </w:rPr>
        <w:t xml:space="preserve">gadā tiek prognozēti augstāki, īpaši iedzīvotāju ienākuma nodokļa un sociālās apdrošināšanas iemaksu ieņēmumi, ņemot vērā augstākus vidējās darba samaksas pieauguma tempus un faktisko ieņēmumu izpildi. </w:t>
      </w:r>
      <w:r w:rsidR="00454A47">
        <w:rPr>
          <w:color w:val="000000"/>
        </w:rPr>
        <w:t>Savukārt, uzņēmumu ienākuma nodokļa ieņēmumu prognoze tika samazināta, ņemot vērā gan būtiski pieaugušās nodokļa atmaksas par iepriekš veiktajiem avansa maksājumiem, gan mazāku nekā prognozēts sa</w:t>
      </w:r>
      <w:r w:rsidR="00614666">
        <w:rPr>
          <w:color w:val="000000"/>
        </w:rPr>
        <w:t>dalītās peļņas apmēru par 2018.</w:t>
      </w:r>
      <w:r w:rsidR="00454A47">
        <w:rPr>
          <w:color w:val="000000"/>
        </w:rPr>
        <w:t xml:space="preserve">gadu, uzņēmumiem lielākā apmērā sadalot iepriekšējos gados uzkrāto peļņu, par ko nodoklis jau bija samaksāts. </w:t>
      </w:r>
    </w:p>
    <w:p w14:paraId="5D44D972" w14:textId="6E794264" w:rsidR="00F529BE" w:rsidRDefault="00614666" w:rsidP="00454A47">
      <w:pPr>
        <w:spacing w:after="0"/>
        <w:ind w:firstLine="720"/>
        <w:rPr>
          <w:color w:val="000000" w:themeColor="text1"/>
          <w:szCs w:val="24"/>
        </w:rPr>
      </w:pPr>
      <w:r>
        <w:rPr>
          <w:color w:val="000000" w:themeColor="text1"/>
          <w:szCs w:val="24"/>
        </w:rPr>
        <w:t>2019.</w:t>
      </w:r>
      <w:r w:rsidR="00F529BE">
        <w:rPr>
          <w:color w:val="000000" w:themeColor="text1"/>
          <w:szCs w:val="24"/>
        </w:rPr>
        <w:t xml:space="preserve">gadā augstāki budžeta izdevumi salīdzinājumā ar plānoto tiek prognozēti iemaksām ES budžetā un ES fondu un citu </w:t>
      </w:r>
      <w:r w:rsidR="00AE1436">
        <w:rPr>
          <w:color w:val="000000" w:themeColor="text1"/>
          <w:szCs w:val="24"/>
        </w:rPr>
        <w:t>ārvalstu finanšu palīdzība</w:t>
      </w:r>
      <w:r w:rsidR="00F529BE">
        <w:rPr>
          <w:color w:val="000000" w:themeColor="text1"/>
          <w:szCs w:val="24"/>
        </w:rPr>
        <w:t xml:space="preserve"> projektu izdevumiem, tai skaitā valsts budžeta līdzfinansējumam. Augstāki izdevumi ES fondu projektiem tiek prognozēti gan valsts, gan pašvaldību budžetā, turpinoties aktīvai ES fondu projektu realizācijai. Vienlaicīgi, ņemot vērā faktisko budžeta izpildi, ir </w:t>
      </w:r>
      <w:r>
        <w:rPr>
          <w:color w:val="000000" w:themeColor="text1"/>
          <w:szCs w:val="24"/>
        </w:rPr>
        <w:t>izdevumu pozīcijas, kurās 2019.</w:t>
      </w:r>
      <w:r w:rsidR="00F529BE">
        <w:rPr>
          <w:color w:val="000000" w:themeColor="text1"/>
          <w:szCs w:val="24"/>
        </w:rPr>
        <w:t>gadā ir sagaidāmi mazāki izdevumi nekā prognozēts iepriekš – kā, piemēram, valsts budžeta izdevumi pensijām, pašvaldību budžeta izdevumi pamatfunkciju nodrošināšanai. Veicot k</w:t>
      </w:r>
      <w:r>
        <w:rPr>
          <w:color w:val="000000" w:themeColor="text1"/>
          <w:szCs w:val="24"/>
        </w:rPr>
        <w:t>orekcijas šajās pozīcijās 2019.</w:t>
      </w:r>
      <w:r w:rsidR="00F529BE">
        <w:rPr>
          <w:color w:val="000000" w:themeColor="text1"/>
          <w:szCs w:val="24"/>
        </w:rPr>
        <w:t xml:space="preserve">gadā, attiecīgi tika koriģētas arī vidēja termiņa prognozes. </w:t>
      </w:r>
    </w:p>
    <w:p w14:paraId="3556C00F" w14:textId="14708ED8" w:rsidR="00F529BE" w:rsidRDefault="00614666" w:rsidP="00AE1436">
      <w:pPr>
        <w:spacing w:after="0"/>
        <w:ind w:firstLine="720"/>
        <w:rPr>
          <w:color w:val="000000" w:themeColor="text1"/>
          <w:szCs w:val="24"/>
        </w:rPr>
      </w:pPr>
      <w:r>
        <w:rPr>
          <w:b/>
          <w:color w:val="000000" w:themeColor="text1"/>
          <w:szCs w:val="24"/>
        </w:rPr>
        <w:t>2020.</w:t>
      </w:r>
      <w:r w:rsidR="00F529BE" w:rsidRPr="00941CC8">
        <w:rPr>
          <w:b/>
          <w:color w:val="000000" w:themeColor="text1"/>
          <w:szCs w:val="24"/>
        </w:rPr>
        <w:t>gadā</w:t>
      </w:r>
      <w:r w:rsidR="00F529BE" w:rsidRPr="0030511F">
        <w:rPr>
          <w:color w:val="000000" w:themeColor="text1"/>
          <w:szCs w:val="24"/>
        </w:rPr>
        <w:t xml:space="preserve"> vispārējās valdības budžeta deficīts tiek </w:t>
      </w:r>
      <w:r w:rsidR="00F529BE">
        <w:rPr>
          <w:color w:val="000000" w:themeColor="text1"/>
          <w:szCs w:val="24"/>
        </w:rPr>
        <w:t>plānots</w:t>
      </w:r>
      <w:r w:rsidR="00F529BE" w:rsidRPr="0030511F">
        <w:rPr>
          <w:color w:val="000000" w:themeColor="text1"/>
          <w:szCs w:val="24"/>
        </w:rPr>
        <w:t xml:space="preserve"> 0,</w:t>
      </w:r>
      <w:r w:rsidR="00F529BE">
        <w:rPr>
          <w:color w:val="000000" w:themeColor="text1"/>
          <w:szCs w:val="24"/>
        </w:rPr>
        <w:t>3</w:t>
      </w:r>
      <w:r w:rsidR="00F529BE" w:rsidRPr="0030511F">
        <w:rPr>
          <w:color w:val="000000" w:themeColor="text1"/>
          <w:szCs w:val="24"/>
        </w:rPr>
        <w:t>% no IKP</w:t>
      </w:r>
      <w:r w:rsidR="00F529BE">
        <w:rPr>
          <w:color w:val="000000" w:themeColor="text1"/>
          <w:szCs w:val="24"/>
        </w:rPr>
        <w:t xml:space="preserve"> apmērā. </w:t>
      </w:r>
      <w:r w:rsidR="00F529BE" w:rsidRPr="0030511F">
        <w:rPr>
          <w:color w:val="000000" w:themeColor="text1"/>
          <w:szCs w:val="24"/>
        </w:rPr>
        <w:t xml:space="preserve">Vidēja termiņa vispārējās valdības budžeta prognožu pamatā ir </w:t>
      </w:r>
      <w:r w:rsidR="00F529BE" w:rsidRPr="00A832D8">
        <w:rPr>
          <w:color w:val="000000" w:themeColor="text1"/>
          <w:szCs w:val="24"/>
        </w:rPr>
        <w:t>201</w:t>
      </w:r>
      <w:r w:rsidR="00F529BE">
        <w:rPr>
          <w:color w:val="000000" w:themeColor="text1"/>
          <w:szCs w:val="24"/>
        </w:rPr>
        <w:t>9</w:t>
      </w:r>
      <w:r w:rsidR="00F529BE" w:rsidRPr="00A832D8">
        <w:rPr>
          <w:color w:val="000000" w:themeColor="text1"/>
          <w:szCs w:val="24"/>
        </w:rPr>
        <w:t>.gada jū</w:t>
      </w:r>
      <w:r w:rsidR="00F529BE">
        <w:rPr>
          <w:color w:val="000000" w:themeColor="text1"/>
          <w:szCs w:val="24"/>
        </w:rPr>
        <w:t>nijā</w:t>
      </w:r>
      <w:r w:rsidR="00F529BE" w:rsidRPr="00A832D8">
        <w:rPr>
          <w:color w:val="000000" w:themeColor="text1"/>
          <w:szCs w:val="24"/>
        </w:rPr>
        <w:t xml:space="preserve"> </w:t>
      </w:r>
      <w:r w:rsidR="00F529BE">
        <w:rPr>
          <w:color w:val="000000" w:themeColor="text1"/>
          <w:szCs w:val="24"/>
        </w:rPr>
        <w:t xml:space="preserve">izstrādātais </w:t>
      </w:r>
      <w:r w:rsidR="00F529BE" w:rsidRPr="00A832D8">
        <w:rPr>
          <w:color w:val="000000" w:themeColor="text1"/>
          <w:szCs w:val="24"/>
        </w:rPr>
        <w:t>makroekonomiskās attīstības scenārijs</w:t>
      </w:r>
      <w:r w:rsidR="00F529BE">
        <w:rPr>
          <w:color w:val="000000" w:themeColor="text1"/>
          <w:szCs w:val="24"/>
        </w:rPr>
        <w:t xml:space="preserve"> vidējam termiņam</w:t>
      </w:r>
      <w:r w:rsidR="00F529BE" w:rsidRPr="00A832D8">
        <w:rPr>
          <w:color w:val="000000" w:themeColor="text1"/>
          <w:szCs w:val="24"/>
        </w:rPr>
        <w:t>, aktualizēt</w:t>
      </w:r>
      <w:r w:rsidR="00F529BE">
        <w:rPr>
          <w:color w:val="000000" w:themeColor="text1"/>
          <w:szCs w:val="24"/>
        </w:rPr>
        <w:t>ās</w:t>
      </w:r>
      <w:r w:rsidR="00F529BE" w:rsidRPr="00A832D8">
        <w:rPr>
          <w:color w:val="000000" w:themeColor="text1"/>
          <w:szCs w:val="24"/>
        </w:rPr>
        <w:t xml:space="preserve"> nodokļu ieņēmumu</w:t>
      </w:r>
      <w:r w:rsidR="00F529BE">
        <w:rPr>
          <w:color w:val="000000" w:themeColor="text1"/>
          <w:szCs w:val="24"/>
        </w:rPr>
        <w:t xml:space="preserve"> prognozes</w:t>
      </w:r>
      <w:r w:rsidR="00F529BE" w:rsidRPr="00A832D8">
        <w:rPr>
          <w:color w:val="000000" w:themeColor="text1"/>
          <w:szCs w:val="24"/>
        </w:rPr>
        <w:t xml:space="preserve"> un </w:t>
      </w:r>
      <w:r w:rsidR="00F529BE">
        <w:rPr>
          <w:color w:val="000000" w:themeColor="text1"/>
          <w:szCs w:val="24"/>
        </w:rPr>
        <w:t xml:space="preserve">budžeta </w:t>
      </w:r>
      <w:r w:rsidR="00F529BE" w:rsidRPr="00A832D8">
        <w:rPr>
          <w:color w:val="000000" w:themeColor="text1"/>
          <w:szCs w:val="24"/>
        </w:rPr>
        <w:t>izdevumu plāni</w:t>
      </w:r>
      <w:r>
        <w:rPr>
          <w:color w:val="000000" w:themeColor="text1"/>
          <w:szCs w:val="24"/>
        </w:rPr>
        <w:t>, ņemot vērā līdz 2019.</w:t>
      </w:r>
      <w:r w:rsidR="00F529BE">
        <w:rPr>
          <w:color w:val="000000" w:themeColor="text1"/>
          <w:szCs w:val="24"/>
        </w:rPr>
        <w:t>gada oktobrim pieņemtos</w:t>
      </w:r>
      <w:r w:rsidR="00F529BE" w:rsidRPr="00A832D8">
        <w:rPr>
          <w:color w:val="000000" w:themeColor="text1"/>
          <w:szCs w:val="24"/>
        </w:rPr>
        <w:t xml:space="preserve"> </w:t>
      </w:r>
      <w:r w:rsidR="00F529BE">
        <w:rPr>
          <w:color w:val="000000" w:themeColor="text1"/>
          <w:szCs w:val="24"/>
        </w:rPr>
        <w:t>valdības</w:t>
      </w:r>
      <w:r w:rsidR="00F529BE" w:rsidRPr="00A832D8">
        <w:rPr>
          <w:color w:val="000000" w:themeColor="text1"/>
          <w:szCs w:val="24"/>
        </w:rPr>
        <w:t xml:space="preserve"> </w:t>
      </w:r>
      <w:r w:rsidR="00F529BE">
        <w:rPr>
          <w:color w:val="000000" w:themeColor="text1"/>
          <w:szCs w:val="24"/>
        </w:rPr>
        <w:t>lēmumus</w:t>
      </w:r>
      <w:r w:rsidR="00F529BE" w:rsidRPr="00A832D8">
        <w:rPr>
          <w:color w:val="000000" w:themeColor="text1"/>
          <w:szCs w:val="24"/>
        </w:rPr>
        <w:t xml:space="preserve">. </w:t>
      </w:r>
      <w:r w:rsidR="00F529BE">
        <w:rPr>
          <w:color w:val="000000" w:themeColor="text1"/>
          <w:szCs w:val="24"/>
        </w:rPr>
        <w:t>Prognozē ir ņemta vērā</w:t>
      </w:r>
      <w:r w:rsidR="00F529BE" w:rsidRPr="00A832D8">
        <w:rPr>
          <w:color w:val="000000" w:themeColor="text1"/>
          <w:szCs w:val="24"/>
        </w:rPr>
        <w:t xml:space="preserve"> pašvaldību un citu atvasināto publisko personu budžetu </w:t>
      </w:r>
      <w:r w:rsidR="00F529BE" w:rsidRPr="004264AC">
        <w:rPr>
          <w:color w:val="000000" w:themeColor="text1"/>
          <w:szCs w:val="24"/>
        </w:rPr>
        <w:t>iespēj</w:t>
      </w:r>
      <w:r w:rsidR="00F529BE">
        <w:rPr>
          <w:color w:val="000000" w:themeColor="text1"/>
          <w:szCs w:val="24"/>
        </w:rPr>
        <w:t xml:space="preserve">amā attīstība turpmākajos gados, iekļaujot arī valdības pieņemto lēmumu ietekmi uz šiem budžetiem. </w:t>
      </w:r>
    </w:p>
    <w:p w14:paraId="5C12CA87" w14:textId="0284EBC0" w:rsidR="00F529BE" w:rsidRPr="004264AC" w:rsidRDefault="00F529BE" w:rsidP="00AE1436">
      <w:pPr>
        <w:spacing w:after="0"/>
        <w:ind w:firstLine="720"/>
        <w:rPr>
          <w:color w:val="000000" w:themeColor="text1"/>
          <w:szCs w:val="24"/>
        </w:rPr>
      </w:pPr>
      <w:r>
        <w:rPr>
          <w:color w:val="000000" w:themeColor="text1"/>
          <w:szCs w:val="24"/>
        </w:rPr>
        <w:t xml:space="preserve">Vispārējās valdības budžeta ieņēmumi </w:t>
      </w:r>
      <w:r w:rsidR="00614666">
        <w:rPr>
          <w:color w:val="000000" w:themeColor="text1"/>
          <w:szCs w:val="24"/>
        </w:rPr>
        <w:t>2020.gadā, salīdzinot ar 2019.</w:t>
      </w:r>
      <w:r>
        <w:rPr>
          <w:color w:val="000000" w:themeColor="text1"/>
          <w:szCs w:val="24"/>
        </w:rPr>
        <w:t>gadu, nominālā izteiksmē pieaug, taču to īpatsvars IKP samazinās, galvenokārt tāpēc, ka ieņēmumu pieauguma temps tiek prognozēts lēnāks nekā iekšzemes kopprodukta pieauguma temps. Tas pamatā ir skaidrojams ar ieņēmumu no ienākuma un mantas kārtējie nodokļiem samazināšanos, ņemot vērā valdības atbalstīto diferencētā neapliekamā minimum</w:t>
      </w:r>
      <w:r w:rsidR="00614666">
        <w:rPr>
          <w:color w:val="000000" w:themeColor="text1"/>
          <w:szCs w:val="24"/>
        </w:rPr>
        <w:t>a paaugstināšanu sākot ar 2020.</w:t>
      </w:r>
      <w:r>
        <w:rPr>
          <w:color w:val="000000" w:themeColor="text1"/>
          <w:szCs w:val="24"/>
        </w:rPr>
        <w:t>gadu līdz 300</w:t>
      </w:r>
      <w:r w:rsidRPr="006334F7">
        <w:rPr>
          <w:noProof/>
          <w:color w:val="000000" w:themeColor="text1"/>
          <w:szCs w:val="24"/>
        </w:rPr>
        <w:t xml:space="preserve"> </w:t>
      </w:r>
      <w:r w:rsidRPr="006334F7">
        <w:rPr>
          <w:i/>
          <w:noProof/>
          <w:color w:val="000000" w:themeColor="text1"/>
          <w:szCs w:val="24"/>
        </w:rPr>
        <w:t>euro</w:t>
      </w:r>
      <w:r>
        <w:rPr>
          <w:color w:val="000000" w:themeColor="text1"/>
          <w:szCs w:val="24"/>
        </w:rPr>
        <w:t xml:space="preserve"> mēnesī.</w:t>
      </w:r>
    </w:p>
    <w:p w14:paraId="57F07708" w14:textId="126649D1" w:rsidR="00F529BE" w:rsidRPr="00CE3D06" w:rsidRDefault="00F529BE" w:rsidP="00AE1436">
      <w:pPr>
        <w:spacing w:after="0"/>
        <w:ind w:firstLine="720"/>
        <w:rPr>
          <w:color w:val="000000" w:themeColor="text1"/>
          <w:szCs w:val="24"/>
        </w:rPr>
      </w:pPr>
      <w:r>
        <w:rPr>
          <w:color w:val="000000" w:themeColor="text1"/>
          <w:szCs w:val="24"/>
        </w:rPr>
        <w:t>Savukārt, vispārējās valdības budžeta izdevumu īpatsvara iekš</w:t>
      </w:r>
      <w:r w:rsidR="00614666">
        <w:rPr>
          <w:color w:val="000000" w:themeColor="text1"/>
          <w:szCs w:val="24"/>
        </w:rPr>
        <w:t>zemes kopproduktā kritums 2020.</w:t>
      </w:r>
      <w:r>
        <w:rPr>
          <w:color w:val="000000" w:themeColor="text1"/>
          <w:szCs w:val="24"/>
        </w:rPr>
        <w:t>gadā tiek plānots straujāks nekā ieņēmumiem, pamatā samazinoties starppatēriņa un bruto kopējās pamatkapitāla veidošanas p</w:t>
      </w:r>
      <w:r w:rsidR="00614666">
        <w:rPr>
          <w:color w:val="000000" w:themeColor="text1"/>
          <w:szCs w:val="24"/>
        </w:rPr>
        <w:t>ozīcijām salīdzinājumā ar 2019.</w:t>
      </w:r>
      <w:r>
        <w:rPr>
          <w:color w:val="000000" w:themeColor="text1"/>
          <w:szCs w:val="24"/>
        </w:rPr>
        <w:t>gadu. To lielā mērā nosaka šo izdevumu apjoma samazināšanās tieši pašvaldību budžetos, ņemot vērā pašvaldībām pieejamos resursus, tai skaitā ierobežoto aizņemšanos. Vienlaicīgi, ievērojot valdības pieņemtos lēmumus attiecībā uz atlīdzības palielināšanu ārst</w:t>
      </w:r>
      <w:r w:rsidR="00614666">
        <w:rPr>
          <w:color w:val="000000" w:themeColor="text1"/>
          <w:szCs w:val="24"/>
        </w:rPr>
        <w:t xml:space="preserve">niecības personām, pedagogiem, </w:t>
      </w:r>
      <w:r>
        <w:rPr>
          <w:noProof/>
          <w:color w:val="000000" w:themeColor="text1"/>
          <w:szCs w:val="24"/>
        </w:rPr>
        <w:t>iekšlietu sistēmas</w:t>
      </w:r>
      <w:r>
        <w:rPr>
          <w:color w:val="000000" w:themeColor="text1"/>
          <w:szCs w:val="24"/>
        </w:rPr>
        <w:t xml:space="preserve"> amatpersonām, Satversmes tiesas darbiniekiem un kultūras nozarē nodarbinātajiem, vispārējās valdības bu</w:t>
      </w:r>
      <w:r w:rsidR="00614666">
        <w:rPr>
          <w:color w:val="000000" w:themeColor="text1"/>
          <w:szCs w:val="24"/>
        </w:rPr>
        <w:t>džeta izdevumi atlīdzībai 2020.</w:t>
      </w:r>
      <w:r>
        <w:rPr>
          <w:color w:val="000000" w:themeColor="text1"/>
          <w:szCs w:val="24"/>
        </w:rPr>
        <w:t>gadā tiek saglabāti ar stabilu pieaugumu, taču</w:t>
      </w:r>
      <w:r w:rsidR="00614666">
        <w:rPr>
          <w:color w:val="000000" w:themeColor="text1"/>
          <w:szCs w:val="24"/>
        </w:rPr>
        <w:t xml:space="preserve"> kopumā nedaudz zemāku kā 2019.</w:t>
      </w:r>
      <w:r>
        <w:rPr>
          <w:color w:val="000000" w:themeColor="text1"/>
          <w:szCs w:val="24"/>
        </w:rPr>
        <w:t xml:space="preserve">gadā. </w:t>
      </w:r>
    </w:p>
    <w:p w14:paraId="26309C7D" w14:textId="77777777" w:rsidR="000124BF" w:rsidRDefault="000124BF" w:rsidP="004171A5">
      <w:pPr>
        <w:pStyle w:val="Heading1"/>
        <w:tabs>
          <w:tab w:val="left" w:pos="1276"/>
        </w:tabs>
        <w:spacing w:before="120" w:after="120"/>
        <w:ind w:left="1276" w:hanging="1276"/>
        <w:jc w:val="left"/>
        <w:rPr>
          <w:rFonts w:ascii="Times New Roman" w:hAnsi="Times New Roman"/>
          <w:color w:val="18185F"/>
          <w:sz w:val="24"/>
        </w:rPr>
      </w:pPr>
    </w:p>
    <w:p w14:paraId="31F03E1A" w14:textId="685C8680" w:rsidR="000124BF" w:rsidRDefault="000124BF" w:rsidP="000124BF">
      <w:pPr>
        <w:rPr>
          <w:lang w:val="x-none" w:eastAsia="x-none"/>
        </w:rPr>
      </w:pPr>
    </w:p>
    <w:p w14:paraId="40A0D9EE" w14:textId="77777777" w:rsidR="00AE1436" w:rsidRDefault="00AE1436" w:rsidP="000124BF">
      <w:pPr>
        <w:rPr>
          <w:lang w:val="x-none" w:eastAsia="x-none"/>
        </w:rPr>
      </w:pPr>
    </w:p>
    <w:p w14:paraId="688B4B5A" w14:textId="77777777" w:rsidR="000124BF" w:rsidRPr="000124BF" w:rsidRDefault="000124BF" w:rsidP="000124BF">
      <w:pPr>
        <w:rPr>
          <w:lang w:val="x-none" w:eastAsia="x-none"/>
        </w:rPr>
      </w:pPr>
    </w:p>
    <w:p w14:paraId="42D6A8B7" w14:textId="1D3914E1" w:rsidR="00237652" w:rsidRPr="000D29EE" w:rsidRDefault="00237652" w:rsidP="004171A5">
      <w:pPr>
        <w:pStyle w:val="Heading1"/>
        <w:tabs>
          <w:tab w:val="left" w:pos="1276"/>
        </w:tabs>
        <w:spacing w:before="120" w:after="120"/>
        <w:ind w:left="1276" w:hanging="1276"/>
        <w:jc w:val="left"/>
        <w:rPr>
          <w:rFonts w:ascii="Times New Roman" w:hAnsi="Times New Roman"/>
        </w:rPr>
      </w:pPr>
      <w:bookmarkStart w:id="36" w:name="_Toc21516521"/>
      <w:r w:rsidRPr="00323B3B">
        <w:rPr>
          <w:rFonts w:ascii="Times New Roman" w:hAnsi="Times New Roman"/>
          <w:color w:val="18185F"/>
          <w:sz w:val="24"/>
        </w:rPr>
        <w:t xml:space="preserve">Tabula 7: Salīdzinājums ar Stabilitātes programmu </w:t>
      </w:r>
      <w:r w:rsidRPr="003822F3">
        <w:rPr>
          <w:rFonts w:ascii="Times New Roman" w:hAnsi="Times New Roman"/>
          <w:color w:val="18185F"/>
          <w:sz w:val="24"/>
        </w:rPr>
        <w:t>201</w:t>
      </w:r>
      <w:r w:rsidR="003822F3" w:rsidRPr="003822F3">
        <w:rPr>
          <w:rFonts w:ascii="Times New Roman" w:hAnsi="Times New Roman"/>
          <w:color w:val="18185F"/>
          <w:sz w:val="24"/>
          <w:lang w:val="lv-LV"/>
        </w:rPr>
        <w:t>9</w:t>
      </w:r>
      <w:r w:rsidR="000D29EE" w:rsidRPr="003822F3">
        <w:rPr>
          <w:rFonts w:ascii="Times New Roman" w:hAnsi="Times New Roman"/>
          <w:color w:val="18185F"/>
          <w:sz w:val="24"/>
          <w:lang w:val="lv-LV"/>
        </w:rPr>
        <w:t>.</w:t>
      </w:r>
      <w:r w:rsidR="00614666" w:rsidRPr="0035710E">
        <w:rPr>
          <w:rFonts w:ascii="Times New Roman" w:hAnsi="Times New Roman"/>
          <w:noProof/>
          <w:color w:val="000000" w:themeColor="text1"/>
        </w:rPr>
        <w:t>–</w:t>
      </w:r>
      <w:r w:rsidR="006B28DB" w:rsidRPr="003822F3">
        <w:rPr>
          <w:rFonts w:ascii="Times New Roman" w:hAnsi="Times New Roman"/>
          <w:color w:val="18185F"/>
          <w:sz w:val="24"/>
        </w:rPr>
        <w:t>202</w:t>
      </w:r>
      <w:r w:rsidR="003822F3" w:rsidRPr="003822F3">
        <w:rPr>
          <w:rFonts w:ascii="Times New Roman" w:hAnsi="Times New Roman"/>
          <w:color w:val="18185F"/>
          <w:sz w:val="24"/>
          <w:lang w:val="lv-LV"/>
        </w:rPr>
        <w:t>2</w:t>
      </w:r>
      <w:r w:rsidR="000D29EE" w:rsidRPr="00323B3B">
        <w:rPr>
          <w:rFonts w:ascii="Times New Roman" w:hAnsi="Times New Roman"/>
          <w:color w:val="18185F"/>
          <w:sz w:val="24"/>
          <w:lang w:val="lv-LV"/>
        </w:rPr>
        <w:t>.gadam</w:t>
      </w:r>
      <w:bookmarkEnd w:id="36"/>
    </w:p>
    <w:tbl>
      <w:tblPr>
        <w:tblStyle w:val="GridTable6Colorful-Accent11"/>
        <w:tblW w:w="9067" w:type="dxa"/>
        <w:jc w:val="center"/>
        <w:tblLook w:val="04A0" w:firstRow="1" w:lastRow="0" w:firstColumn="1" w:lastColumn="0" w:noHBand="0" w:noVBand="1"/>
      </w:tblPr>
      <w:tblGrid>
        <w:gridCol w:w="5548"/>
        <w:gridCol w:w="960"/>
        <w:gridCol w:w="858"/>
        <w:gridCol w:w="851"/>
        <w:gridCol w:w="850"/>
      </w:tblGrid>
      <w:tr w:rsidR="0095442F" w:rsidRPr="0095442F" w14:paraId="7D341A50" w14:textId="77777777" w:rsidTr="00767772">
        <w:trPr>
          <w:cnfStyle w:val="100000000000" w:firstRow="1" w:lastRow="0" w:firstColumn="0" w:lastColumn="0" w:oddVBand="0" w:evenVBand="0" w:oddHBand="0" w:evenHBand="0" w:firstRowFirstColumn="0" w:firstRowLastColumn="0" w:lastRowFirstColumn="0" w:lastRowLastColumn="0"/>
          <w:trHeight w:val="403"/>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40135956" w14:textId="77777777" w:rsidR="0095442F" w:rsidRPr="0095442F" w:rsidRDefault="0095442F" w:rsidP="0095442F">
            <w:pPr>
              <w:spacing w:after="0"/>
              <w:ind w:firstLine="0"/>
              <w:jc w:val="left"/>
              <w:rPr>
                <w:color w:val="000000"/>
                <w:szCs w:val="24"/>
                <w:lang w:eastAsia="lv-LV"/>
              </w:rPr>
            </w:pPr>
            <w:r w:rsidRPr="0095442F">
              <w:rPr>
                <w:color w:val="000000"/>
                <w:szCs w:val="24"/>
                <w:lang w:eastAsia="lv-LV"/>
              </w:rPr>
              <w:t> </w:t>
            </w:r>
          </w:p>
        </w:tc>
        <w:tc>
          <w:tcPr>
            <w:tcW w:w="960" w:type="dxa"/>
            <w:vAlign w:val="center"/>
            <w:hideMark/>
          </w:tcPr>
          <w:p w14:paraId="4156FE73" w14:textId="77777777" w:rsidR="0095442F" w:rsidRPr="0095442F" w:rsidRDefault="0095442F" w:rsidP="0095442F">
            <w:pPr>
              <w:spacing w:after="0"/>
              <w:ind w:firstLine="0"/>
              <w:jc w:val="center"/>
              <w:cnfStyle w:val="100000000000" w:firstRow="1" w:lastRow="0" w:firstColumn="0" w:lastColumn="0" w:oddVBand="0" w:evenVBand="0" w:oddHBand="0" w:evenHBand="0" w:firstRowFirstColumn="0" w:firstRowLastColumn="0" w:lastRowFirstColumn="0" w:lastRowLastColumn="0"/>
              <w:rPr>
                <w:b w:val="0"/>
                <w:color w:val="000000"/>
                <w:szCs w:val="24"/>
                <w:lang w:eastAsia="lv-LV"/>
              </w:rPr>
            </w:pPr>
            <w:r w:rsidRPr="0095442F">
              <w:rPr>
                <w:color w:val="000000"/>
                <w:szCs w:val="24"/>
                <w:lang w:eastAsia="lv-LV"/>
              </w:rPr>
              <w:t>EKS kods</w:t>
            </w:r>
          </w:p>
        </w:tc>
        <w:tc>
          <w:tcPr>
            <w:tcW w:w="858" w:type="dxa"/>
            <w:vAlign w:val="center"/>
            <w:hideMark/>
          </w:tcPr>
          <w:p w14:paraId="416C632F" w14:textId="7D82B45A" w:rsidR="0095442F" w:rsidRPr="0095442F" w:rsidRDefault="0095442F" w:rsidP="0095442F">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95442F">
              <w:rPr>
                <w:bCs w:val="0"/>
                <w:color w:val="000000"/>
                <w:szCs w:val="24"/>
              </w:rPr>
              <w:t>2018</w:t>
            </w:r>
          </w:p>
        </w:tc>
        <w:tc>
          <w:tcPr>
            <w:tcW w:w="851" w:type="dxa"/>
            <w:vAlign w:val="center"/>
            <w:hideMark/>
          </w:tcPr>
          <w:p w14:paraId="7625E101" w14:textId="3A6BB5D9" w:rsidR="0095442F" w:rsidRPr="0095442F" w:rsidRDefault="0095442F" w:rsidP="0095442F">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95442F">
              <w:rPr>
                <w:bCs w:val="0"/>
                <w:color w:val="000000"/>
                <w:szCs w:val="24"/>
              </w:rPr>
              <w:t>2019</w:t>
            </w:r>
          </w:p>
        </w:tc>
        <w:tc>
          <w:tcPr>
            <w:tcW w:w="850" w:type="dxa"/>
            <w:vAlign w:val="center"/>
            <w:hideMark/>
          </w:tcPr>
          <w:p w14:paraId="2635E8E3" w14:textId="2588727E" w:rsidR="0095442F" w:rsidRPr="0095442F" w:rsidRDefault="0095442F" w:rsidP="0095442F">
            <w:pPr>
              <w:spacing w:after="0"/>
              <w:ind w:firstLine="0"/>
              <w:jc w:val="center"/>
              <w:cnfStyle w:val="100000000000" w:firstRow="1" w:lastRow="0" w:firstColumn="0" w:lastColumn="0" w:oddVBand="0" w:evenVBand="0" w:oddHBand="0" w:evenHBand="0" w:firstRowFirstColumn="0" w:firstRowLastColumn="0" w:lastRowFirstColumn="0" w:lastRowLastColumn="0"/>
              <w:rPr>
                <w:bCs w:val="0"/>
                <w:color w:val="000000"/>
                <w:szCs w:val="24"/>
                <w:lang w:eastAsia="lv-LV"/>
              </w:rPr>
            </w:pPr>
            <w:r w:rsidRPr="0095442F">
              <w:rPr>
                <w:bCs w:val="0"/>
                <w:color w:val="000000"/>
                <w:szCs w:val="24"/>
              </w:rPr>
              <w:t>2020</w:t>
            </w:r>
          </w:p>
        </w:tc>
      </w:tr>
      <w:tr w:rsidR="00237652" w:rsidRPr="0095442F" w14:paraId="4C172F1E" w14:textId="77777777" w:rsidTr="00767772">
        <w:trPr>
          <w:cnfStyle w:val="000000100000" w:firstRow="0" w:lastRow="0" w:firstColumn="0" w:lastColumn="0" w:oddVBand="0" w:evenVBand="0" w:oddHBand="1" w:evenHBand="0" w:firstRowFirstColumn="0" w:firstRowLastColumn="0" w:lastRowFirstColumn="0" w:lastRowLastColumn="0"/>
          <w:trHeight w:val="121"/>
          <w:jc w:val="center"/>
        </w:trPr>
        <w:tc>
          <w:tcPr>
            <w:cnfStyle w:val="001000000000" w:firstRow="0" w:lastRow="0" w:firstColumn="1" w:lastColumn="0" w:oddVBand="0" w:evenVBand="0" w:oddHBand="0" w:evenHBand="0" w:firstRowFirstColumn="0" w:firstRowLastColumn="0" w:lastRowFirstColumn="0" w:lastRowLastColumn="0"/>
            <w:tcW w:w="5548" w:type="dxa"/>
            <w:hideMark/>
          </w:tcPr>
          <w:p w14:paraId="52E264B3" w14:textId="77777777" w:rsidR="00237652" w:rsidRPr="0095442F" w:rsidRDefault="00237652" w:rsidP="002E4551">
            <w:pPr>
              <w:spacing w:after="0"/>
              <w:ind w:firstLine="0"/>
              <w:jc w:val="center"/>
              <w:rPr>
                <w:color w:val="000000"/>
                <w:szCs w:val="24"/>
                <w:lang w:eastAsia="lv-LV"/>
              </w:rPr>
            </w:pPr>
          </w:p>
        </w:tc>
        <w:tc>
          <w:tcPr>
            <w:tcW w:w="960" w:type="dxa"/>
            <w:hideMark/>
          </w:tcPr>
          <w:p w14:paraId="523E07C2" w14:textId="77777777" w:rsidR="00237652" w:rsidRPr="0095442F"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5442F">
              <w:rPr>
                <w:color w:val="000000"/>
                <w:szCs w:val="24"/>
                <w:lang w:eastAsia="lv-LV"/>
              </w:rPr>
              <w:t xml:space="preserve"> </w:t>
            </w:r>
          </w:p>
        </w:tc>
        <w:tc>
          <w:tcPr>
            <w:tcW w:w="2559" w:type="dxa"/>
            <w:gridSpan w:val="3"/>
            <w:hideMark/>
          </w:tcPr>
          <w:p w14:paraId="30BC8A6C" w14:textId="77777777" w:rsidR="00237652" w:rsidRPr="0095442F" w:rsidRDefault="00237652" w:rsidP="002E4551">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5442F">
              <w:rPr>
                <w:color w:val="000000"/>
                <w:szCs w:val="24"/>
                <w:lang w:eastAsia="lv-LV"/>
              </w:rPr>
              <w:t xml:space="preserve">% no IKP  </w:t>
            </w:r>
          </w:p>
        </w:tc>
      </w:tr>
      <w:tr w:rsidR="00237652" w:rsidRPr="0095442F" w14:paraId="2B608C49" w14:textId="77777777" w:rsidTr="00767772">
        <w:trPr>
          <w:trHeight w:val="246"/>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0778298" w14:textId="77777777" w:rsidR="00237652" w:rsidRPr="0095442F" w:rsidRDefault="00237652" w:rsidP="00323B3B">
            <w:pPr>
              <w:spacing w:after="0"/>
              <w:ind w:firstLine="0"/>
              <w:jc w:val="left"/>
              <w:rPr>
                <w:bCs w:val="0"/>
                <w:color w:val="000000"/>
                <w:szCs w:val="24"/>
                <w:lang w:eastAsia="lv-LV"/>
              </w:rPr>
            </w:pPr>
            <w:r w:rsidRPr="0095442F">
              <w:rPr>
                <w:color w:val="000000"/>
                <w:szCs w:val="24"/>
                <w:lang w:eastAsia="lv-LV"/>
              </w:rPr>
              <w:t>Vispārējās valdības budžeta bilance</w:t>
            </w:r>
          </w:p>
        </w:tc>
        <w:tc>
          <w:tcPr>
            <w:tcW w:w="960" w:type="dxa"/>
            <w:vAlign w:val="center"/>
            <w:hideMark/>
          </w:tcPr>
          <w:p w14:paraId="73D9BBE3" w14:textId="77777777" w:rsidR="00237652" w:rsidRPr="0095442F"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5442F">
              <w:rPr>
                <w:bCs/>
                <w:color w:val="000000"/>
                <w:szCs w:val="24"/>
                <w:lang w:eastAsia="lv-LV"/>
              </w:rPr>
              <w:t>B.9</w:t>
            </w:r>
          </w:p>
        </w:tc>
        <w:tc>
          <w:tcPr>
            <w:tcW w:w="2559" w:type="dxa"/>
            <w:gridSpan w:val="3"/>
            <w:hideMark/>
          </w:tcPr>
          <w:p w14:paraId="0309D5ED" w14:textId="77777777" w:rsidR="00237652" w:rsidRPr="0095442F" w:rsidRDefault="00237652" w:rsidP="002E4551">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5442F">
              <w:rPr>
                <w:bCs/>
                <w:color w:val="000000"/>
                <w:szCs w:val="24"/>
                <w:lang w:eastAsia="lv-LV"/>
              </w:rPr>
              <w:t> </w:t>
            </w:r>
          </w:p>
        </w:tc>
      </w:tr>
      <w:tr w:rsidR="0095442F" w:rsidRPr="0095442F" w14:paraId="662F8B8D" w14:textId="77777777" w:rsidTr="00C22F2C">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31F2A64A" w14:textId="77777777" w:rsidR="0095442F" w:rsidRPr="0095442F" w:rsidRDefault="0095442F" w:rsidP="0095442F">
            <w:pPr>
              <w:spacing w:after="0"/>
              <w:ind w:firstLine="0"/>
              <w:jc w:val="left"/>
              <w:rPr>
                <w:b w:val="0"/>
                <w:color w:val="000000"/>
                <w:szCs w:val="24"/>
                <w:lang w:eastAsia="lv-LV"/>
              </w:rPr>
            </w:pPr>
            <w:r w:rsidRPr="0095442F">
              <w:rPr>
                <w:b w:val="0"/>
                <w:color w:val="000000"/>
                <w:szCs w:val="24"/>
                <w:lang w:eastAsia="lv-LV"/>
              </w:rPr>
              <w:t>Stabilitātes programma</w:t>
            </w:r>
          </w:p>
        </w:tc>
        <w:tc>
          <w:tcPr>
            <w:tcW w:w="960" w:type="dxa"/>
            <w:hideMark/>
          </w:tcPr>
          <w:p w14:paraId="44E2203A" w14:textId="77777777" w:rsidR="0095442F" w:rsidRPr="0095442F" w:rsidRDefault="0095442F" w:rsidP="0095442F">
            <w:pPr>
              <w:spacing w:after="0"/>
              <w:ind w:firstLine="0"/>
              <w:jc w:val="left"/>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5442F">
              <w:rPr>
                <w:color w:val="000000"/>
                <w:szCs w:val="24"/>
                <w:lang w:eastAsia="lv-LV"/>
              </w:rPr>
              <w:t> </w:t>
            </w:r>
          </w:p>
        </w:tc>
        <w:tc>
          <w:tcPr>
            <w:tcW w:w="858" w:type="dxa"/>
            <w:vAlign w:val="center"/>
          </w:tcPr>
          <w:p w14:paraId="31FB2584" w14:textId="38D4DEC9"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-1,0</w:t>
            </w:r>
          </w:p>
        </w:tc>
        <w:tc>
          <w:tcPr>
            <w:tcW w:w="851" w:type="dxa"/>
            <w:vAlign w:val="center"/>
          </w:tcPr>
          <w:p w14:paraId="0ADB07A2" w14:textId="3FE4FAA9"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-0,5</w:t>
            </w:r>
          </w:p>
        </w:tc>
        <w:tc>
          <w:tcPr>
            <w:tcW w:w="850" w:type="dxa"/>
            <w:vAlign w:val="center"/>
          </w:tcPr>
          <w:p w14:paraId="0FC07AB1" w14:textId="5E9AE260"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-0,4</w:t>
            </w:r>
          </w:p>
        </w:tc>
      </w:tr>
      <w:tr w:rsidR="0095442F" w:rsidRPr="0095442F" w14:paraId="092E1E38" w14:textId="77777777" w:rsidTr="00C22F2C">
        <w:trPr>
          <w:trHeight w:val="98"/>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4909835A" w14:textId="77777777" w:rsidR="0095442F" w:rsidRPr="0095442F" w:rsidRDefault="0095442F" w:rsidP="0095442F">
            <w:pPr>
              <w:spacing w:after="0"/>
              <w:ind w:firstLine="0"/>
              <w:jc w:val="left"/>
              <w:rPr>
                <w:b w:val="0"/>
                <w:color w:val="000000"/>
                <w:szCs w:val="24"/>
                <w:lang w:eastAsia="lv-LV"/>
              </w:rPr>
            </w:pPr>
            <w:r w:rsidRPr="0095442F">
              <w:rPr>
                <w:b w:val="0"/>
                <w:color w:val="000000"/>
                <w:szCs w:val="24"/>
                <w:lang w:eastAsia="lv-LV"/>
              </w:rPr>
              <w:t>Vispārējās valdības budžeta plāna projekts</w:t>
            </w:r>
          </w:p>
        </w:tc>
        <w:tc>
          <w:tcPr>
            <w:tcW w:w="960" w:type="dxa"/>
            <w:hideMark/>
          </w:tcPr>
          <w:p w14:paraId="0D00F974" w14:textId="77777777" w:rsidR="0095442F" w:rsidRPr="0095442F" w:rsidRDefault="0095442F" w:rsidP="0095442F">
            <w:pPr>
              <w:spacing w:after="0"/>
              <w:ind w:firstLine="0"/>
              <w:jc w:val="left"/>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5442F">
              <w:rPr>
                <w:color w:val="000000"/>
                <w:szCs w:val="24"/>
                <w:lang w:eastAsia="lv-LV"/>
              </w:rPr>
              <w:t> </w:t>
            </w:r>
          </w:p>
        </w:tc>
        <w:tc>
          <w:tcPr>
            <w:tcW w:w="858" w:type="dxa"/>
            <w:vAlign w:val="center"/>
          </w:tcPr>
          <w:p w14:paraId="796E7DE0" w14:textId="3E928ED5"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-1,0</w:t>
            </w:r>
          </w:p>
        </w:tc>
        <w:tc>
          <w:tcPr>
            <w:tcW w:w="851" w:type="dxa"/>
            <w:vAlign w:val="center"/>
          </w:tcPr>
          <w:p w14:paraId="1EDFF70F" w14:textId="651109EE"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-0,5</w:t>
            </w:r>
          </w:p>
        </w:tc>
        <w:tc>
          <w:tcPr>
            <w:tcW w:w="850" w:type="dxa"/>
            <w:vAlign w:val="center"/>
          </w:tcPr>
          <w:p w14:paraId="1115B785" w14:textId="54BCDBFD"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-0,3</w:t>
            </w:r>
          </w:p>
        </w:tc>
      </w:tr>
      <w:tr w:rsidR="0095442F" w:rsidRPr="0095442F" w14:paraId="64BA0B01" w14:textId="77777777" w:rsidTr="00C22F2C">
        <w:trPr>
          <w:cnfStyle w:val="000000100000" w:firstRow="0" w:lastRow="0" w:firstColumn="0" w:lastColumn="0" w:oddVBand="0" w:evenVBand="0" w:oddHBand="1" w:evenHBand="0" w:firstRowFirstColumn="0" w:firstRowLastColumn="0" w:lastRowFirstColumn="0" w:lastRowLastColumn="0"/>
          <w:trHeight w:val="101"/>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494A06F6" w14:textId="77777777" w:rsidR="0095442F" w:rsidRPr="0095442F" w:rsidRDefault="0095442F" w:rsidP="0095442F">
            <w:pPr>
              <w:spacing w:after="0"/>
              <w:ind w:firstLine="0"/>
              <w:jc w:val="left"/>
              <w:rPr>
                <w:b w:val="0"/>
                <w:color w:val="000000"/>
                <w:szCs w:val="24"/>
                <w:lang w:eastAsia="lv-LV"/>
              </w:rPr>
            </w:pPr>
            <w:r w:rsidRPr="0095442F">
              <w:rPr>
                <w:b w:val="0"/>
                <w:color w:val="000000"/>
                <w:szCs w:val="24"/>
                <w:lang w:eastAsia="lv-LV"/>
              </w:rPr>
              <w:t>Starpība</w:t>
            </w:r>
          </w:p>
        </w:tc>
        <w:tc>
          <w:tcPr>
            <w:tcW w:w="960" w:type="dxa"/>
            <w:hideMark/>
          </w:tcPr>
          <w:p w14:paraId="37F9E32F" w14:textId="7777777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5442F">
              <w:rPr>
                <w:color w:val="000000"/>
                <w:szCs w:val="24"/>
                <w:lang w:eastAsia="lv-LV"/>
              </w:rPr>
              <w:t> </w:t>
            </w:r>
          </w:p>
        </w:tc>
        <w:tc>
          <w:tcPr>
            <w:tcW w:w="858" w:type="dxa"/>
            <w:vAlign w:val="center"/>
          </w:tcPr>
          <w:p w14:paraId="088D576C" w14:textId="6135996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0,0</w:t>
            </w:r>
          </w:p>
        </w:tc>
        <w:tc>
          <w:tcPr>
            <w:tcW w:w="851" w:type="dxa"/>
            <w:vAlign w:val="center"/>
          </w:tcPr>
          <w:p w14:paraId="315F7971" w14:textId="352045EC"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0,0</w:t>
            </w:r>
          </w:p>
        </w:tc>
        <w:tc>
          <w:tcPr>
            <w:tcW w:w="850" w:type="dxa"/>
            <w:vAlign w:val="center"/>
          </w:tcPr>
          <w:p w14:paraId="36C2A829" w14:textId="27C1C4F5"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0,1</w:t>
            </w:r>
          </w:p>
        </w:tc>
      </w:tr>
      <w:tr w:rsidR="00237652" w:rsidRPr="0095442F" w14:paraId="04396639" w14:textId="77777777" w:rsidTr="00767772">
        <w:trPr>
          <w:trHeight w:val="3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0450499" w14:textId="77777777" w:rsidR="00237652" w:rsidRPr="0095442F" w:rsidRDefault="00237652" w:rsidP="00323B3B">
            <w:pPr>
              <w:spacing w:after="0"/>
              <w:ind w:firstLine="0"/>
              <w:jc w:val="left"/>
              <w:rPr>
                <w:bCs w:val="0"/>
                <w:color w:val="000000"/>
                <w:szCs w:val="24"/>
                <w:lang w:eastAsia="lv-LV"/>
              </w:rPr>
            </w:pPr>
            <w:r w:rsidRPr="0095442F">
              <w:rPr>
                <w:color w:val="000000"/>
                <w:szCs w:val="24"/>
                <w:lang w:eastAsia="lv-LV"/>
              </w:rPr>
              <w:t>Vispārējās valdības budžeta bilance pie nemainīgas politikas</w:t>
            </w:r>
          </w:p>
        </w:tc>
        <w:tc>
          <w:tcPr>
            <w:tcW w:w="960" w:type="dxa"/>
            <w:vAlign w:val="center"/>
            <w:hideMark/>
          </w:tcPr>
          <w:p w14:paraId="02CE3641" w14:textId="77777777" w:rsidR="00237652" w:rsidRPr="0095442F" w:rsidRDefault="00237652" w:rsidP="00323B3B">
            <w:pPr>
              <w:spacing w:after="0"/>
              <w:ind w:firstLine="0"/>
              <w:jc w:val="center"/>
              <w:cnfStyle w:val="000000000000" w:firstRow="0" w:lastRow="0" w:firstColumn="0" w:lastColumn="0" w:oddVBand="0" w:evenVBand="0" w:oddHBand="0" w:evenHBand="0" w:firstRowFirstColumn="0" w:firstRowLastColumn="0" w:lastRowFirstColumn="0" w:lastRowLastColumn="0"/>
              <w:rPr>
                <w:bCs/>
                <w:color w:val="000000"/>
                <w:szCs w:val="24"/>
                <w:lang w:eastAsia="lv-LV"/>
              </w:rPr>
            </w:pPr>
            <w:r w:rsidRPr="0095442F">
              <w:rPr>
                <w:bCs/>
                <w:color w:val="000000"/>
                <w:szCs w:val="24"/>
                <w:lang w:eastAsia="lv-LV"/>
              </w:rPr>
              <w:t>B.9</w:t>
            </w:r>
          </w:p>
        </w:tc>
        <w:tc>
          <w:tcPr>
            <w:tcW w:w="2559" w:type="dxa"/>
            <w:gridSpan w:val="3"/>
            <w:vAlign w:val="center"/>
          </w:tcPr>
          <w:p w14:paraId="3C0418D5" w14:textId="77777777" w:rsidR="00237652" w:rsidRPr="0095442F" w:rsidRDefault="00237652" w:rsidP="002E4551">
            <w:pPr>
              <w:spacing w:after="0"/>
              <w:ind w:firstLine="0"/>
              <w:jc w:val="right"/>
              <w:cnfStyle w:val="000000000000" w:firstRow="0" w:lastRow="0" w:firstColumn="0" w:lastColumn="0" w:oddVBand="0" w:evenVBand="0" w:oddHBand="0" w:evenHBand="0" w:firstRowFirstColumn="0" w:firstRowLastColumn="0" w:lastRowFirstColumn="0" w:lastRowLastColumn="0"/>
              <w:rPr>
                <w:bCs/>
                <w:color w:val="000000"/>
                <w:szCs w:val="24"/>
                <w:highlight w:val="yellow"/>
                <w:lang w:eastAsia="lv-LV"/>
              </w:rPr>
            </w:pPr>
          </w:p>
        </w:tc>
      </w:tr>
      <w:tr w:rsidR="0095442F" w:rsidRPr="0095442F" w14:paraId="32086F72" w14:textId="77777777" w:rsidTr="00C22F2C">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29133DB9" w14:textId="77777777" w:rsidR="0095442F" w:rsidRPr="0095442F" w:rsidRDefault="0095442F" w:rsidP="0095442F">
            <w:pPr>
              <w:spacing w:after="0"/>
              <w:ind w:firstLine="0"/>
              <w:jc w:val="left"/>
              <w:rPr>
                <w:b w:val="0"/>
                <w:color w:val="000000"/>
                <w:szCs w:val="24"/>
                <w:lang w:eastAsia="lv-LV"/>
              </w:rPr>
            </w:pPr>
            <w:r w:rsidRPr="0095442F">
              <w:rPr>
                <w:b w:val="0"/>
                <w:color w:val="000000"/>
                <w:szCs w:val="24"/>
                <w:lang w:eastAsia="lv-LV"/>
              </w:rPr>
              <w:t>Stabilitātes programma</w:t>
            </w:r>
          </w:p>
        </w:tc>
        <w:tc>
          <w:tcPr>
            <w:tcW w:w="960" w:type="dxa"/>
            <w:hideMark/>
          </w:tcPr>
          <w:p w14:paraId="6233B1B4" w14:textId="7777777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5442F">
              <w:rPr>
                <w:color w:val="000000"/>
                <w:szCs w:val="24"/>
                <w:lang w:eastAsia="lv-LV"/>
              </w:rPr>
              <w:t> </w:t>
            </w:r>
          </w:p>
        </w:tc>
        <w:tc>
          <w:tcPr>
            <w:tcW w:w="858" w:type="dxa"/>
            <w:vAlign w:val="center"/>
          </w:tcPr>
          <w:p w14:paraId="74353BE0" w14:textId="06DF622A"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-1,0</w:t>
            </w:r>
          </w:p>
        </w:tc>
        <w:tc>
          <w:tcPr>
            <w:tcW w:w="851" w:type="dxa"/>
            <w:vAlign w:val="center"/>
          </w:tcPr>
          <w:p w14:paraId="3946F963" w14:textId="3452B582"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-0,5</w:t>
            </w:r>
          </w:p>
        </w:tc>
        <w:tc>
          <w:tcPr>
            <w:tcW w:w="850" w:type="dxa"/>
            <w:vAlign w:val="center"/>
          </w:tcPr>
          <w:p w14:paraId="72DA0BED" w14:textId="7222BA2A"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-0,3</w:t>
            </w:r>
          </w:p>
        </w:tc>
      </w:tr>
      <w:tr w:rsidR="0095442F" w:rsidRPr="0095442F" w14:paraId="34A907A6" w14:textId="77777777" w:rsidTr="00C22F2C">
        <w:trPr>
          <w:trHeight w:val="89"/>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08A83512" w14:textId="77777777" w:rsidR="0095442F" w:rsidRPr="0095442F" w:rsidRDefault="0095442F" w:rsidP="0095442F">
            <w:pPr>
              <w:spacing w:after="0"/>
              <w:ind w:firstLine="0"/>
              <w:jc w:val="left"/>
              <w:rPr>
                <w:b w:val="0"/>
                <w:color w:val="000000"/>
                <w:szCs w:val="24"/>
                <w:lang w:eastAsia="lv-LV"/>
              </w:rPr>
            </w:pPr>
            <w:r w:rsidRPr="0095442F">
              <w:rPr>
                <w:b w:val="0"/>
                <w:color w:val="000000"/>
                <w:szCs w:val="24"/>
                <w:lang w:eastAsia="lv-LV"/>
              </w:rPr>
              <w:t>Vispārējās valdības budžeta plāna projekts</w:t>
            </w:r>
          </w:p>
        </w:tc>
        <w:tc>
          <w:tcPr>
            <w:tcW w:w="960" w:type="dxa"/>
            <w:hideMark/>
          </w:tcPr>
          <w:p w14:paraId="3808A00C" w14:textId="77777777"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lang w:eastAsia="lv-LV"/>
              </w:rPr>
            </w:pPr>
            <w:r w:rsidRPr="0095442F">
              <w:rPr>
                <w:color w:val="000000"/>
                <w:szCs w:val="24"/>
                <w:lang w:eastAsia="lv-LV"/>
              </w:rPr>
              <w:t> </w:t>
            </w:r>
          </w:p>
        </w:tc>
        <w:tc>
          <w:tcPr>
            <w:tcW w:w="858" w:type="dxa"/>
            <w:vAlign w:val="center"/>
          </w:tcPr>
          <w:p w14:paraId="3DF0C227" w14:textId="528004B8"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-1,0</w:t>
            </w:r>
          </w:p>
        </w:tc>
        <w:tc>
          <w:tcPr>
            <w:tcW w:w="851" w:type="dxa"/>
            <w:vAlign w:val="center"/>
          </w:tcPr>
          <w:p w14:paraId="58552B2E" w14:textId="3D33184F"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-0,5</w:t>
            </w:r>
          </w:p>
        </w:tc>
        <w:tc>
          <w:tcPr>
            <w:tcW w:w="850" w:type="dxa"/>
            <w:vAlign w:val="center"/>
          </w:tcPr>
          <w:p w14:paraId="56667BD2" w14:textId="4A20B28A" w:rsidR="0095442F" w:rsidRPr="0095442F" w:rsidRDefault="0095442F" w:rsidP="0095442F">
            <w:pPr>
              <w:spacing w:after="0"/>
              <w:ind w:firstLine="0"/>
              <w:jc w:val="center"/>
              <w:cnfStyle w:val="000000000000" w:firstRow="0" w:lastRow="0" w:firstColumn="0" w:lastColumn="0" w:oddVBand="0" w:evenVBand="0" w:oddHBand="0" w:evenHBand="0" w:firstRowFirstColumn="0" w:firstRowLastColumn="0" w:lastRowFirstColumn="0" w:lastRowLastColumn="0"/>
              <w:rPr>
                <w:color w:val="000000"/>
                <w:szCs w:val="24"/>
                <w:highlight w:val="yellow"/>
                <w:lang w:eastAsia="lv-LV"/>
              </w:rPr>
            </w:pPr>
            <w:r w:rsidRPr="0095442F">
              <w:rPr>
                <w:color w:val="000000"/>
                <w:szCs w:val="24"/>
              </w:rPr>
              <w:t>-0,4</w:t>
            </w:r>
          </w:p>
        </w:tc>
      </w:tr>
      <w:tr w:rsidR="0095442F" w:rsidRPr="0095442F" w14:paraId="45BA8BAB" w14:textId="77777777" w:rsidTr="00C22F2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548" w:type="dxa"/>
            <w:vAlign w:val="center"/>
            <w:hideMark/>
          </w:tcPr>
          <w:p w14:paraId="53973568" w14:textId="77777777" w:rsidR="0095442F" w:rsidRPr="0095442F" w:rsidRDefault="0095442F" w:rsidP="0095442F">
            <w:pPr>
              <w:spacing w:after="0"/>
              <w:ind w:firstLine="0"/>
              <w:jc w:val="left"/>
              <w:rPr>
                <w:b w:val="0"/>
                <w:color w:val="000000"/>
                <w:szCs w:val="24"/>
                <w:lang w:eastAsia="lv-LV"/>
              </w:rPr>
            </w:pPr>
            <w:r w:rsidRPr="0095442F">
              <w:rPr>
                <w:b w:val="0"/>
                <w:color w:val="000000"/>
                <w:szCs w:val="24"/>
                <w:lang w:eastAsia="lv-LV"/>
              </w:rPr>
              <w:t>Starpība</w:t>
            </w:r>
          </w:p>
        </w:tc>
        <w:tc>
          <w:tcPr>
            <w:tcW w:w="960" w:type="dxa"/>
            <w:hideMark/>
          </w:tcPr>
          <w:p w14:paraId="6AE8C945" w14:textId="7777777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lang w:eastAsia="lv-LV"/>
              </w:rPr>
            </w:pPr>
            <w:r w:rsidRPr="0095442F">
              <w:rPr>
                <w:color w:val="000000"/>
                <w:szCs w:val="24"/>
                <w:lang w:eastAsia="lv-LV"/>
              </w:rPr>
              <w:t> </w:t>
            </w:r>
          </w:p>
        </w:tc>
        <w:tc>
          <w:tcPr>
            <w:tcW w:w="858" w:type="dxa"/>
            <w:vAlign w:val="center"/>
          </w:tcPr>
          <w:p w14:paraId="7F7E4AE2" w14:textId="14F5F557"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0,0</w:t>
            </w:r>
          </w:p>
        </w:tc>
        <w:tc>
          <w:tcPr>
            <w:tcW w:w="851" w:type="dxa"/>
            <w:vAlign w:val="center"/>
          </w:tcPr>
          <w:p w14:paraId="2B0BB2D2" w14:textId="1C4AB3BC"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0,0</w:t>
            </w:r>
          </w:p>
        </w:tc>
        <w:tc>
          <w:tcPr>
            <w:tcW w:w="850" w:type="dxa"/>
            <w:vAlign w:val="center"/>
          </w:tcPr>
          <w:p w14:paraId="7AD7D95C" w14:textId="74248903" w:rsidR="0095442F" w:rsidRPr="0095442F" w:rsidRDefault="0095442F" w:rsidP="0095442F">
            <w:pPr>
              <w:spacing w:after="0"/>
              <w:ind w:firstLine="0"/>
              <w:jc w:val="center"/>
              <w:cnfStyle w:val="000000100000" w:firstRow="0" w:lastRow="0" w:firstColumn="0" w:lastColumn="0" w:oddVBand="0" w:evenVBand="0" w:oddHBand="1" w:evenHBand="0" w:firstRowFirstColumn="0" w:firstRowLastColumn="0" w:lastRowFirstColumn="0" w:lastRowLastColumn="0"/>
              <w:rPr>
                <w:color w:val="000000"/>
                <w:szCs w:val="24"/>
                <w:highlight w:val="yellow"/>
                <w:lang w:eastAsia="lv-LV"/>
              </w:rPr>
            </w:pPr>
            <w:r w:rsidRPr="0095442F">
              <w:rPr>
                <w:color w:val="000000"/>
                <w:szCs w:val="24"/>
              </w:rPr>
              <w:t>-0,1</w:t>
            </w:r>
          </w:p>
        </w:tc>
      </w:tr>
    </w:tbl>
    <w:p w14:paraId="208CF2AB" w14:textId="77777777" w:rsidR="00237652" w:rsidRDefault="00237652" w:rsidP="00237652">
      <w:pPr>
        <w:spacing w:after="0"/>
        <w:ind w:firstLine="0"/>
        <w:jc w:val="left"/>
        <w:rPr>
          <w:color w:val="000000" w:themeColor="text1"/>
          <w:szCs w:val="24"/>
        </w:rPr>
      </w:pPr>
    </w:p>
    <w:p w14:paraId="5A4651E7" w14:textId="77777777" w:rsidR="000062EE" w:rsidRDefault="000062EE" w:rsidP="008E74DD">
      <w:pPr>
        <w:spacing w:after="0"/>
        <w:ind w:firstLine="0"/>
        <w:rPr>
          <w:color w:val="000000" w:themeColor="text1"/>
          <w:szCs w:val="24"/>
        </w:rPr>
      </w:pPr>
    </w:p>
    <w:p w14:paraId="56C0E535" w14:textId="77777777" w:rsidR="0012489F" w:rsidRDefault="0012489F">
      <w:pPr>
        <w:spacing w:after="0"/>
        <w:ind w:firstLine="0"/>
        <w:jc w:val="left"/>
        <w:rPr>
          <w:b/>
          <w:bCs/>
          <w:color w:val="18185E"/>
          <w:sz w:val="28"/>
          <w:szCs w:val="28"/>
          <w:lang w:eastAsia="x-none"/>
        </w:rPr>
      </w:pPr>
      <w:r>
        <w:rPr>
          <w:color w:val="18185E"/>
          <w:sz w:val="28"/>
        </w:rPr>
        <w:br w:type="page"/>
      </w:r>
    </w:p>
    <w:p w14:paraId="4125F75F" w14:textId="77777777" w:rsidR="00B71106" w:rsidRPr="0027687A" w:rsidRDefault="00B71106" w:rsidP="00B71106">
      <w:pPr>
        <w:pStyle w:val="Heading1"/>
        <w:tabs>
          <w:tab w:val="left" w:pos="1276"/>
        </w:tabs>
        <w:spacing w:before="0" w:after="240"/>
        <w:ind w:firstLine="0"/>
        <w:jc w:val="center"/>
        <w:rPr>
          <w:rFonts w:ascii="Times New Roman" w:hAnsi="Times New Roman"/>
          <w:color w:val="18185E"/>
          <w:sz w:val="28"/>
        </w:rPr>
      </w:pPr>
      <w:bookmarkStart w:id="37" w:name="_Toc21516522"/>
      <w:r w:rsidRPr="0027687A">
        <w:rPr>
          <w:rFonts w:ascii="Times New Roman" w:hAnsi="Times New Roman"/>
          <w:color w:val="18185E"/>
          <w:sz w:val="28"/>
          <w:lang w:val="lv-LV"/>
        </w:rPr>
        <w:lastRenderedPageBreak/>
        <w:t>Pielikums: Metodoloģiskie aspekti</w:t>
      </w:r>
      <w:bookmarkEnd w:id="37"/>
    </w:p>
    <w:p w14:paraId="688FDE89" w14:textId="77777777" w:rsidR="005C0B54" w:rsidRPr="0027687A" w:rsidRDefault="005C0B54" w:rsidP="005B7285">
      <w:pPr>
        <w:spacing w:after="0"/>
        <w:ind w:firstLine="720"/>
        <w:rPr>
          <w:sz w:val="22"/>
        </w:rPr>
      </w:pPr>
      <w:r w:rsidRPr="0027687A">
        <w:t xml:space="preserve">Makroekonomiskās prognozes tiek veidotas vidēja termiņa makroekonomiskajā modelī, kas nodrošina makroekonomisko </w:t>
      </w:r>
      <w:r w:rsidR="00A94225" w:rsidRPr="0027687A">
        <w:t xml:space="preserve">likumsakarību </w:t>
      </w:r>
      <w:r w:rsidRPr="0027687A">
        <w:t xml:space="preserve">ievērošanu </w:t>
      </w:r>
      <w:r w:rsidR="00146D1F">
        <w:t xml:space="preserve">prognozēs un par pamatu izmanto </w:t>
      </w:r>
      <w:r w:rsidRPr="0027687A">
        <w:t>īstermiņa un vidēja termiņa ekonometrisko modeļu rezultātus, kā arī eksperta vērtējumus.</w:t>
      </w:r>
    </w:p>
    <w:p w14:paraId="7259249A" w14:textId="119459CC" w:rsidR="005C0B54" w:rsidRPr="0027687A" w:rsidRDefault="005C0B54" w:rsidP="005030D2">
      <w:pPr>
        <w:spacing w:after="0"/>
        <w:ind w:firstLine="720"/>
      </w:pPr>
      <w:r w:rsidRPr="0027687A">
        <w:t>Sagatavojot nodokļu ieņēmumu prognozes</w:t>
      </w:r>
      <w:r w:rsidR="00CA759A">
        <w:t>,</w:t>
      </w:r>
      <w:r w:rsidRPr="0027687A">
        <w:t xml:space="preserve"> tiek izmantotas plaši pazīstamas prognozēšanas metodes un pieņēmumi, tomēr visvairāk tiek izmantots prognozēšanai speciāli izstrādāts rīks, t.i., modelis LATIM</w:t>
      </w:r>
      <w:r w:rsidR="00A67950">
        <w:t>–</w:t>
      </w:r>
      <w:r w:rsidRPr="0027687A">
        <w:t>F. Biežāk izmantotie nodokļu ieņēmumu prognozēšanas paņēmieni:</w:t>
      </w:r>
    </w:p>
    <w:p w14:paraId="60DE2B4B" w14:textId="77777777" w:rsidR="00E0622C"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izmantojot detalizētu nodokļa ieņēmumu aprēķinu;</w:t>
      </w:r>
    </w:p>
    <w:p w14:paraId="462FC61F" w14:textId="77777777" w:rsidR="00E0622C"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prognozējot nodokļu ieņēmumu īpatsvaru IKP, %;</w:t>
      </w:r>
    </w:p>
    <w:p w14:paraId="31D05FFD" w14:textId="77777777" w:rsidR="00E0622C"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 xml:space="preserve">prognozējot </w:t>
      </w:r>
      <w:r w:rsidR="00521399" w:rsidRPr="0027687A">
        <w:rPr>
          <w:rFonts w:ascii="Times New Roman" w:hAnsi="Times New Roman"/>
          <w:sz w:val="24"/>
          <w:szCs w:val="24"/>
        </w:rPr>
        <w:t>nodokļa reālās apliekamās bāzes/</w:t>
      </w:r>
      <w:r w:rsidRPr="0027687A">
        <w:rPr>
          <w:rFonts w:ascii="Times New Roman" w:hAnsi="Times New Roman"/>
          <w:sz w:val="24"/>
          <w:szCs w:val="24"/>
        </w:rPr>
        <w:t>modelētās bāzes attiecību;</w:t>
      </w:r>
    </w:p>
    <w:p w14:paraId="21FF46C0" w14:textId="77777777" w:rsidR="00E0622C"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izmantojot eksperta novērtējumu;</w:t>
      </w:r>
    </w:p>
    <w:p w14:paraId="594A056C" w14:textId="77777777" w:rsidR="005C0B54" w:rsidRPr="0027687A" w:rsidRDefault="005C0B54" w:rsidP="005119CA">
      <w:pPr>
        <w:pStyle w:val="ListParagraph"/>
        <w:numPr>
          <w:ilvl w:val="0"/>
          <w:numId w:val="10"/>
        </w:numPr>
        <w:spacing w:after="0" w:line="240" w:lineRule="auto"/>
        <w:contextualSpacing w:val="0"/>
        <w:rPr>
          <w:rFonts w:ascii="Times New Roman" w:hAnsi="Times New Roman"/>
        </w:rPr>
      </w:pPr>
      <w:r w:rsidRPr="0027687A">
        <w:rPr>
          <w:rFonts w:ascii="Times New Roman" w:hAnsi="Times New Roman"/>
          <w:sz w:val="24"/>
          <w:szCs w:val="24"/>
        </w:rPr>
        <w:t>izmantojot citus paņēmienus.</w:t>
      </w:r>
    </w:p>
    <w:p w14:paraId="07BED9A1" w14:textId="77777777" w:rsidR="005C0B54" w:rsidRPr="00146D1F" w:rsidRDefault="005C0B54" w:rsidP="005030D2">
      <w:pPr>
        <w:spacing w:after="0"/>
        <w:ind w:firstLine="720"/>
      </w:pPr>
      <w:r w:rsidRPr="00146D1F">
        <w:t xml:space="preserve">Lai aprēķinātu nodokļu ieņēmumu prognozes, </w:t>
      </w:r>
      <w:r w:rsidR="007D2E71" w:rsidRPr="00146D1F">
        <w:t>FM</w:t>
      </w:r>
      <w:r w:rsidRPr="00146D1F">
        <w:t>, kā tika minēts iepriekš, izmanto nodokļu ieņēmumu prognožu modeli LATIM</w:t>
      </w:r>
      <w:r w:rsidR="00A67950">
        <w:t>–</w:t>
      </w:r>
      <w:r w:rsidRPr="00146D1F">
        <w:t xml:space="preserve">F, kura galvenās sastāvdaļas ir makroekonomisko rādītāju datu bāze, faktisko nodokļu ieņēmumu datu bāze un likumdošanas izmaiņas (ieskaitot nodokļu likmes utt.). Tāpat analīzē tiek izmatota Valsts kases, Valsts ieņēmumu dienesta, </w:t>
      </w:r>
      <w:r w:rsidR="00412152">
        <w:t>CSP</w:t>
      </w:r>
      <w:r w:rsidRPr="00146D1F">
        <w:t xml:space="preserve"> u.c. informācija.</w:t>
      </w:r>
    </w:p>
    <w:p w14:paraId="3FAF9D5A" w14:textId="77777777" w:rsidR="000430B8" w:rsidRPr="00F940F1" w:rsidRDefault="000430B8" w:rsidP="000430B8">
      <w:pPr>
        <w:spacing w:after="60" w:line="276" w:lineRule="auto"/>
        <w:ind w:firstLine="0"/>
        <w:rPr>
          <w:highlight w:val="yellow"/>
        </w:rPr>
      </w:pPr>
    </w:p>
    <w:p w14:paraId="4F345172" w14:textId="587E8B98" w:rsidR="000430B8" w:rsidRDefault="000430B8" w:rsidP="000430B8">
      <w:pPr>
        <w:spacing w:after="60" w:line="276" w:lineRule="auto"/>
        <w:ind w:firstLine="0"/>
        <w:rPr>
          <w:highlight w:val="yellow"/>
        </w:rPr>
      </w:pPr>
    </w:p>
    <w:p w14:paraId="09BE3424" w14:textId="77777777" w:rsidR="007E44AF" w:rsidRPr="00F940F1" w:rsidRDefault="007E44AF" w:rsidP="000430B8">
      <w:pPr>
        <w:spacing w:after="60" w:line="276" w:lineRule="auto"/>
        <w:ind w:firstLine="0"/>
        <w:rPr>
          <w:highlight w:val="yellow"/>
        </w:rPr>
      </w:pPr>
    </w:p>
    <w:p w14:paraId="7B6E2BF6" w14:textId="62350053" w:rsidR="003E1533" w:rsidRPr="009F0580" w:rsidRDefault="003E1533" w:rsidP="003E1533">
      <w:pPr>
        <w:pStyle w:val="PlainText"/>
        <w:ind w:right="-1"/>
        <w:rPr>
          <w:rFonts w:ascii="Times New Roman" w:hAnsi="Times New Roman"/>
          <w:sz w:val="28"/>
          <w:szCs w:val="28"/>
        </w:rPr>
      </w:pPr>
      <w:r w:rsidRPr="009F0580">
        <w:rPr>
          <w:rFonts w:ascii="Times New Roman" w:hAnsi="Times New Roman"/>
          <w:sz w:val="28"/>
          <w:szCs w:val="28"/>
        </w:rPr>
        <w:t>Finanšu ministr</w:t>
      </w:r>
      <w:r>
        <w:rPr>
          <w:rFonts w:ascii="Times New Roman" w:hAnsi="Times New Roman"/>
          <w:sz w:val="28"/>
          <w:szCs w:val="28"/>
        </w:rPr>
        <w: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rPr>
        <w:t xml:space="preserve">   J. Reirs</w:t>
      </w:r>
    </w:p>
    <w:p w14:paraId="28FCF0FF" w14:textId="77777777" w:rsidR="000430B8" w:rsidRPr="00F940F1" w:rsidRDefault="000430B8" w:rsidP="000430B8">
      <w:pPr>
        <w:spacing w:after="60" w:line="276" w:lineRule="auto"/>
        <w:ind w:firstLine="0"/>
        <w:rPr>
          <w:highlight w:val="yellow"/>
        </w:rPr>
      </w:pPr>
    </w:p>
    <w:p w14:paraId="0AB63B29" w14:textId="01702A14" w:rsidR="000430B8" w:rsidRDefault="000430B8" w:rsidP="000430B8">
      <w:pPr>
        <w:spacing w:after="60" w:line="276" w:lineRule="auto"/>
        <w:ind w:firstLine="0"/>
        <w:rPr>
          <w:highlight w:val="yellow"/>
        </w:rPr>
      </w:pPr>
    </w:p>
    <w:p w14:paraId="470AF724" w14:textId="184A8DE6" w:rsidR="00D10C8F" w:rsidRDefault="00D10C8F" w:rsidP="000430B8">
      <w:pPr>
        <w:spacing w:after="60" w:line="276" w:lineRule="auto"/>
        <w:ind w:firstLine="0"/>
        <w:rPr>
          <w:highlight w:val="yellow"/>
        </w:rPr>
      </w:pPr>
    </w:p>
    <w:p w14:paraId="7F327E07" w14:textId="4BD17139" w:rsidR="00D10C8F" w:rsidRDefault="00D10C8F" w:rsidP="000430B8">
      <w:pPr>
        <w:spacing w:after="60" w:line="276" w:lineRule="auto"/>
        <w:ind w:firstLine="0"/>
        <w:rPr>
          <w:highlight w:val="yellow"/>
        </w:rPr>
      </w:pPr>
    </w:p>
    <w:p w14:paraId="3CF179F0" w14:textId="7E2A2922" w:rsidR="00D10C8F" w:rsidRDefault="00D10C8F" w:rsidP="000430B8">
      <w:pPr>
        <w:spacing w:after="60" w:line="276" w:lineRule="auto"/>
        <w:ind w:firstLine="0"/>
        <w:rPr>
          <w:highlight w:val="yellow"/>
        </w:rPr>
      </w:pPr>
    </w:p>
    <w:p w14:paraId="3278F038" w14:textId="059D4B7E" w:rsidR="00D10C8F" w:rsidRDefault="00D10C8F" w:rsidP="000430B8">
      <w:pPr>
        <w:spacing w:after="60" w:line="276" w:lineRule="auto"/>
        <w:ind w:firstLine="0"/>
        <w:rPr>
          <w:highlight w:val="yellow"/>
        </w:rPr>
      </w:pPr>
    </w:p>
    <w:p w14:paraId="7E65D286" w14:textId="226C43FC" w:rsidR="00D10C8F" w:rsidRDefault="00D10C8F" w:rsidP="000430B8">
      <w:pPr>
        <w:spacing w:after="60" w:line="276" w:lineRule="auto"/>
        <w:ind w:firstLine="0"/>
        <w:rPr>
          <w:highlight w:val="yellow"/>
        </w:rPr>
      </w:pPr>
      <w:bookmarkStart w:id="38" w:name="_GoBack"/>
      <w:bookmarkEnd w:id="38"/>
    </w:p>
    <w:p w14:paraId="2E78DD9C" w14:textId="77777777" w:rsidR="00D10C8F" w:rsidRPr="00F940F1" w:rsidRDefault="00D10C8F" w:rsidP="000430B8">
      <w:pPr>
        <w:spacing w:after="60" w:line="276" w:lineRule="auto"/>
        <w:ind w:firstLine="0"/>
        <w:rPr>
          <w:highlight w:val="yellow"/>
        </w:rPr>
      </w:pPr>
    </w:p>
    <w:p w14:paraId="0C08432E" w14:textId="77777777" w:rsidR="000430B8" w:rsidRPr="00F940F1" w:rsidRDefault="000430B8" w:rsidP="000430B8">
      <w:pPr>
        <w:spacing w:after="0"/>
        <w:ind w:firstLine="0"/>
        <w:rPr>
          <w:sz w:val="20"/>
          <w:highlight w:val="yellow"/>
        </w:rPr>
      </w:pPr>
    </w:p>
    <w:p w14:paraId="3405E06D" w14:textId="77777777" w:rsidR="00D23DA4" w:rsidRDefault="00D23DA4" w:rsidP="00D23DA4">
      <w:pPr>
        <w:spacing w:after="0"/>
        <w:ind w:firstLine="0"/>
        <w:rPr>
          <w:sz w:val="20"/>
        </w:rPr>
      </w:pPr>
      <w:r>
        <w:rPr>
          <w:sz w:val="20"/>
        </w:rPr>
        <w:t>Gusāre, 67083911</w:t>
      </w:r>
    </w:p>
    <w:p w14:paraId="607F8F96" w14:textId="15A5C7CF" w:rsidR="00D23DA4" w:rsidRDefault="00D23DA4" w:rsidP="00D23DA4">
      <w:pPr>
        <w:spacing w:after="0"/>
        <w:ind w:firstLine="0"/>
        <w:rPr>
          <w:szCs w:val="24"/>
        </w:rPr>
      </w:pPr>
      <w:r w:rsidRPr="001A5951">
        <w:rPr>
          <w:sz w:val="20"/>
        </w:rPr>
        <w:t>elina.gusare@fm.gov.lv</w:t>
      </w:r>
    </w:p>
    <w:p w14:paraId="18B44D1A" w14:textId="77777777" w:rsidR="000430B8" w:rsidRDefault="000430B8" w:rsidP="000430B8">
      <w:pPr>
        <w:spacing w:after="60" w:line="276" w:lineRule="auto"/>
        <w:ind w:firstLine="0"/>
      </w:pPr>
    </w:p>
    <w:p w14:paraId="57FEAF97" w14:textId="77777777" w:rsidR="00B07F78" w:rsidRDefault="00B07F78" w:rsidP="00B07F78">
      <w:pPr>
        <w:spacing w:after="60" w:line="276" w:lineRule="auto"/>
        <w:ind w:firstLine="0"/>
      </w:pPr>
    </w:p>
    <w:p w14:paraId="60A32931" w14:textId="77777777" w:rsidR="0015701E" w:rsidRPr="0015701E" w:rsidRDefault="0015701E" w:rsidP="00E97D92">
      <w:pPr>
        <w:ind w:firstLine="0"/>
      </w:pPr>
    </w:p>
    <w:p w14:paraId="6E7027DF" w14:textId="77777777" w:rsidR="0015701E" w:rsidRPr="0015701E" w:rsidRDefault="0015701E" w:rsidP="0015701E"/>
    <w:p w14:paraId="5FB68581" w14:textId="77777777" w:rsidR="0015701E" w:rsidRPr="0015701E" w:rsidRDefault="0015701E" w:rsidP="0015701E"/>
    <w:p w14:paraId="782C8A7D" w14:textId="77777777" w:rsidR="0015701E" w:rsidRPr="0015701E" w:rsidRDefault="0015701E" w:rsidP="0015701E"/>
    <w:p w14:paraId="5FC9DB70" w14:textId="77777777" w:rsidR="00FB505D" w:rsidRPr="0015701E" w:rsidRDefault="00FB505D" w:rsidP="0015701E"/>
    <w:sectPr w:rsidR="00FB505D" w:rsidRPr="0015701E" w:rsidSect="008A4D03">
      <w:pgSz w:w="11906" w:h="16838"/>
      <w:pgMar w:top="1418" w:right="1134" w:bottom="709" w:left="1701"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28E60" w14:textId="77777777" w:rsidR="00EA5D67" w:rsidRDefault="00EA5D67" w:rsidP="000F6956">
      <w:pPr>
        <w:spacing w:after="0"/>
      </w:pPr>
      <w:r>
        <w:separator/>
      </w:r>
    </w:p>
    <w:p w14:paraId="157CBB0A" w14:textId="77777777" w:rsidR="00EA5D67" w:rsidRDefault="00EA5D67"/>
  </w:endnote>
  <w:endnote w:type="continuationSeparator" w:id="0">
    <w:p w14:paraId="0705641D" w14:textId="77777777" w:rsidR="00EA5D67" w:rsidRDefault="00EA5D67" w:rsidP="000F6956">
      <w:pPr>
        <w:spacing w:after="0"/>
      </w:pPr>
      <w:r>
        <w:continuationSeparator/>
      </w:r>
    </w:p>
    <w:p w14:paraId="74DE512C" w14:textId="77777777" w:rsidR="00EA5D67" w:rsidRDefault="00EA5D67"/>
  </w:endnote>
  <w:endnote w:type="continuationNotice" w:id="1">
    <w:p w14:paraId="2C173FE1" w14:textId="77777777" w:rsidR="00EA5D67" w:rsidRDefault="00EA5D67">
      <w:pPr>
        <w:spacing w:after="0"/>
      </w:pPr>
    </w:p>
    <w:p w14:paraId="12FA6B84" w14:textId="77777777" w:rsidR="00EA5D67" w:rsidRDefault="00EA5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3BE0" w14:textId="7247B334" w:rsidR="00EA5D67" w:rsidRPr="00FC074B" w:rsidRDefault="00EA5D67" w:rsidP="00FC074B">
    <w:pPr>
      <w:pStyle w:val="Footer"/>
      <w:ind w:firstLine="0"/>
      <w:rPr>
        <w:sz w:val="20"/>
        <w:lang w:val="lv-LV"/>
      </w:rPr>
    </w:pPr>
    <w:r>
      <w:rPr>
        <w:sz w:val="20"/>
        <w:lang w:val="lv-LV"/>
      </w:rPr>
      <w:t>FMInf_1110</w:t>
    </w:r>
    <w:r w:rsidRPr="00FC074B">
      <w:rPr>
        <w:sz w:val="20"/>
        <w:lang w:val="lv-LV"/>
      </w:rPr>
      <w:t>201</w:t>
    </w:r>
    <w:r>
      <w:rPr>
        <w:sz w:val="20"/>
        <w:lang w:val="lv-LV"/>
      </w:rPr>
      <w:t>9</w:t>
    </w:r>
    <w:r w:rsidRPr="00FC074B">
      <w:rPr>
        <w:sz w:val="20"/>
        <w:lang w:val="lv-LV"/>
      </w:rPr>
      <w:t>_DBP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D815" w14:textId="77777777" w:rsidR="00EA5D67" w:rsidRPr="00FC074B" w:rsidRDefault="00EA5D67" w:rsidP="00FC074B">
    <w:pPr>
      <w:pStyle w:val="Footer"/>
      <w:ind w:firstLine="0"/>
      <w:rPr>
        <w:sz w:val="20"/>
        <w:lang w:val="lv-LV"/>
      </w:rPr>
    </w:pPr>
    <w:r>
      <w:rPr>
        <w:sz w:val="20"/>
        <w:lang w:val="lv-LV"/>
      </w:rPr>
      <w:t>FMInfo_04</w:t>
    </w:r>
    <w:r w:rsidRPr="00FC074B">
      <w:rPr>
        <w:sz w:val="20"/>
        <w:lang w:val="lv-LV"/>
      </w:rPr>
      <w:t>10201</w:t>
    </w:r>
    <w:r>
      <w:rPr>
        <w:sz w:val="20"/>
        <w:lang w:val="lv-LV"/>
      </w:rPr>
      <w:t>8</w:t>
    </w:r>
    <w:r w:rsidRPr="00FC074B">
      <w:rPr>
        <w:sz w:val="20"/>
        <w:lang w:val="lv-LV"/>
      </w:rPr>
      <w:t>_DBP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FF591" w14:textId="77777777" w:rsidR="00EA5D67" w:rsidRDefault="00EA5D67" w:rsidP="000F6956">
      <w:pPr>
        <w:spacing w:after="0"/>
      </w:pPr>
      <w:r>
        <w:separator/>
      </w:r>
    </w:p>
    <w:p w14:paraId="0CCCA1A8" w14:textId="77777777" w:rsidR="00EA5D67" w:rsidRDefault="00EA5D67"/>
  </w:footnote>
  <w:footnote w:type="continuationSeparator" w:id="0">
    <w:p w14:paraId="56E647AC" w14:textId="77777777" w:rsidR="00EA5D67" w:rsidRDefault="00EA5D67" w:rsidP="000F6956">
      <w:pPr>
        <w:spacing w:after="0"/>
      </w:pPr>
      <w:r>
        <w:continuationSeparator/>
      </w:r>
    </w:p>
    <w:p w14:paraId="5B5871EA" w14:textId="77777777" w:rsidR="00EA5D67" w:rsidRDefault="00EA5D67"/>
  </w:footnote>
  <w:footnote w:type="continuationNotice" w:id="1">
    <w:p w14:paraId="6F9E7E6B" w14:textId="77777777" w:rsidR="00EA5D67" w:rsidRDefault="00EA5D67">
      <w:pPr>
        <w:spacing w:after="0"/>
      </w:pPr>
    </w:p>
    <w:p w14:paraId="2E64BE24" w14:textId="77777777" w:rsidR="00EA5D67" w:rsidRDefault="00EA5D67"/>
  </w:footnote>
  <w:footnote w:id="2">
    <w:p w14:paraId="1F5241FA" w14:textId="312E4630" w:rsidR="00F65285" w:rsidRPr="00F65285" w:rsidRDefault="00F65285" w:rsidP="00F65285">
      <w:pPr>
        <w:rPr>
          <w:color w:val="1F497D"/>
          <w:szCs w:val="24"/>
        </w:rPr>
      </w:pPr>
      <w:r>
        <w:rPr>
          <w:rStyle w:val="FootnoteReference"/>
        </w:rPr>
        <w:footnoteRef/>
      </w:r>
      <w:r>
        <w:t xml:space="preserve"> </w:t>
      </w:r>
      <w:r w:rsidRPr="00F65285">
        <w:rPr>
          <w:sz w:val="20"/>
        </w:rPr>
        <w:t xml:space="preserve">Ieņēmumi 60,7 milj. </w:t>
      </w:r>
      <w:r w:rsidRPr="00F65285">
        <w:rPr>
          <w:i/>
          <w:sz w:val="20"/>
        </w:rPr>
        <w:t>euro</w:t>
      </w:r>
      <w:r w:rsidRPr="00F65285">
        <w:rPr>
          <w:sz w:val="20"/>
        </w:rPr>
        <w:t xml:space="preserve"> apmērā no Latvijai piešķirto emisijas kvotu izsolīšanas, kas notika 2018.gada novembrī, ir iekļauti budžeta plāna projektā kā vienreizējs pasākums.</w:t>
      </w:r>
    </w:p>
  </w:footnote>
  <w:footnote w:id="3">
    <w:p w14:paraId="63524D55" w14:textId="0E7430DD" w:rsidR="00EA5D67" w:rsidRPr="00DF6819" w:rsidRDefault="00EA5D67" w:rsidP="0095442F">
      <w:r w:rsidRPr="00220F2A">
        <w:rPr>
          <w:sz w:val="20"/>
          <w:vertAlign w:val="superscript"/>
        </w:rPr>
        <w:footnoteRef/>
      </w:r>
      <w:r w:rsidR="00D40D7E">
        <w:rPr>
          <w:sz w:val="20"/>
        </w:rPr>
        <w:t xml:space="preserve"> </w:t>
      </w:r>
      <w:r w:rsidRPr="0095442F">
        <w:rPr>
          <w:sz w:val="20"/>
        </w:rPr>
        <w:t xml:space="preserve">Lai atvieglotu datu salīdzināmību, strukturālā bilance ir parādīta kopā ar nodokļu reformas neto ieņēmumu </w:t>
      </w:r>
      <w:r>
        <w:rPr>
          <w:sz w:val="20"/>
        </w:rPr>
        <w:t>samazinājumu 0,51% no IKP 2019.gadā un 0,3% no IKP 2020.</w:t>
      </w:r>
      <w:r w:rsidRPr="0095442F">
        <w:rPr>
          <w:sz w:val="20"/>
        </w:rPr>
        <w:t>gadā, kas ir īslaicīgs un Latvijas fiskālajā ietvarā tiek atzīts par vienreizējo pasākumu, bet EK šo efektu ietver strukturālajā bilancē, jo ieņēmumus samazinošos/ izdevumus palielinošos pasākumus EK kā likums neatzīst par vienreizējiem/ īslaicīgajiem pasākumiem.</w:t>
      </w:r>
    </w:p>
  </w:footnote>
  <w:footnote w:id="4">
    <w:p w14:paraId="2C6EBDFB" w14:textId="1E9C4274" w:rsidR="00EA5D67" w:rsidRDefault="00EA5D67" w:rsidP="00510953">
      <w:pPr>
        <w:pStyle w:val="FootnoteText"/>
      </w:pPr>
      <w:r>
        <w:rPr>
          <w:rStyle w:val="FootnoteReference"/>
        </w:rPr>
        <w:footnoteRef/>
      </w:r>
      <w:r>
        <w:t xml:space="preserve"> Darba grupas</w:t>
      </w:r>
      <w:r w:rsidRPr="00984D42">
        <w:t xml:space="preserve"> sastāvā ir pārstāvji no Valsts kases, F</w:t>
      </w:r>
      <w:r>
        <w:rPr>
          <w:lang w:val="lv-LV"/>
        </w:rPr>
        <w:t>M</w:t>
      </w:r>
      <w:r w:rsidRPr="00984D42">
        <w:t>, Studiju un zinātnes administrācijas, Latvijas Finanšu nozares asociācijas,</w:t>
      </w:r>
      <w:r>
        <w:t>“Altum</w:t>
      </w:r>
      <w:r w:rsidRPr="00984D42">
        <w:t>”, Latvijas studentu apvienības un Rektoru padomes</w:t>
      </w:r>
    </w:p>
  </w:footnote>
  <w:footnote w:id="5">
    <w:p w14:paraId="2F7B092C" w14:textId="77777777" w:rsidR="00EA5D67" w:rsidRDefault="00EA5D67" w:rsidP="00510953">
      <w:pPr>
        <w:pStyle w:val="FootnoteText"/>
      </w:pPr>
      <w:r>
        <w:rPr>
          <w:rStyle w:val="FootnoteReference"/>
        </w:rPr>
        <w:footnoteRef/>
      </w:r>
      <w:r>
        <w:t xml:space="preserve"> MK 17.07.2019. rīkojums</w:t>
      </w:r>
      <w:r w:rsidRPr="00984D42">
        <w:t xml:space="preserve"> Nr. 382 </w:t>
      </w:r>
      <w:r>
        <w:t>par</w:t>
      </w:r>
      <w:r w:rsidRPr="00984D42">
        <w:t xml:space="preserve"> konceptuāl</w:t>
      </w:r>
      <w:r>
        <w:t>o</w:t>
      </w:r>
      <w:r w:rsidRPr="00984D42">
        <w:t xml:space="preserve"> ziņojum</w:t>
      </w:r>
      <w:r>
        <w:t>u</w:t>
      </w:r>
      <w:r w:rsidRPr="00984D42">
        <w:t xml:space="preserve"> “Par studiju un studējošo kreditēšanas no kredītiestāžu līdzekļiem ar valsts vārdā sniegto galvojumu modeļa maiņu”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471131"/>
      <w:docPartObj>
        <w:docPartGallery w:val="Page Numbers (Top of Page)"/>
        <w:docPartUnique/>
      </w:docPartObj>
    </w:sdtPr>
    <w:sdtEndPr>
      <w:rPr>
        <w:noProof/>
      </w:rPr>
    </w:sdtEndPr>
    <w:sdtContent>
      <w:p w14:paraId="63AF4C4E" w14:textId="4419390D" w:rsidR="00EA5D67" w:rsidRDefault="00EA5D67">
        <w:pPr>
          <w:pStyle w:val="Header"/>
          <w:jc w:val="right"/>
        </w:pPr>
        <w:r>
          <w:fldChar w:fldCharType="begin"/>
        </w:r>
        <w:r>
          <w:instrText xml:space="preserve"> PAGE   \* MERGEFORMAT </w:instrText>
        </w:r>
        <w:r>
          <w:fldChar w:fldCharType="separate"/>
        </w:r>
        <w:r w:rsidR="003E1533">
          <w:rPr>
            <w:noProof/>
          </w:rPr>
          <w:t>45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9327479"/>
      <w:docPartObj>
        <w:docPartGallery w:val="Page Numbers (Top of Page)"/>
        <w:docPartUnique/>
      </w:docPartObj>
    </w:sdtPr>
    <w:sdtEndPr>
      <w:rPr>
        <w:noProof/>
      </w:rPr>
    </w:sdtEndPr>
    <w:sdtContent>
      <w:p w14:paraId="0DBFA1BB" w14:textId="77777777" w:rsidR="00EA5D67" w:rsidRDefault="00EA5D67">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14:paraId="0BAC3584" w14:textId="77777777" w:rsidR="00EA5D67" w:rsidRDefault="00EA5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AEA"/>
    <w:multiLevelType w:val="hybridMultilevel"/>
    <w:tmpl w:val="B2F6F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DA762F"/>
    <w:multiLevelType w:val="hybridMultilevel"/>
    <w:tmpl w:val="69D8EC74"/>
    <w:lvl w:ilvl="0" w:tplc="0426000F">
      <w:start w:val="1"/>
      <w:numFmt w:val="decimal"/>
      <w:lvlText w:val="%1."/>
      <w:lvlJc w:val="left"/>
      <w:pPr>
        <w:ind w:left="681" w:hanging="360"/>
      </w:pPr>
    </w:lvl>
    <w:lvl w:ilvl="1" w:tplc="04260019" w:tentative="1">
      <w:start w:val="1"/>
      <w:numFmt w:val="lowerLetter"/>
      <w:lvlText w:val="%2."/>
      <w:lvlJc w:val="left"/>
      <w:pPr>
        <w:ind w:left="1401" w:hanging="360"/>
      </w:pPr>
    </w:lvl>
    <w:lvl w:ilvl="2" w:tplc="0426001B" w:tentative="1">
      <w:start w:val="1"/>
      <w:numFmt w:val="lowerRoman"/>
      <w:lvlText w:val="%3."/>
      <w:lvlJc w:val="right"/>
      <w:pPr>
        <w:ind w:left="2121" w:hanging="180"/>
      </w:pPr>
    </w:lvl>
    <w:lvl w:ilvl="3" w:tplc="0426000F" w:tentative="1">
      <w:start w:val="1"/>
      <w:numFmt w:val="decimal"/>
      <w:lvlText w:val="%4."/>
      <w:lvlJc w:val="left"/>
      <w:pPr>
        <w:ind w:left="2841" w:hanging="360"/>
      </w:pPr>
    </w:lvl>
    <w:lvl w:ilvl="4" w:tplc="04260019" w:tentative="1">
      <w:start w:val="1"/>
      <w:numFmt w:val="lowerLetter"/>
      <w:lvlText w:val="%5."/>
      <w:lvlJc w:val="left"/>
      <w:pPr>
        <w:ind w:left="3561" w:hanging="360"/>
      </w:pPr>
    </w:lvl>
    <w:lvl w:ilvl="5" w:tplc="0426001B" w:tentative="1">
      <w:start w:val="1"/>
      <w:numFmt w:val="lowerRoman"/>
      <w:lvlText w:val="%6."/>
      <w:lvlJc w:val="right"/>
      <w:pPr>
        <w:ind w:left="4281" w:hanging="180"/>
      </w:pPr>
    </w:lvl>
    <w:lvl w:ilvl="6" w:tplc="0426000F" w:tentative="1">
      <w:start w:val="1"/>
      <w:numFmt w:val="decimal"/>
      <w:lvlText w:val="%7."/>
      <w:lvlJc w:val="left"/>
      <w:pPr>
        <w:ind w:left="5001" w:hanging="360"/>
      </w:pPr>
    </w:lvl>
    <w:lvl w:ilvl="7" w:tplc="04260019" w:tentative="1">
      <w:start w:val="1"/>
      <w:numFmt w:val="lowerLetter"/>
      <w:lvlText w:val="%8."/>
      <w:lvlJc w:val="left"/>
      <w:pPr>
        <w:ind w:left="5721" w:hanging="360"/>
      </w:pPr>
    </w:lvl>
    <w:lvl w:ilvl="8" w:tplc="0426001B" w:tentative="1">
      <w:start w:val="1"/>
      <w:numFmt w:val="lowerRoman"/>
      <w:lvlText w:val="%9."/>
      <w:lvlJc w:val="right"/>
      <w:pPr>
        <w:ind w:left="6441" w:hanging="180"/>
      </w:pPr>
    </w:lvl>
  </w:abstractNum>
  <w:abstractNum w:abstractNumId="2" w15:restartNumberingAfterBreak="0">
    <w:nsid w:val="044E57B6"/>
    <w:multiLevelType w:val="hybridMultilevel"/>
    <w:tmpl w:val="771006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9DA1B75"/>
    <w:multiLevelType w:val="hybridMultilevel"/>
    <w:tmpl w:val="1924EE7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C1C3347"/>
    <w:multiLevelType w:val="hybridMultilevel"/>
    <w:tmpl w:val="B14C3594"/>
    <w:lvl w:ilvl="0" w:tplc="5336A1E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DE53CC"/>
    <w:multiLevelType w:val="hybridMultilevel"/>
    <w:tmpl w:val="FB66440A"/>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A6762E"/>
    <w:multiLevelType w:val="hybridMultilevel"/>
    <w:tmpl w:val="4AD89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14663D5"/>
    <w:multiLevelType w:val="hybridMultilevel"/>
    <w:tmpl w:val="A2C4EA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3E061C"/>
    <w:multiLevelType w:val="hybridMultilevel"/>
    <w:tmpl w:val="609CA3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105CA9"/>
    <w:multiLevelType w:val="hybridMultilevel"/>
    <w:tmpl w:val="D89EE4A2"/>
    <w:lvl w:ilvl="0" w:tplc="BD841C0E">
      <w:start w:val="1"/>
      <w:numFmt w:val="decimal"/>
      <w:pStyle w:val="ParagraphNumbering"/>
      <w:lvlText w:val="%1.     "/>
      <w:lvlJc w:val="left"/>
      <w:pPr>
        <w:tabs>
          <w:tab w:val="num" w:pos="720"/>
        </w:tabs>
        <w:ind w:left="0" w:firstLine="0"/>
      </w:pPr>
      <w:rPr>
        <w:rFonts w:hint="default"/>
        <w:b/>
        <w:strike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FD5439"/>
    <w:multiLevelType w:val="hybridMultilevel"/>
    <w:tmpl w:val="8904D39E"/>
    <w:lvl w:ilvl="0" w:tplc="0426000F">
      <w:start w:val="1"/>
      <w:numFmt w:val="decimal"/>
      <w:lvlText w:val="%1."/>
      <w:lvlJc w:val="left"/>
      <w:pPr>
        <w:ind w:left="717" w:hanging="360"/>
      </w:p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1" w15:restartNumberingAfterBreak="0">
    <w:nsid w:val="22362BA9"/>
    <w:multiLevelType w:val="hybridMultilevel"/>
    <w:tmpl w:val="4EB4CA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B68AC"/>
    <w:multiLevelType w:val="hybridMultilevel"/>
    <w:tmpl w:val="69D48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972FB9"/>
    <w:multiLevelType w:val="hybridMultilevel"/>
    <w:tmpl w:val="360CE9FE"/>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A215FA6"/>
    <w:multiLevelType w:val="hybridMultilevel"/>
    <w:tmpl w:val="CAEEA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AEF45BC"/>
    <w:multiLevelType w:val="hybridMultilevel"/>
    <w:tmpl w:val="108E5B12"/>
    <w:lvl w:ilvl="0" w:tplc="30A0E476">
      <w:start w:val="4"/>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1DC04E6"/>
    <w:multiLevelType w:val="hybridMultilevel"/>
    <w:tmpl w:val="24D69C0E"/>
    <w:lvl w:ilvl="0" w:tplc="7F266AC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3311421B"/>
    <w:multiLevelType w:val="hybridMultilevel"/>
    <w:tmpl w:val="824E8F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BD61F8"/>
    <w:multiLevelType w:val="hybridMultilevel"/>
    <w:tmpl w:val="041AC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68F3D4A"/>
    <w:multiLevelType w:val="hybridMultilevel"/>
    <w:tmpl w:val="DA58EACC"/>
    <w:lvl w:ilvl="0" w:tplc="C1928438">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20" w15:restartNumberingAfterBreak="0">
    <w:nsid w:val="379E5E53"/>
    <w:multiLevelType w:val="hybridMultilevel"/>
    <w:tmpl w:val="CACC97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865033"/>
    <w:multiLevelType w:val="hybridMultilevel"/>
    <w:tmpl w:val="EDE613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3060901"/>
    <w:multiLevelType w:val="hybridMultilevel"/>
    <w:tmpl w:val="6BE0E1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E07FF8"/>
    <w:multiLevelType w:val="hybridMultilevel"/>
    <w:tmpl w:val="0E8C8D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453509"/>
    <w:multiLevelType w:val="hybridMultilevel"/>
    <w:tmpl w:val="6CF21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9500D6"/>
    <w:multiLevelType w:val="hybridMultilevel"/>
    <w:tmpl w:val="3956E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20A60BA"/>
    <w:multiLevelType w:val="hybridMultilevel"/>
    <w:tmpl w:val="32960F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3783F9B"/>
    <w:multiLevelType w:val="hybridMultilevel"/>
    <w:tmpl w:val="AD1A56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D61F4E"/>
    <w:multiLevelType w:val="hybridMultilevel"/>
    <w:tmpl w:val="5BA2C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8137DC8"/>
    <w:multiLevelType w:val="hybridMultilevel"/>
    <w:tmpl w:val="9C9A4B4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84A3BA0"/>
    <w:multiLevelType w:val="hybridMultilevel"/>
    <w:tmpl w:val="CF3E20F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A8E04F1"/>
    <w:multiLevelType w:val="hybridMultilevel"/>
    <w:tmpl w:val="F9CEFBB0"/>
    <w:lvl w:ilvl="0" w:tplc="5CF8022C">
      <w:start w:val="1"/>
      <w:numFmt w:val="bullet"/>
      <w:lvlText w:val=""/>
      <w:lvlJc w:val="left"/>
      <w:pPr>
        <w:ind w:left="720" w:hanging="360"/>
      </w:pPr>
      <w:rPr>
        <w:rFonts w:ascii="Symbol" w:hAnsi="Symbo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F7F39AE"/>
    <w:multiLevelType w:val="hybridMultilevel"/>
    <w:tmpl w:val="2A22B0AA"/>
    <w:lvl w:ilvl="0" w:tplc="423EC5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CB7D05"/>
    <w:multiLevelType w:val="hybridMultilevel"/>
    <w:tmpl w:val="D61EC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7112602"/>
    <w:multiLevelType w:val="hybridMultilevel"/>
    <w:tmpl w:val="93DE2D5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9284F47"/>
    <w:multiLevelType w:val="hybridMultilevel"/>
    <w:tmpl w:val="1D9A20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4C0DC3"/>
    <w:multiLevelType w:val="hybridMultilevel"/>
    <w:tmpl w:val="CDDE79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8E75DB"/>
    <w:multiLevelType w:val="hybridMultilevel"/>
    <w:tmpl w:val="57C6B916"/>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F62342"/>
    <w:multiLevelType w:val="hybridMultilevel"/>
    <w:tmpl w:val="005059A6"/>
    <w:lvl w:ilvl="0" w:tplc="ABF2F01C">
      <w:start w:val="1"/>
      <w:numFmt w:val="decimal"/>
      <w:lvlText w:val="%1."/>
      <w:lvlJc w:val="left"/>
      <w:pPr>
        <w:ind w:left="535" w:hanging="360"/>
      </w:pPr>
      <w:rPr>
        <w:rFonts w:hint="default"/>
      </w:rPr>
    </w:lvl>
    <w:lvl w:ilvl="1" w:tplc="04260019" w:tentative="1">
      <w:start w:val="1"/>
      <w:numFmt w:val="lowerLetter"/>
      <w:lvlText w:val="%2."/>
      <w:lvlJc w:val="left"/>
      <w:pPr>
        <w:ind w:left="1255" w:hanging="360"/>
      </w:pPr>
    </w:lvl>
    <w:lvl w:ilvl="2" w:tplc="0426001B" w:tentative="1">
      <w:start w:val="1"/>
      <w:numFmt w:val="lowerRoman"/>
      <w:lvlText w:val="%3."/>
      <w:lvlJc w:val="right"/>
      <w:pPr>
        <w:ind w:left="1975" w:hanging="180"/>
      </w:pPr>
    </w:lvl>
    <w:lvl w:ilvl="3" w:tplc="0426000F" w:tentative="1">
      <w:start w:val="1"/>
      <w:numFmt w:val="decimal"/>
      <w:lvlText w:val="%4."/>
      <w:lvlJc w:val="left"/>
      <w:pPr>
        <w:ind w:left="2695" w:hanging="360"/>
      </w:pPr>
    </w:lvl>
    <w:lvl w:ilvl="4" w:tplc="04260019" w:tentative="1">
      <w:start w:val="1"/>
      <w:numFmt w:val="lowerLetter"/>
      <w:lvlText w:val="%5."/>
      <w:lvlJc w:val="left"/>
      <w:pPr>
        <w:ind w:left="3415" w:hanging="360"/>
      </w:pPr>
    </w:lvl>
    <w:lvl w:ilvl="5" w:tplc="0426001B" w:tentative="1">
      <w:start w:val="1"/>
      <w:numFmt w:val="lowerRoman"/>
      <w:lvlText w:val="%6."/>
      <w:lvlJc w:val="right"/>
      <w:pPr>
        <w:ind w:left="4135" w:hanging="180"/>
      </w:pPr>
    </w:lvl>
    <w:lvl w:ilvl="6" w:tplc="0426000F" w:tentative="1">
      <w:start w:val="1"/>
      <w:numFmt w:val="decimal"/>
      <w:lvlText w:val="%7."/>
      <w:lvlJc w:val="left"/>
      <w:pPr>
        <w:ind w:left="4855" w:hanging="360"/>
      </w:pPr>
    </w:lvl>
    <w:lvl w:ilvl="7" w:tplc="04260019" w:tentative="1">
      <w:start w:val="1"/>
      <w:numFmt w:val="lowerLetter"/>
      <w:lvlText w:val="%8."/>
      <w:lvlJc w:val="left"/>
      <w:pPr>
        <w:ind w:left="5575" w:hanging="360"/>
      </w:pPr>
    </w:lvl>
    <w:lvl w:ilvl="8" w:tplc="0426001B" w:tentative="1">
      <w:start w:val="1"/>
      <w:numFmt w:val="lowerRoman"/>
      <w:lvlText w:val="%9."/>
      <w:lvlJc w:val="right"/>
      <w:pPr>
        <w:ind w:left="6295" w:hanging="180"/>
      </w:pPr>
    </w:lvl>
  </w:abstractNum>
  <w:abstractNum w:abstractNumId="39" w15:restartNumberingAfterBreak="0">
    <w:nsid w:val="7EB246D6"/>
    <w:multiLevelType w:val="hybridMultilevel"/>
    <w:tmpl w:val="4112A55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7"/>
  </w:num>
  <w:num w:numId="3">
    <w:abstractNumId w:val="12"/>
  </w:num>
  <w:num w:numId="4">
    <w:abstractNumId w:val="35"/>
  </w:num>
  <w:num w:numId="5">
    <w:abstractNumId w:val="24"/>
  </w:num>
  <w:num w:numId="6">
    <w:abstractNumId w:val="19"/>
  </w:num>
  <w:num w:numId="7">
    <w:abstractNumId w:val="36"/>
  </w:num>
  <w:num w:numId="8">
    <w:abstractNumId w:val="18"/>
  </w:num>
  <w:num w:numId="9">
    <w:abstractNumId w:val="30"/>
  </w:num>
  <w:num w:numId="10">
    <w:abstractNumId w:val="2"/>
  </w:num>
  <w:num w:numId="11">
    <w:abstractNumId w:val="10"/>
  </w:num>
  <w:num w:numId="12">
    <w:abstractNumId w:val="1"/>
  </w:num>
  <w:num w:numId="13">
    <w:abstractNumId w:val="34"/>
  </w:num>
  <w:num w:numId="14">
    <w:abstractNumId w:val="37"/>
  </w:num>
  <w:num w:numId="15">
    <w:abstractNumId w:val="38"/>
  </w:num>
  <w:num w:numId="16">
    <w:abstractNumId w:val="8"/>
  </w:num>
  <w:num w:numId="17">
    <w:abstractNumId w:val="33"/>
  </w:num>
  <w:num w:numId="18">
    <w:abstractNumId w:val="25"/>
  </w:num>
  <w:num w:numId="19">
    <w:abstractNumId w:val="26"/>
  </w:num>
  <w:num w:numId="20">
    <w:abstractNumId w:val="7"/>
  </w:num>
  <w:num w:numId="21">
    <w:abstractNumId w:val="29"/>
  </w:num>
  <w:num w:numId="22">
    <w:abstractNumId w:val="4"/>
  </w:num>
  <w:num w:numId="23">
    <w:abstractNumId w:val="14"/>
  </w:num>
  <w:num w:numId="24">
    <w:abstractNumId w:val="32"/>
  </w:num>
  <w:num w:numId="25">
    <w:abstractNumId w:val="5"/>
  </w:num>
  <w:num w:numId="26">
    <w:abstractNumId w:val="28"/>
  </w:num>
  <w:num w:numId="27">
    <w:abstractNumId w:val="13"/>
  </w:num>
  <w:num w:numId="28">
    <w:abstractNumId w:val="16"/>
  </w:num>
  <w:num w:numId="29">
    <w:abstractNumId w:val="22"/>
  </w:num>
  <w:num w:numId="30">
    <w:abstractNumId w:val="31"/>
  </w:num>
  <w:num w:numId="31">
    <w:abstractNumId w:val="23"/>
  </w:num>
  <w:num w:numId="32">
    <w:abstractNumId w:val="0"/>
  </w:num>
  <w:num w:numId="33">
    <w:abstractNumId w:val="17"/>
  </w:num>
  <w:num w:numId="34">
    <w:abstractNumId w:val="15"/>
  </w:num>
  <w:num w:numId="35">
    <w:abstractNumId w:val="39"/>
  </w:num>
  <w:num w:numId="36">
    <w:abstractNumId w:val="20"/>
  </w:num>
  <w:num w:numId="37">
    <w:abstractNumId w:val="6"/>
  </w:num>
  <w:num w:numId="38">
    <w:abstractNumId w:val="3"/>
  </w:num>
  <w:num w:numId="39">
    <w:abstractNumId w:val="11"/>
  </w:num>
  <w:num w:numId="4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20"/>
  <w:characterSpacingControl w:val="doNotCompress"/>
  <w:hdrShapeDefaults>
    <o:shapedefaults v:ext="edit" spidmax="67585" style="mso-position-horizontal-relative:margin;mso-position-vertical-relative:margin"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56"/>
    <w:rsid w:val="0000038A"/>
    <w:rsid w:val="0000094C"/>
    <w:rsid w:val="00000D13"/>
    <w:rsid w:val="0000191C"/>
    <w:rsid w:val="000020C5"/>
    <w:rsid w:val="00002315"/>
    <w:rsid w:val="00002A73"/>
    <w:rsid w:val="0000329C"/>
    <w:rsid w:val="00003474"/>
    <w:rsid w:val="00003E2F"/>
    <w:rsid w:val="000048A0"/>
    <w:rsid w:val="00004A73"/>
    <w:rsid w:val="00004D93"/>
    <w:rsid w:val="000052FA"/>
    <w:rsid w:val="000060F6"/>
    <w:rsid w:val="000061A5"/>
    <w:rsid w:val="000062EE"/>
    <w:rsid w:val="00006A6D"/>
    <w:rsid w:val="00006BD6"/>
    <w:rsid w:val="00006DD2"/>
    <w:rsid w:val="0001052E"/>
    <w:rsid w:val="00011568"/>
    <w:rsid w:val="00011E77"/>
    <w:rsid w:val="000124BF"/>
    <w:rsid w:val="00012824"/>
    <w:rsid w:val="00012DE8"/>
    <w:rsid w:val="00014041"/>
    <w:rsid w:val="00016D97"/>
    <w:rsid w:val="0001749E"/>
    <w:rsid w:val="0002156A"/>
    <w:rsid w:val="00021FE1"/>
    <w:rsid w:val="00022369"/>
    <w:rsid w:val="000225CE"/>
    <w:rsid w:val="000233FD"/>
    <w:rsid w:val="00023548"/>
    <w:rsid w:val="00023C3E"/>
    <w:rsid w:val="00023E2D"/>
    <w:rsid w:val="00024F65"/>
    <w:rsid w:val="0002544F"/>
    <w:rsid w:val="00025D7F"/>
    <w:rsid w:val="000270E3"/>
    <w:rsid w:val="00027681"/>
    <w:rsid w:val="0003112C"/>
    <w:rsid w:val="000318B2"/>
    <w:rsid w:val="0003226C"/>
    <w:rsid w:val="00032491"/>
    <w:rsid w:val="00032CE1"/>
    <w:rsid w:val="00032D04"/>
    <w:rsid w:val="00033BC8"/>
    <w:rsid w:val="00034B1C"/>
    <w:rsid w:val="00035496"/>
    <w:rsid w:val="000357A3"/>
    <w:rsid w:val="000365EA"/>
    <w:rsid w:val="00037D77"/>
    <w:rsid w:val="000409E2"/>
    <w:rsid w:val="00040EDF"/>
    <w:rsid w:val="00040F36"/>
    <w:rsid w:val="00041321"/>
    <w:rsid w:val="00042A66"/>
    <w:rsid w:val="00042FC7"/>
    <w:rsid w:val="000430B8"/>
    <w:rsid w:val="000437CE"/>
    <w:rsid w:val="00043B94"/>
    <w:rsid w:val="00043D23"/>
    <w:rsid w:val="0004418B"/>
    <w:rsid w:val="00044688"/>
    <w:rsid w:val="000448AD"/>
    <w:rsid w:val="00044A7B"/>
    <w:rsid w:val="00045692"/>
    <w:rsid w:val="000461AC"/>
    <w:rsid w:val="000467C2"/>
    <w:rsid w:val="00046A97"/>
    <w:rsid w:val="00046BCE"/>
    <w:rsid w:val="000521E5"/>
    <w:rsid w:val="00052FB5"/>
    <w:rsid w:val="00053007"/>
    <w:rsid w:val="00053086"/>
    <w:rsid w:val="0005315E"/>
    <w:rsid w:val="00054454"/>
    <w:rsid w:val="000548BF"/>
    <w:rsid w:val="000549B7"/>
    <w:rsid w:val="00054C89"/>
    <w:rsid w:val="000550B7"/>
    <w:rsid w:val="00055140"/>
    <w:rsid w:val="00055479"/>
    <w:rsid w:val="0005656C"/>
    <w:rsid w:val="000571F9"/>
    <w:rsid w:val="00060D92"/>
    <w:rsid w:val="000634FF"/>
    <w:rsid w:val="00063DE4"/>
    <w:rsid w:val="000673A8"/>
    <w:rsid w:val="00067454"/>
    <w:rsid w:val="0006756D"/>
    <w:rsid w:val="000676ED"/>
    <w:rsid w:val="00067A5D"/>
    <w:rsid w:val="000704FD"/>
    <w:rsid w:val="000705E3"/>
    <w:rsid w:val="00070BC1"/>
    <w:rsid w:val="00071EF8"/>
    <w:rsid w:val="00073140"/>
    <w:rsid w:val="0007398C"/>
    <w:rsid w:val="00074DDB"/>
    <w:rsid w:val="00075C71"/>
    <w:rsid w:val="00076DE6"/>
    <w:rsid w:val="000774F7"/>
    <w:rsid w:val="0007787A"/>
    <w:rsid w:val="00081726"/>
    <w:rsid w:val="00081B36"/>
    <w:rsid w:val="0008285F"/>
    <w:rsid w:val="000833EE"/>
    <w:rsid w:val="000839ED"/>
    <w:rsid w:val="00083DC0"/>
    <w:rsid w:val="00084FF5"/>
    <w:rsid w:val="000851D6"/>
    <w:rsid w:val="00085372"/>
    <w:rsid w:val="0008546B"/>
    <w:rsid w:val="000855EA"/>
    <w:rsid w:val="00085C93"/>
    <w:rsid w:val="00085D9A"/>
    <w:rsid w:val="00085F95"/>
    <w:rsid w:val="000861D0"/>
    <w:rsid w:val="000868D8"/>
    <w:rsid w:val="00086FE4"/>
    <w:rsid w:val="00087808"/>
    <w:rsid w:val="00087ECA"/>
    <w:rsid w:val="000901B5"/>
    <w:rsid w:val="00092708"/>
    <w:rsid w:val="00092BBA"/>
    <w:rsid w:val="0009310C"/>
    <w:rsid w:val="00094ADD"/>
    <w:rsid w:val="00096D57"/>
    <w:rsid w:val="00097545"/>
    <w:rsid w:val="00097E66"/>
    <w:rsid w:val="000A03E8"/>
    <w:rsid w:val="000A0699"/>
    <w:rsid w:val="000A1A54"/>
    <w:rsid w:val="000A25F5"/>
    <w:rsid w:val="000A5529"/>
    <w:rsid w:val="000A6041"/>
    <w:rsid w:val="000A6324"/>
    <w:rsid w:val="000A691D"/>
    <w:rsid w:val="000A6FF8"/>
    <w:rsid w:val="000A7E64"/>
    <w:rsid w:val="000A7E91"/>
    <w:rsid w:val="000B0881"/>
    <w:rsid w:val="000B0945"/>
    <w:rsid w:val="000B12B3"/>
    <w:rsid w:val="000B17F7"/>
    <w:rsid w:val="000B3007"/>
    <w:rsid w:val="000B328C"/>
    <w:rsid w:val="000B3E03"/>
    <w:rsid w:val="000B68A1"/>
    <w:rsid w:val="000B7045"/>
    <w:rsid w:val="000C03FB"/>
    <w:rsid w:val="000C0876"/>
    <w:rsid w:val="000C23DA"/>
    <w:rsid w:val="000C2A69"/>
    <w:rsid w:val="000C30AE"/>
    <w:rsid w:val="000C3FFF"/>
    <w:rsid w:val="000C4964"/>
    <w:rsid w:val="000C515F"/>
    <w:rsid w:val="000C51ED"/>
    <w:rsid w:val="000C53FD"/>
    <w:rsid w:val="000C5D49"/>
    <w:rsid w:val="000C7BB3"/>
    <w:rsid w:val="000D1AB0"/>
    <w:rsid w:val="000D29EE"/>
    <w:rsid w:val="000D2D1F"/>
    <w:rsid w:val="000D407D"/>
    <w:rsid w:val="000D4427"/>
    <w:rsid w:val="000D6A66"/>
    <w:rsid w:val="000D6D12"/>
    <w:rsid w:val="000D6DBE"/>
    <w:rsid w:val="000D6E7B"/>
    <w:rsid w:val="000D730A"/>
    <w:rsid w:val="000E07CF"/>
    <w:rsid w:val="000E13CE"/>
    <w:rsid w:val="000E281E"/>
    <w:rsid w:val="000E2A20"/>
    <w:rsid w:val="000E31A2"/>
    <w:rsid w:val="000E3954"/>
    <w:rsid w:val="000E3CB3"/>
    <w:rsid w:val="000E3FD6"/>
    <w:rsid w:val="000E42F5"/>
    <w:rsid w:val="000E49D3"/>
    <w:rsid w:val="000E5433"/>
    <w:rsid w:val="000E6165"/>
    <w:rsid w:val="000E6B7D"/>
    <w:rsid w:val="000E754C"/>
    <w:rsid w:val="000E7810"/>
    <w:rsid w:val="000F02ED"/>
    <w:rsid w:val="000F04E2"/>
    <w:rsid w:val="000F1311"/>
    <w:rsid w:val="000F1429"/>
    <w:rsid w:val="000F1FCB"/>
    <w:rsid w:val="000F240F"/>
    <w:rsid w:val="000F2A7B"/>
    <w:rsid w:val="000F2C16"/>
    <w:rsid w:val="000F3CD8"/>
    <w:rsid w:val="000F52CD"/>
    <w:rsid w:val="000F5417"/>
    <w:rsid w:val="000F57F7"/>
    <w:rsid w:val="000F5BEE"/>
    <w:rsid w:val="000F5C3B"/>
    <w:rsid w:val="000F61BD"/>
    <w:rsid w:val="000F61D9"/>
    <w:rsid w:val="000F6956"/>
    <w:rsid w:val="000F69C9"/>
    <w:rsid w:val="00100E93"/>
    <w:rsid w:val="00102F37"/>
    <w:rsid w:val="001034C5"/>
    <w:rsid w:val="00103B5C"/>
    <w:rsid w:val="0010615E"/>
    <w:rsid w:val="00107299"/>
    <w:rsid w:val="0011050B"/>
    <w:rsid w:val="00110AC8"/>
    <w:rsid w:val="00111079"/>
    <w:rsid w:val="00111103"/>
    <w:rsid w:val="00111F8F"/>
    <w:rsid w:val="0011298C"/>
    <w:rsid w:val="00112D09"/>
    <w:rsid w:val="0011313F"/>
    <w:rsid w:val="001135DE"/>
    <w:rsid w:val="001137E4"/>
    <w:rsid w:val="00113E0D"/>
    <w:rsid w:val="00117618"/>
    <w:rsid w:val="00120262"/>
    <w:rsid w:val="0012103D"/>
    <w:rsid w:val="00121CC8"/>
    <w:rsid w:val="00123163"/>
    <w:rsid w:val="0012489F"/>
    <w:rsid w:val="0012644F"/>
    <w:rsid w:val="00126B21"/>
    <w:rsid w:val="00126B30"/>
    <w:rsid w:val="001273EB"/>
    <w:rsid w:val="001314F1"/>
    <w:rsid w:val="0013257F"/>
    <w:rsid w:val="00132971"/>
    <w:rsid w:val="001329C2"/>
    <w:rsid w:val="00133159"/>
    <w:rsid w:val="00133517"/>
    <w:rsid w:val="00133C11"/>
    <w:rsid w:val="00133FCE"/>
    <w:rsid w:val="00134081"/>
    <w:rsid w:val="0013431E"/>
    <w:rsid w:val="00134F45"/>
    <w:rsid w:val="001367D7"/>
    <w:rsid w:val="001372AB"/>
    <w:rsid w:val="00137860"/>
    <w:rsid w:val="001412EF"/>
    <w:rsid w:val="00142116"/>
    <w:rsid w:val="0014252C"/>
    <w:rsid w:val="001429E2"/>
    <w:rsid w:val="00142CBA"/>
    <w:rsid w:val="001431B2"/>
    <w:rsid w:val="00143C71"/>
    <w:rsid w:val="00146D1F"/>
    <w:rsid w:val="00146EA3"/>
    <w:rsid w:val="001477D8"/>
    <w:rsid w:val="001507D4"/>
    <w:rsid w:val="00150E39"/>
    <w:rsid w:val="001511BE"/>
    <w:rsid w:val="00151D76"/>
    <w:rsid w:val="00151FC8"/>
    <w:rsid w:val="001523FB"/>
    <w:rsid w:val="0015285E"/>
    <w:rsid w:val="00152BEB"/>
    <w:rsid w:val="0015337F"/>
    <w:rsid w:val="00154514"/>
    <w:rsid w:val="00154DB0"/>
    <w:rsid w:val="00154E19"/>
    <w:rsid w:val="001553F1"/>
    <w:rsid w:val="001563FD"/>
    <w:rsid w:val="00156D99"/>
    <w:rsid w:val="0015701E"/>
    <w:rsid w:val="00157462"/>
    <w:rsid w:val="00157E57"/>
    <w:rsid w:val="0016010A"/>
    <w:rsid w:val="00160C02"/>
    <w:rsid w:val="00161A23"/>
    <w:rsid w:val="00161EBA"/>
    <w:rsid w:val="001622B6"/>
    <w:rsid w:val="00163232"/>
    <w:rsid w:val="0016351E"/>
    <w:rsid w:val="00163B37"/>
    <w:rsid w:val="0016508C"/>
    <w:rsid w:val="00166699"/>
    <w:rsid w:val="00166AE2"/>
    <w:rsid w:val="00167449"/>
    <w:rsid w:val="00167825"/>
    <w:rsid w:val="00167EB2"/>
    <w:rsid w:val="001709BE"/>
    <w:rsid w:val="00171512"/>
    <w:rsid w:val="001728E1"/>
    <w:rsid w:val="00172D87"/>
    <w:rsid w:val="00173466"/>
    <w:rsid w:val="00173E8D"/>
    <w:rsid w:val="00174C27"/>
    <w:rsid w:val="00174C28"/>
    <w:rsid w:val="00174F89"/>
    <w:rsid w:val="0017780F"/>
    <w:rsid w:val="001778EF"/>
    <w:rsid w:val="00180471"/>
    <w:rsid w:val="00181266"/>
    <w:rsid w:val="00182BC5"/>
    <w:rsid w:val="0018358E"/>
    <w:rsid w:val="001859FF"/>
    <w:rsid w:val="00185D29"/>
    <w:rsid w:val="00185EE1"/>
    <w:rsid w:val="001863D2"/>
    <w:rsid w:val="00186AF9"/>
    <w:rsid w:val="0018734F"/>
    <w:rsid w:val="001878FE"/>
    <w:rsid w:val="00187D66"/>
    <w:rsid w:val="00190347"/>
    <w:rsid w:val="00190C6F"/>
    <w:rsid w:val="00191889"/>
    <w:rsid w:val="00192F1E"/>
    <w:rsid w:val="0019363C"/>
    <w:rsid w:val="00193AA6"/>
    <w:rsid w:val="00193D91"/>
    <w:rsid w:val="00194078"/>
    <w:rsid w:val="00194EA1"/>
    <w:rsid w:val="00195423"/>
    <w:rsid w:val="001954B6"/>
    <w:rsid w:val="0019579A"/>
    <w:rsid w:val="001A109E"/>
    <w:rsid w:val="001A1102"/>
    <w:rsid w:val="001A1170"/>
    <w:rsid w:val="001A11D2"/>
    <w:rsid w:val="001A18CC"/>
    <w:rsid w:val="001A2142"/>
    <w:rsid w:val="001A2704"/>
    <w:rsid w:val="001A28D9"/>
    <w:rsid w:val="001A2DA3"/>
    <w:rsid w:val="001A4C59"/>
    <w:rsid w:val="001A4D06"/>
    <w:rsid w:val="001A537A"/>
    <w:rsid w:val="001A58D8"/>
    <w:rsid w:val="001A5951"/>
    <w:rsid w:val="001A59C9"/>
    <w:rsid w:val="001A5C16"/>
    <w:rsid w:val="001A6612"/>
    <w:rsid w:val="001A77E7"/>
    <w:rsid w:val="001B0074"/>
    <w:rsid w:val="001B130F"/>
    <w:rsid w:val="001B1A50"/>
    <w:rsid w:val="001B20A9"/>
    <w:rsid w:val="001B2AF5"/>
    <w:rsid w:val="001B3555"/>
    <w:rsid w:val="001B41A6"/>
    <w:rsid w:val="001B47DC"/>
    <w:rsid w:val="001B50EF"/>
    <w:rsid w:val="001B5A43"/>
    <w:rsid w:val="001B69A1"/>
    <w:rsid w:val="001B6A4A"/>
    <w:rsid w:val="001C0A2C"/>
    <w:rsid w:val="001C1FC4"/>
    <w:rsid w:val="001C28CF"/>
    <w:rsid w:val="001C3383"/>
    <w:rsid w:val="001C3C00"/>
    <w:rsid w:val="001C4719"/>
    <w:rsid w:val="001C47DC"/>
    <w:rsid w:val="001C497F"/>
    <w:rsid w:val="001C6559"/>
    <w:rsid w:val="001C7411"/>
    <w:rsid w:val="001D1158"/>
    <w:rsid w:val="001D1970"/>
    <w:rsid w:val="001D1AD7"/>
    <w:rsid w:val="001D2E43"/>
    <w:rsid w:val="001D3936"/>
    <w:rsid w:val="001D4221"/>
    <w:rsid w:val="001D45F3"/>
    <w:rsid w:val="001D4739"/>
    <w:rsid w:val="001D543D"/>
    <w:rsid w:val="001D56AF"/>
    <w:rsid w:val="001D5709"/>
    <w:rsid w:val="001D5CC2"/>
    <w:rsid w:val="001D635A"/>
    <w:rsid w:val="001D7D04"/>
    <w:rsid w:val="001E0291"/>
    <w:rsid w:val="001E1359"/>
    <w:rsid w:val="001E1E2D"/>
    <w:rsid w:val="001E1F67"/>
    <w:rsid w:val="001E2B50"/>
    <w:rsid w:val="001E4A65"/>
    <w:rsid w:val="001E4C09"/>
    <w:rsid w:val="001E5EF4"/>
    <w:rsid w:val="001E62C1"/>
    <w:rsid w:val="001E6929"/>
    <w:rsid w:val="001E6AFE"/>
    <w:rsid w:val="001E6B86"/>
    <w:rsid w:val="001E77E3"/>
    <w:rsid w:val="001E7F5F"/>
    <w:rsid w:val="001F01C1"/>
    <w:rsid w:val="001F0444"/>
    <w:rsid w:val="001F04CA"/>
    <w:rsid w:val="001F1CC8"/>
    <w:rsid w:val="001F23F6"/>
    <w:rsid w:val="001F40C1"/>
    <w:rsid w:val="001F40F6"/>
    <w:rsid w:val="001F4DCA"/>
    <w:rsid w:val="001F55A4"/>
    <w:rsid w:val="001F5AEA"/>
    <w:rsid w:val="001F6968"/>
    <w:rsid w:val="001F6F6E"/>
    <w:rsid w:val="001F7141"/>
    <w:rsid w:val="00200AFF"/>
    <w:rsid w:val="00201D70"/>
    <w:rsid w:val="00202216"/>
    <w:rsid w:val="0020255E"/>
    <w:rsid w:val="00202C63"/>
    <w:rsid w:val="00203D1A"/>
    <w:rsid w:val="0020426E"/>
    <w:rsid w:val="002048B4"/>
    <w:rsid w:val="00205F98"/>
    <w:rsid w:val="0020691E"/>
    <w:rsid w:val="00206C85"/>
    <w:rsid w:val="00210120"/>
    <w:rsid w:val="002123CA"/>
    <w:rsid w:val="002131F7"/>
    <w:rsid w:val="00213EB4"/>
    <w:rsid w:val="00214BAD"/>
    <w:rsid w:val="00214D4E"/>
    <w:rsid w:val="00215062"/>
    <w:rsid w:val="00220013"/>
    <w:rsid w:val="00220066"/>
    <w:rsid w:val="002202E5"/>
    <w:rsid w:val="00220758"/>
    <w:rsid w:val="00220F2A"/>
    <w:rsid w:val="00222993"/>
    <w:rsid w:val="00222B38"/>
    <w:rsid w:val="00223304"/>
    <w:rsid w:val="00224E7E"/>
    <w:rsid w:val="00225205"/>
    <w:rsid w:val="00225345"/>
    <w:rsid w:val="00225530"/>
    <w:rsid w:val="00225EF9"/>
    <w:rsid w:val="00225EFF"/>
    <w:rsid w:val="002275E8"/>
    <w:rsid w:val="0022783B"/>
    <w:rsid w:val="00227C3B"/>
    <w:rsid w:val="00231542"/>
    <w:rsid w:val="00231CA7"/>
    <w:rsid w:val="00233A74"/>
    <w:rsid w:val="002340E1"/>
    <w:rsid w:val="00234823"/>
    <w:rsid w:val="0023518A"/>
    <w:rsid w:val="00236099"/>
    <w:rsid w:val="002362D9"/>
    <w:rsid w:val="00236734"/>
    <w:rsid w:val="0023718E"/>
    <w:rsid w:val="00237378"/>
    <w:rsid w:val="00237652"/>
    <w:rsid w:val="0024036E"/>
    <w:rsid w:val="002405FE"/>
    <w:rsid w:val="00241A3D"/>
    <w:rsid w:val="002422CE"/>
    <w:rsid w:val="00242409"/>
    <w:rsid w:val="0024255B"/>
    <w:rsid w:val="00242F79"/>
    <w:rsid w:val="0024326E"/>
    <w:rsid w:val="00243A27"/>
    <w:rsid w:val="00245AD2"/>
    <w:rsid w:val="00247851"/>
    <w:rsid w:val="00247A00"/>
    <w:rsid w:val="00247BB4"/>
    <w:rsid w:val="002500C6"/>
    <w:rsid w:val="00250CDC"/>
    <w:rsid w:val="002519DC"/>
    <w:rsid w:val="00251CD7"/>
    <w:rsid w:val="002522F2"/>
    <w:rsid w:val="00252717"/>
    <w:rsid w:val="00252A22"/>
    <w:rsid w:val="00252A61"/>
    <w:rsid w:val="00252D30"/>
    <w:rsid w:val="0025316E"/>
    <w:rsid w:val="0025340E"/>
    <w:rsid w:val="00253FAD"/>
    <w:rsid w:val="002546DD"/>
    <w:rsid w:val="0025532E"/>
    <w:rsid w:val="00255B0A"/>
    <w:rsid w:val="00255BA9"/>
    <w:rsid w:val="00257A39"/>
    <w:rsid w:val="002617AF"/>
    <w:rsid w:val="00261BD2"/>
    <w:rsid w:val="002622DC"/>
    <w:rsid w:val="002651B4"/>
    <w:rsid w:val="00265290"/>
    <w:rsid w:val="0026605B"/>
    <w:rsid w:val="00266356"/>
    <w:rsid w:val="00266CF3"/>
    <w:rsid w:val="00267CD3"/>
    <w:rsid w:val="00270021"/>
    <w:rsid w:val="00271789"/>
    <w:rsid w:val="00272043"/>
    <w:rsid w:val="0027236C"/>
    <w:rsid w:val="00272FF4"/>
    <w:rsid w:val="002738FA"/>
    <w:rsid w:val="00274146"/>
    <w:rsid w:val="0027687A"/>
    <w:rsid w:val="002778E5"/>
    <w:rsid w:val="002807F8"/>
    <w:rsid w:val="002829DA"/>
    <w:rsid w:val="00283B8B"/>
    <w:rsid w:val="0028579E"/>
    <w:rsid w:val="00287764"/>
    <w:rsid w:val="00291ABE"/>
    <w:rsid w:val="002926A6"/>
    <w:rsid w:val="0029395A"/>
    <w:rsid w:val="00293D4D"/>
    <w:rsid w:val="0029434D"/>
    <w:rsid w:val="0029439E"/>
    <w:rsid w:val="00294420"/>
    <w:rsid w:val="002960E3"/>
    <w:rsid w:val="00296E94"/>
    <w:rsid w:val="00296F8E"/>
    <w:rsid w:val="00297E09"/>
    <w:rsid w:val="002A03FF"/>
    <w:rsid w:val="002A1EA8"/>
    <w:rsid w:val="002A1F83"/>
    <w:rsid w:val="002A3F2F"/>
    <w:rsid w:val="002A406D"/>
    <w:rsid w:val="002A44D1"/>
    <w:rsid w:val="002A4DE0"/>
    <w:rsid w:val="002A63FE"/>
    <w:rsid w:val="002A677B"/>
    <w:rsid w:val="002A7C9A"/>
    <w:rsid w:val="002B0FF8"/>
    <w:rsid w:val="002B225F"/>
    <w:rsid w:val="002B22B5"/>
    <w:rsid w:val="002B244F"/>
    <w:rsid w:val="002B2A2A"/>
    <w:rsid w:val="002B3045"/>
    <w:rsid w:val="002B3C12"/>
    <w:rsid w:val="002B402C"/>
    <w:rsid w:val="002B43EF"/>
    <w:rsid w:val="002B6A1F"/>
    <w:rsid w:val="002C0396"/>
    <w:rsid w:val="002C0523"/>
    <w:rsid w:val="002C1175"/>
    <w:rsid w:val="002C118A"/>
    <w:rsid w:val="002C1C16"/>
    <w:rsid w:val="002C2179"/>
    <w:rsid w:val="002C25E4"/>
    <w:rsid w:val="002C2739"/>
    <w:rsid w:val="002C3CC1"/>
    <w:rsid w:val="002C4465"/>
    <w:rsid w:val="002C5A20"/>
    <w:rsid w:val="002C6826"/>
    <w:rsid w:val="002C7BC1"/>
    <w:rsid w:val="002D07B5"/>
    <w:rsid w:val="002D09C6"/>
    <w:rsid w:val="002D0A34"/>
    <w:rsid w:val="002D1987"/>
    <w:rsid w:val="002D3003"/>
    <w:rsid w:val="002D356E"/>
    <w:rsid w:val="002D47AE"/>
    <w:rsid w:val="002D4C4A"/>
    <w:rsid w:val="002D54A5"/>
    <w:rsid w:val="002D5EB9"/>
    <w:rsid w:val="002D6200"/>
    <w:rsid w:val="002D62B9"/>
    <w:rsid w:val="002D6C72"/>
    <w:rsid w:val="002D6F2B"/>
    <w:rsid w:val="002D72BF"/>
    <w:rsid w:val="002D7837"/>
    <w:rsid w:val="002D7867"/>
    <w:rsid w:val="002E102C"/>
    <w:rsid w:val="002E1381"/>
    <w:rsid w:val="002E1FBD"/>
    <w:rsid w:val="002E20C1"/>
    <w:rsid w:val="002E22AB"/>
    <w:rsid w:val="002E27DC"/>
    <w:rsid w:val="002E357B"/>
    <w:rsid w:val="002E370C"/>
    <w:rsid w:val="002E37C1"/>
    <w:rsid w:val="002E3D3D"/>
    <w:rsid w:val="002E4031"/>
    <w:rsid w:val="002E4551"/>
    <w:rsid w:val="002E4757"/>
    <w:rsid w:val="002E5780"/>
    <w:rsid w:val="002E5CBB"/>
    <w:rsid w:val="002E62E1"/>
    <w:rsid w:val="002E69AE"/>
    <w:rsid w:val="002E704F"/>
    <w:rsid w:val="002E734A"/>
    <w:rsid w:val="002F0C44"/>
    <w:rsid w:val="002F2067"/>
    <w:rsid w:val="002F2643"/>
    <w:rsid w:val="002F29B6"/>
    <w:rsid w:val="002F36E1"/>
    <w:rsid w:val="002F3EC6"/>
    <w:rsid w:val="002F56D0"/>
    <w:rsid w:val="002F656C"/>
    <w:rsid w:val="002F77FD"/>
    <w:rsid w:val="003001ED"/>
    <w:rsid w:val="003014FE"/>
    <w:rsid w:val="0030350B"/>
    <w:rsid w:val="00303C4C"/>
    <w:rsid w:val="00304032"/>
    <w:rsid w:val="00304205"/>
    <w:rsid w:val="00304735"/>
    <w:rsid w:val="00304D6D"/>
    <w:rsid w:val="0030767E"/>
    <w:rsid w:val="00310713"/>
    <w:rsid w:val="00310C03"/>
    <w:rsid w:val="00311BF6"/>
    <w:rsid w:val="003123F5"/>
    <w:rsid w:val="00312963"/>
    <w:rsid w:val="00312CC8"/>
    <w:rsid w:val="00314704"/>
    <w:rsid w:val="003148B4"/>
    <w:rsid w:val="00314BED"/>
    <w:rsid w:val="00314FA1"/>
    <w:rsid w:val="003150E1"/>
    <w:rsid w:val="0031549A"/>
    <w:rsid w:val="003156ED"/>
    <w:rsid w:val="0031631E"/>
    <w:rsid w:val="00316611"/>
    <w:rsid w:val="00316FDE"/>
    <w:rsid w:val="00320B06"/>
    <w:rsid w:val="00320B19"/>
    <w:rsid w:val="0032151C"/>
    <w:rsid w:val="0032204D"/>
    <w:rsid w:val="003229BD"/>
    <w:rsid w:val="00322A76"/>
    <w:rsid w:val="00323B3B"/>
    <w:rsid w:val="0032415C"/>
    <w:rsid w:val="0032446A"/>
    <w:rsid w:val="00325A52"/>
    <w:rsid w:val="003266F4"/>
    <w:rsid w:val="00327E5B"/>
    <w:rsid w:val="00331379"/>
    <w:rsid w:val="003318B1"/>
    <w:rsid w:val="003322D4"/>
    <w:rsid w:val="003322DA"/>
    <w:rsid w:val="003324D5"/>
    <w:rsid w:val="003350A5"/>
    <w:rsid w:val="00335209"/>
    <w:rsid w:val="00335AF5"/>
    <w:rsid w:val="00335D5A"/>
    <w:rsid w:val="00335F62"/>
    <w:rsid w:val="00336495"/>
    <w:rsid w:val="00336C6C"/>
    <w:rsid w:val="00337AD4"/>
    <w:rsid w:val="0034003C"/>
    <w:rsid w:val="0034064D"/>
    <w:rsid w:val="00340C17"/>
    <w:rsid w:val="00340E24"/>
    <w:rsid w:val="00341686"/>
    <w:rsid w:val="00341E48"/>
    <w:rsid w:val="00341ED5"/>
    <w:rsid w:val="00342941"/>
    <w:rsid w:val="00344968"/>
    <w:rsid w:val="00345E0D"/>
    <w:rsid w:val="003468BB"/>
    <w:rsid w:val="00346C0B"/>
    <w:rsid w:val="0034726F"/>
    <w:rsid w:val="00347F77"/>
    <w:rsid w:val="00350C95"/>
    <w:rsid w:val="0035118C"/>
    <w:rsid w:val="00351763"/>
    <w:rsid w:val="003533FD"/>
    <w:rsid w:val="00353A2C"/>
    <w:rsid w:val="00355286"/>
    <w:rsid w:val="0035548E"/>
    <w:rsid w:val="00356B1E"/>
    <w:rsid w:val="0035710E"/>
    <w:rsid w:val="00357357"/>
    <w:rsid w:val="0035776A"/>
    <w:rsid w:val="00357827"/>
    <w:rsid w:val="00360FF6"/>
    <w:rsid w:val="00361AA7"/>
    <w:rsid w:val="00362912"/>
    <w:rsid w:val="0036489D"/>
    <w:rsid w:val="00365765"/>
    <w:rsid w:val="00366472"/>
    <w:rsid w:val="0037075E"/>
    <w:rsid w:val="003708F5"/>
    <w:rsid w:val="00372D8A"/>
    <w:rsid w:val="00372FDF"/>
    <w:rsid w:val="00375924"/>
    <w:rsid w:val="0037618B"/>
    <w:rsid w:val="00376953"/>
    <w:rsid w:val="00377FB2"/>
    <w:rsid w:val="0038002F"/>
    <w:rsid w:val="003805AC"/>
    <w:rsid w:val="00381267"/>
    <w:rsid w:val="003822F3"/>
    <w:rsid w:val="00382BC7"/>
    <w:rsid w:val="00383397"/>
    <w:rsid w:val="00383DBE"/>
    <w:rsid w:val="00384B13"/>
    <w:rsid w:val="00384FF6"/>
    <w:rsid w:val="00387003"/>
    <w:rsid w:val="00387E6A"/>
    <w:rsid w:val="00390F0D"/>
    <w:rsid w:val="00391811"/>
    <w:rsid w:val="00391B7D"/>
    <w:rsid w:val="00391E66"/>
    <w:rsid w:val="003926CE"/>
    <w:rsid w:val="003941BE"/>
    <w:rsid w:val="003942F8"/>
    <w:rsid w:val="00394924"/>
    <w:rsid w:val="00395614"/>
    <w:rsid w:val="00395639"/>
    <w:rsid w:val="00395DFF"/>
    <w:rsid w:val="00396AA6"/>
    <w:rsid w:val="00397019"/>
    <w:rsid w:val="0039733F"/>
    <w:rsid w:val="00397EDD"/>
    <w:rsid w:val="003A104F"/>
    <w:rsid w:val="003A1ACE"/>
    <w:rsid w:val="003A1F5B"/>
    <w:rsid w:val="003A275E"/>
    <w:rsid w:val="003A2E39"/>
    <w:rsid w:val="003A374E"/>
    <w:rsid w:val="003A443A"/>
    <w:rsid w:val="003A4878"/>
    <w:rsid w:val="003A579F"/>
    <w:rsid w:val="003A5CE4"/>
    <w:rsid w:val="003A5DC4"/>
    <w:rsid w:val="003A63D1"/>
    <w:rsid w:val="003A6E78"/>
    <w:rsid w:val="003A7670"/>
    <w:rsid w:val="003B097A"/>
    <w:rsid w:val="003B0A25"/>
    <w:rsid w:val="003B0CEE"/>
    <w:rsid w:val="003B2D50"/>
    <w:rsid w:val="003B352E"/>
    <w:rsid w:val="003B3EB1"/>
    <w:rsid w:val="003B3EC9"/>
    <w:rsid w:val="003B4B8C"/>
    <w:rsid w:val="003B4D25"/>
    <w:rsid w:val="003B5657"/>
    <w:rsid w:val="003B571A"/>
    <w:rsid w:val="003B5C07"/>
    <w:rsid w:val="003B738E"/>
    <w:rsid w:val="003B7650"/>
    <w:rsid w:val="003C07E4"/>
    <w:rsid w:val="003C0BB7"/>
    <w:rsid w:val="003C1B28"/>
    <w:rsid w:val="003C2606"/>
    <w:rsid w:val="003C3233"/>
    <w:rsid w:val="003C398E"/>
    <w:rsid w:val="003C3CBF"/>
    <w:rsid w:val="003C423D"/>
    <w:rsid w:val="003C425C"/>
    <w:rsid w:val="003C4749"/>
    <w:rsid w:val="003C560C"/>
    <w:rsid w:val="003C5927"/>
    <w:rsid w:val="003C6E84"/>
    <w:rsid w:val="003C6FA6"/>
    <w:rsid w:val="003D06AA"/>
    <w:rsid w:val="003D07FA"/>
    <w:rsid w:val="003D351D"/>
    <w:rsid w:val="003D37AE"/>
    <w:rsid w:val="003D395E"/>
    <w:rsid w:val="003D3FE7"/>
    <w:rsid w:val="003D4464"/>
    <w:rsid w:val="003D4A06"/>
    <w:rsid w:val="003D4AF8"/>
    <w:rsid w:val="003D4CDB"/>
    <w:rsid w:val="003D5A3E"/>
    <w:rsid w:val="003D69B8"/>
    <w:rsid w:val="003D703E"/>
    <w:rsid w:val="003E011A"/>
    <w:rsid w:val="003E037A"/>
    <w:rsid w:val="003E0803"/>
    <w:rsid w:val="003E1533"/>
    <w:rsid w:val="003E1708"/>
    <w:rsid w:val="003E2290"/>
    <w:rsid w:val="003E2421"/>
    <w:rsid w:val="003E260D"/>
    <w:rsid w:val="003E30F4"/>
    <w:rsid w:val="003E43B7"/>
    <w:rsid w:val="003E50FB"/>
    <w:rsid w:val="003E52AE"/>
    <w:rsid w:val="003E540C"/>
    <w:rsid w:val="003E5B5A"/>
    <w:rsid w:val="003E5F61"/>
    <w:rsid w:val="003E6294"/>
    <w:rsid w:val="003F0BAB"/>
    <w:rsid w:val="003F1283"/>
    <w:rsid w:val="003F2358"/>
    <w:rsid w:val="003F2FAA"/>
    <w:rsid w:val="003F4D64"/>
    <w:rsid w:val="003F4DE5"/>
    <w:rsid w:val="003F58BD"/>
    <w:rsid w:val="003F5998"/>
    <w:rsid w:val="003F612D"/>
    <w:rsid w:val="003F61A1"/>
    <w:rsid w:val="003F7493"/>
    <w:rsid w:val="003F7938"/>
    <w:rsid w:val="003F7A1B"/>
    <w:rsid w:val="00400CF5"/>
    <w:rsid w:val="00400D5C"/>
    <w:rsid w:val="0040131F"/>
    <w:rsid w:val="004019EE"/>
    <w:rsid w:val="00404ECD"/>
    <w:rsid w:val="00405107"/>
    <w:rsid w:val="0040603C"/>
    <w:rsid w:val="004073E7"/>
    <w:rsid w:val="00407459"/>
    <w:rsid w:val="00407643"/>
    <w:rsid w:val="004103B1"/>
    <w:rsid w:val="004115B7"/>
    <w:rsid w:val="00411849"/>
    <w:rsid w:val="00411B17"/>
    <w:rsid w:val="00412152"/>
    <w:rsid w:val="004126AC"/>
    <w:rsid w:val="004132A0"/>
    <w:rsid w:val="0041373B"/>
    <w:rsid w:val="004146B6"/>
    <w:rsid w:val="00414BFC"/>
    <w:rsid w:val="00414CC1"/>
    <w:rsid w:val="00415018"/>
    <w:rsid w:val="0041664E"/>
    <w:rsid w:val="00416CD6"/>
    <w:rsid w:val="004171A5"/>
    <w:rsid w:val="00417252"/>
    <w:rsid w:val="00417399"/>
    <w:rsid w:val="00417EB9"/>
    <w:rsid w:val="004203C2"/>
    <w:rsid w:val="004204B5"/>
    <w:rsid w:val="00421E54"/>
    <w:rsid w:val="0042200D"/>
    <w:rsid w:val="004221AB"/>
    <w:rsid w:val="00422474"/>
    <w:rsid w:val="00422D26"/>
    <w:rsid w:val="00423131"/>
    <w:rsid w:val="00423C48"/>
    <w:rsid w:val="004244A7"/>
    <w:rsid w:val="00426797"/>
    <w:rsid w:val="00430175"/>
    <w:rsid w:val="00431321"/>
    <w:rsid w:val="00433760"/>
    <w:rsid w:val="004347CA"/>
    <w:rsid w:val="004355B1"/>
    <w:rsid w:val="00435998"/>
    <w:rsid w:val="00435DD0"/>
    <w:rsid w:val="00436551"/>
    <w:rsid w:val="004367BC"/>
    <w:rsid w:val="00437B7B"/>
    <w:rsid w:val="00437E6F"/>
    <w:rsid w:val="00440077"/>
    <w:rsid w:val="004401C0"/>
    <w:rsid w:val="0044089C"/>
    <w:rsid w:val="004408D8"/>
    <w:rsid w:val="00440E4D"/>
    <w:rsid w:val="004415FB"/>
    <w:rsid w:val="00441EBB"/>
    <w:rsid w:val="00441F7C"/>
    <w:rsid w:val="0044226E"/>
    <w:rsid w:val="00442BBD"/>
    <w:rsid w:val="00442C25"/>
    <w:rsid w:val="0044367F"/>
    <w:rsid w:val="004438CE"/>
    <w:rsid w:val="00443A2C"/>
    <w:rsid w:val="00444279"/>
    <w:rsid w:val="00444865"/>
    <w:rsid w:val="00444878"/>
    <w:rsid w:val="0044528E"/>
    <w:rsid w:val="004452FB"/>
    <w:rsid w:val="00445907"/>
    <w:rsid w:val="00445D0B"/>
    <w:rsid w:val="0044638C"/>
    <w:rsid w:val="00446ACC"/>
    <w:rsid w:val="0045002A"/>
    <w:rsid w:val="00450F24"/>
    <w:rsid w:val="00451419"/>
    <w:rsid w:val="0045177E"/>
    <w:rsid w:val="004519A5"/>
    <w:rsid w:val="00452291"/>
    <w:rsid w:val="004522C7"/>
    <w:rsid w:val="0045236B"/>
    <w:rsid w:val="00452ED6"/>
    <w:rsid w:val="00453F11"/>
    <w:rsid w:val="00453F73"/>
    <w:rsid w:val="00454A47"/>
    <w:rsid w:val="00454C7B"/>
    <w:rsid w:val="00454EED"/>
    <w:rsid w:val="00454EFE"/>
    <w:rsid w:val="00455264"/>
    <w:rsid w:val="0045533E"/>
    <w:rsid w:val="00455D18"/>
    <w:rsid w:val="00455D6C"/>
    <w:rsid w:val="00456278"/>
    <w:rsid w:val="00460204"/>
    <w:rsid w:val="00460D9A"/>
    <w:rsid w:val="0046152E"/>
    <w:rsid w:val="00461729"/>
    <w:rsid w:val="00461850"/>
    <w:rsid w:val="004630E1"/>
    <w:rsid w:val="004643C3"/>
    <w:rsid w:val="004646FF"/>
    <w:rsid w:val="00465162"/>
    <w:rsid w:val="00465E81"/>
    <w:rsid w:val="00467805"/>
    <w:rsid w:val="00467FEC"/>
    <w:rsid w:val="004703E4"/>
    <w:rsid w:val="004706D1"/>
    <w:rsid w:val="00471475"/>
    <w:rsid w:val="00471595"/>
    <w:rsid w:val="004728AA"/>
    <w:rsid w:val="00472D24"/>
    <w:rsid w:val="004742C0"/>
    <w:rsid w:val="00476255"/>
    <w:rsid w:val="00476CBC"/>
    <w:rsid w:val="00477201"/>
    <w:rsid w:val="00480057"/>
    <w:rsid w:val="0048007F"/>
    <w:rsid w:val="00480875"/>
    <w:rsid w:val="00480A1F"/>
    <w:rsid w:val="00481D64"/>
    <w:rsid w:val="00481E4F"/>
    <w:rsid w:val="00482E85"/>
    <w:rsid w:val="004839C7"/>
    <w:rsid w:val="00485817"/>
    <w:rsid w:val="00485897"/>
    <w:rsid w:val="00486C9A"/>
    <w:rsid w:val="00487780"/>
    <w:rsid w:val="00490B11"/>
    <w:rsid w:val="00490B53"/>
    <w:rsid w:val="00490C1F"/>
    <w:rsid w:val="004919CB"/>
    <w:rsid w:val="004928AE"/>
    <w:rsid w:val="00492C6E"/>
    <w:rsid w:val="00493D3E"/>
    <w:rsid w:val="00494A60"/>
    <w:rsid w:val="004952AA"/>
    <w:rsid w:val="00496285"/>
    <w:rsid w:val="00496681"/>
    <w:rsid w:val="00496D4F"/>
    <w:rsid w:val="00496FE3"/>
    <w:rsid w:val="004975DD"/>
    <w:rsid w:val="00497A78"/>
    <w:rsid w:val="004A04CA"/>
    <w:rsid w:val="004A1034"/>
    <w:rsid w:val="004A10AB"/>
    <w:rsid w:val="004A1312"/>
    <w:rsid w:val="004A22A3"/>
    <w:rsid w:val="004A2B1E"/>
    <w:rsid w:val="004A2B78"/>
    <w:rsid w:val="004A2F21"/>
    <w:rsid w:val="004A36FB"/>
    <w:rsid w:val="004A3F07"/>
    <w:rsid w:val="004A4A4E"/>
    <w:rsid w:val="004A4DD3"/>
    <w:rsid w:val="004A4E17"/>
    <w:rsid w:val="004A5AF0"/>
    <w:rsid w:val="004A6332"/>
    <w:rsid w:val="004A6F50"/>
    <w:rsid w:val="004A7065"/>
    <w:rsid w:val="004B05F4"/>
    <w:rsid w:val="004B0C3D"/>
    <w:rsid w:val="004B1CAD"/>
    <w:rsid w:val="004B4BD3"/>
    <w:rsid w:val="004B53F8"/>
    <w:rsid w:val="004B5AB0"/>
    <w:rsid w:val="004B5CC1"/>
    <w:rsid w:val="004B74A0"/>
    <w:rsid w:val="004B7734"/>
    <w:rsid w:val="004B791B"/>
    <w:rsid w:val="004B7928"/>
    <w:rsid w:val="004B79EA"/>
    <w:rsid w:val="004B7D62"/>
    <w:rsid w:val="004B7F3A"/>
    <w:rsid w:val="004C23DA"/>
    <w:rsid w:val="004C2991"/>
    <w:rsid w:val="004C4AD9"/>
    <w:rsid w:val="004C5245"/>
    <w:rsid w:val="004C5864"/>
    <w:rsid w:val="004C5A0C"/>
    <w:rsid w:val="004C662B"/>
    <w:rsid w:val="004C6903"/>
    <w:rsid w:val="004C797A"/>
    <w:rsid w:val="004C7B0D"/>
    <w:rsid w:val="004C7E95"/>
    <w:rsid w:val="004D0E25"/>
    <w:rsid w:val="004D284F"/>
    <w:rsid w:val="004D377A"/>
    <w:rsid w:val="004D3A7C"/>
    <w:rsid w:val="004D45D2"/>
    <w:rsid w:val="004D48FF"/>
    <w:rsid w:val="004D59A7"/>
    <w:rsid w:val="004D5F5B"/>
    <w:rsid w:val="004D69F4"/>
    <w:rsid w:val="004D6B57"/>
    <w:rsid w:val="004D719A"/>
    <w:rsid w:val="004D7359"/>
    <w:rsid w:val="004D7430"/>
    <w:rsid w:val="004D791E"/>
    <w:rsid w:val="004E09E3"/>
    <w:rsid w:val="004E10E4"/>
    <w:rsid w:val="004E1874"/>
    <w:rsid w:val="004E306D"/>
    <w:rsid w:val="004E357B"/>
    <w:rsid w:val="004E427D"/>
    <w:rsid w:val="004E4384"/>
    <w:rsid w:val="004E49F3"/>
    <w:rsid w:val="004E4E5F"/>
    <w:rsid w:val="004E4FFF"/>
    <w:rsid w:val="004E5852"/>
    <w:rsid w:val="004E6004"/>
    <w:rsid w:val="004E730D"/>
    <w:rsid w:val="004E7826"/>
    <w:rsid w:val="004F21FA"/>
    <w:rsid w:val="004F30BF"/>
    <w:rsid w:val="004F3441"/>
    <w:rsid w:val="004F3D34"/>
    <w:rsid w:val="005005E6"/>
    <w:rsid w:val="005022A9"/>
    <w:rsid w:val="00502FC2"/>
    <w:rsid w:val="005030D2"/>
    <w:rsid w:val="00503A43"/>
    <w:rsid w:val="00503D60"/>
    <w:rsid w:val="0050416B"/>
    <w:rsid w:val="00505EA0"/>
    <w:rsid w:val="00505F15"/>
    <w:rsid w:val="0050658A"/>
    <w:rsid w:val="005070C6"/>
    <w:rsid w:val="00510946"/>
    <w:rsid w:val="00510953"/>
    <w:rsid w:val="005119CA"/>
    <w:rsid w:val="00511E8A"/>
    <w:rsid w:val="00512E97"/>
    <w:rsid w:val="00512E99"/>
    <w:rsid w:val="005133CA"/>
    <w:rsid w:val="005137D2"/>
    <w:rsid w:val="0051389D"/>
    <w:rsid w:val="00514688"/>
    <w:rsid w:val="00514698"/>
    <w:rsid w:val="005148C5"/>
    <w:rsid w:val="00514BC1"/>
    <w:rsid w:val="0051562C"/>
    <w:rsid w:val="0051583E"/>
    <w:rsid w:val="00515F99"/>
    <w:rsid w:val="0051638B"/>
    <w:rsid w:val="00516DA0"/>
    <w:rsid w:val="00516F58"/>
    <w:rsid w:val="00517C82"/>
    <w:rsid w:val="00520A56"/>
    <w:rsid w:val="00521399"/>
    <w:rsid w:val="00521AD6"/>
    <w:rsid w:val="00522095"/>
    <w:rsid w:val="00522287"/>
    <w:rsid w:val="00522912"/>
    <w:rsid w:val="00522E49"/>
    <w:rsid w:val="005231AC"/>
    <w:rsid w:val="00524163"/>
    <w:rsid w:val="00525064"/>
    <w:rsid w:val="00527070"/>
    <w:rsid w:val="00527336"/>
    <w:rsid w:val="00527605"/>
    <w:rsid w:val="00527C18"/>
    <w:rsid w:val="005309B3"/>
    <w:rsid w:val="00530CD5"/>
    <w:rsid w:val="00530F34"/>
    <w:rsid w:val="005313CD"/>
    <w:rsid w:val="00531F10"/>
    <w:rsid w:val="00532810"/>
    <w:rsid w:val="005337F2"/>
    <w:rsid w:val="00533AB8"/>
    <w:rsid w:val="00534211"/>
    <w:rsid w:val="005342B6"/>
    <w:rsid w:val="005345D4"/>
    <w:rsid w:val="00536393"/>
    <w:rsid w:val="00536442"/>
    <w:rsid w:val="0053737E"/>
    <w:rsid w:val="00537974"/>
    <w:rsid w:val="0054043E"/>
    <w:rsid w:val="005404A7"/>
    <w:rsid w:val="00540E4B"/>
    <w:rsid w:val="00542877"/>
    <w:rsid w:val="00543A72"/>
    <w:rsid w:val="00545F0F"/>
    <w:rsid w:val="0054645F"/>
    <w:rsid w:val="0054794A"/>
    <w:rsid w:val="00547D49"/>
    <w:rsid w:val="00547D6E"/>
    <w:rsid w:val="00551B2A"/>
    <w:rsid w:val="005525BC"/>
    <w:rsid w:val="00553236"/>
    <w:rsid w:val="005547D5"/>
    <w:rsid w:val="00555D34"/>
    <w:rsid w:val="005601C8"/>
    <w:rsid w:val="00561037"/>
    <w:rsid w:val="00561179"/>
    <w:rsid w:val="0056169F"/>
    <w:rsid w:val="00562B24"/>
    <w:rsid w:val="00563228"/>
    <w:rsid w:val="00563329"/>
    <w:rsid w:val="00563C1B"/>
    <w:rsid w:val="0056412B"/>
    <w:rsid w:val="005656B0"/>
    <w:rsid w:val="0056631B"/>
    <w:rsid w:val="00566DD6"/>
    <w:rsid w:val="00566E14"/>
    <w:rsid w:val="00567155"/>
    <w:rsid w:val="0056719E"/>
    <w:rsid w:val="00567B2F"/>
    <w:rsid w:val="00567CFE"/>
    <w:rsid w:val="005704B9"/>
    <w:rsid w:val="0057152C"/>
    <w:rsid w:val="00571580"/>
    <w:rsid w:val="00572330"/>
    <w:rsid w:val="005723C3"/>
    <w:rsid w:val="00572A15"/>
    <w:rsid w:val="00574820"/>
    <w:rsid w:val="005752E1"/>
    <w:rsid w:val="005756D1"/>
    <w:rsid w:val="00576DE2"/>
    <w:rsid w:val="005777AD"/>
    <w:rsid w:val="005812C7"/>
    <w:rsid w:val="00582AB5"/>
    <w:rsid w:val="0058577F"/>
    <w:rsid w:val="00585C80"/>
    <w:rsid w:val="00586A9E"/>
    <w:rsid w:val="00586AC4"/>
    <w:rsid w:val="00586EFF"/>
    <w:rsid w:val="005873A8"/>
    <w:rsid w:val="00587E1F"/>
    <w:rsid w:val="005901D6"/>
    <w:rsid w:val="005904B9"/>
    <w:rsid w:val="00590C56"/>
    <w:rsid w:val="00592916"/>
    <w:rsid w:val="005933E2"/>
    <w:rsid w:val="005939B7"/>
    <w:rsid w:val="00593DD3"/>
    <w:rsid w:val="005976F8"/>
    <w:rsid w:val="00597FE2"/>
    <w:rsid w:val="005A06FA"/>
    <w:rsid w:val="005A28AF"/>
    <w:rsid w:val="005A28E3"/>
    <w:rsid w:val="005A3511"/>
    <w:rsid w:val="005A3B98"/>
    <w:rsid w:val="005A3DFC"/>
    <w:rsid w:val="005A4670"/>
    <w:rsid w:val="005A4E5D"/>
    <w:rsid w:val="005A5201"/>
    <w:rsid w:val="005A5402"/>
    <w:rsid w:val="005A585C"/>
    <w:rsid w:val="005A5FE6"/>
    <w:rsid w:val="005A73BB"/>
    <w:rsid w:val="005A7875"/>
    <w:rsid w:val="005B0736"/>
    <w:rsid w:val="005B0839"/>
    <w:rsid w:val="005B0FA5"/>
    <w:rsid w:val="005B122B"/>
    <w:rsid w:val="005B1858"/>
    <w:rsid w:val="005B1936"/>
    <w:rsid w:val="005B225A"/>
    <w:rsid w:val="005B2F54"/>
    <w:rsid w:val="005B41A0"/>
    <w:rsid w:val="005B4934"/>
    <w:rsid w:val="005B4F0F"/>
    <w:rsid w:val="005B569F"/>
    <w:rsid w:val="005B59D0"/>
    <w:rsid w:val="005B721C"/>
    <w:rsid w:val="005B7285"/>
    <w:rsid w:val="005C038C"/>
    <w:rsid w:val="005C0B54"/>
    <w:rsid w:val="005C1F92"/>
    <w:rsid w:val="005C3ECE"/>
    <w:rsid w:val="005C5F12"/>
    <w:rsid w:val="005C6BF4"/>
    <w:rsid w:val="005D147B"/>
    <w:rsid w:val="005D22CF"/>
    <w:rsid w:val="005D37B4"/>
    <w:rsid w:val="005D381E"/>
    <w:rsid w:val="005D3B4C"/>
    <w:rsid w:val="005D3DB3"/>
    <w:rsid w:val="005D41CC"/>
    <w:rsid w:val="005D4BF2"/>
    <w:rsid w:val="005D4CA0"/>
    <w:rsid w:val="005D4FB8"/>
    <w:rsid w:val="005D69BA"/>
    <w:rsid w:val="005D6CAC"/>
    <w:rsid w:val="005D6F59"/>
    <w:rsid w:val="005D77C5"/>
    <w:rsid w:val="005E067E"/>
    <w:rsid w:val="005E1DC7"/>
    <w:rsid w:val="005E208F"/>
    <w:rsid w:val="005E45EB"/>
    <w:rsid w:val="005E4DEE"/>
    <w:rsid w:val="005E6C45"/>
    <w:rsid w:val="005E6E9E"/>
    <w:rsid w:val="005F00E5"/>
    <w:rsid w:val="005F0886"/>
    <w:rsid w:val="005F0CAC"/>
    <w:rsid w:val="005F1F38"/>
    <w:rsid w:val="005F2604"/>
    <w:rsid w:val="005F2D55"/>
    <w:rsid w:val="005F2F07"/>
    <w:rsid w:val="005F323B"/>
    <w:rsid w:val="005F3EF1"/>
    <w:rsid w:val="005F5245"/>
    <w:rsid w:val="005F52AA"/>
    <w:rsid w:val="005F533F"/>
    <w:rsid w:val="005F6867"/>
    <w:rsid w:val="005F68C8"/>
    <w:rsid w:val="005F6A39"/>
    <w:rsid w:val="005F6F04"/>
    <w:rsid w:val="005F72BD"/>
    <w:rsid w:val="005F7723"/>
    <w:rsid w:val="005F7BD4"/>
    <w:rsid w:val="0060230F"/>
    <w:rsid w:val="006034EF"/>
    <w:rsid w:val="0060396D"/>
    <w:rsid w:val="006041EB"/>
    <w:rsid w:val="0060508C"/>
    <w:rsid w:val="00605375"/>
    <w:rsid w:val="00605C0C"/>
    <w:rsid w:val="006063E6"/>
    <w:rsid w:val="006068F2"/>
    <w:rsid w:val="00607515"/>
    <w:rsid w:val="00607A2A"/>
    <w:rsid w:val="00607C1B"/>
    <w:rsid w:val="0061080E"/>
    <w:rsid w:val="00611349"/>
    <w:rsid w:val="006114E9"/>
    <w:rsid w:val="0061181E"/>
    <w:rsid w:val="00611CBF"/>
    <w:rsid w:val="00612992"/>
    <w:rsid w:val="00612AB9"/>
    <w:rsid w:val="0061326C"/>
    <w:rsid w:val="0061353D"/>
    <w:rsid w:val="00613A06"/>
    <w:rsid w:val="00614215"/>
    <w:rsid w:val="00614666"/>
    <w:rsid w:val="0061488E"/>
    <w:rsid w:val="00616050"/>
    <w:rsid w:val="006220C8"/>
    <w:rsid w:val="00622422"/>
    <w:rsid w:val="006226C3"/>
    <w:rsid w:val="00625189"/>
    <w:rsid w:val="00626EF9"/>
    <w:rsid w:val="006274B8"/>
    <w:rsid w:val="00627EFB"/>
    <w:rsid w:val="00627F93"/>
    <w:rsid w:val="006305BC"/>
    <w:rsid w:val="00631057"/>
    <w:rsid w:val="006315C2"/>
    <w:rsid w:val="00631D14"/>
    <w:rsid w:val="00632759"/>
    <w:rsid w:val="0063302C"/>
    <w:rsid w:val="006334F7"/>
    <w:rsid w:val="006336DE"/>
    <w:rsid w:val="00633BDF"/>
    <w:rsid w:val="00633F49"/>
    <w:rsid w:val="00634888"/>
    <w:rsid w:val="00636B8F"/>
    <w:rsid w:val="00636D83"/>
    <w:rsid w:val="006407DD"/>
    <w:rsid w:val="00640A54"/>
    <w:rsid w:val="00640B5D"/>
    <w:rsid w:val="006412DE"/>
    <w:rsid w:val="00642049"/>
    <w:rsid w:val="0064284F"/>
    <w:rsid w:val="00646008"/>
    <w:rsid w:val="006463FE"/>
    <w:rsid w:val="0064793B"/>
    <w:rsid w:val="00647F74"/>
    <w:rsid w:val="00650549"/>
    <w:rsid w:val="006524E5"/>
    <w:rsid w:val="00652C66"/>
    <w:rsid w:val="00652CEE"/>
    <w:rsid w:val="00653335"/>
    <w:rsid w:val="00653C0D"/>
    <w:rsid w:val="00654239"/>
    <w:rsid w:val="006543CE"/>
    <w:rsid w:val="006546CA"/>
    <w:rsid w:val="00656706"/>
    <w:rsid w:val="00656D23"/>
    <w:rsid w:val="00656DA8"/>
    <w:rsid w:val="00657524"/>
    <w:rsid w:val="00660CDE"/>
    <w:rsid w:val="00660F2A"/>
    <w:rsid w:val="0066140F"/>
    <w:rsid w:val="00661CCE"/>
    <w:rsid w:val="00661DAA"/>
    <w:rsid w:val="006629D8"/>
    <w:rsid w:val="00663425"/>
    <w:rsid w:val="0066394A"/>
    <w:rsid w:val="00663E9A"/>
    <w:rsid w:val="00663F66"/>
    <w:rsid w:val="006647B8"/>
    <w:rsid w:val="00664E6C"/>
    <w:rsid w:val="00664FF8"/>
    <w:rsid w:val="00665073"/>
    <w:rsid w:val="006652F3"/>
    <w:rsid w:val="00665665"/>
    <w:rsid w:val="0066765F"/>
    <w:rsid w:val="006677FA"/>
    <w:rsid w:val="006713C8"/>
    <w:rsid w:val="0067207B"/>
    <w:rsid w:val="0067268A"/>
    <w:rsid w:val="006726FB"/>
    <w:rsid w:val="006742EB"/>
    <w:rsid w:val="006749F3"/>
    <w:rsid w:val="00674AAE"/>
    <w:rsid w:val="0067534A"/>
    <w:rsid w:val="00675C88"/>
    <w:rsid w:val="00676C5C"/>
    <w:rsid w:val="0067750A"/>
    <w:rsid w:val="00681608"/>
    <w:rsid w:val="00682334"/>
    <w:rsid w:val="006828B2"/>
    <w:rsid w:val="00683376"/>
    <w:rsid w:val="00683ED2"/>
    <w:rsid w:val="00684A97"/>
    <w:rsid w:val="006859B6"/>
    <w:rsid w:val="00685A33"/>
    <w:rsid w:val="00685AC3"/>
    <w:rsid w:val="00685EE6"/>
    <w:rsid w:val="00686162"/>
    <w:rsid w:val="00687919"/>
    <w:rsid w:val="00687CE6"/>
    <w:rsid w:val="0069024A"/>
    <w:rsid w:val="00690BCA"/>
    <w:rsid w:val="00691DFB"/>
    <w:rsid w:val="006927E5"/>
    <w:rsid w:val="00692BFA"/>
    <w:rsid w:val="006936CB"/>
    <w:rsid w:val="006946D4"/>
    <w:rsid w:val="00694BB7"/>
    <w:rsid w:val="006962E5"/>
    <w:rsid w:val="00697B40"/>
    <w:rsid w:val="00697D10"/>
    <w:rsid w:val="006A00B2"/>
    <w:rsid w:val="006A0CF6"/>
    <w:rsid w:val="006A12C3"/>
    <w:rsid w:val="006A1758"/>
    <w:rsid w:val="006A332D"/>
    <w:rsid w:val="006A34E8"/>
    <w:rsid w:val="006A3BD9"/>
    <w:rsid w:val="006A3C92"/>
    <w:rsid w:val="006A4289"/>
    <w:rsid w:val="006A43C8"/>
    <w:rsid w:val="006A5442"/>
    <w:rsid w:val="006A57AD"/>
    <w:rsid w:val="006A5868"/>
    <w:rsid w:val="006A59F6"/>
    <w:rsid w:val="006A676E"/>
    <w:rsid w:val="006A7563"/>
    <w:rsid w:val="006A7CAA"/>
    <w:rsid w:val="006B277F"/>
    <w:rsid w:val="006B28DB"/>
    <w:rsid w:val="006B2FB4"/>
    <w:rsid w:val="006B3258"/>
    <w:rsid w:val="006B49CA"/>
    <w:rsid w:val="006B4F9A"/>
    <w:rsid w:val="006B50C9"/>
    <w:rsid w:val="006B5E07"/>
    <w:rsid w:val="006B5F7D"/>
    <w:rsid w:val="006B61F4"/>
    <w:rsid w:val="006B7E27"/>
    <w:rsid w:val="006C1DA9"/>
    <w:rsid w:val="006C23A2"/>
    <w:rsid w:val="006C3B0C"/>
    <w:rsid w:val="006C4096"/>
    <w:rsid w:val="006C5D67"/>
    <w:rsid w:val="006C6703"/>
    <w:rsid w:val="006C783C"/>
    <w:rsid w:val="006D000E"/>
    <w:rsid w:val="006D1007"/>
    <w:rsid w:val="006D15C5"/>
    <w:rsid w:val="006D184B"/>
    <w:rsid w:val="006D1EFA"/>
    <w:rsid w:val="006D3EE4"/>
    <w:rsid w:val="006D5490"/>
    <w:rsid w:val="006D6082"/>
    <w:rsid w:val="006D64B9"/>
    <w:rsid w:val="006D6C1C"/>
    <w:rsid w:val="006D76AC"/>
    <w:rsid w:val="006E038B"/>
    <w:rsid w:val="006E082F"/>
    <w:rsid w:val="006E1046"/>
    <w:rsid w:val="006E231D"/>
    <w:rsid w:val="006E2A97"/>
    <w:rsid w:val="006E2FA7"/>
    <w:rsid w:val="006E3F1D"/>
    <w:rsid w:val="006E4793"/>
    <w:rsid w:val="006E49DC"/>
    <w:rsid w:val="006E4FC5"/>
    <w:rsid w:val="006E543B"/>
    <w:rsid w:val="006E67C1"/>
    <w:rsid w:val="006E7094"/>
    <w:rsid w:val="006E7576"/>
    <w:rsid w:val="006F0333"/>
    <w:rsid w:val="006F092D"/>
    <w:rsid w:val="006F0B98"/>
    <w:rsid w:val="006F125F"/>
    <w:rsid w:val="006F2C88"/>
    <w:rsid w:val="006F3B5B"/>
    <w:rsid w:val="006F46A3"/>
    <w:rsid w:val="006F4BA6"/>
    <w:rsid w:val="006F4DE6"/>
    <w:rsid w:val="006F680F"/>
    <w:rsid w:val="006F69AF"/>
    <w:rsid w:val="006F6F42"/>
    <w:rsid w:val="006F72DA"/>
    <w:rsid w:val="006F7828"/>
    <w:rsid w:val="006F7A5B"/>
    <w:rsid w:val="007005BE"/>
    <w:rsid w:val="00700BC8"/>
    <w:rsid w:val="00701569"/>
    <w:rsid w:val="00701AE3"/>
    <w:rsid w:val="00701D88"/>
    <w:rsid w:val="00702D7B"/>
    <w:rsid w:val="00702D82"/>
    <w:rsid w:val="00703119"/>
    <w:rsid w:val="0070395C"/>
    <w:rsid w:val="00703FA7"/>
    <w:rsid w:val="007043A5"/>
    <w:rsid w:val="007043C5"/>
    <w:rsid w:val="00704580"/>
    <w:rsid w:val="007049E7"/>
    <w:rsid w:val="007056F4"/>
    <w:rsid w:val="007058C2"/>
    <w:rsid w:val="00706595"/>
    <w:rsid w:val="00706D8C"/>
    <w:rsid w:val="00707106"/>
    <w:rsid w:val="0071059D"/>
    <w:rsid w:val="0071166F"/>
    <w:rsid w:val="0071244D"/>
    <w:rsid w:val="007132F8"/>
    <w:rsid w:val="00713D75"/>
    <w:rsid w:val="00714457"/>
    <w:rsid w:val="00714DFE"/>
    <w:rsid w:val="007155E8"/>
    <w:rsid w:val="00715B50"/>
    <w:rsid w:val="00716656"/>
    <w:rsid w:val="00716F6D"/>
    <w:rsid w:val="0071769F"/>
    <w:rsid w:val="0071776F"/>
    <w:rsid w:val="00720756"/>
    <w:rsid w:val="0072157F"/>
    <w:rsid w:val="00722D9C"/>
    <w:rsid w:val="00723451"/>
    <w:rsid w:val="00723494"/>
    <w:rsid w:val="00724DE3"/>
    <w:rsid w:val="0072513B"/>
    <w:rsid w:val="0072579B"/>
    <w:rsid w:val="0072589F"/>
    <w:rsid w:val="007262D3"/>
    <w:rsid w:val="00726490"/>
    <w:rsid w:val="00726845"/>
    <w:rsid w:val="00726ADD"/>
    <w:rsid w:val="00726CC8"/>
    <w:rsid w:val="00731718"/>
    <w:rsid w:val="007321C5"/>
    <w:rsid w:val="00733057"/>
    <w:rsid w:val="00733301"/>
    <w:rsid w:val="0073420E"/>
    <w:rsid w:val="00734486"/>
    <w:rsid w:val="0073479F"/>
    <w:rsid w:val="00734E20"/>
    <w:rsid w:val="00736129"/>
    <w:rsid w:val="007369A9"/>
    <w:rsid w:val="00736FAB"/>
    <w:rsid w:val="007405E0"/>
    <w:rsid w:val="00740E24"/>
    <w:rsid w:val="0074103C"/>
    <w:rsid w:val="00741547"/>
    <w:rsid w:val="007420FD"/>
    <w:rsid w:val="007423A3"/>
    <w:rsid w:val="00742A72"/>
    <w:rsid w:val="0074315C"/>
    <w:rsid w:val="007444FA"/>
    <w:rsid w:val="00744568"/>
    <w:rsid w:val="007445C7"/>
    <w:rsid w:val="0074480A"/>
    <w:rsid w:val="007453C1"/>
    <w:rsid w:val="00746628"/>
    <w:rsid w:val="007467C3"/>
    <w:rsid w:val="00746854"/>
    <w:rsid w:val="00746BF3"/>
    <w:rsid w:val="00746D29"/>
    <w:rsid w:val="00746D4A"/>
    <w:rsid w:val="007471B4"/>
    <w:rsid w:val="00750035"/>
    <w:rsid w:val="0075015A"/>
    <w:rsid w:val="00750527"/>
    <w:rsid w:val="00750A66"/>
    <w:rsid w:val="007538B0"/>
    <w:rsid w:val="007538E3"/>
    <w:rsid w:val="00755718"/>
    <w:rsid w:val="00756EDE"/>
    <w:rsid w:val="00756F4A"/>
    <w:rsid w:val="00757CF4"/>
    <w:rsid w:val="00760693"/>
    <w:rsid w:val="00761C0E"/>
    <w:rsid w:val="00762843"/>
    <w:rsid w:val="00762950"/>
    <w:rsid w:val="007633E9"/>
    <w:rsid w:val="007636E6"/>
    <w:rsid w:val="00764833"/>
    <w:rsid w:val="0076500C"/>
    <w:rsid w:val="0076610A"/>
    <w:rsid w:val="007665D2"/>
    <w:rsid w:val="007667D6"/>
    <w:rsid w:val="00767772"/>
    <w:rsid w:val="00767D4B"/>
    <w:rsid w:val="007703DC"/>
    <w:rsid w:val="00771BA0"/>
    <w:rsid w:val="00771E77"/>
    <w:rsid w:val="00772159"/>
    <w:rsid w:val="00772906"/>
    <w:rsid w:val="00773A85"/>
    <w:rsid w:val="00773E11"/>
    <w:rsid w:val="007746AE"/>
    <w:rsid w:val="00775DB3"/>
    <w:rsid w:val="007772AE"/>
    <w:rsid w:val="00777544"/>
    <w:rsid w:val="00777B3F"/>
    <w:rsid w:val="0078009C"/>
    <w:rsid w:val="00780A68"/>
    <w:rsid w:val="00781A56"/>
    <w:rsid w:val="007828F0"/>
    <w:rsid w:val="007836C3"/>
    <w:rsid w:val="0078456C"/>
    <w:rsid w:val="00784598"/>
    <w:rsid w:val="00785274"/>
    <w:rsid w:val="007862C5"/>
    <w:rsid w:val="00787EB1"/>
    <w:rsid w:val="007900B4"/>
    <w:rsid w:val="00790245"/>
    <w:rsid w:val="00791342"/>
    <w:rsid w:val="007918F8"/>
    <w:rsid w:val="00791FF6"/>
    <w:rsid w:val="0079209D"/>
    <w:rsid w:val="00793188"/>
    <w:rsid w:val="0079339C"/>
    <w:rsid w:val="007935DE"/>
    <w:rsid w:val="00793D9C"/>
    <w:rsid w:val="00794188"/>
    <w:rsid w:val="00794462"/>
    <w:rsid w:val="00795AAE"/>
    <w:rsid w:val="00796934"/>
    <w:rsid w:val="0079736C"/>
    <w:rsid w:val="00797D9C"/>
    <w:rsid w:val="007A07A9"/>
    <w:rsid w:val="007A0A9C"/>
    <w:rsid w:val="007A13FB"/>
    <w:rsid w:val="007A15BC"/>
    <w:rsid w:val="007A1B58"/>
    <w:rsid w:val="007A23F7"/>
    <w:rsid w:val="007A2C50"/>
    <w:rsid w:val="007A318D"/>
    <w:rsid w:val="007A4C93"/>
    <w:rsid w:val="007A5949"/>
    <w:rsid w:val="007A647F"/>
    <w:rsid w:val="007A7565"/>
    <w:rsid w:val="007B18BE"/>
    <w:rsid w:val="007B1CA7"/>
    <w:rsid w:val="007B1F87"/>
    <w:rsid w:val="007B3D92"/>
    <w:rsid w:val="007B436A"/>
    <w:rsid w:val="007B5CA5"/>
    <w:rsid w:val="007B65DE"/>
    <w:rsid w:val="007B6715"/>
    <w:rsid w:val="007B72E9"/>
    <w:rsid w:val="007B781C"/>
    <w:rsid w:val="007C02DC"/>
    <w:rsid w:val="007C097B"/>
    <w:rsid w:val="007C0AD2"/>
    <w:rsid w:val="007C1B50"/>
    <w:rsid w:val="007C306E"/>
    <w:rsid w:val="007C39C3"/>
    <w:rsid w:val="007C4C76"/>
    <w:rsid w:val="007C5AAA"/>
    <w:rsid w:val="007D08AE"/>
    <w:rsid w:val="007D0CDA"/>
    <w:rsid w:val="007D2CA0"/>
    <w:rsid w:val="007D2E71"/>
    <w:rsid w:val="007D383B"/>
    <w:rsid w:val="007D3A43"/>
    <w:rsid w:val="007D4AB7"/>
    <w:rsid w:val="007D55C3"/>
    <w:rsid w:val="007D69ED"/>
    <w:rsid w:val="007D72A1"/>
    <w:rsid w:val="007D7702"/>
    <w:rsid w:val="007D7784"/>
    <w:rsid w:val="007D7CF9"/>
    <w:rsid w:val="007E0A0D"/>
    <w:rsid w:val="007E0A14"/>
    <w:rsid w:val="007E2319"/>
    <w:rsid w:val="007E2D86"/>
    <w:rsid w:val="007E32F5"/>
    <w:rsid w:val="007E44AF"/>
    <w:rsid w:val="007E4D56"/>
    <w:rsid w:val="007E50EC"/>
    <w:rsid w:val="007E5A66"/>
    <w:rsid w:val="007E5E0B"/>
    <w:rsid w:val="007E6B49"/>
    <w:rsid w:val="007E6E8F"/>
    <w:rsid w:val="007E6F21"/>
    <w:rsid w:val="007E6FAF"/>
    <w:rsid w:val="007E7161"/>
    <w:rsid w:val="007E7F52"/>
    <w:rsid w:val="007F02D1"/>
    <w:rsid w:val="007F0410"/>
    <w:rsid w:val="007F0F44"/>
    <w:rsid w:val="007F1224"/>
    <w:rsid w:val="007F14CE"/>
    <w:rsid w:val="007F1AA1"/>
    <w:rsid w:val="007F24B8"/>
    <w:rsid w:val="007F2930"/>
    <w:rsid w:val="007F4E13"/>
    <w:rsid w:val="007F5302"/>
    <w:rsid w:val="007F57EB"/>
    <w:rsid w:val="007F58BB"/>
    <w:rsid w:val="007F6C2D"/>
    <w:rsid w:val="00802962"/>
    <w:rsid w:val="00802AD1"/>
    <w:rsid w:val="00802B26"/>
    <w:rsid w:val="00804A67"/>
    <w:rsid w:val="00804E6F"/>
    <w:rsid w:val="00805511"/>
    <w:rsid w:val="0080554D"/>
    <w:rsid w:val="0080588C"/>
    <w:rsid w:val="00805AA7"/>
    <w:rsid w:val="00805E6B"/>
    <w:rsid w:val="00806431"/>
    <w:rsid w:val="008074E4"/>
    <w:rsid w:val="00807CD2"/>
    <w:rsid w:val="00810A77"/>
    <w:rsid w:val="00811142"/>
    <w:rsid w:val="008118BE"/>
    <w:rsid w:val="008119DB"/>
    <w:rsid w:val="0081255B"/>
    <w:rsid w:val="00812CC4"/>
    <w:rsid w:val="00813106"/>
    <w:rsid w:val="008136C7"/>
    <w:rsid w:val="0081392F"/>
    <w:rsid w:val="00815200"/>
    <w:rsid w:val="008152A3"/>
    <w:rsid w:val="008154B9"/>
    <w:rsid w:val="008174F7"/>
    <w:rsid w:val="008206BE"/>
    <w:rsid w:val="00820DAC"/>
    <w:rsid w:val="00821D69"/>
    <w:rsid w:val="0082305C"/>
    <w:rsid w:val="0082565B"/>
    <w:rsid w:val="00825D21"/>
    <w:rsid w:val="00825F5D"/>
    <w:rsid w:val="008260F2"/>
    <w:rsid w:val="00826206"/>
    <w:rsid w:val="00826553"/>
    <w:rsid w:val="00831253"/>
    <w:rsid w:val="008329B8"/>
    <w:rsid w:val="00834ECE"/>
    <w:rsid w:val="00835840"/>
    <w:rsid w:val="00836C86"/>
    <w:rsid w:val="00840984"/>
    <w:rsid w:val="00842E43"/>
    <w:rsid w:val="008430CE"/>
    <w:rsid w:val="00845A13"/>
    <w:rsid w:val="008467C8"/>
    <w:rsid w:val="008503E0"/>
    <w:rsid w:val="00850F59"/>
    <w:rsid w:val="008518DC"/>
    <w:rsid w:val="00851BFF"/>
    <w:rsid w:val="00852A4F"/>
    <w:rsid w:val="00853F43"/>
    <w:rsid w:val="008558CA"/>
    <w:rsid w:val="00855A8F"/>
    <w:rsid w:val="008561F3"/>
    <w:rsid w:val="008570AF"/>
    <w:rsid w:val="00860760"/>
    <w:rsid w:val="0086085C"/>
    <w:rsid w:val="0086087E"/>
    <w:rsid w:val="00861E1F"/>
    <w:rsid w:val="00862D21"/>
    <w:rsid w:val="00862E91"/>
    <w:rsid w:val="00864520"/>
    <w:rsid w:val="00865197"/>
    <w:rsid w:val="00865FD2"/>
    <w:rsid w:val="00866750"/>
    <w:rsid w:val="008676B0"/>
    <w:rsid w:val="00867953"/>
    <w:rsid w:val="00867C8A"/>
    <w:rsid w:val="00867CF6"/>
    <w:rsid w:val="0087006B"/>
    <w:rsid w:val="00870CA0"/>
    <w:rsid w:val="00870D85"/>
    <w:rsid w:val="0087101E"/>
    <w:rsid w:val="00871351"/>
    <w:rsid w:val="00871AB5"/>
    <w:rsid w:val="008721BC"/>
    <w:rsid w:val="00873033"/>
    <w:rsid w:val="008732A9"/>
    <w:rsid w:val="00874AD7"/>
    <w:rsid w:val="00876C88"/>
    <w:rsid w:val="0087768C"/>
    <w:rsid w:val="00877BCB"/>
    <w:rsid w:val="0088146B"/>
    <w:rsid w:val="00881707"/>
    <w:rsid w:val="00881BC4"/>
    <w:rsid w:val="00883020"/>
    <w:rsid w:val="00883348"/>
    <w:rsid w:val="00885DDF"/>
    <w:rsid w:val="00887E92"/>
    <w:rsid w:val="008902C3"/>
    <w:rsid w:val="008906EA"/>
    <w:rsid w:val="00890CDD"/>
    <w:rsid w:val="00890F5F"/>
    <w:rsid w:val="00891E71"/>
    <w:rsid w:val="008923EC"/>
    <w:rsid w:val="00892667"/>
    <w:rsid w:val="00894877"/>
    <w:rsid w:val="00895192"/>
    <w:rsid w:val="00895C1A"/>
    <w:rsid w:val="008A0003"/>
    <w:rsid w:val="008A2BD6"/>
    <w:rsid w:val="008A42B6"/>
    <w:rsid w:val="008A49D1"/>
    <w:rsid w:val="008A4D03"/>
    <w:rsid w:val="008A561C"/>
    <w:rsid w:val="008A6828"/>
    <w:rsid w:val="008A6F3E"/>
    <w:rsid w:val="008A7114"/>
    <w:rsid w:val="008B0459"/>
    <w:rsid w:val="008B0B29"/>
    <w:rsid w:val="008B2070"/>
    <w:rsid w:val="008B2071"/>
    <w:rsid w:val="008B25C4"/>
    <w:rsid w:val="008B3132"/>
    <w:rsid w:val="008B3313"/>
    <w:rsid w:val="008B374D"/>
    <w:rsid w:val="008B4591"/>
    <w:rsid w:val="008B4981"/>
    <w:rsid w:val="008B4A73"/>
    <w:rsid w:val="008B4FFF"/>
    <w:rsid w:val="008B5077"/>
    <w:rsid w:val="008B5538"/>
    <w:rsid w:val="008B627E"/>
    <w:rsid w:val="008B7A6C"/>
    <w:rsid w:val="008C010D"/>
    <w:rsid w:val="008C0134"/>
    <w:rsid w:val="008C07EE"/>
    <w:rsid w:val="008C08F2"/>
    <w:rsid w:val="008C1488"/>
    <w:rsid w:val="008C15A2"/>
    <w:rsid w:val="008C2AD4"/>
    <w:rsid w:val="008C2D0C"/>
    <w:rsid w:val="008C3A47"/>
    <w:rsid w:val="008C3B2E"/>
    <w:rsid w:val="008C47EC"/>
    <w:rsid w:val="008C4DBF"/>
    <w:rsid w:val="008C58F2"/>
    <w:rsid w:val="008C6EF2"/>
    <w:rsid w:val="008C7917"/>
    <w:rsid w:val="008C7CC8"/>
    <w:rsid w:val="008C7F19"/>
    <w:rsid w:val="008D0C3A"/>
    <w:rsid w:val="008D19E1"/>
    <w:rsid w:val="008D3103"/>
    <w:rsid w:val="008D3540"/>
    <w:rsid w:val="008D3A67"/>
    <w:rsid w:val="008D3C70"/>
    <w:rsid w:val="008D4374"/>
    <w:rsid w:val="008D4E83"/>
    <w:rsid w:val="008D5055"/>
    <w:rsid w:val="008D635E"/>
    <w:rsid w:val="008D6457"/>
    <w:rsid w:val="008D72F3"/>
    <w:rsid w:val="008E0063"/>
    <w:rsid w:val="008E1F30"/>
    <w:rsid w:val="008E211B"/>
    <w:rsid w:val="008E2E83"/>
    <w:rsid w:val="008E348B"/>
    <w:rsid w:val="008E5577"/>
    <w:rsid w:val="008E6578"/>
    <w:rsid w:val="008E65A6"/>
    <w:rsid w:val="008E65EC"/>
    <w:rsid w:val="008E74DD"/>
    <w:rsid w:val="008E76F5"/>
    <w:rsid w:val="008F088E"/>
    <w:rsid w:val="008F0FA6"/>
    <w:rsid w:val="008F1271"/>
    <w:rsid w:val="008F144E"/>
    <w:rsid w:val="008F16A0"/>
    <w:rsid w:val="008F1D6E"/>
    <w:rsid w:val="008F26C1"/>
    <w:rsid w:val="008F2FBD"/>
    <w:rsid w:val="008F56B2"/>
    <w:rsid w:val="008F58D7"/>
    <w:rsid w:val="008F59B6"/>
    <w:rsid w:val="008F6419"/>
    <w:rsid w:val="008F7818"/>
    <w:rsid w:val="008F78D7"/>
    <w:rsid w:val="008F7956"/>
    <w:rsid w:val="009001CB"/>
    <w:rsid w:val="009005DC"/>
    <w:rsid w:val="00900EA3"/>
    <w:rsid w:val="00900F58"/>
    <w:rsid w:val="00900FDC"/>
    <w:rsid w:val="00901048"/>
    <w:rsid w:val="00901F3F"/>
    <w:rsid w:val="0090286A"/>
    <w:rsid w:val="009029CB"/>
    <w:rsid w:val="00903FF0"/>
    <w:rsid w:val="009041A6"/>
    <w:rsid w:val="009048B4"/>
    <w:rsid w:val="00904AF3"/>
    <w:rsid w:val="00905D34"/>
    <w:rsid w:val="00905DA5"/>
    <w:rsid w:val="0090733A"/>
    <w:rsid w:val="009106AC"/>
    <w:rsid w:val="00910CEF"/>
    <w:rsid w:val="009118CA"/>
    <w:rsid w:val="009126BE"/>
    <w:rsid w:val="00912CE3"/>
    <w:rsid w:val="00914541"/>
    <w:rsid w:val="009145FF"/>
    <w:rsid w:val="009147B3"/>
    <w:rsid w:val="00914CEF"/>
    <w:rsid w:val="00914EDA"/>
    <w:rsid w:val="00914F45"/>
    <w:rsid w:val="00914FB8"/>
    <w:rsid w:val="00915D5E"/>
    <w:rsid w:val="00915ED9"/>
    <w:rsid w:val="00916BA0"/>
    <w:rsid w:val="00917133"/>
    <w:rsid w:val="00921889"/>
    <w:rsid w:val="00921908"/>
    <w:rsid w:val="009226E4"/>
    <w:rsid w:val="0092306B"/>
    <w:rsid w:val="00923FA1"/>
    <w:rsid w:val="009249AC"/>
    <w:rsid w:val="00924FAF"/>
    <w:rsid w:val="00925234"/>
    <w:rsid w:val="009259FE"/>
    <w:rsid w:val="00926068"/>
    <w:rsid w:val="00926426"/>
    <w:rsid w:val="0092680D"/>
    <w:rsid w:val="00926BC9"/>
    <w:rsid w:val="009270AB"/>
    <w:rsid w:val="00927744"/>
    <w:rsid w:val="00930BE1"/>
    <w:rsid w:val="00930CE7"/>
    <w:rsid w:val="00931054"/>
    <w:rsid w:val="0093115E"/>
    <w:rsid w:val="009315C8"/>
    <w:rsid w:val="0093173A"/>
    <w:rsid w:val="00931961"/>
    <w:rsid w:val="00931AFE"/>
    <w:rsid w:val="00931CA3"/>
    <w:rsid w:val="00931F59"/>
    <w:rsid w:val="00932115"/>
    <w:rsid w:val="0093366D"/>
    <w:rsid w:val="009339FD"/>
    <w:rsid w:val="00934965"/>
    <w:rsid w:val="00934F17"/>
    <w:rsid w:val="00935A1D"/>
    <w:rsid w:val="009368B8"/>
    <w:rsid w:val="00936D59"/>
    <w:rsid w:val="00937AC6"/>
    <w:rsid w:val="00937EFB"/>
    <w:rsid w:val="00940229"/>
    <w:rsid w:val="00941DD2"/>
    <w:rsid w:val="00943313"/>
    <w:rsid w:val="009446B9"/>
    <w:rsid w:val="009447CC"/>
    <w:rsid w:val="0094481F"/>
    <w:rsid w:val="00945BAD"/>
    <w:rsid w:val="00945E73"/>
    <w:rsid w:val="00946180"/>
    <w:rsid w:val="0094624B"/>
    <w:rsid w:val="00946391"/>
    <w:rsid w:val="0094663D"/>
    <w:rsid w:val="00947247"/>
    <w:rsid w:val="0094753B"/>
    <w:rsid w:val="009501B0"/>
    <w:rsid w:val="00950861"/>
    <w:rsid w:val="009513E4"/>
    <w:rsid w:val="009519D0"/>
    <w:rsid w:val="00951B9C"/>
    <w:rsid w:val="00951FBB"/>
    <w:rsid w:val="00953011"/>
    <w:rsid w:val="0095442F"/>
    <w:rsid w:val="00954E40"/>
    <w:rsid w:val="00955652"/>
    <w:rsid w:val="0095691A"/>
    <w:rsid w:val="00956ECC"/>
    <w:rsid w:val="009605E2"/>
    <w:rsid w:val="00960C3C"/>
    <w:rsid w:val="009617D3"/>
    <w:rsid w:val="0096190F"/>
    <w:rsid w:val="009621E6"/>
    <w:rsid w:val="009630F5"/>
    <w:rsid w:val="0096357F"/>
    <w:rsid w:val="00963935"/>
    <w:rsid w:val="0096456A"/>
    <w:rsid w:val="00965D20"/>
    <w:rsid w:val="009673C6"/>
    <w:rsid w:val="00967DAF"/>
    <w:rsid w:val="00970020"/>
    <w:rsid w:val="009717FA"/>
    <w:rsid w:val="00972D8E"/>
    <w:rsid w:val="00974C52"/>
    <w:rsid w:val="0097509C"/>
    <w:rsid w:val="00975353"/>
    <w:rsid w:val="00975D1D"/>
    <w:rsid w:val="00976103"/>
    <w:rsid w:val="00976140"/>
    <w:rsid w:val="00976BDC"/>
    <w:rsid w:val="00980148"/>
    <w:rsid w:val="009815BB"/>
    <w:rsid w:val="00982786"/>
    <w:rsid w:val="00983DB9"/>
    <w:rsid w:val="00983EE6"/>
    <w:rsid w:val="00984AE5"/>
    <w:rsid w:val="009856BE"/>
    <w:rsid w:val="0098775C"/>
    <w:rsid w:val="00990142"/>
    <w:rsid w:val="00990217"/>
    <w:rsid w:val="0099095C"/>
    <w:rsid w:val="00990B85"/>
    <w:rsid w:val="00990BC2"/>
    <w:rsid w:val="00990E4C"/>
    <w:rsid w:val="009917A8"/>
    <w:rsid w:val="00992F7D"/>
    <w:rsid w:val="00994F51"/>
    <w:rsid w:val="0099576B"/>
    <w:rsid w:val="00997C0C"/>
    <w:rsid w:val="009A0153"/>
    <w:rsid w:val="009A0CC5"/>
    <w:rsid w:val="009A0D21"/>
    <w:rsid w:val="009A14DF"/>
    <w:rsid w:val="009A30F6"/>
    <w:rsid w:val="009A4B83"/>
    <w:rsid w:val="009A5500"/>
    <w:rsid w:val="009A5E0F"/>
    <w:rsid w:val="009A6681"/>
    <w:rsid w:val="009A6A58"/>
    <w:rsid w:val="009A761D"/>
    <w:rsid w:val="009A7B7F"/>
    <w:rsid w:val="009B0788"/>
    <w:rsid w:val="009B2199"/>
    <w:rsid w:val="009B258E"/>
    <w:rsid w:val="009B2593"/>
    <w:rsid w:val="009B47AB"/>
    <w:rsid w:val="009B4BCA"/>
    <w:rsid w:val="009B510C"/>
    <w:rsid w:val="009B5B96"/>
    <w:rsid w:val="009B64D1"/>
    <w:rsid w:val="009B6686"/>
    <w:rsid w:val="009B6CDF"/>
    <w:rsid w:val="009B7052"/>
    <w:rsid w:val="009B79BA"/>
    <w:rsid w:val="009B7A33"/>
    <w:rsid w:val="009C0A42"/>
    <w:rsid w:val="009C1845"/>
    <w:rsid w:val="009C27C0"/>
    <w:rsid w:val="009C35D0"/>
    <w:rsid w:val="009C5FB5"/>
    <w:rsid w:val="009C610B"/>
    <w:rsid w:val="009C610D"/>
    <w:rsid w:val="009C7B4A"/>
    <w:rsid w:val="009D039C"/>
    <w:rsid w:val="009D0EDE"/>
    <w:rsid w:val="009D198E"/>
    <w:rsid w:val="009D201B"/>
    <w:rsid w:val="009D4B21"/>
    <w:rsid w:val="009D67DB"/>
    <w:rsid w:val="009E23F8"/>
    <w:rsid w:val="009E2671"/>
    <w:rsid w:val="009E2A7E"/>
    <w:rsid w:val="009E4416"/>
    <w:rsid w:val="009E46BF"/>
    <w:rsid w:val="009E5C1A"/>
    <w:rsid w:val="009E5DBD"/>
    <w:rsid w:val="009E65F7"/>
    <w:rsid w:val="009E6B12"/>
    <w:rsid w:val="009E7103"/>
    <w:rsid w:val="009E72EC"/>
    <w:rsid w:val="009F07ED"/>
    <w:rsid w:val="009F0C63"/>
    <w:rsid w:val="009F138E"/>
    <w:rsid w:val="009F1D7F"/>
    <w:rsid w:val="009F2CF9"/>
    <w:rsid w:val="009F3544"/>
    <w:rsid w:val="009F370B"/>
    <w:rsid w:val="009F4532"/>
    <w:rsid w:val="009F49AA"/>
    <w:rsid w:val="009F6FA1"/>
    <w:rsid w:val="009F7865"/>
    <w:rsid w:val="00A006CB"/>
    <w:rsid w:val="00A013CB"/>
    <w:rsid w:val="00A01651"/>
    <w:rsid w:val="00A0175C"/>
    <w:rsid w:val="00A04CDD"/>
    <w:rsid w:val="00A04FB5"/>
    <w:rsid w:val="00A05B4D"/>
    <w:rsid w:val="00A05D85"/>
    <w:rsid w:val="00A06AAE"/>
    <w:rsid w:val="00A06DA2"/>
    <w:rsid w:val="00A10A2A"/>
    <w:rsid w:val="00A11559"/>
    <w:rsid w:val="00A1206D"/>
    <w:rsid w:val="00A12AEB"/>
    <w:rsid w:val="00A13EF1"/>
    <w:rsid w:val="00A14B1D"/>
    <w:rsid w:val="00A14EFF"/>
    <w:rsid w:val="00A160A4"/>
    <w:rsid w:val="00A162A7"/>
    <w:rsid w:val="00A17296"/>
    <w:rsid w:val="00A17D75"/>
    <w:rsid w:val="00A17EC8"/>
    <w:rsid w:val="00A17F05"/>
    <w:rsid w:val="00A2034E"/>
    <w:rsid w:val="00A209F9"/>
    <w:rsid w:val="00A223AA"/>
    <w:rsid w:val="00A22CB2"/>
    <w:rsid w:val="00A2303C"/>
    <w:rsid w:val="00A24809"/>
    <w:rsid w:val="00A24A94"/>
    <w:rsid w:val="00A25539"/>
    <w:rsid w:val="00A25AA6"/>
    <w:rsid w:val="00A26586"/>
    <w:rsid w:val="00A272B7"/>
    <w:rsid w:val="00A273A1"/>
    <w:rsid w:val="00A30275"/>
    <w:rsid w:val="00A30405"/>
    <w:rsid w:val="00A30DB1"/>
    <w:rsid w:val="00A30F99"/>
    <w:rsid w:val="00A31583"/>
    <w:rsid w:val="00A32D68"/>
    <w:rsid w:val="00A3303F"/>
    <w:rsid w:val="00A336EE"/>
    <w:rsid w:val="00A340F1"/>
    <w:rsid w:val="00A3460C"/>
    <w:rsid w:val="00A34AEB"/>
    <w:rsid w:val="00A3731B"/>
    <w:rsid w:val="00A4048C"/>
    <w:rsid w:val="00A41670"/>
    <w:rsid w:val="00A4170F"/>
    <w:rsid w:val="00A41B12"/>
    <w:rsid w:val="00A427BF"/>
    <w:rsid w:val="00A43D43"/>
    <w:rsid w:val="00A449DA"/>
    <w:rsid w:val="00A44E9D"/>
    <w:rsid w:val="00A45F60"/>
    <w:rsid w:val="00A460A6"/>
    <w:rsid w:val="00A4631F"/>
    <w:rsid w:val="00A466D6"/>
    <w:rsid w:val="00A46ACF"/>
    <w:rsid w:val="00A476CF"/>
    <w:rsid w:val="00A47D45"/>
    <w:rsid w:val="00A508D2"/>
    <w:rsid w:val="00A50C44"/>
    <w:rsid w:val="00A517A2"/>
    <w:rsid w:val="00A51B58"/>
    <w:rsid w:val="00A51D1B"/>
    <w:rsid w:val="00A52180"/>
    <w:rsid w:val="00A52214"/>
    <w:rsid w:val="00A52537"/>
    <w:rsid w:val="00A52624"/>
    <w:rsid w:val="00A534E2"/>
    <w:rsid w:val="00A538A2"/>
    <w:rsid w:val="00A54570"/>
    <w:rsid w:val="00A5484B"/>
    <w:rsid w:val="00A550AE"/>
    <w:rsid w:val="00A55CEE"/>
    <w:rsid w:val="00A56A02"/>
    <w:rsid w:val="00A56F8E"/>
    <w:rsid w:val="00A579BF"/>
    <w:rsid w:val="00A57C0A"/>
    <w:rsid w:val="00A601AC"/>
    <w:rsid w:val="00A609E1"/>
    <w:rsid w:val="00A60B6E"/>
    <w:rsid w:val="00A610F9"/>
    <w:rsid w:val="00A62935"/>
    <w:rsid w:val="00A62CA6"/>
    <w:rsid w:val="00A64E90"/>
    <w:rsid w:val="00A652BA"/>
    <w:rsid w:val="00A6537C"/>
    <w:rsid w:val="00A66D7D"/>
    <w:rsid w:val="00A67950"/>
    <w:rsid w:val="00A7045E"/>
    <w:rsid w:val="00A70C15"/>
    <w:rsid w:val="00A70F97"/>
    <w:rsid w:val="00A71277"/>
    <w:rsid w:val="00A717B1"/>
    <w:rsid w:val="00A71B0C"/>
    <w:rsid w:val="00A71CE4"/>
    <w:rsid w:val="00A746E9"/>
    <w:rsid w:val="00A74DD4"/>
    <w:rsid w:val="00A7556C"/>
    <w:rsid w:val="00A75A6F"/>
    <w:rsid w:val="00A763C7"/>
    <w:rsid w:val="00A76B50"/>
    <w:rsid w:val="00A76FF6"/>
    <w:rsid w:val="00A774AE"/>
    <w:rsid w:val="00A80D9C"/>
    <w:rsid w:val="00A80EC0"/>
    <w:rsid w:val="00A817C0"/>
    <w:rsid w:val="00A81C85"/>
    <w:rsid w:val="00A8204F"/>
    <w:rsid w:val="00A821E4"/>
    <w:rsid w:val="00A82596"/>
    <w:rsid w:val="00A829A3"/>
    <w:rsid w:val="00A82F4B"/>
    <w:rsid w:val="00A82FAE"/>
    <w:rsid w:val="00A8356A"/>
    <w:rsid w:val="00A83777"/>
    <w:rsid w:val="00A83AEC"/>
    <w:rsid w:val="00A83FEC"/>
    <w:rsid w:val="00A84569"/>
    <w:rsid w:val="00A84DBE"/>
    <w:rsid w:val="00A85582"/>
    <w:rsid w:val="00A85771"/>
    <w:rsid w:val="00A8649B"/>
    <w:rsid w:val="00A86B4A"/>
    <w:rsid w:val="00A86D6F"/>
    <w:rsid w:val="00A86DD8"/>
    <w:rsid w:val="00A87F6E"/>
    <w:rsid w:val="00A9119C"/>
    <w:rsid w:val="00A922FB"/>
    <w:rsid w:val="00A93A7C"/>
    <w:rsid w:val="00A94225"/>
    <w:rsid w:val="00A95005"/>
    <w:rsid w:val="00A96BF7"/>
    <w:rsid w:val="00AA03BA"/>
    <w:rsid w:val="00AA03E8"/>
    <w:rsid w:val="00AA06D5"/>
    <w:rsid w:val="00AA1821"/>
    <w:rsid w:val="00AA199F"/>
    <w:rsid w:val="00AA2082"/>
    <w:rsid w:val="00AA303F"/>
    <w:rsid w:val="00AA3795"/>
    <w:rsid w:val="00AA3C06"/>
    <w:rsid w:val="00AA4672"/>
    <w:rsid w:val="00AA4BB4"/>
    <w:rsid w:val="00AA5420"/>
    <w:rsid w:val="00AA5591"/>
    <w:rsid w:val="00AA6363"/>
    <w:rsid w:val="00AA6960"/>
    <w:rsid w:val="00AA720B"/>
    <w:rsid w:val="00AA7885"/>
    <w:rsid w:val="00AA7A53"/>
    <w:rsid w:val="00AA7C05"/>
    <w:rsid w:val="00AA7CFB"/>
    <w:rsid w:val="00AA7F1B"/>
    <w:rsid w:val="00AB0752"/>
    <w:rsid w:val="00AB08D1"/>
    <w:rsid w:val="00AB0ACA"/>
    <w:rsid w:val="00AB137F"/>
    <w:rsid w:val="00AB1766"/>
    <w:rsid w:val="00AB20D0"/>
    <w:rsid w:val="00AB33D1"/>
    <w:rsid w:val="00AB3854"/>
    <w:rsid w:val="00AB3865"/>
    <w:rsid w:val="00AB447C"/>
    <w:rsid w:val="00AB524A"/>
    <w:rsid w:val="00AB5B38"/>
    <w:rsid w:val="00AB5D6E"/>
    <w:rsid w:val="00AB6336"/>
    <w:rsid w:val="00AB7333"/>
    <w:rsid w:val="00AB7730"/>
    <w:rsid w:val="00AB7B6A"/>
    <w:rsid w:val="00AC062B"/>
    <w:rsid w:val="00AC0CB7"/>
    <w:rsid w:val="00AC104C"/>
    <w:rsid w:val="00AC1A6A"/>
    <w:rsid w:val="00AC300E"/>
    <w:rsid w:val="00AC5072"/>
    <w:rsid w:val="00AC5FBB"/>
    <w:rsid w:val="00AD1A36"/>
    <w:rsid w:val="00AD336E"/>
    <w:rsid w:val="00AD4445"/>
    <w:rsid w:val="00AD4597"/>
    <w:rsid w:val="00AD663A"/>
    <w:rsid w:val="00AD6B0C"/>
    <w:rsid w:val="00AD71AC"/>
    <w:rsid w:val="00AE079E"/>
    <w:rsid w:val="00AE0BC7"/>
    <w:rsid w:val="00AE1436"/>
    <w:rsid w:val="00AE2B08"/>
    <w:rsid w:val="00AE394D"/>
    <w:rsid w:val="00AE4202"/>
    <w:rsid w:val="00AE561E"/>
    <w:rsid w:val="00AE5D86"/>
    <w:rsid w:val="00AE5ECB"/>
    <w:rsid w:val="00AE5EDB"/>
    <w:rsid w:val="00AE62E3"/>
    <w:rsid w:val="00AE65D6"/>
    <w:rsid w:val="00AE6BCA"/>
    <w:rsid w:val="00AE7331"/>
    <w:rsid w:val="00AE76DC"/>
    <w:rsid w:val="00AE79A8"/>
    <w:rsid w:val="00AF0B21"/>
    <w:rsid w:val="00AF1933"/>
    <w:rsid w:val="00AF195D"/>
    <w:rsid w:val="00AF1E4C"/>
    <w:rsid w:val="00AF1EE1"/>
    <w:rsid w:val="00AF25DC"/>
    <w:rsid w:val="00AF3795"/>
    <w:rsid w:val="00AF399D"/>
    <w:rsid w:val="00AF3EEF"/>
    <w:rsid w:val="00AF4111"/>
    <w:rsid w:val="00AF4673"/>
    <w:rsid w:val="00AF4A8A"/>
    <w:rsid w:val="00AF4FFC"/>
    <w:rsid w:val="00AF59B8"/>
    <w:rsid w:val="00AF5B8D"/>
    <w:rsid w:val="00AF5CCD"/>
    <w:rsid w:val="00AF5DE6"/>
    <w:rsid w:val="00AF5E23"/>
    <w:rsid w:val="00AF671B"/>
    <w:rsid w:val="00AF6A14"/>
    <w:rsid w:val="00AF6FA5"/>
    <w:rsid w:val="00B00335"/>
    <w:rsid w:val="00B0048A"/>
    <w:rsid w:val="00B00A13"/>
    <w:rsid w:val="00B00D59"/>
    <w:rsid w:val="00B0328D"/>
    <w:rsid w:val="00B03EEA"/>
    <w:rsid w:val="00B0436A"/>
    <w:rsid w:val="00B049B4"/>
    <w:rsid w:val="00B06B08"/>
    <w:rsid w:val="00B07724"/>
    <w:rsid w:val="00B07F78"/>
    <w:rsid w:val="00B10083"/>
    <w:rsid w:val="00B10680"/>
    <w:rsid w:val="00B10F0E"/>
    <w:rsid w:val="00B11BD3"/>
    <w:rsid w:val="00B1224E"/>
    <w:rsid w:val="00B12CC0"/>
    <w:rsid w:val="00B142BA"/>
    <w:rsid w:val="00B1534C"/>
    <w:rsid w:val="00B1559E"/>
    <w:rsid w:val="00B15B9F"/>
    <w:rsid w:val="00B15D93"/>
    <w:rsid w:val="00B15E29"/>
    <w:rsid w:val="00B1645A"/>
    <w:rsid w:val="00B16CD6"/>
    <w:rsid w:val="00B202FC"/>
    <w:rsid w:val="00B2042D"/>
    <w:rsid w:val="00B20C50"/>
    <w:rsid w:val="00B21E59"/>
    <w:rsid w:val="00B22328"/>
    <w:rsid w:val="00B228CA"/>
    <w:rsid w:val="00B242F1"/>
    <w:rsid w:val="00B24674"/>
    <w:rsid w:val="00B2709E"/>
    <w:rsid w:val="00B27B60"/>
    <w:rsid w:val="00B27CB2"/>
    <w:rsid w:val="00B302B9"/>
    <w:rsid w:val="00B30E96"/>
    <w:rsid w:val="00B31A9F"/>
    <w:rsid w:val="00B31AF3"/>
    <w:rsid w:val="00B3280C"/>
    <w:rsid w:val="00B32E99"/>
    <w:rsid w:val="00B34483"/>
    <w:rsid w:val="00B34600"/>
    <w:rsid w:val="00B3486B"/>
    <w:rsid w:val="00B35038"/>
    <w:rsid w:val="00B3518F"/>
    <w:rsid w:val="00B369E6"/>
    <w:rsid w:val="00B375EA"/>
    <w:rsid w:val="00B37877"/>
    <w:rsid w:val="00B407CB"/>
    <w:rsid w:val="00B40B13"/>
    <w:rsid w:val="00B41B03"/>
    <w:rsid w:val="00B423FC"/>
    <w:rsid w:val="00B42486"/>
    <w:rsid w:val="00B4266D"/>
    <w:rsid w:val="00B440F5"/>
    <w:rsid w:val="00B4460B"/>
    <w:rsid w:val="00B44F22"/>
    <w:rsid w:val="00B45263"/>
    <w:rsid w:val="00B4613A"/>
    <w:rsid w:val="00B4692F"/>
    <w:rsid w:val="00B46B6C"/>
    <w:rsid w:val="00B47FC3"/>
    <w:rsid w:val="00B501C3"/>
    <w:rsid w:val="00B505CA"/>
    <w:rsid w:val="00B5081E"/>
    <w:rsid w:val="00B50979"/>
    <w:rsid w:val="00B50DF9"/>
    <w:rsid w:val="00B512DE"/>
    <w:rsid w:val="00B51348"/>
    <w:rsid w:val="00B519F4"/>
    <w:rsid w:val="00B522D5"/>
    <w:rsid w:val="00B52595"/>
    <w:rsid w:val="00B52E25"/>
    <w:rsid w:val="00B53431"/>
    <w:rsid w:val="00B54B48"/>
    <w:rsid w:val="00B54EAE"/>
    <w:rsid w:val="00B54F72"/>
    <w:rsid w:val="00B5648F"/>
    <w:rsid w:val="00B57546"/>
    <w:rsid w:val="00B6120F"/>
    <w:rsid w:val="00B61CAE"/>
    <w:rsid w:val="00B63ACD"/>
    <w:rsid w:val="00B64633"/>
    <w:rsid w:val="00B64A5D"/>
    <w:rsid w:val="00B64D6D"/>
    <w:rsid w:val="00B65294"/>
    <w:rsid w:val="00B65C08"/>
    <w:rsid w:val="00B70845"/>
    <w:rsid w:val="00B71106"/>
    <w:rsid w:val="00B73111"/>
    <w:rsid w:val="00B74287"/>
    <w:rsid w:val="00B74A4A"/>
    <w:rsid w:val="00B7550A"/>
    <w:rsid w:val="00B75885"/>
    <w:rsid w:val="00B77238"/>
    <w:rsid w:val="00B77823"/>
    <w:rsid w:val="00B81C17"/>
    <w:rsid w:val="00B83956"/>
    <w:rsid w:val="00B83E5F"/>
    <w:rsid w:val="00B8483F"/>
    <w:rsid w:val="00B848E0"/>
    <w:rsid w:val="00B85602"/>
    <w:rsid w:val="00B86F46"/>
    <w:rsid w:val="00B87EFC"/>
    <w:rsid w:val="00B903D5"/>
    <w:rsid w:val="00B928D5"/>
    <w:rsid w:val="00B92934"/>
    <w:rsid w:val="00B94E39"/>
    <w:rsid w:val="00B95048"/>
    <w:rsid w:val="00B960DD"/>
    <w:rsid w:val="00B974CA"/>
    <w:rsid w:val="00B97700"/>
    <w:rsid w:val="00B97CD4"/>
    <w:rsid w:val="00B97D61"/>
    <w:rsid w:val="00BA0F46"/>
    <w:rsid w:val="00BA0FB6"/>
    <w:rsid w:val="00BA1002"/>
    <w:rsid w:val="00BA2841"/>
    <w:rsid w:val="00BA2FFD"/>
    <w:rsid w:val="00BA3176"/>
    <w:rsid w:val="00BA37A6"/>
    <w:rsid w:val="00BA3AA7"/>
    <w:rsid w:val="00BA413A"/>
    <w:rsid w:val="00BA4477"/>
    <w:rsid w:val="00BA5107"/>
    <w:rsid w:val="00BA5E30"/>
    <w:rsid w:val="00BA61F9"/>
    <w:rsid w:val="00BA7696"/>
    <w:rsid w:val="00BB08CC"/>
    <w:rsid w:val="00BB0C27"/>
    <w:rsid w:val="00BB0D91"/>
    <w:rsid w:val="00BB111B"/>
    <w:rsid w:val="00BB2708"/>
    <w:rsid w:val="00BB2B9B"/>
    <w:rsid w:val="00BB4720"/>
    <w:rsid w:val="00BB535C"/>
    <w:rsid w:val="00BB58C9"/>
    <w:rsid w:val="00BB6171"/>
    <w:rsid w:val="00BB6B6E"/>
    <w:rsid w:val="00BB700D"/>
    <w:rsid w:val="00BC012C"/>
    <w:rsid w:val="00BC0A16"/>
    <w:rsid w:val="00BC0B69"/>
    <w:rsid w:val="00BC1070"/>
    <w:rsid w:val="00BC1661"/>
    <w:rsid w:val="00BC1B00"/>
    <w:rsid w:val="00BC2493"/>
    <w:rsid w:val="00BC2ACB"/>
    <w:rsid w:val="00BC2E95"/>
    <w:rsid w:val="00BC31A7"/>
    <w:rsid w:val="00BC44EC"/>
    <w:rsid w:val="00BC4A8A"/>
    <w:rsid w:val="00BC5790"/>
    <w:rsid w:val="00BC6143"/>
    <w:rsid w:val="00BC67D7"/>
    <w:rsid w:val="00BC6C6F"/>
    <w:rsid w:val="00BC738C"/>
    <w:rsid w:val="00BC75CD"/>
    <w:rsid w:val="00BD0C67"/>
    <w:rsid w:val="00BD166C"/>
    <w:rsid w:val="00BD2436"/>
    <w:rsid w:val="00BD2783"/>
    <w:rsid w:val="00BD316F"/>
    <w:rsid w:val="00BD33D0"/>
    <w:rsid w:val="00BD3676"/>
    <w:rsid w:val="00BD4AFA"/>
    <w:rsid w:val="00BD527E"/>
    <w:rsid w:val="00BD5770"/>
    <w:rsid w:val="00BD6F38"/>
    <w:rsid w:val="00BD71A1"/>
    <w:rsid w:val="00BD74BB"/>
    <w:rsid w:val="00BE083A"/>
    <w:rsid w:val="00BE08C1"/>
    <w:rsid w:val="00BE0A51"/>
    <w:rsid w:val="00BE151F"/>
    <w:rsid w:val="00BE1D2F"/>
    <w:rsid w:val="00BE35B0"/>
    <w:rsid w:val="00BE4542"/>
    <w:rsid w:val="00BE4866"/>
    <w:rsid w:val="00BE53CB"/>
    <w:rsid w:val="00BE5AC1"/>
    <w:rsid w:val="00BE5D7D"/>
    <w:rsid w:val="00BE6035"/>
    <w:rsid w:val="00BE6ABA"/>
    <w:rsid w:val="00BE6E0F"/>
    <w:rsid w:val="00BE6EC3"/>
    <w:rsid w:val="00BE7E35"/>
    <w:rsid w:val="00BF0BB7"/>
    <w:rsid w:val="00BF0F4F"/>
    <w:rsid w:val="00BF442C"/>
    <w:rsid w:val="00BF53B7"/>
    <w:rsid w:val="00BF5A82"/>
    <w:rsid w:val="00BF5B35"/>
    <w:rsid w:val="00BF796B"/>
    <w:rsid w:val="00C01A6C"/>
    <w:rsid w:val="00C02635"/>
    <w:rsid w:val="00C03016"/>
    <w:rsid w:val="00C035E8"/>
    <w:rsid w:val="00C0368D"/>
    <w:rsid w:val="00C0386A"/>
    <w:rsid w:val="00C04DE7"/>
    <w:rsid w:val="00C0630C"/>
    <w:rsid w:val="00C06862"/>
    <w:rsid w:val="00C06EA8"/>
    <w:rsid w:val="00C0704C"/>
    <w:rsid w:val="00C070E9"/>
    <w:rsid w:val="00C10497"/>
    <w:rsid w:val="00C10C13"/>
    <w:rsid w:val="00C10DDC"/>
    <w:rsid w:val="00C11157"/>
    <w:rsid w:val="00C11B49"/>
    <w:rsid w:val="00C12290"/>
    <w:rsid w:val="00C1232D"/>
    <w:rsid w:val="00C1309C"/>
    <w:rsid w:val="00C14B27"/>
    <w:rsid w:val="00C15091"/>
    <w:rsid w:val="00C1532A"/>
    <w:rsid w:val="00C158E5"/>
    <w:rsid w:val="00C15C74"/>
    <w:rsid w:val="00C16132"/>
    <w:rsid w:val="00C16524"/>
    <w:rsid w:val="00C166DF"/>
    <w:rsid w:val="00C1672F"/>
    <w:rsid w:val="00C16F8B"/>
    <w:rsid w:val="00C2021D"/>
    <w:rsid w:val="00C20249"/>
    <w:rsid w:val="00C20617"/>
    <w:rsid w:val="00C208FA"/>
    <w:rsid w:val="00C20C2A"/>
    <w:rsid w:val="00C20DCD"/>
    <w:rsid w:val="00C21522"/>
    <w:rsid w:val="00C2226E"/>
    <w:rsid w:val="00C22685"/>
    <w:rsid w:val="00C22F2C"/>
    <w:rsid w:val="00C2332A"/>
    <w:rsid w:val="00C247E0"/>
    <w:rsid w:val="00C24D44"/>
    <w:rsid w:val="00C26CC6"/>
    <w:rsid w:val="00C26D86"/>
    <w:rsid w:val="00C26FD7"/>
    <w:rsid w:val="00C2700F"/>
    <w:rsid w:val="00C271D5"/>
    <w:rsid w:val="00C30115"/>
    <w:rsid w:val="00C30BF3"/>
    <w:rsid w:val="00C30EDE"/>
    <w:rsid w:val="00C3203D"/>
    <w:rsid w:val="00C320AD"/>
    <w:rsid w:val="00C32BB9"/>
    <w:rsid w:val="00C32D1D"/>
    <w:rsid w:val="00C33BAD"/>
    <w:rsid w:val="00C34C62"/>
    <w:rsid w:val="00C34D48"/>
    <w:rsid w:val="00C34D59"/>
    <w:rsid w:val="00C34E2D"/>
    <w:rsid w:val="00C377B9"/>
    <w:rsid w:val="00C37928"/>
    <w:rsid w:val="00C40413"/>
    <w:rsid w:val="00C406C8"/>
    <w:rsid w:val="00C41205"/>
    <w:rsid w:val="00C41317"/>
    <w:rsid w:val="00C41372"/>
    <w:rsid w:val="00C41C14"/>
    <w:rsid w:val="00C44962"/>
    <w:rsid w:val="00C44E81"/>
    <w:rsid w:val="00C45907"/>
    <w:rsid w:val="00C47E32"/>
    <w:rsid w:val="00C516D5"/>
    <w:rsid w:val="00C52379"/>
    <w:rsid w:val="00C529CF"/>
    <w:rsid w:val="00C52F5F"/>
    <w:rsid w:val="00C53CDD"/>
    <w:rsid w:val="00C5432B"/>
    <w:rsid w:val="00C54ADC"/>
    <w:rsid w:val="00C5582C"/>
    <w:rsid w:val="00C562B3"/>
    <w:rsid w:val="00C5794C"/>
    <w:rsid w:val="00C62401"/>
    <w:rsid w:val="00C6247C"/>
    <w:rsid w:val="00C6272E"/>
    <w:rsid w:val="00C6293F"/>
    <w:rsid w:val="00C63635"/>
    <w:rsid w:val="00C63BA4"/>
    <w:rsid w:val="00C64C0A"/>
    <w:rsid w:val="00C64E72"/>
    <w:rsid w:val="00C66173"/>
    <w:rsid w:val="00C66E6F"/>
    <w:rsid w:val="00C66EEE"/>
    <w:rsid w:val="00C70940"/>
    <w:rsid w:val="00C72330"/>
    <w:rsid w:val="00C73AE3"/>
    <w:rsid w:val="00C73D54"/>
    <w:rsid w:val="00C740F1"/>
    <w:rsid w:val="00C7489A"/>
    <w:rsid w:val="00C752F0"/>
    <w:rsid w:val="00C758C9"/>
    <w:rsid w:val="00C75EF8"/>
    <w:rsid w:val="00C7620F"/>
    <w:rsid w:val="00C76829"/>
    <w:rsid w:val="00C7716B"/>
    <w:rsid w:val="00C775E3"/>
    <w:rsid w:val="00C81678"/>
    <w:rsid w:val="00C82D6F"/>
    <w:rsid w:val="00C833BA"/>
    <w:rsid w:val="00C841D1"/>
    <w:rsid w:val="00C84F40"/>
    <w:rsid w:val="00C86B38"/>
    <w:rsid w:val="00C872B9"/>
    <w:rsid w:val="00C90BBB"/>
    <w:rsid w:val="00C91547"/>
    <w:rsid w:val="00C918C7"/>
    <w:rsid w:val="00C91AD2"/>
    <w:rsid w:val="00C9230A"/>
    <w:rsid w:val="00C926D2"/>
    <w:rsid w:val="00C92C32"/>
    <w:rsid w:val="00C939AE"/>
    <w:rsid w:val="00C94162"/>
    <w:rsid w:val="00C945C7"/>
    <w:rsid w:val="00C95FBC"/>
    <w:rsid w:val="00C96A47"/>
    <w:rsid w:val="00C96AAD"/>
    <w:rsid w:val="00C9746A"/>
    <w:rsid w:val="00CA003C"/>
    <w:rsid w:val="00CA04B5"/>
    <w:rsid w:val="00CA0663"/>
    <w:rsid w:val="00CA07E1"/>
    <w:rsid w:val="00CA1192"/>
    <w:rsid w:val="00CA1480"/>
    <w:rsid w:val="00CA17C6"/>
    <w:rsid w:val="00CA20CA"/>
    <w:rsid w:val="00CA24A3"/>
    <w:rsid w:val="00CA2552"/>
    <w:rsid w:val="00CA3525"/>
    <w:rsid w:val="00CA539B"/>
    <w:rsid w:val="00CA6529"/>
    <w:rsid w:val="00CA695A"/>
    <w:rsid w:val="00CA6EA7"/>
    <w:rsid w:val="00CA759A"/>
    <w:rsid w:val="00CA7FD8"/>
    <w:rsid w:val="00CA7FE1"/>
    <w:rsid w:val="00CB040F"/>
    <w:rsid w:val="00CB1845"/>
    <w:rsid w:val="00CB2E4C"/>
    <w:rsid w:val="00CB3696"/>
    <w:rsid w:val="00CB3FDB"/>
    <w:rsid w:val="00CB49CA"/>
    <w:rsid w:val="00CB5077"/>
    <w:rsid w:val="00CB5AC9"/>
    <w:rsid w:val="00CB5F52"/>
    <w:rsid w:val="00CB6AD1"/>
    <w:rsid w:val="00CB7694"/>
    <w:rsid w:val="00CB7B03"/>
    <w:rsid w:val="00CB7D73"/>
    <w:rsid w:val="00CC0372"/>
    <w:rsid w:val="00CC0E9D"/>
    <w:rsid w:val="00CC1A7F"/>
    <w:rsid w:val="00CC1E4E"/>
    <w:rsid w:val="00CC2899"/>
    <w:rsid w:val="00CC363A"/>
    <w:rsid w:val="00CC3F9B"/>
    <w:rsid w:val="00CC5508"/>
    <w:rsid w:val="00CC5D97"/>
    <w:rsid w:val="00CC696F"/>
    <w:rsid w:val="00CC74C7"/>
    <w:rsid w:val="00CC74F0"/>
    <w:rsid w:val="00CC76D9"/>
    <w:rsid w:val="00CD02FF"/>
    <w:rsid w:val="00CD2C2E"/>
    <w:rsid w:val="00CD2EEA"/>
    <w:rsid w:val="00CD301B"/>
    <w:rsid w:val="00CD4EA0"/>
    <w:rsid w:val="00CD6580"/>
    <w:rsid w:val="00CD68EC"/>
    <w:rsid w:val="00CD6E41"/>
    <w:rsid w:val="00CD7122"/>
    <w:rsid w:val="00CD75C3"/>
    <w:rsid w:val="00CD7CAC"/>
    <w:rsid w:val="00CD7F9F"/>
    <w:rsid w:val="00CE0674"/>
    <w:rsid w:val="00CE19FF"/>
    <w:rsid w:val="00CE3BA2"/>
    <w:rsid w:val="00CE3DEA"/>
    <w:rsid w:val="00CE4990"/>
    <w:rsid w:val="00CE67E9"/>
    <w:rsid w:val="00CF0FBB"/>
    <w:rsid w:val="00CF147C"/>
    <w:rsid w:val="00CF3050"/>
    <w:rsid w:val="00CF3D7A"/>
    <w:rsid w:val="00CF47BB"/>
    <w:rsid w:val="00CF5A0A"/>
    <w:rsid w:val="00CF5F3A"/>
    <w:rsid w:val="00CF6873"/>
    <w:rsid w:val="00CF7798"/>
    <w:rsid w:val="00D01375"/>
    <w:rsid w:val="00D01F99"/>
    <w:rsid w:val="00D0294D"/>
    <w:rsid w:val="00D034E0"/>
    <w:rsid w:val="00D038D3"/>
    <w:rsid w:val="00D03B2F"/>
    <w:rsid w:val="00D04A7F"/>
    <w:rsid w:val="00D05128"/>
    <w:rsid w:val="00D052F6"/>
    <w:rsid w:val="00D056AD"/>
    <w:rsid w:val="00D064B7"/>
    <w:rsid w:val="00D0670D"/>
    <w:rsid w:val="00D0682A"/>
    <w:rsid w:val="00D06D41"/>
    <w:rsid w:val="00D10C8F"/>
    <w:rsid w:val="00D117B5"/>
    <w:rsid w:val="00D117D0"/>
    <w:rsid w:val="00D12341"/>
    <w:rsid w:val="00D127C1"/>
    <w:rsid w:val="00D1359D"/>
    <w:rsid w:val="00D157D0"/>
    <w:rsid w:val="00D165E2"/>
    <w:rsid w:val="00D17A16"/>
    <w:rsid w:val="00D17CDD"/>
    <w:rsid w:val="00D2120C"/>
    <w:rsid w:val="00D212AE"/>
    <w:rsid w:val="00D2216C"/>
    <w:rsid w:val="00D22825"/>
    <w:rsid w:val="00D2307B"/>
    <w:rsid w:val="00D23DA4"/>
    <w:rsid w:val="00D243AB"/>
    <w:rsid w:val="00D2441D"/>
    <w:rsid w:val="00D251AD"/>
    <w:rsid w:val="00D252A8"/>
    <w:rsid w:val="00D2534E"/>
    <w:rsid w:val="00D26903"/>
    <w:rsid w:val="00D26BCE"/>
    <w:rsid w:val="00D27B28"/>
    <w:rsid w:val="00D27E4E"/>
    <w:rsid w:val="00D27F7C"/>
    <w:rsid w:val="00D30421"/>
    <w:rsid w:val="00D30A4A"/>
    <w:rsid w:val="00D32CD3"/>
    <w:rsid w:val="00D34C02"/>
    <w:rsid w:val="00D35753"/>
    <w:rsid w:val="00D3627A"/>
    <w:rsid w:val="00D36888"/>
    <w:rsid w:val="00D37B3B"/>
    <w:rsid w:val="00D37D9B"/>
    <w:rsid w:val="00D4023B"/>
    <w:rsid w:val="00D40D7E"/>
    <w:rsid w:val="00D40E12"/>
    <w:rsid w:val="00D40EDC"/>
    <w:rsid w:val="00D4517C"/>
    <w:rsid w:val="00D4557C"/>
    <w:rsid w:val="00D4581D"/>
    <w:rsid w:val="00D4599E"/>
    <w:rsid w:val="00D45CE3"/>
    <w:rsid w:val="00D46112"/>
    <w:rsid w:val="00D46B9D"/>
    <w:rsid w:val="00D47730"/>
    <w:rsid w:val="00D50141"/>
    <w:rsid w:val="00D51114"/>
    <w:rsid w:val="00D51A9D"/>
    <w:rsid w:val="00D527E4"/>
    <w:rsid w:val="00D52C6A"/>
    <w:rsid w:val="00D53C4A"/>
    <w:rsid w:val="00D53F1E"/>
    <w:rsid w:val="00D553F9"/>
    <w:rsid w:val="00D55669"/>
    <w:rsid w:val="00D55888"/>
    <w:rsid w:val="00D56E88"/>
    <w:rsid w:val="00D57E75"/>
    <w:rsid w:val="00D57ED3"/>
    <w:rsid w:val="00D6049F"/>
    <w:rsid w:val="00D60D56"/>
    <w:rsid w:val="00D60E46"/>
    <w:rsid w:val="00D61164"/>
    <w:rsid w:val="00D615DF"/>
    <w:rsid w:val="00D61CDB"/>
    <w:rsid w:val="00D62D7E"/>
    <w:rsid w:val="00D62F0A"/>
    <w:rsid w:val="00D632B2"/>
    <w:rsid w:val="00D633B0"/>
    <w:rsid w:val="00D63519"/>
    <w:rsid w:val="00D63ED5"/>
    <w:rsid w:val="00D640F7"/>
    <w:rsid w:val="00D65320"/>
    <w:rsid w:val="00D65345"/>
    <w:rsid w:val="00D66164"/>
    <w:rsid w:val="00D66DDF"/>
    <w:rsid w:val="00D676A3"/>
    <w:rsid w:val="00D676BA"/>
    <w:rsid w:val="00D678E2"/>
    <w:rsid w:val="00D701F0"/>
    <w:rsid w:val="00D70FA2"/>
    <w:rsid w:val="00D72A55"/>
    <w:rsid w:val="00D72EBC"/>
    <w:rsid w:val="00D73066"/>
    <w:rsid w:val="00D73181"/>
    <w:rsid w:val="00D7397C"/>
    <w:rsid w:val="00D73A01"/>
    <w:rsid w:val="00D753CB"/>
    <w:rsid w:val="00D75D10"/>
    <w:rsid w:val="00D75F7F"/>
    <w:rsid w:val="00D76D84"/>
    <w:rsid w:val="00D771B9"/>
    <w:rsid w:val="00D77A24"/>
    <w:rsid w:val="00D77BA7"/>
    <w:rsid w:val="00D81FD3"/>
    <w:rsid w:val="00D8211E"/>
    <w:rsid w:val="00D82C46"/>
    <w:rsid w:val="00D838DD"/>
    <w:rsid w:val="00D83AC8"/>
    <w:rsid w:val="00D8478E"/>
    <w:rsid w:val="00D84D32"/>
    <w:rsid w:val="00D85FDB"/>
    <w:rsid w:val="00D86378"/>
    <w:rsid w:val="00D866EF"/>
    <w:rsid w:val="00D900DA"/>
    <w:rsid w:val="00D9028A"/>
    <w:rsid w:val="00D914E3"/>
    <w:rsid w:val="00D92194"/>
    <w:rsid w:val="00D9246B"/>
    <w:rsid w:val="00D9247B"/>
    <w:rsid w:val="00D92F20"/>
    <w:rsid w:val="00D9397F"/>
    <w:rsid w:val="00D93B48"/>
    <w:rsid w:val="00D949B6"/>
    <w:rsid w:val="00D94DE6"/>
    <w:rsid w:val="00D94FB9"/>
    <w:rsid w:val="00D952AB"/>
    <w:rsid w:val="00D97743"/>
    <w:rsid w:val="00DA0568"/>
    <w:rsid w:val="00DA1C08"/>
    <w:rsid w:val="00DA2011"/>
    <w:rsid w:val="00DA223D"/>
    <w:rsid w:val="00DA2735"/>
    <w:rsid w:val="00DA2936"/>
    <w:rsid w:val="00DA2CF2"/>
    <w:rsid w:val="00DA405B"/>
    <w:rsid w:val="00DA4BDE"/>
    <w:rsid w:val="00DA4DFA"/>
    <w:rsid w:val="00DA4E46"/>
    <w:rsid w:val="00DA5024"/>
    <w:rsid w:val="00DA6FC7"/>
    <w:rsid w:val="00DA7AFA"/>
    <w:rsid w:val="00DB096A"/>
    <w:rsid w:val="00DB0DD5"/>
    <w:rsid w:val="00DB1922"/>
    <w:rsid w:val="00DB2A0B"/>
    <w:rsid w:val="00DB2F87"/>
    <w:rsid w:val="00DB385C"/>
    <w:rsid w:val="00DB39F3"/>
    <w:rsid w:val="00DB414E"/>
    <w:rsid w:val="00DB4AEE"/>
    <w:rsid w:val="00DB55B3"/>
    <w:rsid w:val="00DB6F9B"/>
    <w:rsid w:val="00DB75D2"/>
    <w:rsid w:val="00DB7CAB"/>
    <w:rsid w:val="00DC0CB0"/>
    <w:rsid w:val="00DC2914"/>
    <w:rsid w:val="00DC2EC0"/>
    <w:rsid w:val="00DC312D"/>
    <w:rsid w:val="00DC3483"/>
    <w:rsid w:val="00DC3D35"/>
    <w:rsid w:val="00DC4544"/>
    <w:rsid w:val="00DC4DBE"/>
    <w:rsid w:val="00DC51F8"/>
    <w:rsid w:val="00DC57DE"/>
    <w:rsid w:val="00DC5F28"/>
    <w:rsid w:val="00DC7032"/>
    <w:rsid w:val="00DC7502"/>
    <w:rsid w:val="00DC7E37"/>
    <w:rsid w:val="00DD0BAB"/>
    <w:rsid w:val="00DD13D3"/>
    <w:rsid w:val="00DD1D71"/>
    <w:rsid w:val="00DD2120"/>
    <w:rsid w:val="00DD2655"/>
    <w:rsid w:val="00DD375D"/>
    <w:rsid w:val="00DD3D49"/>
    <w:rsid w:val="00DD5619"/>
    <w:rsid w:val="00DD6AAA"/>
    <w:rsid w:val="00DD7206"/>
    <w:rsid w:val="00DD7A3F"/>
    <w:rsid w:val="00DD7C99"/>
    <w:rsid w:val="00DE0649"/>
    <w:rsid w:val="00DE0BB0"/>
    <w:rsid w:val="00DE0BC3"/>
    <w:rsid w:val="00DE1265"/>
    <w:rsid w:val="00DE1E04"/>
    <w:rsid w:val="00DE25FE"/>
    <w:rsid w:val="00DE4032"/>
    <w:rsid w:val="00DE532F"/>
    <w:rsid w:val="00DE59B4"/>
    <w:rsid w:val="00DE6832"/>
    <w:rsid w:val="00DE6E4F"/>
    <w:rsid w:val="00DE7DCB"/>
    <w:rsid w:val="00DF1418"/>
    <w:rsid w:val="00DF31D4"/>
    <w:rsid w:val="00DF346D"/>
    <w:rsid w:val="00DF3C6F"/>
    <w:rsid w:val="00DF3D70"/>
    <w:rsid w:val="00DF5B08"/>
    <w:rsid w:val="00DF5F16"/>
    <w:rsid w:val="00DF6139"/>
    <w:rsid w:val="00DF6819"/>
    <w:rsid w:val="00E00849"/>
    <w:rsid w:val="00E00D23"/>
    <w:rsid w:val="00E014E0"/>
    <w:rsid w:val="00E020EE"/>
    <w:rsid w:val="00E026A3"/>
    <w:rsid w:val="00E026EA"/>
    <w:rsid w:val="00E028A1"/>
    <w:rsid w:val="00E02E98"/>
    <w:rsid w:val="00E0315E"/>
    <w:rsid w:val="00E03406"/>
    <w:rsid w:val="00E03D27"/>
    <w:rsid w:val="00E0622C"/>
    <w:rsid w:val="00E0695C"/>
    <w:rsid w:val="00E069FA"/>
    <w:rsid w:val="00E0721A"/>
    <w:rsid w:val="00E07612"/>
    <w:rsid w:val="00E07B04"/>
    <w:rsid w:val="00E1182C"/>
    <w:rsid w:val="00E126A5"/>
    <w:rsid w:val="00E126D1"/>
    <w:rsid w:val="00E13318"/>
    <w:rsid w:val="00E1567A"/>
    <w:rsid w:val="00E15916"/>
    <w:rsid w:val="00E175FA"/>
    <w:rsid w:val="00E21527"/>
    <w:rsid w:val="00E21834"/>
    <w:rsid w:val="00E22700"/>
    <w:rsid w:val="00E22B98"/>
    <w:rsid w:val="00E2310C"/>
    <w:rsid w:val="00E235C2"/>
    <w:rsid w:val="00E23D50"/>
    <w:rsid w:val="00E23F1C"/>
    <w:rsid w:val="00E2547E"/>
    <w:rsid w:val="00E254F1"/>
    <w:rsid w:val="00E25E80"/>
    <w:rsid w:val="00E26BE2"/>
    <w:rsid w:val="00E27255"/>
    <w:rsid w:val="00E27B25"/>
    <w:rsid w:val="00E27EA6"/>
    <w:rsid w:val="00E3034D"/>
    <w:rsid w:val="00E30DE7"/>
    <w:rsid w:val="00E31268"/>
    <w:rsid w:val="00E314B4"/>
    <w:rsid w:val="00E3273B"/>
    <w:rsid w:val="00E32D66"/>
    <w:rsid w:val="00E32EC2"/>
    <w:rsid w:val="00E32FFE"/>
    <w:rsid w:val="00E331E7"/>
    <w:rsid w:val="00E34C5D"/>
    <w:rsid w:val="00E34DDA"/>
    <w:rsid w:val="00E35EA6"/>
    <w:rsid w:val="00E362CB"/>
    <w:rsid w:val="00E36661"/>
    <w:rsid w:val="00E36D67"/>
    <w:rsid w:val="00E36F1C"/>
    <w:rsid w:val="00E400AA"/>
    <w:rsid w:val="00E40563"/>
    <w:rsid w:val="00E409D4"/>
    <w:rsid w:val="00E40D14"/>
    <w:rsid w:val="00E412D3"/>
    <w:rsid w:val="00E42CA4"/>
    <w:rsid w:val="00E42DF4"/>
    <w:rsid w:val="00E42EEE"/>
    <w:rsid w:val="00E4365F"/>
    <w:rsid w:val="00E442AF"/>
    <w:rsid w:val="00E44E49"/>
    <w:rsid w:val="00E44F32"/>
    <w:rsid w:val="00E45463"/>
    <w:rsid w:val="00E45D3C"/>
    <w:rsid w:val="00E474B2"/>
    <w:rsid w:val="00E47ACE"/>
    <w:rsid w:val="00E506F0"/>
    <w:rsid w:val="00E50B64"/>
    <w:rsid w:val="00E510AE"/>
    <w:rsid w:val="00E52A3B"/>
    <w:rsid w:val="00E52D98"/>
    <w:rsid w:val="00E5326A"/>
    <w:rsid w:val="00E546E2"/>
    <w:rsid w:val="00E54AB9"/>
    <w:rsid w:val="00E5623B"/>
    <w:rsid w:val="00E56F6C"/>
    <w:rsid w:val="00E57139"/>
    <w:rsid w:val="00E60204"/>
    <w:rsid w:val="00E6169C"/>
    <w:rsid w:val="00E61A2C"/>
    <w:rsid w:val="00E61A4F"/>
    <w:rsid w:val="00E62395"/>
    <w:rsid w:val="00E627BE"/>
    <w:rsid w:val="00E64825"/>
    <w:rsid w:val="00E64B2F"/>
    <w:rsid w:val="00E64EAD"/>
    <w:rsid w:val="00E650AA"/>
    <w:rsid w:val="00E65E0E"/>
    <w:rsid w:val="00E670B4"/>
    <w:rsid w:val="00E67A8F"/>
    <w:rsid w:val="00E67DA7"/>
    <w:rsid w:val="00E67FD8"/>
    <w:rsid w:val="00E707F5"/>
    <w:rsid w:val="00E70966"/>
    <w:rsid w:val="00E71C33"/>
    <w:rsid w:val="00E71F8C"/>
    <w:rsid w:val="00E72E3B"/>
    <w:rsid w:val="00E75036"/>
    <w:rsid w:val="00E75EE6"/>
    <w:rsid w:val="00E77A83"/>
    <w:rsid w:val="00E8076E"/>
    <w:rsid w:val="00E80F2D"/>
    <w:rsid w:val="00E81049"/>
    <w:rsid w:val="00E8266C"/>
    <w:rsid w:val="00E82702"/>
    <w:rsid w:val="00E839CD"/>
    <w:rsid w:val="00E84490"/>
    <w:rsid w:val="00E84A4F"/>
    <w:rsid w:val="00E85439"/>
    <w:rsid w:val="00E85469"/>
    <w:rsid w:val="00E85A8F"/>
    <w:rsid w:val="00E864B1"/>
    <w:rsid w:val="00E86DF3"/>
    <w:rsid w:val="00E877ED"/>
    <w:rsid w:val="00E90A49"/>
    <w:rsid w:val="00E90BE6"/>
    <w:rsid w:val="00E910F9"/>
    <w:rsid w:val="00E9197F"/>
    <w:rsid w:val="00E93641"/>
    <w:rsid w:val="00E939C4"/>
    <w:rsid w:val="00E93C2F"/>
    <w:rsid w:val="00E93D1A"/>
    <w:rsid w:val="00E948E8"/>
    <w:rsid w:val="00E9675F"/>
    <w:rsid w:val="00E96987"/>
    <w:rsid w:val="00E9723A"/>
    <w:rsid w:val="00E97D92"/>
    <w:rsid w:val="00E97F8C"/>
    <w:rsid w:val="00EA0A2F"/>
    <w:rsid w:val="00EA1AD8"/>
    <w:rsid w:val="00EA25A4"/>
    <w:rsid w:val="00EA3A0E"/>
    <w:rsid w:val="00EA5D67"/>
    <w:rsid w:val="00EA6B62"/>
    <w:rsid w:val="00EA6C2F"/>
    <w:rsid w:val="00EA6D80"/>
    <w:rsid w:val="00EA762F"/>
    <w:rsid w:val="00EB15F3"/>
    <w:rsid w:val="00EB2A4A"/>
    <w:rsid w:val="00EB2C59"/>
    <w:rsid w:val="00EB3E19"/>
    <w:rsid w:val="00EB4FFD"/>
    <w:rsid w:val="00EB5008"/>
    <w:rsid w:val="00EB5172"/>
    <w:rsid w:val="00EB543A"/>
    <w:rsid w:val="00EB5BAD"/>
    <w:rsid w:val="00EB6A0A"/>
    <w:rsid w:val="00EB6C31"/>
    <w:rsid w:val="00EB7304"/>
    <w:rsid w:val="00EB745F"/>
    <w:rsid w:val="00EB7761"/>
    <w:rsid w:val="00EB77D1"/>
    <w:rsid w:val="00EC0132"/>
    <w:rsid w:val="00EC078F"/>
    <w:rsid w:val="00EC08EA"/>
    <w:rsid w:val="00EC2DF4"/>
    <w:rsid w:val="00EC4C61"/>
    <w:rsid w:val="00EC4FDB"/>
    <w:rsid w:val="00EC5D24"/>
    <w:rsid w:val="00EC628E"/>
    <w:rsid w:val="00EC6E9B"/>
    <w:rsid w:val="00EC6E9D"/>
    <w:rsid w:val="00EC77A3"/>
    <w:rsid w:val="00EC7C50"/>
    <w:rsid w:val="00ED1255"/>
    <w:rsid w:val="00ED22F4"/>
    <w:rsid w:val="00ED4264"/>
    <w:rsid w:val="00ED4A83"/>
    <w:rsid w:val="00ED53FA"/>
    <w:rsid w:val="00ED59A1"/>
    <w:rsid w:val="00ED59CD"/>
    <w:rsid w:val="00ED67E7"/>
    <w:rsid w:val="00ED7429"/>
    <w:rsid w:val="00ED7DE0"/>
    <w:rsid w:val="00EE09CC"/>
    <w:rsid w:val="00EE10B7"/>
    <w:rsid w:val="00EE140F"/>
    <w:rsid w:val="00EE169C"/>
    <w:rsid w:val="00EE1B6A"/>
    <w:rsid w:val="00EE2C8C"/>
    <w:rsid w:val="00EE2D7B"/>
    <w:rsid w:val="00EE39FA"/>
    <w:rsid w:val="00EE52B0"/>
    <w:rsid w:val="00EE782F"/>
    <w:rsid w:val="00EF0059"/>
    <w:rsid w:val="00EF0A4C"/>
    <w:rsid w:val="00EF0D6A"/>
    <w:rsid w:val="00EF1CE4"/>
    <w:rsid w:val="00EF1E01"/>
    <w:rsid w:val="00EF38D1"/>
    <w:rsid w:val="00EF38FE"/>
    <w:rsid w:val="00EF4A72"/>
    <w:rsid w:val="00EF5BED"/>
    <w:rsid w:val="00EF6369"/>
    <w:rsid w:val="00EF6BF3"/>
    <w:rsid w:val="00EF6CFB"/>
    <w:rsid w:val="00EF7242"/>
    <w:rsid w:val="00EF7FEB"/>
    <w:rsid w:val="00F00A14"/>
    <w:rsid w:val="00F01BFC"/>
    <w:rsid w:val="00F03187"/>
    <w:rsid w:val="00F03723"/>
    <w:rsid w:val="00F03CED"/>
    <w:rsid w:val="00F04AC5"/>
    <w:rsid w:val="00F0557A"/>
    <w:rsid w:val="00F05A35"/>
    <w:rsid w:val="00F05C88"/>
    <w:rsid w:val="00F0680E"/>
    <w:rsid w:val="00F06FFA"/>
    <w:rsid w:val="00F070D2"/>
    <w:rsid w:val="00F079E1"/>
    <w:rsid w:val="00F102F6"/>
    <w:rsid w:val="00F1035F"/>
    <w:rsid w:val="00F103CF"/>
    <w:rsid w:val="00F1097B"/>
    <w:rsid w:val="00F11E09"/>
    <w:rsid w:val="00F1296A"/>
    <w:rsid w:val="00F12F43"/>
    <w:rsid w:val="00F138D9"/>
    <w:rsid w:val="00F149CD"/>
    <w:rsid w:val="00F14A0E"/>
    <w:rsid w:val="00F14F71"/>
    <w:rsid w:val="00F16157"/>
    <w:rsid w:val="00F16621"/>
    <w:rsid w:val="00F1735E"/>
    <w:rsid w:val="00F21559"/>
    <w:rsid w:val="00F21B76"/>
    <w:rsid w:val="00F2208D"/>
    <w:rsid w:val="00F229C1"/>
    <w:rsid w:val="00F232E8"/>
    <w:rsid w:val="00F242E9"/>
    <w:rsid w:val="00F24DB6"/>
    <w:rsid w:val="00F2548B"/>
    <w:rsid w:val="00F27493"/>
    <w:rsid w:val="00F27B53"/>
    <w:rsid w:val="00F3052A"/>
    <w:rsid w:val="00F30F70"/>
    <w:rsid w:val="00F31971"/>
    <w:rsid w:val="00F322FE"/>
    <w:rsid w:val="00F327A1"/>
    <w:rsid w:val="00F32EB3"/>
    <w:rsid w:val="00F33194"/>
    <w:rsid w:val="00F33392"/>
    <w:rsid w:val="00F33841"/>
    <w:rsid w:val="00F33ECF"/>
    <w:rsid w:val="00F34072"/>
    <w:rsid w:val="00F342E2"/>
    <w:rsid w:val="00F347DE"/>
    <w:rsid w:val="00F35291"/>
    <w:rsid w:val="00F3620B"/>
    <w:rsid w:val="00F375DE"/>
    <w:rsid w:val="00F37E17"/>
    <w:rsid w:val="00F41A74"/>
    <w:rsid w:val="00F43705"/>
    <w:rsid w:val="00F43B3E"/>
    <w:rsid w:val="00F440B3"/>
    <w:rsid w:val="00F442F7"/>
    <w:rsid w:val="00F451DD"/>
    <w:rsid w:val="00F4600B"/>
    <w:rsid w:val="00F46473"/>
    <w:rsid w:val="00F46EE0"/>
    <w:rsid w:val="00F473B9"/>
    <w:rsid w:val="00F47A50"/>
    <w:rsid w:val="00F47C73"/>
    <w:rsid w:val="00F5071D"/>
    <w:rsid w:val="00F51BB6"/>
    <w:rsid w:val="00F51C19"/>
    <w:rsid w:val="00F529BE"/>
    <w:rsid w:val="00F53D72"/>
    <w:rsid w:val="00F54936"/>
    <w:rsid w:val="00F55E50"/>
    <w:rsid w:val="00F57830"/>
    <w:rsid w:val="00F57914"/>
    <w:rsid w:val="00F57CC9"/>
    <w:rsid w:val="00F607CA"/>
    <w:rsid w:val="00F6099D"/>
    <w:rsid w:val="00F60BE5"/>
    <w:rsid w:val="00F633A2"/>
    <w:rsid w:val="00F6387B"/>
    <w:rsid w:val="00F63D89"/>
    <w:rsid w:val="00F6520C"/>
    <w:rsid w:val="00F65285"/>
    <w:rsid w:val="00F65292"/>
    <w:rsid w:val="00F6538A"/>
    <w:rsid w:val="00F65518"/>
    <w:rsid w:val="00F65D3B"/>
    <w:rsid w:val="00F65F1F"/>
    <w:rsid w:val="00F667BA"/>
    <w:rsid w:val="00F67A14"/>
    <w:rsid w:val="00F70344"/>
    <w:rsid w:val="00F7151A"/>
    <w:rsid w:val="00F72316"/>
    <w:rsid w:val="00F724FE"/>
    <w:rsid w:val="00F74CD4"/>
    <w:rsid w:val="00F74DF0"/>
    <w:rsid w:val="00F76139"/>
    <w:rsid w:val="00F768F3"/>
    <w:rsid w:val="00F77DCB"/>
    <w:rsid w:val="00F80D64"/>
    <w:rsid w:val="00F829C5"/>
    <w:rsid w:val="00F82AFD"/>
    <w:rsid w:val="00F82F1A"/>
    <w:rsid w:val="00F82FC8"/>
    <w:rsid w:val="00F8370C"/>
    <w:rsid w:val="00F8608C"/>
    <w:rsid w:val="00F866B5"/>
    <w:rsid w:val="00F87BAE"/>
    <w:rsid w:val="00F900B2"/>
    <w:rsid w:val="00F90754"/>
    <w:rsid w:val="00F90895"/>
    <w:rsid w:val="00F90CC1"/>
    <w:rsid w:val="00F92194"/>
    <w:rsid w:val="00F928EB"/>
    <w:rsid w:val="00F92E2E"/>
    <w:rsid w:val="00F93ADA"/>
    <w:rsid w:val="00F940F1"/>
    <w:rsid w:val="00F94435"/>
    <w:rsid w:val="00F94A0C"/>
    <w:rsid w:val="00F94D1D"/>
    <w:rsid w:val="00F9568C"/>
    <w:rsid w:val="00F95C9C"/>
    <w:rsid w:val="00F95DC6"/>
    <w:rsid w:val="00F96291"/>
    <w:rsid w:val="00F964AB"/>
    <w:rsid w:val="00F96D1B"/>
    <w:rsid w:val="00F96EB2"/>
    <w:rsid w:val="00F9712B"/>
    <w:rsid w:val="00FA09C0"/>
    <w:rsid w:val="00FA0F20"/>
    <w:rsid w:val="00FA1355"/>
    <w:rsid w:val="00FA137F"/>
    <w:rsid w:val="00FA1FE7"/>
    <w:rsid w:val="00FA2F3D"/>
    <w:rsid w:val="00FA2FB9"/>
    <w:rsid w:val="00FA39EE"/>
    <w:rsid w:val="00FA3C79"/>
    <w:rsid w:val="00FA4C50"/>
    <w:rsid w:val="00FA4EA4"/>
    <w:rsid w:val="00FA54F2"/>
    <w:rsid w:val="00FA587D"/>
    <w:rsid w:val="00FA5B2A"/>
    <w:rsid w:val="00FB0ADF"/>
    <w:rsid w:val="00FB0DD8"/>
    <w:rsid w:val="00FB1CB9"/>
    <w:rsid w:val="00FB1D03"/>
    <w:rsid w:val="00FB25E9"/>
    <w:rsid w:val="00FB28E4"/>
    <w:rsid w:val="00FB4E9D"/>
    <w:rsid w:val="00FB505D"/>
    <w:rsid w:val="00FB5C72"/>
    <w:rsid w:val="00FB71F0"/>
    <w:rsid w:val="00FC074B"/>
    <w:rsid w:val="00FC07BF"/>
    <w:rsid w:val="00FC12F6"/>
    <w:rsid w:val="00FC141E"/>
    <w:rsid w:val="00FC1737"/>
    <w:rsid w:val="00FC2349"/>
    <w:rsid w:val="00FC2C8C"/>
    <w:rsid w:val="00FC2E99"/>
    <w:rsid w:val="00FC443A"/>
    <w:rsid w:val="00FC4650"/>
    <w:rsid w:val="00FC48D4"/>
    <w:rsid w:val="00FC51A7"/>
    <w:rsid w:val="00FC64E5"/>
    <w:rsid w:val="00FC672A"/>
    <w:rsid w:val="00FC6D4A"/>
    <w:rsid w:val="00FC727E"/>
    <w:rsid w:val="00FC7B05"/>
    <w:rsid w:val="00FC7FA7"/>
    <w:rsid w:val="00FD04DD"/>
    <w:rsid w:val="00FD059E"/>
    <w:rsid w:val="00FD1099"/>
    <w:rsid w:val="00FD1B2E"/>
    <w:rsid w:val="00FD1BFE"/>
    <w:rsid w:val="00FD3D26"/>
    <w:rsid w:val="00FD4302"/>
    <w:rsid w:val="00FD6767"/>
    <w:rsid w:val="00FD7E85"/>
    <w:rsid w:val="00FE00D0"/>
    <w:rsid w:val="00FE0B2D"/>
    <w:rsid w:val="00FE0E5F"/>
    <w:rsid w:val="00FE112F"/>
    <w:rsid w:val="00FE49CE"/>
    <w:rsid w:val="00FE4B0D"/>
    <w:rsid w:val="00FE4BEF"/>
    <w:rsid w:val="00FE4D07"/>
    <w:rsid w:val="00FE51AD"/>
    <w:rsid w:val="00FF00CA"/>
    <w:rsid w:val="00FF1F76"/>
    <w:rsid w:val="00FF28D4"/>
    <w:rsid w:val="00FF2D8F"/>
    <w:rsid w:val="00FF3378"/>
    <w:rsid w:val="00FF3965"/>
    <w:rsid w:val="00FF4282"/>
    <w:rsid w:val="00FF44BE"/>
    <w:rsid w:val="00FF45AC"/>
    <w:rsid w:val="00FF50FB"/>
    <w:rsid w:val="00FF5AA6"/>
    <w:rsid w:val="00FF61CD"/>
    <w:rsid w:val="00FF642B"/>
    <w:rsid w:val="00FF652C"/>
    <w:rsid w:val="00FF663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style="mso-position-horizontal-relative:margin;mso-position-vertical-relative:margin" fill="f" fillcolor="white" stroke="f">
      <v:fill color="white" on="f"/>
      <v:stroke on="f"/>
    </o:shapedefaults>
    <o:shapelayout v:ext="edit">
      <o:idmap v:ext="edit" data="1"/>
    </o:shapelayout>
  </w:shapeDefaults>
  <w:decimalSymbol w:val=","/>
  <w:listSeparator w:val=";"/>
  <w14:docId w14:val="70D6F642"/>
  <w15:docId w15:val="{1B940EA4-2FBE-4EC2-8DE8-A46E6164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956"/>
    <w:pPr>
      <w:spacing w:after="120"/>
      <w:ind w:firstLine="567"/>
      <w:jc w:val="both"/>
    </w:pPr>
    <w:rPr>
      <w:rFonts w:eastAsia="Times New Roman"/>
      <w:sz w:val="24"/>
      <w:lang w:eastAsia="en-US"/>
    </w:rPr>
  </w:style>
  <w:style w:type="paragraph" w:styleId="Heading1">
    <w:name w:val="heading 1"/>
    <w:basedOn w:val="Normal"/>
    <w:next w:val="Normal"/>
    <w:link w:val="Heading1Char"/>
    <w:uiPriority w:val="9"/>
    <w:qFormat/>
    <w:rsid w:val="0050658A"/>
    <w:pPr>
      <w:keepNext/>
      <w:keepLines/>
      <w:spacing w:before="480" w:after="0"/>
      <w:outlineLvl w:val="0"/>
    </w:pPr>
    <w:rPr>
      <w:rFonts w:ascii="Cambria" w:hAnsi="Cambria"/>
      <w:b/>
      <w:bCs/>
      <w:color w:val="365F91"/>
      <w:sz w:val="20"/>
      <w:szCs w:val="28"/>
      <w:lang w:val="x-none" w:eastAsia="x-none"/>
    </w:rPr>
  </w:style>
  <w:style w:type="paragraph" w:styleId="Heading2">
    <w:name w:val="heading 2"/>
    <w:basedOn w:val="Normal"/>
    <w:next w:val="Normal"/>
    <w:link w:val="Heading2Char"/>
    <w:uiPriority w:val="9"/>
    <w:semiHidden/>
    <w:unhideWhenUsed/>
    <w:qFormat/>
    <w:rsid w:val="00F96D1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06FA"/>
    <w:pPr>
      <w:keepNext/>
      <w:spacing w:before="240" w:after="6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D56AF"/>
    <w:rPr>
      <w:rFonts w:ascii="Cambria" w:eastAsia="Times New Roman" w:hAnsi="Cambria"/>
      <w:b/>
      <w:bCs/>
      <w:color w:val="365F91"/>
      <w:szCs w:val="28"/>
      <w:lang w:val="x-none" w:eastAsia="x-none"/>
    </w:rPr>
  </w:style>
  <w:style w:type="character" w:customStyle="1" w:styleId="Heading3Char">
    <w:name w:val="Heading 3 Char"/>
    <w:link w:val="Heading3"/>
    <w:uiPriority w:val="9"/>
    <w:rsid w:val="005A06FA"/>
    <w:rPr>
      <w:rFonts w:ascii="Cambria" w:eastAsia="Times New Roman" w:hAnsi="Cambria" w:cs="Times New Roman"/>
      <w:b/>
      <w:bCs/>
      <w:sz w:val="26"/>
      <w:szCs w:val="26"/>
      <w:lang w:eastAsia="en-US"/>
    </w:rPr>
  </w:style>
  <w:style w:type="paragraph" w:styleId="Footer">
    <w:name w:val="footer"/>
    <w:basedOn w:val="Normal"/>
    <w:link w:val="FooterChar"/>
    <w:uiPriority w:val="99"/>
    <w:rsid w:val="000F6956"/>
    <w:pPr>
      <w:tabs>
        <w:tab w:val="center" w:pos="4153"/>
        <w:tab w:val="right" w:pos="8306"/>
      </w:tabs>
    </w:pPr>
    <w:rPr>
      <w:lang w:val="x-none" w:eastAsia="x-none"/>
    </w:rPr>
  </w:style>
  <w:style w:type="character" w:customStyle="1" w:styleId="FooterChar">
    <w:name w:val="Footer Char"/>
    <w:link w:val="Footer"/>
    <w:uiPriority w:val="99"/>
    <w:rsid w:val="000F6956"/>
    <w:rPr>
      <w:rFonts w:eastAsia="Times New Roman" w:cs="Times New Roman"/>
      <w:sz w:val="24"/>
      <w:szCs w:val="20"/>
    </w:rPr>
  </w:style>
  <w:style w:type="character" w:styleId="PageNumber">
    <w:name w:val="page number"/>
    <w:basedOn w:val="DefaultParagraphFont"/>
    <w:rsid w:val="000F6956"/>
  </w:style>
  <w:style w:type="character" w:customStyle="1" w:styleId="HeaderChar">
    <w:name w:val="Header Char"/>
    <w:link w:val="Header"/>
    <w:uiPriority w:val="99"/>
    <w:rsid w:val="000F6956"/>
    <w:rPr>
      <w:sz w:val="24"/>
    </w:rPr>
  </w:style>
  <w:style w:type="paragraph" w:styleId="Header">
    <w:name w:val="header"/>
    <w:basedOn w:val="Normal"/>
    <w:link w:val="HeaderChar"/>
    <w:uiPriority w:val="99"/>
    <w:rsid w:val="000F6956"/>
    <w:pPr>
      <w:tabs>
        <w:tab w:val="center" w:pos="4153"/>
        <w:tab w:val="right" w:pos="8306"/>
      </w:tabs>
    </w:pPr>
    <w:rPr>
      <w:rFonts w:eastAsia="Calibri"/>
      <w:lang w:val="x-none" w:eastAsia="x-none"/>
    </w:rPr>
  </w:style>
  <w:style w:type="character" w:customStyle="1" w:styleId="HeaderChar1">
    <w:name w:val="Header Char1"/>
    <w:uiPriority w:val="99"/>
    <w:semiHidden/>
    <w:rsid w:val="000F6956"/>
    <w:rPr>
      <w:rFonts w:eastAsia="Times New Roman" w:cs="Times New Roman"/>
      <w:sz w:val="24"/>
      <w:szCs w:val="20"/>
    </w:rPr>
  </w:style>
  <w:style w:type="paragraph" w:customStyle="1" w:styleId="H1">
    <w:name w:val="H1"/>
    <w:link w:val="H1Char"/>
    <w:rsid w:val="00283B8B"/>
    <w:pPr>
      <w:keepNext/>
      <w:keepLines/>
      <w:pageBreakBefore/>
      <w:pBdr>
        <w:bottom w:val="thickThinLargeGap" w:sz="24" w:space="1" w:color="17365D"/>
      </w:pBdr>
      <w:tabs>
        <w:tab w:val="left" w:pos="1134"/>
      </w:tabs>
      <w:spacing w:after="120"/>
      <w:ind w:left="1134" w:hanging="567"/>
      <w:outlineLvl w:val="0"/>
    </w:pPr>
    <w:rPr>
      <w:rFonts w:eastAsia="Times New Roman"/>
      <w:b/>
      <w:sz w:val="36"/>
      <w:lang w:eastAsia="en-US"/>
    </w:rPr>
  </w:style>
  <w:style w:type="character" w:customStyle="1" w:styleId="H1Char">
    <w:name w:val="H1 Char"/>
    <w:link w:val="H1"/>
    <w:rsid w:val="00283B8B"/>
    <w:rPr>
      <w:rFonts w:eastAsia="Times New Roman"/>
      <w:b/>
      <w:sz w:val="36"/>
      <w:lang w:eastAsia="en-US" w:bidi="ar-SA"/>
    </w:rPr>
  </w:style>
  <w:style w:type="character" w:styleId="CommentReference">
    <w:name w:val="annotation reference"/>
    <w:uiPriority w:val="99"/>
    <w:semiHidden/>
    <w:unhideWhenUsed/>
    <w:rsid w:val="000F6956"/>
    <w:rPr>
      <w:sz w:val="16"/>
      <w:szCs w:val="16"/>
    </w:rPr>
  </w:style>
  <w:style w:type="paragraph" w:styleId="CommentText">
    <w:name w:val="annotation text"/>
    <w:basedOn w:val="Normal"/>
    <w:link w:val="CommentTextChar"/>
    <w:uiPriority w:val="99"/>
    <w:unhideWhenUsed/>
    <w:rsid w:val="00B51348"/>
    <w:rPr>
      <w:sz w:val="20"/>
      <w:lang w:val="x-none" w:eastAsia="x-none"/>
    </w:rPr>
  </w:style>
  <w:style w:type="character" w:customStyle="1" w:styleId="CommentTextChar">
    <w:name w:val="Comment Text Char"/>
    <w:link w:val="CommentText"/>
    <w:uiPriority w:val="99"/>
    <w:rsid w:val="000F6956"/>
    <w:rPr>
      <w:rFonts w:eastAsia="Times New Roman"/>
      <w:lang w:val="x-none" w:eastAsia="x-none"/>
    </w:rPr>
  </w:style>
  <w:style w:type="paragraph" w:styleId="BalloonText">
    <w:name w:val="Balloon Text"/>
    <w:basedOn w:val="Normal"/>
    <w:link w:val="BalloonTextChar"/>
    <w:uiPriority w:val="99"/>
    <w:semiHidden/>
    <w:unhideWhenUsed/>
    <w:rsid w:val="000F6956"/>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0F6956"/>
    <w:rPr>
      <w:rFonts w:ascii="Tahoma" w:eastAsia="Times New Roman" w:hAnsi="Tahoma" w:cs="Tahoma"/>
      <w:sz w:val="16"/>
      <w:szCs w:val="16"/>
    </w:rPr>
  </w:style>
  <w:style w:type="paragraph" w:customStyle="1" w:styleId="H2">
    <w:name w:val="H2"/>
    <w:link w:val="H2Char"/>
    <w:uiPriority w:val="99"/>
    <w:rsid w:val="000F6956"/>
    <w:pPr>
      <w:keepNext/>
      <w:tabs>
        <w:tab w:val="left" w:pos="1134"/>
      </w:tabs>
      <w:spacing w:before="480" w:after="240"/>
      <w:ind w:left="1134" w:hanging="567"/>
      <w:outlineLvl w:val="1"/>
    </w:pPr>
    <w:rPr>
      <w:rFonts w:ascii="Calibri" w:eastAsia="Times New Roman" w:hAnsi="Calibri"/>
      <w:b/>
      <w:sz w:val="32"/>
      <w:lang w:eastAsia="en-US"/>
    </w:rPr>
  </w:style>
  <w:style w:type="character" w:customStyle="1" w:styleId="H2Char">
    <w:name w:val="H2 Char"/>
    <w:link w:val="H2"/>
    <w:uiPriority w:val="99"/>
    <w:rsid w:val="00283B8B"/>
    <w:rPr>
      <w:rFonts w:ascii="Calibri" w:eastAsia="Times New Roman" w:hAnsi="Calibri"/>
      <w:b/>
      <w:sz w:val="32"/>
      <w:lang w:eastAsia="en-US" w:bidi="ar-SA"/>
    </w:rPr>
  </w:style>
  <w:style w:type="paragraph" w:customStyle="1" w:styleId="H4">
    <w:name w:val="H4"/>
    <w:uiPriority w:val="99"/>
    <w:rsid w:val="000F6956"/>
    <w:pPr>
      <w:spacing w:before="120" w:after="120"/>
      <w:ind w:left="567"/>
      <w:outlineLvl w:val="3"/>
    </w:pPr>
    <w:rPr>
      <w:rFonts w:ascii="Calibri" w:eastAsia="Times New Roman" w:hAnsi="Calibri"/>
      <w:b/>
      <w:sz w:val="28"/>
      <w:lang w:eastAsia="en-US"/>
    </w:rPr>
  </w:style>
  <w:style w:type="paragraph" w:customStyle="1" w:styleId="H3">
    <w:name w:val="H3"/>
    <w:link w:val="H3Char"/>
    <w:rsid w:val="000F6956"/>
    <w:pPr>
      <w:keepNext/>
      <w:spacing w:before="480" w:after="120"/>
      <w:ind w:left="1701" w:hanging="1134"/>
      <w:outlineLvl w:val="2"/>
    </w:pPr>
    <w:rPr>
      <w:rFonts w:ascii="Calibri" w:eastAsia="Times New Roman" w:hAnsi="Calibri"/>
      <w:b/>
      <w:sz w:val="28"/>
      <w:lang w:eastAsia="en-US"/>
    </w:rPr>
  </w:style>
  <w:style w:type="character" w:customStyle="1" w:styleId="H3Char">
    <w:name w:val="H3 Char"/>
    <w:link w:val="H3"/>
    <w:rsid w:val="00283B8B"/>
    <w:rPr>
      <w:rFonts w:ascii="Calibri" w:eastAsia="Times New Roman" w:hAnsi="Calibri"/>
      <w:b/>
      <w:sz w:val="28"/>
      <w:lang w:eastAsia="en-US" w:bidi="ar-SA"/>
    </w:rPr>
  </w:style>
  <w:style w:type="paragraph" w:customStyle="1" w:styleId="T">
    <w:name w:val="T"/>
    <w:basedOn w:val="Normal"/>
    <w:rsid w:val="000F6956"/>
    <w:pPr>
      <w:keepNext/>
      <w:ind w:left="567" w:firstLine="0"/>
      <w:jc w:val="left"/>
    </w:pPr>
    <w:rPr>
      <w:rFonts w:ascii="Calibri" w:hAnsi="Calibri"/>
      <w:b/>
    </w:rPr>
  </w:style>
  <w:style w:type="paragraph" w:customStyle="1" w:styleId="Z">
    <w:name w:val="Z"/>
    <w:basedOn w:val="T"/>
    <w:uiPriority w:val="99"/>
    <w:rsid w:val="000F6956"/>
    <w:pPr>
      <w:ind w:right="1701"/>
    </w:pPr>
    <w:rPr>
      <w:b w:val="0"/>
      <w:sz w:val="20"/>
    </w:rPr>
  </w:style>
  <w:style w:type="paragraph" w:customStyle="1" w:styleId="tabteksts">
    <w:name w:val="tab_teksts"/>
    <w:basedOn w:val="Normal"/>
    <w:uiPriority w:val="99"/>
    <w:rsid w:val="000F6956"/>
    <w:pPr>
      <w:spacing w:after="0"/>
      <w:ind w:firstLine="0"/>
      <w:jc w:val="left"/>
    </w:pPr>
    <w:rPr>
      <w:sz w:val="20"/>
    </w:rPr>
  </w:style>
  <w:style w:type="paragraph" w:styleId="FootnoteText">
    <w:name w:val="footnote text"/>
    <w:aliases w:val="Footnote,Fußnote,Fußnote Char Char Char,-E Fußnotentext,Fußnotentext Ursprung,footnote text,Footnote Text Char1 Char Char Char Char Char Char Char Char Char Char Char,Char,Ch,f,Fußn"/>
    <w:basedOn w:val="Normal"/>
    <w:link w:val="FootnoteTextChar"/>
    <w:uiPriority w:val="99"/>
    <w:qFormat/>
    <w:rsid w:val="000F6956"/>
    <w:pPr>
      <w:keepLines/>
      <w:widowControl w:val="0"/>
      <w:spacing w:after="0"/>
      <w:ind w:left="340" w:hanging="340"/>
      <w:jc w:val="left"/>
    </w:pPr>
    <w:rPr>
      <w:snapToGrid w:val="0"/>
      <w:color w:val="000000"/>
      <w:sz w:val="20"/>
      <w:lang w:val="x-none" w:eastAsia="x-none"/>
    </w:rPr>
  </w:style>
  <w:style w:type="character" w:customStyle="1" w:styleId="FootnoteTextChar">
    <w:name w:val="Footnote Text Char"/>
    <w:aliases w:val="Footnote Char,Fußnote Char,Fußnote Char Char Char Char,-E Fußnotentext Char,Fußnotentext Ursprung Char,footnote text Char,Footnote Text Char1 Char Char Char Char Char Char Char Char Char Char Char Char,Char Char,Ch Char,f Char"/>
    <w:link w:val="FootnoteText"/>
    <w:uiPriority w:val="99"/>
    <w:rsid w:val="000F6956"/>
    <w:rPr>
      <w:rFonts w:eastAsia="Times New Roman" w:cs="Times New Roman"/>
      <w:snapToGrid w:val="0"/>
      <w:color w:val="000000"/>
      <w:sz w:val="20"/>
      <w:szCs w:val="20"/>
    </w:rPr>
  </w:style>
  <w:style w:type="character" w:styleId="FootnoteReference">
    <w:name w:val="footnote reference"/>
    <w:aliases w:val="Footnote Reference Number,Footnote symbol,Footnote Reference Superscript,ftref,fr,Footnote Refernece,Footnote Reference text,Voetnootverwijzing,footnote ref,FR,Fußnotenzeichen diss neu,Times 10 Point,Exposant 3 Point,SUPERS,stylish"/>
    <w:link w:val="CharCharCharChar"/>
    <w:qFormat/>
    <w:rsid w:val="000F6956"/>
    <w:rPr>
      <w:rFonts w:ascii="Garamond" w:hAnsi="Garamond"/>
      <w:sz w:val="20"/>
      <w:vertAlign w:val="superscript"/>
    </w:rPr>
  </w:style>
  <w:style w:type="paragraph" w:customStyle="1" w:styleId="Zpar">
    <w:name w:val="Z_par"/>
    <w:basedOn w:val="Z"/>
    <w:rsid w:val="000F6956"/>
    <w:pPr>
      <w:spacing w:after="480"/>
      <w:ind w:left="1418" w:hanging="851"/>
    </w:pPr>
    <w:rPr>
      <w:i/>
    </w:rPr>
  </w:style>
  <w:style w:type="character" w:styleId="Strong">
    <w:name w:val="Strong"/>
    <w:uiPriority w:val="22"/>
    <w:qFormat/>
    <w:rsid w:val="000F6956"/>
    <w:rPr>
      <w:b/>
      <w:bCs/>
    </w:rPr>
  </w:style>
  <w:style w:type="paragraph" w:styleId="ListParagraph">
    <w:name w:val="List Paragraph"/>
    <w:aliases w:val="2,H&amp;P List Paragraph,Akapit z listą BS,Numbered Para 1,Dot pt,No Spacing1,List Paragraph Char Char Char,Indicator Text,List Paragraph1,Bullet 1,Bullet Points,MAIN CONTENT,IFCL - List Paragraph,List Paragraph12,OBC Bullet,F5 List Paragraph"/>
    <w:basedOn w:val="Normal"/>
    <w:link w:val="ListParagraphChar"/>
    <w:uiPriority w:val="34"/>
    <w:qFormat/>
    <w:rsid w:val="000F6956"/>
    <w:pPr>
      <w:spacing w:after="200" w:line="276" w:lineRule="auto"/>
      <w:ind w:left="720" w:firstLine="0"/>
      <w:contextualSpacing/>
      <w:jc w:val="left"/>
    </w:pPr>
    <w:rPr>
      <w:rFonts w:ascii="Calibri" w:hAnsi="Calibri"/>
      <w:sz w:val="22"/>
      <w:lang w:val="x-none" w:eastAsia="x-none"/>
    </w:rPr>
  </w:style>
  <w:style w:type="character" w:customStyle="1" w:styleId="ListParagraphChar">
    <w:name w:val="List Paragraph Char"/>
    <w:aliases w:val="2 Char,H&amp;P List Paragraph Char,Akapit z listą BS Char,Numbered Para 1 Char,Dot pt Char,No Spacing1 Char,List Paragraph Char Char Char Char,Indicator Text Char,List Paragraph1 Char,Bullet 1 Char,Bullet Points Char,MAIN CONTENT Char"/>
    <w:link w:val="ListParagraph"/>
    <w:uiPriority w:val="34"/>
    <w:qFormat/>
    <w:locked/>
    <w:rsid w:val="00FA2F3D"/>
    <w:rPr>
      <w:rFonts w:ascii="Calibri" w:eastAsia="Times New Roman" w:hAnsi="Calibri" w:cs="Times New Roman"/>
      <w:sz w:val="22"/>
    </w:rPr>
  </w:style>
  <w:style w:type="character" w:styleId="Emphasis">
    <w:name w:val="Emphasis"/>
    <w:uiPriority w:val="20"/>
    <w:qFormat/>
    <w:rsid w:val="000F6956"/>
    <w:rPr>
      <w:i/>
      <w:iCs/>
    </w:rPr>
  </w:style>
  <w:style w:type="paragraph" w:styleId="BodyTextIndent2">
    <w:name w:val="Body Text Indent 2"/>
    <w:basedOn w:val="Normal"/>
    <w:link w:val="BodyTextIndent2Char"/>
    <w:semiHidden/>
    <w:rsid w:val="000F6956"/>
    <w:pPr>
      <w:spacing w:before="120"/>
      <w:ind w:firstLine="706"/>
    </w:pPr>
    <w:rPr>
      <w:lang w:val="x-none" w:eastAsia="x-none"/>
    </w:rPr>
  </w:style>
  <w:style w:type="character" w:customStyle="1" w:styleId="BodyTextIndent2Char">
    <w:name w:val="Body Text Indent 2 Char"/>
    <w:link w:val="BodyTextIndent2"/>
    <w:semiHidden/>
    <w:rsid w:val="000F6956"/>
    <w:rPr>
      <w:rFonts w:eastAsia="Times New Roman" w:cs="Times New Roman"/>
      <w:sz w:val="24"/>
      <w:szCs w:val="20"/>
    </w:rPr>
  </w:style>
  <w:style w:type="paragraph" w:customStyle="1" w:styleId="Default">
    <w:name w:val="Default"/>
    <w:rsid w:val="000F6956"/>
    <w:pPr>
      <w:autoSpaceDE w:val="0"/>
      <w:autoSpaceDN w:val="0"/>
      <w:adjustRightInd w:val="0"/>
    </w:pPr>
    <w:rPr>
      <w:rFonts w:eastAsia="Times New Roman"/>
      <w:color w:val="000000"/>
      <w:sz w:val="24"/>
      <w:szCs w:val="24"/>
    </w:rPr>
  </w:style>
  <w:style w:type="paragraph" w:styleId="BodyTextIndent">
    <w:name w:val="Body Text Indent"/>
    <w:basedOn w:val="Normal"/>
    <w:link w:val="BodyTextIndentChar"/>
    <w:semiHidden/>
    <w:unhideWhenUsed/>
    <w:rsid w:val="000F6956"/>
    <w:pPr>
      <w:ind w:left="283"/>
    </w:pPr>
    <w:rPr>
      <w:lang w:val="x-none" w:eastAsia="x-none"/>
    </w:rPr>
  </w:style>
  <w:style w:type="character" w:customStyle="1" w:styleId="BodyTextIndentChar">
    <w:name w:val="Body Text Indent Char"/>
    <w:link w:val="BodyTextIndent"/>
    <w:semiHidden/>
    <w:rsid w:val="000F6956"/>
    <w:rPr>
      <w:rFonts w:eastAsia="Times New Roman" w:cs="Times New Roman"/>
      <w:sz w:val="24"/>
      <w:szCs w:val="20"/>
    </w:rPr>
  </w:style>
  <w:style w:type="paragraph" w:customStyle="1" w:styleId="ridk">
    <w:name w:val="ridk"/>
    <w:basedOn w:val="Normal"/>
    <w:rsid w:val="000F6956"/>
    <w:pPr>
      <w:spacing w:before="100" w:beforeAutospacing="1" w:after="100" w:afterAutospacing="1"/>
      <w:ind w:firstLine="0"/>
      <w:jc w:val="left"/>
    </w:pPr>
    <w:rPr>
      <w:rFonts w:ascii="Arial Unicode MS" w:eastAsia="Arial Unicode MS" w:hAnsi="Arial Unicode MS" w:cs="Arial Unicode MS"/>
      <w:szCs w:val="24"/>
      <w:lang w:val="en-US"/>
    </w:rPr>
  </w:style>
  <w:style w:type="table" w:styleId="TableGrid">
    <w:name w:val="Table Grid"/>
    <w:basedOn w:val="TableNormal"/>
    <w:uiPriority w:val="39"/>
    <w:rsid w:val="00B5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
    <w:name w:val="Virsraksts1"/>
    <w:basedOn w:val="Heading1"/>
    <w:rsid w:val="001D56AF"/>
    <w:pPr>
      <w:keepLines w:val="0"/>
      <w:spacing w:before="240" w:after="60"/>
      <w:ind w:firstLine="709"/>
    </w:pPr>
    <w:rPr>
      <w:rFonts w:ascii="Times New Roman" w:eastAsia="Calibri" w:hAnsi="Times New Roman"/>
      <w:color w:val="auto"/>
      <w:kern w:val="32"/>
      <w:sz w:val="40"/>
      <w:szCs w:val="40"/>
    </w:rPr>
  </w:style>
  <w:style w:type="character" w:customStyle="1" w:styleId="spelle">
    <w:name w:val="spelle"/>
    <w:basedOn w:val="DefaultParagraphFont"/>
    <w:rsid w:val="006F0333"/>
  </w:style>
  <w:style w:type="paragraph" w:customStyle="1" w:styleId="ParagraphNumbering">
    <w:name w:val="Paragraph Numbering"/>
    <w:basedOn w:val="Normal"/>
    <w:uiPriority w:val="1"/>
    <w:qFormat/>
    <w:rsid w:val="006F0333"/>
    <w:pPr>
      <w:numPr>
        <w:numId w:val="1"/>
      </w:numPr>
      <w:spacing w:after="240" w:line="264" w:lineRule="auto"/>
      <w:jc w:val="left"/>
    </w:pPr>
    <w:rPr>
      <w:rFonts w:eastAsia="Calibri"/>
      <w:szCs w:val="24"/>
      <w:lang w:val="en-US"/>
    </w:rPr>
  </w:style>
  <w:style w:type="paragraph" w:styleId="CommentSubject">
    <w:name w:val="annotation subject"/>
    <w:basedOn w:val="CommentText"/>
    <w:next w:val="CommentText"/>
    <w:link w:val="CommentSubjectChar"/>
    <w:uiPriority w:val="99"/>
    <w:semiHidden/>
    <w:unhideWhenUsed/>
    <w:rsid w:val="00EF6369"/>
    <w:rPr>
      <w:b/>
      <w:bCs/>
    </w:rPr>
  </w:style>
  <w:style w:type="character" w:customStyle="1" w:styleId="CommentSubjectChar">
    <w:name w:val="Comment Subject Char"/>
    <w:link w:val="CommentSubject"/>
    <w:uiPriority w:val="99"/>
    <w:semiHidden/>
    <w:rsid w:val="00EF6369"/>
    <w:rPr>
      <w:rFonts w:eastAsia="Times New Roman" w:cs="Times New Roman"/>
      <w:b/>
      <w:bCs/>
      <w:sz w:val="20"/>
      <w:szCs w:val="20"/>
    </w:rPr>
  </w:style>
  <w:style w:type="paragraph" w:customStyle="1" w:styleId="PIRMAIS">
    <w:name w:val="PIRMAIS"/>
    <w:basedOn w:val="H1"/>
    <w:link w:val="PIRMAISChar"/>
    <w:qFormat/>
    <w:rsid w:val="00283B8B"/>
    <w:pPr>
      <w:tabs>
        <w:tab w:val="clear" w:pos="1134"/>
        <w:tab w:val="left" w:pos="567"/>
      </w:tabs>
      <w:ind w:left="567"/>
    </w:pPr>
  </w:style>
  <w:style w:type="character" w:customStyle="1" w:styleId="PIRMAISChar">
    <w:name w:val="PIRMAIS Char"/>
    <w:basedOn w:val="H1Char"/>
    <w:link w:val="PIRMAIS"/>
    <w:rsid w:val="00283B8B"/>
    <w:rPr>
      <w:rFonts w:eastAsia="Times New Roman"/>
      <w:b/>
      <w:sz w:val="36"/>
      <w:lang w:eastAsia="en-US" w:bidi="ar-SA"/>
    </w:rPr>
  </w:style>
  <w:style w:type="paragraph" w:customStyle="1" w:styleId="otrais">
    <w:name w:val="otrais"/>
    <w:basedOn w:val="H2"/>
    <w:link w:val="otraisChar"/>
    <w:qFormat/>
    <w:rsid w:val="00283B8B"/>
    <w:pPr>
      <w:tabs>
        <w:tab w:val="clear" w:pos="1134"/>
        <w:tab w:val="left" w:pos="567"/>
      </w:tabs>
      <w:ind w:left="567"/>
    </w:pPr>
    <w:rPr>
      <w:rFonts w:ascii="Times New Roman" w:hAnsi="Times New Roman"/>
    </w:rPr>
  </w:style>
  <w:style w:type="character" w:customStyle="1" w:styleId="otraisChar">
    <w:name w:val="otrais Char"/>
    <w:basedOn w:val="H2Char"/>
    <w:link w:val="otrais"/>
    <w:rsid w:val="00283B8B"/>
    <w:rPr>
      <w:rFonts w:ascii="Calibri" w:eastAsia="Times New Roman" w:hAnsi="Calibri"/>
      <w:b/>
      <w:sz w:val="32"/>
      <w:lang w:eastAsia="en-US" w:bidi="ar-SA"/>
    </w:rPr>
  </w:style>
  <w:style w:type="paragraph" w:customStyle="1" w:styleId="tresais">
    <w:name w:val="tresais"/>
    <w:basedOn w:val="H3"/>
    <w:link w:val="tresaisChar"/>
    <w:qFormat/>
    <w:rsid w:val="00283B8B"/>
    <w:pPr>
      <w:ind w:left="0" w:firstLine="0"/>
    </w:pPr>
    <w:rPr>
      <w:rFonts w:ascii="Times New Roman" w:hAnsi="Times New Roman"/>
    </w:rPr>
  </w:style>
  <w:style w:type="character" w:customStyle="1" w:styleId="tresaisChar">
    <w:name w:val="tresais Char"/>
    <w:basedOn w:val="H3Char"/>
    <w:link w:val="tresais"/>
    <w:rsid w:val="00283B8B"/>
    <w:rPr>
      <w:rFonts w:ascii="Calibri" w:eastAsia="Times New Roman" w:hAnsi="Calibri"/>
      <w:b/>
      <w:sz w:val="28"/>
      <w:lang w:eastAsia="en-US" w:bidi="ar-SA"/>
    </w:rPr>
  </w:style>
  <w:style w:type="paragraph" w:styleId="TOCHeading">
    <w:name w:val="TOC Heading"/>
    <w:basedOn w:val="Heading1"/>
    <w:next w:val="Normal"/>
    <w:uiPriority w:val="39"/>
    <w:unhideWhenUsed/>
    <w:qFormat/>
    <w:rsid w:val="0050658A"/>
    <w:pPr>
      <w:spacing w:line="276" w:lineRule="auto"/>
      <w:ind w:firstLine="0"/>
      <w:jc w:val="left"/>
      <w:outlineLvl w:val="9"/>
    </w:pPr>
    <w:rPr>
      <w:rFonts w:eastAsia="MS Gothic"/>
      <w:lang w:val="en-US" w:eastAsia="ja-JP"/>
    </w:rPr>
  </w:style>
  <w:style w:type="paragraph" w:styleId="TOC1">
    <w:name w:val="toc 1"/>
    <w:basedOn w:val="Normal"/>
    <w:next w:val="Normal"/>
    <w:autoRedefine/>
    <w:uiPriority w:val="39"/>
    <w:unhideWhenUsed/>
    <w:rsid w:val="00A922FB"/>
    <w:pPr>
      <w:tabs>
        <w:tab w:val="left" w:pos="284"/>
        <w:tab w:val="right" w:leader="dot" w:pos="9072"/>
      </w:tabs>
      <w:spacing w:after="0"/>
      <w:ind w:right="991" w:firstLine="0"/>
      <w:jc w:val="left"/>
    </w:pPr>
    <w:rPr>
      <w:noProof/>
    </w:rPr>
  </w:style>
  <w:style w:type="paragraph" w:styleId="TOC2">
    <w:name w:val="toc 2"/>
    <w:basedOn w:val="Normal"/>
    <w:next w:val="Normal"/>
    <w:autoRedefine/>
    <w:uiPriority w:val="39"/>
    <w:unhideWhenUsed/>
    <w:rsid w:val="008118BE"/>
    <w:pPr>
      <w:tabs>
        <w:tab w:val="right" w:leader="dot" w:pos="9072"/>
      </w:tabs>
      <w:spacing w:after="0"/>
      <w:ind w:left="238" w:firstLine="46"/>
    </w:pPr>
  </w:style>
  <w:style w:type="paragraph" w:styleId="TOC3">
    <w:name w:val="toc 3"/>
    <w:basedOn w:val="Normal"/>
    <w:next w:val="Normal"/>
    <w:autoRedefine/>
    <w:uiPriority w:val="39"/>
    <w:unhideWhenUsed/>
    <w:rsid w:val="00984AE5"/>
    <w:pPr>
      <w:tabs>
        <w:tab w:val="right" w:leader="dot" w:pos="9061"/>
      </w:tabs>
      <w:spacing w:after="0"/>
      <w:ind w:left="482"/>
    </w:pPr>
  </w:style>
  <w:style w:type="character" w:styleId="Hyperlink">
    <w:name w:val="Hyperlink"/>
    <w:uiPriority w:val="99"/>
    <w:unhideWhenUsed/>
    <w:rsid w:val="00283B8B"/>
    <w:rPr>
      <w:color w:val="0000FF"/>
      <w:u w:val="single"/>
    </w:rPr>
  </w:style>
  <w:style w:type="paragraph" w:styleId="NoSpacing">
    <w:name w:val="No Spacing"/>
    <w:link w:val="NoSpacingChar"/>
    <w:uiPriority w:val="1"/>
    <w:qFormat/>
    <w:rsid w:val="00D3627A"/>
    <w:pPr>
      <w:ind w:firstLine="567"/>
      <w:jc w:val="both"/>
    </w:pPr>
    <w:rPr>
      <w:rFonts w:eastAsia="Times New Roman"/>
      <w:sz w:val="24"/>
      <w:lang w:eastAsia="en-US"/>
    </w:rPr>
  </w:style>
  <w:style w:type="character" w:customStyle="1" w:styleId="NoSpacingChar">
    <w:name w:val="No Spacing Char"/>
    <w:basedOn w:val="DefaultParagraphFont"/>
    <w:link w:val="NoSpacing"/>
    <w:uiPriority w:val="1"/>
    <w:rsid w:val="00FA587D"/>
    <w:rPr>
      <w:rFonts w:eastAsia="Times New Roman"/>
      <w:sz w:val="24"/>
      <w:lang w:eastAsia="en-US"/>
    </w:rPr>
  </w:style>
  <w:style w:type="paragraph" w:customStyle="1" w:styleId="naisf">
    <w:name w:val="naisf"/>
    <w:basedOn w:val="Normal"/>
    <w:rsid w:val="0072157F"/>
    <w:pPr>
      <w:spacing w:before="100" w:beforeAutospacing="1" w:after="100" w:afterAutospacing="1"/>
      <w:ind w:firstLine="0"/>
      <w:jc w:val="left"/>
    </w:pPr>
    <w:rPr>
      <w:szCs w:val="24"/>
      <w:lang w:eastAsia="lv-LV"/>
    </w:rPr>
  </w:style>
  <w:style w:type="paragraph" w:customStyle="1" w:styleId="teksts">
    <w:name w:val="teksts"/>
    <w:rsid w:val="00BD74BB"/>
    <w:pPr>
      <w:spacing w:after="120"/>
      <w:jc w:val="both"/>
    </w:pPr>
    <w:rPr>
      <w:rFonts w:ascii="Garamond" w:eastAsia="Times New Roman" w:hAnsi="Garamond"/>
      <w:sz w:val="24"/>
      <w:lang w:eastAsia="en-US"/>
    </w:rPr>
  </w:style>
  <w:style w:type="paragraph" w:customStyle="1" w:styleId="EE-paragr">
    <w:name w:val="EE-paragr"/>
    <w:basedOn w:val="Normal"/>
    <w:autoRedefine/>
    <w:uiPriority w:val="99"/>
    <w:rsid w:val="00BD74BB"/>
    <w:pPr>
      <w:spacing w:before="120"/>
      <w:ind w:firstLine="0"/>
    </w:pPr>
    <w:rPr>
      <w:iCs/>
      <w:szCs w:val="24"/>
      <w:lang w:eastAsia="lv-LV" w:bidi="lo-LA"/>
    </w:rPr>
  </w:style>
  <w:style w:type="paragraph" w:customStyle="1" w:styleId="tabtekst">
    <w:name w:val="tab_tekst"/>
    <w:basedOn w:val="Normal"/>
    <w:rsid w:val="00BD74BB"/>
    <w:pPr>
      <w:spacing w:after="0"/>
      <w:ind w:firstLine="0"/>
      <w:jc w:val="left"/>
    </w:pPr>
    <w:rPr>
      <w:color w:val="000000"/>
      <w:sz w:val="20"/>
    </w:rPr>
  </w:style>
  <w:style w:type="paragraph" w:styleId="NormalWeb">
    <w:name w:val="Normal (Web)"/>
    <w:basedOn w:val="Normal"/>
    <w:uiPriority w:val="99"/>
    <w:unhideWhenUsed/>
    <w:rsid w:val="00BD74BB"/>
    <w:pPr>
      <w:spacing w:before="100" w:beforeAutospacing="1" w:after="100" w:afterAutospacing="1"/>
      <w:ind w:firstLine="0"/>
      <w:jc w:val="left"/>
    </w:pPr>
    <w:rPr>
      <w:szCs w:val="24"/>
      <w:lang w:eastAsia="lv-LV"/>
    </w:rPr>
  </w:style>
  <w:style w:type="paragraph" w:customStyle="1" w:styleId="Normal11pt">
    <w:name w:val="Normal + 11 pt"/>
    <w:aliases w:val="Bold,Justified,Line spacing:  1.5 lines"/>
    <w:basedOn w:val="Normal"/>
    <w:rsid w:val="00BD74BB"/>
    <w:pPr>
      <w:widowControl w:val="0"/>
      <w:adjustRightInd w:val="0"/>
      <w:spacing w:after="0" w:line="360" w:lineRule="auto"/>
      <w:ind w:firstLine="0"/>
      <w:textAlignment w:val="baseline"/>
    </w:pPr>
    <w:rPr>
      <w:b/>
      <w:sz w:val="22"/>
      <w:szCs w:val="22"/>
      <w:lang w:val="en-GB" w:eastAsia="lv-LV"/>
    </w:rPr>
  </w:style>
  <w:style w:type="paragraph" w:styleId="BodyText">
    <w:name w:val="Body Text"/>
    <w:basedOn w:val="Normal"/>
    <w:link w:val="BodyTextChar"/>
    <w:uiPriority w:val="99"/>
    <w:semiHidden/>
    <w:unhideWhenUsed/>
    <w:rsid w:val="005A06FA"/>
    <w:rPr>
      <w:lang w:val="x-none"/>
    </w:rPr>
  </w:style>
  <w:style w:type="character" w:customStyle="1" w:styleId="BodyTextChar">
    <w:name w:val="Body Text Char"/>
    <w:link w:val="BodyText"/>
    <w:uiPriority w:val="99"/>
    <w:semiHidden/>
    <w:rsid w:val="005A06FA"/>
    <w:rPr>
      <w:rFonts w:eastAsia="Times New Roman"/>
      <w:sz w:val="24"/>
      <w:lang w:eastAsia="en-US"/>
    </w:rPr>
  </w:style>
  <w:style w:type="paragraph" w:styleId="BodyText3">
    <w:name w:val="Body Text 3"/>
    <w:basedOn w:val="Normal"/>
    <w:link w:val="BodyText3Char"/>
    <w:uiPriority w:val="99"/>
    <w:semiHidden/>
    <w:unhideWhenUsed/>
    <w:rsid w:val="005A06FA"/>
    <w:rPr>
      <w:sz w:val="16"/>
      <w:szCs w:val="16"/>
      <w:lang w:val="x-none"/>
    </w:rPr>
  </w:style>
  <w:style w:type="character" w:customStyle="1" w:styleId="BodyText3Char">
    <w:name w:val="Body Text 3 Char"/>
    <w:link w:val="BodyText3"/>
    <w:uiPriority w:val="99"/>
    <w:semiHidden/>
    <w:rsid w:val="005A06FA"/>
    <w:rPr>
      <w:rFonts w:eastAsia="Times New Roman"/>
      <w:sz w:val="16"/>
      <w:szCs w:val="16"/>
      <w:lang w:eastAsia="en-US"/>
    </w:rPr>
  </w:style>
  <w:style w:type="paragraph" w:styleId="TOC8">
    <w:name w:val="toc 8"/>
    <w:basedOn w:val="Normal"/>
    <w:next w:val="Normal"/>
    <w:autoRedefine/>
    <w:uiPriority w:val="39"/>
    <w:semiHidden/>
    <w:unhideWhenUsed/>
    <w:rsid w:val="00D117D0"/>
    <w:pPr>
      <w:ind w:left="1680"/>
    </w:pPr>
  </w:style>
  <w:style w:type="paragraph" w:styleId="PlainText">
    <w:name w:val="Plain Text"/>
    <w:basedOn w:val="Normal"/>
    <w:link w:val="PlainTextChar"/>
    <w:uiPriority w:val="99"/>
    <w:unhideWhenUsed/>
    <w:rsid w:val="00F37E17"/>
    <w:pPr>
      <w:spacing w:after="0"/>
      <w:ind w:firstLin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F37E17"/>
    <w:rPr>
      <w:rFonts w:ascii="Consolas" w:hAnsi="Consolas"/>
      <w:sz w:val="21"/>
      <w:szCs w:val="21"/>
    </w:rPr>
  </w:style>
  <w:style w:type="paragraph" w:customStyle="1" w:styleId="Text1">
    <w:name w:val="Text 1"/>
    <w:basedOn w:val="Normal"/>
    <w:uiPriority w:val="99"/>
    <w:rsid w:val="003E6294"/>
    <w:pPr>
      <w:spacing w:before="120"/>
      <w:ind w:left="850" w:firstLine="0"/>
    </w:pPr>
    <w:rPr>
      <w:lang w:val="en-GB" w:eastAsia="de-DE"/>
    </w:rPr>
  </w:style>
  <w:style w:type="character" w:styleId="FollowedHyperlink">
    <w:name w:val="FollowedHyperlink"/>
    <w:uiPriority w:val="99"/>
    <w:semiHidden/>
    <w:unhideWhenUsed/>
    <w:rsid w:val="00DE6E4F"/>
    <w:rPr>
      <w:color w:val="800080"/>
      <w:u w:val="single"/>
    </w:rPr>
  </w:style>
  <w:style w:type="paragraph" w:styleId="Revision">
    <w:name w:val="Revision"/>
    <w:hidden/>
    <w:uiPriority w:val="99"/>
    <w:semiHidden/>
    <w:rsid w:val="0050658A"/>
    <w:rPr>
      <w:rFonts w:eastAsia="Times New Roman"/>
      <w:sz w:val="24"/>
      <w:lang w:eastAsia="en-US"/>
    </w:rPr>
  </w:style>
  <w:style w:type="paragraph" w:customStyle="1" w:styleId="tv2131">
    <w:name w:val="tv2131"/>
    <w:basedOn w:val="Normal"/>
    <w:rsid w:val="008D3A67"/>
    <w:pPr>
      <w:spacing w:before="240" w:after="0" w:line="360" w:lineRule="auto"/>
      <w:ind w:firstLine="300"/>
    </w:pPr>
    <w:rPr>
      <w:rFonts w:ascii="Verdana" w:hAnsi="Verdana"/>
      <w:sz w:val="18"/>
      <w:szCs w:val="18"/>
      <w:lang w:eastAsia="lv-LV"/>
    </w:rPr>
  </w:style>
  <w:style w:type="paragraph" w:customStyle="1" w:styleId="CM1">
    <w:name w:val="CM1"/>
    <w:basedOn w:val="Default"/>
    <w:next w:val="Default"/>
    <w:uiPriority w:val="99"/>
    <w:rsid w:val="0060396D"/>
    <w:rPr>
      <w:rFonts w:ascii="EUAlbertina" w:eastAsia="Calibri" w:hAnsi="EUAlbertina"/>
      <w:color w:val="auto"/>
      <w:lang w:val="en-GB" w:eastAsia="en-GB"/>
    </w:rPr>
  </w:style>
  <w:style w:type="character" w:customStyle="1" w:styleId="st1">
    <w:name w:val="st1"/>
    <w:basedOn w:val="DefaultParagraphFont"/>
    <w:rsid w:val="0003226C"/>
  </w:style>
  <w:style w:type="paragraph" w:customStyle="1" w:styleId="mt-translation1">
    <w:name w:val="mt-translation1"/>
    <w:basedOn w:val="Normal"/>
    <w:rsid w:val="002D4C4A"/>
    <w:pPr>
      <w:spacing w:after="0"/>
      <w:ind w:firstLine="0"/>
      <w:jc w:val="left"/>
    </w:pPr>
    <w:rPr>
      <w:rFonts w:ascii="Segoe UI" w:hAnsi="Segoe UI" w:cs="Segoe UI"/>
      <w:sz w:val="22"/>
      <w:szCs w:val="22"/>
      <w:lang w:eastAsia="lv-LV"/>
    </w:rPr>
  </w:style>
  <w:style w:type="table" w:customStyle="1" w:styleId="GridTable2-Accent11">
    <w:name w:val="Grid Table 2 - Accent 11"/>
    <w:basedOn w:val="TableNormal"/>
    <w:uiPriority w:val="47"/>
    <w:rsid w:val="00E254F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E254F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E254F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E254F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3-Accent11">
    <w:name w:val="Grid Table 3 - Accent 11"/>
    <w:basedOn w:val="TableNormal"/>
    <w:uiPriority w:val="48"/>
    <w:rsid w:val="00003E2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BodyText2">
    <w:name w:val="Body Text 2"/>
    <w:basedOn w:val="Normal"/>
    <w:link w:val="BodyText2Char"/>
    <w:uiPriority w:val="99"/>
    <w:semiHidden/>
    <w:unhideWhenUsed/>
    <w:rsid w:val="00B71106"/>
    <w:pPr>
      <w:spacing w:line="480" w:lineRule="auto"/>
    </w:pPr>
  </w:style>
  <w:style w:type="character" w:customStyle="1" w:styleId="BodyText2Char">
    <w:name w:val="Body Text 2 Char"/>
    <w:basedOn w:val="DefaultParagraphFont"/>
    <w:link w:val="BodyText2"/>
    <w:uiPriority w:val="99"/>
    <w:semiHidden/>
    <w:rsid w:val="00B71106"/>
    <w:rPr>
      <w:rFonts w:eastAsia="Times New Roman"/>
      <w:sz w:val="24"/>
      <w:lang w:eastAsia="en-US"/>
    </w:rPr>
  </w:style>
  <w:style w:type="character" w:customStyle="1" w:styleId="Corpsdutexte">
    <w:name w:val="Corps du texte_"/>
    <w:basedOn w:val="DefaultParagraphFont"/>
    <w:link w:val="Corpsdutexte1"/>
    <w:uiPriority w:val="99"/>
    <w:locked/>
    <w:rsid w:val="00D251AD"/>
    <w:rPr>
      <w:sz w:val="21"/>
      <w:szCs w:val="21"/>
      <w:shd w:val="clear" w:color="auto" w:fill="FFFFFF"/>
    </w:rPr>
  </w:style>
  <w:style w:type="paragraph" w:customStyle="1" w:styleId="Corpsdutexte1">
    <w:name w:val="Corps du texte1"/>
    <w:basedOn w:val="Normal"/>
    <w:link w:val="Corpsdutexte"/>
    <w:uiPriority w:val="99"/>
    <w:rsid w:val="00D251AD"/>
    <w:pPr>
      <w:widowControl w:val="0"/>
      <w:shd w:val="clear" w:color="auto" w:fill="FFFFFF"/>
      <w:spacing w:before="300" w:line="288" w:lineRule="exact"/>
      <w:ind w:hanging="420"/>
    </w:pPr>
    <w:rPr>
      <w:rFonts w:eastAsia="Calibri"/>
      <w:sz w:val="21"/>
      <w:szCs w:val="21"/>
      <w:lang w:eastAsia="lv-LV"/>
    </w:rPr>
  </w:style>
  <w:style w:type="character" w:customStyle="1" w:styleId="apple-converted-space">
    <w:name w:val="apple-converted-space"/>
    <w:basedOn w:val="DefaultParagraphFont"/>
    <w:rsid w:val="007746AE"/>
  </w:style>
  <w:style w:type="table" w:customStyle="1" w:styleId="PlainTable41">
    <w:name w:val="Plain Table 41"/>
    <w:basedOn w:val="TableNormal"/>
    <w:uiPriority w:val="44"/>
    <w:rsid w:val="00314FA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6Colorful-Accent12">
    <w:name w:val="Grid Table 6 Colorful - Accent 12"/>
    <w:basedOn w:val="TableNormal"/>
    <w:uiPriority w:val="51"/>
    <w:rsid w:val="004126AC"/>
    <w:rPr>
      <w:rFonts w:eastAsiaTheme="minorHAnsi" w:cstheme="minorBidi"/>
      <w:color w:val="365F91" w:themeColor="accent1" w:themeShade="BF"/>
      <w:sz w:val="24"/>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rsid w:val="00AC300E"/>
    <w:pPr>
      <w:spacing w:before="100" w:beforeAutospacing="1" w:after="100" w:afterAutospacing="1"/>
      <w:ind w:firstLine="0"/>
      <w:jc w:val="left"/>
    </w:pPr>
    <w:rPr>
      <w:szCs w:val="24"/>
      <w:lang w:eastAsia="lv-LV"/>
    </w:rPr>
  </w:style>
  <w:style w:type="character" w:customStyle="1" w:styleId="normal1">
    <w:name w:val="normal1"/>
    <w:basedOn w:val="DefaultParagraphFont"/>
    <w:rsid w:val="003014FE"/>
    <w:rPr>
      <w:rFonts w:ascii="Helvetica" w:hAnsi="Helvetica" w:cs="Helvetica" w:hint="default"/>
      <w:color w:val="000000"/>
    </w:rPr>
  </w:style>
  <w:style w:type="character" w:customStyle="1" w:styleId="Heading2Char">
    <w:name w:val="Heading 2 Char"/>
    <w:basedOn w:val="DefaultParagraphFont"/>
    <w:link w:val="Heading2"/>
    <w:uiPriority w:val="9"/>
    <w:semiHidden/>
    <w:rsid w:val="00F96D1B"/>
    <w:rPr>
      <w:rFonts w:asciiTheme="majorHAnsi" w:eastAsiaTheme="majorEastAsia" w:hAnsiTheme="majorHAnsi" w:cstheme="majorBidi"/>
      <w:color w:val="365F91" w:themeColor="accent1" w:themeShade="BF"/>
      <w:sz w:val="26"/>
      <w:szCs w:val="26"/>
      <w:lang w:eastAsia="en-US"/>
    </w:rPr>
  </w:style>
  <w:style w:type="paragraph" w:customStyle="1" w:styleId="CharCharCharChar">
    <w:name w:val="Char Char Char Char"/>
    <w:aliases w:val="Char2"/>
    <w:basedOn w:val="Normal"/>
    <w:next w:val="Normal"/>
    <w:link w:val="FootnoteReference"/>
    <w:uiPriority w:val="99"/>
    <w:rsid w:val="00496681"/>
    <w:pPr>
      <w:spacing w:after="160" w:line="240" w:lineRule="exact"/>
      <w:ind w:firstLine="0"/>
      <w:jc w:val="left"/>
      <w:textAlignment w:val="baseline"/>
    </w:pPr>
    <w:rPr>
      <w:rFonts w:ascii="Garamond" w:eastAsia="Calibri" w:hAnsi="Garamond"/>
      <w:sz w:val="20"/>
      <w:vertAlign w:val="superscript"/>
      <w:lang w:eastAsia="lv-LV"/>
    </w:rPr>
  </w:style>
  <w:style w:type="paragraph" w:customStyle="1" w:styleId="tv213">
    <w:name w:val="tv213"/>
    <w:basedOn w:val="Normal"/>
    <w:rsid w:val="00510953"/>
    <w:pPr>
      <w:spacing w:before="100" w:beforeAutospacing="1" w:after="100" w:afterAutospacing="1"/>
      <w:ind w:firstLine="0"/>
      <w:jc w:val="left"/>
    </w:pPr>
    <w:rPr>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5968">
      <w:bodyDiv w:val="1"/>
      <w:marLeft w:val="0"/>
      <w:marRight w:val="0"/>
      <w:marTop w:val="0"/>
      <w:marBottom w:val="0"/>
      <w:divBdr>
        <w:top w:val="none" w:sz="0" w:space="0" w:color="auto"/>
        <w:left w:val="none" w:sz="0" w:space="0" w:color="auto"/>
        <w:bottom w:val="none" w:sz="0" w:space="0" w:color="auto"/>
        <w:right w:val="none" w:sz="0" w:space="0" w:color="auto"/>
      </w:divBdr>
    </w:div>
    <w:div w:id="16855136">
      <w:bodyDiv w:val="1"/>
      <w:marLeft w:val="0"/>
      <w:marRight w:val="0"/>
      <w:marTop w:val="0"/>
      <w:marBottom w:val="0"/>
      <w:divBdr>
        <w:top w:val="none" w:sz="0" w:space="0" w:color="auto"/>
        <w:left w:val="none" w:sz="0" w:space="0" w:color="auto"/>
        <w:bottom w:val="none" w:sz="0" w:space="0" w:color="auto"/>
        <w:right w:val="none" w:sz="0" w:space="0" w:color="auto"/>
      </w:divBdr>
    </w:div>
    <w:div w:id="22679392">
      <w:bodyDiv w:val="1"/>
      <w:marLeft w:val="0"/>
      <w:marRight w:val="0"/>
      <w:marTop w:val="0"/>
      <w:marBottom w:val="0"/>
      <w:divBdr>
        <w:top w:val="none" w:sz="0" w:space="0" w:color="auto"/>
        <w:left w:val="none" w:sz="0" w:space="0" w:color="auto"/>
        <w:bottom w:val="none" w:sz="0" w:space="0" w:color="auto"/>
        <w:right w:val="none" w:sz="0" w:space="0" w:color="auto"/>
      </w:divBdr>
    </w:div>
    <w:div w:id="36514466">
      <w:bodyDiv w:val="1"/>
      <w:marLeft w:val="0"/>
      <w:marRight w:val="0"/>
      <w:marTop w:val="0"/>
      <w:marBottom w:val="0"/>
      <w:divBdr>
        <w:top w:val="none" w:sz="0" w:space="0" w:color="auto"/>
        <w:left w:val="none" w:sz="0" w:space="0" w:color="auto"/>
        <w:bottom w:val="none" w:sz="0" w:space="0" w:color="auto"/>
        <w:right w:val="none" w:sz="0" w:space="0" w:color="auto"/>
      </w:divBdr>
    </w:div>
    <w:div w:id="48655378">
      <w:bodyDiv w:val="1"/>
      <w:marLeft w:val="0"/>
      <w:marRight w:val="0"/>
      <w:marTop w:val="0"/>
      <w:marBottom w:val="0"/>
      <w:divBdr>
        <w:top w:val="none" w:sz="0" w:space="0" w:color="auto"/>
        <w:left w:val="none" w:sz="0" w:space="0" w:color="auto"/>
        <w:bottom w:val="none" w:sz="0" w:space="0" w:color="auto"/>
        <w:right w:val="none" w:sz="0" w:space="0" w:color="auto"/>
      </w:divBdr>
    </w:div>
    <w:div w:id="53548308">
      <w:bodyDiv w:val="1"/>
      <w:marLeft w:val="0"/>
      <w:marRight w:val="0"/>
      <w:marTop w:val="0"/>
      <w:marBottom w:val="0"/>
      <w:divBdr>
        <w:top w:val="none" w:sz="0" w:space="0" w:color="auto"/>
        <w:left w:val="none" w:sz="0" w:space="0" w:color="auto"/>
        <w:bottom w:val="none" w:sz="0" w:space="0" w:color="auto"/>
        <w:right w:val="none" w:sz="0" w:space="0" w:color="auto"/>
      </w:divBdr>
    </w:div>
    <w:div w:id="58018400">
      <w:bodyDiv w:val="1"/>
      <w:marLeft w:val="0"/>
      <w:marRight w:val="0"/>
      <w:marTop w:val="0"/>
      <w:marBottom w:val="0"/>
      <w:divBdr>
        <w:top w:val="none" w:sz="0" w:space="0" w:color="auto"/>
        <w:left w:val="none" w:sz="0" w:space="0" w:color="auto"/>
        <w:bottom w:val="none" w:sz="0" w:space="0" w:color="auto"/>
        <w:right w:val="none" w:sz="0" w:space="0" w:color="auto"/>
      </w:divBdr>
    </w:div>
    <w:div w:id="58863241">
      <w:bodyDiv w:val="1"/>
      <w:marLeft w:val="0"/>
      <w:marRight w:val="0"/>
      <w:marTop w:val="0"/>
      <w:marBottom w:val="0"/>
      <w:divBdr>
        <w:top w:val="none" w:sz="0" w:space="0" w:color="auto"/>
        <w:left w:val="none" w:sz="0" w:space="0" w:color="auto"/>
        <w:bottom w:val="none" w:sz="0" w:space="0" w:color="auto"/>
        <w:right w:val="none" w:sz="0" w:space="0" w:color="auto"/>
      </w:divBdr>
    </w:div>
    <w:div w:id="59524733">
      <w:bodyDiv w:val="1"/>
      <w:marLeft w:val="0"/>
      <w:marRight w:val="0"/>
      <w:marTop w:val="0"/>
      <w:marBottom w:val="0"/>
      <w:divBdr>
        <w:top w:val="none" w:sz="0" w:space="0" w:color="auto"/>
        <w:left w:val="none" w:sz="0" w:space="0" w:color="auto"/>
        <w:bottom w:val="none" w:sz="0" w:space="0" w:color="auto"/>
        <w:right w:val="none" w:sz="0" w:space="0" w:color="auto"/>
      </w:divBdr>
      <w:divsChild>
        <w:div w:id="477651685">
          <w:marLeft w:val="547"/>
          <w:marRight w:val="0"/>
          <w:marTop w:val="115"/>
          <w:marBottom w:val="0"/>
          <w:divBdr>
            <w:top w:val="none" w:sz="0" w:space="0" w:color="auto"/>
            <w:left w:val="none" w:sz="0" w:space="0" w:color="auto"/>
            <w:bottom w:val="none" w:sz="0" w:space="0" w:color="auto"/>
            <w:right w:val="none" w:sz="0" w:space="0" w:color="auto"/>
          </w:divBdr>
        </w:div>
      </w:divsChild>
    </w:div>
    <w:div w:id="67191889">
      <w:bodyDiv w:val="1"/>
      <w:marLeft w:val="0"/>
      <w:marRight w:val="0"/>
      <w:marTop w:val="0"/>
      <w:marBottom w:val="0"/>
      <w:divBdr>
        <w:top w:val="none" w:sz="0" w:space="0" w:color="auto"/>
        <w:left w:val="none" w:sz="0" w:space="0" w:color="auto"/>
        <w:bottom w:val="none" w:sz="0" w:space="0" w:color="auto"/>
        <w:right w:val="none" w:sz="0" w:space="0" w:color="auto"/>
      </w:divBdr>
    </w:div>
    <w:div w:id="76100679">
      <w:bodyDiv w:val="1"/>
      <w:marLeft w:val="0"/>
      <w:marRight w:val="0"/>
      <w:marTop w:val="0"/>
      <w:marBottom w:val="0"/>
      <w:divBdr>
        <w:top w:val="none" w:sz="0" w:space="0" w:color="auto"/>
        <w:left w:val="none" w:sz="0" w:space="0" w:color="auto"/>
        <w:bottom w:val="none" w:sz="0" w:space="0" w:color="auto"/>
        <w:right w:val="none" w:sz="0" w:space="0" w:color="auto"/>
      </w:divBdr>
    </w:div>
    <w:div w:id="78215503">
      <w:bodyDiv w:val="1"/>
      <w:marLeft w:val="0"/>
      <w:marRight w:val="0"/>
      <w:marTop w:val="0"/>
      <w:marBottom w:val="0"/>
      <w:divBdr>
        <w:top w:val="none" w:sz="0" w:space="0" w:color="auto"/>
        <w:left w:val="none" w:sz="0" w:space="0" w:color="auto"/>
        <w:bottom w:val="none" w:sz="0" w:space="0" w:color="auto"/>
        <w:right w:val="none" w:sz="0" w:space="0" w:color="auto"/>
      </w:divBdr>
    </w:div>
    <w:div w:id="78602517">
      <w:bodyDiv w:val="1"/>
      <w:marLeft w:val="0"/>
      <w:marRight w:val="0"/>
      <w:marTop w:val="0"/>
      <w:marBottom w:val="0"/>
      <w:divBdr>
        <w:top w:val="none" w:sz="0" w:space="0" w:color="auto"/>
        <w:left w:val="none" w:sz="0" w:space="0" w:color="auto"/>
        <w:bottom w:val="none" w:sz="0" w:space="0" w:color="auto"/>
        <w:right w:val="none" w:sz="0" w:space="0" w:color="auto"/>
      </w:divBdr>
    </w:div>
    <w:div w:id="78841574">
      <w:bodyDiv w:val="1"/>
      <w:marLeft w:val="0"/>
      <w:marRight w:val="0"/>
      <w:marTop w:val="0"/>
      <w:marBottom w:val="0"/>
      <w:divBdr>
        <w:top w:val="none" w:sz="0" w:space="0" w:color="auto"/>
        <w:left w:val="none" w:sz="0" w:space="0" w:color="auto"/>
        <w:bottom w:val="none" w:sz="0" w:space="0" w:color="auto"/>
        <w:right w:val="none" w:sz="0" w:space="0" w:color="auto"/>
      </w:divBdr>
    </w:div>
    <w:div w:id="97528532">
      <w:bodyDiv w:val="1"/>
      <w:marLeft w:val="0"/>
      <w:marRight w:val="0"/>
      <w:marTop w:val="0"/>
      <w:marBottom w:val="0"/>
      <w:divBdr>
        <w:top w:val="none" w:sz="0" w:space="0" w:color="auto"/>
        <w:left w:val="none" w:sz="0" w:space="0" w:color="auto"/>
        <w:bottom w:val="none" w:sz="0" w:space="0" w:color="auto"/>
        <w:right w:val="none" w:sz="0" w:space="0" w:color="auto"/>
      </w:divBdr>
    </w:div>
    <w:div w:id="104665875">
      <w:bodyDiv w:val="1"/>
      <w:marLeft w:val="0"/>
      <w:marRight w:val="0"/>
      <w:marTop w:val="0"/>
      <w:marBottom w:val="0"/>
      <w:divBdr>
        <w:top w:val="none" w:sz="0" w:space="0" w:color="auto"/>
        <w:left w:val="none" w:sz="0" w:space="0" w:color="auto"/>
        <w:bottom w:val="none" w:sz="0" w:space="0" w:color="auto"/>
        <w:right w:val="none" w:sz="0" w:space="0" w:color="auto"/>
      </w:divBdr>
    </w:div>
    <w:div w:id="106513084">
      <w:bodyDiv w:val="1"/>
      <w:marLeft w:val="0"/>
      <w:marRight w:val="0"/>
      <w:marTop w:val="0"/>
      <w:marBottom w:val="0"/>
      <w:divBdr>
        <w:top w:val="none" w:sz="0" w:space="0" w:color="auto"/>
        <w:left w:val="none" w:sz="0" w:space="0" w:color="auto"/>
        <w:bottom w:val="none" w:sz="0" w:space="0" w:color="auto"/>
        <w:right w:val="none" w:sz="0" w:space="0" w:color="auto"/>
      </w:divBdr>
    </w:div>
    <w:div w:id="112066602">
      <w:bodyDiv w:val="1"/>
      <w:marLeft w:val="0"/>
      <w:marRight w:val="0"/>
      <w:marTop w:val="0"/>
      <w:marBottom w:val="0"/>
      <w:divBdr>
        <w:top w:val="none" w:sz="0" w:space="0" w:color="auto"/>
        <w:left w:val="none" w:sz="0" w:space="0" w:color="auto"/>
        <w:bottom w:val="none" w:sz="0" w:space="0" w:color="auto"/>
        <w:right w:val="none" w:sz="0" w:space="0" w:color="auto"/>
      </w:divBdr>
    </w:div>
    <w:div w:id="115956441">
      <w:bodyDiv w:val="1"/>
      <w:marLeft w:val="0"/>
      <w:marRight w:val="0"/>
      <w:marTop w:val="0"/>
      <w:marBottom w:val="0"/>
      <w:divBdr>
        <w:top w:val="none" w:sz="0" w:space="0" w:color="auto"/>
        <w:left w:val="none" w:sz="0" w:space="0" w:color="auto"/>
        <w:bottom w:val="none" w:sz="0" w:space="0" w:color="auto"/>
        <w:right w:val="none" w:sz="0" w:space="0" w:color="auto"/>
      </w:divBdr>
    </w:div>
    <w:div w:id="118569232">
      <w:bodyDiv w:val="1"/>
      <w:marLeft w:val="0"/>
      <w:marRight w:val="0"/>
      <w:marTop w:val="0"/>
      <w:marBottom w:val="0"/>
      <w:divBdr>
        <w:top w:val="none" w:sz="0" w:space="0" w:color="auto"/>
        <w:left w:val="none" w:sz="0" w:space="0" w:color="auto"/>
        <w:bottom w:val="none" w:sz="0" w:space="0" w:color="auto"/>
        <w:right w:val="none" w:sz="0" w:space="0" w:color="auto"/>
      </w:divBdr>
    </w:div>
    <w:div w:id="135147638">
      <w:bodyDiv w:val="1"/>
      <w:marLeft w:val="0"/>
      <w:marRight w:val="0"/>
      <w:marTop w:val="0"/>
      <w:marBottom w:val="0"/>
      <w:divBdr>
        <w:top w:val="none" w:sz="0" w:space="0" w:color="auto"/>
        <w:left w:val="none" w:sz="0" w:space="0" w:color="auto"/>
        <w:bottom w:val="none" w:sz="0" w:space="0" w:color="auto"/>
        <w:right w:val="none" w:sz="0" w:space="0" w:color="auto"/>
      </w:divBdr>
    </w:div>
    <w:div w:id="145319776">
      <w:bodyDiv w:val="1"/>
      <w:marLeft w:val="0"/>
      <w:marRight w:val="0"/>
      <w:marTop w:val="0"/>
      <w:marBottom w:val="0"/>
      <w:divBdr>
        <w:top w:val="none" w:sz="0" w:space="0" w:color="auto"/>
        <w:left w:val="none" w:sz="0" w:space="0" w:color="auto"/>
        <w:bottom w:val="none" w:sz="0" w:space="0" w:color="auto"/>
        <w:right w:val="none" w:sz="0" w:space="0" w:color="auto"/>
      </w:divBdr>
    </w:div>
    <w:div w:id="152533527">
      <w:bodyDiv w:val="1"/>
      <w:marLeft w:val="0"/>
      <w:marRight w:val="0"/>
      <w:marTop w:val="0"/>
      <w:marBottom w:val="0"/>
      <w:divBdr>
        <w:top w:val="none" w:sz="0" w:space="0" w:color="auto"/>
        <w:left w:val="none" w:sz="0" w:space="0" w:color="auto"/>
        <w:bottom w:val="none" w:sz="0" w:space="0" w:color="auto"/>
        <w:right w:val="none" w:sz="0" w:space="0" w:color="auto"/>
      </w:divBdr>
    </w:div>
    <w:div w:id="159388067">
      <w:bodyDiv w:val="1"/>
      <w:marLeft w:val="0"/>
      <w:marRight w:val="0"/>
      <w:marTop w:val="0"/>
      <w:marBottom w:val="0"/>
      <w:divBdr>
        <w:top w:val="none" w:sz="0" w:space="0" w:color="auto"/>
        <w:left w:val="none" w:sz="0" w:space="0" w:color="auto"/>
        <w:bottom w:val="none" w:sz="0" w:space="0" w:color="auto"/>
        <w:right w:val="none" w:sz="0" w:space="0" w:color="auto"/>
      </w:divBdr>
    </w:div>
    <w:div w:id="182013953">
      <w:bodyDiv w:val="1"/>
      <w:marLeft w:val="0"/>
      <w:marRight w:val="0"/>
      <w:marTop w:val="0"/>
      <w:marBottom w:val="0"/>
      <w:divBdr>
        <w:top w:val="none" w:sz="0" w:space="0" w:color="auto"/>
        <w:left w:val="none" w:sz="0" w:space="0" w:color="auto"/>
        <w:bottom w:val="none" w:sz="0" w:space="0" w:color="auto"/>
        <w:right w:val="none" w:sz="0" w:space="0" w:color="auto"/>
      </w:divBdr>
    </w:div>
    <w:div w:id="217933036">
      <w:bodyDiv w:val="1"/>
      <w:marLeft w:val="0"/>
      <w:marRight w:val="0"/>
      <w:marTop w:val="0"/>
      <w:marBottom w:val="0"/>
      <w:divBdr>
        <w:top w:val="none" w:sz="0" w:space="0" w:color="auto"/>
        <w:left w:val="none" w:sz="0" w:space="0" w:color="auto"/>
        <w:bottom w:val="none" w:sz="0" w:space="0" w:color="auto"/>
        <w:right w:val="none" w:sz="0" w:space="0" w:color="auto"/>
      </w:divBdr>
    </w:div>
    <w:div w:id="246577193">
      <w:bodyDiv w:val="1"/>
      <w:marLeft w:val="0"/>
      <w:marRight w:val="0"/>
      <w:marTop w:val="0"/>
      <w:marBottom w:val="0"/>
      <w:divBdr>
        <w:top w:val="none" w:sz="0" w:space="0" w:color="auto"/>
        <w:left w:val="none" w:sz="0" w:space="0" w:color="auto"/>
        <w:bottom w:val="none" w:sz="0" w:space="0" w:color="auto"/>
        <w:right w:val="none" w:sz="0" w:space="0" w:color="auto"/>
      </w:divBdr>
    </w:div>
    <w:div w:id="251207869">
      <w:bodyDiv w:val="1"/>
      <w:marLeft w:val="0"/>
      <w:marRight w:val="0"/>
      <w:marTop w:val="0"/>
      <w:marBottom w:val="0"/>
      <w:divBdr>
        <w:top w:val="none" w:sz="0" w:space="0" w:color="auto"/>
        <w:left w:val="none" w:sz="0" w:space="0" w:color="auto"/>
        <w:bottom w:val="none" w:sz="0" w:space="0" w:color="auto"/>
        <w:right w:val="none" w:sz="0" w:space="0" w:color="auto"/>
      </w:divBdr>
    </w:div>
    <w:div w:id="253056533">
      <w:bodyDiv w:val="1"/>
      <w:marLeft w:val="0"/>
      <w:marRight w:val="0"/>
      <w:marTop w:val="0"/>
      <w:marBottom w:val="0"/>
      <w:divBdr>
        <w:top w:val="none" w:sz="0" w:space="0" w:color="auto"/>
        <w:left w:val="none" w:sz="0" w:space="0" w:color="auto"/>
        <w:bottom w:val="none" w:sz="0" w:space="0" w:color="auto"/>
        <w:right w:val="none" w:sz="0" w:space="0" w:color="auto"/>
      </w:divBdr>
    </w:div>
    <w:div w:id="257448177">
      <w:bodyDiv w:val="1"/>
      <w:marLeft w:val="0"/>
      <w:marRight w:val="0"/>
      <w:marTop w:val="0"/>
      <w:marBottom w:val="0"/>
      <w:divBdr>
        <w:top w:val="none" w:sz="0" w:space="0" w:color="auto"/>
        <w:left w:val="none" w:sz="0" w:space="0" w:color="auto"/>
        <w:bottom w:val="none" w:sz="0" w:space="0" w:color="auto"/>
        <w:right w:val="none" w:sz="0" w:space="0" w:color="auto"/>
      </w:divBdr>
    </w:div>
    <w:div w:id="259484736">
      <w:bodyDiv w:val="1"/>
      <w:marLeft w:val="0"/>
      <w:marRight w:val="0"/>
      <w:marTop w:val="0"/>
      <w:marBottom w:val="0"/>
      <w:divBdr>
        <w:top w:val="none" w:sz="0" w:space="0" w:color="auto"/>
        <w:left w:val="none" w:sz="0" w:space="0" w:color="auto"/>
        <w:bottom w:val="none" w:sz="0" w:space="0" w:color="auto"/>
        <w:right w:val="none" w:sz="0" w:space="0" w:color="auto"/>
      </w:divBdr>
    </w:div>
    <w:div w:id="260527160">
      <w:bodyDiv w:val="1"/>
      <w:marLeft w:val="0"/>
      <w:marRight w:val="0"/>
      <w:marTop w:val="0"/>
      <w:marBottom w:val="0"/>
      <w:divBdr>
        <w:top w:val="none" w:sz="0" w:space="0" w:color="auto"/>
        <w:left w:val="none" w:sz="0" w:space="0" w:color="auto"/>
        <w:bottom w:val="none" w:sz="0" w:space="0" w:color="auto"/>
        <w:right w:val="none" w:sz="0" w:space="0" w:color="auto"/>
      </w:divBdr>
    </w:div>
    <w:div w:id="278025090">
      <w:bodyDiv w:val="1"/>
      <w:marLeft w:val="0"/>
      <w:marRight w:val="0"/>
      <w:marTop w:val="0"/>
      <w:marBottom w:val="0"/>
      <w:divBdr>
        <w:top w:val="none" w:sz="0" w:space="0" w:color="auto"/>
        <w:left w:val="none" w:sz="0" w:space="0" w:color="auto"/>
        <w:bottom w:val="none" w:sz="0" w:space="0" w:color="auto"/>
        <w:right w:val="none" w:sz="0" w:space="0" w:color="auto"/>
      </w:divBdr>
    </w:div>
    <w:div w:id="315257808">
      <w:bodyDiv w:val="1"/>
      <w:marLeft w:val="0"/>
      <w:marRight w:val="0"/>
      <w:marTop w:val="0"/>
      <w:marBottom w:val="0"/>
      <w:divBdr>
        <w:top w:val="none" w:sz="0" w:space="0" w:color="auto"/>
        <w:left w:val="none" w:sz="0" w:space="0" w:color="auto"/>
        <w:bottom w:val="none" w:sz="0" w:space="0" w:color="auto"/>
        <w:right w:val="none" w:sz="0" w:space="0" w:color="auto"/>
      </w:divBdr>
    </w:div>
    <w:div w:id="320081712">
      <w:bodyDiv w:val="1"/>
      <w:marLeft w:val="0"/>
      <w:marRight w:val="0"/>
      <w:marTop w:val="0"/>
      <w:marBottom w:val="0"/>
      <w:divBdr>
        <w:top w:val="none" w:sz="0" w:space="0" w:color="auto"/>
        <w:left w:val="none" w:sz="0" w:space="0" w:color="auto"/>
        <w:bottom w:val="none" w:sz="0" w:space="0" w:color="auto"/>
        <w:right w:val="none" w:sz="0" w:space="0" w:color="auto"/>
      </w:divBdr>
    </w:div>
    <w:div w:id="323509622">
      <w:bodyDiv w:val="1"/>
      <w:marLeft w:val="0"/>
      <w:marRight w:val="0"/>
      <w:marTop w:val="0"/>
      <w:marBottom w:val="0"/>
      <w:divBdr>
        <w:top w:val="none" w:sz="0" w:space="0" w:color="auto"/>
        <w:left w:val="none" w:sz="0" w:space="0" w:color="auto"/>
        <w:bottom w:val="none" w:sz="0" w:space="0" w:color="auto"/>
        <w:right w:val="none" w:sz="0" w:space="0" w:color="auto"/>
      </w:divBdr>
    </w:div>
    <w:div w:id="323709127">
      <w:bodyDiv w:val="1"/>
      <w:marLeft w:val="0"/>
      <w:marRight w:val="0"/>
      <w:marTop w:val="0"/>
      <w:marBottom w:val="0"/>
      <w:divBdr>
        <w:top w:val="none" w:sz="0" w:space="0" w:color="auto"/>
        <w:left w:val="none" w:sz="0" w:space="0" w:color="auto"/>
        <w:bottom w:val="none" w:sz="0" w:space="0" w:color="auto"/>
        <w:right w:val="none" w:sz="0" w:space="0" w:color="auto"/>
      </w:divBdr>
    </w:div>
    <w:div w:id="335159526">
      <w:bodyDiv w:val="1"/>
      <w:marLeft w:val="0"/>
      <w:marRight w:val="0"/>
      <w:marTop w:val="0"/>
      <w:marBottom w:val="0"/>
      <w:divBdr>
        <w:top w:val="none" w:sz="0" w:space="0" w:color="auto"/>
        <w:left w:val="none" w:sz="0" w:space="0" w:color="auto"/>
        <w:bottom w:val="none" w:sz="0" w:space="0" w:color="auto"/>
        <w:right w:val="none" w:sz="0" w:space="0" w:color="auto"/>
      </w:divBdr>
    </w:div>
    <w:div w:id="349719528">
      <w:bodyDiv w:val="1"/>
      <w:marLeft w:val="0"/>
      <w:marRight w:val="0"/>
      <w:marTop w:val="0"/>
      <w:marBottom w:val="0"/>
      <w:divBdr>
        <w:top w:val="none" w:sz="0" w:space="0" w:color="auto"/>
        <w:left w:val="none" w:sz="0" w:space="0" w:color="auto"/>
        <w:bottom w:val="none" w:sz="0" w:space="0" w:color="auto"/>
        <w:right w:val="none" w:sz="0" w:space="0" w:color="auto"/>
      </w:divBdr>
    </w:div>
    <w:div w:id="353307604">
      <w:bodyDiv w:val="1"/>
      <w:marLeft w:val="0"/>
      <w:marRight w:val="0"/>
      <w:marTop w:val="0"/>
      <w:marBottom w:val="0"/>
      <w:divBdr>
        <w:top w:val="none" w:sz="0" w:space="0" w:color="auto"/>
        <w:left w:val="none" w:sz="0" w:space="0" w:color="auto"/>
        <w:bottom w:val="none" w:sz="0" w:space="0" w:color="auto"/>
        <w:right w:val="none" w:sz="0" w:space="0" w:color="auto"/>
      </w:divBdr>
    </w:div>
    <w:div w:id="391199432">
      <w:bodyDiv w:val="1"/>
      <w:marLeft w:val="0"/>
      <w:marRight w:val="0"/>
      <w:marTop w:val="0"/>
      <w:marBottom w:val="0"/>
      <w:divBdr>
        <w:top w:val="none" w:sz="0" w:space="0" w:color="auto"/>
        <w:left w:val="none" w:sz="0" w:space="0" w:color="auto"/>
        <w:bottom w:val="none" w:sz="0" w:space="0" w:color="auto"/>
        <w:right w:val="none" w:sz="0" w:space="0" w:color="auto"/>
      </w:divBdr>
    </w:div>
    <w:div w:id="424544038">
      <w:bodyDiv w:val="1"/>
      <w:marLeft w:val="0"/>
      <w:marRight w:val="0"/>
      <w:marTop w:val="0"/>
      <w:marBottom w:val="0"/>
      <w:divBdr>
        <w:top w:val="none" w:sz="0" w:space="0" w:color="auto"/>
        <w:left w:val="none" w:sz="0" w:space="0" w:color="auto"/>
        <w:bottom w:val="none" w:sz="0" w:space="0" w:color="auto"/>
        <w:right w:val="none" w:sz="0" w:space="0" w:color="auto"/>
      </w:divBdr>
    </w:div>
    <w:div w:id="436950152">
      <w:bodyDiv w:val="1"/>
      <w:marLeft w:val="0"/>
      <w:marRight w:val="0"/>
      <w:marTop w:val="0"/>
      <w:marBottom w:val="0"/>
      <w:divBdr>
        <w:top w:val="none" w:sz="0" w:space="0" w:color="auto"/>
        <w:left w:val="none" w:sz="0" w:space="0" w:color="auto"/>
        <w:bottom w:val="none" w:sz="0" w:space="0" w:color="auto"/>
        <w:right w:val="none" w:sz="0" w:space="0" w:color="auto"/>
      </w:divBdr>
    </w:div>
    <w:div w:id="474951935">
      <w:bodyDiv w:val="1"/>
      <w:marLeft w:val="0"/>
      <w:marRight w:val="0"/>
      <w:marTop w:val="0"/>
      <w:marBottom w:val="0"/>
      <w:divBdr>
        <w:top w:val="none" w:sz="0" w:space="0" w:color="auto"/>
        <w:left w:val="none" w:sz="0" w:space="0" w:color="auto"/>
        <w:bottom w:val="none" w:sz="0" w:space="0" w:color="auto"/>
        <w:right w:val="none" w:sz="0" w:space="0" w:color="auto"/>
      </w:divBdr>
    </w:div>
    <w:div w:id="482506125">
      <w:bodyDiv w:val="1"/>
      <w:marLeft w:val="0"/>
      <w:marRight w:val="0"/>
      <w:marTop w:val="0"/>
      <w:marBottom w:val="0"/>
      <w:divBdr>
        <w:top w:val="none" w:sz="0" w:space="0" w:color="auto"/>
        <w:left w:val="none" w:sz="0" w:space="0" w:color="auto"/>
        <w:bottom w:val="none" w:sz="0" w:space="0" w:color="auto"/>
        <w:right w:val="none" w:sz="0" w:space="0" w:color="auto"/>
      </w:divBdr>
    </w:div>
    <w:div w:id="489758182">
      <w:bodyDiv w:val="1"/>
      <w:marLeft w:val="0"/>
      <w:marRight w:val="0"/>
      <w:marTop w:val="0"/>
      <w:marBottom w:val="0"/>
      <w:divBdr>
        <w:top w:val="none" w:sz="0" w:space="0" w:color="auto"/>
        <w:left w:val="none" w:sz="0" w:space="0" w:color="auto"/>
        <w:bottom w:val="none" w:sz="0" w:space="0" w:color="auto"/>
        <w:right w:val="none" w:sz="0" w:space="0" w:color="auto"/>
      </w:divBdr>
    </w:div>
    <w:div w:id="489902815">
      <w:bodyDiv w:val="1"/>
      <w:marLeft w:val="0"/>
      <w:marRight w:val="0"/>
      <w:marTop w:val="0"/>
      <w:marBottom w:val="0"/>
      <w:divBdr>
        <w:top w:val="none" w:sz="0" w:space="0" w:color="auto"/>
        <w:left w:val="none" w:sz="0" w:space="0" w:color="auto"/>
        <w:bottom w:val="none" w:sz="0" w:space="0" w:color="auto"/>
        <w:right w:val="none" w:sz="0" w:space="0" w:color="auto"/>
      </w:divBdr>
    </w:div>
    <w:div w:id="493106066">
      <w:bodyDiv w:val="1"/>
      <w:marLeft w:val="0"/>
      <w:marRight w:val="0"/>
      <w:marTop w:val="0"/>
      <w:marBottom w:val="0"/>
      <w:divBdr>
        <w:top w:val="none" w:sz="0" w:space="0" w:color="auto"/>
        <w:left w:val="none" w:sz="0" w:space="0" w:color="auto"/>
        <w:bottom w:val="none" w:sz="0" w:space="0" w:color="auto"/>
        <w:right w:val="none" w:sz="0" w:space="0" w:color="auto"/>
      </w:divBdr>
    </w:div>
    <w:div w:id="573315087">
      <w:bodyDiv w:val="1"/>
      <w:marLeft w:val="0"/>
      <w:marRight w:val="0"/>
      <w:marTop w:val="0"/>
      <w:marBottom w:val="0"/>
      <w:divBdr>
        <w:top w:val="none" w:sz="0" w:space="0" w:color="auto"/>
        <w:left w:val="none" w:sz="0" w:space="0" w:color="auto"/>
        <w:bottom w:val="none" w:sz="0" w:space="0" w:color="auto"/>
        <w:right w:val="none" w:sz="0" w:space="0" w:color="auto"/>
      </w:divBdr>
    </w:div>
    <w:div w:id="583536455">
      <w:bodyDiv w:val="1"/>
      <w:marLeft w:val="0"/>
      <w:marRight w:val="0"/>
      <w:marTop w:val="0"/>
      <w:marBottom w:val="0"/>
      <w:divBdr>
        <w:top w:val="none" w:sz="0" w:space="0" w:color="auto"/>
        <w:left w:val="none" w:sz="0" w:space="0" w:color="auto"/>
        <w:bottom w:val="none" w:sz="0" w:space="0" w:color="auto"/>
        <w:right w:val="none" w:sz="0" w:space="0" w:color="auto"/>
      </w:divBdr>
    </w:div>
    <w:div w:id="595022385">
      <w:bodyDiv w:val="1"/>
      <w:marLeft w:val="0"/>
      <w:marRight w:val="0"/>
      <w:marTop w:val="0"/>
      <w:marBottom w:val="0"/>
      <w:divBdr>
        <w:top w:val="none" w:sz="0" w:space="0" w:color="auto"/>
        <w:left w:val="none" w:sz="0" w:space="0" w:color="auto"/>
        <w:bottom w:val="none" w:sz="0" w:space="0" w:color="auto"/>
        <w:right w:val="none" w:sz="0" w:space="0" w:color="auto"/>
      </w:divBdr>
    </w:div>
    <w:div w:id="599265878">
      <w:bodyDiv w:val="1"/>
      <w:marLeft w:val="0"/>
      <w:marRight w:val="0"/>
      <w:marTop w:val="0"/>
      <w:marBottom w:val="0"/>
      <w:divBdr>
        <w:top w:val="none" w:sz="0" w:space="0" w:color="auto"/>
        <w:left w:val="none" w:sz="0" w:space="0" w:color="auto"/>
        <w:bottom w:val="none" w:sz="0" w:space="0" w:color="auto"/>
        <w:right w:val="none" w:sz="0" w:space="0" w:color="auto"/>
      </w:divBdr>
    </w:div>
    <w:div w:id="613170549">
      <w:bodyDiv w:val="1"/>
      <w:marLeft w:val="0"/>
      <w:marRight w:val="0"/>
      <w:marTop w:val="0"/>
      <w:marBottom w:val="0"/>
      <w:divBdr>
        <w:top w:val="none" w:sz="0" w:space="0" w:color="auto"/>
        <w:left w:val="none" w:sz="0" w:space="0" w:color="auto"/>
        <w:bottom w:val="none" w:sz="0" w:space="0" w:color="auto"/>
        <w:right w:val="none" w:sz="0" w:space="0" w:color="auto"/>
      </w:divBdr>
    </w:div>
    <w:div w:id="615067437">
      <w:bodyDiv w:val="1"/>
      <w:marLeft w:val="0"/>
      <w:marRight w:val="0"/>
      <w:marTop w:val="0"/>
      <w:marBottom w:val="0"/>
      <w:divBdr>
        <w:top w:val="none" w:sz="0" w:space="0" w:color="auto"/>
        <w:left w:val="none" w:sz="0" w:space="0" w:color="auto"/>
        <w:bottom w:val="none" w:sz="0" w:space="0" w:color="auto"/>
        <w:right w:val="none" w:sz="0" w:space="0" w:color="auto"/>
      </w:divBdr>
    </w:div>
    <w:div w:id="624384943">
      <w:bodyDiv w:val="1"/>
      <w:marLeft w:val="0"/>
      <w:marRight w:val="0"/>
      <w:marTop w:val="0"/>
      <w:marBottom w:val="0"/>
      <w:divBdr>
        <w:top w:val="none" w:sz="0" w:space="0" w:color="auto"/>
        <w:left w:val="none" w:sz="0" w:space="0" w:color="auto"/>
        <w:bottom w:val="none" w:sz="0" w:space="0" w:color="auto"/>
        <w:right w:val="none" w:sz="0" w:space="0" w:color="auto"/>
      </w:divBdr>
    </w:div>
    <w:div w:id="662705630">
      <w:bodyDiv w:val="1"/>
      <w:marLeft w:val="0"/>
      <w:marRight w:val="0"/>
      <w:marTop w:val="0"/>
      <w:marBottom w:val="0"/>
      <w:divBdr>
        <w:top w:val="none" w:sz="0" w:space="0" w:color="auto"/>
        <w:left w:val="none" w:sz="0" w:space="0" w:color="auto"/>
        <w:bottom w:val="none" w:sz="0" w:space="0" w:color="auto"/>
        <w:right w:val="none" w:sz="0" w:space="0" w:color="auto"/>
      </w:divBdr>
    </w:div>
    <w:div w:id="670328169">
      <w:bodyDiv w:val="1"/>
      <w:marLeft w:val="0"/>
      <w:marRight w:val="0"/>
      <w:marTop w:val="0"/>
      <w:marBottom w:val="0"/>
      <w:divBdr>
        <w:top w:val="none" w:sz="0" w:space="0" w:color="auto"/>
        <w:left w:val="none" w:sz="0" w:space="0" w:color="auto"/>
        <w:bottom w:val="none" w:sz="0" w:space="0" w:color="auto"/>
        <w:right w:val="none" w:sz="0" w:space="0" w:color="auto"/>
      </w:divBdr>
    </w:div>
    <w:div w:id="677273377">
      <w:bodyDiv w:val="1"/>
      <w:marLeft w:val="0"/>
      <w:marRight w:val="0"/>
      <w:marTop w:val="0"/>
      <w:marBottom w:val="0"/>
      <w:divBdr>
        <w:top w:val="none" w:sz="0" w:space="0" w:color="auto"/>
        <w:left w:val="none" w:sz="0" w:space="0" w:color="auto"/>
        <w:bottom w:val="none" w:sz="0" w:space="0" w:color="auto"/>
        <w:right w:val="none" w:sz="0" w:space="0" w:color="auto"/>
      </w:divBdr>
    </w:div>
    <w:div w:id="697852258">
      <w:bodyDiv w:val="1"/>
      <w:marLeft w:val="0"/>
      <w:marRight w:val="0"/>
      <w:marTop w:val="0"/>
      <w:marBottom w:val="0"/>
      <w:divBdr>
        <w:top w:val="none" w:sz="0" w:space="0" w:color="auto"/>
        <w:left w:val="none" w:sz="0" w:space="0" w:color="auto"/>
        <w:bottom w:val="none" w:sz="0" w:space="0" w:color="auto"/>
        <w:right w:val="none" w:sz="0" w:space="0" w:color="auto"/>
      </w:divBdr>
    </w:div>
    <w:div w:id="698050177">
      <w:bodyDiv w:val="1"/>
      <w:marLeft w:val="0"/>
      <w:marRight w:val="0"/>
      <w:marTop w:val="0"/>
      <w:marBottom w:val="0"/>
      <w:divBdr>
        <w:top w:val="none" w:sz="0" w:space="0" w:color="auto"/>
        <w:left w:val="none" w:sz="0" w:space="0" w:color="auto"/>
        <w:bottom w:val="none" w:sz="0" w:space="0" w:color="auto"/>
        <w:right w:val="none" w:sz="0" w:space="0" w:color="auto"/>
      </w:divBdr>
    </w:div>
    <w:div w:id="711031402">
      <w:bodyDiv w:val="1"/>
      <w:marLeft w:val="0"/>
      <w:marRight w:val="0"/>
      <w:marTop w:val="0"/>
      <w:marBottom w:val="0"/>
      <w:divBdr>
        <w:top w:val="none" w:sz="0" w:space="0" w:color="auto"/>
        <w:left w:val="none" w:sz="0" w:space="0" w:color="auto"/>
        <w:bottom w:val="none" w:sz="0" w:space="0" w:color="auto"/>
        <w:right w:val="none" w:sz="0" w:space="0" w:color="auto"/>
      </w:divBdr>
    </w:div>
    <w:div w:id="732191853">
      <w:bodyDiv w:val="1"/>
      <w:marLeft w:val="0"/>
      <w:marRight w:val="0"/>
      <w:marTop w:val="0"/>
      <w:marBottom w:val="0"/>
      <w:divBdr>
        <w:top w:val="none" w:sz="0" w:space="0" w:color="auto"/>
        <w:left w:val="none" w:sz="0" w:space="0" w:color="auto"/>
        <w:bottom w:val="none" w:sz="0" w:space="0" w:color="auto"/>
        <w:right w:val="none" w:sz="0" w:space="0" w:color="auto"/>
      </w:divBdr>
    </w:div>
    <w:div w:id="741949177">
      <w:bodyDiv w:val="1"/>
      <w:marLeft w:val="0"/>
      <w:marRight w:val="0"/>
      <w:marTop w:val="0"/>
      <w:marBottom w:val="0"/>
      <w:divBdr>
        <w:top w:val="none" w:sz="0" w:space="0" w:color="auto"/>
        <w:left w:val="none" w:sz="0" w:space="0" w:color="auto"/>
        <w:bottom w:val="none" w:sz="0" w:space="0" w:color="auto"/>
        <w:right w:val="none" w:sz="0" w:space="0" w:color="auto"/>
      </w:divBdr>
    </w:div>
    <w:div w:id="745415715">
      <w:bodyDiv w:val="1"/>
      <w:marLeft w:val="0"/>
      <w:marRight w:val="0"/>
      <w:marTop w:val="0"/>
      <w:marBottom w:val="0"/>
      <w:divBdr>
        <w:top w:val="none" w:sz="0" w:space="0" w:color="auto"/>
        <w:left w:val="none" w:sz="0" w:space="0" w:color="auto"/>
        <w:bottom w:val="none" w:sz="0" w:space="0" w:color="auto"/>
        <w:right w:val="none" w:sz="0" w:space="0" w:color="auto"/>
      </w:divBdr>
    </w:div>
    <w:div w:id="746808589">
      <w:bodyDiv w:val="1"/>
      <w:marLeft w:val="0"/>
      <w:marRight w:val="0"/>
      <w:marTop w:val="0"/>
      <w:marBottom w:val="0"/>
      <w:divBdr>
        <w:top w:val="none" w:sz="0" w:space="0" w:color="auto"/>
        <w:left w:val="none" w:sz="0" w:space="0" w:color="auto"/>
        <w:bottom w:val="none" w:sz="0" w:space="0" w:color="auto"/>
        <w:right w:val="none" w:sz="0" w:space="0" w:color="auto"/>
      </w:divBdr>
    </w:div>
    <w:div w:id="749158900">
      <w:bodyDiv w:val="1"/>
      <w:marLeft w:val="0"/>
      <w:marRight w:val="0"/>
      <w:marTop w:val="0"/>
      <w:marBottom w:val="0"/>
      <w:divBdr>
        <w:top w:val="none" w:sz="0" w:space="0" w:color="auto"/>
        <w:left w:val="none" w:sz="0" w:space="0" w:color="auto"/>
        <w:bottom w:val="none" w:sz="0" w:space="0" w:color="auto"/>
        <w:right w:val="none" w:sz="0" w:space="0" w:color="auto"/>
      </w:divBdr>
    </w:div>
    <w:div w:id="750741774">
      <w:bodyDiv w:val="1"/>
      <w:marLeft w:val="0"/>
      <w:marRight w:val="0"/>
      <w:marTop w:val="0"/>
      <w:marBottom w:val="0"/>
      <w:divBdr>
        <w:top w:val="none" w:sz="0" w:space="0" w:color="auto"/>
        <w:left w:val="none" w:sz="0" w:space="0" w:color="auto"/>
        <w:bottom w:val="none" w:sz="0" w:space="0" w:color="auto"/>
        <w:right w:val="none" w:sz="0" w:space="0" w:color="auto"/>
      </w:divBdr>
    </w:div>
    <w:div w:id="752816211">
      <w:bodyDiv w:val="1"/>
      <w:marLeft w:val="0"/>
      <w:marRight w:val="0"/>
      <w:marTop w:val="0"/>
      <w:marBottom w:val="0"/>
      <w:divBdr>
        <w:top w:val="none" w:sz="0" w:space="0" w:color="auto"/>
        <w:left w:val="none" w:sz="0" w:space="0" w:color="auto"/>
        <w:bottom w:val="none" w:sz="0" w:space="0" w:color="auto"/>
        <w:right w:val="none" w:sz="0" w:space="0" w:color="auto"/>
      </w:divBdr>
    </w:div>
    <w:div w:id="753011206">
      <w:bodyDiv w:val="1"/>
      <w:marLeft w:val="0"/>
      <w:marRight w:val="0"/>
      <w:marTop w:val="0"/>
      <w:marBottom w:val="0"/>
      <w:divBdr>
        <w:top w:val="none" w:sz="0" w:space="0" w:color="auto"/>
        <w:left w:val="none" w:sz="0" w:space="0" w:color="auto"/>
        <w:bottom w:val="none" w:sz="0" w:space="0" w:color="auto"/>
        <w:right w:val="none" w:sz="0" w:space="0" w:color="auto"/>
      </w:divBdr>
    </w:div>
    <w:div w:id="754204477">
      <w:bodyDiv w:val="1"/>
      <w:marLeft w:val="0"/>
      <w:marRight w:val="0"/>
      <w:marTop w:val="0"/>
      <w:marBottom w:val="0"/>
      <w:divBdr>
        <w:top w:val="none" w:sz="0" w:space="0" w:color="auto"/>
        <w:left w:val="none" w:sz="0" w:space="0" w:color="auto"/>
        <w:bottom w:val="none" w:sz="0" w:space="0" w:color="auto"/>
        <w:right w:val="none" w:sz="0" w:space="0" w:color="auto"/>
      </w:divBdr>
    </w:div>
    <w:div w:id="760834913">
      <w:bodyDiv w:val="1"/>
      <w:marLeft w:val="0"/>
      <w:marRight w:val="0"/>
      <w:marTop w:val="0"/>
      <w:marBottom w:val="0"/>
      <w:divBdr>
        <w:top w:val="none" w:sz="0" w:space="0" w:color="auto"/>
        <w:left w:val="none" w:sz="0" w:space="0" w:color="auto"/>
        <w:bottom w:val="none" w:sz="0" w:space="0" w:color="auto"/>
        <w:right w:val="none" w:sz="0" w:space="0" w:color="auto"/>
      </w:divBdr>
    </w:div>
    <w:div w:id="763844366">
      <w:bodyDiv w:val="1"/>
      <w:marLeft w:val="0"/>
      <w:marRight w:val="0"/>
      <w:marTop w:val="0"/>
      <w:marBottom w:val="0"/>
      <w:divBdr>
        <w:top w:val="none" w:sz="0" w:space="0" w:color="auto"/>
        <w:left w:val="none" w:sz="0" w:space="0" w:color="auto"/>
        <w:bottom w:val="none" w:sz="0" w:space="0" w:color="auto"/>
        <w:right w:val="none" w:sz="0" w:space="0" w:color="auto"/>
      </w:divBdr>
    </w:div>
    <w:div w:id="763916453">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2557403">
      <w:bodyDiv w:val="1"/>
      <w:marLeft w:val="0"/>
      <w:marRight w:val="0"/>
      <w:marTop w:val="0"/>
      <w:marBottom w:val="0"/>
      <w:divBdr>
        <w:top w:val="none" w:sz="0" w:space="0" w:color="auto"/>
        <w:left w:val="none" w:sz="0" w:space="0" w:color="auto"/>
        <w:bottom w:val="none" w:sz="0" w:space="0" w:color="auto"/>
        <w:right w:val="none" w:sz="0" w:space="0" w:color="auto"/>
      </w:divBdr>
    </w:div>
    <w:div w:id="798491972">
      <w:bodyDiv w:val="1"/>
      <w:marLeft w:val="0"/>
      <w:marRight w:val="0"/>
      <w:marTop w:val="0"/>
      <w:marBottom w:val="0"/>
      <w:divBdr>
        <w:top w:val="none" w:sz="0" w:space="0" w:color="auto"/>
        <w:left w:val="none" w:sz="0" w:space="0" w:color="auto"/>
        <w:bottom w:val="none" w:sz="0" w:space="0" w:color="auto"/>
        <w:right w:val="none" w:sz="0" w:space="0" w:color="auto"/>
      </w:divBdr>
    </w:div>
    <w:div w:id="815727824">
      <w:bodyDiv w:val="1"/>
      <w:marLeft w:val="0"/>
      <w:marRight w:val="0"/>
      <w:marTop w:val="0"/>
      <w:marBottom w:val="0"/>
      <w:divBdr>
        <w:top w:val="none" w:sz="0" w:space="0" w:color="auto"/>
        <w:left w:val="none" w:sz="0" w:space="0" w:color="auto"/>
        <w:bottom w:val="none" w:sz="0" w:space="0" w:color="auto"/>
        <w:right w:val="none" w:sz="0" w:space="0" w:color="auto"/>
      </w:divBdr>
    </w:div>
    <w:div w:id="840851182">
      <w:bodyDiv w:val="1"/>
      <w:marLeft w:val="0"/>
      <w:marRight w:val="0"/>
      <w:marTop w:val="0"/>
      <w:marBottom w:val="0"/>
      <w:divBdr>
        <w:top w:val="none" w:sz="0" w:space="0" w:color="auto"/>
        <w:left w:val="none" w:sz="0" w:space="0" w:color="auto"/>
        <w:bottom w:val="none" w:sz="0" w:space="0" w:color="auto"/>
        <w:right w:val="none" w:sz="0" w:space="0" w:color="auto"/>
      </w:divBdr>
    </w:div>
    <w:div w:id="861674420">
      <w:bodyDiv w:val="1"/>
      <w:marLeft w:val="0"/>
      <w:marRight w:val="0"/>
      <w:marTop w:val="0"/>
      <w:marBottom w:val="0"/>
      <w:divBdr>
        <w:top w:val="none" w:sz="0" w:space="0" w:color="auto"/>
        <w:left w:val="none" w:sz="0" w:space="0" w:color="auto"/>
        <w:bottom w:val="none" w:sz="0" w:space="0" w:color="auto"/>
        <w:right w:val="none" w:sz="0" w:space="0" w:color="auto"/>
      </w:divBdr>
    </w:div>
    <w:div w:id="895239305">
      <w:bodyDiv w:val="1"/>
      <w:marLeft w:val="0"/>
      <w:marRight w:val="0"/>
      <w:marTop w:val="0"/>
      <w:marBottom w:val="0"/>
      <w:divBdr>
        <w:top w:val="none" w:sz="0" w:space="0" w:color="auto"/>
        <w:left w:val="none" w:sz="0" w:space="0" w:color="auto"/>
        <w:bottom w:val="none" w:sz="0" w:space="0" w:color="auto"/>
        <w:right w:val="none" w:sz="0" w:space="0" w:color="auto"/>
      </w:divBdr>
    </w:div>
    <w:div w:id="895974201">
      <w:bodyDiv w:val="1"/>
      <w:marLeft w:val="0"/>
      <w:marRight w:val="0"/>
      <w:marTop w:val="0"/>
      <w:marBottom w:val="0"/>
      <w:divBdr>
        <w:top w:val="none" w:sz="0" w:space="0" w:color="auto"/>
        <w:left w:val="none" w:sz="0" w:space="0" w:color="auto"/>
        <w:bottom w:val="none" w:sz="0" w:space="0" w:color="auto"/>
        <w:right w:val="none" w:sz="0" w:space="0" w:color="auto"/>
      </w:divBdr>
    </w:div>
    <w:div w:id="899636829">
      <w:bodyDiv w:val="1"/>
      <w:marLeft w:val="0"/>
      <w:marRight w:val="0"/>
      <w:marTop w:val="0"/>
      <w:marBottom w:val="0"/>
      <w:divBdr>
        <w:top w:val="none" w:sz="0" w:space="0" w:color="auto"/>
        <w:left w:val="none" w:sz="0" w:space="0" w:color="auto"/>
        <w:bottom w:val="none" w:sz="0" w:space="0" w:color="auto"/>
        <w:right w:val="none" w:sz="0" w:space="0" w:color="auto"/>
      </w:divBdr>
    </w:div>
    <w:div w:id="902640449">
      <w:bodyDiv w:val="1"/>
      <w:marLeft w:val="0"/>
      <w:marRight w:val="0"/>
      <w:marTop w:val="0"/>
      <w:marBottom w:val="0"/>
      <w:divBdr>
        <w:top w:val="none" w:sz="0" w:space="0" w:color="auto"/>
        <w:left w:val="none" w:sz="0" w:space="0" w:color="auto"/>
        <w:bottom w:val="none" w:sz="0" w:space="0" w:color="auto"/>
        <w:right w:val="none" w:sz="0" w:space="0" w:color="auto"/>
      </w:divBdr>
    </w:div>
    <w:div w:id="907810014">
      <w:bodyDiv w:val="1"/>
      <w:marLeft w:val="0"/>
      <w:marRight w:val="0"/>
      <w:marTop w:val="0"/>
      <w:marBottom w:val="0"/>
      <w:divBdr>
        <w:top w:val="none" w:sz="0" w:space="0" w:color="auto"/>
        <w:left w:val="none" w:sz="0" w:space="0" w:color="auto"/>
        <w:bottom w:val="none" w:sz="0" w:space="0" w:color="auto"/>
        <w:right w:val="none" w:sz="0" w:space="0" w:color="auto"/>
      </w:divBdr>
    </w:div>
    <w:div w:id="909340287">
      <w:bodyDiv w:val="1"/>
      <w:marLeft w:val="0"/>
      <w:marRight w:val="0"/>
      <w:marTop w:val="0"/>
      <w:marBottom w:val="0"/>
      <w:divBdr>
        <w:top w:val="none" w:sz="0" w:space="0" w:color="auto"/>
        <w:left w:val="none" w:sz="0" w:space="0" w:color="auto"/>
        <w:bottom w:val="none" w:sz="0" w:space="0" w:color="auto"/>
        <w:right w:val="none" w:sz="0" w:space="0" w:color="auto"/>
      </w:divBdr>
    </w:div>
    <w:div w:id="933785149">
      <w:bodyDiv w:val="1"/>
      <w:marLeft w:val="0"/>
      <w:marRight w:val="0"/>
      <w:marTop w:val="0"/>
      <w:marBottom w:val="0"/>
      <w:divBdr>
        <w:top w:val="none" w:sz="0" w:space="0" w:color="auto"/>
        <w:left w:val="none" w:sz="0" w:space="0" w:color="auto"/>
        <w:bottom w:val="none" w:sz="0" w:space="0" w:color="auto"/>
        <w:right w:val="none" w:sz="0" w:space="0" w:color="auto"/>
      </w:divBdr>
    </w:div>
    <w:div w:id="965283516">
      <w:bodyDiv w:val="1"/>
      <w:marLeft w:val="0"/>
      <w:marRight w:val="0"/>
      <w:marTop w:val="0"/>
      <w:marBottom w:val="0"/>
      <w:divBdr>
        <w:top w:val="none" w:sz="0" w:space="0" w:color="auto"/>
        <w:left w:val="none" w:sz="0" w:space="0" w:color="auto"/>
        <w:bottom w:val="none" w:sz="0" w:space="0" w:color="auto"/>
        <w:right w:val="none" w:sz="0" w:space="0" w:color="auto"/>
      </w:divBdr>
    </w:div>
    <w:div w:id="972564478">
      <w:bodyDiv w:val="1"/>
      <w:marLeft w:val="0"/>
      <w:marRight w:val="0"/>
      <w:marTop w:val="0"/>
      <w:marBottom w:val="0"/>
      <w:divBdr>
        <w:top w:val="none" w:sz="0" w:space="0" w:color="auto"/>
        <w:left w:val="none" w:sz="0" w:space="0" w:color="auto"/>
        <w:bottom w:val="none" w:sz="0" w:space="0" w:color="auto"/>
        <w:right w:val="none" w:sz="0" w:space="0" w:color="auto"/>
      </w:divBdr>
    </w:div>
    <w:div w:id="973102310">
      <w:bodyDiv w:val="1"/>
      <w:marLeft w:val="0"/>
      <w:marRight w:val="0"/>
      <w:marTop w:val="0"/>
      <w:marBottom w:val="0"/>
      <w:divBdr>
        <w:top w:val="none" w:sz="0" w:space="0" w:color="auto"/>
        <w:left w:val="none" w:sz="0" w:space="0" w:color="auto"/>
        <w:bottom w:val="none" w:sz="0" w:space="0" w:color="auto"/>
        <w:right w:val="none" w:sz="0" w:space="0" w:color="auto"/>
      </w:divBdr>
    </w:div>
    <w:div w:id="988706858">
      <w:bodyDiv w:val="1"/>
      <w:marLeft w:val="0"/>
      <w:marRight w:val="0"/>
      <w:marTop w:val="0"/>
      <w:marBottom w:val="0"/>
      <w:divBdr>
        <w:top w:val="none" w:sz="0" w:space="0" w:color="auto"/>
        <w:left w:val="none" w:sz="0" w:space="0" w:color="auto"/>
        <w:bottom w:val="none" w:sz="0" w:space="0" w:color="auto"/>
        <w:right w:val="none" w:sz="0" w:space="0" w:color="auto"/>
      </w:divBdr>
    </w:div>
    <w:div w:id="996109568">
      <w:bodyDiv w:val="1"/>
      <w:marLeft w:val="0"/>
      <w:marRight w:val="0"/>
      <w:marTop w:val="0"/>
      <w:marBottom w:val="0"/>
      <w:divBdr>
        <w:top w:val="none" w:sz="0" w:space="0" w:color="auto"/>
        <w:left w:val="none" w:sz="0" w:space="0" w:color="auto"/>
        <w:bottom w:val="none" w:sz="0" w:space="0" w:color="auto"/>
        <w:right w:val="none" w:sz="0" w:space="0" w:color="auto"/>
      </w:divBdr>
    </w:div>
    <w:div w:id="1037124326">
      <w:bodyDiv w:val="1"/>
      <w:marLeft w:val="0"/>
      <w:marRight w:val="0"/>
      <w:marTop w:val="0"/>
      <w:marBottom w:val="0"/>
      <w:divBdr>
        <w:top w:val="none" w:sz="0" w:space="0" w:color="auto"/>
        <w:left w:val="none" w:sz="0" w:space="0" w:color="auto"/>
        <w:bottom w:val="none" w:sz="0" w:space="0" w:color="auto"/>
        <w:right w:val="none" w:sz="0" w:space="0" w:color="auto"/>
      </w:divBdr>
    </w:div>
    <w:div w:id="1047530873">
      <w:bodyDiv w:val="1"/>
      <w:marLeft w:val="0"/>
      <w:marRight w:val="0"/>
      <w:marTop w:val="0"/>
      <w:marBottom w:val="0"/>
      <w:divBdr>
        <w:top w:val="none" w:sz="0" w:space="0" w:color="auto"/>
        <w:left w:val="none" w:sz="0" w:space="0" w:color="auto"/>
        <w:bottom w:val="none" w:sz="0" w:space="0" w:color="auto"/>
        <w:right w:val="none" w:sz="0" w:space="0" w:color="auto"/>
      </w:divBdr>
    </w:div>
    <w:div w:id="1054086415">
      <w:bodyDiv w:val="1"/>
      <w:marLeft w:val="0"/>
      <w:marRight w:val="0"/>
      <w:marTop w:val="0"/>
      <w:marBottom w:val="0"/>
      <w:divBdr>
        <w:top w:val="none" w:sz="0" w:space="0" w:color="auto"/>
        <w:left w:val="none" w:sz="0" w:space="0" w:color="auto"/>
        <w:bottom w:val="none" w:sz="0" w:space="0" w:color="auto"/>
        <w:right w:val="none" w:sz="0" w:space="0" w:color="auto"/>
      </w:divBdr>
    </w:div>
    <w:div w:id="1057322493">
      <w:bodyDiv w:val="1"/>
      <w:marLeft w:val="0"/>
      <w:marRight w:val="0"/>
      <w:marTop w:val="0"/>
      <w:marBottom w:val="0"/>
      <w:divBdr>
        <w:top w:val="none" w:sz="0" w:space="0" w:color="auto"/>
        <w:left w:val="none" w:sz="0" w:space="0" w:color="auto"/>
        <w:bottom w:val="none" w:sz="0" w:space="0" w:color="auto"/>
        <w:right w:val="none" w:sz="0" w:space="0" w:color="auto"/>
      </w:divBdr>
    </w:div>
    <w:div w:id="1113668736">
      <w:bodyDiv w:val="1"/>
      <w:marLeft w:val="0"/>
      <w:marRight w:val="0"/>
      <w:marTop w:val="0"/>
      <w:marBottom w:val="0"/>
      <w:divBdr>
        <w:top w:val="none" w:sz="0" w:space="0" w:color="auto"/>
        <w:left w:val="none" w:sz="0" w:space="0" w:color="auto"/>
        <w:bottom w:val="none" w:sz="0" w:space="0" w:color="auto"/>
        <w:right w:val="none" w:sz="0" w:space="0" w:color="auto"/>
      </w:divBdr>
    </w:div>
    <w:div w:id="1114591044">
      <w:bodyDiv w:val="1"/>
      <w:marLeft w:val="0"/>
      <w:marRight w:val="0"/>
      <w:marTop w:val="0"/>
      <w:marBottom w:val="0"/>
      <w:divBdr>
        <w:top w:val="none" w:sz="0" w:space="0" w:color="auto"/>
        <w:left w:val="none" w:sz="0" w:space="0" w:color="auto"/>
        <w:bottom w:val="none" w:sz="0" w:space="0" w:color="auto"/>
        <w:right w:val="none" w:sz="0" w:space="0" w:color="auto"/>
      </w:divBdr>
    </w:div>
    <w:div w:id="1122845829">
      <w:bodyDiv w:val="1"/>
      <w:marLeft w:val="0"/>
      <w:marRight w:val="0"/>
      <w:marTop w:val="0"/>
      <w:marBottom w:val="0"/>
      <w:divBdr>
        <w:top w:val="none" w:sz="0" w:space="0" w:color="auto"/>
        <w:left w:val="none" w:sz="0" w:space="0" w:color="auto"/>
        <w:bottom w:val="none" w:sz="0" w:space="0" w:color="auto"/>
        <w:right w:val="none" w:sz="0" w:space="0" w:color="auto"/>
      </w:divBdr>
    </w:div>
    <w:div w:id="1143740583">
      <w:bodyDiv w:val="1"/>
      <w:marLeft w:val="0"/>
      <w:marRight w:val="0"/>
      <w:marTop w:val="0"/>
      <w:marBottom w:val="0"/>
      <w:divBdr>
        <w:top w:val="none" w:sz="0" w:space="0" w:color="auto"/>
        <w:left w:val="none" w:sz="0" w:space="0" w:color="auto"/>
        <w:bottom w:val="none" w:sz="0" w:space="0" w:color="auto"/>
        <w:right w:val="none" w:sz="0" w:space="0" w:color="auto"/>
      </w:divBdr>
    </w:div>
    <w:div w:id="1174956974">
      <w:bodyDiv w:val="1"/>
      <w:marLeft w:val="0"/>
      <w:marRight w:val="0"/>
      <w:marTop w:val="0"/>
      <w:marBottom w:val="0"/>
      <w:divBdr>
        <w:top w:val="none" w:sz="0" w:space="0" w:color="auto"/>
        <w:left w:val="none" w:sz="0" w:space="0" w:color="auto"/>
        <w:bottom w:val="none" w:sz="0" w:space="0" w:color="auto"/>
        <w:right w:val="none" w:sz="0" w:space="0" w:color="auto"/>
      </w:divBdr>
    </w:div>
    <w:div w:id="1184051806">
      <w:bodyDiv w:val="1"/>
      <w:marLeft w:val="0"/>
      <w:marRight w:val="0"/>
      <w:marTop w:val="0"/>
      <w:marBottom w:val="0"/>
      <w:divBdr>
        <w:top w:val="none" w:sz="0" w:space="0" w:color="auto"/>
        <w:left w:val="none" w:sz="0" w:space="0" w:color="auto"/>
        <w:bottom w:val="none" w:sz="0" w:space="0" w:color="auto"/>
        <w:right w:val="none" w:sz="0" w:space="0" w:color="auto"/>
      </w:divBdr>
    </w:div>
    <w:div w:id="1185245292">
      <w:bodyDiv w:val="1"/>
      <w:marLeft w:val="0"/>
      <w:marRight w:val="0"/>
      <w:marTop w:val="0"/>
      <w:marBottom w:val="0"/>
      <w:divBdr>
        <w:top w:val="none" w:sz="0" w:space="0" w:color="auto"/>
        <w:left w:val="none" w:sz="0" w:space="0" w:color="auto"/>
        <w:bottom w:val="none" w:sz="0" w:space="0" w:color="auto"/>
        <w:right w:val="none" w:sz="0" w:space="0" w:color="auto"/>
      </w:divBdr>
    </w:div>
    <w:div w:id="1195340421">
      <w:bodyDiv w:val="1"/>
      <w:marLeft w:val="0"/>
      <w:marRight w:val="0"/>
      <w:marTop w:val="0"/>
      <w:marBottom w:val="0"/>
      <w:divBdr>
        <w:top w:val="none" w:sz="0" w:space="0" w:color="auto"/>
        <w:left w:val="none" w:sz="0" w:space="0" w:color="auto"/>
        <w:bottom w:val="none" w:sz="0" w:space="0" w:color="auto"/>
        <w:right w:val="none" w:sz="0" w:space="0" w:color="auto"/>
      </w:divBdr>
    </w:div>
    <w:div w:id="1196308010">
      <w:bodyDiv w:val="1"/>
      <w:marLeft w:val="0"/>
      <w:marRight w:val="0"/>
      <w:marTop w:val="0"/>
      <w:marBottom w:val="0"/>
      <w:divBdr>
        <w:top w:val="none" w:sz="0" w:space="0" w:color="auto"/>
        <w:left w:val="none" w:sz="0" w:space="0" w:color="auto"/>
        <w:bottom w:val="none" w:sz="0" w:space="0" w:color="auto"/>
        <w:right w:val="none" w:sz="0" w:space="0" w:color="auto"/>
      </w:divBdr>
    </w:div>
    <w:div w:id="1204824817">
      <w:bodyDiv w:val="1"/>
      <w:marLeft w:val="0"/>
      <w:marRight w:val="0"/>
      <w:marTop w:val="0"/>
      <w:marBottom w:val="0"/>
      <w:divBdr>
        <w:top w:val="none" w:sz="0" w:space="0" w:color="auto"/>
        <w:left w:val="none" w:sz="0" w:space="0" w:color="auto"/>
        <w:bottom w:val="none" w:sz="0" w:space="0" w:color="auto"/>
        <w:right w:val="none" w:sz="0" w:space="0" w:color="auto"/>
      </w:divBdr>
    </w:div>
    <w:div w:id="1280453501">
      <w:bodyDiv w:val="1"/>
      <w:marLeft w:val="0"/>
      <w:marRight w:val="0"/>
      <w:marTop w:val="0"/>
      <w:marBottom w:val="0"/>
      <w:divBdr>
        <w:top w:val="none" w:sz="0" w:space="0" w:color="auto"/>
        <w:left w:val="none" w:sz="0" w:space="0" w:color="auto"/>
        <w:bottom w:val="none" w:sz="0" w:space="0" w:color="auto"/>
        <w:right w:val="none" w:sz="0" w:space="0" w:color="auto"/>
      </w:divBdr>
    </w:div>
    <w:div w:id="1288925429">
      <w:bodyDiv w:val="1"/>
      <w:marLeft w:val="0"/>
      <w:marRight w:val="0"/>
      <w:marTop w:val="0"/>
      <w:marBottom w:val="0"/>
      <w:divBdr>
        <w:top w:val="none" w:sz="0" w:space="0" w:color="auto"/>
        <w:left w:val="none" w:sz="0" w:space="0" w:color="auto"/>
        <w:bottom w:val="none" w:sz="0" w:space="0" w:color="auto"/>
        <w:right w:val="none" w:sz="0" w:space="0" w:color="auto"/>
      </w:divBdr>
    </w:div>
    <w:div w:id="1306086324">
      <w:bodyDiv w:val="1"/>
      <w:marLeft w:val="0"/>
      <w:marRight w:val="0"/>
      <w:marTop w:val="0"/>
      <w:marBottom w:val="0"/>
      <w:divBdr>
        <w:top w:val="none" w:sz="0" w:space="0" w:color="auto"/>
        <w:left w:val="none" w:sz="0" w:space="0" w:color="auto"/>
        <w:bottom w:val="none" w:sz="0" w:space="0" w:color="auto"/>
        <w:right w:val="none" w:sz="0" w:space="0" w:color="auto"/>
      </w:divBdr>
    </w:div>
    <w:div w:id="1310020397">
      <w:bodyDiv w:val="1"/>
      <w:marLeft w:val="0"/>
      <w:marRight w:val="0"/>
      <w:marTop w:val="0"/>
      <w:marBottom w:val="0"/>
      <w:divBdr>
        <w:top w:val="none" w:sz="0" w:space="0" w:color="auto"/>
        <w:left w:val="none" w:sz="0" w:space="0" w:color="auto"/>
        <w:bottom w:val="none" w:sz="0" w:space="0" w:color="auto"/>
        <w:right w:val="none" w:sz="0" w:space="0" w:color="auto"/>
      </w:divBdr>
    </w:div>
    <w:div w:id="1317613595">
      <w:bodyDiv w:val="1"/>
      <w:marLeft w:val="0"/>
      <w:marRight w:val="0"/>
      <w:marTop w:val="0"/>
      <w:marBottom w:val="0"/>
      <w:divBdr>
        <w:top w:val="none" w:sz="0" w:space="0" w:color="auto"/>
        <w:left w:val="none" w:sz="0" w:space="0" w:color="auto"/>
        <w:bottom w:val="none" w:sz="0" w:space="0" w:color="auto"/>
        <w:right w:val="none" w:sz="0" w:space="0" w:color="auto"/>
      </w:divBdr>
    </w:div>
    <w:div w:id="1332756299">
      <w:bodyDiv w:val="1"/>
      <w:marLeft w:val="0"/>
      <w:marRight w:val="0"/>
      <w:marTop w:val="0"/>
      <w:marBottom w:val="0"/>
      <w:divBdr>
        <w:top w:val="none" w:sz="0" w:space="0" w:color="auto"/>
        <w:left w:val="none" w:sz="0" w:space="0" w:color="auto"/>
        <w:bottom w:val="none" w:sz="0" w:space="0" w:color="auto"/>
        <w:right w:val="none" w:sz="0" w:space="0" w:color="auto"/>
      </w:divBdr>
    </w:div>
    <w:div w:id="1354039974">
      <w:bodyDiv w:val="1"/>
      <w:marLeft w:val="0"/>
      <w:marRight w:val="0"/>
      <w:marTop w:val="0"/>
      <w:marBottom w:val="0"/>
      <w:divBdr>
        <w:top w:val="none" w:sz="0" w:space="0" w:color="auto"/>
        <w:left w:val="none" w:sz="0" w:space="0" w:color="auto"/>
        <w:bottom w:val="none" w:sz="0" w:space="0" w:color="auto"/>
        <w:right w:val="none" w:sz="0" w:space="0" w:color="auto"/>
      </w:divBdr>
    </w:div>
    <w:div w:id="1355039385">
      <w:bodyDiv w:val="1"/>
      <w:marLeft w:val="0"/>
      <w:marRight w:val="0"/>
      <w:marTop w:val="0"/>
      <w:marBottom w:val="0"/>
      <w:divBdr>
        <w:top w:val="none" w:sz="0" w:space="0" w:color="auto"/>
        <w:left w:val="none" w:sz="0" w:space="0" w:color="auto"/>
        <w:bottom w:val="none" w:sz="0" w:space="0" w:color="auto"/>
        <w:right w:val="none" w:sz="0" w:space="0" w:color="auto"/>
      </w:divBdr>
    </w:div>
    <w:div w:id="1356075262">
      <w:bodyDiv w:val="1"/>
      <w:marLeft w:val="0"/>
      <w:marRight w:val="0"/>
      <w:marTop w:val="0"/>
      <w:marBottom w:val="0"/>
      <w:divBdr>
        <w:top w:val="none" w:sz="0" w:space="0" w:color="auto"/>
        <w:left w:val="none" w:sz="0" w:space="0" w:color="auto"/>
        <w:bottom w:val="none" w:sz="0" w:space="0" w:color="auto"/>
        <w:right w:val="none" w:sz="0" w:space="0" w:color="auto"/>
      </w:divBdr>
    </w:div>
    <w:div w:id="1362244279">
      <w:bodyDiv w:val="1"/>
      <w:marLeft w:val="0"/>
      <w:marRight w:val="0"/>
      <w:marTop w:val="0"/>
      <w:marBottom w:val="0"/>
      <w:divBdr>
        <w:top w:val="none" w:sz="0" w:space="0" w:color="auto"/>
        <w:left w:val="none" w:sz="0" w:space="0" w:color="auto"/>
        <w:bottom w:val="none" w:sz="0" w:space="0" w:color="auto"/>
        <w:right w:val="none" w:sz="0" w:space="0" w:color="auto"/>
      </w:divBdr>
    </w:div>
    <w:div w:id="1366710611">
      <w:bodyDiv w:val="1"/>
      <w:marLeft w:val="0"/>
      <w:marRight w:val="0"/>
      <w:marTop w:val="0"/>
      <w:marBottom w:val="0"/>
      <w:divBdr>
        <w:top w:val="none" w:sz="0" w:space="0" w:color="auto"/>
        <w:left w:val="none" w:sz="0" w:space="0" w:color="auto"/>
        <w:bottom w:val="none" w:sz="0" w:space="0" w:color="auto"/>
        <w:right w:val="none" w:sz="0" w:space="0" w:color="auto"/>
      </w:divBdr>
    </w:div>
    <w:div w:id="1394817738">
      <w:bodyDiv w:val="1"/>
      <w:marLeft w:val="0"/>
      <w:marRight w:val="0"/>
      <w:marTop w:val="0"/>
      <w:marBottom w:val="0"/>
      <w:divBdr>
        <w:top w:val="none" w:sz="0" w:space="0" w:color="auto"/>
        <w:left w:val="none" w:sz="0" w:space="0" w:color="auto"/>
        <w:bottom w:val="none" w:sz="0" w:space="0" w:color="auto"/>
        <w:right w:val="none" w:sz="0" w:space="0" w:color="auto"/>
      </w:divBdr>
    </w:div>
    <w:div w:id="1405562625">
      <w:bodyDiv w:val="1"/>
      <w:marLeft w:val="0"/>
      <w:marRight w:val="0"/>
      <w:marTop w:val="0"/>
      <w:marBottom w:val="0"/>
      <w:divBdr>
        <w:top w:val="none" w:sz="0" w:space="0" w:color="auto"/>
        <w:left w:val="none" w:sz="0" w:space="0" w:color="auto"/>
        <w:bottom w:val="none" w:sz="0" w:space="0" w:color="auto"/>
        <w:right w:val="none" w:sz="0" w:space="0" w:color="auto"/>
      </w:divBdr>
    </w:div>
    <w:div w:id="1422723876">
      <w:bodyDiv w:val="1"/>
      <w:marLeft w:val="0"/>
      <w:marRight w:val="0"/>
      <w:marTop w:val="0"/>
      <w:marBottom w:val="0"/>
      <w:divBdr>
        <w:top w:val="none" w:sz="0" w:space="0" w:color="auto"/>
        <w:left w:val="none" w:sz="0" w:space="0" w:color="auto"/>
        <w:bottom w:val="none" w:sz="0" w:space="0" w:color="auto"/>
        <w:right w:val="none" w:sz="0" w:space="0" w:color="auto"/>
      </w:divBdr>
    </w:div>
    <w:div w:id="1446197612">
      <w:bodyDiv w:val="1"/>
      <w:marLeft w:val="0"/>
      <w:marRight w:val="0"/>
      <w:marTop w:val="0"/>
      <w:marBottom w:val="0"/>
      <w:divBdr>
        <w:top w:val="none" w:sz="0" w:space="0" w:color="auto"/>
        <w:left w:val="none" w:sz="0" w:space="0" w:color="auto"/>
        <w:bottom w:val="none" w:sz="0" w:space="0" w:color="auto"/>
        <w:right w:val="none" w:sz="0" w:space="0" w:color="auto"/>
      </w:divBdr>
    </w:div>
    <w:div w:id="1470509797">
      <w:bodyDiv w:val="1"/>
      <w:marLeft w:val="0"/>
      <w:marRight w:val="0"/>
      <w:marTop w:val="0"/>
      <w:marBottom w:val="0"/>
      <w:divBdr>
        <w:top w:val="none" w:sz="0" w:space="0" w:color="auto"/>
        <w:left w:val="none" w:sz="0" w:space="0" w:color="auto"/>
        <w:bottom w:val="none" w:sz="0" w:space="0" w:color="auto"/>
        <w:right w:val="none" w:sz="0" w:space="0" w:color="auto"/>
      </w:divBdr>
    </w:div>
    <w:div w:id="1491096867">
      <w:bodyDiv w:val="1"/>
      <w:marLeft w:val="0"/>
      <w:marRight w:val="0"/>
      <w:marTop w:val="0"/>
      <w:marBottom w:val="0"/>
      <w:divBdr>
        <w:top w:val="none" w:sz="0" w:space="0" w:color="auto"/>
        <w:left w:val="none" w:sz="0" w:space="0" w:color="auto"/>
        <w:bottom w:val="none" w:sz="0" w:space="0" w:color="auto"/>
        <w:right w:val="none" w:sz="0" w:space="0" w:color="auto"/>
      </w:divBdr>
    </w:div>
    <w:div w:id="1512066617">
      <w:bodyDiv w:val="1"/>
      <w:marLeft w:val="0"/>
      <w:marRight w:val="0"/>
      <w:marTop w:val="0"/>
      <w:marBottom w:val="0"/>
      <w:divBdr>
        <w:top w:val="none" w:sz="0" w:space="0" w:color="auto"/>
        <w:left w:val="none" w:sz="0" w:space="0" w:color="auto"/>
        <w:bottom w:val="none" w:sz="0" w:space="0" w:color="auto"/>
        <w:right w:val="none" w:sz="0" w:space="0" w:color="auto"/>
      </w:divBdr>
    </w:div>
    <w:div w:id="1531600581">
      <w:bodyDiv w:val="1"/>
      <w:marLeft w:val="0"/>
      <w:marRight w:val="0"/>
      <w:marTop w:val="0"/>
      <w:marBottom w:val="0"/>
      <w:divBdr>
        <w:top w:val="none" w:sz="0" w:space="0" w:color="auto"/>
        <w:left w:val="none" w:sz="0" w:space="0" w:color="auto"/>
        <w:bottom w:val="none" w:sz="0" w:space="0" w:color="auto"/>
        <w:right w:val="none" w:sz="0" w:space="0" w:color="auto"/>
      </w:divBdr>
    </w:div>
    <w:div w:id="1533614085">
      <w:bodyDiv w:val="1"/>
      <w:marLeft w:val="0"/>
      <w:marRight w:val="0"/>
      <w:marTop w:val="0"/>
      <w:marBottom w:val="0"/>
      <w:divBdr>
        <w:top w:val="none" w:sz="0" w:space="0" w:color="auto"/>
        <w:left w:val="none" w:sz="0" w:space="0" w:color="auto"/>
        <w:bottom w:val="none" w:sz="0" w:space="0" w:color="auto"/>
        <w:right w:val="none" w:sz="0" w:space="0" w:color="auto"/>
      </w:divBdr>
    </w:div>
    <w:div w:id="1534535151">
      <w:bodyDiv w:val="1"/>
      <w:marLeft w:val="0"/>
      <w:marRight w:val="0"/>
      <w:marTop w:val="0"/>
      <w:marBottom w:val="0"/>
      <w:divBdr>
        <w:top w:val="none" w:sz="0" w:space="0" w:color="auto"/>
        <w:left w:val="none" w:sz="0" w:space="0" w:color="auto"/>
        <w:bottom w:val="none" w:sz="0" w:space="0" w:color="auto"/>
        <w:right w:val="none" w:sz="0" w:space="0" w:color="auto"/>
      </w:divBdr>
    </w:div>
    <w:div w:id="1540168377">
      <w:bodyDiv w:val="1"/>
      <w:marLeft w:val="0"/>
      <w:marRight w:val="0"/>
      <w:marTop w:val="0"/>
      <w:marBottom w:val="0"/>
      <w:divBdr>
        <w:top w:val="none" w:sz="0" w:space="0" w:color="auto"/>
        <w:left w:val="none" w:sz="0" w:space="0" w:color="auto"/>
        <w:bottom w:val="none" w:sz="0" w:space="0" w:color="auto"/>
        <w:right w:val="none" w:sz="0" w:space="0" w:color="auto"/>
      </w:divBdr>
    </w:div>
    <w:div w:id="1551722194">
      <w:bodyDiv w:val="1"/>
      <w:marLeft w:val="0"/>
      <w:marRight w:val="0"/>
      <w:marTop w:val="0"/>
      <w:marBottom w:val="0"/>
      <w:divBdr>
        <w:top w:val="none" w:sz="0" w:space="0" w:color="auto"/>
        <w:left w:val="none" w:sz="0" w:space="0" w:color="auto"/>
        <w:bottom w:val="none" w:sz="0" w:space="0" w:color="auto"/>
        <w:right w:val="none" w:sz="0" w:space="0" w:color="auto"/>
      </w:divBdr>
    </w:div>
    <w:div w:id="1564481690">
      <w:bodyDiv w:val="1"/>
      <w:marLeft w:val="0"/>
      <w:marRight w:val="0"/>
      <w:marTop w:val="0"/>
      <w:marBottom w:val="0"/>
      <w:divBdr>
        <w:top w:val="none" w:sz="0" w:space="0" w:color="auto"/>
        <w:left w:val="none" w:sz="0" w:space="0" w:color="auto"/>
        <w:bottom w:val="none" w:sz="0" w:space="0" w:color="auto"/>
        <w:right w:val="none" w:sz="0" w:space="0" w:color="auto"/>
      </w:divBdr>
    </w:div>
    <w:div w:id="1570773674">
      <w:bodyDiv w:val="1"/>
      <w:marLeft w:val="0"/>
      <w:marRight w:val="0"/>
      <w:marTop w:val="0"/>
      <w:marBottom w:val="0"/>
      <w:divBdr>
        <w:top w:val="none" w:sz="0" w:space="0" w:color="auto"/>
        <w:left w:val="none" w:sz="0" w:space="0" w:color="auto"/>
        <w:bottom w:val="none" w:sz="0" w:space="0" w:color="auto"/>
        <w:right w:val="none" w:sz="0" w:space="0" w:color="auto"/>
      </w:divBdr>
    </w:div>
    <w:div w:id="1572882272">
      <w:bodyDiv w:val="1"/>
      <w:marLeft w:val="0"/>
      <w:marRight w:val="0"/>
      <w:marTop w:val="0"/>
      <w:marBottom w:val="0"/>
      <w:divBdr>
        <w:top w:val="none" w:sz="0" w:space="0" w:color="auto"/>
        <w:left w:val="none" w:sz="0" w:space="0" w:color="auto"/>
        <w:bottom w:val="none" w:sz="0" w:space="0" w:color="auto"/>
        <w:right w:val="none" w:sz="0" w:space="0" w:color="auto"/>
      </w:divBdr>
    </w:div>
    <w:div w:id="1594513817">
      <w:bodyDiv w:val="1"/>
      <w:marLeft w:val="0"/>
      <w:marRight w:val="0"/>
      <w:marTop w:val="0"/>
      <w:marBottom w:val="0"/>
      <w:divBdr>
        <w:top w:val="none" w:sz="0" w:space="0" w:color="auto"/>
        <w:left w:val="none" w:sz="0" w:space="0" w:color="auto"/>
        <w:bottom w:val="none" w:sz="0" w:space="0" w:color="auto"/>
        <w:right w:val="none" w:sz="0" w:space="0" w:color="auto"/>
      </w:divBdr>
      <w:divsChild>
        <w:div w:id="1166432448">
          <w:marLeft w:val="0"/>
          <w:marRight w:val="0"/>
          <w:marTop w:val="0"/>
          <w:marBottom w:val="0"/>
          <w:divBdr>
            <w:top w:val="none" w:sz="0" w:space="0" w:color="auto"/>
            <w:left w:val="none" w:sz="0" w:space="0" w:color="auto"/>
            <w:bottom w:val="none" w:sz="0" w:space="0" w:color="auto"/>
            <w:right w:val="none" w:sz="0" w:space="0" w:color="auto"/>
          </w:divBdr>
          <w:divsChild>
            <w:div w:id="1368994137">
              <w:marLeft w:val="0"/>
              <w:marRight w:val="0"/>
              <w:marTop w:val="0"/>
              <w:marBottom w:val="0"/>
              <w:divBdr>
                <w:top w:val="none" w:sz="0" w:space="0" w:color="auto"/>
                <w:left w:val="none" w:sz="0" w:space="0" w:color="auto"/>
                <w:bottom w:val="none" w:sz="0" w:space="0" w:color="auto"/>
                <w:right w:val="none" w:sz="0" w:space="0" w:color="auto"/>
              </w:divBdr>
              <w:divsChild>
                <w:div w:id="574436861">
                  <w:marLeft w:val="0"/>
                  <w:marRight w:val="0"/>
                  <w:marTop w:val="0"/>
                  <w:marBottom w:val="0"/>
                  <w:divBdr>
                    <w:top w:val="none" w:sz="0" w:space="0" w:color="auto"/>
                    <w:left w:val="none" w:sz="0" w:space="0" w:color="auto"/>
                    <w:bottom w:val="none" w:sz="0" w:space="0" w:color="auto"/>
                    <w:right w:val="none" w:sz="0" w:space="0" w:color="auto"/>
                  </w:divBdr>
                  <w:divsChild>
                    <w:div w:id="477768294">
                      <w:marLeft w:val="0"/>
                      <w:marRight w:val="0"/>
                      <w:marTop w:val="0"/>
                      <w:marBottom w:val="0"/>
                      <w:divBdr>
                        <w:top w:val="none" w:sz="0" w:space="0" w:color="auto"/>
                        <w:left w:val="none" w:sz="0" w:space="0" w:color="auto"/>
                        <w:bottom w:val="none" w:sz="0" w:space="0" w:color="auto"/>
                        <w:right w:val="none" w:sz="0" w:space="0" w:color="auto"/>
                      </w:divBdr>
                      <w:divsChild>
                        <w:div w:id="944654151">
                          <w:marLeft w:val="0"/>
                          <w:marRight w:val="0"/>
                          <w:marTop w:val="0"/>
                          <w:marBottom w:val="0"/>
                          <w:divBdr>
                            <w:top w:val="none" w:sz="0" w:space="0" w:color="auto"/>
                            <w:left w:val="none" w:sz="0" w:space="0" w:color="auto"/>
                            <w:bottom w:val="none" w:sz="0" w:space="0" w:color="auto"/>
                            <w:right w:val="none" w:sz="0" w:space="0" w:color="auto"/>
                          </w:divBdr>
                          <w:divsChild>
                            <w:div w:id="1123813738">
                              <w:marLeft w:val="0"/>
                              <w:marRight w:val="0"/>
                              <w:marTop w:val="0"/>
                              <w:marBottom w:val="0"/>
                              <w:divBdr>
                                <w:top w:val="none" w:sz="0" w:space="0" w:color="auto"/>
                                <w:left w:val="none" w:sz="0" w:space="0" w:color="auto"/>
                                <w:bottom w:val="none" w:sz="0" w:space="0" w:color="auto"/>
                                <w:right w:val="none" w:sz="0" w:space="0" w:color="auto"/>
                              </w:divBdr>
                              <w:divsChild>
                                <w:div w:id="1323193081">
                                  <w:marLeft w:val="0"/>
                                  <w:marRight w:val="0"/>
                                  <w:marTop w:val="0"/>
                                  <w:marBottom w:val="0"/>
                                  <w:divBdr>
                                    <w:top w:val="none" w:sz="0" w:space="0" w:color="auto"/>
                                    <w:left w:val="none" w:sz="0" w:space="0" w:color="auto"/>
                                    <w:bottom w:val="none" w:sz="0" w:space="0" w:color="auto"/>
                                    <w:right w:val="none" w:sz="0" w:space="0" w:color="auto"/>
                                  </w:divBdr>
                                  <w:divsChild>
                                    <w:div w:id="323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047433">
      <w:bodyDiv w:val="1"/>
      <w:marLeft w:val="0"/>
      <w:marRight w:val="0"/>
      <w:marTop w:val="0"/>
      <w:marBottom w:val="0"/>
      <w:divBdr>
        <w:top w:val="none" w:sz="0" w:space="0" w:color="auto"/>
        <w:left w:val="none" w:sz="0" w:space="0" w:color="auto"/>
        <w:bottom w:val="none" w:sz="0" w:space="0" w:color="auto"/>
        <w:right w:val="none" w:sz="0" w:space="0" w:color="auto"/>
      </w:divBdr>
    </w:div>
    <w:div w:id="1597519665">
      <w:bodyDiv w:val="1"/>
      <w:marLeft w:val="0"/>
      <w:marRight w:val="0"/>
      <w:marTop w:val="0"/>
      <w:marBottom w:val="0"/>
      <w:divBdr>
        <w:top w:val="none" w:sz="0" w:space="0" w:color="auto"/>
        <w:left w:val="none" w:sz="0" w:space="0" w:color="auto"/>
        <w:bottom w:val="none" w:sz="0" w:space="0" w:color="auto"/>
        <w:right w:val="none" w:sz="0" w:space="0" w:color="auto"/>
      </w:divBdr>
    </w:div>
    <w:div w:id="1602831445">
      <w:bodyDiv w:val="1"/>
      <w:marLeft w:val="0"/>
      <w:marRight w:val="0"/>
      <w:marTop w:val="0"/>
      <w:marBottom w:val="0"/>
      <w:divBdr>
        <w:top w:val="none" w:sz="0" w:space="0" w:color="auto"/>
        <w:left w:val="none" w:sz="0" w:space="0" w:color="auto"/>
        <w:bottom w:val="none" w:sz="0" w:space="0" w:color="auto"/>
        <w:right w:val="none" w:sz="0" w:space="0" w:color="auto"/>
      </w:divBdr>
    </w:div>
    <w:div w:id="1624575874">
      <w:bodyDiv w:val="1"/>
      <w:marLeft w:val="0"/>
      <w:marRight w:val="0"/>
      <w:marTop w:val="0"/>
      <w:marBottom w:val="0"/>
      <w:divBdr>
        <w:top w:val="none" w:sz="0" w:space="0" w:color="auto"/>
        <w:left w:val="none" w:sz="0" w:space="0" w:color="auto"/>
        <w:bottom w:val="none" w:sz="0" w:space="0" w:color="auto"/>
        <w:right w:val="none" w:sz="0" w:space="0" w:color="auto"/>
      </w:divBdr>
    </w:div>
    <w:div w:id="1626428244">
      <w:bodyDiv w:val="1"/>
      <w:marLeft w:val="0"/>
      <w:marRight w:val="0"/>
      <w:marTop w:val="0"/>
      <w:marBottom w:val="0"/>
      <w:divBdr>
        <w:top w:val="none" w:sz="0" w:space="0" w:color="auto"/>
        <w:left w:val="none" w:sz="0" w:space="0" w:color="auto"/>
        <w:bottom w:val="none" w:sz="0" w:space="0" w:color="auto"/>
        <w:right w:val="none" w:sz="0" w:space="0" w:color="auto"/>
      </w:divBdr>
    </w:div>
    <w:div w:id="1670257710">
      <w:bodyDiv w:val="1"/>
      <w:marLeft w:val="0"/>
      <w:marRight w:val="0"/>
      <w:marTop w:val="0"/>
      <w:marBottom w:val="0"/>
      <w:divBdr>
        <w:top w:val="none" w:sz="0" w:space="0" w:color="auto"/>
        <w:left w:val="none" w:sz="0" w:space="0" w:color="auto"/>
        <w:bottom w:val="none" w:sz="0" w:space="0" w:color="auto"/>
        <w:right w:val="none" w:sz="0" w:space="0" w:color="auto"/>
      </w:divBdr>
    </w:div>
    <w:div w:id="1677269019">
      <w:bodyDiv w:val="1"/>
      <w:marLeft w:val="0"/>
      <w:marRight w:val="0"/>
      <w:marTop w:val="0"/>
      <w:marBottom w:val="0"/>
      <w:divBdr>
        <w:top w:val="none" w:sz="0" w:space="0" w:color="auto"/>
        <w:left w:val="none" w:sz="0" w:space="0" w:color="auto"/>
        <w:bottom w:val="none" w:sz="0" w:space="0" w:color="auto"/>
        <w:right w:val="none" w:sz="0" w:space="0" w:color="auto"/>
      </w:divBdr>
    </w:div>
    <w:div w:id="1680815142">
      <w:bodyDiv w:val="1"/>
      <w:marLeft w:val="0"/>
      <w:marRight w:val="0"/>
      <w:marTop w:val="0"/>
      <w:marBottom w:val="0"/>
      <w:divBdr>
        <w:top w:val="none" w:sz="0" w:space="0" w:color="auto"/>
        <w:left w:val="none" w:sz="0" w:space="0" w:color="auto"/>
        <w:bottom w:val="none" w:sz="0" w:space="0" w:color="auto"/>
        <w:right w:val="none" w:sz="0" w:space="0" w:color="auto"/>
      </w:divBdr>
    </w:div>
    <w:div w:id="1690832703">
      <w:bodyDiv w:val="1"/>
      <w:marLeft w:val="0"/>
      <w:marRight w:val="0"/>
      <w:marTop w:val="0"/>
      <w:marBottom w:val="0"/>
      <w:divBdr>
        <w:top w:val="none" w:sz="0" w:space="0" w:color="auto"/>
        <w:left w:val="none" w:sz="0" w:space="0" w:color="auto"/>
        <w:bottom w:val="none" w:sz="0" w:space="0" w:color="auto"/>
        <w:right w:val="none" w:sz="0" w:space="0" w:color="auto"/>
      </w:divBdr>
    </w:div>
    <w:div w:id="1725173312">
      <w:bodyDiv w:val="1"/>
      <w:marLeft w:val="0"/>
      <w:marRight w:val="0"/>
      <w:marTop w:val="0"/>
      <w:marBottom w:val="0"/>
      <w:divBdr>
        <w:top w:val="none" w:sz="0" w:space="0" w:color="auto"/>
        <w:left w:val="none" w:sz="0" w:space="0" w:color="auto"/>
        <w:bottom w:val="none" w:sz="0" w:space="0" w:color="auto"/>
        <w:right w:val="none" w:sz="0" w:space="0" w:color="auto"/>
      </w:divBdr>
    </w:div>
    <w:div w:id="1727994082">
      <w:bodyDiv w:val="1"/>
      <w:marLeft w:val="0"/>
      <w:marRight w:val="0"/>
      <w:marTop w:val="0"/>
      <w:marBottom w:val="0"/>
      <w:divBdr>
        <w:top w:val="none" w:sz="0" w:space="0" w:color="auto"/>
        <w:left w:val="none" w:sz="0" w:space="0" w:color="auto"/>
        <w:bottom w:val="none" w:sz="0" w:space="0" w:color="auto"/>
        <w:right w:val="none" w:sz="0" w:space="0" w:color="auto"/>
      </w:divBdr>
    </w:div>
    <w:div w:id="1747871660">
      <w:bodyDiv w:val="1"/>
      <w:marLeft w:val="0"/>
      <w:marRight w:val="0"/>
      <w:marTop w:val="0"/>
      <w:marBottom w:val="0"/>
      <w:divBdr>
        <w:top w:val="none" w:sz="0" w:space="0" w:color="auto"/>
        <w:left w:val="none" w:sz="0" w:space="0" w:color="auto"/>
        <w:bottom w:val="none" w:sz="0" w:space="0" w:color="auto"/>
        <w:right w:val="none" w:sz="0" w:space="0" w:color="auto"/>
      </w:divBdr>
    </w:div>
    <w:div w:id="1748962890">
      <w:bodyDiv w:val="1"/>
      <w:marLeft w:val="0"/>
      <w:marRight w:val="0"/>
      <w:marTop w:val="0"/>
      <w:marBottom w:val="0"/>
      <w:divBdr>
        <w:top w:val="none" w:sz="0" w:space="0" w:color="auto"/>
        <w:left w:val="none" w:sz="0" w:space="0" w:color="auto"/>
        <w:bottom w:val="none" w:sz="0" w:space="0" w:color="auto"/>
        <w:right w:val="none" w:sz="0" w:space="0" w:color="auto"/>
      </w:divBdr>
      <w:divsChild>
        <w:div w:id="1777481858">
          <w:marLeft w:val="547"/>
          <w:marRight w:val="0"/>
          <w:marTop w:val="115"/>
          <w:marBottom w:val="0"/>
          <w:divBdr>
            <w:top w:val="none" w:sz="0" w:space="0" w:color="auto"/>
            <w:left w:val="none" w:sz="0" w:space="0" w:color="auto"/>
            <w:bottom w:val="none" w:sz="0" w:space="0" w:color="auto"/>
            <w:right w:val="none" w:sz="0" w:space="0" w:color="auto"/>
          </w:divBdr>
        </w:div>
      </w:divsChild>
    </w:div>
    <w:div w:id="1765296286">
      <w:bodyDiv w:val="1"/>
      <w:marLeft w:val="0"/>
      <w:marRight w:val="0"/>
      <w:marTop w:val="0"/>
      <w:marBottom w:val="0"/>
      <w:divBdr>
        <w:top w:val="none" w:sz="0" w:space="0" w:color="auto"/>
        <w:left w:val="none" w:sz="0" w:space="0" w:color="auto"/>
        <w:bottom w:val="none" w:sz="0" w:space="0" w:color="auto"/>
        <w:right w:val="none" w:sz="0" w:space="0" w:color="auto"/>
      </w:divBdr>
    </w:div>
    <w:div w:id="1782259581">
      <w:bodyDiv w:val="1"/>
      <w:marLeft w:val="0"/>
      <w:marRight w:val="0"/>
      <w:marTop w:val="0"/>
      <w:marBottom w:val="0"/>
      <w:divBdr>
        <w:top w:val="none" w:sz="0" w:space="0" w:color="auto"/>
        <w:left w:val="none" w:sz="0" w:space="0" w:color="auto"/>
        <w:bottom w:val="none" w:sz="0" w:space="0" w:color="auto"/>
        <w:right w:val="none" w:sz="0" w:space="0" w:color="auto"/>
      </w:divBdr>
    </w:div>
    <w:div w:id="1788620992">
      <w:bodyDiv w:val="1"/>
      <w:marLeft w:val="0"/>
      <w:marRight w:val="0"/>
      <w:marTop w:val="0"/>
      <w:marBottom w:val="0"/>
      <w:divBdr>
        <w:top w:val="none" w:sz="0" w:space="0" w:color="auto"/>
        <w:left w:val="none" w:sz="0" w:space="0" w:color="auto"/>
        <w:bottom w:val="none" w:sz="0" w:space="0" w:color="auto"/>
        <w:right w:val="none" w:sz="0" w:space="0" w:color="auto"/>
      </w:divBdr>
    </w:div>
    <w:div w:id="1788812556">
      <w:bodyDiv w:val="1"/>
      <w:marLeft w:val="0"/>
      <w:marRight w:val="0"/>
      <w:marTop w:val="0"/>
      <w:marBottom w:val="0"/>
      <w:divBdr>
        <w:top w:val="none" w:sz="0" w:space="0" w:color="auto"/>
        <w:left w:val="none" w:sz="0" w:space="0" w:color="auto"/>
        <w:bottom w:val="none" w:sz="0" w:space="0" w:color="auto"/>
        <w:right w:val="none" w:sz="0" w:space="0" w:color="auto"/>
      </w:divBdr>
    </w:div>
    <w:div w:id="1817142675">
      <w:bodyDiv w:val="1"/>
      <w:marLeft w:val="0"/>
      <w:marRight w:val="0"/>
      <w:marTop w:val="0"/>
      <w:marBottom w:val="0"/>
      <w:divBdr>
        <w:top w:val="none" w:sz="0" w:space="0" w:color="auto"/>
        <w:left w:val="none" w:sz="0" w:space="0" w:color="auto"/>
        <w:bottom w:val="none" w:sz="0" w:space="0" w:color="auto"/>
        <w:right w:val="none" w:sz="0" w:space="0" w:color="auto"/>
      </w:divBdr>
    </w:div>
    <w:div w:id="1836413441">
      <w:bodyDiv w:val="1"/>
      <w:marLeft w:val="0"/>
      <w:marRight w:val="0"/>
      <w:marTop w:val="0"/>
      <w:marBottom w:val="0"/>
      <w:divBdr>
        <w:top w:val="none" w:sz="0" w:space="0" w:color="auto"/>
        <w:left w:val="none" w:sz="0" w:space="0" w:color="auto"/>
        <w:bottom w:val="none" w:sz="0" w:space="0" w:color="auto"/>
        <w:right w:val="none" w:sz="0" w:space="0" w:color="auto"/>
      </w:divBdr>
    </w:div>
    <w:div w:id="1861044541">
      <w:bodyDiv w:val="1"/>
      <w:marLeft w:val="0"/>
      <w:marRight w:val="0"/>
      <w:marTop w:val="0"/>
      <w:marBottom w:val="0"/>
      <w:divBdr>
        <w:top w:val="none" w:sz="0" w:space="0" w:color="auto"/>
        <w:left w:val="none" w:sz="0" w:space="0" w:color="auto"/>
        <w:bottom w:val="none" w:sz="0" w:space="0" w:color="auto"/>
        <w:right w:val="none" w:sz="0" w:space="0" w:color="auto"/>
      </w:divBdr>
    </w:div>
    <w:div w:id="1866597574">
      <w:bodyDiv w:val="1"/>
      <w:marLeft w:val="0"/>
      <w:marRight w:val="0"/>
      <w:marTop w:val="0"/>
      <w:marBottom w:val="0"/>
      <w:divBdr>
        <w:top w:val="none" w:sz="0" w:space="0" w:color="auto"/>
        <w:left w:val="none" w:sz="0" w:space="0" w:color="auto"/>
        <w:bottom w:val="none" w:sz="0" w:space="0" w:color="auto"/>
        <w:right w:val="none" w:sz="0" w:space="0" w:color="auto"/>
      </w:divBdr>
    </w:div>
    <w:div w:id="1874079147">
      <w:bodyDiv w:val="1"/>
      <w:marLeft w:val="0"/>
      <w:marRight w:val="0"/>
      <w:marTop w:val="0"/>
      <w:marBottom w:val="0"/>
      <w:divBdr>
        <w:top w:val="none" w:sz="0" w:space="0" w:color="auto"/>
        <w:left w:val="none" w:sz="0" w:space="0" w:color="auto"/>
        <w:bottom w:val="none" w:sz="0" w:space="0" w:color="auto"/>
        <w:right w:val="none" w:sz="0" w:space="0" w:color="auto"/>
      </w:divBdr>
    </w:div>
    <w:div w:id="1878656803">
      <w:bodyDiv w:val="1"/>
      <w:marLeft w:val="0"/>
      <w:marRight w:val="0"/>
      <w:marTop w:val="0"/>
      <w:marBottom w:val="0"/>
      <w:divBdr>
        <w:top w:val="none" w:sz="0" w:space="0" w:color="auto"/>
        <w:left w:val="none" w:sz="0" w:space="0" w:color="auto"/>
        <w:bottom w:val="none" w:sz="0" w:space="0" w:color="auto"/>
        <w:right w:val="none" w:sz="0" w:space="0" w:color="auto"/>
      </w:divBdr>
    </w:div>
    <w:div w:id="1882474841">
      <w:bodyDiv w:val="1"/>
      <w:marLeft w:val="0"/>
      <w:marRight w:val="0"/>
      <w:marTop w:val="0"/>
      <w:marBottom w:val="0"/>
      <w:divBdr>
        <w:top w:val="none" w:sz="0" w:space="0" w:color="auto"/>
        <w:left w:val="none" w:sz="0" w:space="0" w:color="auto"/>
        <w:bottom w:val="none" w:sz="0" w:space="0" w:color="auto"/>
        <w:right w:val="none" w:sz="0" w:space="0" w:color="auto"/>
      </w:divBdr>
    </w:div>
    <w:div w:id="1885630103">
      <w:bodyDiv w:val="1"/>
      <w:marLeft w:val="0"/>
      <w:marRight w:val="0"/>
      <w:marTop w:val="0"/>
      <w:marBottom w:val="0"/>
      <w:divBdr>
        <w:top w:val="none" w:sz="0" w:space="0" w:color="auto"/>
        <w:left w:val="none" w:sz="0" w:space="0" w:color="auto"/>
        <w:bottom w:val="none" w:sz="0" w:space="0" w:color="auto"/>
        <w:right w:val="none" w:sz="0" w:space="0" w:color="auto"/>
      </w:divBdr>
    </w:div>
    <w:div w:id="1898322696">
      <w:bodyDiv w:val="1"/>
      <w:marLeft w:val="0"/>
      <w:marRight w:val="0"/>
      <w:marTop w:val="0"/>
      <w:marBottom w:val="0"/>
      <w:divBdr>
        <w:top w:val="none" w:sz="0" w:space="0" w:color="auto"/>
        <w:left w:val="none" w:sz="0" w:space="0" w:color="auto"/>
        <w:bottom w:val="none" w:sz="0" w:space="0" w:color="auto"/>
        <w:right w:val="none" w:sz="0" w:space="0" w:color="auto"/>
      </w:divBdr>
    </w:div>
    <w:div w:id="1907059511">
      <w:bodyDiv w:val="1"/>
      <w:marLeft w:val="0"/>
      <w:marRight w:val="0"/>
      <w:marTop w:val="0"/>
      <w:marBottom w:val="0"/>
      <w:divBdr>
        <w:top w:val="none" w:sz="0" w:space="0" w:color="auto"/>
        <w:left w:val="none" w:sz="0" w:space="0" w:color="auto"/>
        <w:bottom w:val="none" w:sz="0" w:space="0" w:color="auto"/>
        <w:right w:val="none" w:sz="0" w:space="0" w:color="auto"/>
      </w:divBdr>
    </w:div>
    <w:div w:id="1908802555">
      <w:bodyDiv w:val="1"/>
      <w:marLeft w:val="0"/>
      <w:marRight w:val="0"/>
      <w:marTop w:val="0"/>
      <w:marBottom w:val="0"/>
      <w:divBdr>
        <w:top w:val="none" w:sz="0" w:space="0" w:color="auto"/>
        <w:left w:val="none" w:sz="0" w:space="0" w:color="auto"/>
        <w:bottom w:val="none" w:sz="0" w:space="0" w:color="auto"/>
        <w:right w:val="none" w:sz="0" w:space="0" w:color="auto"/>
      </w:divBdr>
    </w:div>
    <w:div w:id="1935429646">
      <w:bodyDiv w:val="1"/>
      <w:marLeft w:val="0"/>
      <w:marRight w:val="0"/>
      <w:marTop w:val="0"/>
      <w:marBottom w:val="0"/>
      <w:divBdr>
        <w:top w:val="none" w:sz="0" w:space="0" w:color="auto"/>
        <w:left w:val="none" w:sz="0" w:space="0" w:color="auto"/>
        <w:bottom w:val="none" w:sz="0" w:space="0" w:color="auto"/>
        <w:right w:val="none" w:sz="0" w:space="0" w:color="auto"/>
      </w:divBdr>
    </w:div>
    <w:div w:id="2029868814">
      <w:bodyDiv w:val="1"/>
      <w:marLeft w:val="0"/>
      <w:marRight w:val="0"/>
      <w:marTop w:val="0"/>
      <w:marBottom w:val="0"/>
      <w:divBdr>
        <w:top w:val="none" w:sz="0" w:space="0" w:color="auto"/>
        <w:left w:val="none" w:sz="0" w:space="0" w:color="auto"/>
        <w:bottom w:val="none" w:sz="0" w:space="0" w:color="auto"/>
        <w:right w:val="none" w:sz="0" w:space="0" w:color="auto"/>
      </w:divBdr>
    </w:div>
    <w:div w:id="2041927935">
      <w:bodyDiv w:val="1"/>
      <w:marLeft w:val="0"/>
      <w:marRight w:val="0"/>
      <w:marTop w:val="0"/>
      <w:marBottom w:val="0"/>
      <w:divBdr>
        <w:top w:val="none" w:sz="0" w:space="0" w:color="auto"/>
        <w:left w:val="none" w:sz="0" w:space="0" w:color="auto"/>
        <w:bottom w:val="none" w:sz="0" w:space="0" w:color="auto"/>
        <w:right w:val="none" w:sz="0" w:space="0" w:color="auto"/>
      </w:divBdr>
    </w:div>
    <w:div w:id="2054846668">
      <w:bodyDiv w:val="1"/>
      <w:marLeft w:val="0"/>
      <w:marRight w:val="0"/>
      <w:marTop w:val="0"/>
      <w:marBottom w:val="0"/>
      <w:divBdr>
        <w:top w:val="none" w:sz="0" w:space="0" w:color="auto"/>
        <w:left w:val="none" w:sz="0" w:space="0" w:color="auto"/>
        <w:bottom w:val="none" w:sz="0" w:space="0" w:color="auto"/>
        <w:right w:val="none" w:sz="0" w:space="0" w:color="auto"/>
      </w:divBdr>
    </w:div>
    <w:div w:id="2090615446">
      <w:bodyDiv w:val="1"/>
      <w:marLeft w:val="0"/>
      <w:marRight w:val="0"/>
      <w:marTop w:val="0"/>
      <w:marBottom w:val="0"/>
      <w:divBdr>
        <w:top w:val="none" w:sz="0" w:space="0" w:color="auto"/>
        <w:left w:val="none" w:sz="0" w:space="0" w:color="auto"/>
        <w:bottom w:val="none" w:sz="0" w:space="0" w:color="auto"/>
        <w:right w:val="none" w:sz="0" w:space="0" w:color="auto"/>
      </w:divBdr>
    </w:div>
    <w:div w:id="2111971649">
      <w:bodyDiv w:val="1"/>
      <w:marLeft w:val="0"/>
      <w:marRight w:val="0"/>
      <w:marTop w:val="0"/>
      <w:marBottom w:val="0"/>
      <w:divBdr>
        <w:top w:val="none" w:sz="0" w:space="0" w:color="auto"/>
        <w:left w:val="none" w:sz="0" w:space="0" w:color="auto"/>
        <w:bottom w:val="none" w:sz="0" w:space="0" w:color="auto"/>
        <w:right w:val="none" w:sz="0" w:space="0" w:color="auto"/>
      </w:divBdr>
    </w:div>
    <w:div w:id="2115709192">
      <w:bodyDiv w:val="1"/>
      <w:marLeft w:val="0"/>
      <w:marRight w:val="0"/>
      <w:marTop w:val="0"/>
      <w:marBottom w:val="0"/>
      <w:divBdr>
        <w:top w:val="none" w:sz="0" w:space="0" w:color="auto"/>
        <w:left w:val="none" w:sz="0" w:space="0" w:color="auto"/>
        <w:bottom w:val="none" w:sz="0" w:space="0" w:color="auto"/>
        <w:right w:val="none" w:sz="0" w:space="0" w:color="auto"/>
      </w:divBdr>
    </w:div>
    <w:div w:id="2124349474">
      <w:bodyDiv w:val="1"/>
      <w:marLeft w:val="0"/>
      <w:marRight w:val="0"/>
      <w:marTop w:val="0"/>
      <w:marBottom w:val="0"/>
      <w:divBdr>
        <w:top w:val="none" w:sz="0" w:space="0" w:color="auto"/>
        <w:left w:val="none" w:sz="0" w:space="0" w:color="auto"/>
        <w:bottom w:val="none" w:sz="0" w:space="0" w:color="auto"/>
        <w:right w:val="none" w:sz="0" w:space="0" w:color="auto"/>
      </w:divBdr>
    </w:div>
    <w:div w:id="2130463744">
      <w:bodyDiv w:val="1"/>
      <w:marLeft w:val="0"/>
      <w:marRight w:val="0"/>
      <w:marTop w:val="0"/>
      <w:marBottom w:val="0"/>
      <w:divBdr>
        <w:top w:val="none" w:sz="0" w:space="0" w:color="auto"/>
        <w:left w:val="none" w:sz="0" w:space="0" w:color="auto"/>
        <w:bottom w:val="none" w:sz="0" w:space="0" w:color="auto"/>
        <w:right w:val="none" w:sz="0" w:space="0" w:color="auto"/>
      </w:divBdr>
    </w:div>
    <w:div w:id="2131706581">
      <w:bodyDiv w:val="1"/>
      <w:marLeft w:val="0"/>
      <w:marRight w:val="0"/>
      <w:marTop w:val="0"/>
      <w:marBottom w:val="0"/>
      <w:divBdr>
        <w:top w:val="none" w:sz="0" w:space="0" w:color="auto"/>
        <w:left w:val="none" w:sz="0" w:space="0" w:color="auto"/>
        <w:bottom w:val="none" w:sz="0" w:space="0" w:color="auto"/>
        <w:right w:val="none" w:sz="0" w:space="0" w:color="auto"/>
      </w:divBdr>
    </w:div>
    <w:div w:id="2141028175">
      <w:bodyDiv w:val="1"/>
      <w:marLeft w:val="0"/>
      <w:marRight w:val="0"/>
      <w:marTop w:val="0"/>
      <w:marBottom w:val="0"/>
      <w:divBdr>
        <w:top w:val="none" w:sz="0" w:space="0" w:color="auto"/>
        <w:left w:val="none" w:sz="0" w:space="0" w:color="auto"/>
        <w:bottom w:val="none" w:sz="0" w:space="0" w:color="auto"/>
        <w:right w:val="none" w:sz="0" w:space="0" w:color="auto"/>
      </w:divBdr>
    </w:div>
    <w:div w:id="214199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footnotes" Target="footnotes.xml"/><Relationship Id="rId50"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ettings" Target="settings.xm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styles" Target="styles.xm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numbering" Target="numbering.xml"/><Relationship Id="rId48"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A10D-C6A7-4F03-BF7B-76677F41F3E7}">
  <ds:schemaRefs>
    <ds:schemaRef ds:uri="http://schemas.openxmlformats.org/officeDocument/2006/bibliography"/>
  </ds:schemaRefs>
</ds:datastoreItem>
</file>

<file path=customXml/itemProps10.xml><?xml version="1.0" encoding="utf-8"?>
<ds:datastoreItem xmlns:ds="http://schemas.openxmlformats.org/officeDocument/2006/customXml" ds:itemID="{041374BD-2372-44BA-813F-A782E8653132}">
  <ds:schemaRefs>
    <ds:schemaRef ds:uri="http://schemas.openxmlformats.org/officeDocument/2006/bibliography"/>
  </ds:schemaRefs>
</ds:datastoreItem>
</file>

<file path=customXml/itemProps11.xml><?xml version="1.0" encoding="utf-8"?>
<ds:datastoreItem xmlns:ds="http://schemas.openxmlformats.org/officeDocument/2006/customXml" ds:itemID="{393A86C3-E833-4DFF-B05D-E0302E0CA22B}">
  <ds:schemaRefs>
    <ds:schemaRef ds:uri="http://schemas.openxmlformats.org/officeDocument/2006/bibliography"/>
  </ds:schemaRefs>
</ds:datastoreItem>
</file>

<file path=customXml/itemProps12.xml><?xml version="1.0" encoding="utf-8"?>
<ds:datastoreItem xmlns:ds="http://schemas.openxmlformats.org/officeDocument/2006/customXml" ds:itemID="{F8447404-ED5B-4F1A-A34A-8398C4892398}">
  <ds:schemaRefs>
    <ds:schemaRef ds:uri="http://schemas.openxmlformats.org/officeDocument/2006/bibliography"/>
  </ds:schemaRefs>
</ds:datastoreItem>
</file>

<file path=customXml/itemProps13.xml><?xml version="1.0" encoding="utf-8"?>
<ds:datastoreItem xmlns:ds="http://schemas.openxmlformats.org/officeDocument/2006/customXml" ds:itemID="{5CE8B970-C915-419B-A098-15F96DD79FE1}">
  <ds:schemaRefs>
    <ds:schemaRef ds:uri="http://schemas.openxmlformats.org/officeDocument/2006/bibliography"/>
  </ds:schemaRefs>
</ds:datastoreItem>
</file>

<file path=customXml/itemProps14.xml><?xml version="1.0" encoding="utf-8"?>
<ds:datastoreItem xmlns:ds="http://schemas.openxmlformats.org/officeDocument/2006/customXml" ds:itemID="{8AFA9C65-F0A1-4C86-973E-3965641A8AD5}">
  <ds:schemaRefs>
    <ds:schemaRef ds:uri="http://schemas.openxmlformats.org/officeDocument/2006/bibliography"/>
  </ds:schemaRefs>
</ds:datastoreItem>
</file>

<file path=customXml/itemProps15.xml><?xml version="1.0" encoding="utf-8"?>
<ds:datastoreItem xmlns:ds="http://schemas.openxmlformats.org/officeDocument/2006/customXml" ds:itemID="{D1B4029A-67D3-4E6F-9B99-F973086EE341}">
  <ds:schemaRefs>
    <ds:schemaRef ds:uri="http://schemas.openxmlformats.org/officeDocument/2006/bibliography"/>
  </ds:schemaRefs>
</ds:datastoreItem>
</file>

<file path=customXml/itemProps16.xml><?xml version="1.0" encoding="utf-8"?>
<ds:datastoreItem xmlns:ds="http://schemas.openxmlformats.org/officeDocument/2006/customXml" ds:itemID="{37A1CD34-DEFF-4F44-94E4-DEA970F6DB0E}">
  <ds:schemaRefs>
    <ds:schemaRef ds:uri="http://schemas.openxmlformats.org/officeDocument/2006/bibliography"/>
  </ds:schemaRefs>
</ds:datastoreItem>
</file>

<file path=customXml/itemProps17.xml><?xml version="1.0" encoding="utf-8"?>
<ds:datastoreItem xmlns:ds="http://schemas.openxmlformats.org/officeDocument/2006/customXml" ds:itemID="{79CCA416-52F0-479D-AAE1-F917E83431EB}">
  <ds:schemaRefs>
    <ds:schemaRef ds:uri="http://schemas.openxmlformats.org/officeDocument/2006/bibliography"/>
  </ds:schemaRefs>
</ds:datastoreItem>
</file>

<file path=customXml/itemProps18.xml><?xml version="1.0" encoding="utf-8"?>
<ds:datastoreItem xmlns:ds="http://schemas.openxmlformats.org/officeDocument/2006/customXml" ds:itemID="{1856E7A8-CE99-4E08-A7C6-BB97B4DD95B4}">
  <ds:schemaRefs>
    <ds:schemaRef ds:uri="http://schemas.openxmlformats.org/officeDocument/2006/bibliography"/>
  </ds:schemaRefs>
</ds:datastoreItem>
</file>

<file path=customXml/itemProps19.xml><?xml version="1.0" encoding="utf-8"?>
<ds:datastoreItem xmlns:ds="http://schemas.openxmlformats.org/officeDocument/2006/customXml" ds:itemID="{7F0F5FA9-9DFA-4532-87C4-E62139FA361F}">
  <ds:schemaRefs>
    <ds:schemaRef ds:uri="http://schemas.openxmlformats.org/officeDocument/2006/bibliography"/>
  </ds:schemaRefs>
</ds:datastoreItem>
</file>

<file path=customXml/itemProps2.xml><?xml version="1.0" encoding="utf-8"?>
<ds:datastoreItem xmlns:ds="http://schemas.openxmlformats.org/officeDocument/2006/customXml" ds:itemID="{5C7826EC-1B36-448D-86DB-384C98D8204D}">
  <ds:schemaRefs>
    <ds:schemaRef ds:uri="http://schemas.openxmlformats.org/officeDocument/2006/bibliography"/>
  </ds:schemaRefs>
</ds:datastoreItem>
</file>

<file path=customXml/itemProps20.xml><?xml version="1.0" encoding="utf-8"?>
<ds:datastoreItem xmlns:ds="http://schemas.openxmlformats.org/officeDocument/2006/customXml" ds:itemID="{5A728A70-ED9B-485E-86EC-F7EF60925B52}">
  <ds:schemaRefs>
    <ds:schemaRef ds:uri="http://schemas.openxmlformats.org/officeDocument/2006/bibliography"/>
  </ds:schemaRefs>
</ds:datastoreItem>
</file>

<file path=customXml/itemProps21.xml><?xml version="1.0" encoding="utf-8"?>
<ds:datastoreItem xmlns:ds="http://schemas.openxmlformats.org/officeDocument/2006/customXml" ds:itemID="{9C22A390-AD8D-4CFC-B2AC-62C5BD225BFE}">
  <ds:schemaRefs>
    <ds:schemaRef ds:uri="http://schemas.openxmlformats.org/officeDocument/2006/bibliography"/>
  </ds:schemaRefs>
</ds:datastoreItem>
</file>

<file path=customXml/itemProps22.xml><?xml version="1.0" encoding="utf-8"?>
<ds:datastoreItem xmlns:ds="http://schemas.openxmlformats.org/officeDocument/2006/customXml" ds:itemID="{7C9A464C-617A-4810-A191-E1315C936429}">
  <ds:schemaRefs>
    <ds:schemaRef ds:uri="http://schemas.openxmlformats.org/officeDocument/2006/bibliography"/>
  </ds:schemaRefs>
</ds:datastoreItem>
</file>

<file path=customXml/itemProps23.xml><?xml version="1.0" encoding="utf-8"?>
<ds:datastoreItem xmlns:ds="http://schemas.openxmlformats.org/officeDocument/2006/customXml" ds:itemID="{3DF5767E-98B1-41A4-AC84-539BA8B24B49}">
  <ds:schemaRefs>
    <ds:schemaRef ds:uri="http://schemas.openxmlformats.org/officeDocument/2006/bibliography"/>
  </ds:schemaRefs>
</ds:datastoreItem>
</file>

<file path=customXml/itemProps24.xml><?xml version="1.0" encoding="utf-8"?>
<ds:datastoreItem xmlns:ds="http://schemas.openxmlformats.org/officeDocument/2006/customXml" ds:itemID="{5A31DA35-51E8-4F9E-ADAA-D7285D3E3D02}">
  <ds:schemaRefs>
    <ds:schemaRef ds:uri="http://schemas.openxmlformats.org/officeDocument/2006/bibliography"/>
  </ds:schemaRefs>
</ds:datastoreItem>
</file>

<file path=customXml/itemProps25.xml><?xml version="1.0" encoding="utf-8"?>
<ds:datastoreItem xmlns:ds="http://schemas.openxmlformats.org/officeDocument/2006/customXml" ds:itemID="{40DEFCF2-86C0-4F7F-A743-A6C12C4D0845}">
  <ds:schemaRefs>
    <ds:schemaRef ds:uri="http://schemas.openxmlformats.org/officeDocument/2006/bibliography"/>
  </ds:schemaRefs>
</ds:datastoreItem>
</file>

<file path=customXml/itemProps26.xml><?xml version="1.0" encoding="utf-8"?>
<ds:datastoreItem xmlns:ds="http://schemas.openxmlformats.org/officeDocument/2006/customXml" ds:itemID="{6C975F84-6473-485C-97B3-C80B5FE01CD4}">
  <ds:schemaRefs>
    <ds:schemaRef ds:uri="http://schemas.openxmlformats.org/officeDocument/2006/bibliography"/>
  </ds:schemaRefs>
</ds:datastoreItem>
</file>

<file path=customXml/itemProps27.xml><?xml version="1.0" encoding="utf-8"?>
<ds:datastoreItem xmlns:ds="http://schemas.openxmlformats.org/officeDocument/2006/customXml" ds:itemID="{97A451B5-AB37-456C-A949-826A7945C1BD}">
  <ds:schemaRefs>
    <ds:schemaRef ds:uri="http://schemas.openxmlformats.org/officeDocument/2006/bibliography"/>
  </ds:schemaRefs>
</ds:datastoreItem>
</file>

<file path=customXml/itemProps28.xml><?xml version="1.0" encoding="utf-8"?>
<ds:datastoreItem xmlns:ds="http://schemas.openxmlformats.org/officeDocument/2006/customXml" ds:itemID="{D3C5F23E-D9ED-4E4C-8D68-1EF6279DD175}">
  <ds:schemaRefs>
    <ds:schemaRef ds:uri="http://schemas.openxmlformats.org/officeDocument/2006/bibliography"/>
  </ds:schemaRefs>
</ds:datastoreItem>
</file>

<file path=customXml/itemProps29.xml><?xml version="1.0" encoding="utf-8"?>
<ds:datastoreItem xmlns:ds="http://schemas.openxmlformats.org/officeDocument/2006/customXml" ds:itemID="{F10688A0-E467-471D-A3DC-759F5C932980}">
  <ds:schemaRefs>
    <ds:schemaRef ds:uri="http://schemas.openxmlformats.org/officeDocument/2006/bibliography"/>
  </ds:schemaRefs>
</ds:datastoreItem>
</file>

<file path=customXml/itemProps3.xml><?xml version="1.0" encoding="utf-8"?>
<ds:datastoreItem xmlns:ds="http://schemas.openxmlformats.org/officeDocument/2006/customXml" ds:itemID="{C1BF11BA-6F32-4666-86B9-5118FA78FB10}">
  <ds:schemaRefs>
    <ds:schemaRef ds:uri="http://schemas.openxmlformats.org/officeDocument/2006/bibliography"/>
  </ds:schemaRefs>
</ds:datastoreItem>
</file>

<file path=customXml/itemProps30.xml><?xml version="1.0" encoding="utf-8"?>
<ds:datastoreItem xmlns:ds="http://schemas.openxmlformats.org/officeDocument/2006/customXml" ds:itemID="{EB7A289A-AF07-4118-B42C-256FA9B442D1}">
  <ds:schemaRefs>
    <ds:schemaRef ds:uri="http://schemas.openxmlformats.org/officeDocument/2006/bibliography"/>
  </ds:schemaRefs>
</ds:datastoreItem>
</file>

<file path=customXml/itemProps31.xml><?xml version="1.0" encoding="utf-8"?>
<ds:datastoreItem xmlns:ds="http://schemas.openxmlformats.org/officeDocument/2006/customXml" ds:itemID="{7485B55F-641F-47CC-88AA-16F8EA4516B4}">
  <ds:schemaRefs>
    <ds:schemaRef ds:uri="http://schemas.openxmlformats.org/officeDocument/2006/bibliography"/>
  </ds:schemaRefs>
</ds:datastoreItem>
</file>

<file path=customXml/itemProps32.xml><?xml version="1.0" encoding="utf-8"?>
<ds:datastoreItem xmlns:ds="http://schemas.openxmlformats.org/officeDocument/2006/customXml" ds:itemID="{D93AC8DB-3509-4B61-ABD2-F10D2A9DFD54}">
  <ds:schemaRefs>
    <ds:schemaRef ds:uri="http://schemas.openxmlformats.org/officeDocument/2006/bibliography"/>
  </ds:schemaRefs>
</ds:datastoreItem>
</file>

<file path=customXml/itemProps33.xml><?xml version="1.0" encoding="utf-8"?>
<ds:datastoreItem xmlns:ds="http://schemas.openxmlformats.org/officeDocument/2006/customXml" ds:itemID="{904FCD74-99AC-4449-9CF7-6E01A482D287}">
  <ds:schemaRefs>
    <ds:schemaRef ds:uri="http://schemas.openxmlformats.org/officeDocument/2006/bibliography"/>
  </ds:schemaRefs>
</ds:datastoreItem>
</file>

<file path=customXml/itemProps34.xml><?xml version="1.0" encoding="utf-8"?>
<ds:datastoreItem xmlns:ds="http://schemas.openxmlformats.org/officeDocument/2006/customXml" ds:itemID="{1B57F496-6F50-42EB-810D-53A60EDB3247}">
  <ds:schemaRefs>
    <ds:schemaRef ds:uri="http://schemas.openxmlformats.org/officeDocument/2006/bibliography"/>
  </ds:schemaRefs>
</ds:datastoreItem>
</file>

<file path=customXml/itemProps35.xml><?xml version="1.0" encoding="utf-8"?>
<ds:datastoreItem xmlns:ds="http://schemas.openxmlformats.org/officeDocument/2006/customXml" ds:itemID="{CD994E6F-3A6E-4CBF-89C2-88639FE96D1B}">
  <ds:schemaRefs>
    <ds:schemaRef ds:uri="http://schemas.openxmlformats.org/officeDocument/2006/bibliography"/>
  </ds:schemaRefs>
</ds:datastoreItem>
</file>

<file path=customXml/itemProps36.xml><?xml version="1.0" encoding="utf-8"?>
<ds:datastoreItem xmlns:ds="http://schemas.openxmlformats.org/officeDocument/2006/customXml" ds:itemID="{5A27C86B-003B-429C-821B-54076DF90ABB}">
  <ds:schemaRefs>
    <ds:schemaRef ds:uri="http://schemas.openxmlformats.org/officeDocument/2006/bibliography"/>
  </ds:schemaRefs>
</ds:datastoreItem>
</file>

<file path=customXml/itemProps37.xml><?xml version="1.0" encoding="utf-8"?>
<ds:datastoreItem xmlns:ds="http://schemas.openxmlformats.org/officeDocument/2006/customXml" ds:itemID="{6C6D8A7D-5578-4125-8CBD-48CCCB5F2DBB}">
  <ds:schemaRefs>
    <ds:schemaRef ds:uri="http://schemas.openxmlformats.org/officeDocument/2006/bibliography"/>
  </ds:schemaRefs>
</ds:datastoreItem>
</file>

<file path=customXml/itemProps38.xml><?xml version="1.0" encoding="utf-8"?>
<ds:datastoreItem xmlns:ds="http://schemas.openxmlformats.org/officeDocument/2006/customXml" ds:itemID="{2062DC30-1B7C-44A9-A4B7-F693BC1EBFBD}">
  <ds:schemaRefs>
    <ds:schemaRef ds:uri="http://schemas.openxmlformats.org/officeDocument/2006/bibliography"/>
  </ds:schemaRefs>
</ds:datastoreItem>
</file>

<file path=customXml/itemProps39.xml><?xml version="1.0" encoding="utf-8"?>
<ds:datastoreItem xmlns:ds="http://schemas.openxmlformats.org/officeDocument/2006/customXml" ds:itemID="{FF39811E-B29F-459B-AEF3-C48B22F21346}">
  <ds:schemaRefs>
    <ds:schemaRef ds:uri="http://schemas.openxmlformats.org/officeDocument/2006/bibliography"/>
  </ds:schemaRefs>
</ds:datastoreItem>
</file>

<file path=customXml/itemProps4.xml><?xml version="1.0" encoding="utf-8"?>
<ds:datastoreItem xmlns:ds="http://schemas.openxmlformats.org/officeDocument/2006/customXml" ds:itemID="{1354FA33-3173-4DC9-91F5-7BC6E3B61B21}">
  <ds:schemaRefs>
    <ds:schemaRef ds:uri="http://schemas.openxmlformats.org/officeDocument/2006/bibliography"/>
  </ds:schemaRefs>
</ds:datastoreItem>
</file>

<file path=customXml/itemProps40.xml><?xml version="1.0" encoding="utf-8"?>
<ds:datastoreItem xmlns:ds="http://schemas.openxmlformats.org/officeDocument/2006/customXml" ds:itemID="{2CE6647C-2324-471A-9019-9B3B8049C329}">
  <ds:schemaRefs>
    <ds:schemaRef ds:uri="http://schemas.openxmlformats.org/officeDocument/2006/bibliography"/>
  </ds:schemaRefs>
</ds:datastoreItem>
</file>

<file path=customXml/itemProps41.xml><?xml version="1.0" encoding="utf-8"?>
<ds:datastoreItem xmlns:ds="http://schemas.openxmlformats.org/officeDocument/2006/customXml" ds:itemID="{7672B58D-6CEF-400F-B177-FE6B9C61F999}">
  <ds:schemaRefs>
    <ds:schemaRef ds:uri="http://schemas.openxmlformats.org/officeDocument/2006/bibliography"/>
  </ds:schemaRefs>
</ds:datastoreItem>
</file>

<file path=customXml/itemProps42.xml><?xml version="1.0" encoding="utf-8"?>
<ds:datastoreItem xmlns:ds="http://schemas.openxmlformats.org/officeDocument/2006/customXml" ds:itemID="{2B4701C1-7126-4EB1-B9D9-4203A930E8BA}">
  <ds:schemaRefs>
    <ds:schemaRef ds:uri="http://schemas.openxmlformats.org/officeDocument/2006/bibliography"/>
  </ds:schemaRefs>
</ds:datastoreItem>
</file>

<file path=customXml/itemProps5.xml><?xml version="1.0" encoding="utf-8"?>
<ds:datastoreItem xmlns:ds="http://schemas.openxmlformats.org/officeDocument/2006/customXml" ds:itemID="{5E268231-634B-45D9-A54B-5D4451B8ADDE}">
  <ds:schemaRefs>
    <ds:schemaRef ds:uri="http://schemas.openxmlformats.org/officeDocument/2006/bibliography"/>
  </ds:schemaRefs>
</ds:datastoreItem>
</file>

<file path=customXml/itemProps6.xml><?xml version="1.0" encoding="utf-8"?>
<ds:datastoreItem xmlns:ds="http://schemas.openxmlformats.org/officeDocument/2006/customXml" ds:itemID="{ED3A1119-81C9-49C1-8BCA-26F22C76E504}">
  <ds:schemaRefs>
    <ds:schemaRef ds:uri="http://schemas.openxmlformats.org/officeDocument/2006/bibliography"/>
  </ds:schemaRefs>
</ds:datastoreItem>
</file>

<file path=customXml/itemProps7.xml><?xml version="1.0" encoding="utf-8"?>
<ds:datastoreItem xmlns:ds="http://schemas.openxmlformats.org/officeDocument/2006/customXml" ds:itemID="{CBD1A053-3DA8-48DB-A8EC-417D24955C24}">
  <ds:schemaRefs>
    <ds:schemaRef ds:uri="http://schemas.openxmlformats.org/officeDocument/2006/bibliography"/>
  </ds:schemaRefs>
</ds:datastoreItem>
</file>

<file path=customXml/itemProps8.xml><?xml version="1.0" encoding="utf-8"?>
<ds:datastoreItem xmlns:ds="http://schemas.openxmlformats.org/officeDocument/2006/customXml" ds:itemID="{29306B0E-ED01-4674-A422-8D08D7E67FCD}">
  <ds:schemaRefs>
    <ds:schemaRef ds:uri="http://schemas.openxmlformats.org/officeDocument/2006/bibliography"/>
  </ds:schemaRefs>
</ds:datastoreItem>
</file>

<file path=customXml/itemProps9.xml><?xml version="1.0" encoding="utf-8"?>
<ds:datastoreItem xmlns:ds="http://schemas.openxmlformats.org/officeDocument/2006/customXml" ds:itemID="{3B940B0C-383F-4C80-BAD4-5E8B3CAB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45</Pages>
  <Words>62068</Words>
  <Characters>35379</Characters>
  <Application>Microsoft Office Word</Application>
  <DocSecurity>0</DocSecurity>
  <Lines>294</Lines>
  <Paragraphs>194</Paragraphs>
  <ScaleCrop>false</ScaleCrop>
  <HeadingPairs>
    <vt:vector size="2" baseType="variant">
      <vt:variant>
        <vt:lpstr>Title</vt:lpstr>
      </vt:variant>
      <vt:variant>
        <vt:i4>1</vt:i4>
      </vt:variant>
    </vt:vector>
  </HeadingPairs>
  <TitlesOfParts>
    <vt:vector size="1" baseType="lpstr">
      <vt:lpstr>Latvijas Vispārējās valdības budžeta plāna projekts 2020.gadam</vt:lpstr>
    </vt:vector>
  </TitlesOfParts>
  <Company>Finanšu ministrija</Company>
  <LinksUpToDate>false</LinksUpToDate>
  <CharactersWithSpaces>97253</CharactersWithSpaces>
  <SharedDoc>false</SharedDoc>
  <HLinks>
    <vt:vector size="240" baseType="variant">
      <vt:variant>
        <vt:i4>2293767</vt:i4>
      </vt:variant>
      <vt:variant>
        <vt:i4>234</vt:i4>
      </vt:variant>
      <vt:variant>
        <vt:i4>0</vt:i4>
      </vt:variant>
      <vt:variant>
        <vt:i4>5</vt:i4>
      </vt:variant>
      <vt:variant>
        <vt:lpwstr>mailto:Anda.Apse@fm.gov.lv</vt:lpwstr>
      </vt:variant>
      <vt:variant>
        <vt:lpwstr/>
      </vt:variant>
      <vt:variant>
        <vt:i4>7143484</vt:i4>
      </vt:variant>
      <vt:variant>
        <vt:i4>231</vt:i4>
      </vt:variant>
      <vt:variant>
        <vt:i4>0</vt:i4>
      </vt:variant>
      <vt:variant>
        <vt:i4>5</vt:i4>
      </vt:variant>
      <vt:variant>
        <vt:lpwstr>http://www.klientuskola.lv/</vt:lpwstr>
      </vt:variant>
      <vt:variant>
        <vt:lpwstr/>
      </vt:variant>
      <vt:variant>
        <vt:i4>1245233</vt:i4>
      </vt:variant>
      <vt:variant>
        <vt:i4>224</vt:i4>
      </vt:variant>
      <vt:variant>
        <vt:i4>0</vt:i4>
      </vt:variant>
      <vt:variant>
        <vt:i4>5</vt:i4>
      </vt:variant>
      <vt:variant>
        <vt:lpwstr/>
      </vt:variant>
      <vt:variant>
        <vt:lpwstr>_Toc322789885</vt:lpwstr>
      </vt:variant>
      <vt:variant>
        <vt:i4>1245233</vt:i4>
      </vt:variant>
      <vt:variant>
        <vt:i4>218</vt:i4>
      </vt:variant>
      <vt:variant>
        <vt:i4>0</vt:i4>
      </vt:variant>
      <vt:variant>
        <vt:i4>5</vt:i4>
      </vt:variant>
      <vt:variant>
        <vt:lpwstr/>
      </vt:variant>
      <vt:variant>
        <vt:lpwstr>_Toc322789884</vt:lpwstr>
      </vt:variant>
      <vt:variant>
        <vt:i4>1245233</vt:i4>
      </vt:variant>
      <vt:variant>
        <vt:i4>212</vt:i4>
      </vt:variant>
      <vt:variant>
        <vt:i4>0</vt:i4>
      </vt:variant>
      <vt:variant>
        <vt:i4>5</vt:i4>
      </vt:variant>
      <vt:variant>
        <vt:lpwstr/>
      </vt:variant>
      <vt:variant>
        <vt:lpwstr>_Toc322789883</vt:lpwstr>
      </vt:variant>
      <vt:variant>
        <vt:i4>1245233</vt:i4>
      </vt:variant>
      <vt:variant>
        <vt:i4>206</vt:i4>
      </vt:variant>
      <vt:variant>
        <vt:i4>0</vt:i4>
      </vt:variant>
      <vt:variant>
        <vt:i4>5</vt:i4>
      </vt:variant>
      <vt:variant>
        <vt:lpwstr/>
      </vt:variant>
      <vt:variant>
        <vt:lpwstr>_Toc322789882</vt:lpwstr>
      </vt:variant>
      <vt:variant>
        <vt:i4>1245233</vt:i4>
      </vt:variant>
      <vt:variant>
        <vt:i4>200</vt:i4>
      </vt:variant>
      <vt:variant>
        <vt:i4>0</vt:i4>
      </vt:variant>
      <vt:variant>
        <vt:i4>5</vt:i4>
      </vt:variant>
      <vt:variant>
        <vt:lpwstr/>
      </vt:variant>
      <vt:variant>
        <vt:lpwstr>_Toc322789881</vt:lpwstr>
      </vt:variant>
      <vt:variant>
        <vt:i4>1245233</vt:i4>
      </vt:variant>
      <vt:variant>
        <vt:i4>194</vt:i4>
      </vt:variant>
      <vt:variant>
        <vt:i4>0</vt:i4>
      </vt:variant>
      <vt:variant>
        <vt:i4>5</vt:i4>
      </vt:variant>
      <vt:variant>
        <vt:lpwstr/>
      </vt:variant>
      <vt:variant>
        <vt:lpwstr>_Toc322789880</vt:lpwstr>
      </vt:variant>
      <vt:variant>
        <vt:i4>1835057</vt:i4>
      </vt:variant>
      <vt:variant>
        <vt:i4>188</vt:i4>
      </vt:variant>
      <vt:variant>
        <vt:i4>0</vt:i4>
      </vt:variant>
      <vt:variant>
        <vt:i4>5</vt:i4>
      </vt:variant>
      <vt:variant>
        <vt:lpwstr/>
      </vt:variant>
      <vt:variant>
        <vt:lpwstr>_Toc322789879</vt:lpwstr>
      </vt:variant>
      <vt:variant>
        <vt:i4>1835057</vt:i4>
      </vt:variant>
      <vt:variant>
        <vt:i4>182</vt:i4>
      </vt:variant>
      <vt:variant>
        <vt:i4>0</vt:i4>
      </vt:variant>
      <vt:variant>
        <vt:i4>5</vt:i4>
      </vt:variant>
      <vt:variant>
        <vt:lpwstr/>
      </vt:variant>
      <vt:variant>
        <vt:lpwstr>_Toc322789878</vt:lpwstr>
      </vt:variant>
      <vt:variant>
        <vt:i4>1835057</vt:i4>
      </vt:variant>
      <vt:variant>
        <vt:i4>176</vt:i4>
      </vt:variant>
      <vt:variant>
        <vt:i4>0</vt:i4>
      </vt:variant>
      <vt:variant>
        <vt:i4>5</vt:i4>
      </vt:variant>
      <vt:variant>
        <vt:lpwstr/>
      </vt:variant>
      <vt:variant>
        <vt:lpwstr>_Toc322789877</vt:lpwstr>
      </vt:variant>
      <vt:variant>
        <vt:i4>1835057</vt:i4>
      </vt:variant>
      <vt:variant>
        <vt:i4>170</vt:i4>
      </vt:variant>
      <vt:variant>
        <vt:i4>0</vt:i4>
      </vt:variant>
      <vt:variant>
        <vt:i4>5</vt:i4>
      </vt:variant>
      <vt:variant>
        <vt:lpwstr/>
      </vt:variant>
      <vt:variant>
        <vt:lpwstr>_Toc322789876</vt:lpwstr>
      </vt:variant>
      <vt:variant>
        <vt:i4>1835057</vt:i4>
      </vt:variant>
      <vt:variant>
        <vt:i4>164</vt:i4>
      </vt:variant>
      <vt:variant>
        <vt:i4>0</vt:i4>
      </vt:variant>
      <vt:variant>
        <vt:i4>5</vt:i4>
      </vt:variant>
      <vt:variant>
        <vt:lpwstr/>
      </vt:variant>
      <vt:variant>
        <vt:lpwstr>_Toc322789875</vt:lpwstr>
      </vt:variant>
      <vt:variant>
        <vt:i4>1835057</vt:i4>
      </vt:variant>
      <vt:variant>
        <vt:i4>158</vt:i4>
      </vt:variant>
      <vt:variant>
        <vt:i4>0</vt:i4>
      </vt:variant>
      <vt:variant>
        <vt:i4>5</vt:i4>
      </vt:variant>
      <vt:variant>
        <vt:lpwstr/>
      </vt:variant>
      <vt:variant>
        <vt:lpwstr>_Toc322789874</vt:lpwstr>
      </vt:variant>
      <vt:variant>
        <vt:i4>1835057</vt:i4>
      </vt:variant>
      <vt:variant>
        <vt:i4>152</vt:i4>
      </vt:variant>
      <vt:variant>
        <vt:i4>0</vt:i4>
      </vt:variant>
      <vt:variant>
        <vt:i4>5</vt:i4>
      </vt:variant>
      <vt:variant>
        <vt:lpwstr/>
      </vt:variant>
      <vt:variant>
        <vt:lpwstr>_Toc322789873</vt:lpwstr>
      </vt:variant>
      <vt:variant>
        <vt:i4>1835057</vt:i4>
      </vt:variant>
      <vt:variant>
        <vt:i4>146</vt:i4>
      </vt:variant>
      <vt:variant>
        <vt:i4>0</vt:i4>
      </vt:variant>
      <vt:variant>
        <vt:i4>5</vt:i4>
      </vt:variant>
      <vt:variant>
        <vt:lpwstr/>
      </vt:variant>
      <vt:variant>
        <vt:lpwstr>_Toc322789872</vt:lpwstr>
      </vt:variant>
      <vt:variant>
        <vt:i4>1835057</vt:i4>
      </vt:variant>
      <vt:variant>
        <vt:i4>140</vt:i4>
      </vt:variant>
      <vt:variant>
        <vt:i4>0</vt:i4>
      </vt:variant>
      <vt:variant>
        <vt:i4>5</vt:i4>
      </vt:variant>
      <vt:variant>
        <vt:lpwstr/>
      </vt:variant>
      <vt:variant>
        <vt:lpwstr>_Toc322789871</vt:lpwstr>
      </vt:variant>
      <vt:variant>
        <vt:i4>1835057</vt:i4>
      </vt:variant>
      <vt:variant>
        <vt:i4>134</vt:i4>
      </vt:variant>
      <vt:variant>
        <vt:i4>0</vt:i4>
      </vt:variant>
      <vt:variant>
        <vt:i4>5</vt:i4>
      </vt:variant>
      <vt:variant>
        <vt:lpwstr/>
      </vt:variant>
      <vt:variant>
        <vt:lpwstr>_Toc322789870</vt:lpwstr>
      </vt:variant>
      <vt:variant>
        <vt:i4>1900593</vt:i4>
      </vt:variant>
      <vt:variant>
        <vt:i4>128</vt:i4>
      </vt:variant>
      <vt:variant>
        <vt:i4>0</vt:i4>
      </vt:variant>
      <vt:variant>
        <vt:i4>5</vt:i4>
      </vt:variant>
      <vt:variant>
        <vt:lpwstr/>
      </vt:variant>
      <vt:variant>
        <vt:lpwstr>_Toc322789869</vt:lpwstr>
      </vt:variant>
      <vt:variant>
        <vt:i4>1900593</vt:i4>
      </vt:variant>
      <vt:variant>
        <vt:i4>122</vt:i4>
      </vt:variant>
      <vt:variant>
        <vt:i4>0</vt:i4>
      </vt:variant>
      <vt:variant>
        <vt:i4>5</vt:i4>
      </vt:variant>
      <vt:variant>
        <vt:lpwstr/>
      </vt:variant>
      <vt:variant>
        <vt:lpwstr>_Toc322789868</vt:lpwstr>
      </vt:variant>
      <vt:variant>
        <vt:i4>1900593</vt:i4>
      </vt:variant>
      <vt:variant>
        <vt:i4>116</vt:i4>
      </vt:variant>
      <vt:variant>
        <vt:i4>0</vt:i4>
      </vt:variant>
      <vt:variant>
        <vt:i4>5</vt:i4>
      </vt:variant>
      <vt:variant>
        <vt:lpwstr/>
      </vt:variant>
      <vt:variant>
        <vt:lpwstr>_Toc322789867</vt:lpwstr>
      </vt:variant>
      <vt:variant>
        <vt:i4>1900593</vt:i4>
      </vt:variant>
      <vt:variant>
        <vt:i4>110</vt:i4>
      </vt:variant>
      <vt:variant>
        <vt:i4>0</vt:i4>
      </vt:variant>
      <vt:variant>
        <vt:i4>5</vt:i4>
      </vt:variant>
      <vt:variant>
        <vt:lpwstr/>
      </vt:variant>
      <vt:variant>
        <vt:lpwstr>_Toc322789866</vt:lpwstr>
      </vt:variant>
      <vt:variant>
        <vt:i4>1900593</vt:i4>
      </vt:variant>
      <vt:variant>
        <vt:i4>104</vt:i4>
      </vt:variant>
      <vt:variant>
        <vt:i4>0</vt:i4>
      </vt:variant>
      <vt:variant>
        <vt:i4>5</vt:i4>
      </vt:variant>
      <vt:variant>
        <vt:lpwstr/>
      </vt:variant>
      <vt:variant>
        <vt:lpwstr>_Toc322789865</vt:lpwstr>
      </vt:variant>
      <vt:variant>
        <vt:i4>1900593</vt:i4>
      </vt:variant>
      <vt:variant>
        <vt:i4>98</vt:i4>
      </vt:variant>
      <vt:variant>
        <vt:i4>0</vt:i4>
      </vt:variant>
      <vt:variant>
        <vt:i4>5</vt:i4>
      </vt:variant>
      <vt:variant>
        <vt:lpwstr/>
      </vt:variant>
      <vt:variant>
        <vt:lpwstr>_Toc322789864</vt:lpwstr>
      </vt:variant>
      <vt:variant>
        <vt:i4>1900593</vt:i4>
      </vt:variant>
      <vt:variant>
        <vt:i4>92</vt:i4>
      </vt:variant>
      <vt:variant>
        <vt:i4>0</vt:i4>
      </vt:variant>
      <vt:variant>
        <vt:i4>5</vt:i4>
      </vt:variant>
      <vt:variant>
        <vt:lpwstr/>
      </vt:variant>
      <vt:variant>
        <vt:lpwstr>_Toc322789863</vt:lpwstr>
      </vt:variant>
      <vt:variant>
        <vt:i4>1900593</vt:i4>
      </vt:variant>
      <vt:variant>
        <vt:i4>86</vt:i4>
      </vt:variant>
      <vt:variant>
        <vt:i4>0</vt:i4>
      </vt:variant>
      <vt:variant>
        <vt:i4>5</vt:i4>
      </vt:variant>
      <vt:variant>
        <vt:lpwstr/>
      </vt:variant>
      <vt:variant>
        <vt:lpwstr>_Toc322789862</vt:lpwstr>
      </vt:variant>
      <vt:variant>
        <vt:i4>1900593</vt:i4>
      </vt:variant>
      <vt:variant>
        <vt:i4>80</vt:i4>
      </vt:variant>
      <vt:variant>
        <vt:i4>0</vt:i4>
      </vt:variant>
      <vt:variant>
        <vt:i4>5</vt:i4>
      </vt:variant>
      <vt:variant>
        <vt:lpwstr/>
      </vt:variant>
      <vt:variant>
        <vt:lpwstr>_Toc322789861</vt:lpwstr>
      </vt:variant>
      <vt:variant>
        <vt:i4>1900593</vt:i4>
      </vt:variant>
      <vt:variant>
        <vt:i4>74</vt:i4>
      </vt:variant>
      <vt:variant>
        <vt:i4>0</vt:i4>
      </vt:variant>
      <vt:variant>
        <vt:i4>5</vt:i4>
      </vt:variant>
      <vt:variant>
        <vt:lpwstr/>
      </vt:variant>
      <vt:variant>
        <vt:lpwstr>_Toc322789860</vt:lpwstr>
      </vt:variant>
      <vt:variant>
        <vt:i4>1966129</vt:i4>
      </vt:variant>
      <vt:variant>
        <vt:i4>68</vt:i4>
      </vt:variant>
      <vt:variant>
        <vt:i4>0</vt:i4>
      </vt:variant>
      <vt:variant>
        <vt:i4>5</vt:i4>
      </vt:variant>
      <vt:variant>
        <vt:lpwstr/>
      </vt:variant>
      <vt:variant>
        <vt:lpwstr>_Toc322789859</vt:lpwstr>
      </vt:variant>
      <vt:variant>
        <vt:i4>1966129</vt:i4>
      </vt:variant>
      <vt:variant>
        <vt:i4>62</vt:i4>
      </vt:variant>
      <vt:variant>
        <vt:i4>0</vt:i4>
      </vt:variant>
      <vt:variant>
        <vt:i4>5</vt:i4>
      </vt:variant>
      <vt:variant>
        <vt:lpwstr/>
      </vt:variant>
      <vt:variant>
        <vt:lpwstr>_Toc322789858</vt:lpwstr>
      </vt:variant>
      <vt:variant>
        <vt:i4>1966129</vt:i4>
      </vt:variant>
      <vt:variant>
        <vt:i4>56</vt:i4>
      </vt:variant>
      <vt:variant>
        <vt:i4>0</vt:i4>
      </vt:variant>
      <vt:variant>
        <vt:i4>5</vt:i4>
      </vt:variant>
      <vt:variant>
        <vt:lpwstr/>
      </vt:variant>
      <vt:variant>
        <vt:lpwstr>_Toc322789857</vt:lpwstr>
      </vt:variant>
      <vt:variant>
        <vt:i4>1966129</vt:i4>
      </vt:variant>
      <vt:variant>
        <vt:i4>50</vt:i4>
      </vt:variant>
      <vt:variant>
        <vt:i4>0</vt:i4>
      </vt:variant>
      <vt:variant>
        <vt:i4>5</vt:i4>
      </vt:variant>
      <vt:variant>
        <vt:lpwstr/>
      </vt:variant>
      <vt:variant>
        <vt:lpwstr>_Toc322789856</vt:lpwstr>
      </vt:variant>
      <vt:variant>
        <vt:i4>1966129</vt:i4>
      </vt:variant>
      <vt:variant>
        <vt:i4>44</vt:i4>
      </vt:variant>
      <vt:variant>
        <vt:i4>0</vt:i4>
      </vt:variant>
      <vt:variant>
        <vt:i4>5</vt:i4>
      </vt:variant>
      <vt:variant>
        <vt:lpwstr/>
      </vt:variant>
      <vt:variant>
        <vt:lpwstr>_Toc322789855</vt:lpwstr>
      </vt:variant>
      <vt:variant>
        <vt:i4>1966129</vt:i4>
      </vt:variant>
      <vt:variant>
        <vt:i4>38</vt:i4>
      </vt:variant>
      <vt:variant>
        <vt:i4>0</vt:i4>
      </vt:variant>
      <vt:variant>
        <vt:i4>5</vt:i4>
      </vt:variant>
      <vt:variant>
        <vt:lpwstr/>
      </vt:variant>
      <vt:variant>
        <vt:lpwstr>_Toc322789854</vt:lpwstr>
      </vt:variant>
      <vt:variant>
        <vt:i4>1966129</vt:i4>
      </vt:variant>
      <vt:variant>
        <vt:i4>32</vt:i4>
      </vt:variant>
      <vt:variant>
        <vt:i4>0</vt:i4>
      </vt:variant>
      <vt:variant>
        <vt:i4>5</vt:i4>
      </vt:variant>
      <vt:variant>
        <vt:lpwstr/>
      </vt:variant>
      <vt:variant>
        <vt:lpwstr>_Toc322789853</vt:lpwstr>
      </vt:variant>
      <vt:variant>
        <vt:i4>1966129</vt:i4>
      </vt:variant>
      <vt:variant>
        <vt:i4>26</vt:i4>
      </vt:variant>
      <vt:variant>
        <vt:i4>0</vt:i4>
      </vt:variant>
      <vt:variant>
        <vt:i4>5</vt:i4>
      </vt:variant>
      <vt:variant>
        <vt:lpwstr/>
      </vt:variant>
      <vt:variant>
        <vt:lpwstr>_Toc322789852</vt:lpwstr>
      </vt:variant>
      <vt:variant>
        <vt:i4>1966129</vt:i4>
      </vt:variant>
      <vt:variant>
        <vt:i4>20</vt:i4>
      </vt:variant>
      <vt:variant>
        <vt:i4>0</vt:i4>
      </vt:variant>
      <vt:variant>
        <vt:i4>5</vt:i4>
      </vt:variant>
      <vt:variant>
        <vt:lpwstr/>
      </vt:variant>
      <vt:variant>
        <vt:lpwstr>_Toc322789851</vt:lpwstr>
      </vt:variant>
      <vt:variant>
        <vt:i4>1966129</vt:i4>
      </vt:variant>
      <vt:variant>
        <vt:i4>14</vt:i4>
      </vt:variant>
      <vt:variant>
        <vt:i4>0</vt:i4>
      </vt:variant>
      <vt:variant>
        <vt:i4>5</vt:i4>
      </vt:variant>
      <vt:variant>
        <vt:lpwstr/>
      </vt:variant>
      <vt:variant>
        <vt:lpwstr>_Toc322789850</vt:lpwstr>
      </vt:variant>
      <vt:variant>
        <vt:i4>2031665</vt:i4>
      </vt:variant>
      <vt:variant>
        <vt:i4>8</vt:i4>
      </vt:variant>
      <vt:variant>
        <vt:i4>0</vt:i4>
      </vt:variant>
      <vt:variant>
        <vt:i4>5</vt:i4>
      </vt:variant>
      <vt:variant>
        <vt:lpwstr/>
      </vt:variant>
      <vt:variant>
        <vt:lpwstr>_Toc322789849</vt:lpwstr>
      </vt:variant>
      <vt:variant>
        <vt:i4>2031665</vt:i4>
      </vt:variant>
      <vt:variant>
        <vt:i4>2</vt:i4>
      </vt:variant>
      <vt:variant>
        <vt:i4>0</vt:i4>
      </vt:variant>
      <vt:variant>
        <vt:i4>5</vt:i4>
      </vt:variant>
      <vt:variant>
        <vt:lpwstr/>
      </vt:variant>
      <vt:variant>
        <vt:lpwstr>_Toc322789848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Vispārējās valdības budžeta plāna projekts 2020.gadam</dc:title>
  <dc:subject>Informatīvais ziņojums</dc:subject>
  <dc:creator>elina.gusare@fm.gov.lv</dc:creator>
  <dc:description>67083911, elina.gusare@fm.gov.lv</dc:description>
  <cp:lastModifiedBy>FM</cp:lastModifiedBy>
  <cp:revision>162</cp:revision>
  <cp:lastPrinted>2019-02-18T07:47:00Z</cp:lastPrinted>
  <dcterms:created xsi:type="dcterms:W3CDTF">2019-02-16T11:43:00Z</dcterms:created>
  <dcterms:modified xsi:type="dcterms:W3CDTF">2019-10-10T08:05:00Z</dcterms:modified>
</cp:coreProperties>
</file>