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613AC" w14:textId="06740161" w:rsidR="00894C55" w:rsidRPr="00F17E06" w:rsidRDefault="00E63A10" w:rsidP="00E63A1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E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Likumprojekta “Grozījum</w:t>
      </w:r>
      <w:r w:rsidR="00CA5EBE" w:rsidRPr="00F17E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Pr="00F17E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Bērnu tiesību aizsardzības likumā”</w:t>
      </w:r>
      <w:r w:rsidRPr="00F17E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4C55" w:rsidRPr="00F17E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66FD7BEF" w14:textId="77777777" w:rsidR="00E5323B" w:rsidRPr="00F17E06" w:rsidRDefault="00E5323B" w:rsidP="00BF2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F17E06" w:rsidRPr="00F17E06" w14:paraId="7BEA34A8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607C" w14:textId="77777777" w:rsidR="00655F2C" w:rsidRPr="00F17E06" w:rsidRDefault="00E5323B" w:rsidP="00B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F17E06" w:rsidRPr="00F17E06" w14:paraId="6CB037FA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31966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A7183" w14:textId="5B300A1F" w:rsidR="002C13BB" w:rsidRPr="00F17E06" w:rsidRDefault="002C13BB" w:rsidP="002C13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Likumprojekts </w:t>
            </w:r>
            <w:r w:rsidRPr="00F17E0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„Grozījum</w:t>
            </w:r>
            <w:r w:rsidR="00CA5EBE" w:rsidRPr="00F17E0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i</w:t>
            </w:r>
            <w:r w:rsidRPr="00F17E0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CA5EBE" w:rsidRPr="00F17E0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Bērnu tiesību aizsardzības likumā</w:t>
            </w:r>
            <w:r w:rsidRPr="00F17E0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” </w:t>
            </w:r>
            <w:r w:rsidRPr="00F17E0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(turpmāk – likumprojekts) izstrādāts, pamatojoties uz  </w:t>
            </w:r>
            <w:r w:rsidRPr="00F17E06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2019.gada 17.septembra sēdes </w:t>
            </w:r>
            <w:proofErr w:type="spellStart"/>
            <w:r w:rsidRPr="00F17E06">
              <w:rPr>
                <w:rFonts w:ascii="Times New Roman" w:hAnsi="Times New Roman" w:cs="Times New Roman"/>
                <w:sz w:val="24"/>
                <w:szCs w:val="24"/>
              </w:rPr>
              <w:t>protokollēmuma</w:t>
            </w:r>
            <w:proofErr w:type="spellEnd"/>
            <w:r w:rsidRPr="00F17E06">
              <w:rPr>
                <w:rFonts w:ascii="Times New Roman" w:hAnsi="Times New Roman" w:cs="Times New Roman"/>
                <w:sz w:val="24"/>
                <w:szCs w:val="24"/>
              </w:rPr>
              <w:t xml:space="preserve"> projekta 37.punktā dotajam uzdevumam ministrijām līdz 2019.gada 25.septembrim sagatavot un iesniegt Ministru kabinetā budžeta likumprojektu paketē iekļaujamos likumprojektus.</w:t>
            </w:r>
          </w:p>
          <w:p w14:paraId="400168A9" w14:textId="77777777" w:rsidR="002C13BB" w:rsidRPr="00F17E06" w:rsidRDefault="002C13BB" w:rsidP="002C13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10"/>
                <w:szCs w:val="10"/>
                <w:lang w:eastAsia="lv-LV"/>
              </w:rPr>
            </w:pPr>
          </w:p>
          <w:p w14:paraId="165597E0" w14:textId="24CDA663" w:rsidR="00E5323B" w:rsidRPr="00F17E06" w:rsidRDefault="002C13BB" w:rsidP="002C13BB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Likumprojekts stāsies spēkā 2020.gada 1.janvārī.</w:t>
            </w:r>
          </w:p>
        </w:tc>
      </w:tr>
    </w:tbl>
    <w:p w14:paraId="3F605639" w14:textId="77777777" w:rsidR="00E5323B" w:rsidRPr="00F17E06" w:rsidRDefault="00E5323B" w:rsidP="00BF20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17E0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17E06" w:rsidRPr="00F17E06" w14:paraId="2D2B0C2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8B1D4" w14:textId="77777777" w:rsidR="00655F2C" w:rsidRPr="00F17E06" w:rsidRDefault="00E5323B" w:rsidP="00B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17E06" w:rsidRPr="00F17E06" w14:paraId="46358389" w14:textId="77777777" w:rsidTr="005A34DE">
        <w:trPr>
          <w:trHeight w:val="1622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DEAA4" w14:textId="77777777" w:rsidR="00655F2C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F7170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582E8" w14:textId="44751F26" w:rsidR="00E63A10" w:rsidRPr="00F17E06" w:rsidRDefault="00E63A10" w:rsidP="005A34D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06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 </w:t>
            </w:r>
            <w:r w:rsidR="009A39B7" w:rsidRPr="00F17E06">
              <w:rPr>
                <w:rFonts w:ascii="Times New Roman" w:hAnsi="Times New Roman" w:cs="Times New Roman"/>
                <w:sz w:val="24"/>
                <w:szCs w:val="24"/>
              </w:rPr>
              <w:t xml:space="preserve">2019.gada 13.septembra </w:t>
            </w:r>
            <w:proofErr w:type="spellStart"/>
            <w:r w:rsidRPr="00F17E06">
              <w:rPr>
                <w:rFonts w:ascii="Times New Roman" w:hAnsi="Times New Roman" w:cs="Times New Roman"/>
                <w:sz w:val="24"/>
                <w:szCs w:val="24"/>
              </w:rPr>
              <w:t>protokollēmum</w:t>
            </w:r>
            <w:r w:rsidR="009A39B7" w:rsidRPr="00F17E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F17E06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3D6D7D" w:rsidRPr="00F17E06">
              <w:rPr>
                <w:rFonts w:ascii="Times New Roman" w:hAnsi="Times New Roman" w:cs="Times New Roman"/>
                <w:sz w:val="24"/>
                <w:szCs w:val="24"/>
              </w:rPr>
              <w:t>41 1§</w:t>
            </w:r>
            <w:r w:rsidRPr="00F17E06">
              <w:rPr>
                <w:rFonts w:ascii="Times New Roman" w:hAnsi="Times New Roman" w:cs="Times New Roman"/>
                <w:sz w:val="24"/>
                <w:szCs w:val="24"/>
              </w:rPr>
              <w:t xml:space="preserve"> Informatīvais ziņojums “Par fiskālās telpas pasākumiem un izdevumiem prioritārajiem pasākumiem valsts budžetam 2020.gadam un ietvaram 2020.–2022.gadam”</w:t>
            </w:r>
            <w:r w:rsidR="006B7B35" w:rsidRPr="00F17E06">
              <w:rPr>
                <w:rFonts w:ascii="Times New Roman" w:hAnsi="Times New Roman" w:cs="Times New Roman"/>
                <w:sz w:val="24"/>
                <w:szCs w:val="24"/>
              </w:rPr>
              <w:t xml:space="preserve">, kas  nosaka uzdevumu ministrijām </w:t>
            </w:r>
            <w:r w:rsidR="005A0EE5" w:rsidRPr="00F17E06">
              <w:rPr>
                <w:rFonts w:ascii="Times New Roman" w:hAnsi="Times New Roman" w:cs="Times New Roman"/>
                <w:sz w:val="24"/>
                <w:szCs w:val="24"/>
              </w:rPr>
              <w:t>izstrādāt</w:t>
            </w:r>
            <w:r w:rsidR="006B7B35" w:rsidRPr="00F17E06">
              <w:rPr>
                <w:rFonts w:ascii="Times New Roman" w:hAnsi="Times New Roman" w:cs="Times New Roman"/>
                <w:sz w:val="24"/>
                <w:szCs w:val="24"/>
              </w:rPr>
              <w:t xml:space="preserve"> normatīvos aktus, lai noteiktu, ka valsts budžeta izdevumi, kas ir tieši saistīti ar minimālo algu, ar 2020.gada 1.janvāri netiek piesaistīti minimālās algas apmēram</w:t>
            </w:r>
            <w:r w:rsidR="002C13BB" w:rsidRPr="00F17E06">
              <w:rPr>
                <w:rFonts w:ascii="Times New Roman" w:hAnsi="Times New Roman" w:cs="Times New Roman"/>
                <w:sz w:val="24"/>
                <w:szCs w:val="24"/>
              </w:rPr>
              <w:t xml:space="preserve"> un 2019.gada 17.septembra Ministru kabineta sēdes </w:t>
            </w:r>
            <w:proofErr w:type="spellStart"/>
            <w:r w:rsidR="002C13BB" w:rsidRPr="00F17E06">
              <w:rPr>
                <w:rFonts w:ascii="Times New Roman" w:hAnsi="Times New Roman" w:cs="Times New Roman"/>
                <w:sz w:val="24"/>
                <w:szCs w:val="24"/>
              </w:rPr>
              <w:t>protokollēmuma</w:t>
            </w:r>
            <w:proofErr w:type="spellEnd"/>
            <w:r w:rsidR="002C13BB" w:rsidRPr="00F17E06">
              <w:rPr>
                <w:rFonts w:ascii="Times New Roman" w:hAnsi="Times New Roman" w:cs="Times New Roman"/>
                <w:sz w:val="24"/>
                <w:szCs w:val="24"/>
              </w:rPr>
              <w:t xml:space="preserve"> projekta 37.punktā dotais uzdevums.</w:t>
            </w:r>
          </w:p>
          <w:p w14:paraId="3A1802F0" w14:textId="0C549B53" w:rsidR="00E5323B" w:rsidRPr="00F17E06" w:rsidRDefault="00E5323B" w:rsidP="00B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F17E06" w:rsidRPr="00F17E06" w14:paraId="3CD31E2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EA27" w14:textId="77777777" w:rsidR="00655F2C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17288256"/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A834E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AD948" w14:textId="7F1DA49B" w:rsidR="005A34DE" w:rsidRPr="00F17E06" w:rsidRDefault="009A39B7" w:rsidP="005A34DE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F17E06">
              <w:t>Bērnu tiesību aizsardzības likuma 36.panta otr</w:t>
            </w:r>
            <w:r w:rsidR="0062775B" w:rsidRPr="00F17E06">
              <w:t>ajā</w:t>
            </w:r>
            <w:r w:rsidRPr="00F17E06">
              <w:t xml:space="preserve"> daļ</w:t>
            </w:r>
            <w:r w:rsidR="0062775B" w:rsidRPr="00F17E06">
              <w:t>ā</w:t>
            </w:r>
            <w:r w:rsidRPr="00F17E06">
              <w:t xml:space="preserve"> no</w:t>
            </w:r>
            <w:r w:rsidR="0062775B" w:rsidRPr="00F17E06">
              <w:t>teikts</w:t>
            </w:r>
            <w:r w:rsidRPr="00F17E06">
              <w:t>, ka p</w:t>
            </w:r>
            <w:r w:rsidRPr="00F17E06">
              <w:rPr>
                <w:shd w:val="clear" w:color="auto" w:fill="FFFFFF"/>
              </w:rPr>
              <w:t>ašvaldība palīdz audžuģimenēm bērnu audzināšanā un nodrošina nepieciešamos sociālos pakalpojumus. Audžuģimenei ir tiesības saņemt līdzekļus bērna uzturam. Šo līdzekļu apmērs nedrīkst būt mazāks par apmēru, kādu, pamatojoties uz </w:t>
            </w:r>
            <w:hyperlink r:id="rId8" w:tgtFrame="_blank" w:history="1">
              <w:r w:rsidRPr="00F17E06">
                <w:rPr>
                  <w:rStyle w:val="Hyperlink"/>
                  <w:color w:val="auto"/>
                  <w:u w:val="none"/>
                  <w:shd w:val="clear" w:color="auto" w:fill="FFFFFF"/>
                </w:rPr>
                <w:t>Civillikuma</w:t>
              </w:r>
            </w:hyperlink>
            <w:r w:rsidRPr="00F17E06">
              <w:rPr>
                <w:shd w:val="clear" w:color="auto" w:fill="FFFFFF"/>
              </w:rPr>
              <w:t> </w:t>
            </w:r>
            <w:hyperlink r:id="rId9" w:anchor="p179" w:tgtFrame="_blank" w:history="1">
              <w:r w:rsidRPr="00F17E06">
                <w:rPr>
                  <w:rStyle w:val="Hyperlink"/>
                  <w:color w:val="auto"/>
                  <w:u w:val="none"/>
                  <w:shd w:val="clear" w:color="auto" w:fill="FFFFFF"/>
                </w:rPr>
                <w:t>179.panta</w:t>
              </w:r>
            </w:hyperlink>
            <w:r w:rsidRPr="00F17E06">
              <w:rPr>
                <w:shd w:val="clear" w:color="auto" w:fill="FFFFFF"/>
              </w:rPr>
              <w:t> piekto daļu, noteicis Ministru kabinets. Savukārt Civillikuma 179.panta piekt</w:t>
            </w:r>
            <w:r w:rsidR="0062775B" w:rsidRPr="00F17E06">
              <w:rPr>
                <w:shd w:val="clear" w:color="auto" w:fill="FFFFFF"/>
              </w:rPr>
              <w:t>ajā</w:t>
            </w:r>
            <w:r w:rsidRPr="00F17E06">
              <w:rPr>
                <w:shd w:val="clear" w:color="auto" w:fill="FFFFFF"/>
              </w:rPr>
              <w:t xml:space="preserve"> daļ</w:t>
            </w:r>
            <w:r w:rsidR="0062775B" w:rsidRPr="00F17E06">
              <w:rPr>
                <w:shd w:val="clear" w:color="auto" w:fill="FFFFFF"/>
              </w:rPr>
              <w:t>ā</w:t>
            </w:r>
            <w:r w:rsidRPr="00F17E06">
              <w:rPr>
                <w:shd w:val="clear" w:color="auto" w:fill="FFFFFF"/>
              </w:rPr>
              <w:t xml:space="preserve"> no</w:t>
            </w:r>
            <w:r w:rsidR="0062775B" w:rsidRPr="00F17E06">
              <w:rPr>
                <w:shd w:val="clear" w:color="auto" w:fill="FFFFFF"/>
              </w:rPr>
              <w:t>teikts</w:t>
            </w:r>
            <w:r w:rsidRPr="00F17E06">
              <w:rPr>
                <w:shd w:val="clear" w:color="auto" w:fill="FFFFFF"/>
              </w:rPr>
              <w:t>, ka minimālo uzturlīdzekļu apmēru, kuru bērnam nodrošināt ir pienākums katram no vecākiem</w:t>
            </w:r>
            <w:r w:rsidRPr="00F17E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17E06">
              <w:rPr>
                <w:shd w:val="clear" w:color="auto" w:fill="FFFFFF"/>
              </w:rPr>
              <w:t xml:space="preserve">neatkarīgi no viņa spējām uzturēt bērnu un mantas stāvokļa, nosaka Ministru kabinets, ņemot vērā valstī noteikto minimālo mēnešalgu un bērna vecumu. Atbilstoši </w:t>
            </w:r>
            <w:r w:rsidR="005A34DE" w:rsidRPr="00F17E06">
              <w:rPr>
                <w:shd w:val="clear" w:color="auto" w:fill="FFFFFF"/>
              </w:rPr>
              <w:t xml:space="preserve">Ministru kabineta 2013.gada </w:t>
            </w:r>
            <w:r w:rsidR="005A34DE" w:rsidRPr="00F17E06">
              <w:rPr>
                <w:shd w:val="clear" w:color="auto" w:fill="FFFFFF"/>
              </w:rPr>
              <w:lastRenderedPageBreak/>
              <w:t>15.janvāra noteikumu Nr.37 “Noteikumi par minimālo uzturlīdzekļu apmēru bērnam” 2.punktam minimālo uzturlīdzekļu apmērs</w:t>
            </w:r>
            <w:r w:rsidR="005A34DE" w:rsidRPr="00F17E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4DE" w:rsidRPr="00F17E06">
              <w:t>katram bērnam no viņa piedzimšanas līdz 7 gadu vecuma sasniegšanai ir 25 % apmērā no Ministru kabineta noteiktās minimālās mēneša darba algas, savukārt katram bērnam no 7 gadu vecuma sasniegšanas līdz 18 gadu vecuma sasniegšanai ir  30 % apmērā no Ministru kabineta noteiktās minimālās mēneša darba algas.</w:t>
            </w:r>
          </w:p>
          <w:p w14:paraId="6AA261EA" w14:textId="0FA8CF9A" w:rsidR="005A34DE" w:rsidRPr="00F17E06" w:rsidRDefault="005A34DE" w:rsidP="005A34DE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F17E06">
              <w:t xml:space="preserve">Ņemot vērā </w:t>
            </w:r>
            <w:r w:rsidR="006B7B35" w:rsidRPr="00F17E06">
              <w:t>M</w:t>
            </w:r>
            <w:r w:rsidRPr="00F17E06">
              <w:t>inistru kabineta uzdoto uzdevumu</w:t>
            </w:r>
            <w:r w:rsidR="006B7B35" w:rsidRPr="00F17E06">
              <w:t>,</w:t>
            </w:r>
            <w:r w:rsidRPr="00F17E06">
              <w:t xml:space="preserve"> nepieciešams veikt grozījumus Bērnu tiesību aizsardzības likuma 36.panta otrajā daļā, nosakot, ka </w:t>
            </w:r>
            <w:r w:rsidR="002C13BB" w:rsidRPr="00F17E06">
              <w:t>līdzekļu</w:t>
            </w:r>
            <w:r w:rsidRPr="00F17E06">
              <w:rPr>
                <w:shd w:val="clear" w:color="auto" w:fill="FFFFFF"/>
              </w:rPr>
              <w:t xml:space="preserve"> apmēru </w:t>
            </w:r>
            <w:r w:rsidR="00362195" w:rsidRPr="00F17E06">
              <w:rPr>
                <w:shd w:val="clear" w:color="auto" w:fill="FFFFFF"/>
              </w:rPr>
              <w:t xml:space="preserve">bērna uzturam </w:t>
            </w:r>
            <w:r w:rsidRPr="00F17E06">
              <w:rPr>
                <w:shd w:val="clear" w:color="auto" w:fill="FFFFFF"/>
              </w:rPr>
              <w:t>nosaka Ministru kabinets.</w:t>
            </w:r>
          </w:p>
          <w:p w14:paraId="5168CED2" w14:textId="3BDE000D" w:rsidR="00D4624F" w:rsidRPr="00F17E06" w:rsidRDefault="00D4624F" w:rsidP="00E63A10">
            <w:pPr>
              <w:spacing w:after="0" w:line="240" w:lineRule="auto"/>
              <w:ind w:right="115"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  <w:tr w:rsidR="00F17E06" w:rsidRPr="00F17E06" w14:paraId="78ED748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8FCDD" w14:textId="610876EE" w:rsidR="00655F2C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96853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42146" w14:textId="446EE25D" w:rsidR="00E5323B" w:rsidRPr="00F17E06" w:rsidRDefault="007737F4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F17E06" w:rsidRPr="00F17E06" w14:paraId="112EDFF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D9500" w14:textId="77777777" w:rsidR="00655F2C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9EF00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2B036" w14:textId="4F3BDC77" w:rsidR="00E5323B" w:rsidRPr="00F17E06" w:rsidRDefault="00546C49" w:rsidP="00BF2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E06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4E5299C3" w14:textId="77777777" w:rsidR="00E5323B" w:rsidRPr="00F17E06" w:rsidRDefault="00E5323B" w:rsidP="00BF20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17E0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25" w:type="pct"/>
        <w:tblCellSpacing w:w="15" w:type="dxa"/>
        <w:tblInd w:w="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3028"/>
        <w:gridCol w:w="5338"/>
      </w:tblGrid>
      <w:tr w:rsidR="00F17E06" w:rsidRPr="00F17E06" w14:paraId="59B3C6D4" w14:textId="77777777" w:rsidTr="00C97E70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ACEC" w14:textId="77777777" w:rsidR="00655F2C" w:rsidRPr="00F17E06" w:rsidRDefault="00E5323B" w:rsidP="00B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17E06" w:rsidRPr="00F17E06" w14:paraId="2E942528" w14:textId="77777777" w:rsidTr="0033565D">
        <w:trPr>
          <w:tblCellSpacing w:w="15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F9ED6" w14:textId="77777777" w:rsidR="00655F2C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D6030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75B04" w14:textId="77777777" w:rsidR="00E5323B" w:rsidRPr="00F17E06" w:rsidRDefault="006B7B35" w:rsidP="00B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="00EE56A6" w:rsidRPr="00F17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tiešā veidā attiecas uz </w:t>
            </w:r>
            <w:r w:rsidR="007737F4" w:rsidRPr="00F17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pašvaldībām un audžuģimenēm un tajās ievietotajiem bērniem</w:t>
            </w:r>
            <w:r w:rsidR="00E60727" w:rsidRPr="00F17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5CA12EFA" w14:textId="438ADE01" w:rsidR="00E60727" w:rsidRPr="00F17E06" w:rsidRDefault="00E60727" w:rsidP="00B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Līdzekļu apmērs audžuģimenē ievietotajam bērnam ar 2020.gada 1.janvāri nesamazināsies.</w:t>
            </w:r>
          </w:p>
        </w:tc>
      </w:tr>
      <w:tr w:rsidR="00F17E06" w:rsidRPr="00F17E06" w14:paraId="3BBC9A62" w14:textId="77777777" w:rsidTr="0033565D">
        <w:trPr>
          <w:tblCellSpacing w:w="15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23E6F" w14:textId="77777777" w:rsidR="00655F2C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1E611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224DA" w14:textId="239161B9" w:rsidR="00E5323B" w:rsidRPr="00F17E06" w:rsidRDefault="007737F4" w:rsidP="00BF20C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7E06">
              <w:rPr>
                <w:rFonts w:ascii="Times New Roman" w:hAnsi="Times New Roman" w:cs="Times New Roman"/>
                <w:sz w:val="24"/>
              </w:rPr>
              <w:t>Nav</w:t>
            </w:r>
          </w:p>
        </w:tc>
      </w:tr>
      <w:tr w:rsidR="00F17E06" w:rsidRPr="00F17E06" w14:paraId="3BCF02B0" w14:textId="77777777" w:rsidTr="0033565D">
        <w:trPr>
          <w:tblCellSpacing w:w="15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B7D9D" w14:textId="77777777" w:rsidR="00655F2C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ECBFA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3E46E" w14:textId="0E2440ED" w:rsidR="00E5323B" w:rsidRPr="00F17E06" w:rsidRDefault="006B7B35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A0EE5" w:rsidRPr="00F17E06">
              <w:rPr>
                <w:rFonts w:ascii="Times New Roman" w:hAnsi="Times New Roman" w:cs="Times New Roman"/>
                <w:sz w:val="24"/>
                <w:szCs w:val="24"/>
              </w:rPr>
              <w:t>ikum</w:t>
            </w:r>
            <w:r w:rsidRPr="00F17E0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3565D" w:rsidRPr="00F17E06">
              <w:rPr>
                <w:rFonts w:ascii="Times New Roman" w:hAnsi="Times New Roman" w:cs="Times New Roman"/>
                <w:sz w:val="24"/>
                <w:szCs w:val="24"/>
              </w:rPr>
              <w:t>rojekts šo jomu neskar.</w:t>
            </w:r>
            <w:r w:rsidR="00546C49" w:rsidRPr="00F1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0D8" w:rsidRPr="00F17E06" w14:paraId="226FC373" w14:textId="77777777" w:rsidTr="0033565D">
        <w:trPr>
          <w:tblCellSpacing w:w="15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F2A8" w14:textId="77777777" w:rsidR="00655F2C" w:rsidRPr="00F17E06" w:rsidRDefault="00EE56A6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="00E5323B"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7CCE8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CAAC3" w14:textId="77777777" w:rsidR="00E5323B" w:rsidRPr="00F17E06" w:rsidRDefault="00EE56A6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950586E" w14:textId="77777777" w:rsidR="00C97E70" w:rsidRPr="00F17E06" w:rsidRDefault="00C97E70" w:rsidP="00BF20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51" w:type="pct"/>
        <w:tblCellSpacing w:w="15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00"/>
      </w:tblGrid>
      <w:tr w:rsidR="00F17E06" w:rsidRPr="00F17E06" w14:paraId="40D110C8" w14:textId="77777777" w:rsidTr="00D24A31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9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1129"/>
              <w:gridCol w:w="1128"/>
              <w:gridCol w:w="1137"/>
              <w:gridCol w:w="990"/>
              <w:gridCol w:w="8"/>
              <w:gridCol w:w="1129"/>
              <w:gridCol w:w="990"/>
              <w:gridCol w:w="12"/>
              <w:gridCol w:w="1034"/>
              <w:gridCol w:w="12"/>
            </w:tblGrid>
            <w:tr w:rsidR="00F17E06" w:rsidRPr="00F17E06" w14:paraId="11B03B80" w14:textId="77777777" w:rsidTr="001462D3">
              <w:trPr>
                <w:cantSplit/>
              </w:trPr>
              <w:tc>
                <w:tcPr>
                  <w:tcW w:w="9840" w:type="dxa"/>
                  <w:gridSpan w:val="11"/>
                  <w:shd w:val="clear" w:color="auto" w:fill="auto"/>
                  <w:vAlign w:val="center"/>
                  <w:hideMark/>
                </w:tcPr>
                <w:p w14:paraId="00DF4D97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 Tiesību akta projekta ietekme uz valsts budžetu un pašvaldību budžetiem</w:t>
                  </w:r>
                </w:p>
              </w:tc>
            </w:tr>
            <w:tr w:rsidR="00F17E06" w:rsidRPr="00F17E06" w14:paraId="4330E873" w14:textId="77777777" w:rsidTr="001462D3">
              <w:trPr>
                <w:cantSplit/>
              </w:trPr>
              <w:tc>
                <w:tcPr>
                  <w:tcW w:w="2271" w:type="dxa"/>
                  <w:vMerge w:val="restart"/>
                  <w:shd w:val="clear" w:color="auto" w:fill="FFFFFF"/>
                  <w:vAlign w:val="center"/>
                </w:tcPr>
                <w:p w14:paraId="30E76655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Rādītāji</w:t>
                  </w:r>
                </w:p>
              </w:tc>
              <w:tc>
                <w:tcPr>
                  <w:tcW w:w="2257" w:type="dxa"/>
                  <w:gridSpan w:val="2"/>
                  <w:vMerge w:val="restart"/>
                  <w:shd w:val="clear" w:color="auto" w:fill="FFFFFF"/>
                  <w:vAlign w:val="center"/>
                  <w:hideMark/>
                </w:tcPr>
                <w:p w14:paraId="384D9F23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312" w:type="dxa"/>
                  <w:gridSpan w:val="8"/>
                  <w:shd w:val="clear" w:color="auto" w:fill="FFFFFF"/>
                  <w:vAlign w:val="center"/>
                  <w:hideMark/>
                </w:tcPr>
                <w:p w14:paraId="14DED227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Turpmākie trīs gadi (</w:t>
                  </w:r>
                  <w:proofErr w:type="spellStart"/>
                  <w:r w:rsidRPr="00F17E0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euro</w:t>
                  </w:r>
                  <w:proofErr w:type="spellEnd"/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17E06" w:rsidRPr="00F17E06" w14:paraId="113F5C21" w14:textId="77777777" w:rsidTr="001462D3">
              <w:trPr>
                <w:cantSplit/>
              </w:trPr>
              <w:tc>
                <w:tcPr>
                  <w:tcW w:w="2271" w:type="dxa"/>
                  <w:vMerge/>
                  <w:shd w:val="clear" w:color="auto" w:fill="auto"/>
                  <w:vAlign w:val="center"/>
                  <w:hideMark/>
                </w:tcPr>
                <w:p w14:paraId="46526C27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  <w:gridSpan w:val="2"/>
                  <w:vMerge/>
                  <w:shd w:val="clear" w:color="auto" w:fill="auto"/>
                  <w:vAlign w:val="center"/>
                  <w:hideMark/>
                </w:tcPr>
                <w:p w14:paraId="630BEEFB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  <w:gridSpan w:val="3"/>
                  <w:shd w:val="clear" w:color="auto" w:fill="FFFFFF"/>
                  <w:vAlign w:val="center"/>
                  <w:hideMark/>
                </w:tcPr>
                <w:p w14:paraId="5BDBF2B7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131" w:type="dxa"/>
                  <w:gridSpan w:val="3"/>
                  <w:shd w:val="clear" w:color="auto" w:fill="FFFFFF"/>
                  <w:vAlign w:val="center"/>
                  <w:hideMark/>
                </w:tcPr>
                <w:p w14:paraId="1FFB4706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46" w:type="dxa"/>
                  <w:gridSpan w:val="2"/>
                  <w:shd w:val="clear" w:color="auto" w:fill="FFFFFF"/>
                  <w:vAlign w:val="center"/>
                  <w:hideMark/>
                </w:tcPr>
                <w:p w14:paraId="05E08447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2022</w:t>
                  </w:r>
                </w:p>
              </w:tc>
            </w:tr>
            <w:tr w:rsidR="00F17E06" w:rsidRPr="00F17E06" w14:paraId="7E0DC0D7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vMerge/>
                  <w:shd w:val="clear" w:color="auto" w:fill="auto"/>
                  <w:vAlign w:val="center"/>
                  <w:hideMark/>
                </w:tcPr>
                <w:p w14:paraId="46BE2AA4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shd w:val="clear" w:color="auto" w:fill="FFFFFF"/>
                  <w:vAlign w:val="center"/>
                  <w:hideMark/>
                </w:tcPr>
                <w:p w14:paraId="0876A874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saskaņā ar valsts budžetu kārtējam gadam</w:t>
                  </w:r>
                </w:p>
              </w:tc>
              <w:tc>
                <w:tcPr>
                  <w:tcW w:w="1128" w:type="dxa"/>
                  <w:shd w:val="clear" w:color="auto" w:fill="FFFFFF"/>
                  <w:vAlign w:val="center"/>
                  <w:hideMark/>
                </w:tcPr>
                <w:p w14:paraId="4B291992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izmaiņas kārtējā gadā, salīdzinot ar valsts budžetu kārtējam gadam</w:t>
                  </w:r>
                </w:p>
              </w:tc>
              <w:tc>
                <w:tcPr>
                  <w:tcW w:w="1137" w:type="dxa"/>
                  <w:shd w:val="clear" w:color="auto" w:fill="FFFFFF"/>
                  <w:vAlign w:val="center"/>
                  <w:hideMark/>
                </w:tcPr>
                <w:p w14:paraId="02C6CF0F" w14:textId="16A0CA91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saskaņā ar vidēja termiņa budžeta ietvaru</w:t>
                  </w:r>
                  <w:r w:rsidR="00AE1756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14:paraId="20021DD6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izmaiņas, salīdzinot ar vidēja termiņa budžeta ietvaru 2020. gadam</w:t>
                  </w:r>
                </w:p>
              </w:tc>
              <w:tc>
                <w:tcPr>
                  <w:tcW w:w="1137" w:type="dxa"/>
                  <w:gridSpan w:val="2"/>
                  <w:shd w:val="clear" w:color="auto" w:fill="FFFFFF"/>
                  <w:vAlign w:val="center"/>
                  <w:hideMark/>
                </w:tcPr>
                <w:p w14:paraId="0C3F54BE" w14:textId="7E6C2564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saskaņā ar vidēja termiņa budžeta ietvaru</w:t>
                  </w:r>
                  <w:r w:rsidR="00AE1756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14:paraId="74A2B7C4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izmaiņas, salīdzinot ar vidēja termiņa budžeta ietvaru 2021. gadam</w:t>
                  </w:r>
                </w:p>
              </w:tc>
              <w:tc>
                <w:tcPr>
                  <w:tcW w:w="1046" w:type="dxa"/>
                  <w:gridSpan w:val="2"/>
                  <w:shd w:val="clear" w:color="auto" w:fill="FFFFFF"/>
                  <w:vAlign w:val="center"/>
                  <w:hideMark/>
                </w:tcPr>
                <w:p w14:paraId="2170C3A1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izmaiņas, salīdzinot ar vidēja termiņa budžeta ietvaru 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2021. gadam</w:t>
                  </w:r>
                </w:p>
              </w:tc>
            </w:tr>
            <w:tr w:rsidR="00F17E06" w:rsidRPr="00F17E06" w14:paraId="64601C4D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FFFFFF"/>
                  <w:vAlign w:val="center"/>
                  <w:hideMark/>
                </w:tcPr>
                <w:p w14:paraId="70ABF1A3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9" w:type="dxa"/>
                  <w:shd w:val="clear" w:color="auto" w:fill="FFFFFF"/>
                  <w:vAlign w:val="center"/>
                  <w:hideMark/>
                </w:tcPr>
                <w:p w14:paraId="0F61EC09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8" w:type="dxa"/>
                  <w:shd w:val="clear" w:color="auto" w:fill="FFFFFF"/>
                  <w:vAlign w:val="center"/>
                  <w:hideMark/>
                </w:tcPr>
                <w:p w14:paraId="3AA8C573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7" w:type="dxa"/>
                  <w:shd w:val="clear" w:color="auto" w:fill="FFFFFF"/>
                  <w:vAlign w:val="center"/>
                  <w:hideMark/>
                </w:tcPr>
                <w:p w14:paraId="77AB9EBF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14:paraId="0DF5FAA7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7" w:type="dxa"/>
                  <w:gridSpan w:val="2"/>
                  <w:shd w:val="clear" w:color="auto" w:fill="FFFFFF"/>
                  <w:vAlign w:val="center"/>
                  <w:hideMark/>
                </w:tcPr>
                <w:p w14:paraId="309D967C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14:paraId="28A2E745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46" w:type="dxa"/>
                  <w:gridSpan w:val="2"/>
                  <w:shd w:val="clear" w:color="auto" w:fill="FFFFFF"/>
                  <w:vAlign w:val="center"/>
                  <w:hideMark/>
                </w:tcPr>
                <w:p w14:paraId="0C8EFBD7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17E06" w:rsidRPr="00F17E06" w14:paraId="3E067691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FFFFFF"/>
                  <w:hideMark/>
                </w:tcPr>
                <w:p w14:paraId="562AB4D3" w14:textId="77777777" w:rsidR="002E72CD" w:rsidRPr="00F17E06" w:rsidRDefault="002E72CD" w:rsidP="002E72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Budžeta ieņēmumi</w:t>
                  </w:r>
                </w:p>
              </w:tc>
              <w:tc>
                <w:tcPr>
                  <w:tcW w:w="1129" w:type="dxa"/>
                  <w:shd w:val="clear" w:color="auto" w:fill="FFFFFF"/>
                  <w:vAlign w:val="center"/>
                  <w:hideMark/>
                </w:tcPr>
                <w:p w14:paraId="3F67F059" w14:textId="14E104CE" w:rsidR="002E72CD" w:rsidRPr="00F17E06" w:rsidRDefault="004B18B8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1 000 000</w:t>
                  </w:r>
                </w:p>
              </w:tc>
              <w:tc>
                <w:tcPr>
                  <w:tcW w:w="1128" w:type="dxa"/>
                  <w:shd w:val="clear" w:color="auto" w:fill="FFFFFF"/>
                  <w:vAlign w:val="center"/>
                  <w:hideMark/>
                </w:tcPr>
                <w:p w14:paraId="117C5D2D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FFFFFF"/>
                  <w:vAlign w:val="center"/>
                  <w:hideMark/>
                </w:tcPr>
                <w:p w14:paraId="6B0F4ED4" w14:textId="14128871" w:rsidR="002E72CD" w:rsidRPr="00F17E06" w:rsidRDefault="004B18B8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1 000 000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14:paraId="454FFFCB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FFFFFF"/>
                  <w:vAlign w:val="center"/>
                  <w:hideMark/>
                </w:tcPr>
                <w:p w14:paraId="2914F46D" w14:textId="184701D3" w:rsidR="002E72CD" w:rsidRPr="00F17E06" w:rsidRDefault="004B18B8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1 000 000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  <w:hideMark/>
                </w:tcPr>
                <w:p w14:paraId="23F1BFBC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FFFFFF"/>
                  <w:vAlign w:val="center"/>
                  <w:hideMark/>
                </w:tcPr>
                <w:p w14:paraId="0C554360" w14:textId="77777777" w:rsidR="002E72CD" w:rsidRPr="00F17E06" w:rsidRDefault="002E72CD" w:rsidP="002E72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2A0AC103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6B00DD33" w14:textId="1BB13669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 valsts pamatbudžets, tai skaitā ieņēmumi no maksas pakalpojumiem un citi pašu ieņēmumi  Labklājības ministrijas apakšprogramma 05.01.00 “Sociālās rehabilitācijas valsts programmas ”</w:t>
                  </w:r>
                </w:p>
                <w:p w14:paraId="18FF7776" w14:textId="05C4D4E8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F5270A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akšprogramma 22.03.00. “Valsts atbalsts ārpusģimenes ap</w:t>
                  </w:r>
                  <w:r w:rsidR="00F5270A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ūpei”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14:paraId="2BE8CCB2" w14:textId="5E988E00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D8C8FB0" w14:textId="77777777" w:rsidR="00AE1756" w:rsidRPr="00F17E06" w:rsidRDefault="00AE175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B4CF29D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6CA651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50F3E0" w14:textId="77777777" w:rsidR="00195186" w:rsidRPr="00F17E06" w:rsidRDefault="00195186" w:rsidP="00195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1 000 000</w:t>
                  </w:r>
                </w:p>
                <w:p w14:paraId="20CF9360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FA3D93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B96BB18" w14:textId="4C549C3A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1D77E802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0C57A4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332BE9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AA26CBA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4C37FB7" w14:textId="7FFF37E8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6AA9C0B6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1738D6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94374D" w14:textId="2D4BC026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  <w:hideMark/>
                </w:tcPr>
                <w:p w14:paraId="349F02DB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557B2A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362D3DF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2B0093" w14:textId="77777777" w:rsidR="00195186" w:rsidRPr="00F17E06" w:rsidRDefault="00195186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10AEB8" w14:textId="4F519387" w:rsidR="00195186" w:rsidRPr="00F17E06" w:rsidRDefault="00195186" w:rsidP="00F52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46837E98" w14:textId="77777777" w:rsidR="00195186" w:rsidRPr="00F17E06" w:rsidRDefault="00195186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0E3D3D9" w14:textId="77777777" w:rsidR="00195186" w:rsidRPr="00F17E06" w:rsidRDefault="00195186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166F524" w14:textId="607DB05D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1 000 000</w:t>
                  </w:r>
                </w:p>
                <w:p w14:paraId="511A458F" w14:textId="0C3CD72F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5B170000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67E36F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D93393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934D9F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E06E06C" w14:textId="56A25AB1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731FF38A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E03DCB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EB6ED1" w14:textId="2E2F7675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  <w:hideMark/>
                </w:tcPr>
                <w:p w14:paraId="388E5775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BDF912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6DE2310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15D65D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0F53FF4" w14:textId="1699940E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2C08A358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F7D4D63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073480" w14:textId="6EE9841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1 000 000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408E9782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95739CF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0C6E428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1AB79D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10E131C" w14:textId="66D04FF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5F2A0592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8C05BD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575CD9F" w14:textId="3ACD8C4C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0526C1B3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AE1AA52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74F15A5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5D87C88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67134D" w14:textId="3050FA80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5A828D09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34B5285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35E0C4D" w14:textId="7E11287E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5331454D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5DEBB5BE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valsts speciālais budžets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14:paraId="36A8161C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69651313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  <w:hideMark/>
                </w:tcPr>
                <w:p w14:paraId="6599B71C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5512AD00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  <w:hideMark/>
                </w:tcPr>
                <w:p w14:paraId="4883AE31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EBE7BC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6CA00D75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45491EAC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6FAE9D1C" w14:textId="713E226F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1.3. pašvaldību budžets </w:t>
                  </w:r>
                </w:p>
                <w:p w14:paraId="243C884C" w14:textId="6A936B90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  <w:vAlign w:val="center"/>
                </w:tcPr>
                <w:p w14:paraId="41457F9C" w14:textId="77C6202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14:paraId="223D5FC3" w14:textId="06CC71EE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278F7862" w14:textId="6C3B7161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14:paraId="460A1873" w14:textId="3F797FBD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</w:tcPr>
                <w:p w14:paraId="0C58CD3F" w14:textId="332645E9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14:paraId="45C698B8" w14:textId="5E54C3B9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</w:tcPr>
                <w:p w14:paraId="6EDD9279" w14:textId="74E5865E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44CB9FE7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212A89EC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Budžeta izdevumi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14:paraId="77F9E99D" w14:textId="353CD272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1 000 000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498425C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  <w:hideMark/>
                </w:tcPr>
                <w:p w14:paraId="6DAABD07" w14:textId="523DB531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1 000 000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4A229F0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  <w:hideMark/>
                </w:tcPr>
                <w:p w14:paraId="2D3C393F" w14:textId="2935F79C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1 000 000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A6CEDF7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3FF212E5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0D5E2B39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1C538468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2.1. valsts pamatbudžets </w:t>
                  </w:r>
                </w:p>
                <w:p w14:paraId="1C998FA6" w14:textId="027E2FD1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Labklājības ministrijas apakšprogramma 05.01.00 “Sociālās rehabilitācijas valsts programmas”</w:t>
                  </w:r>
                </w:p>
                <w:p w14:paraId="52C22A0C" w14:textId="6B288280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F5270A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akšprogramma 22.03.00. “Valsts atbalsts ārpusģimenes ap</w:t>
                  </w:r>
                  <w:r w:rsidR="00F5270A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ūpei”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14:paraId="0C52B486" w14:textId="5D3188F9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060AA1F" w14:textId="77777777" w:rsidR="00AE1756" w:rsidRPr="00F17E06" w:rsidRDefault="00AE175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45C094" w14:textId="77777777" w:rsidR="00195186" w:rsidRPr="00F17E06" w:rsidRDefault="00195186" w:rsidP="001951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1 000 000</w:t>
                  </w:r>
                </w:p>
                <w:p w14:paraId="4806AFBC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41A58A3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D3F2FC" w14:textId="7E89B60F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513993EA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2283BA" w14:textId="276B5628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00F531" w14:textId="589BC19B" w:rsidR="00AC336E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7A4F1966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91CB970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1DAB93" w14:textId="54FDD68D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  <w:hideMark/>
                </w:tcPr>
                <w:p w14:paraId="6DA7C823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D9F0BC" w14:textId="5BCB20E2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B313BD5" w14:textId="4086CEEA" w:rsidR="00195186" w:rsidRPr="00F17E06" w:rsidRDefault="00195186" w:rsidP="00F52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4B05D76C" w14:textId="77777777" w:rsidR="00195186" w:rsidRPr="00F17E06" w:rsidRDefault="00195186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D47700" w14:textId="77777777" w:rsidR="00195186" w:rsidRPr="00F17E06" w:rsidRDefault="00195186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AB96D39" w14:textId="4A5B18D5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1 000 000</w:t>
                  </w:r>
                </w:p>
                <w:p w14:paraId="07590357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21C24985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450C74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3701663" w14:textId="1C3AC7C5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15B6FA8D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7E699B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B47988" w14:textId="142C0311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  <w:hideMark/>
                </w:tcPr>
                <w:p w14:paraId="20926B0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69950E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2D71C0F" w14:textId="3D5F0951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3DF10D5E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7FF59D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BA75E41" w14:textId="60DF6DB0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1 000 000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3AA70A53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D302B4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28BA6B" w14:textId="5D9ECFD1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3DF33DF7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92A36F7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D7A339" w14:textId="47998FB0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16074B8E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857403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6016DD" w14:textId="1EEDDF00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14:paraId="27448EC9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9717364" w14:textId="77777777" w:rsidR="00195186" w:rsidRPr="00F17E06" w:rsidRDefault="00195186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9DCA14" w14:textId="57AED6C0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6D261805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4056BE32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 valsts speciālais budžets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14:paraId="5ACB51CA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450D931E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  <w:hideMark/>
                </w:tcPr>
                <w:p w14:paraId="34D1AC7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AD2C891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  <w:hideMark/>
                </w:tcPr>
                <w:p w14:paraId="3365535E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513C1E2E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0A5EAD2C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0E755B1F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69746A01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 pašvaldību budžets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14:paraId="3213A1AC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362E203F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  <w:hideMark/>
                </w:tcPr>
                <w:p w14:paraId="2297E5C8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3856FBC7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  <w:hideMark/>
                </w:tcPr>
                <w:p w14:paraId="7C05DE20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082773D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6C944058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67F76818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47355E26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Finansiālā ietekme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14:paraId="65699FE2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20279744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  <w:hideMark/>
                </w:tcPr>
                <w:p w14:paraId="29E2D057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D5F5BC4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  <w:hideMark/>
                </w:tcPr>
                <w:p w14:paraId="4E5056F4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B24A614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48044C7E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01D03B2E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19615742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 valsts pamatbudžets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14:paraId="465D4017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02708647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  <w:hideMark/>
                </w:tcPr>
                <w:p w14:paraId="31DC160E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346DCC5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  <w:hideMark/>
                </w:tcPr>
                <w:p w14:paraId="30905F90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2DAEE3AA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2960CE1F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2BCD654D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2C7B04DE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 speciālais budžets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14:paraId="06767220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0904E5F5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  <w:hideMark/>
                </w:tcPr>
                <w:p w14:paraId="1BF6A18D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5FA064E1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  <w:hideMark/>
                </w:tcPr>
                <w:p w14:paraId="274AF098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00FCBD6E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7AFBE000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7904F456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01B3FF63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 pašvaldību budžets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14:paraId="71592638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041C2777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  <w:hideMark/>
                </w:tcPr>
                <w:p w14:paraId="4722A0AD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67AD947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  <w:hideMark/>
                </w:tcPr>
                <w:p w14:paraId="01EE36C3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2AB792A2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5F8128BE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192A0948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4E1E75FC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Finanšu līdzekļi papildu izdevumu finansēšanai (kompensējošu izdevumu samazinājumu norāda ar "+" zīmi)</w:t>
                  </w:r>
                </w:p>
              </w:tc>
              <w:tc>
                <w:tcPr>
                  <w:tcW w:w="1129" w:type="dxa"/>
                  <w:shd w:val="clear" w:color="auto" w:fill="auto"/>
                  <w:vAlign w:val="center"/>
                  <w:hideMark/>
                </w:tcPr>
                <w:p w14:paraId="01A1305F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1FC96E9A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  <w:hideMark/>
                </w:tcPr>
                <w:p w14:paraId="0DA4C55E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053467B4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shd w:val="clear" w:color="auto" w:fill="auto"/>
                  <w:vAlign w:val="center"/>
                  <w:hideMark/>
                </w:tcPr>
                <w:p w14:paraId="467B173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B37026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0864AC13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1C519CCF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7CB2C15B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Precizēta finansiālā ietekme</w:t>
                  </w:r>
                </w:p>
              </w:tc>
              <w:tc>
                <w:tcPr>
                  <w:tcW w:w="1129" w:type="dxa"/>
                  <w:vMerge w:val="restart"/>
                  <w:shd w:val="clear" w:color="auto" w:fill="auto"/>
                  <w:vAlign w:val="center"/>
                  <w:hideMark/>
                </w:tcPr>
                <w:p w14:paraId="70B0B4B8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4611F001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vMerge w:val="restart"/>
                  <w:shd w:val="clear" w:color="auto" w:fill="auto"/>
                  <w:vAlign w:val="center"/>
                  <w:hideMark/>
                </w:tcPr>
                <w:p w14:paraId="39312543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2D6F5F72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14:paraId="24AD65A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2B220F03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54A6C147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770BD5BB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01F966C7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 valsts pamatbudžets</w:t>
                  </w:r>
                </w:p>
              </w:tc>
              <w:tc>
                <w:tcPr>
                  <w:tcW w:w="1129" w:type="dxa"/>
                  <w:vMerge/>
                  <w:shd w:val="clear" w:color="auto" w:fill="auto"/>
                  <w:vAlign w:val="center"/>
                  <w:hideMark/>
                </w:tcPr>
                <w:p w14:paraId="57E88EE6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0FBEE6A6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vMerge/>
                  <w:shd w:val="clear" w:color="auto" w:fill="auto"/>
                  <w:vAlign w:val="center"/>
                  <w:hideMark/>
                </w:tcPr>
                <w:p w14:paraId="29A337A9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759B2190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vMerge/>
                  <w:shd w:val="clear" w:color="auto" w:fill="auto"/>
                  <w:vAlign w:val="center"/>
                  <w:hideMark/>
                </w:tcPr>
                <w:p w14:paraId="5B6382FA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3A49FCB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2D92E299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65964617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1C135215" w14:textId="3414C415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5.2. speciālais budžets</w:t>
                  </w:r>
                </w:p>
                <w:p w14:paraId="19B2380E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BB31EF1" w14:textId="651D2562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301890" w14:textId="77777777" w:rsidR="00AC336E" w:rsidRPr="00F17E06" w:rsidRDefault="00AC336E" w:rsidP="00AC336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vMerge/>
                  <w:shd w:val="clear" w:color="auto" w:fill="auto"/>
                  <w:vAlign w:val="center"/>
                  <w:hideMark/>
                </w:tcPr>
                <w:p w14:paraId="2C40BFE1" w14:textId="77777777" w:rsidR="00AC336E" w:rsidRPr="00F17E06" w:rsidRDefault="00AC336E" w:rsidP="00AC336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4B0DE2D2" w14:textId="77777777" w:rsidR="00AC336E" w:rsidRPr="00F17E06" w:rsidRDefault="00AC336E" w:rsidP="00AC336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  <w:r w:rsidRPr="00F17E06">
                    <w:rPr>
                      <w:rFonts w:ascii="Cambria" w:hAnsi="Cambria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7" w:type="dxa"/>
                  <w:vMerge/>
                  <w:shd w:val="clear" w:color="auto" w:fill="auto"/>
                  <w:vAlign w:val="center"/>
                  <w:hideMark/>
                </w:tcPr>
                <w:p w14:paraId="6EC36216" w14:textId="77777777" w:rsidR="00AC336E" w:rsidRPr="00F17E06" w:rsidRDefault="00AC336E" w:rsidP="00AC336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5896D0FD" w14:textId="77777777" w:rsidR="00AC336E" w:rsidRPr="00F17E06" w:rsidRDefault="00AC336E" w:rsidP="00AC336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  <w:r w:rsidRPr="00F17E06">
                    <w:rPr>
                      <w:rFonts w:ascii="Cambria" w:hAnsi="Cambria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vMerge/>
                  <w:shd w:val="clear" w:color="auto" w:fill="auto"/>
                  <w:vAlign w:val="center"/>
                  <w:hideMark/>
                </w:tcPr>
                <w:p w14:paraId="2CDC6270" w14:textId="77777777" w:rsidR="00AC336E" w:rsidRPr="00F17E06" w:rsidRDefault="00AC336E" w:rsidP="00AC336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DB92514" w14:textId="77777777" w:rsidR="00AC336E" w:rsidRPr="00F17E06" w:rsidRDefault="00AC336E" w:rsidP="00AC336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  <w:r w:rsidRPr="00F17E06">
                    <w:rPr>
                      <w:rFonts w:ascii="Cambria" w:hAnsi="Cambria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62D02131" w14:textId="77777777" w:rsidR="00AC336E" w:rsidRPr="00F17E06" w:rsidRDefault="00AC336E" w:rsidP="00AC336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  <w:r w:rsidRPr="00F17E06">
                    <w:rPr>
                      <w:rFonts w:ascii="Cambria" w:hAnsi="Cambria"/>
                      <w:sz w:val="19"/>
                      <w:szCs w:val="19"/>
                    </w:rPr>
                    <w:t>0</w:t>
                  </w:r>
                </w:p>
              </w:tc>
            </w:tr>
            <w:tr w:rsidR="00F17E06" w:rsidRPr="00F17E06" w14:paraId="4BED7B8F" w14:textId="77777777" w:rsidTr="001462D3">
              <w:trPr>
                <w:gridAfter w:val="1"/>
                <w:wAfter w:w="12" w:type="dxa"/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510BD2C5" w14:textId="49F2E47C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 pašvaldību budžets</w:t>
                  </w:r>
                </w:p>
                <w:p w14:paraId="0634498F" w14:textId="1EF6A4A1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16785F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9" w:type="dxa"/>
                  <w:vMerge/>
                  <w:shd w:val="clear" w:color="auto" w:fill="auto"/>
                  <w:vAlign w:val="center"/>
                  <w:hideMark/>
                </w:tcPr>
                <w:p w14:paraId="4DA1B76B" w14:textId="77777777" w:rsidR="00AC336E" w:rsidRPr="00F17E06" w:rsidRDefault="00AC336E" w:rsidP="00AC336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1128" w:type="dxa"/>
                  <w:shd w:val="clear" w:color="auto" w:fill="auto"/>
                  <w:vAlign w:val="center"/>
                  <w:hideMark/>
                </w:tcPr>
                <w:p w14:paraId="50065445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vMerge/>
                  <w:shd w:val="clear" w:color="auto" w:fill="auto"/>
                  <w:vAlign w:val="center"/>
                  <w:hideMark/>
                </w:tcPr>
                <w:p w14:paraId="1DDBB116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1025608D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7" w:type="dxa"/>
                  <w:gridSpan w:val="2"/>
                  <w:vMerge/>
                  <w:shd w:val="clear" w:color="auto" w:fill="auto"/>
                  <w:vAlign w:val="center"/>
                  <w:hideMark/>
                </w:tcPr>
                <w:p w14:paraId="04F5C69C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vAlign w:val="center"/>
                  <w:hideMark/>
                </w:tcPr>
                <w:p w14:paraId="63D109CA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6" w:type="dxa"/>
                  <w:gridSpan w:val="2"/>
                  <w:shd w:val="clear" w:color="auto" w:fill="auto"/>
                  <w:vAlign w:val="center"/>
                  <w:hideMark/>
                </w:tcPr>
                <w:p w14:paraId="65717049" w14:textId="77777777" w:rsidR="00AC336E" w:rsidRPr="00F17E06" w:rsidRDefault="00AC336E" w:rsidP="00AC33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17E06" w:rsidRPr="00F17E06" w14:paraId="15150B98" w14:textId="77777777" w:rsidTr="001462D3">
              <w:trPr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70A9EB06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Detalizēts ieņēmumu un izdevumu aprēķins (ja nepieciešams, detalizētu ieņēmumu un izdevumu aprēķinu var pievienot anotācijas pielikumā)</w:t>
                  </w:r>
                </w:p>
              </w:tc>
              <w:tc>
                <w:tcPr>
                  <w:tcW w:w="7569" w:type="dxa"/>
                  <w:gridSpan w:val="10"/>
                  <w:vMerge w:val="restart"/>
                  <w:shd w:val="clear" w:color="auto" w:fill="auto"/>
                  <w:vAlign w:val="center"/>
                  <w:hideMark/>
                </w:tcPr>
                <w:p w14:paraId="64ED88BF" w14:textId="0FCC7B9E" w:rsidR="00554E44" w:rsidRPr="00F17E06" w:rsidRDefault="00554E44" w:rsidP="00554E4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Ņemot vērā, ka ar 2021.gadu plānota minimālās mēneša darba algas paaugstināšana līdz 500 </w:t>
                  </w:r>
                  <w:proofErr w:type="spellStart"/>
                  <w:r w:rsidRPr="00F17E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euro</w:t>
                  </w:r>
                  <w:proofErr w:type="spellEnd"/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apmērā, </w:t>
                  </w:r>
                  <w:r w:rsidR="008A3FF3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tad, 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 netiktu veikt</w:t>
                  </w:r>
                  <w:r w:rsidR="008A3FF3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grozījumi, ar 2021.gadu būtu 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papildus  </w:t>
                  </w:r>
                  <w:r w:rsidR="008A3FF3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nepieciešami 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valsts budžeta </w:t>
                  </w:r>
                  <w:r w:rsidR="008A3FF3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līdzekļi 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162 947 </w:t>
                  </w:r>
                  <w:proofErr w:type="spellStart"/>
                  <w:r w:rsidRPr="00F17E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euro</w:t>
                  </w:r>
                  <w:proofErr w:type="spellEnd"/>
                  <w:r w:rsidR="008A3FF3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apmērā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1462D3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AADB55A" w14:textId="77777777" w:rsidR="00AC336E" w:rsidRPr="00F17E06" w:rsidRDefault="00AC336E" w:rsidP="00AC336E">
                  <w:pPr>
                    <w:spacing w:after="0" w:line="240" w:lineRule="auto"/>
                    <w:jc w:val="both"/>
                    <w:rPr>
                      <w:rFonts w:ascii="Cambria" w:hAnsi="Cambria"/>
                      <w:sz w:val="19"/>
                      <w:szCs w:val="19"/>
                    </w:rPr>
                  </w:pPr>
                </w:p>
                <w:tbl>
                  <w:tblPr>
                    <w:tblpPr w:leftFromText="180" w:rightFromText="180" w:vertAnchor="page" w:horzAnchor="margin" w:tblpY="1186"/>
                    <w:tblOverlap w:val="never"/>
                    <w:tblW w:w="7160" w:type="dxa"/>
                    <w:tblLook w:val="04A0" w:firstRow="1" w:lastRow="0" w:firstColumn="1" w:lastColumn="0" w:noHBand="0" w:noVBand="1"/>
                  </w:tblPr>
                  <w:tblGrid>
                    <w:gridCol w:w="3280"/>
                    <w:gridCol w:w="1251"/>
                    <w:gridCol w:w="1134"/>
                    <w:gridCol w:w="1495"/>
                  </w:tblGrid>
                  <w:tr w:rsidR="00315018" w:rsidRPr="00F17E06" w14:paraId="1D98484B" w14:textId="77777777" w:rsidTr="00315018">
                    <w:trPr>
                      <w:trHeight w:val="300"/>
                    </w:trPr>
                    <w:tc>
                      <w:tcPr>
                        <w:tcW w:w="3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5063F0" w14:textId="77777777" w:rsidR="00315018" w:rsidRPr="00F17E06" w:rsidRDefault="00315018" w:rsidP="003150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16C6C1" w14:textId="77777777" w:rsidR="00315018" w:rsidRPr="00F17E06" w:rsidRDefault="00315018" w:rsidP="003150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0-7gadi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D3A869" w14:textId="77777777" w:rsidR="00315018" w:rsidRPr="00F17E06" w:rsidRDefault="00315018" w:rsidP="003150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7-18 gadi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F0BD3B" w14:textId="77777777" w:rsidR="00315018" w:rsidRPr="00F17E06" w:rsidRDefault="00315018" w:rsidP="003150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kopā</w:t>
                        </w:r>
                      </w:p>
                    </w:tc>
                  </w:tr>
                  <w:tr w:rsidR="00315018" w:rsidRPr="00F17E06" w14:paraId="55AEA027" w14:textId="77777777" w:rsidTr="00315018">
                    <w:trPr>
                      <w:trHeight w:val="510"/>
                    </w:trPr>
                    <w:tc>
                      <w:tcPr>
                        <w:tcW w:w="32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1A2023" w14:textId="77777777" w:rsidR="00315018" w:rsidRPr="00F17E06" w:rsidRDefault="00315018" w:rsidP="003150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Bērnu skaits audžuģimenēs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4FD613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479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D47E62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911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012328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1390</w:t>
                        </w:r>
                      </w:p>
                    </w:tc>
                  </w:tr>
                  <w:tr w:rsidR="00315018" w:rsidRPr="00F17E06" w14:paraId="4C4CFEFF" w14:textId="77777777" w:rsidTr="00315018">
                    <w:trPr>
                      <w:trHeight w:val="300"/>
                    </w:trPr>
                    <w:tc>
                      <w:tcPr>
                        <w:tcW w:w="32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42E437" w14:textId="77777777" w:rsidR="00315018" w:rsidRPr="00F17E06" w:rsidRDefault="00315018" w:rsidP="003150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Valsts līdzfinansējums bērna uzturam, ja minimālā alga 430 </w:t>
                        </w:r>
                        <w:proofErr w:type="spellStart"/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euro</w:t>
                        </w:r>
                        <w:proofErr w:type="spellEnd"/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39E8F9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53.01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AB6DE0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63.62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A306EA" w14:textId="77777777" w:rsidR="00315018" w:rsidRPr="00F17E06" w:rsidRDefault="00315018" w:rsidP="003150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x</w:t>
                        </w:r>
                      </w:p>
                    </w:tc>
                  </w:tr>
                  <w:tr w:rsidR="00315018" w:rsidRPr="00F17E06" w14:paraId="09A9272E" w14:textId="77777777" w:rsidTr="00315018">
                    <w:trPr>
                      <w:trHeight w:val="300"/>
                    </w:trPr>
                    <w:tc>
                      <w:tcPr>
                        <w:tcW w:w="32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DF5B1F" w14:textId="77777777" w:rsidR="00315018" w:rsidRPr="00F17E06" w:rsidRDefault="00315018" w:rsidP="003150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B78FF9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304 701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1B29E2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695 299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22A88E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1 000 000</w:t>
                        </w:r>
                      </w:p>
                    </w:tc>
                  </w:tr>
                  <w:tr w:rsidR="00315018" w:rsidRPr="00F17E06" w14:paraId="62834376" w14:textId="77777777" w:rsidTr="00315018">
                    <w:trPr>
                      <w:trHeight w:val="300"/>
                    </w:trPr>
                    <w:tc>
                      <w:tcPr>
                        <w:tcW w:w="32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50D026" w14:textId="77777777" w:rsidR="00315018" w:rsidRPr="00F17E06" w:rsidRDefault="00315018" w:rsidP="003150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Valsts līdzfinansējums bērna uzturam, ja minimālā alga 500 </w:t>
                        </w:r>
                        <w:proofErr w:type="spellStart"/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euro</w:t>
                        </w:r>
                        <w:proofErr w:type="spellEnd"/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4E23BC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61.64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BDCCA6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73.97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60BEC4" w14:textId="77777777" w:rsidR="00315018" w:rsidRPr="00F17E06" w:rsidRDefault="00315018" w:rsidP="0031501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x</w:t>
                        </w:r>
                      </w:p>
                    </w:tc>
                  </w:tr>
                  <w:tr w:rsidR="00315018" w:rsidRPr="00F17E06" w14:paraId="4734D1AB" w14:textId="77777777" w:rsidTr="00315018">
                    <w:trPr>
                      <w:trHeight w:val="300"/>
                    </w:trPr>
                    <w:tc>
                      <w:tcPr>
                        <w:tcW w:w="32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0BFF309" w14:textId="77777777" w:rsidR="00315018" w:rsidRPr="00F17E06" w:rsidRDefault="00315018" w:rsidP="003150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DB930F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354 307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A58AC8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808 640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C9D673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1 162 947</w:t>
                        </w:r>
                      </w:p>
                    </w:tc>
                  </w:tr>
                  <w:tr w:rsidR="00315018" w:rsidRPr="00F17E06" w14:paraId="2DAD1AC9" w14:textId="77777777" w:rsidTr="00315018">
                    <w:trPr>
                      <w:trHeight w:val="300"/>
                    </w:trPr>
                    <w:tc>
                      <w:tcPr>
                        <w:tcW w:w="32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5C696F" w14:textId="77777777" w:rsidR="00315018" w:rsidRPr="00F17E06" w:rsidRDefault="00315018" w:rsidP="0031501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Ietekme sākot ar 2021.gadu, ja netiks pieņemtas izmaiņas normatīvajā aktā (</w:t>
                        </w:r>
                        <w:proofErr w:type="spellStart"/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euro</w:t>
                        </w:r>
                        <w:proofErr w:type="spellEnd"/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)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4598C6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49 606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02A869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113 341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03C518" w14:textId="77777777" w:rsidR="00315018" w:rsidRPr="00F17E06" w:rsidRDefault="00315018" w:rsidP="0031501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F17E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162 947</w:t>
                        </w:r>
                      </w:p>
                    </w:tc>
                  </w:tr>
                </w:tbl>
                <w:p w14:paraId="3D0252E6" w14:textId="77777777" w:rsidR="00AC336E" w:rsidRPr="00F17E06" w:rsidRDefault="00AC336E" w:rsidP="001462D3">
                  <w:pPr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F17E06" w:rsidRPr="00F17E06" w14:paraId="1E18E0A5" w14:textId="77777777" w:rsidTr="001462D3">
              <w:trPr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636A91AB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6.1. detalizēts ieņēmumu aprēķins</w:t>
                  </w:r>
                </w:p>
              </w:tc>
              <w:tc>
                <w:tcPr>
                  <w:tcW w:w="7569" w:type="dxa"/>
                  <w:gridSpan w:val="10"/>
                  <w:vMerge/>
                  <w:shd w:val="clear" w:color="auto" w:fill="auto"/>
                  <w:vAlign w:val="center"/>
                  <w:hideMark/>
                </w:tcPr>
                <w:p w14:paraId="0A6349F5" w14:textId="77777777" w:rsidR="00AC336E" w:rsidRPr="00F17E06" w:rsidRDefault="00AC336E" w:rsidP="00AC336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F17E06" w:rsidRPr="00F17E06" w14:paraId="011CF8DC" w14:textId="77777777" w:rsidTr="001462D3">
              <w:trPr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3B6EECF6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6.2. detalizēts izdevumu aprēķins</w:t>
                  </w:r>
                </w:p>
              </w:tc>
              <w:tc>
                <w:tcPr>
                  <w:tcW w:w="7569" w:type="dxa"/>
                  <w:gridSpan w:val="10"/>
                  <w:vMerge/>
                  <w:shd w:val="clear" w:color="auto" w:fill="auto"/>
                  <w:vAlign w:val="center"/>
                  <w:hideMark/>
                </w:tcPr>
                <w:p w14:paraId="29857D19" w14:textId="77777777" w:rsidR="00AC336E" w:rsidRPr="00F17E06" w:rsidRDefault="00AC336E" w:rsidP="00AC336E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F17E06" w:rsidRPr="00F17E06" w14:paraId="1BB0C824" w14:textId="77777777" w:rsidTr="001462D3">
              <w:trPr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4F83BC0E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Amata vietu skaita izmaiņas</w:t>
                  </w:r>
                </w:p>
              </w:tc>
              <w:tc>
                <w:tcPr>
                  <w:tcW w:w="7569" w:type="dxa"/>
                  <w:gridSpan w:val="10"/>
                  <w:shd w:val="clear" w:color="auto" w:fill="auto"/>
                  <w:hideMark/>
                </w:tcPr>
                <w:p w14:paraId="0BD23E68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</w:t>
                  </w:r>
                </w:p>
              </w:tc>
            </w:tr>
            <w:tr w:rsidR="00F17E06" w:rsidRPr="00F17E06" w14:paraId="34A114A1" w14:textId="77777777" w:rsidTr="001462D3">
              <w:trPr>
                <w:cantSplit/>
              </w:trPr>
              <w:tc>
                <w:tcPr>
                  <w:tcW w:w="2271" w:type="dxa"/>
                  <w:shd w:val="clear" w:color="auto" w:fill="auto"/>
                  <w:hideMark/>
                </w:tcPr>
                <w:p w14:paraId="67FAD4EF" w14:textId="77777777" w:rsidR="00AC336E" w:rsidRPr="00F17E06" w:rsidRDefault="00AC336E" w:rsidP="00AC33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Cita informācija</w:t>
                  </w:r>
                </w:p>
              </w:tc>
              <w:tc>
                <w:tcPr>
                  <w:tcW w:w="7569" w:type="dxa"/>
                  <w:gridSpan w:val="10"/>
                  <w:shd w:val="clear" w:color="auto" w:fill="auto"/>
                </w:tcPr>
                <w:p w14:paraId="1CC7B615" w14:textId="7F1D1E30" w:rsidR="00AC336E" w:rsidRPr="00F17E06" w:rsidRDefault="00AC336E" w:rsidP="00AC336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 2020.gada 1.janvāra līdzekļi bērna uzturam netiks piesaistīti minimālajam uzturlīdzekļu apmēram valstī, turpmāk </w:t>
                  </w:r>
                  <w:r w:rsidR="0059328F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minimālie 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līdzekļi bērna uzturam audžuģimenē būs 25% no 430 </w:t>
                  </w:r>
                  <w:proofErr w:type="spellStart"/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</w:t>
                  </w:r>
                  <w:proofErr w:type="spellEnd"/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2  bērniem līdz septiņu gadu vecumam un 30% no 430 </w:t>
                  </w:r>
                  <w:proofErr w:type="spellStart"/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</w:t>
                  </w:r>
                  <w:proofErr w:type="spellEnd"/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2 </w:t>
                  </w:r>
                  <w:proofErr w:type="spellStart"/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</w:t>
                  </w:r>
                  <w:proofErr w:type="spellEnd"/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 septiņu gadu vecumam. </w:t>
                  </w:r>
                  <w:r w:rsidR="00E60727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Pašvaldība, izvērtējot savas finansiālās iespējas, var noteikt lielāku līdzekļu apmēru bērna uzturam. 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Izmaiņas tiks nodrošinātas </w:t>
                  </w:r>
                  <w:r w:rsidR="00554E44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Labklājības ministrij</w:t>
                  </w:r>
                  <w:r w:rsidR="008A3FF3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</w:t>
                  </w:r>
                  <w:r w:rsidR="00554E44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piešķirto valsts </w:t>
                  </w:r>
                  <w:r w:rsidR="00554E44"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pamat</w:t>
                  </w:r>
                  <w:r w:rsidRPr="00F17E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budžeta līdzekļu ietvaros. </w:t>
                  </w:r>
                </w:p>
              </w:tc>
            </w:tr>
          </w:tbl>
          <w:p w14:paraId="4394DC37" w14:textId="10114060" w:rsidR="002E72CD" w:rsidRPr="00F17E06" w:rsidRDefault="002E72CD" w:rsidP="002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</w:tc>
      </w:tr>
    </w:tbl>
    <w:p w14:paraId="38AC34C1" w14:textId="0821D1CE" w:rsidR="00546C49" w:rsidRPr="00F17E06" w:rsidRDefault="00AE1756" w:rsidP="00BF20C1">
      <w:pPr>
        <w:spacing w:after="0" w:line="240" w:lineRule="auto"/>
        <w:rPr>
          <w:rFonts w:ascii="Times New Roman" w:hAnsi="Times New Roman" w:cs="Times New Roman"/>
        </w:rPr>
      </w:pPr>
      <w:r w:rsidRPr="00F17E06">
        <w:rPr>
          <w:rFonts w:ascii="Times New Roman" w:hAnsi="Times New Roman" w:cs="Times New Roman"/>
        </w:rPr>
        <w:lastRenderedPageBreak/>
        <w:t>*</w:t>
      </w:r>
      <w:r w:rsidRPr="00F17E06">
        <w:t xml:space="preserve"> </w:t>
      </w:r>
      <w:r w:rsidRPr="00F17E06">
        <w:rPr>
          <w:rFonts w:ascii="Times New Roman" w:hAnsi="Times New Roman" w:cs="Times New Roman"/>
        </w:rPr>
        <w:t>Finansējums ir norādīts atbilstoši Labklājības ministrijas maksimāli pieļaujamajam valsts pamatbudžeta izdevumu apjomam 2019.-2021.gadam</w:t>
      </w:r>
    </w:p>
    <w:p w14:paraId="0A71EE9A" w14:textId="4FDB4AE8" w:rsidR="002E72CD" w:rsidRPr="00F17E06" w:rsidRDefault="002E72CD" w:rsidP="00BF20C1">
      <w:pPr>
        <w:spacing w:after="0" w:line="240" w:lineRule="auto"/>
        <w:rPr>
          <w:rFonts w:ascii="Times New Roman" w:hAnsi="Times New Roman" w:cs="Times New Roman"/>
          <w:b/>
        </w:rPr>
      </w:pPr>
    </w:p>
    <w:p w14:paraId="2AD592A1" w14:textId="5E66F6FD" w:rsidR="002E72CD" w:rsidRPr="00F17E06" w:rsidRDefault="002E72CD" w:rsidP="00BF20C1">
      <w:pPr>
        <w:spacing w:after="0" w:line="240" w:lineRule="auto"/>
        <w:rPr>
          <w:rFonts w:ascii="Times New Roman" w:hAnsi="Times New Roman" w:cs="Times New Roman"/>
          <w:b/>
        </w:rPr>
      </w:pPr>
    </w:p>
    <w:p w14:paraId="2F1E3335" w14:textId="349F564A" w:rsidR="002E72CD" w:rsidRPr="00F17E06" w:rsidRDefault="002E72CD" w:rsidP="00BF20C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20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6283"/>
      </w:tblGrid>
      <w:tr w:rsidR="00315018" w:rsidRPr="00F17E06" w14:paraId="59DD0920" w14:textId="77777777" w:rsidTr="00315018">
        <w:trPr>
          <w:trHeight w:val="42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42FE" w14:textId="77777777" w:rsidR="00315018" w:rsidRPr="00F17E06" w:rsidRDefault="00315018" w:rsidP="00315018">
            <w:pPr>
              <w:pStyle w:val="naisnod"/>
              <w:ind w:left="57" w:right="57"/>
            </w:pPr>
            <w:r w:rsidRPr="00F17E06">
              <w:lastRenderedPageBreak/>
              <w:t>IV. Tiesību akta projekta ietekme uz spēkā esošo tiesību normu sistēmu</w:t>
            </w:r>
          </w:p>
        </w:tc>
      </w:tr>
      <w:tr w:rsidR="00315018" w:rsidRPr="00F17E06" w14:paraId="55248639" w14:textId="77777777" w:rsidTr="00315018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3FE66" w14:textId="77777777" w:rsidR="00315018" w:rsidRPr="00F17E06" w:rsidRDefault="00315018" w:rsidP="003150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34681" w14:textId="77777777" w:rsidR="00315018" w:rsidRPr="00F17E06" w:rsidRDefault="00315018" w:rsidP="003150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Nepieciešami grozījumi Ministru kabineta 2018.gada 26.jūnija noteikumos Nr.354 “Audžuģimenes noteikumi”, nosakot 78.punktā  uzturlīdzekļu apmēru bērna uzturam.</w:t>
            </w:r>
          </w:p>
        </w:tc>
      </w:tr>
      <w:tr w:rsidR="00315018" w:rsidRPr="00F17E06" w14:paraId="553EEE5C" w14:textId="77777777" w:rsidTr="00315018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E1DDB" w14:textId="77777777" w:rsidR="00315018" w:rsidRPr="00F17E06" w:rsidRDefault="00315018" w:rsidP="003150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C6300" w14:textId="77777777" w:rsidR="00315018" w:rsidRPr="00F17E06" w:rsidRDefault="00315018" w:rsidP="003150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Labklājības ministrija</w:t>
            </w:r>
          </w:p>
        </w:tc>
      </w:tr>
      <w:tr w:rsidR="00315018" w:rsidRPr="00F17E06" w14:paraId="4A7E2194" w14:textId="77777777" w:rsidTr="00315018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15" w:type="dxa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B26E5" w14:textId="77777777" w:rsidR="00315018" w:rsidRPr="00F17E06" w:rsidRDefault="00315018" w:rsidP="003150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01979" w14:textId="77777777" w:rsidR="00315018" w:rsidRPr="00F17E06" w:rsidRDefault="00315018" w:rsidP="003150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FD337FC" w14:textId="77777777" w:rsidR="002E72CD" w:rsidRPr="00F17E06" w:rsidRDefault="002E72CD" w:rsidP="00BF20C1">
      <w:pPr>
        <w:spacing w:after="0" w:line="240" w:lineRule="auto"/>
        <w:rPr>
          <w:rFonts w:ascii="Times New Roman" w:hAnsi="Times New Roman" w:cs="Times New Roman"/>
          <w:b/>
        </w:rPr>
      </w:pPr>
    </w:p>
    <w:p w14:paraId="59C1420C" w14:textId="660FBB78" w:rsidR="002E72CD" w:rsidRPr="00F17E06" w:rsidRDefault="002E72CD" w:rsidP="00BF20C1">
      <w:pPr>
        <w:spacing w:after="0" w:line="240" w:lineRule="auto"/>
        <w:rPr>
          <w:rFonts w:ascii="Times New Roman" w:hAnsi="Times New Roman" w:cs="Times New Roman"/>
          <w:b/>
        </w:rPr>
      </w:pPr>
    </w:p>
    <w:p w14:paraId="0497E721" w14:textId="6B180E01" w:rsidR="002E72CD" w:rsidRDefault="002E72CD" w:rsidP="00BF20C1">
      <w:pPr>
        <w:spacing w:after="0" w:line="240" w:lineRule="auto"/>
        <w:rPr>
          <w:rFonts w:ascii="Times New Roman" w:hAnsi="Times New Roman" w:cs="Times New Roman"/>
          <w:b/>
        </w:rPr>
      </w:pPr>
    </w:p>
    <w:p w14:paraId="14DE21F8" w14:textId="77777777" w:rsidR="00315018" w:rsidRPr="00F17E06" w:rsidRDefault="00315018" w:rsidP="00BF20C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45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315018" w:rsidRPr="00F17E06" w14:paraId="1E5E40B6" w14:textId="77777777" w:rsidTr="00315018">
        <w:trPr>
          <w:trHeight w:val="42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8EE9" w14:textId="77777777" w:rsidR="00315018" w:rsidRPr="00F17E06" w:rsidRDefault="00315018" w:rsidP="00315018">
            <w:pPr>
              <w:pStyle w:val="naisnod"/>
              <w:spacing w:before="0" w:after="0"/>
              <w:ind w:left="57" w:right="57"/>
            </w:pPr>
            <w:r w:rsidRPr="00F17E06">
              <w:t>V. Tiesību akta projekta atbilstība Latvijas Republikas starptautiskajām saistībām</w:t>
            </w:r>
          </w:p>
        </w:tc>
      </w:tr>
      <w:tr w:rsidR="00315018" w:rsidRPr="00F17E06" w14:paraId="169CD9D9" w14:textId="77777777" w:rsidTr="00315018">
        <w:trPr>
          <w:trHeight w:val="42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4536" w14:textId="77777777" w:rsidR="00315018" w:rsidRPr="00F17E06" w:rsidRDefault="00315018" w:rsidP="00315018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F17E06">
              <w:rPr>
                <w:b w:val="0"/>
              </w:rPr>
              <w:t>Projekts šo jomu neskar.</w:t>
            </w:r>
          </w:p>
        </w:tc>
      </w:tr>
    </w:tbl>
    <w:p w14:paraId="08BBCE1D" w14:textId="02857A74" w:rsidR="00D24A31" w:rsidRPr="00F17E06" w:rsidRDefault="00D24A31" w:rsidP="00BF20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48"/>
        <w:gridCol w:w="5722"/>
      </w:tblGrid>
      <w:tr w:rsidR="00F17E06" w:rsidRPr="00F17E06" w14:paraId="02E52078" w14:textId="77777777" w:rsidTr="00D24A31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0211" w14:textId="77777777" w:rsidR="00655F2C" w:rsidRPr="00F17E06" w:rsidRDefault="00E5323B" w:rsidP="00BF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17E06" w:rsidRPr="00F17E06" w14:paraId="59597BC4" w14:textId="77777777" w:rsidTr="00D24A31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B4A5A" w14:textId="77777777" w:rsidR="00655F2C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1F5C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1ADE8" w14:textId="051E4871" w:rsidR="00E5323B" w:rsidRPr="00F17E06" w:rsidRDefault="002C13BB" w:rsidP="00B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Sabiedrības līdzdalības un komunikācijas aktivitātes netika veiktas, jo likumprojekts izskatāms vienotā paketē ar likumprojektu „Par valsts budžetu 2020.gadam”. </w:t>
            </w:r>
          </w:p>
        </w:tc>
      </w:tr>
      <w:tr w:rsidR="00F17E06" w:rsidRPr="00F17E06" w14:paraId="07A030E3" w14:textId="77777777" w:rsidTr="00D24A31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DE9EA" w14:textId="77777777" w:rsidR="00655F2C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39C6F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533C6" w14:textId="72ED87E6" w:rsidR="00E5323B" w:rsidRPr="00F17E06" w:rsidRDefault="002C13BB" w:rsidP="00B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  <w:r w:rsidR="00EE56A6" w:rsidRPr="00F17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E06" w:rsidRPr="00F17E06" w14:paraId="2D177E89" w14:textId="77777777" w:rsidTr="00D24A31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034E8" w14:textId="77777777" w:rsidR="00655F2C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A63D9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5652E" w14:textId="30E4AED2" w:rsidR="00E5323B" w:rsidRPr="00F17E06" w:rsidRDefault="002C13BB" w:rsidP="00B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F17E06" w:rsidRPr="00F17E06" w14:paraId="7F726D8D" w14:textId="77777777" w:rsidTr="00D24A31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E2C1A" w14:textId="77777777" w:rsidR="00655F2C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ED596" w14:textId="77777777" w:rsidR="00E5323B" w:rsidRPr="00F17E06" w:rsidRDefault="00E5323B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4A3F3" w14:textId="77777777" w:rsidR="00E5323B" w:rsidRPr="00F17E06" w:rsidRDefault="00EE56A6" w:rsidP="00BF20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3E1B6FA" w14:textId="27DED2A7" w:rsidR="00E5323B" w:rsidRPr="00F17E06" w:rsidRDefault="00E5323B" w:rsidP="00BF20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17E0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p w14:paraId="2A441946" w14:textId="77777777" w:rsidR="00D24A31" w:rsidRPr="00F17E06" w:rsidRDefault="00D24A31" w:rsidP="00BF20C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10" w:type="pct"/>
        <w:tblCellSpacing w:w="15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5"/>
        <w:gridCol w:w="3216"/>
        <w:gridCol w:w="5342"/>
      </w:tblGrid>
      <w:tr w:rsidR="00F17E06" w:rsidRPr="00F17E06" w14:paraId="31E30191" w14:textId="77777777" w:rsidTr="00F02826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E79C9" w14:textId="77777777" w:rsidR="00F02826" w:rsidRPr="00F17E06" w:rsidRDefault="00F02826" w:rsidP="00812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17E06" w:rsidRPr="00F17E06" w14:paraId="4109455A" w14:textId="77777777" w:rsidTr="002C13BB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FE094" w14:textId="77777777" w:rsidR="00F02826" w:rsidRPr="00F17E06" w:rsidRDefault="00F02826" w:rsidP="008122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783DB" w14:textId="77777777" w:rsidR="00F02826" w:rsidRPr="00F17E06" w:rsidRDefault="00F02826" w:rsidP="008122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A2639" w14:textId="4DE6ACC8" w:rsidR="00F02826" w:rsidRPr="00F17E06" w:rsidRDefault="00F02826" w:rsidP="002C13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Pašvaldības.</w:t>
            </w:r>
          </w:p>
        </w:tc>
      </w:tr>
      <w:tr w:rsidR="00F17E06" w:rsidRPr="00F17E06" w14:paraId="376A2A22" w14:textId="77777777" w:rsidTr="002C13BB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67613" w14:textId="77777777" w:rsidR="00F02826" w:rsidRPr="00F17E06" w:rsidRDefault="00F02826" w:rsidP="008122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C6B5A" w14:textId="77777777" w:rsidR="00F02826" w:rsidRPr="00F17E06" w:rsidRDefault="00F02826" w:rsidP="008122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F3B3B" w14:textId="77777777" w:rsidR="00F02826" w:rsidRPr="00F17E06" w:rsidRDefault="00F02826" w:rsidP="00812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Likumprojekta</w:t>
            </w:r>
            <w:r w:rsidRPr="00F17E0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izpilde neietekmēs pārvaldes funkcijas vai institucionālo struktūru. Jaunu institūciju izveide, esošu institūciju likvidācija vai reorganizācija nav nepieciešama.</w:t>
            </w:r>
          </w:p>
          <w:p w14:paraId="2360109D" w14:textId="73C2847F" w:rsidR="00F02826" w:rsidRPr="00F17E06" w:rsidRDefault="00F02826" w:rsidP="00812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Likumprojekt</w:t>
            </w:r>
            <w:r w:rsidR="00363821" w:rsidRPr="00F17E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Pr="00F17E0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izpilde neietekmēs cilvēkresursus. </w:t>
            </w:r>
          </w:p>
        </w:tc>
      </w:tr>
      <w:tr w:rsidR="00F17E06" w:rsidRPr="00F17E06" w14:paraId="4F277E3C" w14:textId="77777777" w:rsidTr="002C13BB">
        <w:trPr>
          <w:tblCellSpacing w:w="15" w:type="dxa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F1EAF" w14:textId="77777777" w:rsidR="00F02826" w:rsidRPr="00F17E06" w:rsidRDefault="00F02826" w:rsidP="008122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91297" w14:textId="77777777" w:rsidR="00F02826" w:rsidRPr="00F17E06" w:rsidRDefault="00F02826" w:rsidP="008122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7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AFDCE" w14:textId="77777777" w:rsidR="00F02826" w:rsidRPr="00F17E06" w:rsidRDefault="00F02826" w:rsidP="008122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E06"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</w:p>
        </w:tc>
      </w:tr>
    </w:tbl>
    <w:p w14:paraId="330EF984" w14:textId="77777777" w:rsidR="002E72CD" w:rsidRPr="00F17E06" w:rsidRDefault="002E72CD" w:rsidP="00BF2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B0361" w14:textId="55B77015" w:rsidR="00D12C1D" w:rsidRPr="00315018" w:rsidRDefault="00A07604" w:rsidP="0031501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E06">
        <w:rPr>
          <w:rFonts w:ascii="Times New Roman" w:hAnsi="Times New Roman" w:cs="Times New Roman"/>
          <w:sz w:val="24"/>
          <w:szCs w:val="24"/>
        </w:rPr>
        <w:t xml:space="preserve">Labklājības </w:t>
      </w:r>
      <w:r w:rsidR="00894C55" w:rsidRPr="00F17E06">
        <w:rPr>
          <w:rFonts w:ascii="Times New Roman" w:hAnsi="Times New Roman" w:cs="Times New Roman"/>
          <w:sz w:val="24"/>
          <w:szCs w:val="24"/>
        </w:rPr>
        <w:t>ministrs</w:t>
      </w:r>
      <w:r w:rsidR="00894C55" w:rsidRPr="00F17E06">
        <w:rPr>
          <w:rFonts w:ascii="Times New Roman" w:hAnsi="Times New Roman" w:cs="Times New Roman"/>
          <w:sz w:val="24"/>
          <w:szCs w:val="24"/>
        </w:rPr>
        <w:tab/>
      </w:r>
      <w:r w:rsidR="00546C49" w:rsidRPr="00F17E06">
        <w:rPr>
          <w:rFonts w:ascii="Times New Roman" w:hAnsi="Times New Roman" w:cs="Times New Roman"/>
          <w:sz w:val="24"/>
          <w:szCs w:val="24"/>
        </w:rPr>
        <w:tab/>
      </w:r>
      <w:r w:rsidR="00546C49" w:rsidRPr="00F17E06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="00546C49" w:rsidRPr="00F17E06">
        <w:rPr>
          <w:rFonts w:ascii="Times New Roman" w:hAnsi="Times New Roman" w:cs="Times New Roman"/>
          <w:sz w:val="24"/>
          <w:szCs w:val="24"/>
        </w:rPr>
        <w:t>Petraviča</w:t>
      </w:r>
      <w:proofErr w:type="spellEnd"/>
    </w:p>
    <w:p w14:paraId="1C4B6294" w14:textId="77777777" w:rsidR="00315018" w:rsidRDefault="00315018" w:rsidP="00BF20C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B200BD" w14:textId="7953BB75" w:rsidR="00D12C1D" w:rsidRPr="00F17E06" w:rsidRDefault="00D12C1D" w:rsidP="00BF20C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17E06">
        <w:rPr>
          <w:rFonts w:ascii="Times New Roman" w:hAnsi="Times New Roman" w:cs="Times New Roman"/>
          <w:sz w:val="20"/>
          <w:szCs w:val="20"/>
        </w:rPr>
        <w:t>Rita.Paršova</w:t>
      </w:r>
      <w:proofErr w:type="spellEnd"/>
    </w:p>
    <w:p w14:paraId="4C702DF5" w14:textId="1C781B9E" w:rsidR="00D12C1D" w:rsidRPr="00F17E06" w:rsidRDefault="00D12C1D" w:rsidP="00BF20C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7E06">
        <w:rPr>
          <w:rFonts w:ascii="Times New Roman" w:hAnsi="Times New Roman" w:cs="Times New Roman"/>
          <w:sz w:val="20"/>
          <w:szCs w:val="20"/>
        </w:rPr>
        <w:t>67782954</w:t>
      </w:r>
    </w:p>
    <w:p w14:paraId="46C836C4" w14:textId="5E9D73CC" w:rsidR="00D12C1D" w:rsidRPr="00F17E06" w:rsidRDefault="00D12C1D" w:rsidP="00BF20C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F17E06">
        <w:rPr>
          <w:rFonts w:ascii="Times New Roman" w:hAnsi="Times New Roman" w:cs="Times New Roman"/>
          <w:sz w:val="20"/>
          <w:szCs w:val="20"/>
        </w:rPr>
        <w:t>Rita.Par</w:t>
      </w:r>
      <w:r w:rsidR="00531E47" w:rsidRPr="00F17E06">
        <w:rPr>
          <w:rFonts w:ascii="Times New Roman" w:hAnsi="Times New Roman" w:cs="Times New Roman"/>
          <w:sz w:val="20"/>
          <w:szCs w:val="20"/>
        </w:rPr>
        <w:t>s</w:t>
      </w:r>
      <w:r w:rsidRPr="00F17E06">
        <w:rPr>
          <w:rFonts w:ascii="Times New Roman" w:hAnsi="Times New Roman" w:cs="Times New Roman"/>
          <w:sz w:val="20"/>
          <w:szCs w:val="20"/>
        </w:rPr>
        <w:t>ova@lm.gov.lv</w:t>
      </w:r>
      <w:bookmarkEnd w:id="1"/>
    </w:p>
    <w:sectPr w:rsidR="00D12C1D" w:rsidRPr="00F17E06" w:rsidSect="009A265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67D9" w14:textId="77777777" w:rsidR="00275C1C" w:rsidRDefault="00275C1C" w:rsidP="00894C55">
      <w:pPr>
        <w:spacing w:after="0" w:line="240" w:lineRule="auto"/>
      </w:pPr>
      <w:r>
        <w:separator/>
      </w:r>
    </w:p>
  </w:endnote>
  <w:endnote w:type="continuationSeparator" w:id="0">
    <w:p w14:paraId="6654470E" w14:textId="77777777" w:rsidR="00275C1C" w:rsidRDefault="00275C1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99AF" w14:textId="6A8A24FF" w:rsidR="002E72CD" w:rsidRPr="002E72CD" w:rsidRDefault="00D4745E" w:rsidP="002E72CD">
    <w:pPr>
      <w:shd w:val="clear" w:color="auto" w:fill="FFFFFF"/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LManot_</w:t>
    </w:r>
    <w:r w:rsidR="00531E47">
      <w:rPr>
        <w:rFonts w:ascii="Times New Roman" w:hAnsi="Times New Roman" w:cs="Times New Roman"/>
        <w:sz w:val="20"/>
        <w:szCs w:val="20"/>
      </w:rPr>
      <w:t>190919_</w:t>
    </w:r>
    <w:r w:rsidR="002E72CD">
      <w:rPr>
        <w:rFonts w:ascii="Times New Roman" w:hAnsi="Times New Roman" w:cs="Times New Roman"/>
        <w:sz w:val="20"/>
        <w:szCs w:val="20"/>
      </w:rPr>
      <w:t>BTAL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2E72CD" w:rsidRPr="002E72CD">
      <w:rPr>
        <w:rFonts w:ascii="Times New Roman" w:eastAsia="Times New Roman" w:hAnsi="Times New Roman" w:cs="Times New Roman"/>
        <w:bCs/>
        <w:sz w:val="20"/>
        <w:szCs w:val="20"/>
        <w:lang w:eastAsia="lv-LV"/>
      </w:rPr>
      <w:t>Likumprojekta “Grozījumu Bērnu tiesību aizsardzības likumā”</w:t>
    </w:r>
    <w:r w:rsidR="002E72CD" w:rsidRPr="002E72CD">
      <w:rPr>
        <w:rFonts w:ascii="Times New Roman" w:eastAsia="Times New Roman" w:hAnsi="Times New Roman" w:cs="Times New Roman"/>
        <w:bCs/>
        <w:sz w:val="20"/>
        <w:szCs w:val="20"/>
      </w:rPr>
      <w:t xml:space="preserve"> </w:t>
    </w:r>
    <w:r w:rsidR="002E72CD" w:rsidRPr="002E72CD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ziņojums (anotācija)</w:t>
    </w:r>
  </w:p>
  <w:p w14:paraId="3B4D1528" w14:textId="48989994" w:rsidR="00D4745E" w:rsidRPr="00956F89" w:rsidRDefault="00D4745E" w:rsidP="002E72CD">
    <w:pPr>
      <w:shd w:val="clear" w:color="auto" w:fill="FFFFFF"/>
      <w:spacing w:before="100" w:beforeAutospacing="1" w:after="100" w:afterAutospacing="1" w:line="240" w:lineRule="auto"/>
      <w:jc w:val="both"/>
      <w:outlineLvl w:val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A333" w14:textId="77777777" w:rsidR="00531E47" w:rsidRPr="002E72CD" w:rsidRDefault="00531E47" w:rsidP="00531E47">
    <w:pPr>
      <w:shd w:val="clear" w:color="auto" w:fill="FFFFFF"/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LManot_190919_BTAL; </w:t>
    </w:r>
    <w:r w:rsidRPr="002E72CD">
      <w:rPr>
        <w:rFonts w:ascii="Times New Roman" w:eastAsia="Times New Roman" w:hAnsi="Times New Roman" w:cs="Times New Roman"/>
        <w:bCs/>
        <w:sz w:val="20"/>
        <w:szCs w:val="20"/>
        <w:lang w:eastAsia="lv-LV"/>
      </w:rPr>
      <w:t>Likumprojekta “Grozījumu Bērnu tiesību aizsardzības likumā”</w:t>
    </w:r>
    <w:r w:rsidRPr="002E72CD">
      <w:rPr>
        <w:rFonts w:ascii="Times New Roman" w:eastAsia="Times New Roman" w:hAnsi="Times New Roman" w:cs="Times New Roman"/>
        <w:bCs/>
        <w:sz w:val="20"/>
        <w:szCs w:val="20"/>
      </w:rPr>
      <w:t xml:space="preserve"> </w:t>
    </w:r>
    <w:r w:rsidRPr="002E72CD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ziņojums (anotācija)</w:t>
    </w:r>
  </w:p>
  <w:p w14:paraId="4B0425C5" w14:textId="3E7B3687" w:rsidR="00D4745E" w:rsidRDefault="00D4745E" w:rsidP="006B4F34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</w:p>
  <w:p w14:paraId="2D15804C" w14:textId="77777777" w:rsidR="00D4745E" w:rsidRPr="006B4F34" w:rsidRDefault="00D4745E" w:rsidP="006B4F34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</w:p>
  <w:p w14:paraId="6099BCB7" w14:textId="4ABCBC37" w:rsidR="00D4745E" w:rsidRPr="009A2654" w:rsidRDefault="00D4745E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EE12" w14:textId="77777777" w:rsidR="00275C1C" w:rsidRDefault="00275C1C" w:rsidP="00894C55">
      <w:pPr>
        <w:spacing w:after="0" w:line="240" w:lineRule="auto"/>
      </w:pPr>
      <w:r>
        <w:separator/>
      </w:r>
    </w:p>
  </w:footnote>
  <w:footnote w:type="continuationSeparator" w:id="0">
    <w:p w14:paraId="0BEC1B2E" w14:textId="77777777" w:rsidR="00275C1C" w:rsidRDefault="00275C1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AA311B6" w14:textId="30B1DB5C" w:rsidR="00D4745E" w:rsidRPr="00C25B49" w:rsidRDefault="00D4745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95186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622CAE"/>
    <w:lvl w:ilvl="0">
      <w:numFmt w:val="bullet"/>
      <w:lvlText w:val="*"/>
      <w:lvlJc w:val="left"/>
    </w:lvl>
  </w:abstractNum>
  <w:abstractNum w:abstractNumId="1" w15:restartNumberingAfterBreak="0">
    <w:nsid w:val="048042C0"/>
    <w:multiLevelType w:val="hybridMultilevel"/>
    <w:tmpl w:val="C3260C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A6983"/>
    <w:multiLevelType w:val="hybridMultilevel"/>
    <w:tmpl w:val="E58481C2"/>
    <w:lvl w:ilvl="0" w:tplc="159EB18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222"/>
    <w:multiLevelType w:val="hybridMultilevel"/>
    <w:tmpl w:val="6D98FF54"/>
    <w:lvl w:ilvl="0" w:tplc="841EFDF6">
      <w:start w:val="1"/>
      <w:numFmt w:val="decimal"/>
      <w:lvlText w:val="%1."/>
      <w:lvlJc w:val="left"/>
      <w:pPr>
        <w:ind w:left="795" w:hanging="43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3D8E"/>
    <w:multiLevelType w:val="hybridMultilevel"/>
    <w:tmpl w:val="70A01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7101"/>
    <w:multiLevelType w:val="hybridMultilevel"/>
    <w:tmpl w:val="066A86E2"/>
    <w:lvl w:ilvl="0" w:tplc="1BF882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0F85"/>
    <w:multiLevelType w:val="hybridMultilevel"/>
    <w:tmpl w:val="271A7466"/>
    <w:lvl w:ilvl="0" w:tplc="9152A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A645E1"/>
    <w:multiLevelType w:val="hybridMultilevel"/>
    <w:tmpl w:val="EFB241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6ED4"/>
    <w:multiLevelType w:val="hybridMultilevel"/>
    <w:tmpl w:val="7C38E706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85A23"/>
    <w:multiLevelType w:val="hybridMultilevel"/>
    <w:tmpl w:val="DE3072E0"/>
    <w:lvl w:ilvl="0" w:tplc="2B32A35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2090"/>
    <w:multiLevelType w:val="hybridMultilevel"/>
    <w:tmpl w:val="F8BA840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4892"/>
    <w:multiLevelType w:val="hybridMultilevel"/>
    <w:tmpl w:val="29202C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F086D"/>
    <w:multiLevelType w:val="hybridMultilevel"/>
    <w:tmpl w:val="9428319A"/>
    <w:lvl w:ilvl="0" w:tplc="62C209CA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32995D35"/>
    <w:multiLevelType w:val="hybridMultilevel"/>
    <w:tmpl w:val="8814F94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42E45"/>
    <w:multiLevelType w:val="hybridMultilevel"/>
    <w:tmpl w:val="968CF5F0"/>
    <w:lvl w:ilvl="0" w:tplc="91AAB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97D41"/>
    <w:multiLevelType w:val="hybridMultilevel"/>
    <w:tmpl w:val="86C851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449C"/>
    <w:multiLevelType w:val="multilevel"/>
    <w:tmpl w:val="3E62C9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4" w:hanging="2160"/>
      </w:pPr>
      <w:rPr>
        <w:rFonts w:hint="default"/>
      </w:rPr>
    </w:lvl>
  </w:abstractNum>
  <w:abstractNum w:abstractNumId="18" w15:restartNumberingAfterBreak="0">
    <w:nsid w:val="37F5670E"/>
    <w:multiLevelType w:val="hybridMultilevel"/>
    <w:tmpl w:val="7D78D6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816FD"/>
    <w:multiLevelType w:val="hybridMultilevel"/>
    <w:tmpl w:val="64C6571E"/>
    <w:lvl w:ilvl="0" w:tplc="81D410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534F0"/>
    <w:multiLevelType w:val="hybridMultilevel"/>
    <w:tmpl w:val="CF383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026A"/>
    <w:multiLevelType w:val="multilevel"/>
    <w:tmpl w:val="816EEB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836506"/>
    <w:multiLevelType w:val="hybridMultilevel"/>
    <w:tmpl w:val="388EED06"/>
    <w:lvl w:ilvl="0" w:tplc="62C209CA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4D422EB1"/>
    <w:multiLevelType w:val="hybridMultilevel"/>
    <w:tmpl w:val="7B528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5181D"/>
    <w:multiLevelType w:val="hybridMultilevel"/>
    <w:tmpl w:val="D39A52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A746D"/>
    <w:multiLevelType w:val="hybridMultilevel"/>
    <w:tmpl w:val="F0C20D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11D66"/>
    <w:multiLevelType w:val="multilevel"/>
    <w:tmpl w:val="F2F6823E"/>
    <w:lvl w:ilvl="0">
      <w:start w:val="1"/>
      <w:numFmt w:val="decimal"/>
      <w:suff w:val="space"/>
      <w:lvlText w:val="%1."/>
      <w:lvlJc w:val="left"/>
      <w:pPr>
        <w:ind w:left="57" w:firstLine="6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firstLine="6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" w:firstLine="6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" w:firstLine="6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" w:firstLine="6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" w:firstLine="6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" w:firstLine="65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" w:firstLine="65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" w:firstLine="652"/>
      </w:pPr>
      <w:rPr>
        <w:rFonts w:hint="default"/>
      </w:rPr>
    </w:lvl>
  </w:abstractNum>
  <w:abstractNum w:abstractNumId="27" w15:restartNumberingAfterBreak="0">
    <w:nsid w:val="66B9223F"/>
    <w:multiLevelType w:val="hybridMultilevel"/>
    <w:tmpl w:val="EDE0743A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2B07"/>
    <w:multiLevelType w:val="hybridMultilevel"/>
    <w:tmpl w:val="31E467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966CE"/>
    <w:multiLevelType w:val="hybridMultilevel"/>
    <w:tmpl w:val="289E9A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47319"/>
    <w:multiLevelType w:val="hybridMultilevel"/>
    <w:tmpl w:val="FB826F38"/>
    <w:lvl w:ilvl="0" w:tplc="3DF43A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45112"/>
    <w:multiLevelType w:val="hybridMultilevel"/>
    <w:tmpl w:val="D684235E"/>
    <w:lvl w:ilvl="0" w:tplc="62C209CA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7E3458A6"/>
    <w:multiLevelType w:val="multilevel"/>
    <w:tmpl w:val="7A84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30"/>
  </w:num>
  <w:num w:numId="5">
    <w:abstractNumId w:val="12"/>
  </w:num>
  <w:num w:numId="6">
    <w:abstractNumId w:val="28"/>
  </w:num>
  <w:num w:numId="7">
    <w:abstractNumId w:val="18"/>
  </w:num>
  <w:num w:numId="8">
    <w:abstractNumId w:val="24"/>
  </w:num>
  <w:num w:numId="9">
    <w:abstractNumId w:val="27"/>
  </w:num>
  <w:num w:numId="10">
    <w:abstractNumId w:val="10"/>
  </w:num>
  <w:num w:numId="11">
    <w:abstractNumId w:val="0"/>
    <w:lvlOverride w:ilvl="0">
      <w:lvl w:ilvl="0">
        <w:numFmt w:val="bullet"/>
        <w:lvlText w:val="□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2">
    <w:abstractNumId w:val="17"/>
  </w:num>
  <w:num w:numId="13">
    <w:abstractNumId w:val="3"/>
  </w:num>
  <w:num w:numId="14">
    <w:abstractNumId w:val="6"/>
  </w:num>
  <w:num w:numId="15">
    <w:abstractNumId w:val="9"/>
  </w:num>
  <w:num w:numId="16">
    <w:abstractNumId w:val="21"/>
  </w:num>
  <w:num w:numId="17">
    <w:abstractNumId w:val="25"/>
  </w:num>
  <w:num w:numId="18">
    <w:abstractNumId w:val="1"/>
  </w:num>
  <w:num w:numId="19">
    <w:abstractNumId w:val="16"/>
  </w:num>
  <w:num w:numId="20">
    <w:abstractNumId w:val="14"/>
  </w:num>
  <w:num w:numId="21">
    <w:abstractNumId w:val="11"/>
  </w:num>
  <w:num w:numId="22">
    <w:abstractNumId w:val="29"/>
  </w:num>
  <w:num w:numId="23">
    <w:abstractNumId w:val="8"/>
  </w:num>
  <w:num w:numId="24">
    <w:abstractNumId w:val="2"/>
  </w:num>
  <w:num w:numId="25">
    <w:abstractNumId w:val="31"/>
  </w:num>
  <w:num w:numId="26">
    <w:abstractNumId w:val="13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0"/>
  </w:num>
  <w:num w:numId="36">
    <w:abstractNumId w:val="32"/>
  </w:num>
  <w:num w:numId="37">
    <w:abstractNumId w:val="19"/>
  </w:num>
  <w:num w:numId="38">
    <w:abstractNumId w:val="14"/>
  </w:num>
  <w:num w:numId="39">
    <w:abstractNumId w:val="11"/>
  </w:num>
  <w:num w:numId="40">
    <w:abstractNumId w:val="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31A9C"/>
    <w:rsid w:val="00035089"/>
    <w:rsid w:val="00051020"/>
    <w:rsid w:val="00063908"/>
    <w:rsid w:val="00083A7C"/>
    <w:rsid w:val="00086093"/>
    <w:rsid w:val="000B65FF"/>
    <w:rsid w:val="000B7078"/>
    <w:rsid w:val="000C686E"/>
    <w:rsid w:val="000E1C3E"/>
    <w:rsid w:val="000F65A9"/>
    <w:rsid w:val="00103F44"/>
    <w:rsid w:val="00105863"/>
    <w:rsid w:val="00106AFD"/>
    <w:rsid w:val="0011335D"/>
    <w:rsid w:val="0012288F"/>
    <w:rsid w:val="00123D38"/>
    <w:rsid w:val="00126219"/>
    <w:rsid w:val="00143749"/>
    <w:rsid w:val="00144B97"/>
    <w:rsid w:val="001462D3"/>
    <w:rsid w:val="00160496"/>
    <w:rsid w:val="00170A4C"/>
    <w:rsid w:val="00195186"/>
    <w:rsid w:val="001B1350"/>
    <w:rsid w:val="001B7985"/>
    <w:rsid w:val="001C513B"/>
    <w:rsid w:val="001D10E2"/>
    <w:rsid w:val="001D1DB1"/>
    <w:rsid w:val="001D7A4C"/>
    <w:rsid w:val="001E2D50"/>
    <w:rsid w:val="001F28D5"/>
    <w:rsid w:val="001F2D7C"/>
    <w:rsid w:val="001F6862"/>
    <w:rsid w:val="002027AD"/>
    <w:rsid w:val="00202C2F"/>
    <w:rsid w:val="002179CF"/>
    <w:rsid w:val="00243426"/>
    <w:rsid w:val="00256DD6"/>
    <w:rsid w:val="00272816"/>
    <w:rsid w:val="00275C1C"/>
    <w:rsid w:val="002C13BB"/>
    <w:rsid w:val="002D5EC2"/>
    <w:rsid w:val="002E1C05"/>
    <w:rsid w:val="002E72CD"/>
    <w:rsid w:val="002E73DF"/>
    <w:rsid w:val="00315018"/>
    <w:rsid w:val="00320B03"/>
    <w:rsid w:val="0033565D"/>
    <w:rsid w:val="003443DA"/>
    <w:rsid w:val="00351907"/>
    <w:rsid w:val="0035208A"/>
    <w:rsid w:val="00352C7C"/>
    <w:rsid w:val="003533D6"/>
    <w:rsid w:val="00362195"/>
    <w:rsid w:val="00363821"/>
    <w:rsid w:val="00367D4E"/>
    <w:rsid w:val="00393116"/>
    <w:rsid w:val="003B0BF9"/>
    <w:rsid w:val="003C2A77"/>
    <w:rsid w:val="003C545B"/>
    <w:rsid w:val="003C6D25"/>
    <w:rsid w:val="003D3E4F"/>
    <w:rsid w:val="003D6D7D"/>
    <w:rsid w:val="003E0791"/>
    <w:rsid w:val="003F28AC"/>
    <w:rsid w:val="00411006"/>
    <w:rsid w:val="004158CA"/>
    <w:rsid w:val="004206B1"/>
    <w:rsid w:val="0042213E"/>
    <w:rsid w:val="00424A14"/>
    <w:rsid w:val="00426951"/>
    <w:rsid w:val="00431710"/>
    <w:rsid w:val="00431C9B"/>
    <w:rsid w:val="00443C22"/>
    <w:rsid w:val="004454FE"/>
    <w:rsid w:val="004502D9"/>
    <w:rsid w:val="004502E6"/>
    <w:rsid w:val="0045444E"/>
    <w:rsid w:val="00456AF7"/>
    <w:rsid w:val="00456E40"/>
    <w:rsid w:val="00462A56"/>
    <w:rsid w:val="00464702"/>
    <w:rsid w:val="00471F27"/>
    <w:rsid w:val="004754B6"/>
    <w:rsid w:val="004877BF"/>
    <w:rsid w:val="0049597F"/>
    <w:rsid w:val="00496D53"/>
    <w:rsid w:val="004B0B65"/>
    <w:rsid w:val="004B18B8"/>
    <w:rsid w:val="004C1B07"/>
    <w:rsid w:val="004E5234"/>
    <w:rsid w:val="004E7170"/>
    <w:rsid w:val="004F563E"/>
    <w:rsid w:val="0050178F"/>
    <w:rsid w:val="005175C6"/>
    <w:rsid w:val="00531E47"/>
    <w:rsid w:val="00546C49"/>
    <w:rsid w:val="005507FC"/>
    <w:rsid w:val="00554E44"/>
    <w:rsid w:val="005579BF"/>
    <w:rsid w:val="00560634"/>
    <w:rsid w:val="005720BB"/>
    <w:rsid w:val="00575155"/>
    <w:rsid w:val="00575645"/>
    <w:rsid w:val="00577295"/>
    <w:rsid w:val="00580BA6"/>
    <w:rsid w:val="0059328F"/>
    <w:rsid w:val="005A0EE5"/>
    <w:rsid w:val="005A1B62"/>
    <w:rsid w:val="005A34DE"/>
    <w:rsid w:val="005B0476"/>
    <w:rsid w:val="005D3304"/>
    <w:rsid w:val="005D4132"/>
    <w:rsid w:val="005E1C9B"/>
    <w:rsid w:val="005F0C27"/>
    <w:rsid w:val="006015FA"/>
    <w:rsid w:val="006043F7"/>
    <w:rsid w:val="006046BC"/>
    <w:rsid w:val="0062775B"/>
    <w:rsid w:val="006473A8"/>
    <w:rsid w:val="006552E1"/>
    <w:rsid w:val="00655F2C"/>
    <w:rsid w:val="006767E6"/>
    <w:rsid w:val="006926A9"/>
    <w:rsid w:val="00692C2F"/>
    <w:rsid w:val="006B2838"/>
    <w:rsid w:val="006B4F34"/>
    <w:rsid w:val="006B7B35"/>
    <w:rsid w:val="006D3D61"/>
    <w:rsid w:val="006E1081"/>
    <w:rsid w:val="00720585"/>
    <w:rsid w:val="0076004D"/>
    <w:rsid w:val="00763961"/>
    <w:rsid w:val="0076431D"/>
    <w:rsid w:val="0076574D"/>
    <w:rsid w:val="00773079"/>
    <w:rsid w:val="007737F4"/>
    <w:rsid w:val="00773AF6"/>
    <w:rsid w:val="00781644"/>
    <w:rsid w:val="0079463A"/>
    <w:rsid w:val="00795F71"/>
    <w:rsid w:val="007A1EAF"/>
    <w:rsid w:val="007C4950"/>
    <w:rsid w:val="007E216C"/>
    <w:rsid w:val="007E5F7A"/>
    <w:rsid w:val="007E73AB"/>
    <w:rsid w:val="007F2A57"/>
    <w:rsid w:val="007F5128"/>
    <w:rsid w:val="00812079"/>
    <w:rsid w:val="00816C11"/>
    <w:rsid w:val="00817C03"/>
    <w:rsid w:val="00824803"/>
    <w:rsid w:val="00831B2C"/>
    <w:rsid w:val="00832AF2"/>
    <w:rsid w:val="00841E03"/>
    <w:rsid w:val="008623A6"/>
    <w:rsid w:val="00873EA9"/>
    <w:rsid w:val="0088030E"/>
    <w:rsid w:val="00882505"/>
    <w:rsid w:val="00892B3B"/>
    <w:rsid w:val="00894C55"/>
    <w:rsid w:val="008A3FF3"/>
    <w:rsid w:val="008B3301"/>
    <w:rsid w:val="008C02B6"/>
    <w:rsid w:val="008C1C85"/>
    <w:rsid w:val="008E40F6"/>
    <w:rsid w:val="009060D8"/>
    <w:rsid w:val="00906CCB"/>
    <w:rsid w:val="009070FF"/>
    <w:rsid w:val="0091602D"/>
    <w:rsid w:val="00916C51"/>
    <w:rsid w:val="00927035"/>
    <w:rsid w:val="00942E88"/>
    <w:rsid w:val="00956F89"/>
    <w:rsid w:val="00976C43"/>
    <w:rsid w:val="0098661F"/>
    <w:rsid w:val="00997724"/>
    <w:rsid w:val="009A2654"/>
    <w:rsid w:val="009A39B7"/>
    <w:rsid w:val="009B4308"/>
    <w:rsid w:val="009D37A5"/>
    <w:rsid w:val="009E367C"/>
    <w:rsid w:val="009E623A"/>
    <w:rsid w:val="009E6D20"/>
    <w:rsid w:val="009F5C42"/>
    <w:rsid w:val="00A07604"/>
    <w:rsid w:val="00A10FC3"/>
    <w:rsid w:val="00A16005"/>
    <w:rsid w:val="00A44034"/>
    <w:rsid w:val="00A51AC2"/>
    <w:rsid w:val="00A5359B"/>
    <w:rsid w:val="00A6073E"/>
    <w:rsid w:val="00A658BA"/>
    <w:rsid w:val="00A66296"/>
    <w:rsid w:val="00A918E3"/>
    <w:rsid w:val="00A91A0C"/>
    <w:rsid w:val="00A92822"/>
    <w:rsid w:val="00A96D90"/>
    <w:rsid w:val="00AB0097"/>
    <w:rsid w:val="00AC336E"/>
    <w:rsid w:val="00AC378F"/>
    <w:rsid w:val="00AC37A9"/>
    <w:rsid w:val="00AC5B2C"/>
    <w:rsid w:val="00AE1756"/>
    <w:rsid w:val="00AE5567"/>
    <w:rsid w:val="00AF0F58"/>
    <w:rsid w:val="00AF1239"/>
    <w:rsid w:val="00B16480"/>
    <w:rsid w:val="00B2165C"/>
    <w:rsid w:val="00B375F0"/>
    <w:rsid w:val="00B41DD2"/>
    <w:rsid w:val="00B43771"/>
    <w:rsid w:val="00B52914"/>
    <w:rsid w:val="00B554A9"/>
    <w:rsid w:val="00B5719E"/>
    <w:rsid w:val="00B57CC5"/>
    <w:rsid w:val="00B63A55"/>
    <w:rsid w:val="00B67125"/>
    <w:rsid w:val="00B67373"/>
    <w:rsid w:val="00B75670"/>
    <w:rsid w:val="00B75F99"/>
    <w:rsid w:val="00B8647A"/>
    <w:rsid w:val="00B93B41"/>
    <w:rsid w:val="00BA20AA"/>
    <w:rsid w:val="00BA581C"/>
    <w:rsid w:val="00BA72D4"/>
    <w:rsid w:val="00BD4425"/>
    <w:rsid w:val="00BF1B8F"/>
    <w:rsid w:val="00BF20C1"/>
    <w:rsid w:val="00C25B49"/>
    <w:rsid w:val="00C377D2"/>
    <w:rsid w:val="00C6798C"/>
    <w:rsid w:val="00C725E3"/>
    <w:rsid w:val="00C734D3"/>
    <w:rsid w:val="00C747BD"/>
    <w:rsid w:val="00C85B91"/>
    <w:rsid w:val="00C964A2"/>
    <w:rsid w:val="00C97E70"/>
    <w:rsid w:val="00CA5EBE"/>
    <w:rsid w:val="00CB73E5"/>
    <w:rsid w:val="00CC0D2D"/>
    <w:rsid w:val="00CC6245"/>
    <w:rsid w:val="00CE22B6"/>
    <w:rsid w:val="00CE5657"/>
    <w:rsid w:val="00CF190C"/>
    <w:rsid w:val="00CF3F22"/>
    <w:rsid w:val="00D06D0C"/>
    <w:rsid w:val="00D12C1D"/>
    <w:rsid w:val="00D133F8"/>
    <w:rsid w:val="00D14A3E"/>
    <w:rsid w:val="00D17C17"/>
    <w:rsid w:val="00D244BE"/>
    <w:rsid w:val="00D24A31"/>
    <w:rsid w:val="00D4624F"/>
    <w:rsid w:val="00D4745E"/>
    <w:rsid w:val="00D57280"/>
    <w:rsid w:val="00D60F92"/>
    <w:rsid w:val="00D768BB"/>
    <w:rsid w:val="00D906F7"/>
    <w:rsid w:val="00DC291F"/>
    <w:rsid w:val="00DD1C1C"/>
    <w:rsid w:val="00DE6CEC"/>
    <w:rsid w:val="00DF134D"/>
    <w:rsid w:val="00DF3C26"/>
    <w:rsid w:val="00DF72AE"/>
    <w:rsid w:val="00E0077F"/>
    <w:rsid w:val="00E058A1"/>
    <w:rsid w:val="00E11A3B"/>
    <w:rsid w:val="00E155D2"/>
    <w:rsid w:val="00E17BD6"/>
    <w:rsid w:val="00E36703"/>
    <w:rsid w:val="00E3716B"/>
    <w:rsid w:val="00E5323B"/>
    <w:rsid w:val="00E5581A"/>
    <w:rsid w:val="00E5629E"/>
    <w:rsid w:val="00E60727"/>
    <w:rsid w:val="00E63A10"/>
    <w:rsid w:val="00E72141"/>
    <w:rsid w:val="00E85280"/>
    <w:rsid w:val="00E8749E"/>
    <w:rsid w:val="00E90C01"/>
    <w:rsid w:val="00EA486E"/>
    <w:rsid w:val="00EB4837"/>
    <w:rsid w:val="00EB4FCD"/>
    <w:rsid w:val="00EB7624"/>
    <w:rsid w:val="00EC1AE8"/>
    <w:rsid w:val="00EE22EA"/>
    <w:rsid w:val="00EE56A6"/>
    <w:rsid w:val="00EF65D3"/>
    <w:rsid w:val="00F02826"/>
    <w:rsid w:val="00F06C9E"/>
    <w:rsid w:val="00F129E2"/>
    <w:rsid w:val="00F17E06"/>
    <w:rsid w:val="00F24277"/>
    <w:rsid w:val="00F47FB9"/>
    <w:rsid w:val="00F511E3"/>
    <w:rsid w:val="00F51E6F"/>
    <w:rsid w:val="00F5270A"/>
    <w:rsid w:val="00F57B0C"/>
    <w:rsid w:val="00F60269"/>
    <w:rsid w:val="00F63ED1"/>
    <w:rsid w:val="00F64B9D"/>
    <w:rsid w:val="00F67F51"/>
    <w:rsid w:val="00F83034"/>
    <w:rsid w:val="00F91D70"/>
    <w:rsid w:val="00F932D4"/>
    <w:rsid w:val="00F93A12"/>
    <w:rsid w:val="00FA7C63"/>
    <w:rsid w:val="00FB0538"/>
    <w:rsid w:val="00FD2B63"/>
    <w:rsid w:val="00FE1327"/>
    <w:rsid w:val="00FE2F43"/>
    <w:rsid w:val="00FE39A0"/>
    <w:rsid w:val="00FE4137"/>
    <w:rsid w:val="00FE5B3F"/>
    <w:rsid w:val="00FE6B06"/>
    <w:rsid w:val="00FF26D9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10A3E7B"/>
  <w15:docId w15:val="{27AC0DBC-74CA-4E7E-8A83-3DF7FDAB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1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EE22EA"/>
    <w:pPr>
      <w:spacing w:after="0" w:line="240" w:lineRule="auto"/>
      <w:ind w:left="720" w:firstLine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EE22EA"/>
    <w:rPr>
      <w:rFonts w:ascii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D0C"/>
    <w:pPr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D0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D0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C1C8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B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B6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4950"/>
    <w:rPr>
      <w:b/>
      <w:bCs/>
    </w:rPr>
  </w:style>
  <w:style w:type="paragraph" w:customStyle="1" w:styleId="naisnod">
    <w:name w:val="naisnod"/>
    <w:basedOn w:val="Normal"/>
    <w:rsid w:val="00546C49"/>
    <w:pPr>
      <w:spacing w:before="115" w:after="11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213">
    <w:name w:val="tv213"/>
    <w:basedOn w:val="Normal"/>
    <w:rsid w:val="005A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5418-civil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25418-civil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C836-5BC3-4220-A145-1C73D432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5385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Miistru kabineta noteikumu projekta "Audžuģimeņu noteikumi" un "Ārpusģimenes aprūpes atbalsta centra noteikumi"</vt:lpstr>
    </vt:vector>
  </TitlesOfParts>
  <Company>Iestādes nosaukums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Miistru kabineta noteikumu projekta "Audžuģimeņu noteikumi" un "Ārpusģimenes aprūpes atbalsta centra noteikumi"</dc:title>
  <dc:subject>Anotācija</dc:subject>
  <dc:creator>Rita Paršova</dc:creator>
  <dc:description>67782954, rita.parsova@lm.gov.lv</dc:description>
  <cp:lastModifiedBy>Rita Paršova</cp:lastModifiedBy>
  <cp:revision>6</cp:revision>
  <cp:lastPrinted>2019-09-24T06:50:00Z</cp:lastPrinted>
  <dcterms:created xsi:type="dcterms:W3CDTF">2019-09-24T09:48:00Z</dcterms:created>
  <dcterms:modified xsi:type="dcterms:W3CDTF">2019-09-25T08:01:00Z</dcterms:modified>
</cp:coreProperties>
</file>