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0797" w:rsidR="00BA0797" w:rsidP="00BA0797" w:rsidRDefault="00BA0797" w14:paraId="0A2100D8" w14:textId="7777777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Ministru kabineta noteikumu projekta</w:t>
      </w:r>
    </w:p>
    <w:p w:rsidR="002A2173" w:rsidP="00BA0797" w:rsidRDefault="00BA0797" w14:paraId="2F2A1372" w14:textId="6C159573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„</w:t>
      </w:r>
      <w:r w:rsidRPr="002A2173" w:rsidR="002A2173">
        <w:rPr>
          <w:rFonts w:eastAsia="Times New Roman"/>
          <w:b/>
          <w:bCs/>
          <w:lang w:eastAsia="lv-LV"/>
        </w:rPr>
        <w:t xml:space="preserve">Grozījumi Ministru kabineta 2018.gada 3.jūlija noteikumos Nr.394  </w:t>
      </w:r>
    </w:p>
    <w:p w:rsidR="008C0EDC" w:rsidP="00BA0797" w:rsidRDefault="002A2173" w14:paraId="7C38BFFF" w14:textId="7777777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2A2173">
        <w:rPr>
          <w:rFonts w:eastAsia="Times New Roman"/>
          <w:b/>
          <w:bCs/>
          <w:lang w:eastAsia="lv-LV"/>
        </w:rPr>
        <w:t xml:space="preserve"> “Speciālo aviācijas darbu veikšanas kārtība”</w:t>
      </w:r>
      <w:r>
        <w:rPr>
          <w:rFonts w:eastAsia="Times New Roman"/>
          <w:b/>
          <w:bCs/>
          <w:lang w:eastAsia="lv-LV"/>
        </w:rPr>
        <w:t>”</w:t>
      </w:r>
      <w:r w:rsidRPr="00BA0797" w:rsidR="00BA0797">
        <w:t xml:space="preserve"> </w:t>
      </w:r>
      <w:r w:rsidRPr="00BA0797" w:rsidR="00BA0797">
        <w:rPr>
          <w:rFonts w:eastAsia="Times New Roman"/>
          <w:b/>
          <w:bCs/>
          <w:lang w:eastAsia="lv-LV"/>
        </w:rPr>
        <w:t>sākotnējās ietekmes novērtējuma ziņojums (anotācija)</w:t>
      </w:r>
    </w:p>
    <w:p w:rsidRPr="008C0EDC" w:rsidR="00BA0797" w:rsidP="00BA0797" w:rsidRDefault="00BA0797" w14:paraId="282A93B2" w14:textId="77777777">
      <w:pPr>
        <w:spacing w:after="0"/>
        <w:jc w:val="center"/>
        <w:rPr>
          <w:rFonts w:eastAsia="Times New Roman"/>
          <w:b/>
          <w:bCs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3"/>
        <w:gridCol w:w="5397"/>
      </w:tblGrid>
      <w:tr w:rsidRPr="008C0EDC" w:rsidR="008C0EDC" w:rsidTr="008C0EDC" w14:paraId="7AB90684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0470E976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Pr="008C0EDC" w:rsidR="008C0EDC" w:rsidTr="008C0EDC" w14:paraId="52CA8DF5" w14:textId="77777777">
        <w:trPr>
          <w:tblCellSpacing w:w="15" w:type="dxa"/>
        </w:trPr>
        <w:tc>
          <w:tcPr>
            <w:tcW w:w="2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273BEE11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30B12" w:rsidRDefault="005D7C31" w14:paraId="4128BC3F" w14:textId="13133E43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5D7C31">
              <w:rPr>
                <w:rFonts w:eastAsia="Times New Roman"/>
                <w:lang w:eastAsia="lv-LV"/>
              </w:rPr>
              <w:t>Nav attiecināms atbilstoši Ministru kabineta 2009.gada 15.decembra instrukcijas Nr.19 “Tiesību akta projekta sākotnējās ietekmes izvērtēšanas kārtība” 5.</w:t>
            </w:r>
            <w:r w:rsidRPr="005D7C31">
              <w:rPr>
                <w:rFonts w:eastAsia="Times New Roman"/>
                <w:bCs/>
                <w:vertAlign w:val="superscript"/>
                <w:lang w:eastAsia="lv-LV"/>
              </w:rPr>
              <w:t xml:space="preserve"> 1</w:t>
            </w:r>
            <w:r w:rsidRPr="005D7C31">
              <w:rPr>
                <w:rFonts w:eastAsia="Times New Roman"/>
                <w:bCs/>
                <w:lang w:eastAsia="lv-LV"/>
              </w:rPr>
              <w:t xml:space="preserve"> </w:t>
            </w:r>
            <w:r w:rsidRPr="005D7C31">
              <w:rPr>
                <w:rFonts w:eastAsia="Times New Roman"/>
                <w:lang w:eastAsia="lv-LV"/>
              </w:rPr>
              <w:t>punktam.</w:t>
            </w:r>
          </w:p>
        </w:tc>
      </w:tr>
    </w:tbl>
    <w:p w:rsidRPr="008C0EDC" w:rsidR="008C0EDC" w:rsidP="008C0EDC" w:rsidRDefault="008C0EDC" w14:paraId="3FB4DE60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Pr="008C0EDC" w:rsidR="008C0EDC" w:rsidTr="008C0EDC" w14:paraId="2B50D583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18C3D1B5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Pr="008C0EDC" w:rsidR="008C0EDC" w:rsidTr="00BA0797" w14:paraId="38D5790E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71BC46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F498325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8C0EDC" w:rsidP="00805357" w:rsidRDefault="00805357" w14:paraId="22390E57" w14:textId="79216D59">
            <w:pPr>
              <w:spacing w:after="0"/>
              <w:rPr>
                <w:rFonts w:eastAsia="Times New Roman"/>
                <w:lang w:eastAsia="lv-LV"/>
              </w:rPr>
            </w:pPr>
            <w:r w:rsidRPr="00805357">
              <w:rPr>
                <w:rFonts w:eastAsia="Times New Roman"/>
                <w:lang w:eastAsia="lv-LV"/>
              </w:rPr>
              <w:t xml:space="preserve">Likuma „Par aviāciju” </w:t>
            </w:r>
            <w:r>
              <w:rPr>
                <w:rFonts w:eastAsia="Times New Roman"/>
                <w:lang w:eastAsia="lv-LV"/>
              </w:rPr>
              <w:t>9</w:t>
            </w:r>
            <w:r w:rsidRPr="00805357">
              <w:rPr>
                <w:rFonts w:eastAsia="Times New Roman"/>
                <w:lang w:eastAsia="lv-LV"/>
              </w:rPr>
              <w:t xml:space="preserve">1.panta </w:t>
            </w:r>
            <w:r>
              <w:rPr>
                <w:rFonts w:eastAsia="Times New Roman"/>
                <w:lang w:eastAsia="lv-LV"/>
              </w:rPr>
              <w:t>otrā un trešā</w:t>
            </w:r>
            <w:r w:rsidRPr="00805357">
              <w:rPr>
                <w:rFonts w:eastAsia="Times New Roman"/>
                <w:lang w:eastAsia="lv-LV"/>
              </w:rPr>
              <w:t xml:space="preserve"> daļa</w:t>
            </w:r>
            <w:r w:rsidR="00B94E5A">
              <w:rPr>
                <w:rFonts w:eastAsia="Times New Roman"/>
                <w:lang w:eastAsia="lv-LV"/>
              </w:rPr>
              <w:t>.</w:t>
            </w:r>
          </w:p>
          <w:p w:rsidRPr="008C0EDC" w:rsidR="007A720C" w:rsidP="00805357" w:rsidRDefault="007A720C" w14:paraId="01E7E8AA" w14:textId="77777777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Pr="008C0EDC" w:rsidR="008C0EDC" w:rsidTr="00BA0797" w14:paraId="6A02D60D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7091E9DF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28C61469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B85FC2" w:rsidP="00CD79D2" w:rsidRDefault="00EB5648" w14:paraId="5209D87C" w14:textId="63211B42">
            <w:pPr>
              <w:spacing w:after="0"/>
              <w:jc w:val="both"/>
            </w:pPr>
            <w:r>
              <w:t>Ministru kabineta 2018.gada 3.jūlija noteikum</w:t>
            </w:r>
            <w:r w:rsidR="002A67F6">
              <w:t>u</w:t>
            </w:r>
            <w:r>
              <w:t xml:space="preserve"> Nr.394 “Speciālo aviācijas darbu veikšanas kārtība” 5.punkts nosaka speciālo aviācijas darbu veidus: lauksaimniecība, būvniecība, fotografēšana, topogrāfiskā uzmērīšana, novērošana un patrulēšana, </w:t>
            </w:r>
            <w:proofErr w:type="spellStart"/>
            <w:r>
              <w:t>avioreklāma</w:t>
            </w:r>
            <w:proofErr w:type="spellEnd"/>
            <w:r>
              <w:t xml:space="preserve">. </w:t>
            </w:r>
          </w:p>
          <w:p w:rsidR="00B23067" w:rsidP="0028699C" w:rsidRDefault="0073502A" w14:paraId="5EC2ECCE" w14:textId="7DF3D9F5">
            <w:pPr>
              <w:spacing w:after="0"/>
              <w:jc w:val="both"/>
            </w:pPr>
            <w:r>
              <w:t>A</w:t>
            </w:r>
            <w:r w:rsidR="002A67F6">
              <w:t>viācijas industrij</w:t>
            </w:r>
            <w:r>
              <w:t xml:space="preserve">ā darbojošās </w:t>
            </w:r>
            <w:r w:rsidR="00742C4D">
              <w:t xml:space="preserve">izpletņlēcēju un akrobātisko lidojumu veikšanas </w:t>
            </w:r>
            <w:r w:rsidR="002A67F6">
              <w:t>organizācij</w:t>
            </w:r>
            <w:r>
              <w:t>as,</w:t>
            </w:r>
            <w:r w:rsidR="00CA39BD">
              <w:t xml:space="preserve"> piedaloties</w:t>
            </w:r>
            <w:r>
              <w:t xml:space="preserve"> sabiedriskajā līdzdalībā</w:t>
            </w:r>
            <w:r w:rsidR="0028699C">
              <w:t xml:space="preserve"> Ministru kabineta noteikumu projekta „Grozījumi Ministru kabineta 2018.gada 3.jūlija noteikumos Nr.394   “Speciālo aviācijas darbu veikšanas kārtība”” </w:t>
            </w:r>
            <w:r w:rsidR="00291109">
              <w:t xml:space="preserve"> (turpmāk – noteikumu projekts) </w:t>
            </w:r>
            <w:r w:rsidR="00EC6F04">
              <w:t>izstrādē</w:t>
            </w:r>
            <w:r>
              <w:t xml:space="preserve"> konstatēja </w:t>
            </w:r>
            <w:r w:rsidR="00742C4D">
              <w:t xml:space="preserve">nepieciešamību </w:t>
            </w:r>
            <w:bookmarkStart w:name="_Hlk9425593" w:id="0"/>
            <w:r w:rsidR="00742C4D">
              <w:t xml:space="preserve">uz </w:t>
            </w:r>
            <w:r w:rsidRPr="00C764BA" w:rsidR="00C764BA">
              <w:t xml:space="preserve"> izpletņlēcēju izlaišanu, akrobātisko lidojumu veikšanu un planieru vilkšanu</w:t>
            </w:r>
            <w:r w:rsidR="00C764BA">
              <w:t>, kuras rezultātā tiek gūta peļņa</w:t>
            </w:r>
            <w:r w:rsidR="000E17C5">
              <w:t>,</w:t>
            </w:r>
            <w:r w:rsidR="00742C4D">
              <w:t xml:space="preserve"> attiecināt speciālo aviācijas darbu veikšanas regulējumu un </w:t>
            </w:r>
            <w:r>
              <w:t>ierosināj</w:t>
            </w:r>
            <w:r w:rsidR="00046000">
              <w:t>a</w:t>
            </w:r>
            <w:r>
              <w:t xml:space="preserve"> papildināt speciālo aviācijas darbu uzskaitījumu</w:t>
            </w:r>
            <w:r w:rsidR="002A67F6">
              <w:t xml:space="preserve"> </w:t>
            </w:r>
            <w:r>
              <w:t xml:space="preserve">ar </w:t>
            </w:r>
            <w:r w:rsidR="000E17C5">
              <w:t>augstāk minētajiem</w:t>
            </w:r>
            <w:r w:rsidR="00C764BA">
              <w:t xml:space="preserve"> darbības veidiem</w:t>
            </w:r>
            <w:r w:rsidR="000E17C5">
              <w:t xml:space="preserve">. </w:t>
            </w:r>
            <w:bookmarkEnd w:id="0"/>
            <w:r w:rsidR="000E17C5">
              <w:t>Turklāt</w:t>
            </w:r>
            <w:r w:rsidR="00C764BA">
              <w:t xml:space="preserve"> </w:t>
            </w:r>
            <w:r>
              <w:t xml:space="preserve"> </w:t>
            </w:r>
            <w:r w:rsidR="000E17C5">
              <w:t>minētos darbības veidus</w:t>
            </w:r>
            <w:r>
              <w:t xml:space="preserve"> </w:t>
            </w:r>
            <w:r w:rsidR="0004615A">
              <w:t xml:space="preserve">kā speciālos aviācijas darbus </w:t>
            </w:r>
            <w:r>
              <w:t xml:space="preserve">paredz arī </w:t>
            </w:r>
            <w:r w:rsidR="00291109">
              <w:t>Komisijas</w:t>
            </w:r>
            <w:r w:rsidRPr="0073502A">
              <w:t xml:space="preserve"> 2012.gada 5.oktobra Regula (ES) Nr.965/2012, ar ko nosaka tehniskās prasības un administratīvās procedūras saistībā ar gaisa kuģu ekspluatāciju atbilstīgi Eiropas Parlamenta un Padomes Regulai (EK) Nr.216/2008</w:t>
            </w:r>
            <w:r w:rsidR="00B23067">
              <w:t xml:space="preserve"> attiecībā uz gaisa kuģiem, kas </w:t>
            </w:r>
            <w:r w:rsidR="00C764BA">
              <w:t>nav</w:t>
            </w:r>
            <w:r w:rsidR="00B23067">
              <w:t xml:space="preserve"> iekļauti </w:t>
            </w:r>
            <w:r w:rsidR="00C764BA">
              <w:t xml:space="preserve">minētās regulas </w:t>
            </w:r>
            <w:r w:rsidR="00B23067">
              <w:t xml:space="preserve">1.pielikumā. </w:t>
            </w:r>
          </w:p>
          <w:p w:rsidR="002A67F6" w:rsidP="00CD79D2" w:rsidRDefault="0004615A" w14:paraId="770379EB" w14:textId="5D2DB19F">
            <w:pPr>
              <w:spacing w:after="0"/>
              <w:jc w:val="both"/>
            </w:pPr>
            <w:r>
              <w:t xml:space="preserve">Līdz ar to </w:t>
            </w:r>
            <w:r w:rsidR="00291109">
              <w:t>noteikumu p</w:t>
            </w:r>
            <w:r w:rsidR="00666552">
              <w:t xml:space="preserve">rojekts paredz papildināt </w:t>
            </w:r>
            <w:r w:rsidR="00F91824">
              <w:t xml:space="preserve">noteikumu </w:t>
            </w:r>
            <w:r w:rsidR="00666552">
              <w:t xml:space="preserve">5.punktā </w:t>
            </w:r>
            <w:r>
              <w:t>uzskaitītos</w:t>
            </w:r>
            <w:r w:rsidR="00666552">
              <w:t xml:space="preserve"> speciālos aviācijas darbus ar šādiem darbības veidiem: izpletņlēcēju izlaišana, planieru vilkšana</w:t>
            </w:r>
            <w:r w:rsidR="00291109">
              <w:t xml:space="preserve"> un</w:t>
            </w:r>
            <w:r w:rsidR="00666552">
              <w:t xml:space="preserve"> akrobātisko lidojumu veikšana.</w:t>
            </w:r>
            <w:r w:rsidR="00742C4D">
              <w:t xml:space="preserve"> </w:t>
            </w:r>
            <w:r w:rsidR="00666552">
              <w:t xml:space="preserve"> </w:t>
            </w:r>
          </w:p>
          <w:p w:rsidRPr="005C5266" w:rsidR="007A720C" w:rsidP="0004615A" w:rsidRDefault="00F91824" w14:paraId="5B691977" w14:textId="33B24F0F">
            <w:pPr>
              <w:spacing w:after="0"/>
              <w:jc w:val="both"/>
            </w:pPr>
            <w:r>
              <w:t>Noteikumu projekt</w:t>
            </w:r>
            <w:r w:rsidR="005E5BFE">
              <w:t>a regulējums attieksies uz</w:t>
            </w:r>
            <w:r>
              <w:t xml:space="preserve"> izpletņlēcēju izlaišanu, planieru vilkšanu </w:t>
            </w:r>
            <w:r w:rsidR="00742C4D">
              <w:t xml:space="preserve">un akrobātisko lidojumu veikšanu </w:t>
            </w:r>
            <w:r w:rsidR="005E5BFE">
              <w:t xml:space="preserve">tikai tad, ja šīs darbības tiks veiktas kā komercdarbība, kuras rezultātā tiks gūta </w:t>
            </w:r>
            <w:r w:rsidR="005E5BFE">
              <w:lastRenderedPageBreak/>
              <w:t>peļņa</w:t>
            </w:r>
            <w:r w:rsidR="0004615A">
              <w:t xml:space="preserve">, un, ja šīs darbības būs deklarētas kā speciālie aviācijas darbi </w:t>
            </w:r>
            <w:r w:rsidR="00123A99">
              <w:t>valsts aģentūrā</w:t>
            </w:r>
            <w:r w:rsidRPr="00123A99" w:rsidR="00123A99">
              <w:t xml:space="preserve"> </w:t>
            </w:r>
            <w:r w:rsidR="00123A99">
              <w:t>“</w:t>
            </w:r>
            <w:r w:rsidR="0004615A">
              <w:t>Civilās aviācijas aģentūr</w:t>
            </w:r>
            <w:r w:rsidR="00123A99">
              <w:t>a”</w:t>
            </w:r>
            <w:r w:rsidR="0004615A">
              <w:t xml:space="preserve">. </w:t>
            </w:r>
            <w:r w:rsidR="005E5BFE">
              <w:t>J</w:t>
            </w:r>
            <w:r w:rsidR="00742C4D">
              <w:t>a</w:t>
            </w:r>
            <w:r w:rsidR="005E5BFE">
              <w:t xml:space="preserve"> </w:t>
            </w:r>
            <w:r w:rsidR="00742C4D">
              <w:t>minētās darbības ti</w:t>
            </w:r>
            <w:r w:rsidR="005E5BFE">
              <w:t>ks</w:t>
            </w:r>
            <w:r w:rsidR="00742C4D">
              <w:t xml:space="preserve"> </w:t>
            </w:r>
            <w:r w:rsidRPr="005C5266" w:rsidR="009C388D">
              <w:t>veik</w:t>
            </w:r>
            <w:r w:rsidRPr="005C5266" w:rsidR="005C5266">
              <w:t xml:space="preserve">tas ar gaisa kuģiem, kas nav kompleksi </w:t>
            </w:r>
            <w:r w:rsidR="00AF5474">
              <w:t xml:space="preserve">gaisa kuģi </w:t>
            </w:r>
            <w:r w:rsidRPr="005C5266" w:rsidR="005C5266">
              <w:t xml:space="preserve">ar dzinēju, ar mērķi </w:t>
            </w:r>
            <w:r w:rsidRPr="005C5266" w:rsidR="009C388D">
              <w:t>popularizēt aviācijas sportu</w:t>
            </w:r>
            <w:r w:rsidRPr="005C5266" w:rsidR="000E17C5">
              <w:t>,</w:t>
            </w:r>
            <w:r w:rsidR="00742C4D">
              <w:t xml:space="preserve"> negūstot </w:t>
            </w:r>
            <w:r w:rsidR="005E5BFE">
              <w:t xml:space="preserve">no </w:t>
            </w:r>
            <w:r w:rsidR="00E65936">
              <w:t>tām</w:t>
            </w:r>
            <w:r w:rsidR="005E5BFE">
              <w:t xml:space="preserve"> </w:t>
            </w:r>
            <w:r w:rsidR="00742C4D">
              <w:t>peļņu</w:t>
            </w:r>
            <w:r w:rsidR="005E5BFE">
              <w:t xml:space="preserve">, </w:t>
            </w:r>
            <w:r w:rsidR="0004615A">
              <w:t>tad</w:t>
            </w:r>
            <w:r w:rsidR="005E5BFE">
              <w:t xml:space="preserve"> projekta regulējums </w:t>
            </w:r>
            <w:r w:rsidR="0004615A">
              <w:t xml:space="preserve">uz </w:t>
            </w:r>
            <w:r w:rsidR="00E65936">
              <w:t>šīm darbībām</w:t>
            </w:r>
            <w:r w:rsidR="0004615A">
              <w:t xml:space="preserve"> </w:t>
            </w:r>
            <w:r w:rsidR="005E5BFE">
              <w:t xml:space="preserve">neattieksies. </w:t>
            </w:r>
            <w:r w:rsidR="00742C4D">
              <w:t xml:space="preserve"> </w:t>
            </w:r>
          </w:p>
        </w:tc>
      </w:tr>
      <w:tr w:rsidRPr="008C0EDC" w:rsidR="008C0EDC" w:rsidTr="00BA0797" w14:paraId="3B8387F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09DA992D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22330EC5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830B12" w:rsidRDefault="00147E2E" w14:paraId="1BCA509E" w14:textId="7777777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Satiksmes ministrija un </w:t>
            </w:r>
            <w:r w:rsidR="00AF5474">
              <w:rPr>
                <w:rFonts w:eastAsia="Times New Roman"/>
                <w:lang w:eastAsia="lv-LV"/>
              </w:rPr>
              <w:t>valsts aģentūra “</w:t>
            </w:r>
            <w:r>
              <w:rPr>
                <w:rFonts w:eastAsia="Times New Roman"/>
                <w:lang w:eastAsia="lv-LV"/>
              </w:rPr>
              <w:t>Civilās aviācijas aģentūra</w:t>
            </w:r>
            <w:r w:rsidR="00AF5474">
              <w:rPr>
                <w:rFonts w:eastAsia="Times New Roman"/>
                <w:lang w:eastAsia="lv-LV"/>
              </w:rPr>
              <w:t>”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8C0EDC" w:rsidR="008C0EDC" w:rsidTr="00BA0797" w14:paraId="1E90B33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40036B3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E34F312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8C0EDC" w:rsidRDefault="00147E2E" w14:paraId="305DEE6E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Pr="008C0EDC" w:rsidR="008C0EDC" w:rsidP="008C0EDC" w:rsidRDefault="008C0EDC" w14:paraId="30387391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Pr="008C0EDC" w:rsidR="008C0EDC" w:rsidTr="008C0EDC" w14:paraId="6A699C18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00B63DB3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8C0EDC" w:rsidR="008C0EDC" w:rsidTr="00BA0797" w14:paraId="3030D39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70963B0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4E637FF1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 xml:space="preserve">Sabiedrības </w:t>
            </w:r>
            <w:proofErr w:type="spellStart"/>
            <w:r w:rsidRPr="008C0EDC">
              <w:rPr>
                <w:rFonts w:eastAsia="Times New Roman"/>
                <w:lang w:eastAsia="lv-LV"/>
              </w:rPr>
              <w:t>mērķgrupas</w:t>
            </w:r>
            <w:proofErr w:type="spellEnd"/>
            <w:r w:rsidRPr="008C0EDC">
              <w:rPr>
                <w:rFonts w:eastAsia="Times New Roman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7A720C" w:rsidP="00E47C0C" w:rsidRDefault="00147E2E" w14:paraId="0237C297" w14:textId="66BDE782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Gaisa kuģu ekspluatanti, kuri vēlas </w:t>
            </w:r>
            <w:r w:rsidR="00AF5474">
              <w:rPr>
                <w:rFonts w:eastAsia="Times New Roman"/>
                <w:lang w:eastAsia="lv-LV"/>
              </w:rPr>
              <w:t>veikt</w:t>
            </w:r>
            <w:r w:rsidRPr="00AF5474" w:rsidR="00AF5474">
              <w:rPr>
                <w:rFonts w:eastAsia="Times New Roman"/>
                <w:lang w:eastAsia="lv-LV"/>
              </w:rPr>
              <w:t xml:space="preserve"> tādus speciālos aviācijas darbus kā izpletņlēcēju izlaišanu</w:t>
            </w:r>
            <w:r w:rsidR="007D09D4">
              <w:rPr>
                <w:rFonts w:eastAsia="Times New Roman"/>
                <w:lang w:eastAsia="lv-LV"/>
              </w:rPr>
              <w:t>,</w:t>
            </w:r>
            <w:r w:rsidRPr="00AF5474" w:rsidR="00AF5474">
              <w:rPr>
                <w:rFonts w:eastAsia="Times New Roman"/>
                <w:lang w:eastAsia="lv-LV"/>
              </w:rPr>
              <w:t xml:space="preserve"> akrobātisko lidojumu veikšanu</w:t>
            </w:r>
            <w:r w:rsidR="007D09D4">
              <w:rPr>
                <w:rFonts w:eastAsia="Times New Roman"/>
                <w:lang w:eastAsia="lv-LV"/>
              </w:rPr>
              <w:t xml:space="preserve"> un planieru vilkšanu.</w:t>
            </w:r>
            <w:r w:rsidR="00AF5474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Šobrīd </w:t>
            </w:r>
            <w:r w:rsidR="00E47C0C">
              <w:rPr>
                <w:rFonts w:eastAsia="Times New Roman"/>
                <w:lang w:eastAsia="lv-LV"/>
              </w:rPr>
              <w:t>speciālo aviācijas darbu pakalpojum</w:t>
            </w:r>
            <w:r w:rsidR="00AF5474">
              <w:rPr>
                <w:rFonts w:eastAsia="Times New Roman"/>
                <w:lang w:eastAsia="lv-LV"/>
              </w:rPr>
              <w:t>u</w:t>
            </w:r>
            <w:r w:rsidR="00E47C0C">
              <w:rPr>
                <w:rFonts w:eastAsia="Times New Roman"/>
                <w:lang w:eastAsia="lv-LV"/>
              </w:rPr>
              <w:t xml:space="preserve"> </w:t>
            </w:r>
            <w:r w:rsidRPr="009C388D" w:rsidR="00E47C0C">
              <w:rPr>
                <w:rFonts w:eastAsia="Times New Roman"/>
                <w:lang w:eastAsia="lv-LV"/>
              </w:rPr>
              <w:t xml:space="preserve">sniedz </w:t>
            </w:r>
            <w:r w:rsidR="007D09D4">
              <w:rPr>
                <w:rFonts w:eastAsia="Times New Roman"/>
                <w:lang w:eastAsia="lv-LV"/>
              </w:rPr>
              <w:t>divi</w:t>
            </w:r>
            <w:r w:rsidR="00E47C0C">
              <w:rPr>
                <w:rFonts w:eastAsia="Times New Roman"/>
                <w:lang w:eastAsia="lv-LV"/>
              </w:rPr>
              <w:t xml:space="preserve"> gaisa kuģu ekspluatanti.</w:t>
            </w:r>
            <w:r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Pr="008C0EDC" w:rsidR="008C0EDC" w:rsidTr="00BA0797" w14:paraId="16BCD56F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C319B8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762759F5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B008D8" w:rsidRDefault="00B008D8" w14:paraId="5EB311C0" w14:textId="6C03BB39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t xml:space="preserve">Administratīvais slogs samazināsies, jo </w:t>
            </w:r>
            <w:r w:rsidR="00123A99">
              <w:t xml:space="preserve">noteikumu </w:t>
            </w:r>
            <w:r w:rsidR="00882D76">
              <w:t xml:space="preserve">projektā paredzēto </w:t>
            </w:r>
            <w:r>
              <w:rPr>
                <w:rFonts w:eastAsia="Times New Roman"/>
                <w:lang w:eastAsia="lv-LV"/>
              </w:rPr>
              <w:t>gaisa kuģu ekspluatantiem speciālo aviācijas darbu veikšanai vairs nav nepieciešams saņem</w:t>
            </w:r>
            <w:r w:rsidR="007A720C">
              <w:rPr>
                <w:rFonts w:eastAsia="Times New Roman"/>
                <w:lang w:eastAsia="lv-LV"/>
              </w:rPr>
              <w:t>t</w:t>
            </w:r>
            <w:r>
              <w:rPr>
                <w:rFonts w:eastAsia="Times New Roman"/>
                <w:lang w:eastAsia="lv-LV"/>
              </w:rPr>
              <w:t xml:space="preserve"> ne licenci, ne gaisa kuģu ekspluatanta apliecību par tiesībām veikt speciālos aviācijas</w:t>
            </w:r>
            <w:r w:rsidR="000424C2">
              <w:rPr>
                <w:rFonts w:eastAsia="Times New Roman"/>
                <w:lang w:eastAsia="lv-LV"/>
              </w:rPr>
              <w:t xml:space="preserve"> darbus</w:t>
            </w:r>
            <w:r w:rsidR="003D26D2">
              <w:rPr>
                <w:rFonts w:eastAsia="Times New Roman"/>
                <w:lang w:eastAsia="lv-LV"/>
              </w:rPr>
              <w:t>, bet gan deklarēt savu darbību, ka tā atbilst izvirzītajām prasībām</w:t>
            </w:r>
            <w:r w:rsidR="00F242A5">
              <w:rPr>
                <w:rFonts w:eastAsia="Times New Roman"/>
                <w:lang w:eastAsia="lv-LV"/>
              </w:rPr>
              <w:t>.</w:t>
            </w:r>
            <w:r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Pr="008C0EDC" w:rsidR="008C0EDC" w:rsidTr="00BA0797" w14:paraId="552ED780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6554BF44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7F3A7987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7A720C" w:rsidP="00123A99" w:rsidRDefault="00123A99" w14:paraId="3B4B5CAB" w14:textId="612620C4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123A99">
              <w:rPr>
                <w:rFonts w:eastAsia="Times New Roman"/>
                <w:lang w:eastAsia="lv-LV"/>
              </w:rPr>
              <w:t>Nav  attiecināms.</w:t>
            </w:r>
          </w:p>
        </w:tc>
      </w:tr>
      <w:tr w:rsidRPr="008C0EDC" w:rsidR="008C0EDC" w:rsidTr="00BA0797" w14:paraId="4D3DA2D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010E2478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1699B057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8C0EDC" w:rsidRDefault="008374B6" w14:paraId="210EBB8C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  attiecināms.</w:t>
            </w:r>
          </w:p>
        </w:tc>
      </w:tr>
      <w:tr w:rsidRPr="008C0EDC" w:rsidR="008C0EDC" w:rsidTr="00BA0797" w14:paraId="0FB9FC96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09D0468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32BEFA53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8C0EDC" w:rsidRDefault="008374B6" w14:paraId="6396153F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Pr="008C0EDC" w:rsidR="008C0EDC" w:rsidP="008C0EDC" w:rsidRDefault="008C0EDC" w14:paraId="6D1BD324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Pr="008C0EDC" w:rsidR="008C0EDC" w:rsidTr="008C0EDC" w14:paraId="4D58A401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5F80054F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Pr="008C0EDC" w:rsidR="00E47C0C" w:rsidTr="008C0EDC" w14:paraId="667169EE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47C0C" w:rsidR="00E47C0C" w:rsidP="008C0EDC" w:rsidRDefault="00E47C0C" w14:paraId="5C98A15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:rsidRPr="008C0EDC" w:rsidR="008C0EDC" w:rsidP="008C0EDC" w:rsidRDefault="008C0EDC" w14:paraId="27F9B092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Pr="008C0EDC" w:rsidR="008C0EDC" w:rsidTr="008C0EDC" w14:paraId="24F972BA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30F7941A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Pr="008C0EDC" w:rsidR="00E47C0C" w:rsidTr="008C0EDC" w14:paraId="41571C5B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47C0C" w:rsidR="00E47C0C" w:rsidP="008C0EDC" w:rsidRDefault="00E47C0C" w14:paraId="10B315C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:rsidRPr="008C0EDC" w:rsidR="008C0EDC" w:rsidP="008C0EDC" w:rsidRDefault="008C0EDC" w14:paraId="45E79737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Pr="008C0EDC" w:rsidR="008C0EDC" w:rsidTr="008C0EDC" w14:paraId="191A5944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60A0EFBF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Pr="008C0EDC" w:rsidR="008C0EDC" w:rsidTr="00BA0797" w14:paraId="541D089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22DF483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6AE33163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A103D2" w:rsidR="00A103D2" w:rsidP="00A103D2" w:rsidRDefault="00A103D2" w14:paraId="490A4267" w14:textId="69DA6943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bookmarkStart w:name="_GoBack" w:id="1"/>
            <w:bookmarkEnd w:id="1"/>
            <w:r w:rsidRPr="00A103D2">
              <w:rPr>
                <w:rFonts w:eastAsia="Times New Roman"/>
                <w:lang w:eastAsia="lv-LV"/>
              </w:rPr>
              <w:t>Eiropas Parlamenta un Padomes 2018.gada 4.jūlija Regul</w:t>
            </w:r>
            <w:r w:rsidR="00123A99">
              <w:rPr>
                <w:rFonts w:eastAsia="Times New Roman"/>
                <w:lang w:eastAsia="lv-LV"/>
              </w:rPr>
              <w:t>a</w:t>
            </w:r>
            <w:r w:rsidRPr="00A103D2">
              <w:rPr>
                <w:rFonts w:eastAsia="Times New Roman"/>
                <w:lang w:eastAsia="lv-LV"/>
              </w:rPr>
              <w:t xml:space="preserve"> (ES) 2018/1139 par kopīgiem noteikumiem civilās aviācijas jomā un ar ko izveido Eiropas </w:t>
            </w:r>
            <w:r w:rsidRPr="00A103D2">
              <w:rPr>
                <w:rFonts w:eastAsia="Times New Roman"/>
                <w:lang w:eastAsia="lv-LV"/>
              </w:rPr>
              <w:lastRenderedPageBreak/>
              <w:t>Savienības Aviācijas drošības aģentūru, un ar ko groza Eiropas Parlamenta un Padomes Regulas (EK) Nr.2111/2005, (EK) Nr.1008/2008, (ES) Nr.996/2010, (ES) Nr.376/2014 un Direktīvas 2014/30/ES un 2014/53/ES un atceļ Eiropas Parlamenta un Padomes Regulas (EK) Nr.552/2004 un (EK) Nr.216/2008 un Padomes Regulu (EEK) Nr.3922/91 (publicēta “Eiropas Savienības Oficiālajā Vēstnesī” L 212/1,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A103D2">
              <w:rPr>
                <w:rFonts w:eastAsia="Times New Roman"/>
                <w:lang w:eastAsia="lv-LV"/>
              </w:rPr>
              <w:t>22.08.2018);</w:t>
            </w:r>
          </w:p>
          <w:p w:rsidRPr="008C0EDC" w:rsidR="000270AD" w:rsidP="003A3B5F" w:rsidRDefault="00A103D2" w14:paraId="29A2582A" w14:textId="7B052786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103D2">
              <w:rPr>
                <w:rFonts w:eastAsia="Times New Roman"/>
                <w:lang w:eastAsia="lv-LV"/>
              </w:rPr>
              <w:t>Komisijas 2011.gada 3.novembra Regul</w:t>
            </w:r>
            <w:r w:rsidR="003A3B5F">
              <w:rPr>
                <w:rFonts w:eastAsia="Times New Roman"/>
                <w:lang w:eastAsia="lv-LV"/>
              </w:rPr>
              <w:t>a</w:t>
            </w:r>
            <w:r w:rsidRPr="00A103D2">
              <w:rPr>
                <w:rFonts w:eastAsia="Times New Roman"/>
                <w:lang w:eastAsia="lv-LV"/>
              </w:rPr>
              <w:t xml:space="preserve"> (ES) Nr.1178/2011, ar ko nosaka tehniskās prasības un administratīvās procedūras attiecībā uz civilās aviācijas gaisa kuģa apkalpi atbilstīgi Eiropas Parlamenta un Padomes Regulai (EK) Nr. 216/2008 (publicēta “Eiropas Savienības Oficiālajā Vēstnesī” L 311, 25.11.2011)</w:t>
            </w:r>
          </w:p>
        </w:tc>
      </w:tr>
      <w:tr w:rsidRPr="008C0EDC" w:rsidR="008C0EDC" w:rsidTr="00BA0797" w14:paraId="724A7BDF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78DE7D3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0A758477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FA1AC8" w:rsidP="00FA1AC8" w:rsidRDefault="00485DD1" w14:paraId="59677D9B" w14:textId="7777777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Pr="008C0EDC" w:rsidR="008C0EDC" w:rsidTr="00BA0797" w14:paraId="2CD6E15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2E7F0EAD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B62D5A4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8C0EDC" w:rsidRDefault="000270AD" w14:paraId="79AAE9C3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Pr="008C0EDC" w:rsidR="007A720C" w:rsidP="008C0EDC" w:rsidRDefault="007A720C" w14:paraId="4A8F980D" w14:textId="77777777">
      <w:pPr>
        <w:spacing w:after="0"/>
        <w:rPr>
          <w:rFonts w:eastAsia="Times New Roman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2"/>
        <w:gridCol w:w="2148"/>
        <w:gridCol w:w="2355"/>
        <w:gridCol w:w="2715"/>
      </w:tblGrid>
      <w:tr w:rsidRPr="008C0EDC" w:rsidR="008C0EDC" w:rsidTr="00A22836" w14:paraId="1A4D5CA1" w14:textId="77777777"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A22836" w:rsidRDefault="008C0EDC" w14:paraId="01C91593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1. tabula</w:t>
            </w:r>
            <w:r w:rsidRPr="008C0EDC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Pr="008C0EDC" w:rsidR="008C0EDC" w:rsidTr="007D09D4" w14:paraId="3ECD3E83" w14:textId="77777777">
        <w:trPr>
          <w:tblCellSpacing w:w="15" w:type="dxa"/>
        </w:trPr>
        <w:tc>
          <w:tcPr>
            <w:tcW w:w="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A22836" w:rsidRDefault="008C0EDC" w14:paraId="24E7571F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datums, numurs un nosaukums</w:t>
            </w:r>
          </w:p>
        </w:tc>
        <w:tc>
          <w:tcPr>
            <w:tcW w:w="39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A103D2" w:rsidRDefault="00A103D2" w14:paraId="34586952" w14:textId="6E733B47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103D2">
              <w:rPr>
                <w:rFonts w:eastAsia="Times New Roman"/>
                <w:lang w:eastAsia="lv-LV"/>
              </w:rPr>
              <w:t>Eiropas Parlamenta un Padomes 2018.gada 4.jūlija Regula (ES) 2018/1139 par kopīgiem noteikumiem civilās aviācijas jomā un</w:t>
            </w:r>
            <w:r w:rsidR="00292A01">
              <w:rPr>
                <w:rFonts w:eastAsia="Times New Roman"/>
                <w:lang w:eastAsia="lv-LV"/>
              </w:rPr>
              <w:t>,</w:t>
            </w:r>
            <w:r w:rsidRPr="00A103D2">
              <w:rPr>
                <w:rFonts w:eastAsia="Times New Roman"/>
                <w:lang w:eastAsia="lv-LV"/>
              </w:rPr>
              <w:t xml:space="preserve"> ar ko izveido Eiropas Savienības Aviācijas drošības aģentūru, un ar ko groza Eiropas Parlamenta un Padomes Regulas (EK) Nr.2111/2005, (EK) Nr.1008/2008, (ES) Nr.996/2010, (ES) Nr.376/2014 un Direktīvas 2014/30/ES un 2014/53/ES un atceļ Eiropas Parlamenta un Padomes Regulas (EK) Nr.552/2004 un (EK) Nr.216/2008 un Padomes Regulu (EEK) Nr.3922/91 (publicēta “Eiropas Savienības Oficiālajā Vēstnesī” L 212/1,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A103D2">
              <w:rPr>
                <w:rFonts w:eastAsia="Times New Roman"/>
                <w:lang w:eastAsia="lv-LV"/>
              </w:rPr>
              <w:t>22.08.2018) (turpmāk- Regula Nr.2018/1139);</w:t>
            </w:r>
          </w:p>
        </w:tc>
      </w:tr>
      <w:tr w:rsidRPr="008C0EDC" w:rsidR="00FA1AC8" w:rsidTr="007D09D4" w14:paraId="533F25AF" w14:textId="77777777">
        <w:trPr>
          <w:tblCellSpacing w:w="15" w:type="dxa"/>
        </w:trPr>
        <w:tc>
          <w:tcPr>
            <w:tcW w:w="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A22836" w:rsidRDefault="008C0EDC" w14:paraId="62E40B9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1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A22836" w:rsidRDefault="008C0EDC" w14:paraId="619E990B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2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A22836" w:rsidRDefault="008C0EDC" w14:paraId="1C62236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4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A22836" w:rsidRDefault="008C0EDC" w14:paraId="7BF3CE52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D</w:t>
            </w:r>
          </w:p>
        </w:tc>
      </w:tr>
      <w:tr w:rsidRPr="008C0EDC" w:rsidR="00FA1AC8" w:rsidTr="007D09D4" w14:paraId="0BEBCF6A" w14:textId="77777777">
        <w:trPr>
          <w:tblCellSpacing w:w="15" w:type="dxa"/>
        </w:trPr>
        <w:tc>
          <w:tcPr>
            <w:tcW w:w="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A22836" w:rsidRDefault="008C0EDC" w14:paraId="38959B31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A22836" w:rsidRDefault="008C0EDC" w14:paraId="5E6F80DD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A22836" w:rsidRDefault="008C0EDC" w14:paraId="76AF84DC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8C0EDC">
              <w:rPr>
                <w:rFonts w:eastAsia="Times New Roman"/>
                <w:lang w:eastAsia="lv-LV"/>
              </w:rPr>
              <w:br/>
              <w:t xml:space="preserve">Ja attiecīgā ES tiesību akta vienība tiek pārņemta vai ieviesta daļēji, sniedz attiecīgu skaidrojumu, kā arī precīzi norāda, kad un kādā veidā ES tiesību akta vienība tiks pārņemta vai ieviesta </w:t>
            </w:r>
            <w:r w:rsidRPr="008C0EDC">
              <w:rPr>
                <w:rFonts w:eastAsia="Times New Roman"/>
                <w:lang w:eastAsia="lv-LV"/>
              </w:rPr>
              <w:lastRenderedPageBreak/>
              <w:t>pilnībā.</w:t>
            </w:r>
            <w:r w:rsidRPr="008C0EDC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A22836" w:rsidRDefault="008C0EDC" w14:paraId="4688DF50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8C0EDC">
              <w:rPr>
                <w:rFonts w:eastAsia="Times New Roman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8C0EDC">
              <w:rPr>
                <w:rFonts w:eastAsia="Times New Roman"/>
                <w:lang w:eastAsia="lv-LV"/>
              </w:rPr>
              <w:br/>
              <w:t xml:space="preserve">Norāda iespējamās alternatīvas (t. sk. alternatīvas, kas neparedz tiesiskā regulējuma </w:t>
            </w:r>
            <w:r w:rsidRPr="008C0EDC">
              <w:rPr>
                <w:rFonts w:eastAsia="Times New Roman"/>
                <w:lang w:eastAsia="lv-LV"/>
              </w:rPr>
              <w:lastRenderedPageBreak/>
              <w:t>izstrādi) - kādos gadījumos būtu iespējams izvairīties no stingrāku prasību noteikšanas, nekā paredzēts attiecīgajos ES tiesību aktos</w:t>
            </w:r>
          </w:p>
        </w:tc>
      </w:tr>
      <w:tr w:rsidRPr="008C0EDC" w:rsidR="00FA1AC8" w:rsidTr="007D09D4" w14:paraId="7A3FF033" w14:textId="77777777">
        <w:trPr>
          <w:tblCellSpacing w:w="15" w:type="dxa"/>
        </w:trPr>
        <w:tc>
          <w:tcPr>
            <w:tcW w:w="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026275" w:rsidP="00A22836" w:rsidRDefault="000E60B4" w14:paraId="73DD3A74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lastRenderedPageBreak/>
              <w:t>Regul</w:t>
            </w:r>
            <w:r w:rsidR="00A22836">
              <w:rPr>
                <w:rFonts w:eastAsia="Times New Roman"/>
                <w:lang w:eastAsia="lv-LV"/>
              </w:rPr>
              <w:t>as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="00026275">
              <w:t xml:space="preserve"> </w:t>
            </w:r>
            <w:r w:rsidRPr="00026275" w:rsidR="00026275">
              <w:rPr>
                <w:rFonts w:eastAsia="Times New Roman"/>
                <w:lang w:eastAsia="lv-LV"/>
              </w:rPr>
              <w:t>Nr.2018/1139</w:t>
            </w:r>
          </w:p>
          <w:p w:rsidR="000E60B4" w:rsidP="00A22836" w:rsidRDefault="00874136" w14:paraId="09187C5D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026275">
              <w:rPr>
                <w:rFonts w:eastAsia="Times New Roman"/>
                <w:lang w:eastAsia="lv-LV"/>
              </w:rPr>
              <w:t>3</w:t>
            </w:r>
            <w:r w:rsidR="00485DD1">
              <w:rPr>
                <w:rFonts w:eastAsia="Times New Roman"/>
                <w:lang w:eastAsia="lv-LV"/>
              </w:rPr>
              <w:t>.pants</w:t>
            </w:r>
            <w:r w:rsidR="00A22836">
              <w:rPr>
                <w:rFonts w:eastAsia="Times New Roman"/>
                <w:lang w:eastAsia="lv-LV"/>
              </w:rPr>
              <w:t>;</w:t>
            </w:r>
          </w:p>
          <w:p w:rsidRPr="008C0EDC" w:rsidR="000E60B4" w:rsidP="00A22836" w:rsidRDefault="000E60B4" w14:paraId="0B67B7F5" w14:textId="77777777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1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0E60B4" w:rsidP="00A22836" w:rsidRDefault="00485DD1" w14:paraId="2508E003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0E60B4">
              <w:rPr>
                <w:rFonts w:eastAsia="Times New Roman"/>
                <w:lang w:eastAsia="lv-LV"/>
              </w:rPr>
              <w:t>2.</w:t>
            </w:r>
            <w:r w:rsidR="00026275">
              <w:rPr>
                <w:rFonts w:eastAsia="Times New Roman"/>
                <w:lang w:eastAsia="lv-LV"/>
              </w:rPr>
              <w:t>1.apakš</w:t>
            </w:r>
            <w:r w:rsidR="000E60B4">
              <w:rPr>
                <w:rFonts w:eastAsia="Times New Roman"/>
                <w:lang w:eastAsia="lv-LV"/>
              </w:rPr>
              <w:t>punkts</w:t>
            </w:r>
          </w:p>
        </w:tc>
        <w:tc>
          <w:tcPr>
            <w:tcW w:w="12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448DB" w:rsidR="000E60B4" w:rsidP="00A22836" w:rsidRDefault="000E60B4" w14:paraId="60869ACB" w14:textId="77777777">
            <w:r w:rsidRPr="00C448DB">
              <w:t>Tiesību norma ieviesta pilnībā</w:t>
            </w:r>
          </w:p>
        </w:tc>
        <w:tc>
          <w:tcPr>
            <w:tcW w:w="14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0E60B4" w:rsidP="00A22836" w:rsidRDefault="000E60B4" w14:paraId="26ED576E" w14:textId="77777777">
            <w:r w:rsidRPr="00C448DB">
              <w:t>Projekts stingrākas prasības neparedz</w:t>
            </w:r>
          </w:p>
        </w:tc>
      </w:tr>
      <w:tr w:rsidRPr="008C0EDC" w:rsidR="000E42FA" w:rsidTr="007D09D4" w14:paraId="7C403477" w14:textId="77777777">
        <w:trPr>
          <w:tblCellSpacing w:w="15" w:type="dxa"/>
        </w:trPr>
        <w:tc>
          <w:tcPr>
            <w:tcW w:w="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A103D2" w:rsidR="00A103D2" w:rsidP="00A103D2" w:rsidRDefault="00A103D2" w14:paraId="7945C633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A103D2">
              <w:rPr>
                <w:rFonts w:eastAsia="Times New Roman"/>
                <w:lang w:eastAsia="lv-LV"/>
              </w:rPr>
              <w:t>Regulas  Nr.2018/1139</w:t>
            </w:r>
          </w:p>
          <w:p w:rsidR="000E42FA" w:rsidP="00A103D2" w:rsidRDefault="00A103D2" w14:paraId="04D17E0E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1.pielikums</w:t>
            </w:r>
          </w:p>
        </w:tc>
        <w:tc>
          <w:tcPr>
            <w:tcW w:w="11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0E42FA" w:rsidP="00A22836" w:rsidRDefault="000E42FA" w14:paraId="73DD855F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A103D2">
              <w:rPr>
                <w:rFonts w:eastAsia="Times New Roman"/>
                <w:lang w:eastAsia="lv-LV"/>
              </w:rPr>
              <w:t>11.</w:t>
            </w:r>
            <w:r>
              <w:rPr>
                <w:rFonts w:eastAsia="Times New Roman"/>
                <w:lang w:eastAsia="lv-LV"/>
              </w:rPr>
              <w:t>punkts</w:t>
            </w:r>
          </w:p>
        </w:tc>
        <w:tc>
          <w:tcPr>
            <w:tcW w:w="12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448DB" w:rsidR="000E42FA" w:rsidP="00A22836" w:rsidRDefault="00C75107" w14:paraId="145286C0" w14:textId="77777777">
            <w:r w:rsidRPr="00C448DB">
              <w:t>Tiesību norma ieviesta pilnībā</w:t>
            </w:r>
          </w:p>
        </w:tc>
        <w:tc>
          <w:tcPr>
            <w:tcW w:w="14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448DB" w:rsidR="000E42FA" w:rsidP="00A22836" w:rsidRDefault="00C75107" w14:paraId="3D082354" w14:textId="77777777">
            <w:r w:rsidRPr="00C448DB">
              <w:t>Projekts stingrākas prasības neparedz</w:t>
            </w:r>
          </w:p>
        </w:tc>
      </w:tr>
      <w:tr w:rsidRPr="008C0EDC" w:rsidR="000E60B4" w:rsidTr="007D09D4" w14:paraId="665DF735" w14:textId="77777777">
        <w:trPr>
          <w:tblCellSpacing w:w="15" w:type="dxa"/>
        </w:trPr>
        <w:tc>
          <w:tcPr>
            <w:tcW w:w="215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0E60B4" w:rsidP="00A22836" w:rsidRDefault="000E60B4" w14:paraId="0E2802AF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279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0E60B4" w:rsidP="00A22836" w:rsidRDefault="00FA1AC8" w14:paraId="2FFBB510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8C0EDC" w:rsidR="000E60B4" w:rsidTr="007D09D4" w14:paraId="049B3D51" w14:textId="77777777">
        <w:trPr>
          <w:tblCellSpacing w:w="15" w:type="dxa"/>
        </w:trPr>
        <w:tc>
          <w:tcPr>
            <w:tcW w:w="215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0E60B4" w:rsidP="00A22836" w:rsidRDefault="000E60B4" w14:paraId="3DE1A8A3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79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0E60B4" w:rsidP="00A22836" w:rsidRDefault="00FA1AC8" w14:paraId="150F3CC6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8C0EDC" w:rsidR="000E60B4" w:rsidTr="007D09D4" w14:paraId="62153517" w14:textId="77777777">
        <w:trPr>
          <w:tblCellSpacing w:w="15" w:type="dxa"/>
        </w:trPr>
        <w:tc>
          <w:tcPr>
            <w:tcW w:w="215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0E60B4" w:rsidP="00A22836" w:rsidRDefault="000E60B4" w14:paraId="528C078B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79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0E60B4" w:rsidP="007D09D4" w:rsidRDefault="007D09D4" w14:paraId="610A4566" w14:textId="3B757A7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7D09D4">
              <w:rPr>
                <w:rFonts w:eastAsia="Times New Roman"/>
                <w:lang w:eastAsia="lv-LV"/>
              </w:rPr>
              <w:t>Projektā ir iekļauta vispārīga atsauce uz Eiropas Parlamenta un Padomes 2011. gada 3.novembra Regulas (ES) Nr.1178/2011, ar ko nosaka tehniskās prasības un administratīvās procedūras attiecībā uz civilās aviācijas gaisa kuģa apkalpi atbilstīgi Eiropas Parlamenta un Padomes Regulai (EK) Nr. 216/2008,  neatsaucoties uz konkrētu regulas punktu.</w:t>
            </w:r>
          </w:p>
        </w:tc>
      </w:tr>
    </w:tbl>
    <w:p w:rsidRPr="008C0EDC" w:rsidR="008C0EDC" w:rsidP="008C0EDC" w:rsidRDefault="00A22836" w14:paraId="62A2A7CB" w14:textId="77777777">
      <w:pPr>
        <w:spacing w:after="0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br w:type="textWrapping" w:clear="all"/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Pr="008C0EDC" w:rsidR="008C0EDC" w:rsidTr="008C0EDC" w14:paraId="07A62A52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150BFAE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Pr="008C0EDC" w:rsidR="008C0EDC" w:rsidTr="00BA0797" w14:paraId="4C94FC3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0CB2459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2E235A83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7A720C" w:rsidP="007A720C" w:rsidRDefault="00E47C0C" w14:paraId="412BE8F6" w14:textId="0FCA2702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Calibri"/>
              </w:rPr>
              <w:t>Atbilstoši Ministru kabineta 2009.gada 25.augusta noteikumu Nr.970 „Sabiedrības līdzdalības kārtība attīstības plānošanas procesā” 7.4.</w:t>
            </w:r>
            <w:r>
              <w:rPr>
                <w:rFonts w:eastAsia="Calibri"/>
                <w:vertAlign w:val="superscript"/>
              </w:rPr>
              <w:t xml:space="preserve">1 </w:t>
            </w:r>
            <w:r>
              <w:rPr>
                <w:rFonts w:eastAsia="Calibri"/>
              </w:rPr>
              <w:t>apakšpunktam sabiedrībai tiek dota iespēja rakstiski sniegt viedokli par noteikumu projektu tā saskaņošanas stadijā.</w:t>
            </w:r>
          </w:p>
        </w:tc>
      </w:tr>
      <w:tr w:rsidRPr="008C0EDC" w:rsidR="008C0EDC" w:rsidTr="00BA0797" w14:paraId="08A55536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0A9C6B1A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2DC582DD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0E42FA" w:rsidP="005D1B7A" w:rsidRDefault="003C7ED8" w14:paraId="0D3A1787" w14:textId="59473DC9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3C7ED8">
              <w:rPr>
                <w:rFonts w:eastAsia="Times New Roman"/>
                <w:lang w:eastAsia="lv-LV"/>
              </w:rPr>
              <w:t xml:space="preserve">Atbilstoši Ministru kabineta 2009.gada 25.augusta noteikumiem Nr.970 „Sabiedrības līdzdalības kārtība attīstības plānošanas procesā” par projekta izstrādi tika informēti sabiedrības pārstāvji, </w:t>
            </w:r>
            <w:r w:rsidRPr="005D1B7A" w:rsidR="005D1B7A">
              <w:rPr>
                <w:rFonts w:eastAsia="Times New Roman"/>
                <w:lang w:eastAsia="lv-LV"/>
              </w:rPr>
              <w:t xml:space="preserve">2019.gada 24.maijā </w:t>
            </w:r>
            <w:r w:rsidRPr="003C7ED8">
              <w:rPr>
                <w:rFonts w:eastAsia="Times New Roman"/>
                <w:lang w:eastAsia="lv-LV"/>
              </w:rPr>
              <w:t xml:space="preserve">ievietojot paziņojumu par līdzdalības iespējām tiesību </w:t>
            </w:r>
            <w:r w:rsidRPr="003C7ED8">
              <w:rPr>
                <w:rFonts w:eastAsia="Times New Roman"/>
                <w:lang w:eastAsia="lv-LV"/>
              </w:rPr>
              <w:lastRenderedPageBreak/>
              <w:t>akta izstrādes procesā Satiksmes ministr</w:t>
            </w:r>
            <w:r>
              <w:rPr>
                <w:rFonts w:eastAsia="Times New Roman"/>
                <w:lang w:eastAsia="lv-LV"/>
              </w:rPr>
              <w:t xml:space="preserve">ijas tīmekļa vietnē </w:t>
            </w:r>
            <w:r w:rsidRPr="003C7ED8">
              <w:rPr>
                <w:rFonts w:eastAsia="Times New Roman"/>
                <w:lang w:eastAsia="lv-LV"/>
              </w:rPr>
              <w:t>http://www.sam.gov.lv/sm/content/?cat=553</w:t>
            </w:r>
          </w:p>
        </w:tc>
      </w:tr>
      <w:tr w:rsidRPr="008C0EDC" w:rsidR="008C0EDC" w:rsidTr="00BA0797" w14:paraId="24FD14D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49C2B0D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4D05FE3E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7A720C" w:rsidRDefault="003C7ED8" w14:paraId="79F772D3" w14:textId="059BB215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</w:t>
            </w:r>
            <w:r w:rsidR="000E42FA">
              <w:rPr>
                <w:rFonts w:eastAsia="Times New Roman"/>
                <w:lang w:eastAsia="lv-LV"/>
              </w:rPr>
              <w:t xml:space="preserve">riekšlikumi vai iebildumi netika </w:t>
            </w:r>
            <w:r>
              <w:rPr>
                <w:rFonts w:eastAsia="Times New Roman"/>
                <w:lang w:eastAsia="lv-LV"/>
              </w:rPr>
              <w:t>saņem</w:t>
            </w:r>
            <w:r w:rsidR="000E42FA">
              <w:rPr>
                <w:rFonts w:eastAsia="Times New Roman"/>
                <w:lang w:eastAsia="lv-LV"/>
              </w:rPr>
              <w:t>ti.</w:t>
            </w:r>
          </w:p>
        </w:tc>
      </w:tr>
      <w:tr w:rsidRPr="008C0EDC" w:rsidR="008C0EDC" w:rsidTr="00BA0797" w14:paraId="5A2B91CE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1C15769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7E743E32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7A720C" w:rsidRDefault="000E42FA" w14:paraId="4C830A36" w14:textId="7777777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Pr="008C0EDC" w:rsidR="008C0EDC" w:rsidP="008C0EDC" w:rsidRDefault="008C0EDC" w14:paraId="54858405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Pr="008C0EDC" w:rsidR="008C0EDC" w:rsidTr="008C0EDC" w14:paraId="611AA06C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21269B25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Pr="008C0EDC" w:rsidR="008C0EDC" w:rsidTr="000B6C51" w14:paraId="362B84B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5894219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0DB9A462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8C0EDC" w:rsidRDefault="003C7ED8" w14:paraId="25E3FB46" w14:textId="40C4D1AF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Valsts aģentūra “</w:t>
            </w:r>
            <w:r w:rsidR="00D935AC">
              <w:rPr>
                <w:rFonts w:eastAsia="Times New Roman"/>
                <w:lang w:eastAsia="lv-LV"/>
              </w:rPr>
              <w:t>Civilās aviācijas aģentūra</w:t>
            </w:r>
            <w:r>
              <w:rPr>
                <w:rFonts w:eastAsia="Times New Roman"/>
                <w:lang w:eastAsia="lv-LV"/>
              </w:rPr>
              <w:t>”</w:t>
            </w:r>
            <w:r w:rsidR="00C814B4">
              <w:rPr>
                <w:rFonts w:eastAsia="Times New Roman"/>
                <w:lang w:eastAsia="lv-LV"/>
              </w:rPr>
              <w:t>.</w:t>
            </w:r>
          </w:p>
        </w:tc>
      </w:tr>
      <w:tr w:rsidRPr="008C0EDC" w:rsidR="008C0EDC" w:rsidTr="000B6C51" w14:paraId="34D1055B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3E8E7974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7AD63A58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8C0EDC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D935AC" w:rsidRDefault="00D935AC" w14:paraId="07892EB2" w14:textId="7777777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D935AC">
              <w:rPr>
                <w:rFonts w:eastAsia="Times New Roman"/>
                <w:lang w:eastAsia="lv-LV"/>
              </w:rPr>
              <w:t>Noteikumu projekta izpilde neietekmēs pārvaldes funkcijas vai institucionālo struktūru, jo tā izpilde tiks nodrošināta jau esošās valsts pārvaldes institucionālās uzbūves ietvaros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8C0EDC" w:rsidR="008C0EDC" w:rsidTr="000B6C51" w14:paraId="48B36B6F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1C751B8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6696DBA1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8C0EDC" w:rsidRDefault="00D935AC" w14:paraId="44749CE2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0B6C51" w:rsidP="000B6C51" w:rsidRDefault="000B6C51" w14:paraId="262D594B" w14:textId="77777777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P="000B6C51" w:rsidRDefault="000B6C51" w14:paraId="34C74F2A" w14:textId="77777777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Pr="00830B12" w:rsidR="000B6C51" w:rsidP="000B6C51" w:rsidRDefault="000B6C51" w14:paraId="5D34CB95" w14:textId="410B7099">
      <w:pPr>
        <w:tabs>
          <w:tab w:val="left" w:pos="6237"/>
        </w:tabs>
        <w:spacing w:after="0"/>
        <w:ind w:firstLine="720"/>
      </w:pPr>
      <w:r w:rsidRPr="00830B12">
        <w:t>Satiksmes ministrs</w:t>
      </w:r>
      <w:r w:rsidR="00B462AD">
        <w:tab/>
      </w:r>
      <w:proofErr w:type="spellStart"/>
      <w:r w:rsidRPr="00830B12" w:rsidR="00882D76">
        <w:t>T.Linkaits</w:t>
      </w:r>
      <w:proofErr w:type="spellEnd"/>
    </w:p>
    <w:p w:rsidRPr="00830B12" w:rsidR="000B6C51" w:rsidP="000B6C51" w:rsidRDefault="000B6C51" w14:paraId="4D72FE5A" w14:textId="77777777">
      <w:pPr>
        <w:tabs>
          <w:tab w:val="left" w:pos="6237"/>
        </w:tabs>
        <w:spacing w:after="0"/>
        <w:ind w:firstLine="720"/>
      </w:pPr>
    </w:p>
    <w:p w:rsidRPr="00830B12" w:rsidR="00FA2B4D" w:rsidP="00FA2B4D" w:rsidRDefault="00FA2B4D" w14:paraId="4F9499C3" w14:textId="77777777">
      <w:pPr>
        <w:spacing w:after="0"/>
        <w:ind w:firstLine="720"/>
      </w:pPr>
      <w:r w:rsidRPr="00830B12">
        <w:t xml:space="preserve">Vīza: </w:t>
      </w:r>
    </w:p>
    <w:p w:rsidRPr="00830B12" w:rsidR="000B6C51" w:rsidP="001E53C9" w:rsidRDefault="00F242A5" w14:paraId="101E4B7D" w14:textId="37C3E541">
      <w:pPr>
        <w:spacing w:after="0"/>
        <w:ind w:firstLine="720"/>
      </w:pPr>
      <w:r>
        <w:t>v</w:t>
      </w:r>
      <w:r w:rsidRPr="00830B12" w:rsidR="00FA2B4D">
        <w:t xml:space="preserve">alsts sekretāra </w:t>
      </w:r>
      <w:proofErr w:type="spellStart"/>
      <w:r w:rsidRPr="00830B12" w:rsidR="001E53C9">
        <w:t>p.i</w:t>
      </w:r>
      <w:proofErr w:type="spellEnd"/>
      <w:r w:rsidRPr="00830B12" w:rsidR="001E53C9">
        <w:t xml:space="preserve">. </w:t>
      </w:r>
      <w:r w:rsidRPr="00830B12" w:rsidR="001E53C9">
        <w:tab/>
      </w:r>
      <w:r w:rsidRPr="00830B12" w:rsidR="00FA2B4D">
        <w:t xml:space="preserve">                                      </w:t>
      </w:r>
      <w:r w:rsidR="00B462AD">
        <w:tab/>
        <w:t xml:space="preserve">        </w:t>
      </w:r>
      <w:proofErr w:type="spellStart"/>
      <w:r w:rsidRPr="00830B12" w:rsidR="00FA2B4D">
        <w:t>Dž.Innusa</w:t>
      </w:r>
      <w:proofErr w:type="spellEnd"/>
    </w:p>
    <w:p w:rsidRPr="00830B12" w:rsidR="000B6C51" w:rsidP="000B6C51" w:rsidRDefault="000B6C51" w14:paraId="7542BAC5" w14:textId="77777777">
      <w:pPr>
        <w:tabs>
          <w:tab w:val="left" w:pos="6237"/>
        </w:tabs>
        <w:spacing w:after="0"/>
        <w:ind w:firstLine="720"/>
      </w:pPr>
    </w:p>
    <w:p w:rsidRPr="003A4796" w:rsidR="000B6C51" w:rsidP="000B6C51" w:rsidRDefault="000B6C51" w14:paraId="1C0418E5" w14:textId="77777777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Pr="003A4796" w:rsidR="000B6C51" w:rsidP="000B6C51" w:rsidRDefault="000B6C51" w14:paraId="643BD072" w14:textId="77777777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5E3BD5" w:rsidP="005E3BD5" w:rsidRDefault="005E3BD5" w14:paraId="57E6329D" w14:textId="77777777">
      <w:pPr>
        <w:spacing w:after="0"/>
        <w:jc w:val="both"/>
        <w:rPr>
          <w:rFonts w:eastAsia="Times New Roman"/>
          <w:b/>
          <w:bCs/>
          <w:lang w:eastAsia="lv-LV"/>
        </w:rPr>
      </w:pPr>
    </w:p>
    <w:p w:rsidRPr="001C044F" w:rsidR="008C0EDC" w:rsidP="000B6C51" w:rsidRDefault="000B6C51" w14:paraId="35308DB9" w14:textId="77777777">
      <w:pPr>
        <w:tabs>
          <w:tab w:val="left" w:pos="1500"/>
        </w:tabs>
        <w:spacing w:after="0"/>
      </w:pPr>
      <w:r>
        <w:tab/>
      </w:r>
    </w:p>
    <w:sectPr w:rsidRPr="001C044F" w:rsidR="008C0EDC" w:rsidSect="0055695F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2368A" w14:textId="77777777" w:rsidR="004559B8" w:rsidRDefault="004559B8" w:rsidP="0055695F">
      <w:pPr>
        <w:spacing w:after="0"/>
      </w:pPr>
      <w:r>
        <w:separator/>
      </w:r>
    </w:p>
  </w:endnote>
  <w:endnote w:type="continuationSeparator" w:id="0">
    <w:p w14:paraId="16D27C42" w14:textId="77777777" w:rsidR="004559B8" w:rsidRDefault="004559B8" w:rsidP="0055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4052" w14:textId="54D89DF7" w:rsidR="0055695F" w:rsidRDefault="0055695F">
    <w:pPr>
      <w:pStyle w:val="Footer"/>
    </w:pPr>
    <w:r>
      <w:t>SM</w:t>
    </w:r>
    <w:r w:rsidR="00F57965">
      <w:t>a</w:t>
    </w:r>
    <w:r>
      <w:t>not_</w:t>
    </w:r>
    <w:r w:rsidR="00A2109E">
      <w:t>1</w:t>
    </w:r>
    <w:r w:rsidR="005139CE">
      <w:t>008</w:t>
    </w:r>
    <w:r>
      <w:t>1</w:t>
    </w:r>
    <w:r w:rsidR="00F57965">
      <w:t>9_</w:t>
    </w:r>
    <w:r w:rsidR="009C388D">
      <w:t>SPO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1E19" w14:textId="6F4A760B" w:rsidR="0055695F" w:rsidRDefault="0055695F" w:rsidP="0055695F">
    <w:pPr>
      <w:pStyle w:val="Footer"/>
    </w:pPr>
    <w:r>
      <w:t>SM</w:t>
    </w:r>
    <w:r w:rsidR="00F57965">
      <w:t>a</w:t>
    </w:r>
    <w:r>
      <w:t>not_</w:t>
    </w:r>
    <w:r w:rsidR="00A2109E">
      <w:t>1</w:t>
    </w:r>
    <w:r w:rsidR="005139CE">
      <w:t>008</w:t>
    </w:r>
    <w:r>
      <w:t>1</w:t>
    </w:r>
    <w:r w:rsidR="00F57965">
      <w:t>9_</w:t>
    </w:r>
    <w:r w:rsidR="009C388D">
      <w:t>SPO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0A90" w14:textId="77777777" w:rsidR="004559B8" w:rsidRDefault="004559B8" w:rsidP="0055695F">
      <w:pPr>
        <w:spacing w:after="0"/>
      </w:pPr>
      <w:r>
        <w:separator/>
      </w:r>
    </w:p>
  </w:footnote>
  <w:footnote w:type="continuationSeparator" w:id="0">
    <w:p w14:paraId="503ED711" w14:textId="77777777" w:rsidR="004559B8" w:rsidRDefault="004559B8" w:rsidP="0055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5AC" w:rsidRDefault="00D935AC" w14:paraId="2060941B" w14:textId="25AF32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B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35AC" w:rsidRDefault="00D935AC" w14:paraId="341E924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30"/>
    <w:rsid w:val="00026275"/>
    <w:rsid w:val="000270AD"/>
    <w:rsid w:val="000300A3"/>
    <w:rsid w:val="000424C2"/>
    <w:rsid w:val="00046000"/>
    <w:rsid w:val="0004615A"/>
    <w:rsid w:val="00097FF3"/>
    <w:rsid w:val="000B6C51"/>
    <w:rsid w:val="000C52BA"/>
    <w:rsid w:val="000E17C5"/>
    <w:rsid w:val="000E42FA"/>
    <w:rsid w:val="000E60B4"/>
    <w:rsid w:val="00123A99"/>
    <w:rsid w:val="00147E2E"/>
    <w:rsid w:val="001C044F"/>
    <w:rsid w:val="001E53C9"/>
    <w:rsid w:val="00207CCD"/>
    <w:rsid w:val="00230CEE"/>
    <w:rsid w:val="0028699C"/>
    <w:rsid w:val="00291109"/>
    <w:rsid w:val="00292A01"/>
    <w:rsid w:val="002A2173"/>
    <w:rsid w:val="002A67F6"/>
    <w:rsid w:val="003439A7"/>
    <w:rsid w:val="00356751"/>
    <w:rsid w:val="00395F1F"/>
    <w:rsid w:val="003A3B5F"/>
    <w:rsid w:val="003C7ED8"/>
    <w:rsid w:val="003D0104"/>
    <w:rsid w:val="003D26D2"/>
    <w:rsid w:val="003E0DDE"/>
    <w:rsid w:val="003E12C3"/>
    <w:rsid w:val="003E6417"/>
    <w:rsid w:val="004559B8"/>
    <w:rsid w:val="00485DD1"/>
    <w:rsid w:val="004F06E2"/>
    <w:rsid w:val="005139CE"/>
    <w:rsid w:val="00517085"/>
    <w:rsid w:val="0055695F"/>
    <w:rsid w:val="00565C1D"/>
    <w:rsid w:val="005A169D"/>
    <w:rsid w:val="005C5266"/>
    <w:rsid w:val="005D1B7A"/>
    <w:rsid w:val="005D7C31"/>
    <w:rsid w:val="005E3BD5"/>
    <w:rsid w:val="005E5BFE"/>
    <w:rsid w:val="00604FD3"/>
    <w:rsid w:val="0064375B"/>
    <w:rsid w:val="00643F23"/>
    <w:rsid w:val="00666552"/>
    <w:rsid w:val="006C3C2E"/>
    <w:rsid w:val="006D5E10"/>
    <w:rsid w:val="0073502A"/>
    <w:rsid w:val="00742C4D"/>
    <w:rsid w:val="00766A49"/>
    <w:rsid w:val="007A5ED4"/>
    <w:rsid w:val="007A720C"/>
    <w:rsid w:val="007B475E"/>
    <w:rsid w:val="007D09D4"/>
    <w:rsid w:val="007F3DAB"/>
    <w:rsid w:val="00805357"/>
    <w:rsid w:val="00830B12"/>
    <w:rsid w:val="008374B6"/>
    <w:rsid w:val="00874136"/>
    <w:rsid w:val="00882D76"/>
    <w:rsid w:val="008C0EDC"/>
    <w:rsid w:val="009C388D"/>
    <w:rsid w:val="009F41E2"/>
    <w:rsid w:val="009F4DF2"/>
    <w:rsid w:val="00A046F2"/>
    <w:rsid w:val="00A103D2"/>
    <w:rsid w:val="00A2109E"/>
    <w:rsid w:val="00A22836"/>
    <w:rsid w:val="00A33D25"/>
    <w:rsid w:val="00A34C95"/>
    <w:rsid w:val="00AF5474"/>
    <w:rsid w:val="00B008D8"/>
    <w:rsid w:val="00B23067"/>
    <w:rsid w:val="00B462AD"/>
    <w:rsid w:val="00B85FC2"/>
    <w:rsid w:val="00B9211A"/>
    <w:rsid w:val="00B94E5A"/>
    <w:rsid w:val="00BA0797"/>
    <w:rsid w:val="00BE4C08"/>
    <w:rsid w:val="00C2265B"/>
    <w:rsid w:val="00C41E24"/>
    <w:rsid w:val="00C4757E"/>
    <w:rsid w:val="00C66F4A"/>
    <w:rsid w:val="00C75107"/>
    <w:rsid w:val="00C764BA"/>
    <w:rsid w:val="00C814B4"/>
    <w:rsid w:val="00C97251"/>
    <w:rsid w:val="00CA39BD"/>
    <w:rsid w:val="00CD79D2"/>
    <w:rsid w:val="00D12846"/>
    <w:rsid w:val="00D34773"/>
    <w:rsid w:val="00D47830"/>
    <w:rsid w:val="00D935AC"/>
    <w:rsid w:val="00DD5E08"/>
    <w:rsid w:val="00E47C0C"/>
    <w:rsid w:val="00E65936"/>
    <w:rsid w:val="00E73854"/>
    <w:rsid w:val="00EB5648"/>
    <w:rsid w:val="00EC6F04"/>
    <w:rsid w:val="00EE16A0"/>
    <w:rsid w:val="00F242A5"/>
    <w:rsid w:val="00F46CA1"/>
    <w:rsid w:val="00F57965"/>
    <w:rsid w:val="00F73462"/>
    <w:rsid w:val="00F91824"/>
    <w:rsid w:val="00FA1AC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574E6"/>
  <w15:docId w15:val="{F4F88123-E7AD-4097-8ABC-24F8F2F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6165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 Speciālo aviācijas darbu veikšanas kārtība” sākotnējās ietekmes novērtējuma ziņojums (anotācija)</vt:lpstr>
    </vt:vector>
  </TitlesOfParts>
  <Company>Civilās aviācijas aģentūra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 Speciālo aviācijas darbu veikšanas kārtība” sākotnējās ietekmes novērtējuma ziņojums (anotācija)</dc:title>
  <dc:subject>Anotācija</dc:subject>
  <dc:creator>Inese Lieģe</dc:creator>
  <dc:description>inese.liege@caa.gov.lv, 67830943</dc:description>
  <cp:lastModifiedBy>ineta.vula@sam.gov.lv</cp:lastModifiedBy>
  <cp:revision>6</cp:revision>
  <cp:lastPrinted>2019-05-30T08:13:00Z</cp:lastPrinted>
  <dcterms:created xsi:type="dcterms:W3CDTF">2019-09-23T08:02:00Z</dcterms:created>
  <dcterms:modified xsi:type="dcterms:W3CDTF">2019-09-25T13:22:00Z</dcterms:modified>
</cp:coreProperties>
</file>