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8F" w:rsidP="00907E60" w:rsidRDefault="006D238F" w14:paraId="62D7FCE5" w14:textId="0F4B7E25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lv-LV"/>
        </w:rPr>
      </w:pPr>
      <w:r w:rsidRPr="005E5B01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Ministru kabineta noteikumu „</w:t>
      </w:r>
      <w:r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Grozījumi Ministru kabineta 2004</w:t>
      </w:r>
      <w:r w:rsidRPr="005E5B01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.gada 2</w:t>
      </w:r>
      <w:r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1</w:t>
      </w:r>
      <w:r w:rsidRPr="005E5B01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.jūnija noteikumos Nr.</w:t>
      </w:r>
      <w:r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551</w:t>
      </w:r>
      <w:r w:rsidRPr="005E5B01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 xml:space="preserve"> „</w:t>
      </w:r>
      <w:r w:rsidRPr="00421209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Pārkāpumu uzskaites punktu sistēmas piemērošanas noteikumi</w:t>
      </w:r>
      <w:r w:rsidRPr="005E5B01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”” projekta sākotnējās ietekmes novērtējuma ziņojums (anotācija)</w:t>
      </w:r>
    </w:p>
    <w:p w:rsidR="00E44621" w:rsidP="00907E60" w:rsidRDefault="00E44621" w14:paraId="5E330BCF" w14:textId="6758F125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lv-LV"/>
        </w:rPr>
      </w:pPr>
    </w:p>
    <w:p w:rsidR="00E44621" w:rsidP="00907E60" w:rsidRDefault="00E44621" w14:paraId="5A27F653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2"/>
        <w:gridCol w:w="5433"/>
      </w:tblGrid>
      <w:tr w:rsidRPr="00E44621" w:rsidR="00E44621" w:rsidTr="00E44621" w14:paraId="722B9547" w14:textId="77777777">
        <w:tc>
          <w:tcPr>
            <w:tcW w:w="0" w:type="auto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Pr="00E44621" w:rsidR="00E44621" w:rsidP="00E44621" w:rsidRDefault="00E44621" w14:paraId="347B1D9B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4462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E44621" w:rsidR="00E44621" w:rsidTr="00E44621" w14:paraId="17D4F7ED" w14:textId="77777777">
        <w:tc>
          <w:tcPr>
            <w:tcW w:w="2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E44621" w:rsidR="00E44621" w:rsidP="00E44621" w:rsidRDefault="00E44621" w14:paraId="0D0ABA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446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E44621" w:rsidR="00E44621" w:rsidP="00E44621" w:rsidRDefault="00E44621" w14:paraId="6F908F43" w14:textId="65BEBEC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446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Ministru kabineta 2009. gada 15. decembra instrukcijas Nr. 19 “Tiesību akta projekta sākotnējās ietekmes izvērtēšanas kārtība” 5.</w:t>
            </w:r>
            <w:r w:rsidRPr="00E446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E446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punktu anotācijas kopsavilkumu neaizpilda.</w:t>
            </w:r>
          </w:p>
        </w:tc>
      </w:tr>
    </w:tbl>
    <w:p w:rsidR="006D238F" w:rsidP="00907E60" w:rsidRDefault="006D238F" w14:paraId="1210AA1E" w14:textId="5C0A7EAA">
      <w:pPr>
        <w:spacing w:after="0" w:line="240" w:lineRule="auto"/>
        <w:rPr>
          <w:rFonts w:ascii="Times New Roman" w:hAnsi="Times New Roman" w:eastAsia="Times New Roman"/>
          <w:iCs/>
          <w:sz w:val="16"/>
          <w:szCs w:val="16"/>
          <w:lang w:eastAsia="lv-LV"/>
        </w:rPr>
      </w:pPr>
    </w:p>
    <w:p w:rsidRPr="005E5B01" w:rsidR="00E44621" w:rsidP="00907E60" w:rsidRDefault="00E44621" w14:paraId="19AA1EFF" w14:textId="77777777">
      <w:pPr>
        <w:spacing w:after="0" w:line="240" w:lineRule="auto"/>
        <w:rPr>
          <w:rFonts w:ascii="Times New Roman" w:hAnsi="Times New Roman" w:eastAsia="Times New Roman"/>
          <w:iCs/>
          <w:sz w:val="16"/>
          <w:szCs w:val="16"/>
          <w:lang w:eastAsia="lv-LV"/>
        </w:rPr>
      </w:pPr>
    </w:p>
    <w:tbl>
      <w:tblPr>
        <w:tblW w:w="500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28"/>
        <w:gridCol w:w="5461"/>
      </w:tblGrid>
      <w:tr w:rsidRPr="00CC5DFA" w:rsidR="006D238F" w:rsidTr="00907E60" w14:paraId="50525910" w14:textId="77777777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B58C4" w:rsidR="006D238F" w:rsidP="00907E60" w:rsidRDefault="006D238F" w14:paraId="245AF41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CC5DFA" w:rsidR="006D238F" w:rsidTr="00907E60" w14:paraId="28ADBD42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022FA4B1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78CDC0A9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0865139A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CC5DFA">
              <w:rPr>
                <w:rFonts w:ascii="Times New Roman" w:hAnsi="Times New Roman"/>
                <w:sz w:val="24"/>
                <w:szCs w:val="24"/>
              </w:rPr>
              <w:t xml:space="preserve">Ceļu satiksmes likuma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5DFA">
              <w:rPr>
                <w:rFonts w:ascii="Times New Roman" w:hAnsi="Times New Roman"/>
                <w:sz w:val="24"/>
                <w:szCs w:val="24"/>
              </w:rPr>
              <w:t>3</w:t>
            </w:r>
            <w:r w:rsidRPr="00A5054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.</w:t>
            </w:r>
            <w:r w:rsidRPr="00421209"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</w:t>
            </w:r>
            <w:r w:rsidRPr="00A5054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panta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septītā </w:t>
            </w:r>
            <w:r w:rsidRPr="00A5054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daļa.</w:t>
            </w:r>
          </w:p>
        </w:tc>
      </w:tr>
      <w:tr w:rsidRPr="00CC5DFA" w:rsidR="006D238F" w:rsidTr="00907E60" w14:paraId="76067657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2C425D4D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6D238F" w:rsidP="00907E60" w:rsidRDefault="006D238F" w14:paraId="09022207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907E60" w:rsidR="00907E60" w:rsidP="00907E60" w:rsidRDefault="00907E60" w14:paraId="31E00BDC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7B33BBED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0ABD7E78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22A96F61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59228F0A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1DD65252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4220C58B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7E473059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0C16B1C8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5DAF0B6A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1F55BF78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379F2FE4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70FD1ABD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38F7A77E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0FE156BB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52C90220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04635654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71F379AD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248FE5A6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="00907E60" w:rsidP="00907E60" w:rsidRDefault="00907E60" w14:paraId="3F69D843" w14:textId="77777777">
            <w:pPr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</w:p>
          <w:p w:rsidRPr="00907E60" w:rsidR="00907E60" w:rsidP="00907E60" w:rsidRDefault="00907E60" w14:paraId="5A9A5CB4" w14:textId="77777777">
            <w:pPr>
              <w:tabs>
                <w:tab w:val="left" w:pos="2235"/>
              </w:tabs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ab/>
            </w:r>
          </w:p>
          <w:p w:rsidRPr="00907E60" w:rsidR="00907E60" w:rsidP="00907E60" w:rsidRDefault="00907E60" w14:paraId="6EE3417A" w14:textId="77777777">
            <w:pPr>
              <w:tabs>
                <w:tab w:val="left" w:pos="2235"/>
              </w:tabs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7C51A8" w:rsidP="00907E60" w:rsidRDefault="006D238F" w14:paraId="1F53C83A" w14:textId="53539EEA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Ņemot vērā izmaiņas </w:t>
            </w:r>
            <w:r w:rsidRPr="007F792D">
              <w:rPr>
                <w:rFonts w:ascii="Times New Roman" w:hAnsi="Times New Roman"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/>
                <w:sz w:val="24"/>
                <w:szCs w:val="24"/>
              </w:rPr>
              <w:t>Administra</w:t>
            </w:r>
            <w:r w:rsidR="007D486D">
              <w:rPr>
                <w:rFonts w:ascii="Times New Roman" w:hAnsi="Times New Roman"/>
                <w:sz w:val="24"/>
                <w:szCs w:val="24"/>
              </w:rPr>
              <w:t>tīvo pārkāpumu kodeksā</w:t>
            </w:r>
            <w:r w:rsidR="008F34E4">
              <w:rPr>
                <w:rFonts w:ascii="Times New Roman" w:hAnsi="Times New Roman"/>
                <w:sz w:val="24"/>
                <w:szCs w:val="24"/>
              </w:rPr>
              <w:t xml:space="preserve"> (turpmāk – LAPK)</w:t>
            </w:r>
            <w:r w:rsidR="007D4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nepieciešams </w:t>
            </w:r>
            <w:r w:rsidR="00865B32">
              <w:rPr>
                <w:rFonts w:ascii="Times New Roman" w:hAnsi="Times New Roman"/>
                <w:sz w:val="24"/>
                <w:szCs w:val="24"/>
              </w:rPr>
              <w:t xml:space="preserve">veikt grozījumus Ministru kabineta </w:t>
            </w:r>
            <w:r w:rsidRPr="006D7875" w:rsidR="001D1899">
              <w:rPr>
                <w:rFonts w:ascii="Times New Roman" w:hAnsi="Times New Roman"/>
                <w:sz w:val="24"/>
                <w:szCs w:val="24"/>
              </w:rPr>
              <w:t xml:space="preserve">2004.gada 21.jūnija </w:t>
            </w:r>
            <w:r w:rsidR="00865B32">
              <w:rPr>
                <w:rFonts w:ascii="Times New Roman" w:hAnsi="Times New Roman"/>
                <w:sz w:val="24"/>
                <w:szCs w:val="24"/>
              </w:rPr>
              <w:t>noteikumos Nr. 551 “Pārkāpumu uzskaites punktu sistēmas piemērošanas noteikum</w:t>
            </w:r>
            <w:r w:rsidR="00C046E4">
              <w:rPr>
                <w:rFonts w:ascii="Times New Roman" w:hAnsi="Times New Roman"/>
                <w:sz w:val="24"/>
                <w:szCs w:val="24"/>
              </w:rPr>
              <w:t>i</w:t>
            </w:r>
            <w:r w:rsidR="00865B32">
              <w:rPr>
                <w:rFonts w:ascii="Times New Roman" w:hAnsi="Times New Roman"/>
                <w:sz w:val="24"/>
                <w:szCs w:val="24"/>
              </w:rPr>
              <w:t>”</w:t>
            </w:r>
            <w:r w:rsidR="00471384">
              <w:rPr>
                <w:rFonts w:ascii="Times New Roman" w:hAnsi="Times New Roman"/>
                <w:sz w:val="24"/>
                <w:szCs w:val="24"/>
              </w:rPr>
              <w:t xml:space="preserve"> (turpmāk</w:t>
            </w:r>
            <w:r w:rsidR="008F34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71384">
              <w:rPr>
                <w:rFonts w:ascii="Times New Roman" w:hAnsi="Times New Roman"/>
                <w:sz w:val="24"/>
                <w:szCs w:val="24"/>
              </w:rPr>
              <w:t>Noteikumi</w:t>
            </w:r>
            <w:r w:rsidR="008F34E4">
              <w:rPr>
                <w:rFonts w:ascii="Times New Roman" w:hAnsi="Times New Roman"/>
                <w:sz w:val="24"/>
                <w:szCs w:val="24"/>
              </w:rPr>
              <w:t xml:space="preserve"> Nr.551</w:t>
            </w:r>
            <w:r w:rsidR="00471384">
              <w:rPr>
                <w:rFonts w:ascii="Times New Roman" w:hAnsi="Times New Roman"/>
                <w:sz w:val="24"/>
                <w:szCs w:val="24"/>
              </w:rPr>
              <w:t>)</w:t>
            </w:r>
            <w:r w:rsidR="007D486D">
              <w:rPr>
                <w:rFonts w:ascii="Times New Roman" w:hAnsi="Times New Roman"/>
                <w:sz w:val="24"/>
                <w:szCs w:val="24"/>
              </w:rPr>
              <w:t>,</w:t>
            </w:r>
            <w:r w:rsidR="008F3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precizē</w:t>
            </w:r>
            <w:r w:rsidR="00865B32">
              <w:rPr>
                <w:rFonts w:ascii="Times New Roman" w:hAnsi="Times New Roman"/>
                <w:sz w:val="24"/>
                <w:szCs w:val="24"/>
              </w:rPr>
              <w:t>jot</w:t>
            </w:r>
            <w:r w:rsidR="00471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5F1">
              <w:rPr>
                <w:rFonts w:ascii="Times New Roman" w:hAnsi="Times New Roman"/>
                <w:sz w:val="24"/>
                <w:szCs w:val="24"/>
              </w:rPr>
              <w:t>administratīv</w:t>
            </w:r>
            <w:r w:rsidR="00C046E4">
              <w:rPr>
                <w:rFonts w:ascii="Times New Roman" w:hAnsi="Times New Roman"/>
                <w:sz w:val="24"/>
                <w:szCs w:val="24"/>
              </w:rPr>
              <w:t>os</w:t>
            </w:r>
            <w:r w:rsidR="0086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792" w:rsidR="00865B32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pārkāpum</w:t>
            </w:r>
            <w:r w:rsidR="00C046E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us</w:t>
            </w:r>
            <w:r w:rsidR="00865B32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, par kuriem tiek reģistrēti pārkāpumu uzskaites punkti, kā arī pārskatīt reģistrējamo uzskaites punktu skait</w:t>
            </w:r>
            <w:r w:rsidR="0047138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u</w:t>
            </w:r>
            <w:r w:rsidRPr="00271792" w:rsidR="00865B32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</w:t>
            </w:r>
            <w:r w:rsidR="00C046E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Attiecīgi </w:t>
            </w:r>
            <w:r w:rsidR="008F34E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</w:t>
            </w:r>
            <w:r w:rsidR="00C046E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oteikumu</w:t>
            </w:r>
            <w:r w:rsidR="008F34E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projektā ietvertajā</w:t>
            </w:r>
            <w:r w:rsidR="00C046E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1.pielikum</w:t>
            </w:r>
            <w:r w:rsidR="00AB6C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ā ir norādīti tikai pārkāpumi</w:t>
            </w:r>
            <w:r w:rsidR="008F34E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(minot LAPK pantu),</w:t>
            </w:r>
            <w:r w:rsidR="00AB6C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par kuriem tiek reģistrēti uzskaites punkti, kā arī izslēgts pārkāpumu apraksts, piesaistot tos </w:t>
            </w:r>
            <w:r w:rsidR="008F34E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LAPK</w:t>
            </w:r>
            <w:r w:rsidR="00AB6C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F3761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noteiktajam traktējumam. Līdz ar to, </w:t>
            </w:r>
            <w:r w:rsidR="007C51A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veicot redakcionālas izmaiņas </w:t>
            </w:r>
            <w:r w:rsidR="008F34E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LAPK</w:t>
            </w:r>
            <w:r w:rsidR="007C51A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, nebūs nepieciešams atkārtoti veikt grozījumus Noteikumu</w:t>
            </w:r>
            <w:r w:rsidR="008F34E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Nr.551</w:t>
            </w:r>
            <w:r w:rsidR="007C51A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1.pielikumā. </w:t>
            </w:r>
          </w:p>
          <w:p w:rsidRPr="00C26584" w:rsidR="0038483D" w:rsidP="00907E60" w:rsidRDefault="006D238F" w14:paraId="6C3529EA" w14:textId="0D5A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Vienlaikus </w:t>
            </w:r>
            <w:r w:rsidR="00AF62D8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veikti </w:t>
            </w:r>
            <w:r w:rsidR="00865B32">
              <w:rPr>
                <w:rFonts w:ascii="Times New Roman" w:hAnsi="Times New Roman"/>
                <w:sz w:val="24"/>
                <w:szCs w:val="24"/>
              </w:rPr>
              <w:t>grozījumi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pārkāpumu</w:t>
            </w:r>
            <w:r w:rsidR="008B4BAB">
              <w:rPr>
                <w:rFonts w:ascii="Times New Roman" w:hAnsi="Times New Roman"/>
                <w:sz w:val="24"/>
                <w:szCs w:val="24"/>
              </w:rPr>
              <w:t xml:space="preserve"> uzskaites punktu reģistrēšanas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dzēšanas kārtībā, precizējot esošo sistēmu</w:t>
            </w:r>
            <w:r w:rsidRPr="00C26584">
              <w:rPr>
                <w:rFonts w:ascii="Times New Roman" w:hAnsi="Times New Roman"/>
                <w:sz w:val="24"/>
                <w:szCs w:val="24"/>
              </w:rPr>
              <w:t>.</w:t>
            </w:r>
            <w:r w:rsidRPr="00C26584" w:rsidR="00AF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4E4">
              <w:rPr>
                <w:rFonts w:ascii="Times New Roman" w:hAnsi="Times New Roman"/>
                <w:sz w:val="24"/>
                <w:szCs w:val="24"/>
              </w:rPr>
              <w:t>Atbilstoši noteikumu projektam</w:t>
            </w:r>
            <w:r w:rsidRPr="00C26584" w:rsidR="004A160A">
              <w:rPr>
                <w:rFonts w:ascii="Times New Roman" w:hAnsi="Times New Roman"/>
                <w:sz w:val="24"/>
                <w:szCs w:val="24"/>
              </w:rPr>
              <w:t xml:space="preserve"> pārkāpumu uzskaites punkti tiks reģistrēti</w:t>
            </w:r>
            <w:r w:rsidRPr="00C26584" w:rsidR="00284E22">
              <w:t xml:space="preserve"> </w:t>
            </w:r>
            <w:r w:rsidRPr="00246E30" w:rsidR="008F34E4">
              <w:rPr>
                <w:rFonts w:ascii="Times New Roman" w:hAnsi="Times New Roman" w:cs="Times New Roman"/>
                <w:sz w:val="24"/>
                <w:szCs w:val="24"/>
              </w:rPr>
              <w:t xml:space="preserve">pēc </w:t>
            </w:r>
            <w:r w:rsidRPr="00C26584" w:rsidR="00284E22">
              <w:rPr>
                <w:rFonts w:ascii="Times New Roman" w:hAnsi="Times New Roman"/>
                <w:sz w:val="24"/>
                <w:szCs w:val="24"/>
              </w:rPr>
              <w:t>lēmuma par administratīvā soda piemērošanu spēkā stāšanās,</w:t>
            </w:r>
            <w:r w:rsidR="008F34E4">
              <w:rPr>
                <w:rFonts w:ascii="Times New Roman" w:hAnsi="Times New Roman"/>
                <w:sz w:val="24"/>
                <w:szCs w:val="24"/>
              </w:rPr>
              <w:t xml:space="preserve"> t.i.,</w:t>
            </w:r>
            <w:r w:rsidRPr="00C26584" w:rsidR="00284E22">
              <w:rPr>
                <w:rFonts w:ascii="Times New Roman" w:hAnsi="Times New Roman"/>
                <w:sz w:val="24"/>
                <w:szCs w:val="24"/>
              </w:rPr>
              <w:t xml:space="preserve"> dienā, kad lēmums kļuvis neapstrīdams. </w:t>
            </w:r>
            <w:r w:rsidRPr="00C26584" w:rsidR="004A1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4E4">
              <w:rPr>
                <w:rFonts w:ascii="Times New Roman" w:hAnsi="Times New Roman"/>
                <w:sz w:val="24"/>
                <w:szCs w:val="24"/>
              </w:rPr>
              <w:t>Vienlaikus</w:t>
            </w:r>
            <w:r w:rsidRPr="00C26584" w:rsidR="00550827">
              <w:rPr>
                <w:rFonts w:ascii="Times New Roman" w:hAnsi="Times New Roman"/>
                <w:sz w:val="24"/>
                <w:szCs w:val="24"/>
              </w:rPr>
              <w:t xml:space="preserve"> arī</w:t>
            </w:r>
            <w:r w:rsidR="008F34E4">
              <w:rPr>
                <w:rFonts w:ascii="Times New Roman" w:hAnsi="Times New Roman"/>
                <w:sz w:val="24"/>
                <w:szCs w:val="24"/>
              </w:rPr>
              <w:t xml:space="preserve"> gadījumā</w:t>
            </w:r>
            <w:r w:rsidRPr="00C26584" w:rsidR="00550827">
              <w:rPr>
                <w:rFonts w:ascii="Times New Roman" w:hAnsi="Times New Roman"/>
                <w:sz w:val="24"/>
                <w:szCs w:val="24"/>
              </w:rPr>
              <w:t>,</w:t>
            </w:r>
            <w:r w:rsidRPr="00C26584" w:rsidR="00550827">
              <w:rPr>
                <w:lang w:eastAsia="lv-LV"/>
              </w:rPr>
              <w:t xml:space="preserve"> </w:t>
            </w:r>
            <w:r w:rsidRPr="00C26584" w:rsidR="0055082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ja lēmuma izpilde saistībā ar administratīvā soda piemērošanu normatīvajos aktos noteiktajā </w:t>
            </w:r>
            <w:r w:rsidRPr="00C26584" w:rsidR="00325E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kārtībā tiks</w:t>
            </w:r>
            <w:r w:rsidRPr="00C26584" w:rsidR="0055082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apturēta, pa</w:t>
            </w:r>
            <w:r w:rsidRPr="00C26584" w:rsidR="00325E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 attiecīgo pārkāpumu piešķirtie uzskaites punkti tiks</w:t>
            </w:r>
            <w:r w:rsidRPr="00C26584" w:rsidR="0055082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dzē</w:t>
            </w:r>
            <w:r w:rsidRPr="00C26584" w:rsidR="00325E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sti</w:t>
            </w:r>
            <w:r w:rsidRPr="00C26584" w:rsidR="0055082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C26584" w:rsidR="0038483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 sūdzību par administratīvā soda piemērošanu noraid</w:t>
            </w:r>
            <w:r w:rsidR="008F34E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īs</w:t>
            </w:r>
            <w:r w:rsidRPr="00C26584" w:rsidR="0038483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uzskaites punktus reģistrē</w:t>
            </w:r>
            <w:r w:rsidR="008F34E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C26584" w:rsidR="0038483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no jauna </w:t>
            </w:r>
            <w:r w:rsidR="008F34E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C26584" w:rsidR="0038483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oteikumu</w:t>
            </w:r>
            <w:r w:rsidR="008F34E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Nr.551</w:t>
            </w:r>
            <w:r w:rsidRPr="00C26584" w:rsidR="0038483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4.punktā minētajā kārtībā.</w:t>
            </w:r>
          </w:p>
          <w:p w:rsidR="00550827" w:rsidP="00907E60" w:rsidRDefault="005F7F88" w14:paraId="4E95F5D6" w14:textId="6D66E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584">
              <w:rPr>
                <w:rFonts w:ascii="Times New Roman" w:hAnsi="Times New Roman"/>
                <w:sz w:val="24"/>
                <w:szCs w:val="24"/>
              </w:rPr>
              <w:t xml:space="preserve">Noteikumu projektā </w:t>
            </w:r>
            <w:r w:rsidRPr="00C26584" w:rsidR="00AF62D8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C26584" w:rsidR="00E43853">
              <w:rPr>
                <w:rFonts w:ascii="Times New Roman" w:hAnsi="Times New Roman"/>
                <w:sz w:val="24"/>
                <w:szCs w:val="24"/>
              </w:rPr>
              <w:t xml:space="preserve">precizēta </w:t>
            </w:r>
            <w:r w:rsidRPr="00C26584" w:rsidR="00865B32">
              <w:rPr>
                <w:rFonts w:ascii="Times New Roman" w:hAnsi="Times New Roman"/>
                <w:sz w:val="24"/>
                <w:szCs w:val="24"/>
              </w:rPr>
              <w:t>transportlīdzekļa vadītājam</w:t>
            </w:r>
            <w:r w:rsidRPr="00C26584" w:rsidR="00550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584" w:rsidR="00284E22">
              <w:rPr>
                <w:rFonts w:ascii="Times New Roman" w:hAnsi="Times New Roman"/>
                <w:sz w:val="24"/>
                <w:szCs w:val="24"/>
              </w:rPr>
              <w:t xml:space="preserve">nosūtāmo </w:t>
            </w:r>
            <w:r w:rsidRPr="00C26584" w:rsidR="00865B32">
              <w:rPr>
                <w:rFonts w:ascii="Times New Roman" w:hAnsi="Times New Roman"/>
                <w:sz w:val="24"/>
                <w:szCs w:val="24"/>
              </w:rPr>
              <w:t>paziņojumu nosūtīšanas kārtība</w:t>
            </w:r>
            <w:r w:rsidRPr="00C26584" w:rsidR="00E438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1D35">
              <w:rPr>
                <w:rFonts w:ascii="Times New Roman" w:hAnsi="Times New Roman"/>
                <w:sz w:val="24"/>
                <w:szCs w:val="24"/>
              </w:rPr>
              <w:t>precizējot</w:t>
            </w:r>
            <w:r w:rsidRPr="00C26584" w:rsidR="00E4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D35">
              <w:rPr>
                <w:rFonts w:ascii="Times New Roman" w:hAnsi="Times New Roman"/>
                <w:sz w:val="24"/>
                <w:szCs w:val="24"/>
              </w:rPr>
              <w:t>N</w:t>
            </w:r>
            <w:r w:rsidRPr="00C26584" w:rsidR="00E43853">
              <w:rPr>
                <w:rFonts w:ascii="Times New Roman" w:hAnsi="Times New Roman"/>
                <w:sz w:val="24"/>
                <w:szCs w:val="24"/>
              </w:rPr>
              <w:t>oteikumu</w:t>
            </w:r>
            <w:r w:rsidR="00081D35">
              <w:rPr>
                <w:rFonts w:ascii="Times New Roman" w:hAnsi="Times New Roman"/>
                <w:sz w:val="24"/>
                <w:szCs w:val="24"/>
              </w:rPr>
              <w:t xml:space="preserve"> Nr.551</w:t>
            </w:r>
            <w:r w:rsidRPr="00C26584" w:rsidR="006D0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584" w:rsidR="00EE6566">
              <w:rPr>
                <w:rFonts w:ascii="Times New Roman" w:hAnsi="Times New Roman"/>
                <w:sz w:val="24"/>
                <w:szCs w:val="24"/>
              </w:rPr>
              <w:t>4.nodaļ</w:t>
            </w:r>
            <w:r w:rsidR="00081D35">
              <w:rPr>
                <w:rFonts w:ascii="Times New Roman" w:hAnsi="Times New Roman"/>
                <w:sz w:val="24"/>
                <w:szCs w:val="24"/>
              </w:rPr>
              <w:t>u</w:t>
            </w:r>
            <w:r w:rsidRPr="00C26584" w:rsidR="00EE6566">
              <w:rPr>
                <w:rFonts w:ascii="Times New Roman" w:hAnsi="Times New Roman"/>
                <w:sz w:val="24"/>
                <w:szCs w:val="24"/>
              </w:rPr>
              <w:t xml:space="preserve"> “Informācijas apmaiņas kārtība”</w:t>
            </w:r>
            <w:r w:rsidRPr="00C26584" w:rsidR="007C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6584" w:rsidR="00EE6566">
              <w:rPr>
                <w:rFonts w:ascii="Times New Roman" w:hAnsi="Times New Roman"/>
                <w:sz w:val="24"/>
                <w:szCs w:val="24"/>
              </w:rPr>
              <w:t>uzlabojot</w:t>
            </w:r>
            <w:r w:rsidRPr="00C26584" w:rsidR="007C51A8">
              <w:rPr>
                <w:rFonts w:ascii="Times New Roman" w:hAnsi="Times New Roman"/>
                <w:sz w:val="24"/>
                <w:szCs w:val="24"/>
              </w:rPr>
              <w:t xml:space="preserve"> pašreizējo situāciju, </w:t>
            </w:r>
            <w:r w:rsidRPr="00C26584" w:rsidR="00EE6566">
              <w:rPr>
                <w:rFonts w:ascii="Times New Roman" w:hAnsi="Times New Roman"/>
                <w:sz w:val="24"/>
                <w:szCs w:val="24"/>
              </w:rPr>
              <w:t xml:space="preserve">ka </w:t>
            </w:r>
            <w:r w:rsidRPr="00C26584" w:rsidR="007C51A8">
              <w:rPr>
                <w:rFonts w:ascii="Times New Roman" w:hAnsi="Times New Roman"/>
                <w:sz w:val="24"/>
                <w:szCs w:val="24"/>
              </w:rPr>
              <w:t xml:space="preserve">paziņojumu nosūtīšana ir minēta </w:t>
            </w:r>
            <w:r w:rsidR="00081D35">
              <w:rPr>
                <w:rFonts w:ascii="Times New Roman" w:hAnsi="Times New Roman"/>
                <w:sz w:val="24"/>
                <w:szCs w:val="24"/>
              </w:rPr>
              <w:t>vairākos</w:t>
            </w:r>
            <w:r w:rsidRPr="00C26584" w:rsidR="007C51A8">
              <w:rPr>
                <w:rFonts w:ascii="Times New Roman" w:hAnsi="Times New Roman"/>
                <w:sz w:val="24"/>
                <w:szCs w:val="24"/>
              </w:rPr>
              <w:t xml:space="preserve"> Noteikumu</w:t>
            </w:r>
            <w:r w:rsidR="00081D35">
              <w:rPr>
                <w:rFonts w:ascii="Times New Roman" w:hAnsi="Times New Roman"/>
                <w:sz w:val="24"/>
                <w:szCs w:val="24"/>
              </w:rPr>
              <w:t xml:space="preserve"> Nr.551</w:t>
            </w:r>
            <w:r w:rsidRPr="00C26584" w:rsidR="007C51A8">
              <w:rPr>
                <w:rFonts w:ascii="Times New Roman" w:hAnsi="Times New Roman"/>
                <w:sz w:val="24"/>
                <w:szCs w:val="24"/>
              </w:rPr>
              <w:t xml:space="preserve"> punktos</w:t>
            </w:r>
            <w:r w:rsidR="00775F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BAB" w:rsidP="00907E60" w:rsidRDefault="007C51A8" w14:paraId="6A04E815" w14:textId="1EEE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1D">
              <w:rPr>
                <w:rFonts w:ascii="Times New Roman" w:hAnsi="Times New Roman"/>
                <w:sz w:val="24"/>
                <w:szCs w:val="24"/>
              </w:rPr>
              <w:t xml:space="preserve">Vienlaikus </w:t>
            </w:r>
            <w:r w:rsidR="008F34E4">
              <w:rPr>
                <w:rFonts w:ascii="Times New Roman" w:hAnsi="Times New Roman"/>
                <w:sz w:val="24"/>
                <w:szCs w:val="24"/>
              </w:rPr>
              <w:t>ar noteikumu projektu</w:t>
            </w:r>
            <w:r w:rsidR="00E6161D">
              <w:rPr>
                <w:rFonts w:ascii="Times New Roman" w:hAnsi="Times New Roman"/>
                <w:sz w:val="24"/>
                <w:szCs w:val="24"/>
              </w:rPr>
              <w:t xml:space="preserve"> transportlīdzekļu vadītājiem, ja iegūto uzskaites punktu skaits ir </w:t>
            </w:r>
            <w:r w:rsidR="00E6161D">
              <w:rPr>
                <w:rFonts w:ascii="Times New Roman" w:hAnsi="Times New Roman"/>
                <w:sz w:val="24"/>
                <w:szCs w:val="24"/>
              </w:rPr>
              <w:lastRenderedPageBreak/>
              <w:t>sasniedzis četrus, ir paredzēta iespēja brīvprātīgi samazināt reģistrēto punktu skaitu, ne tikai apmeklējot apmācības kursus, bet arī braukšanas uzvedības korekcijas grupu nodarbības.</w:t>
            </w:r>
          </w:p>
          <w:p w:rsidR="006D238F" w:rsidP="00907E60" w:rsidRDefault="008B4BAB" w14:paraId="4F3DE66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081D35">
              <w:rPr>
                <w:rFonts w:ascii="Times New Roman" w:hAnsi="Times New Roman"/>
                <w:sz w:val="24"/>
                <w:szCs w:val="24"/>
              </w:rPr>
              <w:t xml:space="preserve">projektā ietvertie </w:t>
            </w:r>
            <w:r>
              <w:rPr>
                <w:rFonts w:ascii="Times New Roman" w:hAnsi="Times New Roman"/>
                <w:sz w:val="24"/>
                <w:szCs w:val="24"/>
              </w:rPr>
              <w:t>grozījumi paredz atcelt trans</w:t>
            </w:r>
            <w:r w:rsidR="001B229E">
              <w:rPr>
                <w:rFonts w:ascii="Times New Roman" w:hAnsi="Times New Roman"/>
                <w:sz w:val="24"/>
                <w:szCs w:val="24"/>
              </w:rPr>
              <w:t>portlīdzekļa vadītājam piemērotā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transportlīdzekļu vadīšanas tiesību izmantošanas aizlieguma t</w:t>
            </w:r>
            <w:r w:rsidR="001B229E">
              <w:rPr>
                <w:rFonts w:ascii="Times New Roman" w:hAnsi="Times New Roman"/>
                <w:sz w:val="24"/>
                <w:szCs w:val="24"/>
              </w:rPr>
              <w:t>ermiņa pagarināšanu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gadījumos, ja vadītājs noteiktajā laika periodā nav </w:t>
            </w:r>
            <w:r w:rsidR="001B229E">
              <w:rPr>
                <w:rFonts w:ascii="Times New Roman" w:hAnsi="Times New Roman"/>
                <w:sz w:val="24"/>
                <w:szCs w:val="24"/>
              </w:rPr>
              <w:t>nodevis savu nederīgo apliecību</w:t>
            </w:r>
            <w:r w:rsidR="00EE6566">
              <w:rPr>
                <w:rFonts w:ascii="Times New Roman" w:hAnsi="Times New Roman"/>
                <w:sz w:val="24"/>
                <w:szCs w:val="24"/>
              </w:rPr>
              <w:t>, paredzot pagarinājumu tikai gadījumos, ja vadītājs piemērotā aizlieguma laikā vada transportlīdzekli.</w:t>
            </w:r>
          </w:p>
          <w:p w:rsidRPr="00BE5A7A" w:rsidR="00BE5A7A" w:rsidP="00907E60" w:rsidRDefault="00BE5A7A" w14:paraId="4A067D6C" w14:textId="1B4833C9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 w:rsidR="0098585B">
              <w:rPr>
                <w:rFonts w:ascii="Times New Roman" w:hAnsi="Times New Roman"/>
                <w:sz w:val="24"/>
                <w:szCs w:val="24"/>
              </w:rPr>
              <w:t>tam</w:t>
            </w:r>
            <w:r w:rsidR="009F5799">
              <w:rPr>
                <w:rFonts w:ascii="Times New Roman" w:hAnsi="Times New Roman"/>
                <w:sz w:val="24"/>
                <w:szCs w:val="24"/>
              </w:rPr>
              <w:t>, lai novērstu šaubas par normas interpretāciju,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precizēt</w:t>
            </w:r>
            <w:r w:rsidR="0098585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Noteikumu 19.</w:t>
            </w:r>
            <w:r w:rsidRPr="000463E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un 19.</w:t>
            </w:r>
            <w:r w:rsidRPr="000463E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apakšpunkt</w:t>
            </w:r>
            <w:r w:rsidR="0098585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5799">
              <w:rPr>
                <w:rFonts w:ascii="Times New Roman" w:hAnsi="Times New Roman"/>
                <w:sz w:val="24"/>
                <w:szCs w:val="24"/>
              </w:rPr>
              <w:t>kas paredz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izņēmumu, ka transportlīdzekļa vadītāj</w:t>
            </w:r>
            <w:r w:rsidR="0098585B">
              <w:rPr>
                <w:rFonts w:ascii="Times New Roman" w:hAnsi="Times New Roman"/>
                <w:sz w:val="24"/>
                <w:szCs w:val="24"/>
              </w:rPr>
              <w:t>iem, kuriem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373">
              <w:rPr>
                <w:rFonts w:ascii="Times New Roman" w:hAnsi="Times New Roman"/>
                <w:sz w:val="24"/>
                <w:szCs w:val="24"/>
              </w:rPr>
              <w:t>pēc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piemērot</w:t>
            </w:r>
            <w:r w:rsidR="004A5373">
              <w:rPr>
                <w:rFonts w:ascii="Times New Roman" w:hAnsi="Times New Roman"/>
                <w:sz w:val="24"/>
                <w:szCs w:val="24"/>
              </w:rPr>
              <w:t>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transportlīdzekļu vadīšanas tiesību atņemšana</w:t>
            </w:r>
            <w:r w:rsidR="004A5373">
              <w:rPr>
                <w:rFonts w:ascii="Times New Roman" w:hAnsi="Times New Roman"/>
                <w:sz w:val="24"/>
                <w:szCs w:val="24"/>
              </w:rPr>
              <w:t>s</w:t>
            </w:r>
            <w:r w:rsidR="00E97993">
              <w:rPr>
                <w:rFonts w:ascii="Times New Roman" w:hAnsi="Times New Roman"/>
                <w:sz w:val="24"/>
                <w:szCs w:val="24"/>
              </w:rPr>
              <w:t xml:space="preserve"> (par pārkāpumu ceļu satiksmē)</w:t>
            </w:r>
            <w:r w:rsidR="00820796">
              <w:rPr>
                <w:rFonts w:ascii="Times New Roman" w:hAnsi="Times New Roman"/>
                <w:sz w:val="24"/>
                <w:szCs w:val="24"/>
              </w:rPr>
              <w:t xml:space="preserve"> ir jākārto transportlīdzekļu vadīšanas tiesību atjaunošanas eksāmeni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vienlai</w:t>
            </w:r>
            <w:r w:rsidR="009F5799">
              <w:rPr>
                <w:rFonts w:ascii="Times New Roman" w:hAnsi="Times New Roman"/>
                <w:sz w:val="24"/>
                <w:szCs w:val="24"/>
              </w:rPr>
              <w:t>kus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sasniegts</w:t>
            </w:r>
            <w:r w:rsidR="0098585B">
              <w:rPr>
                <w:rFonts w:ascii="Times New Roman" w:hAnsi="Times New Roman"/>
                <w:sz w:val="24"/>
                <w:szCs w:val="24"/>
              </w:rPr>
              <w:t xml:space="preserve"> noteikumu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85B">
              <w:rPr>
                <w:rFonts w:ascii="Times New Roman" w:hAnsi="Times New Roman"/>
                <w:sz w:val="24"/>
                <w:szCs w:val="24"/>
              </w:rPr>
              <w:t>12.</w:t>
            </w:r>
            <w:r w:rsidRPr="000463E2" w:rsidR="0098585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98585B">
              <w:rPr>
                <w:rFonts w:ascii="Times New Roman" w:hAnsi="Times New Roman"/>
                <w:sz w:val="24"/>
                <w:szCs w:val="24"/>
              </w:rPr>
              <w:t>. apa</w:t>
            </w:r>
            <w:bookmarkStart w:name="_GoBack" w:id="0"/>
            <w:bookmarkEnd w:id="0"/>
            <w:r w:rsidR="0098585B">
              <w:rPr>
                <w:rFonts w:ascii="Times New Roman" w:hAnsi="Times New Roman"/>
                <w:sz w:val="24"/>
                <w:szCs w:val="24"/>
              </w:rPr>
              <w:t xml:space="preserve">kšpunktā noteiktais  </w:t>
            </w:r>
            <w:r w:rsidR="009F5799">
              <w:rPr>
                <w:rFonts w:ascii="Times New Roman" w:hAnsi="Times New Roman"/>
                <w:sz w:val="24"/>
                <w:szCs w:val="24"/>
              </w:rPr>
              <w:t xml:space="preserve">pārkāpumu </w:t>
            </w:r>
            <w:r>
              <w:rPr>
                <w:rFonts w:ascii="Times New Roman" w:hAnsi="Times New Roman"/>
                <w:sz w:val="24"/>
                <w:szCs w:val="24"/>
              </w:rPr>
              <w:t>uzskaites punktu skaits</w:t>
            </w:r>
            <w:r w:rsidR="00E97993">
              <w:rPr>
                <w:rFonts w:ascii="Times New Roman" w:hAnsi="Times New Roman"/>
                <w:sz w:val="24"/>
                <w:szCs w:val="24"/>
              </w:rPr>
              <w:t xml:space="preserve"> (12 punkti)</w:t>
            </w:r>
            <w:r w:rsidR="0098585B">
              <w:rPr>
                <w:rFonts w:ascii="Times New Roman" w:hAnsi="Times New Roman"/>
                <w:sz w:val="24"/>
                <w:szCs w:val="24"/>
              </w:rPr>
              <w:t xml:space="preserve">, netiek nosūtīts noteikumu 17.punktā minētais paziņojums par pienākumu nokārtot eksāmenus. </w:t>
            </w:r>
            <w:r w:rsidR="009F5799">
              <w:rPr>
                <w:rFonts w:ascii="Times New Roman" w:hAnsi="Times New Roman"/>
                <w:sz w:val="24"/>
                <w:szCs w:val="24"/>
              </w:rPr>
              <w:t>M</w:t>
            </w:r>
            <w:r w:rsidR="0098585B">
              <w:rPr>
                <w:rFonts w:ascii="Times New Roman" w:hAnsi="Times New Roman"/>
                <w:sz w:val="24"/>
                <w:szCs w:val="24"/>
              </w:rPr>
              <w:t>inētajā situācijā, nokārtojot transportlīdzekļu vadīšanas tiesību atjaunošanas eksāmenus, transportlīdzekļa vadītāj</w:t>
            </w:r>
            <w:r w:rsidR="00E97993">
              <w:rPr>
                <w:rFonts w:ascii="Times New Roman" w:hAnsi="Times New Roman"/>
                <w:sz w:val="24"/>
                <w:szCs w:val="24"/>
              </w:rPr>
              <w:t>ie</w:t>
            </w:r>
            <w:r w:rsidR="0098585B">
              <w:rPr>
                <w:rFonts w:ascii="Times New Roman" w:hAnsi="Times New Roman"/>
                <w:sz w:val="24"/>
                <w:szCs w:val="24"/>
              </w:rPr>
              <w:t>m</w:t>
            </w:r>
            <w:r w:rsidR="009F5799">
              <w:rPr>
                <w:rFonts w:ascii="Times New Roman" w:hAnsi="Times New Roman"/>
                <w:sz w:val="24"/>
                <w:szCs w:val="24"/>
              </w:rPr>
              <w:t xml:space="preserve"> reģistrēto uzskaites punktu skaits</w:t>
            </w:r>
            <w:r w:rsidR="0098585B">
              <w:rPr>
                <w:rFonts w:ascii="Times New Roman" w:hAnsi="Times New Roman"/>
                <w:sz w:val="24"/>
                <w:szCs w:val="24"/>
              </w:rPr>
              <w:t xml:space="preserve"> automātiski tiek samazināts par diviem punktiem.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Pr="00CC5DFA" w:rsidR="006D238F" w:rsidTr="00907E60" w14:paraId="0F765302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70F6ED33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4BF6B8A2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53160979" w14:textId="726DC2D4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V</w:t>
            </w: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alsts akciju sabiedrība „Ceļu satiksmes drošības direkcija”</w:t>
            </w:r>
            <w:r w:rsidR="00081D3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, Satiksmes ministrija</w:t>
            </w: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CC5DFA" w:rsidR="006D238F" w:rsidTr="00907E60" w14:paraId="3E1DB7E9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495B245B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488E8C7A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1FB000DC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5E5B01" w:rsidR="006D238F" w:rsidP="00907E60" w:rsidRDefault="006D238F" w14:paraId="15254422" w14:textId="77777777">
      <w:pPr>
        <w:spacing w:after="0" w:line="240" w:lineRule="auto"/>
        <w:rPr>
          <w:rFonts w:ascii="Times New Roman" w:hAnsi="Times New Roman" w:eastAsia="Times New Roman"/>
          <w:iCs/>
          <w:sz w:val="16"/>
          <w:szCs w:val="16"/>
          <w:lang w:eastAsia="lv-LV"/>
        </w:rPr>
      </w:pPr>
      <w:r w:rsidRPr="00FB58C4">
        <w:rPr>
          <w:rFonts w:ascii="Times New Roman" w:hAnsi="Times New Roman" w:eastAsia="Times New Roman"/>
          <w:iCs/>
          <w:sz w:val="24"/>
          <w:szCs w:val="24"/>
          <w:lang w:eastAsia="lv-LV"/>
        </w:rPr>
        <w:t xml:space="preserve">  </w:t>
      </w:r>
    </w:p>
    <w:tbl>
      <w:tblPr>
        <w:tblW w:w="500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28"/>
        <w:gridCol w:w="5461"/>
      </w:tblGrid>
      <w:tr w:rsidRPr="00CC5DFA" w:rsidR="006D238F" w:rsidTr="00907E60" w14:paraId="6E839674" w14:textId="77777777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B58C4" w:rsidR="006D238F" w:rsidP="00907E60" w:rsidRDefault="006D238F" w14:paraId="51B381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CC5DFA" w:rsidR="006D238F" w:rsidTr="00907E60" w14:paraId="770A58B6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492FC598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48BC2FF6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7688BEBD" w14:textId="41DE1A5B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Visi transportlīdzekļu vadītāji. 201</w:t>
            </w:r>
            <w:r w:rsidR="00246E3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9</w:t>
            </w:r>
            <w:r w:rsidRPr="00A5054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.gadā Latvijā ir gandrīz 855 000 personu, kurām ir derīga vadītāja apliecība.</w:t>
            </w:r>
          </w:p>
        </w:tc>
      </w:tr>
      <w:tr w:rsidRPr="00CC5DFA" w:rsidR="006D238F" w:rsidTr="00907E60" w14:paraId="1FF8D17B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62FA284A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31E8878F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40A54946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Projekta mērķis ir uzlabot ceļu satiksmes drošību, pozitīvi ietekmējot tautsaimniecību. Sabiedrības grupām un institūcijām projekta tiesiskais regulējums administratīvo slogu, kā arī veicamās darbības nemaina.</w:t>
            </w:r>
          </w:p>
        </w:tc>
      </w:tr>
      <w:tr w:rsidRPr="00CC5DFA" w:rsidR="006D238F" w:rsidTr="00907E60" w14:paraId="43C6C0E5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2789275D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53B7DFCB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501153C0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CC5DFA" w:rsidR="006D238F" w:rsidTr="00907E60" w14:paraId="3E2340EF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3AE2EA5B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2E4584BE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3C024524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CC5DFA" w:rsidR="006D238F" w:rsidTr="00907E60" w14:paraId="5D87D8C1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697ED5E8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41E11141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725FBAA2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9F45FE" w:rsidP="00907E60" w:rsidRDefault="009F45FE" w14:paraId="3F93405A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3" w:type="pct"/>
        <w:tblCellSpacing w:w="15" w:type="dxa"/>
        <w:tblInd w:w="-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97"/>
      </w:tblGrid>
      <w:tr w:rsidRPr="00CC5DFA" w:rsidR="006D238F" w:rsidTr="00855D4E" w14:paraId="3B0691F4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B58C4" w:rsidR="006D238F" w:rsidP="00907E60" w:rsidRDefault="006D238F" w14:paraId="0F18872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Pr="00CC5DFA" w:rsidR="006D238F" w:rsidTr="00855D4E" w14:paraId="3211FAB6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FB58C4" w:rsidR="006D238F" w:rsidP="00907E60" w:rsidRDefault="006D238F" w14:paraId="061A17D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5E5B01" w:rsidR="006D238F" w:rsidP="00907E60" w:rsidRDefault="006D238F" w14:paraId="76CBDCE6" w14:textId="77777777">
      <w:pPr>
        <w:spacing w:after="0" w:line="240" w:lineRule="auto"/>
        <w:rPr>
          <w:rFonts w:ascii="Times New Roman" w:hAnsi="Times New Roman" w:eastAsia="Times New Roman"/>
          <w:iCs/>
          <w:sz w:val="16"/>
          <w:szCs w:val="16"/>
          <w:lang w:eastAsia="lv-LV"/>
        </w:rPr>
      </w:pPr>
      <w:r w:rsidRPr="00FB58C4">
        <w:rPr>
          <w:rFonts w:ascii="Times New Roman" w:hAnsi="Times New Roman" w:eastAsia="Times New Roman"/>
          <w:iCs/>
          <w:sz w:val="24"/>
          <w:szCs w:val="24"/>
          <w:lang w:eastAsia="lv-LV"/>
        </w:rPr>
        <w:t xml:space="preserve">  </w:t>
      </w:r>
    </w:p>
    <w:tbl>
      <w:tblPr>
        <w:tblW w:w="5005" w:type="pct"/>
        <w:tblCellSpacing w:w="20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outset" w:color="D9D9D9" w:sz="6" w:space="0"/>
          <w:insideV w:val="outset" w:color="D9D9D9" w:sz="6" w:space="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Pr="00CC5DFA" w:rsidR="006D238F" w:rsidTr="00855D4E" w14:paraId="71182C08" w14:textId="77777777">
        <w:trPr>
          <w:tblCellSpacing w:w="20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Pr="00FB58C4" w:rsidR="006D238F" w:rsidP="00907E60" w:rsidRDefault="006D238F" w14:paraId="05E65A05" w14:textId="77777777">
            <w:pPr>
              <w:pStyle w:val="tvhtml"/>
              <w:jc w:val="center"/>
              <w:rPr>
                <w:b/>
                <w:bCs/>
              </w:rPr>
            </w:pPr>
            <w:r w:rsidRPr="00FB58C4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Pr="00CC5DFA" w:rsidR="006D238F" w:rsidTr="00855D4E" w14:paraId="04086DED" w14:textId="77777777">
        <w:trPr>
          <w:tblCellSpacing w:w="20" w:type="dxa"/>
        </w:trPr>
        <w:tc>
          <w:tcPr>
            <w:tcW w:w="4956" w:type="pct"/>
            <w:shd w:val="clear" w:color="auto" w:fill="FFFFFF"/>
            <w:vAlign w:val="center"/>
          </w:tcPr>
          <w:p w:rsidRPr="00E330AF" w:rsidR="006D238F" w:rsidP="00907E60" w:rsidRDefault="006D238F" w14:paraId="475E3447" w14:textId="77777777">
            <w:pPr>
              <w:pStyle w:val="tvhtml"/>
              <w:jc w:val="center"/>
              <w:rPr>
                <w:bCs/>
              </w:rPr>
            </w:pPr>
            <w:r w:rsidRPr="00E330AF">
              <w:rPr>
                <w:bCs/>
              </w:rPr>
              <w:t>Projekts šo jomu neskar.</w:t>
            </w:r>
          </w:p>
        </w:tc>
      </w:tr>
    </w:tbl>
    <w:p w:rsidRPr="005E5B01" w:rsidR="006D238F" w:rsidP="00907E60" w:rsidRDefault="006D238F" w14:paraId="526DC050" w14:textId="77777777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5005" w:type="pct"/>
        <w:tblCellSpacing w:w="20" w:type="dxa"/>
        <w:tblBorders>
          <w:top w:val="inset" w:color="D9D9D9" w:sz="6" w:space="0"/>
          <w:left w:val="inset" w:color="D9D9D9" w:sz="6" w:space="0"/>
          <w:bottom w:val="inset" w:color="D9D9D9" w:sz="6" w:space="0"/>
          <w:right w:val="inset" w:color="D9D9D9" w:sz="6" w:space="0"/>
          <w:insideH w:val="inset" w:color="D9D9D9" w:sz="6" w:space="0"/>
          <w:insideV w:val="inset" w:color="D9D9D9" w:sz="6" w:space="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Pr="00CC5DFA" w:rsidR="006D238F" w:rsidTr="00855D4E" w14:paraId="24071505" w14:textId="77777777">
        <w:trPr>
          <w:tblCellSpacing w:w="20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Pr="00FB58C4" w:rsidR="006D238F" w:rsidP="00907E60" w:rsidRDefault="006D238F" w14:paraId="5777A523" w14:textId="77777777">
            <w:pPr>
              <w:pStyle w:val="tvhtml"/>
              <w:jc w:val="center"/>
              <w:rPr>
                <w:b/>
                <w:bCs/>
              </w:rPr>
            </w:pPr>
            <w:r w:rsidRPr="00FB58C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Pr="00CC5DFA" w:rsidR="006D238F" w:rsidTr="00855D4E" w14:paraId="20702CA4" w14:textId="77777777">
        <w:trPr>
          <w:tblCellSpacing w:w="20" w:type="dxa"/>
        </w:trPr>
        <w:tc>
          <w:tcPr>
            <w:tcW w:w="4956" w:type="pct"/>
            <w:shd w:val="clear" w:color="auto" w:fill="FFFFFF"/>
            <w:vAlign w:val="center"/>
          </w:tcPr>
          <w:p w:rsidRPr="00E330AF" w:rsidR="006D238F" w:rsidP="00907E60" w:rsidRDefault="006D238F" w14:paraId="3EBE2A79" w14:textId="77777777">
            <w:pPr>
              <w:pStyle w:val="tvhtml"/>
              <w:jc w:val="center"/>
              <w:rPr>
                <w:bCs/>
              </w:rPr>
            </w:pPr>
            <w:r>
              <w:rPr>
                <w:bCs/>
              </w:rPr>
              <w:t>Projekts šo jomu neskar.</w:t>
            </w:r>
          </w:p>
        </w:tc>
      </w:tr>
    </w:tbl>
    <w:p w:rsidR="006D238F" w:rsidP="00907E60" w:rsidRDefault="006D238F" w14:paraId="0A6D4A67" w14:textId="77777777">
      <w:pPr>
        <w:spacing w:after="0" w:line="240" w:lineRule="auto"/>
        <w:rPr>
          <w:rFonts w:ascii="Times New Roman" w:hAnsi="Times New Roman" w:eastAsia="Times New Roman"/>
          <w:iCs/>
          <w:sz w:val="16"/>
          <w:szCs w:val="16"/>
          <w:lang w:eastAsia="lv-LV"/>
        </w:rPr>
      </w:pPr>
    </w:p>
    <w:tbl>
      <w:tblPr>
        <w:tblW w:w="500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3008"/>
        <w:gridCol w:w="5485"/>
      </w:tblGrid>
      <w:tr w:rsidRPr="00CC5DFA" w:rsidR="006D238F" w:rsidTr="00855D4E" w14:paraId="34861227" w14:textId="77777777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B58C4" w:rsidR="006D238F" w:rsidP="00907E60" w:rsidRDefault="006D238F" w14:paraId="1DCBF51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CC5DFA" w:rsidR="006D238F" w:rsidTr="006C3B9D" w14:paraId="133183C1" w14:textId="77777777">
        <w:trPr>
          <w:tblCellSpacing w:w="15" w:type="dxa"/>
        </w:trPr>
        <w:tc>
          <w:tcPr>
            <w:tcW w:w="2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16732EBF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5BD5214A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330AF" w:rsidR="006D238F" w:rsidP="00907E60" w:rsidRDefault="006D238F" w14:paraId="1A6AEDCD" w14:textId="00A5E9E2">
            <w:pPr>
              <w:spacing w:line="240" w:lineRule="auto"/>
              <w:ind w:left="47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5E5B01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Atbilstoši Ministru kabineta 2009.gada 25.augusta noteikumu Nr.970 “Sabiedrības līdzdalības kārtība attīstības plānošanas procesā” 7.4.1 apakšpunktam sabiedrībai tik</w:t>
            </w:r>
            <w:r w:rsidR="00081D3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</w:t>
            </w:r>
            <w:r w:rsidRPr="005E5B01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dota iespēja rakstiski sniegt viedokli par noteikumu projektu tā saskaņošanas stadijā.</w:t>
            </w:r>
          </w:p>
        </w:tc>
      </w:tr>
      <w:tr w:rsidRPr="00CC5DFA" w:rsidR="006D238F" w:rsidTr="006C3B9D" w14:paraId="2E15080E" w14:textId="77777777">
        <w:trPr>
          <w:tblCellSpacing w:w="15" w:type="dxa"/>
        </w:trPr>
        <w:tc>
          <w:tcPr>
            <w:tcW w:w="2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6D983204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02C3B86C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DA0D5A" w14:paraId="2986A92E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DA0D5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Paziņojums par līdzdalības iespējām tiesību akta saskaņošanas procesā ievietots Satiksmes ministrijas tīmekļa vietnē 2018.gada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23</w:t>
            </w:r>
            <w:r w:rsidRPr="00DA0D5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novembrī</w:t>
            </w:r>
            <w:r w:rsidRPr="00DA0D5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http://www.sam.gov.lv/satmin/content/?cat=553</w:t>
            </w:r>
          </w:p>
        </w:tc>
      </w:tr>
      <w:tr w:rsidRPr="00CC5DFA" w:rsidR="006D238F" w:rsidTr="006C3B9D" w14:paraId="24F65D83" w14:textId="77777777">
        <w:trPr>
          <w:tblCellSpacing w:w="15" w:type="dxa"/>
        </w:trPr>
        <w:tc>
          <w:tcPr>
            <w:tcW w:w="2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77E2D05B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53603A01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DA0D5A" w14:paraId="2D9E1773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DA0D5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Iebildumi vai priekšlikumi netika saņemti.</w:t>
            </w:r>
          </w:p>
        </w:tc>
      </w:tr>
      <w:tr w:rsidRPr="00CC5DFA" w:rsidR="006D238F" w:rsidTr="006C3B9D" w14:paraId="0D5F4A99" w14:textId="77777777">
        <w:trPr>
          <w:tblCellSpacing w:w="15" w:type="dxa"/>
        </w:trPr>
        <w:tc>
          <w:tcPr>
            <w:tcW w:w="2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1A6E300D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103624D0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082EFAFC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5E5B01" w:rsidR="006D238F" w:rsidP="00907E60" w:rsidRDefault="006D238F" w14:paraId="1BBD9A23" w14:textId="77777777">
      <w:pPr>
        <w:spacing w:after="0" w:line="240" w:lineRule="auto"/>
        <w:rPr>
          <w:rFonts w:ascii="Times New Roman" w:hAnsi="Times New Roman" w:eastAsia="Times New Roman"/>
          <w:iCs/>
          <w:sz w:val="16"/>
          <w:szCs w:val="16"/>
          <w:lang w:eastAsia="lv-LV"/>
        </w:rPr>
      </w:pPr>
      <w:r w:rsidRPr="00FB58C4">
        <w:rPr>
          <w:rFonts w:ascii="Times New Roman" w:hAnsi="Times New Roman" w:eastAsia="Times New Roman"/>
          <w:iCs/>
          <w:sz w:val="24"/>
          <w:szCs w:val="24"/>
          <w:lang w:eastAsia="lv-LV"/>
        </w:rPr>
        <w:t xml:space="preserve">  </w:t>
      </w:r>
    </w:p>
    <w:tbl>
      <w:tblPr>
        <w:tblW w:w="500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28"/>
        <w:gridCol w:w="5461"/>
      </w:tblGrid>
      <w:tr w:rsidRPr="00CC5DFA" w:rsidR="006D238F" w:rsidTr="00855D4E" w14:paraId="474AECFA" w14:textId="77777777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B58C4" w:rsidR="006D238F" w:rsidP="00907E60" w:rsidRDefault="006D238F" w14:paraId="53CF004A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CC5DFA" w:rsidR="006D238F" w:rsidTr="00855D4E" w14:paraId="7B933448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20720159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50AA7498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3647CD13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V</w:t>
            </w:r>
            <w:r w:rsidRPr="00B84F52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alsts akciju sabiedrības „Ceļu satiksmes drošības direkcija”.</w:t>
            </w:r>
          </w:p>
        </w:tc>
      </w:tr>
      <w:tr w:rsidRPr="00CC5DFA" w:rsidR="006D238F" w:rsidTr="00855D4E" w14:paraId="54745F08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59499AF3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77CA5296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27CF3D6E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B84F52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Normatīvā akta izpilde tiks nodrošināta anotācijas VII sadaļas 1.punktā minētās institūcijas līdzšinējo funkciju ietvaros.</w:t>
            </w:r>
          </w:p>
        </w:tc>
      </w:tr>
      <w:tr w:rsidRPr="00CC5DFA" w:rsidR="006D238F" w:rsidTr="00855D4E" w14:paraId="702F9A9B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0F6E86FB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1E3D1331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281607A2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A93BCA" w:rsidR="006D238F" w:rsidP="00907E60" w:rsidRDefault="006D238F" w14:paraId="6D4B1475" w14:textId="777777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7E60" w:rsidP="00907E60" w:rsidRDefault="00907E60" w14:paraId="745CB8EC" w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 w:rsidR="00B61B9C" w:rsidP="00B61B9C" w:rsidRDefault="00B61B9C" w14:paraId="6542DD78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6A0A55" w:rsidR="00B61B9C" w:rsidP="00B61B9C" w:rsidRDefault="00B61B9C" w14:paraId="5137374F" w14:textId="77777777">
      <w:pPr>
        <w:spacing w:after="0" w:line="240" w:lineRule="auto"/>
        <w:ind w:right="-34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6A0A55">
        <w:rPr>
          <w:rFonts w:ascii="Times New Roman" w:hAnsi="Times New Roman" w:eastAsia="Calibri" w:cs="Times New Roman"/>
          <w:sz w:val="24"/>
          <w:szCs w:val="24"/>
        </w:rPr>
        <w:t>Satiksmes ministrs</w:t>
      </w:r>
      <w:r w:rsidRPr="006A0A55">
        <w:rPr>
          <w:rFonts w:ascii="Times New Roman" w:hAnsi="Times New Roman" w:eastAsia="Calibri" w:cs="Times New Roman"/>
          <w:sz w:val="24"/>
          <w:szCs w:val="24"/>
        </w:rPr>
        <w:tab/>
      </w:r>
      <w:r w:rsidRPr="006A0A55">
        <w:rPr>
          <w:rFonts w:ascii="Times New Roman" w:hAnsi="Times New Roman" w:eastAsia="Calibri" w:cs="Times New Roman"/>
          <w:sz w:val="24"/>
          <w:szCs w:val="24"/>
        </w:rPr>
        <w:tab/>
      </w:r>
      <w:r w:rsidRPr="006A0A55">
        <w:rPr>
          <w:rFonts w:ascii="Times New Roman" w:hAnsi="Times New Roman" w:eastAsia="Calibri" w:cs="Times New Roman"/>
          <w:sz w:val="24"/>
          <w:szCs w:val="24"/>
        </w:rPr>
        <w:tab/>
      </w:r>
      <w:r w:rsidRPr="006A0A55">
        <w:rPr>
          <w:rFonts w:ascii="Times New Roman" w:hAnsi="Times New Roman" w:eastAsia="Calibri" w:cs="Times New Roman"/>
          <w:sz w:val="24"/>
          <w:szCs w:val="24"/>
        </w:rPr>
        <w:tab/>
      </w:r>
      <w:r w:rsidRPr="006A0A55">
        <w:rPr>
          <w:rFonts w:ascii="Times New Roman" w:hAnsi="Times New Roman" w:eastAsia="Calibri" w:cs="Times New Roman"/>
          <w:sz w:val="24"/>
          <w:szCs w:val="24"/>
        </w:rPr>
        <w:tab/>
      </w:r>
      <w:r w:rsidRPr="006A0A55">
        <w:rPr>
          <w:rFonts w:ascii="Times New Roman" w:hAnsi="Times New Roman" w:eastAsia="Calibri" w:cs="Times New Roman"/>
          <w:sz w:val="24"/>
          <w:szCs w:val="24"/>
        </w:rPr>
        <w:tab/>
      </w:r>
      <w:r w:rsidRPr="006A0A55">
        <w:rPr>
          <w:rFonts w:ascii="Times New Roman" w:hAnsi="Times New Roman" w:eastAsia="Calibri" w:cs="Times New Roman"/>
          <w:sz w:val="24"/>
          <w:szCs w:val="24"/>
        </w:rPr>
        <w:tab/>
      </w:r>
      <w:r w:rsidRPr="006A0A55">
        <w:rPr>
          <w:rFonts w:ascii="Times New Roman" w:hAnsi="Times New Roman" w:eastAsia="Calibri" w:cs="Times New Roman"/>
          <w:sz w:val="24"/>
          <w:szCs w:val="24"/>
        </w:rPr>
        <w:tab/>
      </w:r>
      <w:r w:rsidRPr="006A0A55">
        <w:rPr>
          <w:rFonts w:ascii="Times New Roman" w:hAnsi="Times New Roman" w:eastAsia="Calibri" w:cs="Times New Roman"/>
          <w:sz w:val="24"/>
          <w:szCs w:val="24"/>
        </w:rPr>
        <w:tab/>
        <w:t>T.Linkaits</w:t>
      </w:r>
    </w:p>
    <w:p w:rsidRPr="006A0A55" w:rsidR="00B61B9C" w:rsidP="00B61B9C" w:rsidRDefault="00B61B9C" w14:paraId="4E51AF0F" w14:textId="77777777">
      <w:pPr>
        <w:spacing w:after="0" w:line="240" w:lineRule="auto"/>
        <w:ind w:right="-341" w:firstLine="709"/>
        <w:jc w:val="both"/>
        <w:rPr>
          <w:rFonts w:ascii="Times New Roman" w:hAnsi="Times New Roman" w:eastAsia="Calibri" w:cs="Times New Roman"/>
          <w:sz w:val="16"/>
          <w:szCs w:val="16"/>
        </w:rPr>
      </w:pPr>
    </w:p>
    <w:p w:rsidRPr="006A0A55" w:rsidR="00B61B9C" w:rsidP="00B61B9C" w:rsidRDefault="00B61B9C" w14:paraId="2EB5B8BA" w14:textId="77777777">
      <w:pPr>
        <w:spacing w:after="0" w:line="240" w:lineRule="auto"/>
        <w:ind w:right="-341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 w:rsidRPr="006A0A55" w:rsidR="00B61B9C" w:rsidP="00B61B9C" w:rsidRDefault="00B61B9C" w14:paraId="0C7C8F17" w14:textId="77777777">
      <w:pPr>
        <w:spacing w:after="0" w:line="240" w:lineRule="auto"/>
        <w:ind w:right="-341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 w:rsidRPr="00907E60" w:rsidR="00907E60" w:rsidP="00246E30" w:rsidRDefault="00B61B9C" w14:paraId="3B89829E" w14:textId="4F5ACB48">
      <w:pPr>
        <w:spacing w:after="0" w:line="240" w:lineRule="auto"/>
        <w:jc w:val="both"/>
        <w:rPr>
          <w:rFonts w:ascii="Times New Roman" w:hAnsi="Times New Roman" w:eastAsia="Calibri" w:cs="Times New Roman"/>
          <w:sz w:val="16"/>
          <w:szCs w:val="16"/>
        </w:rPr>
      </w:pPr>
      <w:r w:rsidRPr="006A0A55">
        <w:rPr>
          <w:rFonts w:ascii="Times New Roman" w:hAnsi="Times New Roman" w:eastAsia="Times New Roman" w:cs="Times New Roman"/>
          <w:sz w:val="24"/>
          <w:szCs w:val="24"/>
          <w:lang w:eastAsia="lv-LV"/>
        </w:rPr>
        <w:t>Vīza:</w:t>
      </w:r>
      <w:r w:rsidR="00081D35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</w:t>
      </w:r>
      <w:r w:rsidRPr="006A0A55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valsts sekretāra </w:t>
      </w:r>
      <w:proofErr w:type="spellStart"/>
      <w:r w:rsidRPr="006A0A55">
        <w:rPr>
          <w:rFonts w:ascii="Times New Roman" w:hAnsi="Times New Roman" w:eastAsia="Times New Roman" w:cs="Times New Roman"/>
          <w:sz w:val="24"/>
          <w:szCs w:val="24"/>
          <w:lang w:eastAsia="lv-LV"/>
        </w:rPr>
        <w:t>p.i</w:t>
      </w:r>
      <w:proofErr w:type="spellEnd"/>
      <w:r w:rsidRPr="006A0A55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. </w:t>
      </w:r>
      <w:r w:rsidRPr="006A0A55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6A0A55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6A0A55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6A0A55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6A0A55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6A0A55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6A0A55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6A0A55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proofErr w:type="spellStart"/>
      <w:r w:rsidRPr="006A0A55">
        <w:rPr>
          <w:rFonts w:ascii="Times New Roman" w:hAnsi="Times New Roman" w:eastAsia="Times New Roman" w:cs="Times New Roman"/>
          <w:sz w:val="24"/>
          <w:szCs w:val="24"/>
          <w:lang w:eastAsia="lv-LV"/>
        </w:rPr>
        <w:t>Dž.Innusa</w:t>
      </w:r>
      <w:proofErr w:type="spellEnd"/>
    </w:p>
    <w:p w:rsidRPr="00907E60" w:rsidR="00907E60" w:rsidP="00907E60" w:rsidRDefault="00907E60" w14:paraId="2564ACB6" w14:textId="77777777">
      <w:pPr>
        <w:tabs>
          <w:tab w:val="left" w:pos="6237"/>
        </w:tabs>
        <w:spacing w:after="0" w:line="240" w:lineRule="auto"/>
        <w:rPr>
          <w:rFonts w:ascii="Times New Roman" w:hAnsi="Times New Roman" w:eastAsia="Calibri" w:cs="Times New Roman"/>
          <w:sz w:val="16"/>
          <w:szCs w:val="16"/>
        </w:rPr>
      </w:pPr>
    </w:p>
    <w:p w:rsidR="00A80BD7" w:rsidP="00907E60" w:rsidRDefault="00A80BD7" w14:paraId="174F1966" w14:textId="77777777">
      <w:pPr>
        <w:tabs>
          <w:tab w:val="left" w:pos="34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A80BD7" w:rsidSect="00CD53ED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2421" w14:textId="77777777" w:rsidR="00C8001A" w:rsidRDefault="00C8001A" w:rsidP="00907E60">
      <w:pPr>
        <w:spacing w:after="0" w:line="240" w:lineRule="auto"/>
      </w:pPr>
      <w:r>
        <w:separator/>
      </w:r>
    </w:p>
  </w:endnote>
  <w:endnote w:type="continuationSeparator" w:id="0">
    <w:p w14:paraId="2C0DB9D1" w14:textId="77777777" w:rsidR="00C8001A" w:rsidRDefault="00C8001A" w:rsidP="0090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D331" w14:textId="5BF4FEB0" w:rsidR="00907E60" w:rsidRPr="00907E60" w:rsidRDefault="00CD53ED">
    <w:pPr>
      <w:pStyle w:val="Footer"/>
      <w:rPr>
        <w:rFonts w:ascii="Times New Roman" w:hAnsi="Times New Roman" w:cs="Times New Roman"/>
        <w:sz w:val="20"/>
        <w:szCs w:val="20"/>
      </w:rPr>
    </w:pPr>
    <w:r w:rsidRPr="00CD53ED">
      <w:rPr>
        <w:rFonts w:ascii="Times New Roman" w:hAnsi="Times New Roman" w:cs="Times New Roman"/>
        <w:sz w:val="20"/>
        <w:szCs w:val="20"/>
      </w:rPr>
      <w:t>SManot_</w:t>
    </w:r>
    <w:r w:rsidR="008C3C25">
      <w:rPr>
        <w:rFonts w:ascii="Times New Roman" w:hAnsi="Times New Roman" w:cs="Times New Roman"/>
        <w:sz w:val="20"/>
        <w:szCs w:val="20"/>
      </w:rPr>
      <w:t>1408</w:t>
    </w:r>
    <w:r w:rsidRPr="00CD53ED">
      <w:rPr>
        <w:rFonts w:ascii="Times New Roman" w:hAnsi="Times New Roman" w:cs="Times New Roman"/>
        <w:sz w:val="20"/>
        <w:szCs w:val="20"/>
      </w:rPr>
      <w:t>19_punkti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BB480" w14:textId="3E3CF437" w:rsidR="00CD53ED" w:rsidRPr="00CD53ED" w:rsidRDefault="00CD53ED">
    <w:pPr>
      <w:pStyle w:val="Footer"/>
      <w:rPr>
        <w:rFonts w:ascii="Times New Roman" w:hAnsi="Times New Roman" w:cs="Times New Roman"/>
        <w:sz w:val="20"/>
        <w:szCs w:val="20"/>
      </w:rPr>
    </w:pPr>
    <w:bookmarkStart w:id="1" w:name="_Hlk12957036"/>
    <w:bookmarkStart w:id="2" w:name="_Hlk12957037"/>
    <w:r w:rsidRPr="00CD53ED">
      <w:rPr>
        <w:rFonts w:ascii="Times New Roman" w:hAnsi="Times New Roman" w:cs="Times New Roman"/>
        <w:sz w:val="20"/>
        <w:szCs w:val="20"/>
      </w:rPr>
      <w:t>SManot_</w:t>
    </w:r>
    <w:r w:rsidR="008C3C25">
      <w:rPr>
        <w:rFonts w:ascii="Times New Roman" w:hAnsi="Times New Roman" w:cs="Times New Roman"/>
        <w:sz w:val="20"/>
        <w:szCs w:val="20"/>
      </w:rPr>
      <w:t>1408</w:t>
    </w:r>
    <w:r w:rsidRPr="00CD53ED">
      <w:rPr>
        <w:rFonts w:ascii="Times New Roman" w:hAnsi="Times New Roman" w:cs="Times New Roman"/>
        <w:sz w:val="20"/>
        <w:szCs w:val="20"/>
      </w:rPr>
      <w:t>19_punkti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BEDE" w14:textId="77777777" w:rsidR="00C8001A" w:rsidRDefault="00C8001A" w:rsidP="00907E60">
      <w:pPr>
        <w:spacing w:after="0" w:line="240" w:lineRule="auto"/>
      </w:pPr>
      <w:r>
        <w:separator/>
      </w:r>
    </w:p>
  </w:footnote>
  <w:footnote w:type="continuationSeparator" w:id="0">
    <w:p w14:paraId="763282D8" w14:textId="77777777" w:rsidR="00C8001A" w:rsidRDefault="00C8001A" w:rsidP="0090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96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01F2" w:rsidRDefault="00BE01F2" w14:paraId="1F481CF4" w14:textId="33AB36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01F2" w:rsidRDefault="00BE01F2" w14:paraId="52B8B52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18"/>
    <w:rsid w:val="000045F1"/>
    <w:rsid w:val="000463E2"/>
    <w:rsid w:val="00065E2E"/>
    <w:rsid w:val="00081D35"/>
    <w:rsid w:val="000E0801"/>
    <w:rsid w:val="000F3761"/>
    <w:rsid w:val="00112373"/>
    <w:rsid w:val="00151049"/>
    <w:rsid w:val="001B229E"/>
    <w:rsid w:val="001D1899"/>
    <w:rsid w:val="001F65E1"/>
    <w:rsid w:val="00235766"/>
    <w:rsid w:val="00241570"/>
    <w:rsid w:val="00244914"/>
    <w:rsid w:val="00246E30"/>
    <w:rsid w:val="00284E22"/>
    <w:rsid w:val="00325EA9"/>
    <w:rsid w:val="00332996"/>
    <w:rsid w:val="0038483D"/>
    <w:rsid w:val="004175FC"/>
    <w:rsid w:val="00471384"/>
    <w:rsid w:val="004A160A"/>
    <w:rsid w:val="004A5373"/>
    <w:rsid w:val="004E3BA7"/>
    <w:rsid w:val="00550827"/>
    <w:rsid w:val="005648B7"/>
    <w:rsid w:val="005F7F88"/>
    <w:rsid w:val="00623891"/>
    <w:rsid w:val="00645D62"/>
    <w:rsid w:val="006C3B9D"/>
    <w:rsid w:val="006D0D22"/>
    <w:rsid w:val="006D238F"/>
    <w:rsid w:val="006D4E18"/>
    <w:rsid w:val="006D7875"/>
    <w:rsid w:val="0072597B"/>
    <w:rsid w:val="00775F8B"/>
    <w:rsid w:val="00783BD6"/>
    <w:rsid w:val="00794DDF"/>
    <w:rsid w:val="007C51A8"/>
    <w:rsid w:val="007D486D"/>
    <w:rsid w:val="00820796"/>
    <w:rsid w:val="00855D4E"/>
    <w:rsid w:val="00865B32"/>
    <w:rsid w:val="008B4BAB"/>
    <w:rsid w:val="008C3C25"/>
    <w:rsid w:val="008F34E4"/>
    <w:rsid w:val="008F7A74"/>
    <w:rsid w:val="00907E60"/>
    <w:rsid w:val="00910622"/>
    <w:rsid w:val="0098585B"/>
    <w:rsid w:val="009F45FE"/>
    <w:rsid w:val="009F5799"/>
    <w:rsid w:val="00A80BD7"/>
    <w:rsid w:val="00AB6C29"/>
    <w:rsid w:val="00AB6E7B"/>
    <w:rsid w:val="00AF62D8"/>
    <w:rsid w:val="00B61B9C"/>
    <w:rsid w:val="00B76FC2"/>
    <w:rsid w:val="00BE01F2"/>
    <w:rsid w:val="00BE5A7A"/>
    <w:rsid w:val="00C046E4"/>
    <w:rsid w:val="00C12BF7"/>
    <w:rsid w:val="00C26584"/>
    <w:rsid w:val="00C65FD9"/>
    <w:rsid w:val="00C8001A"/>
    <w:rsid w:val="00CD53ED"/>
    <w:rsid w:val="00CD5731"/>
    <w:rsid w:val="00CF1FD7"/>
    <w:rsid w:val="00D54AAB"/>
    <w:rsid w:val="00DA0D5A"/>
    <w:rsid w:val="00E43853"/>
    <w:rsid w:val="00E44621"/>
    <w:rsid w:val="00E6161D"/>
    <w:rsid w:val="00E97993"/>
    <w:rsid w:val="00EE0063"/>
    <w:rsid w:val="00E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D44C"/>
  <w15:chartTrackingRefBased/>
  <w15:docId w15:val="{753569F8-6E8C-4040-AAEA-70F06D1E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238F"/>
    <w:rPr>
      <w:color w:val="0000FF"/>
      <w:u w:val="single"/>
    </w:rPr>
  </w:style>
  <w:style w:type="paragraph" w:customStyle="1" w:styleId="tvhtml">
    <w:name w:val="tv_html"/>
    <w:basedOn w:val="Normal"/>
    <w:rsid w:val="006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8F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07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6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07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60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81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3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35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4142</Words>
  <Characters>2362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2004.gada 21.jūnija noteikumos Nr.551 „Pārkāpumu uzskaites punktu sistēmas piemērošanas noteikumi”” projekta sākotnējās ietekmes novērtējuma ziņojums (anotācija)</vt:lpstr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2004.gada 21.jūnija noteikumos Nr.551 „Pārkāpumu uzskaites punktu sistēmas piemērošanas noteikumi”” projekta sākotnējās ietekmes novērtējuma ziņojums (anotācija)</dc:title>
  <dc:subject/>
  <dc:creator>Lauris.Mikelsons@sam.gov.lv</dc:creator>
  <cp:keywords/>
  <dc:description/>
  <cp:lastModifiedBy>Lauris Miķelsons</cp:lastModifiedBy>
  <cp:revision>2</cp:revision>
  <cp:lastPrinted>2018-09-10T12:16:00Z</cp:lastPrinted>
  <dcterms:created xsi:type="dcterms:W3CDTF">2019-08-30T11:45:00Z</dcterms:created>
  <dcterms:modified xsi:type="dcterms:W3CDTF">2019-08-30T11:45:00Z</dcterms:modified>
</cp:coreProperties>
</file>