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D3370" w:rsidR="004C4E40" w:rsidP="004C4E40" w:rsidRDefault="004C4E40" w14:paraId="0E503B47" w14:textId="77777777">
      <w:pPr>
        <w:tabs>
          <w:tab w:val="left" w:pos="7440"/>
        </w:tabs>
        <w:jc w:val="center"/>
      </w:pPr>
      <w:r w:rsidRPr="00FD3370">
        <w:t>Izziņa par atzinumos sniegtajiem iebildumiem</w:t>
      </w:r>
    </w:p>
    <w:p w:rsidRPr="00FD3370" w:rsidR="00DA1AF2" w:rsidP="00DA1AF2" w:rsidRDefault="004C4E40" w14:paraId="69056012" w14:textId="03DFAB79">
      <w:pPr>
        <w:keepNext/>
        <w:jc w:val="center"/>
        <w:outlineLvl w:val="3"/>
      </w:pPr>
      <w:r w:rsidRPr="00FD3370">
        <w:t xml:space="preserve">par </w:t>
      </w:r>
      <w:r w:rsidRPr="00FD3370" w:rsidR="00DA1AF2">
        <w:t>Informatīvo ziņojumu “</w:t>
      </w:r>
      <w:r w:rsidR="0076278E">
        <w:t>Par d</w:t>
      </w:r>
      <w:r w:rsidRPr="00FD3370" w:rsidR="00F70CEA">
        <w:t>arbības programmas “Izaugsme un nodarbinātība” 4.prioritārā virziena ietvaros atbrīvotā Eiropas Savienības finansējuma izmantošanas alternatīvām un izvēlēto risinājumu</w:t>
      </w:r>
      <w:r w:rsidRPr="00FD3370" w:rsidR="00DA1AF2">
        <w:t>”</w:t>
      </w:r>
    </w:p>
    <w:p w:rsidRPr="00FD3370" w:rsidR="00DA1AF2" w:rsidP="00DA1AF2" w:rsidRDefault="00DA1AF2" w14:paraId="50618034" w14:textId="77777777">
      <w:pPr>
        <w:keepNext/>
        <w:jc w:val="center"/>
        <w:outlineLvl w:val="3"/>
      </w:pPr>
    </w:p>
    <w:p w:rsidRPr="00FD3370" w:rsidR="004C4E40" w:rsidP="00DA1AF2" w:rsidRDefault="004C4E40" w14:paraId="5408A050" w14:textId="0E438C13">
      <w:pPr>
        <w:keepNext/>
        <w:jc w:val="center"/>
        <w:outlineLvl w:val="3"/>
        <w:rPr>
          <w:b/>
        </w:rPr>
      </w:pPr>
      <w:r w:rsidRPr="00FD3370">
        <w:rPr>
          <w:b/>
        </w:rPr>
        <w:t>I. Jautājumi, par kuriem saskaņošanā vienošanās nav panākta</w:t>
      </w:r>
    </w:p>
    <w:tbl>
      <w:tblPr>
        <w:tblW w:w="15134" w:type="dxa"/>
        <w:tblCellSpacing w:w="0" w:type="dxa"/>
        <w:tblInd w:w="-825"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495"/>
        <w:gridCol w:w="2419"/>
        <w:gridCol w:w="3573"/>
        <w:gridCol w:w="2033"/>
        <w:gridCol w:w="4204"/>
        <w:gridCol w:w="2410"/>
      </w:tblGrid>
      <w:tr w:rsidRPr="00FD3370" w:rsidR="004C4E40" w:rsidTr="000E1571" w14:paraId="608C141B" w14:textId="77777777">
        <w:trPr>
          <w:tblCellSpacing w:w="0" w:type="dxa"/>
        </w:trPr>
        <w:tc>
          <w:tcPr>
            <w:tcW w:w="495" w:type="dxa"/>
            <w:tcBorders>
              <w:top w:val="single" w:color="808080" w:sz="6" w:space="0"/>
              <w:left w:val="single" w:color="808080" w:sz="6" w:space="0"/>
              <w:bottom w:val="single" w:color="808080" w:sz="6" w:space="0"/>
              <w:right w:val="single" w:color="808080" w:sz="6" w:space="0"/>
            </w:tcBorders>
            <w:vAlign w:val="center"/>
          </w:tcPr>
          <w:p w:rsidRPr="00FD3370" w:rsidR="004C4E40" w:rsidP="004C4E40" w:rsidRDefault="004C4E40" w14:paraId="69FAF686" w14:textId="77777777">
            <w:pPr>
              <w:spacing w:before="100" w:beforeAutospacing="1" w:after="100" w:afterAutospacing="1"/>
              <w:jc w:val="center"/>
            </w:pPr>
            <w:r w:rsidRPr="00FD3370">
              <w:t>Nr.</w:t>
            </w:r>
            <w:r w:rsidRPr="00FD3370">
              <w:br/>
              <w:t> p.k.</w:t>
            </w:r>
          </w:p>
        </w:tc>
        <w:tc>
          <w:tcPr>
            <w:tcW w:w="2419" w:type="dxa"/>
            <w:tcBorders>
              <w:top w:val="single" w:color="808080" w:sz="6" w:space="0"/>
              <w:left w:val="single" w:color="808080" w:sz="6" w:space="0"/>
              <w:bottom w:val="single" w:color="808080" w:sz="6" w:space="0"/>
              <w:right w:val="single" w:color="808080" w:sz="6" w:space="0"/>
            </w:tcBorders>
            <w:vAlign w:val="center"/>
          </w:tcPr>
          <w:p w:rsidRPr="00FD3370" w:rsidR="004C4E40" w:rsidP="004C4E40" w:rsidRDefault="004C4E40" w14:paraId="5BD06E3C" w14:textId="77777777">
            <w:pPr>
              <w:spacing w:before="100" w:beforeAutospacing="1" w:after="100" w:afterAutospacing="1"/>
              <w:jc w:val="center"/>
            </w:pPr>
            <w:r w:rsidRPr="00FD3370">
              <w:t>Saskaņošanai nosūtītā projekta redakcija (konkrēta punkta (panta) redakcija)</w:t>
            </w:r>
          </w:p>
        </w:tc>
        <w:tc>
          <w:tcPr>
            <w:tcW w:w="3573" w:type="dxa"/>
            <w:tcBorders>
              <w:top w:val="single" w:color="808080" w:sz="6" w:space="0"/>
              <w:left w:val="single" w:color="808080" w:sz="6" w:space="0"/>
              <w:bottom w:val="single" w:color="808080" w:sz="6" w:space="0"/>
              <w:right w:val="single" w:color="808080" w:sz="6" w:space="0"/>
            </w:tcBorders>
            <w:vAlign w:val="center"/>
          </w:tcPr>
          <w:p w:rsidRPr="00FD3370" w:rsidR="004C4E40" w:rsidP="004C4E40" w:rsidRDefault="004C4E40" w14:paraId="6621E1CA" w14:textId="77777777">
            <w:pPr>
              <w:spacing w:before="100" w:beforeAutospacing="1" w:after="100" w:afterAutospacing="1"/>
              <w:jc w:val="center"/>
            </w:pPr>
            <w:r w:rsidRPr="00FD3370">
              <w:t>Atzinumā norādītais ministrijas (citas institūcijas) iebildums, kā arī saskaņošanā papildus izteiktais iebildums par projekta konkrēto punktu (pantu)</w:t>
            </w:r>
          </w:p>
        </w:tc>
        <w:tc>
          <w:tcPr>
            <w:tcW w:w="2033" w:type="dxa"/>
            <w:tcBorders>
              <w:top w:val="single" w:color="808080" w:sz="6" w:space="0"/>
              <w:left w:val="single" w:color="808080" w:sz="6" w:space="0"/>
              <w:bottom w:val="single" w:color="808080" w:sz="6" w:space="0"/>
              <w:right w:val="single" w:color="808080" w:sz="6" w:space="0"/>
            </w:tcBorders>
            <w:vAlign w:val="center"/>
          </w:tcPr>
          <w:p w:rsidRPr="00FD3370" w:rsidR="004C4E40" w:rsidP="004C4E40" w:rsidRDefault="004C4E40" w14:paraId="3CDFF519" w14:textId="77777777">
            <w:pPr>
              <w:spacing w:before="100" w:beforeAutospacing="1" w:after="100" w:afterAutospacing="1"/>
              <w:jc w:val="center"/>
            </w:pPr>
            <w:r w:rsidRPr="00FD3370">
              <w:t>Atbildīgās ministrijas pamatojums iebilduma noraidījumam</w:t>
            </w:r>
          </w:p>
        </w:tc>
        <w:tc>
          <w:tcPr>
            <w:tcW w:w="4204" w:type="dxa"/>
            <w:tcBorders>
              <w:top w:val="single" w:color="808080" w:sz="6" w:space="0"/>
              <w:left w:val="single" w:color="808080" w:sz="6" w:space="0"/>
              <w:bottom w:val="single" w:color="808080" w:sz="6" w:space="0"/>
              <w:right w:val="single" w:color="808080" w:sz="6" w:space="0"/>
            </w:tcBorders>
            <w:vAlign w:val="center"/>
          </w:tcPr>
          <w:p w:rsidRPr="00FD3370" w:rsidR="004C4E40" w:rsidP="004C4E40" w:rsidRDefault="004C4E40" w14:paraId="76CA9D71" w14:textId="77777777">
            <w:pPr>
              <w:spacing w:before="100" w:beforeAutospacing="1" w:after="100" w:afterAutospacing="1"/>
              <w:jc w:val="center"/>
            </w:pPr>
            <w:r w:rsidRPr="00FD3370">
              <w:t>Atzinuma sniedzēja uzturētais iebildums, ja tas atšķiras no atzinumā norādītā iebilduma pamatojuma</w:t>
            </w:r>
          </w:p>
        </w:tc>
        <w:tc>
          <w:tcPr>
            <w:tcW w:w="2410" w:type="dxa"/>
            <w:tcBorders>
              <w:top w:val="single" w:color="808080" w:sz="6" w:space="0"/>
              <w:left w:val="single" w:color="808080" w:sz="6" w:space="0"/>
              <w:bottom w:val="single" w:color="808080" w:sz="6" w:space="0"/>
              <w:right w:val="single" w:color="808080" w:sz="6" w:space="0"/>
            </w:tcBorders>
            <w:vAlign w:val="center"/>
          </w:tcPr>
          <w:p w:rsidRPr="00FD3370" w:rsidR="004C4E40" w:rsidP="004C4E40" w:rsidRDefault="004C4E40" w14:paraId="5606DE54" w14:textId="77777777">
            <w:pPr>
              <w:spacing w:before="100" w:beforeAutospacing="1" w:after="100" w:afterAutospacing="1"/>
              <w:jc w:val="center"/>
            </w:pPr>
            <w:r w:rsidRPr="00FD3370">
              <w:t>Projekta attiecīgā punkta (panta) galīgā redakcija</w:t>
            </w:r>
          </w:p>
        </w:tc>
      </w:tr>
      <w:tr w:rsidRPr="00FD3370" w:rsidR="00A1217F" w:rsidTr="000E1571" w14:paraId="582B7F54"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FD3370" w:rsidR="00A1217F" w:rsidP="00A1217F" w:rsidRDefault="002826C3" w14:paraId="78EC369B" w14:textId="6F1D769C">
            <w:pPr>
              <w:spacing w:before="100" w:beforeAutospacing="1" w:after="100" w:afterAutospacing="1"/>
            </w:pPr>
            <w:r w:rsidRPr="00FD3370">
              <w:t>1</w:t>
            </w:r>
            <w:r w:rsidRPr="00FD3370" w:rsidR="00A1217F">
              <w:t xml:space="preserve">. </w:t>
            </w:r>
          </w:p>
        </w:tc>
        <w:tc>
          <w:tcPr>
            <w:tcW w:w="2419" w:type="dxa"/>
            <w:tcBorders>
              <w:top w:val="single" w:color="808080" w:sz="6" w:space="0"/>
              <w:left w:val="single" w:color="808080" w:sz="6" w:space="0"/>
              <w:bottom w:val="single" w:color="808080" w:sz="6" w:space="0"/>
              <w:right w:val="single" w:color="808080" w:sz="6" w:space="0"/>
            </w:tcBorders>
          </w:tcPr>
          <w:p w:rsidRPr="00FD3370" w:rsidR="00A1217F" w:rsidP="0034404A" w:rsidRDefault="0034404A" w14:paraId="18F7E09B" w14:textId="4F762BB5">
            <w:pPr>
              <w:spacing w:before="100" w:beforeAutospacing="1" w:after="100" w:afterAutospacing="1"/>
              <w:jc w:val="center"/>
            </w:pPr>
            <w:r w:rsidRPr="00FD3370">
              <w:t>-</w:t>
            </w:r>
          </w:p>
        </w:tc>
        <w:tc>
          <w:tcPr>
            <w:tcW w:w="3573" w:type="dxa"/>
            <w:tcBorders>
              <w:top w:val="single" w:color="808080" w:sz="6" w:space="0"/>
              <w:left w:val="single" w:color="808080" w:sz="6" w:space="0"/>
              <w:bottom w:val="single" w:color="808080" w:sz="6" w:space="0"/>
              <w:right w:val="single" w:color="808080" w:sz="6" w:space="0"/>
            </w:tcBorders>
          </w:tcPr>
          <w:p w:rsidRPr="00FD3370" w:rsidR="00A1217F" w:rsidP="0034404A" w:rsidRDefault="0034404A" w14:paraId="78705D5E" w14:textId="3FAEC7BE">
            <w:pPr>
              <w:spacing w:after="160" w:line="252" w:lineRule="auto"/>
              <w:jc w:val="center"/>
            </w:pPr>
            <w:r w:rsidRPr="00FD3370">
              <w:rPr>
                <w:b/>
                <w:color w:val="000000" w:themeColor="text1"/>
              </w:rPr>
              <w:t>-</w:t>
            </w:r>
          </w:p>
        </w:tc>
        <w:tc>
          <w:tcPr>
            <w:tcW w:w="2033" w:type="dxa"/>
            <w:tcBorders>
              <w:top w:val="single" w:color="808080" w:sz="6" w:space="0"/>
              <w:left w:val="single" w:color="808080" w:sz="6" w:space="0"/>
              <w:bottom w:val="single" w:color="808080" w:sz="6" w:space="0"/>
              <w:right w:val="single" w:color="808080" w:sz="6" w:space="0"/>
            </w:tcBorders>
          </w:tcPr>
          <w:p w:rsidRPr="00FD3370" w:rsidR="00A1217F" w:rsidP="001F62E0" w:rsidRDefault="0034404A" w14:paraId="09BACECC" w14:textId="35DDD980">
            <w:pPr>
              <w:pStyle w:val="naisc"/>
              <w:spacing w:before="0" w:after="0"/>
              <w:ind w:left="57" w:right="57" w:firstLine="409"/>
            </w:pPr>
            <w:r w:rsidRPr="00FD3370">
              <w:rPr>
                <w:b/>
              </w:rPr>
              <w:t>-</w:t>
            </w:r>
          </w:p>
        </w:tc>
        <w:tc>
          <w:tcPr>
            <w:tcW w:w="4204" w:type="dxa"/>
            <w:tcBorders>
              <w:top w:val="single" w:color="808080" w:sz="6" w:space="0"/>
              <w:left w:val="single" w:color="808080" w:sz="6" w:space="0"/>
              <w:bottom w:val="single" w:color="808080" w:sz="6" w:space="0"/>
              <w:right w:val="single" w:color="808080" w:sz="6" w:space="0"/>
            </w:tcBorders>
          </w:tcPr>
          <w:p w:rsidRPr="00FD3370" w:rsidR="00A1217F" w:rsidP="0034404A" w:rsidRDefault="0034404A" w14:paraId="5E9C0E19" w14:textId="3122E917">
            <w:pPr>
              <w:spacing w:before="100" w:beforeAutospacing="1" w:after="100" w:afterAutospacing="1"/>
              <w:ind w:left="75" w:right="89"/>
              <w:jc w:val="center"/>
            </w:pPr>
            <w:r w:rsidRPr="00FD3370">
              <w:t>-</w:t>
            </w:r>
          </w:p>
        </w:tc>
        <w:tc>
          <w:tcPr>
            <w:tcW w:w="2410" w:type="dxa"/>
            <w:tcBorders>
              <w:top w:val="single" w:color="808080" w:sz="6" w:space="0"/>
              <w:left w:val="single" w:color="808080" w:sz="6" w:space="0"/>
              <w:bottom w:val="single" w:color="808080" w:sz="6" w:space="0"/>
              <w:right w:val="single" w:color="808080" w:sz="6" w:space="0"/>
            </w:tcBorders>
          </w:tcPr>
          <w:p w:rsidRPr="00FD3370" w:rsidR="00A1217F" w:rsidP="0034404A" w:rsidRDefault="0034404A" w14:paraId="23D5B272" w14:textId="2354E402">
            <w:pPr>
              <w:spacing w:before="100" w:beforeAutospacing="1" w:after="100" w:afterAutospacing="1"/>
              <w:jc w:val="center"/>
            </w:pPr>
            <w:r w:rsidRPr="00FD3370">
              <w:t>-</w:t>
            </w:r>
          </w:p>
        </w:tc>
      </w:tr>
      <w:tr w:rsidRPr="00FD3370" w:rsidR="00B3121F" w:rsidTr="000E1571" w14:paraId="03A0BCD3"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FD3370" w:rsidR="00B3121F" w:rsidP="00A1217F" w:rsidRDefault="00B3121F" w14:paraId="25EF213B" w14:textId="77777777">
            <w:pPr>
              <w:spacing w:before="100" w:beforeAutospacing="1" w:after="100" w:afterAutospacing="1"/>
            </w:pPr>
          </w:p>
        </w:tc>
        <w:tc>
          <w:tcPr>
            <w:tcW w:w="2419" w:type="dxa"/>
            <w:tcBorders>
              <w:top w:val="single" w:color="808080" w:sz="6" w:space="0"/>
              <w:left w:val="single" w:color="808080" w:sz="6" w:space="0"/>
              <w:bottom w:val="single" w:color="808080" w:sz="6" w:space="0"/>
              <w:right w:val="single" w:color="808080" w:sz="6" w:space="0"/>
            </w:tcBorders>
          </w:tcPr>
          <w:p w:rsidRPr="00FD3370" w:rsidR="00B3121F" w:rsidP="0034404A" w:rsidRDefault="00B3121F" w14:paraId="61DAA641" w14:textId="77777777">
            <w:pPr>
              <w:spacing w:before="100" w:beforeAutospacing="1" w:after="100" w:afterAutospacing="1"/>
              <w:jc w:val="center"/>
            </w:pPr>
          </w:p>
        </w:tc>
        <w:tc>
          <w:tcPr>
            <w:tcW w:w="3573" w:type="dxa"/>
            <w:tcBorders>
              <w:top w:val="single" w:color="808080" w:sz="6" w:space="0"/>
              <w:left w:val="single" w:color="808080" w:sz="6" w:space="0"/>
              <w:bottom w:val="single" w:color="808080" w:sz="6" w:space="0"/>
              <w:right w:val="single" w:color="808080" w:sz="6" w:space="0"/>
            </w:tcBorders>
          </w:tcPr>
          <w:p w:rsidRPr="00FD3370" w:rsidR="00B3121F" w:rsidP="0034404A" w:rsidRDefault="00B3121F" w14:paraId="1C28F2F1" w14:textId="77777777">
            <w:pPr>
              <w:spacing w:after="160" w:line="252" w:lineRule="auto"/>
              <w:jc w:val="center"/>
              <w:rPr>
                <w:b/>
                <w:color w:val="000000" w:themeColor="text1"/>
              </w:rPr>
            </w:pPr>
          </w:p>
        </w:tc>
        <w:tc>
          <w:tcPr>
            <w:tcW w:w="2033" w:type="dxa"/>
            <w:tcBorders>
              <w:top w:val="single" w:color="808080" w:sz="6" w:space="0"/>
              <w:left w:val="single" w:color="808080" w:sz="6" w:space="0"/>
              <w:bottom w:val="single" w:color="808080" w:sz="6" w:space="0"/>
              <w:right w:val="single" w:color="808080" w:sz="6" w:space="0"/>
            </w:tcBorders>
          </w:tcPr>
          <w:p w:rsidRPr="00FD3370" w:rsidR="00B3121F" w:rsidP="000E1571" w:rsidRDefault="00B3121F" w14:paraId="69FCCD88" w14:textId="77777777">
            <w:pPr>
              <w:pStyle w:val="naisc"/>
              <w:spacing w:before="0" w:after="0"/>
              <w:ind w:left="57" w:right="57" w:firstLine="409"/>
              <w:rPr>
                <w:b/>
              </w:rPr>
            </w:pPr>
          </w:p>
        </w:tc>
        <w:tc>
          <w:tcPr>
            <w:tcW w:w="4204" w:type="dxa"/>
            <w:tcBorders>
              <w:top w:val="single" w:color="808080" w:sz="6" w:space="0"/>
              <w:left w:val="single" w:color="808080" w:sz="6" w:space="0"/>
              <w:bottom w:val="single" w:color="808080" w:sz="6" w:space="0"/>
              <w:right w:val="single" w:color="808080" w:sz="6" w:space="0"/>
            </w:tcBorders>
          </w:tcPr>
          <w:p w:rsidRPr="00FD3370" w:rsidR="00B3121F" w:rsidP="0034404A" w:rsidRDefault="00B3121F" w14:paraId="2265CD46" w14:textId="77777777">
            <w:pPr>
              <w:spacing w:before="100" w:beforeAutospacing="1" w:after="100" w:afterAutospacing="1"/>
              <w:ind w:left="75" w:right="89"/>
              <w:jc w:val="center"/>
            </w:pPr>
          </w:p>
        </w:tc>
        <w:tc>
          <w:tcPr>
            <w:tcW w:w="2410" w:type="dxa"/>
            <w:tcBorders>
              <w:top w:val="single" w:color="808080" w:sz="6" w:space="0"/>
              <w:left w:val="single" w:color="808080" w:sz="6" w:space="0"/>
              <w:bottom w:val="single" w:color="808080" w:sz="6" w:space="0"/>
              <w:right w:val="single" w:color="808080" w:sz="6" w:space="0"/>
            </w:tcBorders>
          </w:tcPr>
          <w:p w:rsidRPr="00FD3370" w:rsidR="00B3121F" w:rsidP="0034404A" w:rsidRDefault="00B3121F" w14:paraId="3680BB5D" w14:textId="77777777">
            <w:pPr>
              <w:spacing w:before="100" w:beforeAutospacing="1" w:after="100" w:afterAutospacing="1"/>
              <w:jc w:val="center"/>
            </w:pPr>
          </w:p>
        </w:tc>
      </w:tr>
      <w:tr w:rsidRPr="00FD3370" w:rsidR="00B3121F" w:rsidTr="000E1571" w14:paraId="716ED8A9"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FD3370" w:rsidR="00B3121F" w:rsidP="00A1217F" w:rsidRDefault="00B3121F" w14:paraId="1A86863A" w14:textId="77777777">
            <w:pPr>
              <w:spacing w:before="100" w:beforeAutospacing="1" w:after="100" w:afterAutospacing="1"/>
            </w:pPr>
          </w:p>
        </w:tc>
        <w:tc>
          <w:tcPr>
            <w:tcW w:w="2419" w:type="dxa"/>
            <w:tcBorders>
              <w:top w:val="single" w:color="808080" w:sz="6" w:space="0"/>
              <w:left w:val="single" w:color="808080" w:sz="6" w:space="0"/>
              <w:bottom w:val="single" w:color="808080" w:sz="6" w:space="0"/>
              <w:right w:val="single" w:color="808080" w:sz="6" w:space="0"/>
            </w:tcBorders>
          </w:tcPr>
          <w:p w:rsidRPr="00FD3370" w:rsidR="00B3121F" w:rsidP="0034404A" w:rsidRDefault="00B3121F" w14:paraId="35D825BB" w14:textId="77777777">
            <w:pPr>
              <w:spacing w:before="100" w:beforeAutospacing="1" w:after="100" w:afterAutospacing="1"/>
              <w:jc w:val="center"/>
            </w:pPr>
          </w:p>
        </w:tc>
        <w:tc>
          <w:tcPr>
            <w:tcW w:w="3573" w:type="dxa"/>
            <w:tcBorders>
              <w:top w:val="single" w:color="808080" w:sz="6" w:space="0"/>
              <w:left w:val="single" w:color="808080" w:sz="6" w:space="0"/>
              <w:bottom w:val="single" w:color="808080" w:sz="6" w:space="0"/>
              <w:right w:val="single" w:color="808080" w:sz="6" w:space="0"/>
            </w:tcBorders>
          </w:tcPr>
          <w:p w:rsidRPr="00FD3370" w:rsidR="00B3121F" w:rsidP="0034404A" w:rsidRDefault="00B3121F" w14:paraId="402C356D" w14:textId="77777777">
            <w:pPr>
              <w:spacing w:after="160" w:line="252" w:lineRule="auto"/>
              <w:jc w:val="center"/>
              <w:rPr>
                <w:b/>
                <w:color w:val="000000" w:themeColor="text1"/>
              </w:rPr>
            </w:pPr>
          </w:p>
        </w:tc>
        <w:tc>
          <w:tcPr>
            <w:tcW w:w="2033" w:type="dxa"/>
            <w:tcBorders>
              <w:top w:val="single" w:color="808080" w:sz="6" w:space="0"/>
              <w:left w:val="single" w:color="808080" w:sz="6" w:space="0"/>
              <w:bottom w:val="single" w:color="808080" w:sz="6" w:space="0"/>
              <w:right w:val="single" w:color="808080" w:sz="6" w:space="0"/>
            </w:tcBorders>
          </w:tcPr>
          <w:p w:rsidRPr="00FD3370" w:rsidR="00B3121F" w:rsidP="000E1571" w:rsidRDefault="00B3121F" w14:paraId="7B0A5CCD" w14:textId="77777777">
            <w:pPr>
              <w:pStyle w:val="naisc"/>
              <w:spacing w:before="0" w:after="0"/>
              <w:ind w:left="57" w:right="57" w:firstLine="409"/>
              <w:rPr>
                <w:b/>
              </w:rPr>
            </w:pPr>
          </w:p>
        </w:tc>
        <w:tc>
          <w:tcPr>
            <w:tcW w:w="4204" w:type="dxa"/>
            <w:tcBorders>
              <w:top w:val="single" w:color="808080" w:sz="6" w:space="0"/>
              <w:left w:val="single" w:color="808080" w:sz="6" w:space="0"/>
              <w:bottom w:val="single" w:color="808080" w:sz="6" w:space="0"/>
              <w:right w:val="single" w:color="808080" w:sz="6" w:space="0"/>
            </w:tcBorders>
          </w:tcPr>
          <w:p w:rsidRPr="00FD3370" w:rsidR="00B3121F" w:rsidP="0034404A" w:rsidRDefault="00B3121F" w14:paraId="57972C3E" w14:textId="77777777">
            <w:pPr>
              <w:spacing w:before="100" w:beforeAutospacing="1" w:after="100" w:afterAutospacing="1"/>
              <w:ind w:left="75" w:right="89"/>
              <w:jc w:val="center"/>
            </w:pPr>
          </w:p>
        </w:tc>
        <w:tc>
          <w:tcPr>
            <w:tcW w:w="2410" w:type="dxa"/>
            <w:tcBorders>
              <w:top w:val="single" w:color="808080" w:sz="6" w:space="0"/>
              <w:left w:val="single" w:color="808080" w:sz="6" w:space="0"/>
              <w:bottom w:val="single" w:color="808080" w:sz="6" w:space="0"/>
              <w:right w:val="single" w:color="808080" w:sz="6" w:space="0"/>
            </w:tcBorders>
          </w:tcPr>
          <w:p w:rsidRPr="00FD3370" w:rsidR="00B3121F" w:rsidP="0034404A" w:rsidRDefault="00B3121F" w14:paraId="5D892575" w14:textId="77777777">
            <w:pPr>
              <w:spacing w:before="100" w:beforeAutospacing="1" w:after="100" w:afterAutospacing="1"/>
              <w:jc w:val="center"/>
            </w:pPr>
          </w:p>
        </w:tc>
      </w:tr>
    </w:tbl>
    <w:p w:rsidRPr="00FD3370" w:rsidR="004C4E40" w:rsidP="004C4E40" w:rsidRDefault="004C4E40" w14:paraId="3F43B944" w14:textId="73B5BF78">
      <w:pPr>
        <w:spacing w:before="100" w:beforeAutospacing="1" w:after="100" w:afterAutospacing="1"/>
      </w:pPr>
      <w:r w:rsidRPr="00FD3370">
        <w:t>Informācija par</w:t>
      </w:r>
      <w:r w:rsidR="00EC0CDD">
        <w:t xml:space="preserve"> </w:t>
      </w:r>
      <w:proofErr w:type="spellStart"/>
      <w:r w:rsidRPr="00FD3370">
        <w:t>starpministriju</w:t>
      </w:r>
      <w:proofErr w:type="spellEnd"/>
      <w:r w:rsidRPr="00FD3370">
        <w:t xml:space="preserve"> (starpinstitūciju) sanāksmi vai elektronisko saskaņošanu</w:t>
      </w:r>
      <w:r w:rsidRPr="00FD3370">
        <w:tab/>
      </w:r>
      <w:r w:rsidRPr="00FD3370">
        <w:tab/>
      </w:r>
      <w:r w:rsidRPr="00FD3370">
        <w:tab/>
      </w:r>
      <w:r w:rsidRPr="00FD3370" w:rsidR="00031AB4">
        <w:t xml:space="preserve">                               </w:t>
      </w:r>
      <w:bookmarkStart w:name="_GoBack" w:id="0"/>
      <w:r w:rsidRPr="00FD3370" w:rsidR="00031AB4">
        <w:t xml:space="preserve">2019.gada </w:t>
      </w:r>
      <w:r w:rsidR="00811208">
        <w:t>2</w:t>
      </w:r>
      <w:r w:rsidR="00E63894">
        <w:t>6</w:t>
      </w:r>
      <w:r w:rsidR="00E12533">
        <w:t>.septembrī</w:t>
      </w:r>
      <w:bookmarkEnd w:id="0"/>
    </w:p>
    <w:p w:rsidRPr="00FD3370" w:rsidR="004C4E40" w:rsidP="004C4E40" w:rsidRDefault="004C4E40" w14:paraId="123EB7D7" w14:textId="77777777">
      <w:pPr>
        <w:jc w:val="right"/>
        <w:rPr>
          <w:b/>
          <w:bCs/>
          <w:lang w:eastAsia="en-US"/>
        </w:rPr>
      </w:pPr>
    </w:p>
    <w:p w:rsidRPr="00FD3370" w:rsidR="004C4E40" w:rsidP="004C4E40" w:rsidRDefault="004C4E40" w14:paraId="52190C7C" w14:textId="075248FD">
      <w:pPr>
        <w:ind w:left="5760" w:hanging="5760"/>
        <w:rPr>
          <w:lang w:eastAsia="en-US"/>
        </w:rPr>
      </w:pPr>
      <w:r w:rsidRPr="00FD3370">
        <w:rPr>
          <w:lang w:eastAsia="en-US"/>
        </w:rPr>
        <w:t xml:space="preserve">Saskaņošanas dalībnieki </w:t>
      </w:r>
      <w:r w:rsidRPr="00FD3370">
        <w:rPr>
          <w:lang w:eastAsia="en-US"/>
        </w:rPr>
        <w:tab/>
        <w:t>Finanšu ministrija</w:t>
      </w:r>
    </w:p>
    <w:p w:rsidRPr="00FD3370" w:rsidR="004C4E40" w:rsidP="004C4E40" w:rsidRDefault="004C4E40" w14:paraId="2600D7A0" w14:textId="77777777">
      <w:pPr>
        <w:ind w:left="5760"/>
        <w:jc w:val="both"/>
        <w:rPr>
          <w:lang w:eastAsia="en-US"/>
        </w:rPr>
      </w:pPr>
    </w:p>
    <w:p w:rsidRPr="00FD3370" w:rsidR="004C4E40" w:rsidP="004C4E40" w:rsidRDefault="004C4E40" w14:paraId="095CE228" w14:textId="77777777">
      <w:pPr>
        <w:ind w:left="5760" w:hanging="5760"/>
        <w:jc w:val="both"/>
        <w:rPr>
          <w:lang w:eastAsia="en-US"/>
        </w:rPr>
      </w:pPr>
      <w:r w:rsidRPr="00FD3370">
        <w:rPr>
          <w:lang w:eastAsia="en-US"/>
        </w:rPr>
        <w:t xml:space="preserve">Saskaņošanas dalībnieki izskatīja šādu ministriju (citu </w:t>
      </w:r>
    </w:p>
    <w:p w:rsidRPr="00FD3370" w:rsidR="004C4E40" w:rsidP="004C4E40" w:rsidRDefault="004C4E40" w14:paraId="4B5CC184" w14:textId="1A7794C6">
      <w:pPr>
        <w:ind w:left="5760" w:hanging="5760"/>
        <w:jc w:val="both"/>
        <w:rPr>
          <w:lang w:eastAsia="en-US"/>
        </w:rPr>
      </w:pPr>
      <w:r w:rsidRPr="00FD3370">
        <w:rPr>
          <w:lang w:eastAsia="en-US"/>
        </w:rPr>
        <w:t>institūciju) iebildumus</w:t>
      </w:r>
      <w:r w:rsidRPr="00FD3370">
        <w:rPr>
          <w:lang w:eastAsia="en-US"/>
        </w:rPr>
        <w:tab/>
      </w:r>
      <w:r w:rsidRPr="00FD3370" w:rsidR="006B3940">
        <w:rPr>
          <w:lang w:eastAsia="en-US"/>
        </w:rPr>
        <w:t>Finanšu</w:t>
      </w:r>
      <w:r w:rsidRPr="00FD3370" w:rsidR="00C638EF">
        <w:rPr>
          <w:lang w:eastAsia="en-US"/>
        </w:rPr>
        <w:t xml:space="preserve"> ministrija</w:t>
      </w:r>
    </w:p>
    <w:p w:rsidRPr="00FD3370" w:rsidR="004C4E40" w:rsidP="004C4E40" w:rsidRDefault="004C4E40" w14:paraId="4078CC81" w14:textId="77777777">
      <w:pPr>
        <w:ind w:left="5760" w:hanging="5760"/>
        <w:jc w:val="both"/>
        <w:rPr>
          <w:lang w:eastAsia="en-US"/>
        </w:rPr>
      </w:pPr>
      <w:r w:rsidRPr="00FD3370">
        <w:rPr>
          <w:lang w:eastAsia="en-US"/>
        </w:rPr>
        <w:t xml:space="preserve">                                                      </w:t>
      </w:r>
    </w:p>
    <w:p w:rsidRPr="00FD3370" w:rsidR="004C4E40" w:rsidP="004C4E40" w:rsidRDefault="004C4E40" w14:paraId="754A4BC0" w14:textId="77777777">
      <w:pPr>
        <w:ind w:left="5760" w:hanging="5760"/>
        <w:rPr>
          <w:lang w:eastAsia="en-US"/>
        </w:rPr>
      </w:pPr>
      <w:r w:rsidRPr="00FD3370">
        <w:rPr>
          <w:lang w:eastAsia="en-US"/>
        </w:rPr>
        <w:t xml:space="preserve">Ministrijas (citas institūcijas), kuras nav ieradušās uz </w:t>
      </w:r>
      <w:r w:rsidRPr="00FD3370">
        <w:rPr>
          <w:lang w:eastAsia="en-US"/>
        </w:rPr>
        <w:tab/>
        <w:t xml:space="preserve"> </w:t>
      </w:r>
    </w:p>
    <w:p w:rsidRPr="00FD3370" w:rsidR="004C4E40" w:rsidP="004C4E40" w:rsidRDefault="004C4E40" w14:paraId="3E48EB41" w14:textId="77777777">
      <w:pPr>
        <w:ind w:left="5760" w:hanging="5760"/>
        <w:jc w:val="both"/>
        <w:rPr>
          <w:lang w:eastAsia="en-US"/>
        </w:rPr>
      </w:pPr>
      <w:r w:rsidRPr="00FD3370">
        <w:rPr>
          <w:lang w:eastAsia="en-US"/>
        </w:rPr>
        <w:t>sanāksmi vai kuras nav atbildējušas uz uzaicinājumu</w:t>
      </w:r>
      <w:r w:rsidRPr="00FD3370">
        <w:rPr>
          <w:lang w:eastAsia="en-US"/>
        </w:rPr>
        <w:tab/>
      </w:r>
    </w:p>
    <w:p w:rsidRPr="00FD3370" w:rsidR="004C4E40" w:rsidP="004C4E40" w:rsidRDefault="004C4E40" w14:paraId="0E75E2AD" w14:textId="77777777">
      <w:pPr>
        <w:jc w:val="both"/>
        <w:rPr>
          <w:lang w:eastAsia="en-US"/>
        </w:rPr>
      </w:pPr>
      <w:r w:rsidRPr="00FD3370">
        <w:rPr>
          <w:lang w:eastAsia="en-US"/>
        </w:rPr>
        <w:t xml:space="preserve">piedalīties elektroniskajā saskaņošanā </w:t>
      </w:r>
      <w:r w:rsidRPr="00FD3370">
        <w:rPr>
          <w:lang w:eastAsia="en-US"/>
        </w:rPr>
        <w:tab/>
      </w:r>
      <w:r w:rsidRPr="00FD3370">
        <w:rPr>
          <w:lang w:eastAsia="en-US"/>
        </w:rPr>
        <w:tab/>
      </w:r>
      <w:r w:rsidRPr="00FD3370">
        <w:rPr>
          <w:lang w:eastAsia="en-US"/>
        </w:rPr>
        <w:tab/>
      </w:r>
    </w:p>
    <w:p w:rsidRPr="00FD3370" w:rsidR="00F91387" w:rsidP="00AB26CB" w:rsidRDefault="00F91387" w14:paraId="32F60137" w14:textId="77777777">
      <w:pPr>
        <w:pStyle w:val="naisf"/>
        <w:spacing w:before="0" w:after="0"/>
        <w:ind w:right="57" w:firstLine="0"/>
        <w:jc w:val="center"/>
        <w:rPr>
          <w:b/>
        </w:rPr>
      </w:pPr>
    </w:p>
    <w:p w:rsidRPr="00FD3370" w:rsidR="00B3121F" w:rsidRDefault="00B3121F" w14:paraId="494310B5" w14:textId="77777777">
      <w:pPr>
        <w:spacing w:line="276" w:lineRule="auto"/>
        <w:rPr>
          <w:b/>
        </w:rPr>
      </w:pPr>
      <w:r w:rsidRPr="00FD3370">
        <w:rPr>
          <w:b/>
        </w:rPr>
        <w:br w:type="page"/>
      </w:r>
    </w:p>
    <w:p w:rsidRPr="00FD3370" w:rsidR="00B21B35" w:rsidP="0076278E" w:rsidRDefault="00AB26CB" w14:paraId="16204EF0" w14:textId="5EFA740D">
      <w:pPr>
        <w:pStyle w:val="naisf"/>
        <w:spacing w:before="0" w:after="0"/>
        <w:ind w:right="57" w:firstLine="0"/>
        <w:jc w:val="center"/>
        <w:rPr>
          <w:b/>
        </w:rPr>
      </w:pPr>
      <w:r w:rsidRPr="00FD3370">
        <w:rPr>
          <w:b/>
        </w:rPr>
        <w:lastRenderedPageBreak/>
        <w:t xml:space="preserve">II </w:t>
      </w:r>
      <w:r w:rsidRPr="00FD3370" w:rsidR="00B21B35">
        <w:rPr>
          <w:b/>
        </w:rPr>
        <w:t>Jautājumi, par kuriem saskaņošanā vienošanās ir panākta</w:t>
      </w:r>
    </w:p>
    <w:p w:rsidRPr="00FD3370" w:rsidR="00B21B35" w:rsidP="00B21B35" w:rsidRDefault="00B21B35" w14:paraId="70810994" w14:textId="77777777">
      <w:pPr>
        <w:pStyle w:val="naisf"/>
        <w:spacing w:before="0" w:after="0"/>
        <w:ind w:left="1080" w:right="57" w:firstLine="0"/>
        <w:jc w:val="center"/>
        <w:rPr>
          <w:b/>
        </w:rPr>
      </w:pPr>
    </w:p>
    <w:tbl>
      <w:tblPr>
        <w:tblW w:w="14317" w:type="dxa"/>
        <w:tblInd w:w="-34"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1869"/>
        <w:gridCol w:w="5670"/>
        <w:gridCol w:w="2410"/>
        <w:gridCol w:w="3659"/>
      </w:tblGrid>
      <w:tr w:rsidRPr="00FD3370" w:rsidR="00B21B35" w:rsidTr="00174771" w14:paraId="068E629A"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FD3370" w:rsidR="00B21B35" w:rsidP="0034227A" w:rsidRDefault="00AB26CB" w14:paraId="21595C0B" w14:textId="77777777">
            <w:pPr>
              <w:pStyle w:val="naisc"/>
              <w:spacing w:before="0" w:after="0"/>
              <w:ind w:left="57" w:right="57"/>
            </w:pPr>
            <w:r w:rsidRPr="00FD3370">
              <w:t xml:space="preserve">Nr. </w:t>
            </w:r>
            <w:r w:rsidRPr="00FD3370" w:rsidR="00B21B35">
              <w:t>p.</w:t>
            </w:r>
            <w:r w:rsidRPr="00FD3370">
              <w:t xml:space="preserve"> </w:t>
            </w:r>
            <w:r w:rsidRPr="00FD3370" w:rsidR="00B21B35">
              <w:t>k.</w:t>
            </w:r>
          </w:p>
        </w:tc>
        <w:tc>
          <w:tcPr>
            <w:tcW w:w="1869" w:type="dxa"/>
            <w:tcBorders>
              <w:top w:val="single" w:color="000000" w:sz="6" w:space="0"/>
              <w:left w:val="single" w:color="000000" w:sz="6" w:space="0"/>
              <w:bottom w:val="single" w:color="000000" w:sz="6" w:space="0"/>
              <w:right w:val="single" w:color="000000" w:sz="6" w:space="0"/>
            </w:tcBorders>
            <w:vAlign w:val="center"/>
          </w:tcPr>
          <w:p w:rsidRPr="00FD3370" w:rsidR="00B21B35" w:rsidP="00AD782D" w:rsidRDefault="00B21B35" w14:paraId="7C2CCD69" w14:textId="77777777">
            <w:pPr>
              <w:pStyle w:val="naisc"/>
              <w:spacing w:before="0" w:after="0"/>
              <w:ind w:left="57" w:right="57"/>
            </w:pPr>
            <w:r w:rsidRPr="00FD3370">
              <w:t>Saskaņošanai nosūtītā projekta redakcija (konkrēta punkta (panta) redakcija)</w:t>
            </w:r>
          </w:p>
        </w:tc>
        <w:tc>
          <w:tcPr>
            <w:tcW w:w="5670" w:type="dxa"/>
            <w:tcBorders>
              <w:top w:val="single" w:color="000000" w:sz="6" w:space="0"/>
              <w:left w:val="single" w:color="000000" w:sz="6" w:space="0"/>
              <w:bottom w:val="single" w:color="000000" w:sz="6" w:space="0"/>
              <w:right w:val="single" w:color="000000" w:sz="6" w:space="0"/>
            </w:tcBorders>
            <w:vAlign w:val="center"/>
          </w:tcPr>
          <w:p w:rsidRPr="00FD3370" w:rsidR="00B21B35" w:rsidP="00AD782D" w:rsidRDefault="00B21B35" w14:paraId="5DD136EB" w14:textId="77777777">
            <w:pPr>
              <w:pStyle w:val="naisc"/>
              <w:spacing w:before="0" w:after="0"/>
              <w:ind w:left="57" w:right="57"/>
            </w:pPr>
            <w:r w:rsidRPr="00FD3370">
              <w:t>Atzinumā norādītais ministrijas (citas institūcijas) iebildums, kā arī saskaņošanā papildus izteiktais iebildums par projekta konkrēto punktu (pantu)</w:t>
            </w:r>
          </w:p>
        </w:tc>
        <w:tc>
          <w:tcPr>
            <w:tcW w:w="2410" w:type="dxa"/>
            <w:tcBorders>
              <w:top w:val="single" w:color="000000" w:sz="6" w:space="0"/>
              <w:left w:val="single" w:color="000000" w:sz="6" w:space="0"/>
              <w:bottom w:val="single" w:color="000000" w:sz="6" w:space="0"/>
              <w:right w:val="single" w:color="000000" w:sz="6" w:space="0"/>
            </w:tcBorders>
            <w:vAlign w:val="center"/>
          </w:tcPr>
          <w:p w:rsidRPr="00FD3370" w:rsidR="00B21B35" w:rsidP="00AD782D" w:rsidRDefault="00B21B35" w14:paraId="3E34C64A" w14:textId="77777777">
            <w:pPr>
              <w:pStyle w:val="naisc"/>
              <w:spacing w:before="0" w:after="0"/>
              <w:ind w:left="57" w:right="57"/>
            </w:pPr>
            <w:r w:rsidRPr="00FD3370">
              <w:t>Atbildīgās ministrijas norāde par to, ka iebildums ir ņemts vērā, vai informācija par saskaņošanā panākto alternatīvo risinājumu</w:t>
            </w:r>
          </w:p>
        </w:tc>
        <w:tc>
          <w:tcPr>
            <w:tcW w:w="3659" w:type="dxa"/>
            <w:tcBorders>
              <w:top w:val="single" w:color="auto" w:sz="4" w:space="0"/>
              <w:left w:val="single" w:color="auto" w:sz="4" w:space="0"/>
              <w:bottom w:val="single" w:color="auto" w:sz="4" w:space="0"/>
            </w:tcBorders>
            <w:vAlign w:val="center"/>
          </w:tcPr>
          <w:p w:rsidRPr="00FD3370" w:rsidR="00B21B35" w:rsidP="00AD782D" w:rsidRDefault="00B21B35" w14:paraId="09A7D476" w14:textId="77777777">
            <w:pPr>
              <w:ind w:left="57" w:right="57"/>
              <w:jc w:val="center"/>
            </w:pPr>
            <w:r w:rsidRPr="00FD3370">
              <w:t>Projekta attiecīgā punkta (panta) galīgā redakcija</w:t>
            </w:r>
          </w:p>
        </w:tc>
      </w:tr>
      <w:tr w:rsidRPr="00FD3370" w:rsidR="00B21B35" w:rsidTr="00174771" w14:paraId="448CFF1E" w14:textId="77777777">
        <w:trPr>
          <w:trHeight w:val="318"/>
        </w:trPr>
        <w:tc>
          <w:tcPr>
            <w:tcW w:w="709" w:type="dxa"/>
            <w:tcBorders>
              <w:top w:val="single" w:color="000000" w:sz="6" w:space="0"/>
              <w:left w:val="single" w:color="000000" w:sz="6" w:space="0"/>
              <w:bottom w:val="single" w:color="auto" w:sz="4" w:space="0"/>
              <w:right w:val="single" w:color="000000" w:sz="6" w:space="0"/>
            </w:tcBorders>
          </w:tcPr>
          <w:p w:rsidRPr="00FD3370" w:rsidR="00B21B35" w:rsidP="0034227A" w:rsidRDefault="00B21B35" w14:paraId="1F69561C" w14:textId="77777777">
            <w:pPr>
              <w:pStyle w:val="naisc"/>
              <w:spacing w:before="0" w:after="0"/>
              <w:ind w:left="57" w:right="57"/>
            </w:pPr>
            <w:r w:rsidRPr="00FD3370">
              <w:t>1</w:t>
            </w:r>
          </w:p>
        </w:tc>
        <w:tc>
          <w:tcPr>
            <w:tcW w:w="1869" w:type="dxa"/>
            <w:tcBorders>
              <w:top w:val="single" w:color="000000" w:sz="6" w:space="0"/>
              <w:left w:val="single" w:color="000000" w:sz="6" w:space="0"/>
              <w:bottom w:val="single" w:color="auto" w:sz="4" w:space="0"/>
              <w:right w:val="single" w:color="000000" w:sz="6" w:space="0"/>
            </w:tcBorders>
          </w:tcPr>
          <w:p w:rsidRPr="00FD3370" w:rsidR="00B21B35" w:rsidP="009A1554" w:rsidRDefault="00B21B35" w14:paraId="27193170" w14:textId="77777777">
            <w:pPr>
              <w:pStyle w:val="naisc"/>
              <w:spacing w:before="0" w:after="0"/>
              <w:ind w:left="57" w:right="57"/>
            </w:pPr>
            <w:r w:rsidRPr="00FD3370">
              <w:t>2</w:t>
            </w:r>
          </w:p>
        </w:tc>
        <w:tc>
          <w:tcPr>
            <w:tcW w:w="5670" w:type="dxa"/>
            <w:tcBorders>
              <w:top w:val="single" w:color="000000" w:sz="6" w:space="0"/>
              <w:left w:val="single" w:color="000000" w:sz="6" w:space="0"/>
              <w:bottom w:val="single" w:color="auto" w:sz="4" w:space="0"/>
              <w:right w:val="single" w:color="000000" w:sz="6" w:space="0"/>
            </w:tcBorders>
          </w:tcPr>
          <w:p w:rsidRPr="00FD3370" w:rsidR="00B21B35" w:rsidP="009A1554" w:rsidRDefault="00B21B35" w14:paraId="0C8A512F" w14:textId="77777777">
            <w:pPr>
              <w:pStyle w:val="naisc"/>
              <w:spacing w:before="0" w:after="0"/>
              <w:ind w:left="57" w:right="57"/>
            </w:pPr>
            <w:r w:rsidRPr="00FD3370">
              <w:t>3</w:t>
            </w:r>
          </w:p>
        </w:tc>
        <w:tc>
          <w:tcPr>
            <w:tcW w:w="2410" w:type="dxa"/>
            <w:tcBorders>
              <w:top w:val="single" w:color="000000" w:sz="6" w:space="0"/>
              <w:left w:val="single" w:color="000000" w:sz="6" w:space="0"/>
              <w:bottom w:val="single" w:color="auto" w:sz="4" w:space="0"/>
              <w:right w:val="single" w:color="000000" w:sz="6" w:space="0"/>
            </w:tcBorders>
          </w:tcPr>
          <w:p w:rsidRPr="00FD3370" w:rsidR="00B21B35" w:rsidP="000A051C" w:rsidRDefault="00B21B35" w14:paraId="31593418" w14:textId="77777777">
            <w:pPr>
              <w:pStyle w:val="naisc"/>
              <w:spacing w:before="0" w:after="0"/>
              <w:ind w:left="57" w:right="57"/>
            </w:pPr>
            <w:r w:rsidRPr="00FD3370">
              <w:t>4</w:t>
            </w:r>
          </w:p>
        </w:tc>
        <w:tc>
          <w:tcPr>
            <w:tcW w:w="3659" w:type="dxa"/>
            <w:tcBorders>
              <w:top w:val="single" w:color="auto" w:sz="4" w:space="0"/>
              <w:left w:val="single" w:color="auto" w:sz="4" w:space="0"/>
              <w:bottom w:val="single" w:color="auto" w:sz="4" w:space="0"/>
            </w:tcBorders>
          </w:tcPr>
          <w:p w:rsidRPr="00FD3370" w:rsidR="00B21B35" w:rsidP="009A1554" w:rsidRDefault="00B21B35" w14:paraId="46304327" w14:textId="77777777">
            <w:pPr>
              <w:ind w:left="57" w:right="57"/>
              <w:jc w:val="center"/>
            </w:pPr>
            <w:r w:rsidRPr="00FD3370">
              <w:t>5</w:t>
            </w:r>
          </w:p>
        </w:tc>
      </w:tr>
      <w:tr w:rsidRPr="00FD3370" w:rsidR="009065BB" w:rsidTr="00174771" w14:paraId="4CB368F2"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9065BB" w:rsidP="0034404A" w:rsidRDefault="009065BB" w14:paraId="547A1EB5" w14:textId="0BCA77B8">
            <w:pPr>
              <w:pStyle w:val="naisc"/>
              <w:spacing w:before="0" w:after="0"/>
              <w:ind w:left="57" w:right="57"/>
            </w:pPr>
            <w:r w:rsidRPr="00FD3370">
              <w:t>1.</w:t>
            </w:r>
          </w:p>
        </w:tc>
        <w:tc>
          <w:tcPr>
            <w:tcW w:w="1869" w:type="dxa"/>
            <w:tcBorders>
              <w:top w:val="single" w:color="auto" w:sz="4" w:space="0"/>
              <w:left w:val="single" w:color="auto" w:sz="4" w:space="0"/>
              <w:bottom w:val="single" w:color="auto" w:sz="4" w:space="0"/>
              <w:right w:val="single" w:color="auto" w:sz="4" w:space="0"/>
            </w:tcBorders>
          </w:tcPr>
          <w:p w:rsidRPr="00FD3370" w:rsidR="009065BB" w:rsidP="0034404A" w:rsidRDefault="009065BB" w14:paraId="4713AB77" w14:textId="3988FDA2">
            <w:pPr>
              <w:pStyle w:val="naisc"/>
              <w:spacing w:before="0" w:after="0"/>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9065BB" w:rsidP="00643790" w:rsidRDefault="009065BB" w14:paraId="5609DCED" w14:textId="34EF9D98">
            <w:pPr>
              <w:jc w:val="center"/>
              <w:rPr>
                <w:b/>
                <w:color w:val="000000" w:themeColor="text1"/>
              </w:rPr>
            </w:pPr>
            <w:r w:rsidRPr="00FD3370">
              <w:rPr>
                <w:b/>
                <w:color w:val="000000" w:themeColor="text1"/>
              </w:rPr>
              <w:t>Finanšu ministrija</w:t>
            </w:r>
          </w:p>
          <w:p w:rsidRPr="00FD3370" w:rsidR="009065BB" w:rsidP="0034404A" w:rsidRDefault="009065BB" w14:paraId="6DDF0330" w14:textId="5C5865C7">
            <w:pPr>
              <w:spacing w:after="160" w:line="252" w:lineRule="auto"/>
              <w:jc w:val="both"/>
            </w:pPr>
            <w:r w:rsidRPr="00FD3370">
              <w:t>Ministru kabineta 2019.gada 16.jūlija sēdē</w:t>
            </w:r>
            <w:r w:rsidRPr="00FD3370">
              <w:rPr>
                <w:rStyle w:val="FootnoteReference"/>
              </w:rPr>
              <w:footnoteReference w:id="1"/>
            </w:r>
            <w:r w:rsidRPr="00FD3370">
              <w:t xml:space="preserve"> tika skatīts jautājums par finansējumu jauno elektrovilcienu projektam un SM tika uzdots sagatavot un iesniegt FM priekšlikumus grozījumiem Eiropas Savienības struktūrfondu un Kohēzijas fonda (turpmāk – ES fondi) darbības programmā “Izaugsme un nodarbinātība” (turpmāk – DP) ES fondu līdzfinansējuma nodrošināšanai jauno elektrovilcienu projektam 2021.-2023.gadā tālākai virzībai iesniegšanai Eiropas Komisijai (turpmāk – EK), t.sk. paredzot arī negatīvas ietekmes uz vispārējās valdības budžetu mazināšanas iespējas un attiecīgi precizējot fiskālo ietekmi pa gadiem. Jauno elektrovilcienu projekta īstenošanai tika piešķirts finansējums 255 888 753 </w:t>
            </w:r>
            <w:proofErr w:type="spellStart"/>
            <w:r w:rsidRPr="00FD3370">
              <w:t>euro</w:t>
            </w:r>
            <w:proofErr w:type="spellEnd"/>
            <w:r w:rsidRPr="00FD3370">
              <w:t xml:space="preserve"> apmērā, t.sk. elektrovilcienu iepirkumam 241 888 753 </w:t>
            </w:r>
            <w:proofErr w:type="spellStart"/>
            <w:r w:rsidRPr="00FD3370">
              <w:t>euro</w:t>
            </w:r>
            <w:proofErr w:type="spellEnd"/>
            <w:r w:rsidRPr="00FD3370">
              <w:t xml:space="preserve"> un remontu centra (depo) būvniecībai 14 000 000 </w:t>
            </w:r>
            <w:proofErr w:type="spellStart"/>
            <w:r w:rsidRPr="00FD3370">
              <w:t>euro</w:t>
            </w:r>
            <w:proofErr w:type="spellEnd"/>
            <w:r w:rsidRPr="00FD3370">
              <w:t xml:space="preserve">. Vienlaikus SM sagatavotais ziņojuma projekts piedāvā gandrīz 30% (20 000 000 </w:t>
            </w:r>
            <w:proofErr w:type="spellStart"/>
            <w:r w:rsidRPr="00FD3370">
              <w:t>euro</w:t>
            </w:r>
            <w:proofErr w:type="spellEnd"/>
            <w:r w:rsidRPr="00FD3370">
              <w:t xml:space="preserve">) no atbrīvotā ES fondu finansējuma (70 000 000 </w:t>
            </w:r>
            <w:proofErr w:type="spellStart"/>
            <w:r w:rsidRPr="00FD3370">
              <w:t>euro</w:t>
            </w:r>
            <w:proofErr w:type="spellEnd"/>
            <w:r w:rsidRPr="00FD3370">
              <w:t xml:space="preserve">) novirzīt Daugavpils un </w:t>
            </w:r>
            <w:r w:rsidRPr="00FD3370">
              <w:lastRenderedPageBreak/>
              <w:t xml:space="preserve">Liepājas pilsētu projektiem, proti, 10 000 000 </w:t>
            </w:r>
            <w:proofErr w:type="spellStart"/>
            <w:r w:rsidRPr="00FD3370">
              <w:t>euro</w:t>
            </w:r>
            <w:proofErr w:type="spellEnd"/>
            <w:r w:rsidRPr="00FD3370">
              <w:t xml:space="preserve"> projektam “Videi draudzīga sabiedriskā transporta infrastruktūras attīstība Daugavpils pilsētā, II kārta” un 10 000 000 </w:t>
            </w:r>
            <w:proofErr w:type="spellStart"/>
            <w:r w:rsidRPr="00FD3370">
              <w:t>euro</w:t>
            </w:r>
            <w:proofErr w:type="spellEnd"/>
            <w:r w:rsidRPr="00FD3370">
              <w:t xml:space="preserve"> projektam “Liepājas tramvaja infrastruktūras attīstība”. Turklāt saskaņā ar SM sniegto informāciju projekta īstenotāji paredzētas pašvaldības, kurām saskaņā ar MK noteikumiem  Nr.42</w:t>
            </w:r>
            <w:r w:rsidRPr="00FD3370">
              <w:rPr>
                <w:rStyle w:val="FootnoteReference"/>
              </w:rPr>
              <w:footnoteReference w:id="2"/>
            </w:r>
            <w:r w:rsidRPr="00FD3370">
              <w:t xml:space="preserve"> projekta īstenošanai ir piešķirama valsts budžeta dotācija 970 589 </w:t>
            </w:r>
            <w:proofErr w:type="spellStart"/>
            <w:r w:rsidRPr="00FD3370">
              <w:t>euro</w:t>
            </w:r>
            <w:proofErr w:type="spellEnd"/>
            <w:r w:rsidRPr="00FD3370">
              <w:t xml:space="preserve"> apmērā, kā arī pašvaldībām projekta īstenošanai būs jānodrošina līdzfinansējums 2 558 823 </w:t>
            </w:r>
            <w:proofErr w:type="spellStart"/>
            <w:r w:rsidRPr="00FD3370">
              <w:t>euro</w:t>
            </w:r>
            <w:proofErr w:type="spellEnd"/>
            <w:r w:rsidRPr="00FD3370">
              <w:t xml:space="preserve"> apmērā, ko tās var pieprasīt kā aizņēmumu Valsts kasē. Ievērojot minēto, neatbalstām SM sagatavoto piedāvājumu, kas paredz daļu atbrīvotā ES fondu finansējuma novirzīšanu Daugavpils un Liepājas pilsētas projektiem, jo tie ne tikai samazina to finansējumu, kas būtu novirzāms jauno elektrovilcienu projekta īstenošanai, bet arī rada papildu valsts budžeta izdevumus 970 589 </w:t>
            </w:r>
            <w:proofErr w:type="spellStart"/>
            <w:r w:rsidRPr="00FD3370">
              <w:t>euro</w:t>
            </w:r>
            <w:proofErr w:type="spellEnd"/>
            <w:r w:rsidRPr="00FD3370">
              <w:t xml:space="preserve"> apmērā. Attiecīgi lūdzam precizēt visu ziņojuma projektu.</w:t>
            </w:r>
          </w:p>
        </w:tc>
        <w:tc>
          <w:tcPr>
            <w:tcW w:w="2410" w:type="dxa"/>
            <w:vMerge w:val="restart"/>
            <w:tcBorders>
              <w:top w:val="single" w:color="auto" w:sz="4" w:space="0"/>
              <w:left w:val="single" w:color="auto" w:sz="4" w:space="0"/>
              <w:right w:val="single" w:color="auto" w:sz="4" w:space="0"/>
            </w:tcBorders>
          </w:tcPr>
          <w:p w:rsidRPr="00FD3370" w:rsidR="009065BB" w:rsidP="0034404A" w:rsidRDefault="009065BB" w14:paraId="57A76CED" w14:textId="72C1A422">
            <w:pPr>
              <w:pStyle w:val="naisc"/>
              <w:spacing w:before="0" w:after="0"/>
              <w:ind w:left="57" w:right="57" w:firstLine="409"/>
              <w:rPr>
                <w:b/>
              </w:rPr>
            </w:pPr>
            <w:r w:rsidRPr="00FD3370">
              <w:rPr>
                <w:b/>
              </w:rPr>
              <w:lastRenderedPageBreak/>
              <w:t>Ņemts vērā</w:t>
            </w:r>
          </w:p>
          <w:p w:rsidRPr="00FD3370" w:rsidR="009065BB" w:rsidP="009E5DBB" w:rsidRDefault="009065BB" w14:paraId="1F8A438C" w14:textId="68C75448">
            <w:pPr>
              <w:pStyle w:val="naisc"/>
              <w:spacing w:before="0" w:after="0"/>
              <w:ind w:left="57" w:right="57"/>
              <w:jc w:val="both"/>
            </w:pPr>
            <w:r>
              <w:t xml:space="preserve"> </w:t>
            </w:r>
          </w:p>
        </w:tc>
        <w:tc>
          <w:tcPr>
            <w:tcW w:w="3659" w:type="dxa"/>
            <w:vMerge w:val="restart"/>
            <w:tcBorders>
              <w:top w:val="single" w:color="auto" w:sz="4" w:space="0"/>
              <w:left w:val="single" w:color="auto" w:sz="4" w:space="0"/>
            </w:tcBorders>
          </w:tcPr>
          <w:p w:rsidRPr="009E5DBB" w:rsidR="009065BB" w:rsidP="009E5DBB" w:rsidRDefault="0069337B" w14:paraId="164E161F" w14:textId="2BB5695D">
            <w:pPr>
              <w:pStyle w:val="naisc"/>
              <w:spacing w:before="0" w:after="0"/>
              <w:ind w:left="57" w:right="57" w:firstLine="6"/>
              <w:jc w:val="both"/>
              <w:rPr>
                <w:color w:val="000000" w:themeColor="text1"/>
              </w:rPr>
            </w:pPr>
            <w:r>
              <w:t xml:space="preserve">Veikti precizējumi </w:t>
            </w:r>
            <w:r w:rsidR="0076278E">
              <w:t>I</w:t>
            </w:r>
            <w:r>
              <w:t>nformatīvajā ziņoju</w:t>
            </w:r>
            <w:r w:rsidR="004363DC">
              <w:t>m</w:t>
            </w:r>
            <w:r>
              <w:t>ā</w:t>
            </w:r>
            <w:r w:rsidR="0076278E">
              <w:t>,</w:t>
            </w:r>
            <w:r>
              <w:t xml:space="preserve"> ievērojot Ministru kabineta 2019.gada 13.septembra sēdes </w:t>
            </w:r>
            <w:proofErr w:type="spellStart"/>
            <w:r w:rsidR="0076278E">
              <w:t>prtokollēmuma</w:t>
            </w:r>
            <w:proofErr w:type="spellEnd"/>
            <w:r w:rsidR="0076278E">
              <w:t xml:space="preserve"> (</w:t>
            </w:r>
            <w:r w:rsidR="00C44668">
              <w:t>prot</w:t>
            </w:r>
            <w:r w:rsidR="0076278E">
              <w:t>.</w:t>
            </w:r>
            <w:r w:rsidR="00C44668">
              <w:t xml:space="preserve"> Nr.41</w:t>
            </w:r>
            <w:r w:rsidR="0076278E">
              <w:t>,</w:t>
            </w:r>
            <w:r w:rsidR="00C44668">
              <w:t xml:space="preserve"> </w:t>
            </w:r>
            <w:bookmarkStart w:name="1" w:id="1"/>
            <w:r w:rsidR="00C44668">
              <w:t>1.§</w:t>
            </w:r>
            <w:bookmarkEnd w:id="1"/>
            <w:r w:rsidR="0076278E">
              <w:t>)</w:t>
            </w:r>
            <w:r w:rsidR="00C44668">
              <w:t xml:space="preserve"> </w:t>
            </w:r>
            <w:r w:rsidR="00B81892">
              <w:t xml:space="preserve"> </w:t>
            </w:r>
            <w:r>
              <w:t>3.1.apakšpunktu (TA-1641), k</w:t>
            </w:r>
            <w:r w:rsidR="0076278E">
              <w:t>as</w:t>
            </w:r>
            <w:r>
              <w:t xml:space="preserve"> nosaka </w:t>
            </w:r>
            <w:r w:rsidRPr="00FB7DD2">
              <w:rPr>
                <w:bCs/>
              </w:rPr>
              <w:t xml:space="preserve">novirzīt ES </w:t>
            </w:r>
            <w:r>
              <w:rPr>
                <w:bCs/>
              </w:rPr>
              <w:t xml:space="preserve">struktūrfondu un KF (turpmāk – ES </w:t>
            </w:r>
            <w:r w:rsidRPr="00FB7DD2">
              <w:rPr>
                <w:bCs/>
              </w:rPr>
              <w:t>fond</w:t>
            </w:r>
            <w:r>
              <w:rPr>
                <w:bCs/>
              </w:rPr>
              <w:t>i)</w:t>
            </w:r>
            <w:r w:rsidRPr="00FB7DD2">
              <w:rPr>
                <w:bCs/>
              </w:rPr>
              <w:t xml:space="preserve"> finansējumu 113 609 656 EUR </w:t>
            </w:r>
            <w:r>
              <w:rPr>
                <w:bCs/>
              </w:rPr>
              <w:t>apmērā (</w:t>
            </w:r>
            <w:r w:rsidRPr="00C52EED">
              <w:rPr>
                <w:bCs/>
              </w:rPr>
              <w:t xml:space="preserve">t.sk., </w:t>
            </w:r>
            <w:r w:rsidRPr="00FB7DD2">
              <w:rPr>
                <w:bCs/>
              </w:rPr>
              <w:t>Satiksmes ministrijai novirzot 4.5.1.1.pasākuma “Attīstīt videi draudzīgu sabiedriskā transporta infrastruktūru (sliežu transporta)” KF finansējumu 70 000 000 EUR</w:t>
            </w:r>
            <w:r>
              <w:rPr>
                <w:bCs/>
              </w:rPr>
              <w:t xml:space="preserve">) </w:t>
            </w:r>
            <w:r w:rsidRPr="00FB7DD2">
              <w:rPr>
                <w:bCs/>
              </w:rPr>
              <w:t>Rīgas un Pierīgas pasažieru pārvadājumu nodrošināšanai nepieciešamo elektrovilcienu iegādes projekta īstenošanai</w:t>
            </w:r>
            <w:r>
              <w:rPr>
                <w:bCs/>
              </w:rPr>
              <w:t xml:space="preserve">, tādejādi mazinot </w:t>
            </w:r>
            <w:r w:rsidR="004363DC">
              <w:rPr>
                <w:bCs/>
              </w:rPr>
              <w:t>ietekmi uz valsts budžetu</w:t>
            </w:r>
            <w:r>
              <w:rPr>
                <w:bCs/>
              </w:rPr>
              <w:t>.</w:t>
            </w:r>
          </w:p>
        </w:tc>
      </w:tr>
      <w:tr w:rsidRPr="00FD3370" w:rsidR="009065BB" w:rsidTr="00174771" w14:paraId="73D7359C"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9065BB" w:rsidP="0034404A" w:rsidRDefault="009065BB" w14:paraId="6F994821" w14:textId="7C6F979F">
            <w:pPr>
              <w:pStyle w:val="naisc"/>
              <w:spacing w:before="0" w:after="0"/>
              <w:ind w:left="57" w:right="57"/>
            </w:pPr>
            <w:r w:rsidRPr="00FD3370">
              <w:t>2.</w:t>
            </w:r>
          </w:p>
        </w:tc>
        <w:tc>
          <w:tcPr>
            <w:tcW w:w="1869" w:type="dxa"/>
            <w:tcBorders>
              <w:top w:val="single" w:color="auto" w:sz="4" w:space="0"/>
              <w:left w:val="single" w:color="auto" w:sz="4" w:space="0"/>
              <w:bottom w:val="single" w:color="auto" w:sz="4" w:space="0"/>
              <w:right w:val="single" w:color="auto" w:sz="4" w:space="0"/>
            </w:tcBorders>
          </w:tcPr>
          <w:p w:rsidRPr="00FD3370" w:rsidR="009065BB" w:rsidP="0034404A" w:rsidRDefault="009065BB" w14:paraId="667100CA" w14:textId="2EE8C0E0">
            <w:pPr>
              <w:pStyle w:val="naisc"/>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9065BB" w:rsidP="004418DA" w:rsidRDefault="009065BB" w14:paraId="13AFD011" w14:textId="77777777">
            <w:pPr>
              <w:jc w:val="center"/>
              <w:rPr>
                <w:b/>
                <w:color w:val="000000" w:themeColor="text1"/>
              </w:rPr>
            </w:pPr>
            <w:r w:rsidRPr="00FD3370">
              <w:rPr>
                <w:b/>
                <w:color w:val="000000" w:themeColor="text1"/>
              </w:rPr>
              <w:t>Finanšu ministrija</w:t>
            </w:r>
          </w:p>
          <w:p w:rsidRPr="00FD3370" w:rsidR="009065BB" w:rsidP="009E5DBB" w:rsidRDefault="009065BB" w14:paraId="18382751" w14:textId="6D03FF0A">
            <w:pPr>
              <w:spacing w:after="160" w:line="252" w:lineRule="auto"/>
              <w:jc w:val="both"/>
              <w:rPr>
                <w:b/>
                <w:color w:val="000000" w:themeColor="text1"/>
              </w:rPr>
            </w:pPr>
            <w:r w:rsidRPr="00FD3370">
              <w:t>Uzskatām, ka izziņas II sadaļas “Jautājumi, par kuriem saskaņošanā vienošanās ir panākta” 1.punktā minētais FM iebildums ir ņemts vērā tikai daļēji. Vēršam uzmanību, ka saskaņā ar MK 2019.gada 16.jūlija lēmumu</w:t>
            </w:r>
            <w:bookmarkStart w:name="_Ref18401294" w:id="2"/>
            <w:r w:rsidRPr="00FD3370">
              <w:rPr>
                <w:rStyle w:val="FootnoteReference"/>
              </w:rPr>
              <w:footnoteReference w:customMarkFollows="1" w:id="3"/>
              <w:t>[1]</w:t>
            </w:r>
            <w:bookmarkEnd w:id="2"/>
            <w:r w:rsidRPr="00FD3370">
              <w:t xml:space="preserve"> SM attiecībā uz Eiropas Savienības fondu (turpmāk – ES fondi) līdzfinansējuma piesaisti jauno elektrovilcienu projektam jāparedz negatīvas ietekmes uz vispārējās valdības budžetu mazināšanas iespējas, tomēr </w:t>
            </w:r>
            <w:r w:rsidRPr="00FD3370">
              <w:lastRenderedPageBreak/>
              <w:t xml:space="preserve">SM precizētajā ziņojuma projektā ietvertais piedāvājums joprojām paredz, ka atbrīvotais ES fondu finansējums netiek pilnā apmērā novirzīts jauno elektrovilcienu projekta finansēšanai. Ņemot vērā minēto, MK dotais uzdevums nav izpildīts tā maksimāli iespējamā apmērā. Attiecīgi lūdzam precizēt ziņojuma projektu un saistošos dokumentus. </w:t>
            </w:r>
          </w:p>
        </w:tc>
        <w:tc>
          <w:tcPr>
            <w:tcW w:w="2410" w:type="dxa"/>
            <w:vMerge/>
            <w:tcBorders>
              <w:left w:val="single" w:color="auto" w:sz="4" w:space="0"/>
              <w:bottom w:val="single" w:color="auto" w:sz="4" w:space="0"/>
              <w:right w:val="single" w:color="auto" w:sz="4" w:space="0"/>
            </w:tcBorders>
          </w:tcPr>
          <w:p w:rsidRPr="009E5DBB" w:rsidR="009065BB" w:rsidP="009E5DBB" w:rsidRDefault="009065BB" w14:paraId="3D49116A" w14:textId="7BF45E01">
            <w:pPr>
              <w:pStyle w:val="naisc"/>
              <w:spacing w:before="0" w:after="0"/>
              <w:ind w:left="57" w:right="57"/>
              <w:jc w:val="both"/>
              <w:rPr>
                <w:bCs/>
              </w:rPr>
            </w:pPr>
          </w:p>
        </w:tc>
        <w:tc>
          <w:tcPr>
            <w:tcW w:w="3659" w:type="dxa"/>
            <w:vMerge/>
            <w:tcBorders>
              <w:left w:val="single" w:color="auto" w:sz="4" w:space="0"/>
              <w:bottom w:val="single" w:color="auto" w:sz="4" w:space="0"/>
            </w:tcBorders>
          </w:tcPr>
          <w:p w:rsidRPr="00FD3370" w:rsidR="009065BB" w:rsidP="00D47029" w:rsidRDefault="009065BB" w14:paraId="372DD1D2" w14:textId="77777777">
            <w:pPr>
              <w:shd w:val="clear" w:color="auto" w:fill="FFFFFF"/>
              <w:spacing w:before="20"/>
              <w:ind w:right="9"/>
              <w:jc w:val="both"/>
              <w:rPr>
                <w:color w:val="000000" w:themeColor="text1"/>
              </w:rPr>
            </w:pPr>
          </w:p>
        </w:tc>
      </w:tr>
      <w:tr w:rsidRPr="00FD3370" w:rsidR="0034404A" w:rsidTr="00174771" w14:paraId="2A17DE15"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34404A" w:rsidP="0034404A" w:rsidRDefault="004418DA" w14:paraId="6397790C" w14:textId="6820D615">
            <w:pPr>
              <w:pStyle w:val="naisc"/>
              <w:spacing w:before="0" w:after="0"/>
              <w:ind w:left="57" w:right="57"/>
            </w:pPr>
            <w:r w:rsidRPr="00FD3370">
              <w:t>3</w:t>
            </w:r>
            <w:r w:rsidRPr="00FD3370" w:rsidR="0034404A">
              <w:t xml:space="preserve">. </w:t>
            </w:r>
          </w:p>
        </w:tc>
        <w:tc>
          <w:tcPr>
            <w:tcW w:w="1869" w:type="dxa"/>
            <w:tcBorders>
              <w:top w:val="single" w:color="auto" w:sz="4" w:space="0"/>
              <w:left w:val="single" w:color="auto" w:sz="4" w:space="0"/>
              <w:bottom w:val="single" w:color="auto" w:sz="4" w:space="0"/>
              <w:right w:val="single" w:color="auto" w:sz="4" w:space="0"/>
            </w:tcBorders>
          </w:tcPr>
          <w:p w:rsidRPr="00FD3370" w:rsidR="0034404A" w:rsidP="0034404A" w:rsidRDefault="0034404A" w14:paraId="450BA311" w14:textId="4C7DF2DC">
            <w:pPr>
              <w:pStyle w:val="naisc"/>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34404A" w:rsidP="00643790" w:rsidRDefault="0034404A" w14:paraId="52FF691D" w14:textId="77777777">
            <w:pPr>
              <w:jc w:val="center"/>
              <w:rPr>
                <w:b/>
                <w:color w:val="000000" w:themeColor="text1"/>
              </w:rPr>
            </w:pPr>
            <w:r w:rsidRPr="00FD3370">
              <w:rPr>
                <w:b/>
                <w:color w:val="000000" w:themeColor="text1"/>
              </w:rPr>
              <w:t>Finanšu ministrija</w:t>
            </w:r>
          </w:p>
          <w:p w:rsidRPr="00FD3370" w:rsidR="0034404A" w:rsidP="00DC4969" w:rsidRDefault="0034404A" w14:paraId="6A7B979E" w14:textId="78FBAD36">
            <w:pPr>
              <w:jc w:val="both"/>
              <w:rPr>
                <w:b/>
                <w:color w:val="000000" w:themeColor="text1"/>
                <w:u w:val="single"/>
              </w:rPr>
            </w:pPr>
            <w:r w:rsidRPr="00FD3370">
              <w:t>Lūdzam precizēt ziņojuma projektā un tā pielikumos, ar kādiem pieņēmumiem noteikts, ka uz potenciālo ES fondu projektu attieksies tikai 23 vilcienu iegāde, un kā lielā projekta ietvaros to būs iespējams nodalīt, ja jauno elektrovilcienu iepirkuma līgums noslēgts par 32 vilcienu iegādi, t.sk. paredz personāla apmācības, iekārtas elektrovilcienu uzturēšanai un rezerves daļu fondu.</w:t>
            </w:r>
          </w:p>
        </w:tc>
        <w:tc>
          <w:tcPr>
            <w:tcW w:w="2410" w:type="dxa"/>
            <w:tcBorders>
              <w:top w:val="single" w:color="auto" w:sz="4" w:space="0"/>
              <w:left w:val="single" w:color="auto" w:sz="4" w:space="0"/>
              <w:bottom w:val="single" w:color="auto" w:sz="4" w:space="0"/>
              <w:right w:val="single" w:color="auto" w:sz="4" w:space="0"/>
            </w:tcBorders>
          </w:tcPr>
          <w:p w:rsidRPr="00FD3370" w:rsidR="00643790" w:rsidP="00643790" w:rsidRDefault="00643790" w14:paraId="739778D1" w14:textId="77777777">
            <w:pPr>
              <w:pStyle w:val="naisc"/>
              <w:spacing w:before="0" w:after="0"/>
              <w:ind w:left="57" w:right="57" w:firstLine="409"/>
              <w:rPr>
                <w:b/>
              </w:rPr>
            </w:pPr>
            <w:r w:rsidRPr="00FD3370">
              <w:rPr>
                <w:b/>
              </w:rPr>
              <w:t>Ņemts vērā</w:t>
            </w:r>
          </w:p>
          <w:p w:rsidRPr="00FD3370" w:rsidR="0034404A" w:rsidP="00DF05A2" w:rsidRDefault="0034404A" w14:paraId="22747D70" w14:textId="348C0519">
            <w:pPr>
              <w:pStyle w:val="naisc"/>
              <w:spacing w:before="0" w:after="0"/>
              <w:ind w:right="57"/>
              <w:jc w:val="both"/>
              <w:rPr>
                <w:b/>
                <w:u w:val="single"/>
              </w:rPr>
            </w:pPr>
          </w:p>
        </w:tc>
        <w:tc>
          <w:tcPr>
            <w:tcW w:w="3659" w:type="dxa"/>
            <w:tcBorders>
              <w:top w:val="single" w:color="auto" w:sz="4" w:space="0"/>
              <w:left w:val="single" w:color="auto" w:sz="4" w:space="0"/>
              <w:bottom w:val="single" w:color="auto" w:sz="4" w:space="0"/>
            </w:tcBorders>
          </w:tcPr>
          <w:p w:rsidRPr="00FD3370" w:rsidR="00514B47" w:rsidP="00D47029" w:rsidRDefault="002B0B35" w14:paraId="792D6467" w14:textId="6F714FA3">
            <w:pPr>
              <w:shd w:val="clear" w:color="auto" w:fill="FFFFFF"/>
              <w:spacing w:before="20"/>
              <w:ind w:right="9"/>
              <w:jc w:val="both"/>
              <w:rPr>
                <w:color w:val="000000" w:themeColor="text1"/>
              </w:rPr>
            </w:pPr>
            <w:r w:rsidRPr="00FD3370">
              <w:rPr>
                <w:color w:val="000000" w:themeColor="text1"/>
              </w:rPr>
              <w:t xml:space="preserve">Veikti precizējumi </w:t>
            </w:r>
            <w:r w:rsidR="0076278E">
              <w:rPr>
                <w:color w:val="000000" w:themeColor="text1"/>
              </w:rPr>
              <w:t>i</w:t>
            </w:r>
            <w:r w:rsidRPr="00FD3370">
              <w:rPr>
                <w:color w:val="000000" w:themeColor="text1"/>
              </w:rPr>
              <w:t>nformatīv</w:t>
            </w:r>
            <w:r w:rsidR="0076278E">
              <w:rPr>
                <w:color w:val="000000" w:themeColor="text1"/>
              </w:rPr>
              <w:t>aj</w:t>
            </w:r>
            <w:r w:rsidRPr="00FD3370">
              <w:rPr>
                <w:color w:val="000000" w:themeColor="text1"/>
              </w:rPr>
              <w:t>ā ziņojum</w:t>
            </w:r>
            <w:r w:rsidR="0076278E">
              <w:rPr>
                <w:color w:val="000000" w:themeColor="text1"/>
              </w:rPr>
              <w:t>ā</w:t>
            </w:r>
            <w:r w:rsidRPr="00FD3370" w:rsidR="00514B47">
              <w:rPr>
                <w:color w:val="000000" w:themeColor="text1"/>
              </w:rPr>
              <w:t>:</w:t>
            </w:r>
          </w:p>
          <w:p w:rsidRPr="00FD3370" w:rsidR="00514B47" w:rsidP="00514B47" w:rsidRDefault="00514B47" w14:paraId="6F9011E0" w14:textId="34B3029A">
            <w:pPr>
              <w:pStyle w:val="ListParagraph"/>
              <w:numPr>
                <w:ilvl w:val="0"/>
                <w:numId w:val="9"/>
              </w:numPr>
              <w:shd w:val="clear" w:color="auto" w:fill="FFFFFF"/>
              <w:spacing w:before="20"/>
              <w:ind w:left="322" w:right="9"/>
              <w:jc w:val="both"/>
              <w:rPr>
                <w:color w:val="000000" w:themeColor="text1"/>
                <w:lang w:val="lv-LV"/>
              </w:rPr>
            </w:pPr>
            <w:r w:rsidRPr="00FD3370">
              <w:rPr>
                <w:color w:val="000000" w:themeColor="text1"/>
                <w:lang w:val="lv-LV"/>
              </w:rPr>
              <w:t>5.sadaļ</w:t>
            </w:r>
            <w:r w:rsidRPr="00FD3370" w:rsidR="00EF1A6A">
              <w:rPr>
                <w:color w:val="000000" w:themeColor="text1"/>
                <w:lang w:val="lv-LV"/>
              </w:rPr>
              <w:t>a</w:t>
            </w:r>
            <w:r w:rsidRPr="00FD3370">
              <w:rPr>
                <w:color w:val="000000" w:themeColor="text1"/>
                <w:lang w:val="lv-LV"/>
              </w:rPr>
              <w:t xml:space="preserve"> “Nepieciešamie plānošanas dokumentu un normatīvo aktu grozījumi” papildināta ar šādu informāciju: “</w:t>
            </w:r>
            <w:r w:rsidRPr="00FD3370">
              <w:rPr>
                <w:lang w:val="lv-LV"/>
              </w:rPr>
              <w:t>Ministru kabineta noteikumos kā tiešās attiecināmās izmaksas tiks paredzētas elektrovilcienu ritošā sastāva iegādes izmaksas.”</w:t>
            </w:r>
            <w:r w:rsidRPr="00FD3370">
              <w:rPr>
                <w:color w:val="000000" w:themeColor="text1"/>
                <w:lang w:val="lv-LV"/>
              </w:rPr>
              <w:t xml:space="preserve"> </w:t>
            </w:r>
          </w:p>
          <w:p w:rsidRPr="00FD3370" w:rsidR="00FF737D" w:rsidP="00CB1F3A" w:rsidRDefault="002B0B35" w14:paraId="47D6BA8C" w14:textId="6610197F">
            <w:pPr>
              <w:pStyle w:val="ListParagraph"/>
              <w:numPr>
                <w:ilvl w:val="0"/>
                <w:numId w:val="9"/>
              </w:numPr>
              <w:shd w:val="clear" w:color="auto" w:fill="FFFFFF"/>
              <w:spacing w:before="20"/>
              <w:ind w:left="322" w:right="9"/>
              <w:jc w:val="both"/>
              <w:rPr>
                <w:lang w:val="lv-LV"/>
              </w:rPr>
            </w:pPr>
            <w:r w:rsidRPr="00FD3370">
              <w:rPr>
                <w:color w:val="000000" w:themeColor="text1"/>
                <w:lang w:val="lv-LV"/>
              </w:rPr>
              <w:t>3.pielikum</w:t>
            </w:r>
            <w:r w:rsidRPr="00FD3370" w:rsidR="00D47029">
              <w:rPr>
                <w:color w:val="000000" w:themeColor="text1"/>
                <w:lang w:val="lv-LV"/>
              </w:rPr>
              <w:t>a s</w:t>
            </w:r>
            <w:r w:rsidRPr="00FD3370" w:rsidR="00405A05">
              <w:rPr>
                <w:color w:val="000000" w:themeColor="text1"/>
                <w:lang w:val="lv-LV"/>
              </w:rPr>
              <w:t>adaļ</w:t>
            </w:r>
            <w:r w:rsidRPr="00FD3370" w:rsidR="00D47029">
              <w:rPr>
                <w:color w:val="000000" w:themeColor="text1"/>
                <w:lang w:val="lv-LV"/>
              </w:rPr>
              <w:t>ā “Projekta apraksts” papildin</w:t>
            </w:r>
            <w:r w:rsidRPr="00FD3370" w:rsidR="00165792">
              <w:rPr>
                <w:color w:val="000000" w:themeColor="text1"/>
                <w:lang w:val="lv-LV"/>
              </w:rPr>
              <w:t xml:space="preserve">ot </w:t>
            </w:r>
            <w:r w:rsidRPr="00FD3370" w:rsidR="00D47029">
              <w:rPr>
                <w:color w:val="000000" w:themeColor="text1"/>
                <w:lang w:val="lv-LV"/>
              </w:rPr>
              <w:t xml:space="preserve">ar </w:t>
            </w:r>
            <w:r w:rsidRPr="00FD3370" w:rsidR="00C86CC2">
              <w:rPr>
                <w:color w:val="000000" w:themeColor="text1"/>
                <w:lang w:val="lv-LV"/>
              </w:rPr>
              <w:t>skaidrojumu</w:t>
            </w:r>
            <w:r w:rsidRPr="00FD3370" w:rsidR="00D47029">
              <w:rPr>
                <w:color w:val="000000" w:themeColor="text1"/>
                <w:lang w:val="lv-LV"/>
              </w:rPr>
              <w:t xml:space="preserve"> šādā redakcijā: </w:t>
            </w:r>
            <w:r w:rsidRPr="00FD3370" w:rsidR="0097381D">
              <w:rPr>
                <w:lang w:val="lv-LV"/>
              </w:rPr>
              <w:t>“</w:t>
            </w:r>
            <w:r w:rsidRPr="00FD3370" w:rsidR="00FF737D">
              <w:rPr>
                <w:lang w:val="lv-LV"/>
              </w:rPr>
              <w:t>Ņemot  vērā, ka  atlikušo 9 elektrovilcienu piegāde tiek plānot</w:t>
            </w:r>
            <w:r w:rsidRPr="00FD3370" w:rsidR="00206CC8">
              <w:rPr>
                <w:lang w:val="lv-LV"/>
              </w:rPr>
              <w:t>a</w:t>
            </w:r>
            <w:r w:rsidRPr="00FD3370" w:rsidR="00FF737D">
              <w:rPr>
                <w:lang w:val="lv-LV"/>
              </w:rPr>
              <w:t xml:space="preserve"> kopsakarībā ar 2019.gada 18.jūlijā apstiprināto dzelzceļa elektrifikācijas projektu</w:t>
            </w:r>
            <w:r w:rsidRPr="00FD3370" w:rsidR="00FF737D">
              <w:rPr>
                <w:rStyle w:val="FootnoteReference"/>
                <w:lang w:val="lv-LV"/>
              </w:rPr>
              <w:footnoteReference w:id="4"/>
            </w:r>
            <w:r w:rsidRPr="00FD3370" w:rsidR="00FF737D">
              <w:rPr>
                <w:lang w:val="lv-LV"/>
              </w:rPr>
              <w:t xml:space="preserve">, pielāgojot tos  darbam  25 </w:t>
            </w:r>
            <w:proofErr w:type="spellStart"/>
            <w:r w:rsidRPr="00FD3370" w:rsidR="00FF737D">
              <w:rPr>
                <w:lang w:val="lv-LV"/>
              </w:rPr>
              <w:t>kV</w:t>
            </w:r>
            <w:proofErr w:type="spellEnd"/>
            <w:r w:rsidRPr="00FD3370" w:rsidR="00FF737D">
              <w:rPr>
                <w:lang w:val="lv-LV"/>
              </w:rPr>
              <w:t xml:space="preserve"> AC sistēmā, minēto elektrovilcienu piegāde ir plānota 2023.gada beigās. Līdz </w:t>
            </w:r>
            <w:r w:rsidRPr="00FD3370" w:rsidR="00FF737D">
              <w:rPr>
                <w:lang w:val="lv-LV"/>
              </w:rPr>
              <w:lastRenderedPageBreak/>
              <w:t>ar to, lai neradītu risku, ka ES fondu finansētā projektā tiek iekļautas aktivitātes, kas var netikt pabeigtas ES fondu 2014. – 2020. plānošanas perioda darbības laika ietvarā,  ES fondu projektā tiek paredzēta 23 elektrovilcienu iegāde.</w:t>
            </w:r>
          </w:p>
          <w:p w:rsidRPr="00FD3370" w:rsidR="0097381D" w:rsidP="005D5D2E" w:rsidRDefault="00764DBB" w14:paraId="52ADDEC9" w14:textId="2A26A9EE">
            <w:pPr>
              <w:ind w:left="322"/>
              <w:jc w:val="both"/>
            </w:pPr>
            <w:bookmarkStart w:name="_Hlk17360019" w:id="3"/>
            <w:r w:rsidRPr="00FD3370">
              <w:t>Īstenojot projektu</w:t>
            </w:r>
            <w:r w:rsidRPr="00FD3370" w:rsidR="00CA6FFC">
              <w:t>,</w:t>
            </w:r>
            <w:r w:rsidRPr="00FD3370">
              <w:t xml:space="preserve"> finansējuma saņēmējs nodrošinās nodalītu iegādāto pamatlīdzekļu (elektrovilcienu) uzskaiti (katram elektrovilcienam ir savs unikāls numurs) un maksājumu veikšanu.</w:t>
            </w:r>
            <w:bookmarkEnd w:id="3"/>
            <w:r w:rsidRPr="00FD3370" w:rsidR="0097381D">
              <w:t>”</w:t>
            </w:r>
          </w:p>
          <w:p w:rsidRPr="00FD3370" w:rsidR="005D5D2E" w:rsidP="00D55C8D" w:rsidRDefault="00EF1A6A" w14:paraId="69FD00E2" w14:textId="6AF0BA9E">
            <w:pPr>
              <w:pStyle w:val="ListParagraph"/>
              <w:numPr>
                <w:ilvl w:val="0"/>
                <w:numId w:val="9"/>
              </w:numPr>
              <w:spacing w:before="120" w:after="120"/>
              <w:ind w:left="322"/>
              <w:jc w:val="both"/>
              <w:rPr>
                <w:rFonts w:eastAsia="Calibri"/>
                <w:lang w:val="lv-LV"/>
              </w:rPr>
            </w:pPr>
            <w:r w:rsidRPr="00FD3370">
              <w:rPr>
                <w:lang w:val="lv-LV"/>
              </w:rPr>
              <w:t>3.pielikums papildināts ar sadaļu “Atbalstāmās darbības un izmaksas” šādā redakcijā: “</w:t>
            </w:r>
            <w:r w:rsidRPr="00FD3370">
              <w:rPr>
                <w:rFonts w:eastAsia="Calibri"/>
                <w:lang w:val="lv-LV"/>
              </w:rPr>
              <w:t>Atbilstoši SM priekšlikumam M</w:t>
            </w:r>
            <w:r w:rsidR="000E1786">
              <w:rPr>
                <w:rFonts w:eastAsia="Calibri"/>
                <w:lang w:val="lv-LV"/>
              </w:rPr>
              <w:t>K</w:t>
            </w:r>
            <w:r w:rsidRPr="00FD3370">
              <w:rPr>
                <w:rFonts w:eastAsia="Calibri"/>
                <w:lang w:val="lv-LV"/>
              </w:rPr>
              <w:t xml:space="preserve"> noteikumos par elektrovilcienu iegādi </w:t>
            </w:r>
            <w:r w:rsidRPr="00FD3370">
              <w:rPr>
                <w:lang w:val="lv-LV"/>
              </w:rPr>
              <w:t>kā tiešās attiecināmās izmaksas tiks paredzētas elektrovilcienu ritošā sastāva iegādes izmaksas, līdz ar to rezerves daļu fonda iegāde un remontu centra izbūve tiks finansēta no valsts budžeta dotācijas līdzekļiem (atbilstoši 2019.gada 16.jūlija Ministru kabineta sēdes rīkojumam</w:t>
            </w:r>
            <w:r w:rsidRPr="00FD3370">
              <w:rPr>
                <w:rStyle w:val="FootnoteReference"/>
                <w:lang w:val="lv-LV"/>
              </w:rPr>
              <w:footnoteReference w:id="5"/>
            </w:r>
            <w:r w:rsidRPr="00FD3370">
              <w:rPr>
                <w:lang w:val="lv-LV"/>
              </w:rPr>
              <w:t>).”</w:t>
            </w:r>
          </w:p>
        </w:tc>
      </w:tr>
      <w:tr w:rsidRPr="00FD3370" w:rsidR="0034404A" w:rsidTr="00174771" w14:paraId="2B298D37"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34404A" w:rsidP="0034404A" w:rsidRDefault="004418DA" w14:paraId="43BE1FF3" w14:textId="4EC1C389">
            <w:pPr>
              <w:pStyle w:val="naisc"/>
              <w:spacing w:before="0" w:after="0"/>
              <w:ind w:left="57" w:right="57"/>
            </w:pPr>
            <w:r w:rsidRPr="00FD3370">
              <w:lastRenderedPageBreak/>
              <w:t>4</w:t>
            </w:r>
            <w:r w:rsidRPr="00FD3370" w:rsidR="0034404A">
              <w:t xml:space="preserve">. </w:t>
            </w:r>
          </w:p>
        </w:tc>
        <w:tc>
          <w:tcPr>
            <w:tcW w:w="1869" w:type="dxa"/>
            <w:tcBorders>
              <w:top w:val="single" w:color="auto" w:sz="4" w:space="0"/>
              <w:left w:val="single" w:color="auto" w:sz="4" w:space="0"/>
              <w:bottom w:val="single" w:color="auto" w:sz="4" w:space="0"/>
              <w:right w:val="single" w:color="auto" w:sz="4" w:space="0"/>
            </w:tcBorders>
          </w:tcPr>
          <w:p w:rsidRPr="00FD3370" w:rsidR="0034404A" w:rsidP="0034404A" w:rsidRDefault="00B3121F" w14:paraId="6FDC9533" w14:textId="5E293A96">
            <w:pPr>
              <w:pStyle w:val="naisc"/>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726A7D" w:rsidP="00643790" w:rsidRDefault="00726A7D" w14:paraId="2D022216" w14:textId="77777777">
            <w:pPr>
              <w:jc w:val="center"/>
              <w:rPr>
                <w:b/>
                <w:color w:val="000000" w:themeColor="text1"/>
              </w:rPr>
            </w:pPr>
            <w:r w:rsidRPr="00FD3370">
              <w:rPr>
                <w:b/>
                <w:color w:val="000000" w:themeColor="text1"/>
              </w:rPr>
              <w:t>Finanšu ministrija</w:t>
            </w:r>
          </w:p>
          <w:p w:rsidRPr="00FD3370" w:rsidR="0034404A" w:rsidP="00726A7D" w:rsidRDefault="00726A7D" w14:paraId="7C54C341" w14:textId="217D7BEB">
            <w:pPr>
              <w:spacing w:after="160" w:line="252" w:lineRule="auto"/>
              <w:jc w:val="both"/>
              <w:rPr>
                <w:color w:val="000000" w:themeColor="text1"/>
              </w:rPr>
            </w:pPr>
            <w:r w:rsidRPr="00FD3370">
              <w:t xml:space="preserve">Lūdzam papildināt ziņojuma projekta 3.sadaļu “Identificēto projektu salīdzinājums un KF finansējuma izmantošanas priekšlikums” (turpmāk – 3.sadaļa) ar skaidrojumu piedāvātā finansējuma sadalījumam starp piedāvātajiem projektiem. </w:t>
            </w:r>
          </w:p>
        </w:tc>
        <w:tc>
          <w:tcPr>
            <w:tcW w:w="2410" w:type="dxa"/>
            <w:tcBorders>
              <w:top w:val="single" w:color="auto" w:sz="4" w:space="0"/>
              <w:left w:val="single" w:color="auto" w:sz="4" w:space="0"/>
              <w:bottom w:val="single" w:color="auto" w:sz="4" w:space="0"/>
              <w:right w:val="single" w:color="auto" w:sz="4" w:space="0"/>
            </w:tcBorders>
          </w:tcPr>
          <w:p w:rsidRPr="00FD3370" w:rsidR="00643790" w:rsidP="00643790" w:rsidRDefault="00643790" w14:paraId="6F5C3EFB" w14:textId="77777777">
            <w:pPr>
              <w:pStyle w:val="naisc"/>
              <w:spacing w:before="0" w:after="0"/>
              <w:ind w:left="57" w:right="57" w:firstLine="409"/>
              <w:rPr>
                <w:b/>
              </w:rPr>
            </w:pPr>
            <w:r w:rsidRPr="00FD3370">
              <w:rPr>
                <w:b/>
              </w:rPr>
              <w:t>Ņemts vērā</w:t>
            </w:r>
          </w:p>
          <w:p w:rsidRPr="00FD3370" w:rsidR="0034404A" w:rsidP="00DF05A2" w:rsidRDefault="0034404A" w14:paraId="5AD38D06" w14:textId="475FF8AC">
            <w:pPr>
              <w:pStyle w:val="naisc"/>
              <w:spacing w:before="0" w:after="0"/>
              <w:ind w:right="57"/>
              <w:jc w:val="both"/>
              <w:rPr>
                <w:b/>
                <w:u w:val="single"/>
              </w:rPr>
            </w:pPr>
          </w:p>
        </w:tc>
        <w:tc>
          <w:tcPr>
            <w:tcW w:w="3659" w:type="dxa"/>
            <w:tcBorders>
              <w:top w:val="single" w:color="auto" w:sz="4" w:space="0"/>
              <w:left w:val="single" w:color="auto" w:sz="4" w:space="0"/>
              <w:bottom w:val="single" w:color="auto" w:sz="4" w:space="0"/>
            </w:tcBorders>
          </w:tcPr>
          <w:p w:rsidRPr="00FD3370" w:rsidR="00697DD4" w:rsidP="00697DD4" w:rsidRDefault="00697DD4" w14:paraId="6E702AE0" w14:textId="398D23C9">
            <w:pPr>
              <w:shd w:val="clear" w:color="auto" w:fill="FFFFFF"/>
              <w:spacing w:before="20"/>
              <w:ind w:right="9"/>
              <w:jc w:val="both"/>
              <w:rPr>
                <w:color w:val="000000" w:themeColor="text1"/>
              </w:rPr>
            </w:pPr>
            <w:r w:rsidRPr="00FD3370">
              <w:rPr>
                <w:color w:val="000000" w:themeColor="text1"/>
              </w:rPr>
              <w:t>Veikti precizējumi Informatīvā ziņojuma 3.sadaļā:</w:t>
            </w:r>
          </w:p>
          <w:p w:rsidRPr="00FD3370" w:rsidR="00E63C18" w:rsidP="00E63C18" w:rsidRDefault="00697DD4" w14:paraId="00D5F520" w14:textId="4EF6E77D">
            <w:pPr>
              <w:pStyle w:val="ListParagraph"/>
              <w:numPr>
                <w:ilvl w:val="0"/>
                <w:numId w:val="5"/>
              </w:numPr>
              <w:shd w:val="clear" w:color="auto" w:fill="FFFFFF"/>
              <w:spacing w:before="20"/>
              <w:ind w:left="340" w:right="9"/>
              <w:jc w:val="both"/>
              <w:rPr>
                <w:color w:val="000000" w:themeColor="text1"/>
                <w:lang w:val="lv-LV"/>
              </w:rPr>
            </w:pPr>
            <w:r w:rsidRPr="00FD3370">
              <w:rPr>
                <w:color w:val="000000" w:themeColor="text1"/>
                <w:lang w:val="lv-LV"/>
              </w:rPr>
              <w:t xml:space="preserve">Precizēta </w:t>
            </w:r>
            <w:r w:rsidRPr="00FD3370" w:rsidR="00E51628">
              <w:rPr>
                <w:color w:val="000000" w:themeColor="text1"/>
                <w:lang w:val="lv-LV"/>
              </w:rPr>
              <w:t>3.sadaļa “Identificēto projektu salīdzinājums un KF finansējuma izmantošanas  priekšlikums”</w:t>
            </w:r>
            <w:r w:rsidRPr="00FD3370" w:rsidR="00E63C18">
              <w:rPr>
                <w:color w:val="000000" w:themeColor="text1"/>
                <w:lang w:val="lv-LV"/>
              </w:rPr>
              <w:t xml:space="preserve"> norādot, KF finansējuma sadalījum</w:t>
            </w:r>
            <w:r w:rsidR="008F1A9A">
              <w:rPr>
                <w:color w:val="000000" w:themeColor="text1"/>
                <w:lang w:val="lv-LV"/>
              </w:rPr>
              <w:t xml:space="preserve">a </w:t>
            </w:r>
            <w:r w:rsidRPr="00FD3370" w:rsidR="00E63C18">
              <w:rPr>
                <w:color w:val="000000" w:themeColor="text1"/>
                <w:lang w:val="lv-LV"/>
              </w:rPr>
              <w:t>s</w:t>
            </w:r>
            <w:r w:rsidR="008F1A9A">
              <w:rPr>
                <w:color w:val="000000" w:themeColor="text1"/>
                <w:lang w:val="lv-LV"/>
              </w:rPr>
              <w:t xml:space="preserve">ākotnējais SM priekšlikums </w:t>
            </w:r>
            <w:r w:rsidRPr="00FD3370" w:rsidR="00E63C18">
              <w:rPr>
                <w:color w:val="000000" w:themeColor="text1"/>
                <w:lang w:val="lv-LV"/>
              </w:rPr>
              <w:t xml:space="preserve"> </w:t>
            </w:r>
            <w:r w:rsidRPr="00FD3370" w:rsidR="00330802">
              <w:rPr>
                <w:color w:val="000000" w:themeColor="text1"/>
                <w:lang w:val="lv-LV"/>
              </w:rPr>
              <w:t xml:space="preserve">tika izstrādāts, </w:t>
            </w:r>
            <w:r w:rsidRPr="00FD3370" w:rsidR="00E63C18">
              <w:rPr>
                <w:color w:val="000000" w:themeColor="text1"/>
                <w:lang w:val="lv-LV"/>
              </w:rPr>
              <w:t>l</w:t>
            </w:r>
            <w:r w:rsidRPr="00FD3370" w:rsidR="00E63C18">
              <w:rPr>
                <w:lang w:val="lv-LV"/>
              </w:rPr>
              <w:t>ai nodrošināt</w:t>
            </w:r>
            <w:r w:rsidRPr="00FD3370" w:rsidR="0024338F">
              <w:rPr>
                <w:lang w:val="lv-LV"/>
              </w:rPr>
              <w:t>u</w:t>
            </w:r>
            <w:r w:rsidRPr="00FD3370" w:rsidR="00E63C18">
              <w:rPr>
                <w:lang w:val="lv-LV"/>
              </w:rPr>
              <w:t xml:space="preserve"> DP noteikto uzraudzības rādītāju sasniegšan</w:t>
            </w:r>
            <w:r w:rsidRPr="00FD3370" w:rsidR="0024338F">
              <w:rPr>
                <w:lang w:val="lv-LV"/>
              </w:rPr>
              <w:t>u</w:t>
            </w:r>
            <w:r w:rsidRPr="00FD3370" w:rsidR="00E63C18">
              <w:rPr>
                <w:lang w:val="lv-LV"/>
              </w:rPr>
              <w:t xml:space="preserve">, kā arī </w:t>
            </w:r>
            <w:r w:rsidRPr="00FD3370" w:rsidR="00E63C18">
              <w:rPr>
                <w:color w:val="000000"/>
                <w:lang w:val="lv-LV"/>
              </w:rPr>
              <w:t>ievērojot līdzšinējo vienlīdzīguma pieeju KF finansējuma sadalē 4.5.1.1.pasākuma ietvaros</w:t>
            </w:r>
            <w:r w:rsidRPr="00FD3370" w:rsidR="00330802">
              <w:rPr>
                <w:lang w:val="lv-LV"/>
              </w:rPr>
              <w:t>.</w:t>
            </w:r>
          </w:p>
        </w:tc>
      </w:tr>
      <w:tr w:rsidRPr="00FD3370" w:rsidR="0034404A" w:rsidTr="00174771" w14:paraId="238041E0"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34404A" w:rsidP="0034404A" w:rsidRDefault="004418DA" w14:paraId="72ADEE40" w14:textId="7A774BC9">
            <w:pPr>
              <w:pStyle w:val="naisc"/>
              <w:spacing w:before="0" w:after="0"/>
              <w:ind w:left="57" w:right="57"/>
            </w:pPr>
            <w:r w:rsidRPr="00FD3370">
              <w:t>5</w:t>
            </w:r>
            <w:r w:rsidRPr="00FD3370" w:rsidR="0034404A">
              <w:t xml:space="preserve">. </w:t>
            </w:r>
          </w:p>
        </w:tc>
        <w:tc>
          <w:tcPr>
            <w:tcW w:w="1869" w:type="dxa"/>
            <w:tcBorders>
              <w:top w:val="single" w:color="auto" w:sz="4" w:space="0"/>
              <w:left w:val="single" w:color="auto" w:sz="4" w:space="0"/>
              <w:bottom w:val="single" w:color="auto" w:sz="4" w:space="0"/>
              <w:right w:val="single" w:color="auto" w:sz="4" w:space="0"/>
            </w:tcBorders>
          </w:tcPr>
          <w:p w:rsidRPr="00FD3370" w:rsidR="0034404A" w:rsidP="0034404A" w:rsidRDefault="00726A7D" w14:paraId="159A00B8" w14:textId="6CD10F1C">
            <w:pPr>
              <w:pStyle w:val="naisc"/>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726A7D" w:rsidP="00643790" w:rsidRDefault="00726A7D" w14:paraId="4FE99727" w14:textId="77777777">
            <w:pPr>
              <w:jc w:val="center"/>
              <w:rPr>
                <w:b/>
              </w:rPr>
            </w:pPr>
            <w:r w:rsidRPr="00FD3370">
              <w:rPr>
                <w:b/>
              </w:rPr>
              <w:t>Finanšu ministrija</w:t>
            </w:r>
          </w:p>
          <w:p w:rsidRPr="00FD3370" w:rsidR="0034404A" w:rsidP="00726A7D" w:rsidRDefault="00726A7D" w14:paraId="501A42DF" w14:textId="1F1D538F">
            <w:pPr>
              <w:spacing w:after="160" w:line="252" w:lineRule="auto"/>
              <w:jc w:val="both"/>
              <w:rPr>
                <w:color w:val="000000" w:themeColor="text1"/>
              </w:rPr>
            </w:pPr>
            <w:r w:rsidRPr="00FD3370">
              <w:t xml:space="preserve">Lūdzam aizstāt ziņojuma projekta 4.sadaļā “Projektu īstenošanas ietekme uz DP noteikto uzraudzības rādītāju sasniegšanu” vārdus “Atbilstoši ierosinātajiem DP grozījumiem” ar vārdiem “Atbilstoši SM priekšlikumam DP grozījumiem”, ņemot vērā, ka ziņojuma projektā ietvertie grozījumi darbības programmā “Izaugsme un nodarbinātība” (turpmāk – darbības programma) ir SM priekšlikums. Lūdzam attiecīgi precizēt informāciju pārējā ziņojuma projekta tekstā. </w:t>
            </w:r>
          </w:p>
        </w:tc>
        <w:tc>
          <w:tcPr>
            <w:tcW w:w="2410" w:type="dxa"/>
            <w:tcBorders>
              <w:top w:val="single" w:color="auto" w:sz="4" w:space="0"/>
              <w:left w:val="single" w:color="auto" w:sz="4" w:space="0"/>
              <w:bottom w:val="single" w:color="auto" w:sz="4" w:space="0"/>
              <w:right w:val="single" w:color="auto" w:sz="4" w:space="0"/>
            </w:tcBorders>
          </w:tcPr>
          <w:p w:rsidRPr="00FD3370" w:rsidR="00643790" w:rsidP="00643790" w:rsidRDefault="00643790" w14:paraId="28E97D6F" w14:textId="77777777">
            <w:pPr>
              <w:pStyle w:val="naisc"/>
              <w:spacing w:before="0" w:after="0"/>
              <w:ind w:left="57" w:right="57" w:firstLine="409"/>
              <w:rPr>
                <w:b/>
              </w:rPr>
            </w:pPr>
            <w:r w:rsidRPr="00FD3370">
              <w:rPr>
                <w:b/>
              </w:rPr>
              <w:t>Ņemts vērā</w:t>
            </w:r>
          </w:p>
          <w:p w:rsidRPr="00FD3370" w:rsidR="0034404A" w:rsidP="00DF05A2" w:rsidRDefault="0034404A" w14:paraId="1A844F6A" w14:textId="672A406C">
            <w:pPr>
              <w:pStyle w:val="naisc"/>
              <w:spacing w:before="0" w:after="0"/>
              <w:ind w:right="57"/>
              <w:jc w:val="left"/>
              <w:rPr>
                <w:b/>
              </w:rPr>
            </w:pPr>
          </w:p>
        </w:tc>
        <w:tc>
          <w:tcPr>
            <w:tcW w:w="3659" w:type="dxa"/>
            <w:tcBorders>
              <w:top w:val="single" w:color="auto" w:sz="4" w:space="0"/>
              <w:left w:val="single" w:color="auto" w:sz="4" w:space="0"/>
              <w:bottom w:val="single" w:color="auto" w:sz="4" w:space="0"/>
            </w:tcBorders>
          </w:tcPr>
          <w:p w:rsidRPr="00FD3370" w:rsidR="0034404A" w:rsidP="0034404A" w:rsidRDefault="00417CC2" w14:paraId="60E74649" w14:textId="00D900A3">
            <w:pPr>
              <w:shd w:val="clear" w:color="auto" w:fill="FFFFFF"/>
              <w:spacing w:before="20"/>
              <w:ind w:right="9"/>
              <w:jc w:val="both"/>
              <w:rPr>
                <w:color w:val="000000" w:themeColor="text1"/>
              </w:rPr>
            </w:pPr>
            <w:r w:rsidRPr="00FD3370">
              <w:rPr>
                <w:color w:val="000000" w:themeColor="text1"/>
              </w:rPr>
              <w:t xml:space="preserve">Veikti </w:t>
            </w:r>
            <w:r w:rsidRPr="00FD3370" w:rsidR="00317337">
              <w:rPr>
                <w:color w:val="000000" w:themeColor="text1"/>
              </w:rPr>
              <w:t xml:space="preserve">redakcionāli </w:t>
            </w:r>
            <w:r w:rsidRPr="00FD3370">
              <w:rPr>
                <w:color w:val="000000" w:themeColor="text1"/>
              </w:rPr>
              <w:t>precizējumi Informatīvā ziņojum</w:t>
            </w:r>
            <w:r w:rsidRPr="00FD3370" w:rsidR="00317337">
              <w:rPr>
                <w:color w:val="000000" w:themeColor="text1"/>
              </w:rPr>
              <w:t>a 4. un 5.sadaļā</w:t>
            </w:r>
            <w:r w:rsidRPr="00FD3370" w:rsidR="006C2B9B">
              <w:rPr>
                <w:color w:val="000000" w:themeColor="text1"/>
              </w:rPr>
              <w:t>, norādot, ka DP grozījumu priekšlikumu sniedzējs ir Satiksmes ministrija</w:t>
            </w:r>
            <w:r w:rsidRPr="00FD3370">
              <w:rPr>
                <w:color w:val="000000" w:themeColor="text1"/>
              </w:rPr>
              <w:t>.</w:t>
            </w:r>
          </w:p>
        </w:tc>
      </w:tr>
      <w:tr w:rsidRPr="00FD3370" w:rsidR="0014683D" w:rsidTr="00174771" w14:paraId="4D3D966E"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14683D" w:rsidP="0014683D" w:rsidRDefault="004418DA" w14:paraId="0A2E9AE7" w14:textId="4DA3693C">
            <w:pPr>
              <w:pStyle w:val="naisc"/>
              <w:spacing w:before="0" w:after="0"/>
              <w:ind w:left="57" w:right="57"/>
            </w:pPr>
            <w:r w:rsidRPr="00FD3370">
              <w:t>6</w:t>
            </w:r>
            <w:r w:rsidRPr="00FD3370" w:rsidR="0014683D">
              <w:t>.</w:t>
            </w:r>
          </w:p>
        </w:tc>
        <w:tc>
          <w:tcPr>
            <w:tcW w:w="1869" w:type="dxa"/>
            <w:tcBorders>
              <w:top w:val="single" w:color="auto" w:sz="4" w:space="0"/>
              <w:left w:val="single" w:color="auto" w:sz="4" w:space="0"/>
              <w:bottom w:val="single" w:color="auto" w:sz="4" w:space="0"/>
              <w:right w:val="single" w:color="auto" w:sz="4" w:space="0"/>
            </w:tcBorders>
          </w:tcPr>
          <w:p w:rsidRPr="00FD3370" w:rsidR="0014683D" w:rsidP="0014683D" w:rsidRDefault="0014683D" w14:paraId="38F952AE" w14:textId="26CF7DB4">
            <w:pPr>
              <w:pStyle w:val="naisc"/>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14683D" w:rsidP="00643790" w:rsidRDefault="0014683D" w14:paraId="41B24BCD" w14:textId="77777777">
            <w:pPr>
              <w:jc w:val="center"/>
              <w:rPr>
                <w:b/>
              </w:rPr>
            </w:pPr>
            <w:r w:rsidRPr="00FD3370">
              <w:rPr>
                <w:b/>
              </w:rPr>
              <w:t>Finanšu ministrija</w:t>
            </w:r>
          </w:p>
          <w:p w:rsidRPr="00FD3370" w:rsidR="0014683D" w:rsidP="0014683D" w:rsidRDefault="0014683D" w14:paraId="7C56783E" w14:textId="6E1B67A0">
            <w:pPr>
              <w:spacing w:after="160" w:line="252" w:lineRule="auto"/>
              <w:jc w:val="both"/>
            </w:pPr>
            <w:r w:rsidRPr="00FD3370">
              <w:t>Lūdzam precizēt ziņojuma projekta 5.sadaļas “Nepieciešamie plānošanas dokumentu un normatīvo aktu grozījumi” (turpmāk – 5.sadaļa) 6.tabulu “Indikatīvais DP grozījumu ieviešanas laika grafiks” (turpmāk – 6.tabula):</w:t>
            </w:r>
          </w:p>
          <w:p w:rsidRPr="00FD3370" w:rsidR="0014683D" w:rsidP="00E51628" w:rsidRDefault="0014683D" w14:paraId="1C4FE4C0" w14:textId="77777777">
            <w:pPr>
              <w:pStyle w:val="ListParagraph"/>
              <w:numPr>
                <w:ilvl w:val="0"/>
                <w:numId w:val="1"/>
              </w:numPr>
              <w:spacing w:after="160" w:line="252" w:lineRule="auto"/>
              <w:ind w:left="346"/>
              <w:jc w:val="both"/>
              <w:rPr>
                <w:lang w:val="lv-LV"/>
              </w:rPr>
            </w:pPr>
            <w:r w:rsidRPr="00FD3370">
              <w:rPr>
                <w:lang w:val="lv-LV"/>
              </w:rPr>
              <w:lastRenderedPageBreak/>
              <w:t xml:space="preserve">to papildinot ar plānotajām darbībām un laika grafiku, kas paredz darbības programmas grozījumu saskaņošanu ES fondu Uzraudzības komitejā (turpmāk – UK) un iesniegšanu MK; </w:t>
            </w:r>
          </w:p>
          <w:p w:rsidRPr="00FD3370" w:rsidR="0014683D" w:rsidP="00E51628" w:rsidRDefault="0014683D" w14:paraId="400767E7" w14:textId="77777777">
            <w:pPr>
              <w:pStyle w:val="ListParagraph"/>
              <w:numPr>
                <w:ilvl w:val="0"/>
                <w:numId w:val="1"/>
              </w:numPr>
              <w:spacing w:after="160" w:line="252" w:lineRule="auto"/>
              <w:ind w:left="346"/>
              <w:jc w:val="both"/>
              <w:rPr>
                <w:lang w:val="lv-LV"/>
              </w:rPr>
            </w:pPr>
            <w:r w:rsidRPr="00FD3370">
              <w:rPr>
                <w:lang w:val="lv-LV"/>
              </w:rPr>
              <w:t>to papildinot ar informāciju par grozījumiem Daugavpils un Liepājas projektos;</w:t>
            </w:r>
          </w:p>
          <w:p w:rsidRPr="00FD3370" w:rsidR="0014683D" w:rsidP="00E51628" w:rsidRDefault="0014683D" w14:paraId="4FE5B0FB" w14:textId="4E6404DD">
            <w:pPr>
              <w:pStyle w:val="ListParagraph"/>
              <w:numPr>
                <w:ilvl w:val="0"/>
                <w:numId w:val="1"/>
              </w:numPr>
              <w:spacing w:after="160" w:line="252" w:lineRule="auto"/>
              <w:ind w:left="346"/>
              <w:jc w:val="both"/>
              <w:rPr>
                <w:b/>
                <w:color w:val="000000" w:themeColor="text1"/>
                <w:u w:val="single"/>
                <w:lang w:val="lv-LV"/>
              </w:rPr>
            </w:pPr>
            <w:r w:rsidRPr="00FD3370">
              <w:rPr>
                <w:lang w:val="lv-LV"/>
              </w:rPr>
              <w:t xml:space="preserve">to papildinot ar plānotajām darbībām un laika grafiku, kas paredz projektu iesniegumu kritēriju izstrādi un apstiprināšanu UK, kā arī projektu iesniegumu atlases dokumentu sagatavošanu. </w:t>
            </w:r>
          </w:p>
        </w:tc>
        <w:tc>
          <w:tcPr>
            <w:tcW w:w="2410" w:type="dxa"/>
            <w:tcBorders>
              <w:top w:val="single" w:color="auto" w:sz="4" w:space="0"/>
              <w:left w:val="single" w:color="auto" w:sz="4" w:space="0"/>
              <w:bottom w:val="single" w:color="auto" w:sz="4" w:space="0"/>
              <w:right w:val="single" w:color="auto" w:sz="4" w:space="0"/>
            </w:tcBorders>
          </w:tcPr>
          <w:p w:rsidRPr="00FD3370" w:rsidR="00643790" w:rsidP="00643790" w:rsidRDefault="00643790" w14:paraId="4B14ECA6" w14:textId="77777777">
            <w:pPr>
              <w:pStyle w:val="naisc"/>
              <w:spacing w:before="0" w:after="0"/>
              <w:ind w:left="57" w:right="57" w:firstLine="409"/>
              <w:rPr>
                <w:b/>
              </w:rPr>
            </w:pPr>
            <w:r w:rsidRPr="00FD3370">
              <w:rPr>
                <w:b/>
              </w:rPr>
              <w:lastRenderedPageBreak/>
              <w:t>Ņemts vērā</w:t>
            </w:r>
          </w:p>
          <w:p w:rsidRPr="00FD3370" w:rsidR="0014683D" w:rsidP="00DF05A2" w:rsidRDefault="0014683D" w14:paraId="39C369DF" w14:textId="4B8F02F7">
            <w:pPr>
              <w:pStyle w:val="naisc"/>
              <w:spacing w:before="0" w:after="0"/>
              <w:ind w:right="57"/>
              <w:jc w:val="left"/>
              <w:rPr>
                <w:b/>
                <w:u w:val="single"/>
              </w:rPr>
            </w:pPr>
          </w:p>
        </w:tc>
        <w:tc>
          <w:tcPr>
            <w:tcW w:w="3659" w:type="dxa"/>
            <w:tcBorders>
              <w:top w:val="single" w:color="auto" w:sz="4" w:space="0"/>
              <w:left w:val="single" w:color="auto" w:sz="4" w:space="0"/>
              <w:bottom w:val="single" w:color="auto" w:sz="4" w:space="0"/>
            </w:tcBorders>
          </w:tcPr>
          <w:p w:rsidRPr="00FD3370" w:rsidR="0014683D" w:rsidP="0014683D" w:rsidRDefault="0014683D" w14:paraId="09DA8E95" w14:textId="3E34CEAB">
            <w:pPr>
              <w:shd w:val="clear" w:color="auto" w:fill="FFFFFF"/>
              <w:spacing w:before="20"/>
              <w:ind w:right="9"/>
              <w:jc w:val="both"/>
              <w:rPr>
                <w:color w:val="000000" w:themeColor="text1"/>
              </w:rPr>
            </w:pPr>
            <w:r w:rsidRPr="00FD3370">
              <w:rPr>
                <w:color w:val="000000" w:themeColor="text1"/>
              </w:rPr>
              <w:t>Veikti precizējumi Informatīvā ziņojuma 6.tabulā</w:t>
            </w:r>
            <w:r w:rsidRPr="00FD3370" w:rsidR="008A09F7">
              <w:rPr>
                <w:color w:val="000000" w:themeColor="text1"/>
              </w:rPr>
              <w:t xml:space="preserve"> “Indikatīvais DP grozījumu ieviešanas laika grafiks”</w:t>
            </w:r>
            <w:r w:rsidRPr="00FD3370" w:rsidR="00A15213">
              <w:rPr>
                <w:color w:val="000000" w:themeColor="text1"/>
              </w:rPr>
              <w:t xml:space="preserve"> to papildinot ar šādām plānotajām darbībām</w:t>
            </w:r>
            <w:r w:rsidRPr="00FD3370" w:rsidR="008A09F7">
              <w:rPr>
                <w:color w:val="000000" w:themeColor="text1"/>
              </w:rPr>
              <w:t>:</w:t>
            </w:r>
          </w:p>
          <w:p w:rsidRPr="00FD3370" w:rsidR="00A15213" w:rsidP="00A15213" w:rsidRDefault="00A15213" w14:paraId="0353A481" w14:textId="77777777">
            <w:pPr>
              <w:pStyle w:val="ListParagraph"/>
              <w:numPr>
                <w:ilvl w:val="0"/>
                <w:numId w:val="5"/>
              </w:numPr>
              <w:shd w:val="clear" w:color="auto" w:fill="FFFFFF"/>
              <w:spacing w:before="20"/>
              <w:ind w:left="340" w:right="9"/>
              <w:jc w:val="both"/>
              <w:rPr>
                <w:color w:val="000000" w:themeColor="text1"/>
                <w:lang w:val="lv-LV"/>
              </w:rPr>
            </w:pPr>
            <w:r w:rsidRPr="00FD3370">
              <w:rPr>
                <w:color w:val="000000" w:themeColor="text1"/>
                <w:lang w:val="lv-LV"/>
              </w:rPr>
              <w:t>“DP grozījumu saskaņošana ES fondu Uzraudzības komitejā (UK) un iesniegšana MK</w:t>
            </w:r>
            <w:r w:rsidRPr="00FD3370" w:rsidR="00C26205">
              <w:rPr>
                <w:color w:val="000000" w:themeColor="text1"/>
                <w:lang w:val="lv-LV"/>
              </w:rPr>
              <w:t>);</w:t>
            </w:r>
          </w:p>
          <w:p w:rsidRPr="00EC0CDD" w:rsidR="00C26205" w:rsidRDefault="00C26205" w14:paraId="18C15DF1" w14:textId="4E3175E1">
            <w:pPr>
              <w:pStyle w:val="ListParagraph"/>
              <w:numPr>
                <w:ilvl w:val="0"/>
                <w:numId w:val="5"/>
              </w:numPr>
              <w:shd w:val="clear" w:color="auto" w:fill="FFFFFF"/>
              <w:spacing w:before="20"/>
              <w:ind w:left="340" w:right="9"/>
              <w:jc w:val="both"/>
              <w:rPr>
                <w:color w:val="000000" w:themeColor="text1"/>
                <w:lang w:val="lv-LV"/>
              </w:rPr>
            </w:pPr>
            <w:r w:rsidRPr="00FD3370">
              <w:rPr>
                <w:color w:val="000000" w:themeColor="text1"/>
                <w:lang w:val="lv-LV"/>
              </w:rPr>
              <w:lastRenderedPageBreak/>
              <w:t>“Projekta iesnieguma (elektrovilcienu iegādei) vērtēšanas kritēriju izstrāde un apstiprināšana UK un projekta iesnieguma atlases dokumentu sagatavošana”</w:t>
            </w:r>
            <w:r w:rsidR="000E1786">
              <w:rPr>
                <w:color w:val="000000" w:themeColor="text1"/>
                <w:lang w:val="lv-LV"/>
              </w:rPr>
              <w:t>.</w:t>
            </w:r>
          </w:p>
        </w:tc>
      </w:tr>
      <w:tr w:rsidRPr="00FD3370" w:rsidR="00DA2B43" w:rsidTr="00174771" w14:paraId="3FDBD23A"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DA2B43" w:rsidP="00DA2B43" w:rsidRDefault="004418DA" w14:paraId="6E25CF86" w14:textId="0B595EA1">
            <w:pPr>
              <w:pStyle w:val="naisc"/>
              <w:spacing w:before="0" w:after="0"/>
              <w:ind w:left="57" w:right="57"/>
            </w:pPr>
            <w:r w:rsidRPr="00FD3370">
              <w:lastRenderedPageBreak/>
              <w:t>7</w:t>
            </w:r>
            <w:r w:rsidRPr="00FD3370" w:rsidR="00DA2B43">
              <w:t xml:space="preserve">. </w:t>
            </w:r>
          </w:p>
        </w:tc>
        <w:tc>
          <w:tcPr>
            <w:tcW w:w="1869" w:type="dxa"/>
            <w:tcBorders>
              <w:top w:val="single" w:color="auto" w:sz="4" w:space="0"/>
              <w:left w:val="single" w:color="auto" w:sz="4" w:space="0"/>
              <w:bottom w:val="single" w:color="auto" w:sz="4" w:space="0"/>
              <w:right w:val="single" w:color="auto" w:sz="4" w:space="0"/>
            </w:tcBorders>
          </w:tcPr>
          <w:p w:rsidRPr="00FD3370" w:rsidR="00DA2B43" w:rsidP="00DA2B43" w:rsidRDefault="00DA2B43" w14:paraId="3B973DB1" w14:textId="520C00A9">
            <w:pPr>
              <w:pStyle w:val="naisc"/>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DA2B43" w:rsidP="00643790" w:rsidRDefault="00DA2B43" w14:paraId="4430A70A" w14:textId="77777777">
            <w:pPr>
              <w:jc w:val="center"/>
              <w:rPr>
                <w:b/>
              </w:rPr>
            </w:pPr>
            <w:r w:rsidRPr="00FD3370">
              <w:rPr>
                <w:b/>
              </w:rPr>
              <w:t>Finanšu ministrija</w:t>
            </w:r>
          </w:p>
          <w:p w:rsidRPr="00FD3370" w:rsidR="00DA2B43" w:rsidP="00DA2B43" w:rsidRDefault="00DA2B43" w14:paraId="34268C70" w14:textId="522EC07E">
            <w:pPr>
              <w:spacing w:after="160" w:line="252" w:lineRule="auto"/>
              <w:jc w:val="both"/>
              <w:rPr>
                <w:color w:val="1F4E79"/>
              </w:rPr>
            </w:pPr>
            <w:r w:rsidRPr="00FD3370">
              <w:t xml:space="preserve">Lūdzam precizēt ziņojuma projekta 2.pielikuma “Liepājas pilsētas tramvaja infrastruktūras attīstība” sadaļu “Projekta aktivitāšu ietekme uz DP uzraudzības rādītāju sasniegšanu”, norādot, vai pārvadāto pasažieru skaita pieaugums par ~71 550 ir plānots kā papildu pienesums  rādītāju izpildei par papildu piešķirto finansējumu vai  projekta kopējais rādītājs. </w:t>
            </w:r>
          </w:p>
        </w:tc>
        <w:tc>
          <w:tcPr>
            <w:tcW w:w="2410" w:type="dxa"/>
            <w:tcBorders>
              <w:top w:val="single" w:color="auto" w:sz="4" w:space="0"/>
              <w:left w:val="single" w:color="auto" w:sz="4" w:space="0"/>
              <w:bottom w:val="single" w:color="auto" w:sz="4" w:space="0"/>
              <w:right w:val="single" w:color="auto" w:sz="4" w:space="0"/>
            </w:tcBorders>
          </w:tcPr>
          <w:p w:rsidRPr="00FD3370" w:rsidR="00643790" w:rsidP="00643790" w:rsidRDefault="00643790" w14:paraId="6158D304" w14:textId="77777777">
            <w:pPr>
              <w:pStyle w:val="naisc"/>
              <w:spacing w:before="0" w:after="0"/>
              <w:ind w:left="57" w:right="57" w:firstLine="409"/>
              <w:rPr>
                <w:b/>
              </w:rPr>
            </w:pPr>
            <w:r w:rsidRPr="00FD3370">
              <w:rPr>
                <w:b/>
              </w:rPr>
              <w:t>Ņemts vērā</w:t>
            </w:r>
          </w:p>
          <w:p w:rsidRPr="00FD3370" w:rsidR="00DA2B43" w:rsidP="00DF05A2" w:rsidRDefault="00DA2B43" w14:paraId="45E6760F" w14:textId="792E2C2B">
            <w:pPr>
              <w:pStyle w:val="naisc"/>
              <w:spacing w:before="0" w:after="0"/>
              <w:ind w:right="57"/>
              <w:jc w:val="both"/>
              <w:rPr>
                <w:b/>
                <w:u w:val="single"/>
              </w:rPr>
            </w:pPr>
          </w:p>
        </w:tc>
        <w:tc>
          <w:tcPr>
            <w:tcW w:w="3659" w:type="dxa"/>
            <w:tcBorders>
              <w:top w:val="single" w:color="auto" w:sz="4" w:space="0"/>
              <w:left w:val="single" w:color="auto" w:sz="4" w:space="0"/>
              <w:bottom w:val="single" w:color="auto" w:sz="4" w:space="0"/>
            </w:tcBorders>
          </w:tcPr>
          <w:p w:rsidRPr="00FD3370" w:rsidR="00DA2B43" w:rsidP="00DA2B43" w:rsidRDefault="00DA2B43" w14:paraId="7F1F3CA0" w14:textId="77777777">
            <w:pPr>
              <w:shd w:val="clear" w:color="auto" w:fill="FFFFFF"/>
              <w:spacing w:before="20"/>
              <w:ind w:right="9"/>
              <w:jc w:val="both"/>
              <w:rPr>
                <w:color w:val="000000" w:themeColor="text1"/>
              </w:rPr>
            </w:pPr>
            <w:r w:rsidRPr="00FD3370">
              <w:rPr>
                <w:color w:val="000000" w:themeColor="text1"/>
              </w:rPr>
              <w:t xml:space="preserve">Veikti precizējumi Informatīvā ziņojuma </w:t>
            </w:r>
            <w:r w:rsidRPr="00FD3370" w:rsidR="00F45ADC">
              <w:rPr>
                <w:color w:val="000000" w:themeColor="text1"/>
              </w:rPr>
              <w:t xml:space="preserve">1. un </w:t>
            </w:r>
            <w:r w:rsidRPr="00FD3370">
              <w:rPr>
                <w:color w:val="000000" w:themeColor="text1"/>
              </w:rPr>
              <w:t>2.pielikumā</w:t>
            </w:r>
            <w:r w:rsidRPr="00FD3370" w:rsidR="0098458E">
              <w:rPr>
                <w:color w:val="000000" w:themeColor="text1"/>
              </w:rPr>
              <w:t>:</w:t>
            </w:r>
          </w:p>
          <w:p w:rsidRPr="00FD3370" w:rsidR="00346CBD" w:rsidP="0098458E" w:rsidRDefault="0098458E" w14:paraId="65D2D3F2" w14:textId="03936A0F">
            <w:pPr>
              <w:pStyle w:val="ListParagraph"/>
              <w:numPr>
                <w:ilvl w:val="0"/>
                <w:numId w:val="6"/>
              </w:numPr>
              <w:shd w:val="clear" w:color="auto" w:fill="FFFFFF"/>
              <w:spacing w:before="20"/>
              <w:ind w:left="340" w:right="9"/>
              <w:jc w:val="both"/>
              <w:rPr>
                <w:color w:val="000000" w:themeColor="text1"/>
                <w:lang w:val="lv-LV"/>
              </w:rPr>
            </w:pPr>
            <w:r w:rsidRPr="00FD3370">
              <w:rPr>
                <w:color w:val="000000" w:themeColor="text1"/>
                <w:lang w:val="lv-LV"/>
              </w:rPr>
              <w:t>1.pielikum</w:t>
            </w:r>
            <w:r w:rsidRPr="00FD3370" w:rsidR="00346CBD">
              <w:rPr>
                <w:color w:val="000000" w:themeColor="text1"/>
                <w:lang w:val="lv-LV"/>
              </w:rPr>
              <w:t>a sadaļa “Projekta aktivitāšu ietekme uz DP uzraudzības rādītāju sasniegšanu” precizēta šādā redakcijā: “</w:t>
            </w:r>
            <w:bookmarkStart w:name="_Hlk17376401" w:id="4"/>
            <w:r w:rsidRPr="00FD3370" w:rsidR="00346CBD">
              <w:rPr>
                <w:lang w:val="lv-LV"/>
              </w:rPr>
              <w:t>Tiek prognozēts, ka</w:t>
            </w:r>
            <w:r w:rsidRPr="00FD3370" w:rsidR="003245FD">
              <w:rPr>
                <w:lang w:val="lv-LV"/>
              </w:rPr>
              <w:t>,</w:t>
            </w:r>
            <w:r w:rsidRPr="00FD3370" w:rsidR="00346CBD">
              <w:rPr>
                <w:lang w:val="lv-LV"/>
              </w:rPr>
              <w:t xml:space="preserve"> īstenojot papildu aktivitātes</w:t>
            </w:r>
            <w:r w:rsidRPr="00FD3370" w:rsidR="003245FD">
              <w:rPr>
                <w:lang w:val="lv-LV"/>
              </w:rPr>
              <w:t>,</w:t>
            </w:r>
            <w:r w:rsidRPr="00FD3370" w:rsidR="00346CBD">
              <w:rPr>
                <w:lang w:val="lv-LV"/>
              </w:rPr>
              <w:t xml:space="preserve"> pārvadāto pasažieru skaits palielināsies par aptuveni 280 000</w:t>
            </w:r>
            <w:bookmarkEnd w:id="4"/>
            <w:r w:rsidRPr="00FD3370" w:rsidR="00346CBD">
              <w:rPr>
                <w:lang w:val="lv-LV"/>
              </w:rPr>
              <w:t xml:space="preserve"> pasažieriem/gadā.”</w:t>
            </w:r>
          </w:p>
          <w:p w:rsidRPr="00FD3370" w:rsidR="0098458E" w:rsidP="0098458E" w:rsidRDefault="0098458E" w14:paraId="354C0154" w14:textId="5F0B8A27">
            <w:pPr>
              <w:pStyle w:val="ListParagraph"/>
              <w:numPr>
                <w:ilvl w:val="0"/>
                <w:numId w:val="6"/>
              </w:numPr>
              <w:shd w:val="clear" w:color="auto" w:fill="FFFFFF"/>
              <w:spacing w:before="20"/>
              <w:ind w:left="340" w:right="9"/>
              <w:jc w:val="both"/>
              <w:rPr>
                <w:color w:val="000000" w:themeColor="text1"/>
                <w:lang w:val="lv-LV"/>
              </w:rPr>
            </w:pPr>
            <w:r w:rsidRPr="00FD3370">
              <w:rPr>
                <w:color w:val="000000" w:themeColor="text1"/>
                <w:lang w:val="lv-LV"/>
              </w:rPr>
              <w:t xml:space="preserve"> </w:t>
            </w:r>
            <w:r w:rsidRPr="00FD3370" w:rsidR="000B5E1B">
              <w:rPr>
                <w:color w:val="000000" w:themeColor="text1"/>
                <w:lang w:val="lv-LV"/>
              </w:rPr>
              <w:t>2.pielikuma sadaļa “Projekta aktivitāšu ietekme uz DP uzraudzības rādītāju sasniegšanu” precizēta šādā redakcijā: “</w:t>
            </w:r>
            <w:r w:rsidRPr="00FD3370" w:rsidR="000B5E1B">
              <w:rPr>
                <w:lang w:val="lv-LV"/>
              </w:rPr>
              <w:t>Tiek prognozēts, ka īstenojot papildu aktivitātes pārvadāto pasažieru skaits palielināsies par aptuveni 71 550 pasažieriem gadā.”</w:t>
            </w:r>
          </w:p>
        </w:tc>
      </w:tr>
      <w:tr w:rsidRPr="00FD3370" w:rsidR="00DC4969" w:rsidTr="00174771" w14:paraId="02A1B4F3"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DC4969" w:rsidP="0034404A" w:rsidRDefault="004418DA" w14:paraId="6A2F05A7" w14:textId="7E900AF8">
            <w:pPr>
              <w:pStyle w:val="naisc"/>
              <w:spacing w:before="0" w:after="0"/>
              <w:ind w:left="57" w:right="57"/>
            </w:pPr>
            <w:r w:rsidRPr="00FD3370">
              <w:t>8</w:t>
            </w:r>
            <w:r w:rsidRPr="00FD3370" w:rsidR="00DC4969">
              <w:t>.</w:t>
            </w:r>
          </w:p>
        </w:tc>
        <w:tc>
          <w:tcPr>
            <w:tcW w:w="1869" w:type="dxa"/>
            <w:tcBorders>
              <w:top w:val="single" w:color="auto" w:sz="4" w:space="0"/>
              <w:left w:val="single" w:color="auto" w:sz="4" w:space="0"/>
              <w:bottom w:val="single" w:color="auto" w:sz="4" w:space="0"/>
              <w:right w:val="single" w:color="auto" w:sz="4" w:space="0"/>
            </w:tcBorders>
          </w:tcPr>
          <w:p w:rsidRPr="00FD3370" w:rsidR="00DC4969" w:rsidP="0034404A" w:rsidRDefault="00DC4969" w14:paraId="28F8B973" w14:textId="3182443D">
            <w:pPr>
              <w:pStyle w:val="naisc"/>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DC4969" w:rsidP="00643790" w:rsidRDefault="00DC4969" w14:paraId="198501B4" w14:textId="77777777">
            <w:pPr>
              <w:jc w:val="center"/>
              <w:rPr>
                <w:b/>
              </w:rPr>
            </w:pPr>
            <w:r w:rsidRPr="00FD3370">
              <w:rPr>
                <w:b/>
              </w:rPr>
              <w:t>Finanšu ministrija</w:t>
            </w:r>
          </w:p>
          <w:p w:rsidRPr="00FD3370" w:rsidR="00DC4969" w:rsidP="0034404A" w:rsidRDefault="00DB29E1" w14:paraId="68EF4C30" w14:textId="125F768D">
            <w:pPr>
              <w:jc w:val="both"/>
              <w:rPr>
                <w:color w:val="000000" w:themeColor="text1"/>
              </w:rPr>
            </w:pPr>
            <w:r w:rsidRPr="00FD3370">
              <w:t xml:space="preserve">Lūdzam papildināt ziņojuma projekta 3.pielikuma “Projekts “Rīgas un Pierīgas pasažieru pārvadājumu </w:t>
            </w:r>
            <w:r w:rsidRPr="00FD3370">
              <w:lastRenderedPageBreak/>
              <w:t>nodrošināšanai nepieciešamo elektrovilcienu iegāde” (turpmāk – 3.pielikums) sadaļu “Nepieciešamais finansējums” ar skaidru informāciju, kādām izmaksu pozīcijām (elektrovilcienu iegādei, rezerves daļu fondam, remontu centra izbūvei) ir plānots piesaistīt ES fondu finansējumu, nodrošinot skaidru un nepārprotamu informācijas izsekojamību.</w:t>
            </w:r>
          </w:p>
        </w:tc>
        <w:tc>
          <w:tcPr>
            <w:tcW w:w="2410" w:type="dxa"/>
            <w:tcBorders>
              <w:top w:val="single" w:color="auto" w:sz="4" w:space="0"/>
              <w:left w:val="single" w:color="auto" w:sz="4" w:space="0"/>
              <w:bottom w:val="single" w:color="auto" w:sz="4" w:space="0"/>
              <w:right w:val="single" w:color="auto" w:sz="4" w:space="0"/>
            </w:tcBorders>
          </w:tcPr>
          <w:p w:rsidRPr="00FD3370" w:rsidR="00643790" w:rsidP="00643790" w:rsidRDefault="00643790" w14:paraId="3762E5A2" w14:textId="77777777">
            <w:pPr>
              <w:pStyle w:val="naisc"/>
              <w:spacing w:before="0" w:after="0"/>
              <w:ind w:left="57" w:right="57" w:firstLine="409"/>
              <w:rPr>
                <w:b/>
              </w:rPr>
            </w:pPr>
            <w:r w:rsidRPr="00FD3370">
              <w:rPr>
                <w:b/>
              </w:rPr>
              <w:lastRenderedPageBreak/>
              <w:t>Ņemts vērā</w:t>
            </w:r>
          </w:p>
          <w:p w:rsidRPr="00FD3370" w:rsidR="00DC4969" w:rsidP="00A1144F" w:rsidRDefault="00D55C8D" w14:paraId="3F4ABE5B" w14:textId="0929B7DB">
            <w:pPr>
              <w:pStyle w:val="naisc"/>
              <w:spacing w:before="0" w:after="0"/>
              <w:ind w:right="57"/>
              <w:jc w:val="both"/>
              <w:rPr>
                <w:bCs/>
              </w:rPr>
            </w:pPr>
            <w:r w:rsidRPr="00FD3370">
              <w:rPr>
                <w:bCs/>
              </w:rPr>
              <w:t xml:space="preserve">Papildus skatīt arī izziņas 2.punktā </w:t>
            </w:r>
            <w:r w:rsidRPr="00FD3370">
              <w:rPr>
                <w:bCs/>
              </w:rPr>
              <w:lastRenderedPageBreak/>
              <w:t>minētos precizējumus.</w:t>
            </w:r>
          </w:p>
        </w:tc>
        <w:tc>
          <w:tcPr>
            <w:tcW w:w="3659" w:type="dxa"/>
            <w:tcBorders>
              <w:top w:val="single" w:color="auto" w:sz="4" w:space="0"/>
              <w:left w:val="single" w:color="auto" w:sz="4" w:space="0"/>
              <w:bottom w:val="single" w:color="auto" w:sz="4" w:space="0"/>
            </w:tcBorders>
          </w:tcPr>
          <w:p w:rsidRPr="00FD3370" w:rsidR="00B70217" w:rsidP="00B70217" w:rsidRDefault="00B70217" w14:paraId="5FAC53CD" w14:textId="77777777">
            <w:pPr>
              <w:shd w:val="clear" w:color="auto" w:fill="FFFFFF"/>
              <w:spacing w:before="20"/>
              <w:ind w:right="9"/>
              <w:jc w:val="both"/>
              <w:rPr>
                <w:color w:val="000000" w:themeColor="text1"/>
              </w:rPr>
            </w:pPr>
            <w:r w:rsidRPr="00FD3370">
              <w:rPr>
                <w:color w:val="000000" w:themeColor="text1"/>
              </w:rPr>
              <w:lastRenderedPageBreak/>
              <w:t>Veikti precizējumi Informatīvā ziņojuma 3.pielikumā:</w:t>
            </w:r>
          </w:p>
          <w:p w:rsidRPr="00FD3370" w:rsidR="000B5E1B" w:rsidP="00B70217" w:rsidRDefault="00390641" w14:paraId="317578A2" w14:textId="3F06F25F">
            <w:pPr>
              <w:pStyle w:val="ListParagraph"/>
              <w:numPr>
                <w:ilvl w:val="0"/>
                <w:numId w:val="7"/>
              </w:numPr>
              <w:shd w:val="clear" w:color="auto" w:fill="FFFFFF"/>
              <w:spacing w:before="20"/>
              <w:ind w:left="340" w:right="9"/>
              <w:jc w:val="both"/>
              <w:rPr>
                <w:color w:val="000000" w:themeColor="text1"/>
                <w:lang w:val="lv-LV"/>
              </w:rPr>
            </w:pPr>
            <w:r w:rsidRPr="00FD3370">
              <w:rPr>
                <w:color w:val="000000" w:themeColor="text1"/>
                <w:lang w:val="lv-LV"/>
              </w:rPr>
              <w:lastRenderedPageBreak/>
              <w:t>3.pielikuma s</w:t>
            </w:r>
            <w:r w:rsidRPr="00FD3370" w:rsidR="00B70217">
              <w:rPr>
                <w:color w:val="000000" w:themeColor="text1"/>
                <w:lang w:val="lv-LV"/>
              </w:rPr>
              <w:t>adaļas “Projekta apraksts” un “Nepieciešamais finansējums” papildinātas ar skaidrojumu, ka ES fondu projekta ietvaros ir paredzēta 23 elektrovilcienu iegāde.</w:t>
            </w:r>
          </w:p>
        </w:tc>
      </w:tr>
      <w:tr w:rsidRPr="00FD3370" w:rsidR="003E5E42" w:rsidTr="00174771" w14:paraId="46AAB81C"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3E5E42" w:rsidP="003E5E42" w:rsidRDefault="004418DA" w14:paraId="29E499F4" w14:textId="7701CD0B">
            <w:pPr>
              <w:pStyle w:val="naisc"/>
              <w:spacing w:before="0" w:after="0"/>
              <w:ind w:left="57" w:right="57"/>
            </w:pPr>
            <w:r w:rsidRPr="00FD3370">
              <w:lastRenderedPageBreak/>
              <w:t>9</w:t>
            </w:r>
            <w:r w:rsidRPr="00FD3370" w:rsidR="003E5E42">
              <w:t>.</w:t>
            </w:r>
          </w:p>
        </w:tc>
        <w:tc>
          <w:tcPr>
            <w:tcW w:w="1869" w:type="dxa"/>
            <w:tcBorders>
              <w:top w:val="single" w:color="auto" w:sz="4" w:space="0"/>
              <w:left w:val="single" w:color="auto" w:sz="4" w:space="0"/>
              <w:bottom w:val="single" w:color="auto" w:sz="4" w:space="0"/>
              <w:right w:val="single" w:color="auto" w:sz="4" w:space="0"/>
            </w:tcBorders>
          </w:tcPr>
          <w:p w:rsidRPr="00FD3370" w:rsidR="003E5E42" w:rsidP="003E5E42" w:rsidRDefault="003E5E42" w14:paraId="41F2F7C3" w14:textId="6D80A0C3">
            <w:pPr>
              <w:pStyle w:val="naisc"/>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3E5E42" w:rsidP="00643790" w:rsidRDefault="003E5E42" w14:paraId="1E9F0C6B" w14:textId="77777777">
            <w:pPr>
              <w:jc w:val="center"/>
              <w:rPr>
                <w:b/>
              </w:rPr>
            </w:pPr>
            <w:r w:rsidRPr="00FD3370">
              <w:rPr>
                <w:b/>
              </w:rPr>
              <w:t>Finanšu ministrija</w:t>
            </w:r>
          </w:p>
          <w:p w:rsidRPr="00FD3370" w:rsidR="003E5E42" w:rsidP="003E5E42" w:rsidRDefault="003E5E42" w14:paraId="2117D0AE" w14:textId="7EB63B5B">
            <w:pPr>
              <w:spacing w:after="160" w:line="252" w:lineRule="auto"/>
              <w:jc w:val="both"/>
              <w:rPr>
                <w:color w:val="000000" w:themeColor="text1"/>
              </w:rPr>
            </w:pPr>
            <w:r w:rsidRPr="00FD3370">
              <w:t xml:space="preserve">Lūdzam papildināt ziņojuma projekta 3.pielikuma sadaļā “Projekta ietekme uz DP uzraudzības rādītāju sasniegšanu”  norādīto informāciju par projekta ietekmi uz darbības programmā noteikto uzraudzības rādītāju līdz 2023.gadam sasniegšanu. </w:t>
            </w:r>
          </w:p>
        </w:tc>
        <w:tc>
          <w:tcPr>
            <w:tcW w:w="2410" w:type="dxa"/>
            <w:tcBorders>
              <w:top w:val="single" w:color="auto" w:sz="4" w:space="0"/>
              <w:left w:val="single" w:color="auto" w:sz="4" w:space="0"/>
              <w:bottom w:val="single" w:color="auto" w:sz="4" w:space="0"/>
              <w:right w:val="single" w:color="auto" w:sz="4" w:space="0"/>
            </w:tcBorders>
          </w:tcPr>
          <w:p w:rsidRPr="00FD3370" w:rsidR="00643790" w:rsidP="00643790" w:rsidRDefault="00643790" w14:paraId="2E9A9117" w14:textId="77777777">
            <w:pPr>
              <w:pStyle w:val="naisc"/>
              <w:spacing w:before="0" w:after="0"/>
              <w:ind w:left="57" w:right="57" w:firstLine="409"/>
              <w:rPr>
                <w:b/>
              </w:rPr>
            </w:pPr>
            <w:r w:rsidRPr="00FD3370">
              <w:rPr>
                <w:b/>
              </w:rPr>
              <w:t>Ņemts vērā</w:t>
            </w:r>
          </w:p>
          <w:p w:rsidRPr="00FD3370" w:rsidR="003E5E42" w:rsidP="00DF05A2" w:rsidRDefault="003E5E42" w14:paraId="29AD58B6" w14:textId="625B5292">
            <w:pPr>
              <w:pStyle w:val="naisc"/>
              <w:spacing w:before="0" w:after="0"/>
              <w:ind w:right="57" w:firstLine="69"/>
              <w:jc w:val="both"/>
              <w:rPr>
                <w:bCs/>
              </w:rPr>
            </w:pPr>
          </w:p>
        </w:tc>
        <w:tc>
          <w:tcPr>
            <w:tcW w:w="3659" w:type="dxa"/>
            <w:tcBorders>
              <w:top w:val="single" w:color="auto" w:sz="4" w:space="0"/>
              <w:left w:val="single" w:color="auto" w:sz="4" w:space="0"/>
              <w:bottom w:val="single" w:color="auto" w:sz="4" w:space="0"/>
            </w:tcBorders>
          </w:tcPr>
          <w:p w:rsidRPr="00FD3370" w:rsidR="001746B9" w:rsidP="003E5E42" w:rsidRDefault="003E5E42" w14:paraId="4586F9D3" w14:textId="491862DC">
            <w:pPr>
              <w:shd w:val="clear" w:color="auto" w:fill="FFFFFF"/>
              <w:spacing w:before="20"/>
              <w:ind w:right="9"/>
              <w:jc w:val="both"/>
              <w:rPr>
                <w:color w:val="000000" w:themeColor="text1"/>
              </w:rPr>
            </w:pPr>
            <w:r w:rsidRPr="00FD3370">
              <w:rPr>
                <w:color w:val="000000" w:themeColor="text1"/>
              </w:rPr>
              <w:t xml:space="preserve">Veikti precizējumi Informatīvā ziņojuma </w:t>
            </w:r>
            <w:r w:rsidRPr="00FD3370" w:rsidR="0032304A">
              <w:rPr>
                <w:color w:val="000000" w:themeColor="text1"/>
              </w:rPr>
              <w:t>3.pielikum</w:t>
            </w:r>
            <w:r w:rsidRPr="00FD3370" w:rsidR="00EB089D">
              <w:rPr>
                <w:color w:val="000000" w:themeColor="text1"/>
              </w:rPr>
              <w:t xml:space="preserve">a sadaļā “Projekta ietekme uz DP uzraudzības rādītāju sasniegšanu” šādā redakcijā: </w:t>
            </w:r>
          </w:p>
          <w:p w:rsidRPr="00FD3370" w:rsidR="003E5E42" w:rsidP="003E5E42" w:rsidRDefault="00EB089D" w14:paraId="7A310C1D" w14:textId="22E4FB3C">
            <w:pPr>
              <w:shd w:val="clear" w:color="auto" w:fill="FFFFFF"/>
              <w:spacing w:before="20"/>
              <w:ind w:right="9"/>
              <w:jc w:val="both"/>
              <w:rPr>
                <w:color w:val="000000" w:themeColor="text1"/>
              </w:rPr>
            </w:pPr>
            <w:r w:rsidRPr="00FD3370">
              <w:rPr>
                <w:color w:val="000000" w:themeColor="text1"/>
              </w:rPr>
              <w:t>“</w:t>
            </w:r>
            <w:r w:rsidRPr="00FD3370">
              <w:t xml:space="preserve">Pēc projekta ieviešanas (2023.gadā) Rīgas teritorijā plānots sasniegt kopējo pārvadāto pasažieru skaitu Rīgas teritorijā 2,7 milj. pasažieru, bet piecu gadu laikā pēc projekta īstenošanas </w:t>
            </w:r>
            <w:bookmarkStart w:name="_Hlk17376539" w:id="5"/>
            <w:r w:rsidRPr="00FD3370">
              <w:t>2028.gadā jau 4,0 milj. pasažieru</w:t>
            </w:r>
            <w:bookmarkEnd w:id="5"/>
            <w:r w:rsidRPr="00FD3370">
              <w:t>, tādējādi samazinot arī autotransporta plūsmu un CO</w:t>
            </w:r>
            <w:r w:rsidRPr="00FD3370">
              <w:rPr>
                <w:vertAlign w:val="subscript"/>
              </w:rPr>
              <w:t>2</w:t>
            </w:r>
            <w:r w:rsidRPr="00FD3370">
              <w:t xml:space="preserve"> izmešu daudzumu (4.tabula).”</w:t>
            </w:r>
          </w:p>
        </w:tc>
      </w:tr>
      <w:tr w:rsidRPr="00FD3370" w:rsidR="00025A92" w:rsidTr="00174771" w14:paraId="243D093B"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025A92" w:rsidP="0034404A" w:rsidRDefault="00025A92" w14:paraId="3C989035" w14:textId="12BA04E0">
            <w:pPr>
              <w:pStyle w:val="naisc"/>
              <w:spacing w:before="0" w:after="0"/>
              <w:ind w:left="57" w:right="57"/>
            </w:pPr>
            <w:r w:rsidRPr="00FD3370">
              <w:t>10</w:t>
            </w:r>
            <w:r w:rsidR="00300E91">
              <w:t>.</w:t>
            </w:r>
          </w:p>
        </w:tc>
        <w:tc>
          <w:tcPr>
            <w:tcW w:w="1869" w:type="dxa"/>
            <w:tcBorders>
              <w:top w:val="single" w:color="auto" w:sz="4" w:space="0"/>
              <w:left w:val="single" w:color="auto" w:sz="4" w:space="0"/>
              <w:bottom w:val="single" w:color="auto" w:sz="4" w:space="0"/>
              <w:right w:val="single" w:color="auto" w:sz="4" w:space="0"/>
            </w:tcBorders>
          </w:tcPr>
          <w:p w:rsidRPr="00FD3370" w:rsidR="00025A92" w:rsidP="0034404A" w:rsidRDefault="00025A92" w14:paraId="43E11AA5" w14:textId="11EB1750">
            <w:pPr>
              <w:pStyle w:val="naisc"/>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025A92" w:rsidP="007C1CA9" w:rsidRDefault="00025A92" w14:paraId="56AC16EC" w14:textId="77777777">
            <w:pPr>
              <w:jc w:val="center"/>
              <w:rPr>
                <w:b/>
              </w:rPr>
            </w:pPr>
            <w:r w:rsidRPr="00FD3370">
              <w:rPr>
                <w:b/>
              </w:rPr>
              <w:t>Finanšu ministrija</w:t>
            </w:r>
          </w:p>
          <w:p w:rsidRPr="00FD3370" w:rsidR="00025A92" w:rsidP="00DB29E1" w:rsidRDefault="00025A92" w14:paraId="19537139" w14:textId="77777777">
            <w:pPr>
              <w:spacing w:after="160" w:line="252" w:lineRule="auto"/>
              <w:jc w:val="both"/>
            </w:pPr>
            <w:r w:rsidRPr="00FD3370">
              <w:t xml:space="preserve">Ziņojuma projekta 4.pielikumā “Komercdarbības atbalsta </w:t>
            </w:r>
            <w:proofErr w:type="spellStart"/>
            <w:r w:rsidRPr="00FD3370">
              <w:t>izvērtējums</w:t>
            </w:r>
            <w:proofErr w:type="spellEnd"/>
            <w:r w:rsidRPr="00FD3370">
              <w:t xml:space="preserve"> Pasažieru vilciena lielā projekta kontekstā” ir norādīts, ka esošais Pārvadājuma pasūtījuma līgums ir noslēgts un visas kompensācijas izmaksas ir aprēķinātas, ievērojot Eiropas Parlamenta un Padomes Regulas (EK) Nr.1370/2007 (2007.gada 23.oktobris) par sabiedriskā pasažieru transporta pakalpojumiem, izmantojot dzelzceļu un autoceļus, un ar ko atceļ Padomes Regulu (EEK) Nr.1191/69 un Padomes Regulu (EEK) Nr.1107/70 (turpmāk – regula </w:t>
            </w:r>
            <w:r w:rsidRPr="00FD3370">
              <w:lastRenderedPageBreak/>
              <w:t>Nr.1370/2007) nosacījumus, kā arī ir minēts, ka Pārvadājuma pasūtījuma līgums ar VAS “Pasažieru vilciens” tika noslēgts uz 15 gadiem (no 2009.gada 1.janvāra līdz 2024.gada 31.decembrim), un minētais līgums varētu tikt pagarināts vēl par 7,5 gadiem, ja līdz 2019.gada 31.decembrim VAS “Pasažieru vilciens” iesniegs VSIA “Autotransporta direkcija” Līgumu par jaunā ritošā sastāva iegādi līdz 2024.gada 31.decembrim.</w:t>
            </w:r>
          </w:p>
          <w:p w:rsidRPr="00FD3370" w:rsidR="00025A92" w:rsidP="00DB29E1" w:rsidRDefault="00025A92" w14:paraId="312B49B0" w14:textId="77777777">
            <w:pPr>
              <w:jc w:val="both"/>
            </w:pPr>
            <w:r w:rsidRPr="00FD3370">
              <w:t>Regulas Nr.1370/2013 4.panta 4.punkts nosaka, ka, ņemot vērā aktīvu amortizācijas nosacījumus, pakalpojumu valsts līguma termiņu var pagarināt ne vairāk kā par 50%, ja sabiedrisko pakalpojumu sniedzēja nodrošinātie aktīvi ir gan ievērojami apjomīgi attiecībā uz visiem aktīviem, kas ir vajadzīgi pakalpojumu valsts līgumā paredzēto pasažieru transporta pakalpojumu veikšanai, gan ir saistīti galvenokārt ar tiem pasažieru transporta pakalpojumiem, uz ko attiecas līgums. Tāpat arī Komisijas paziņojuma par interpretējošām vadlīnijām attiecībā uz Regulu (EK) Nr.1370/2007 par sabiedriskā pasažieru transporta pakalpojumiem, izmantojot dzelzceļu un autoceļus 2.2.7.sadaļā ir minēts, ka, pieņemot lēmumu par sabiedrisko pakalpojumu līguma termiņa pagarināšanu par 50%, jāņem šādi apsvērumi: sabiedrisko pakalpojumu līgumā jāparedz, ka pakalpojuma sniedzējam jāiegulda līdzekļi aktīvos, piemēram, ritošajā sastāvā [..].</w:t>
            </w:r>
          </w:p>
          <w:p w:rsidRPr="00FD3370" w:rsidR="00025A92" w:rsidP="00DB29E1" w:rsidRDefault="00025A92" w14:paraId="64B6B555" w14:textId="77777777">
            <w:pPr>
              <w:jc w:val="both"/>
            </w:pPr>
            <w:r w:rsidRPr="00FD3370">
              <w:t xml:space="preserve">No ziņojuma projekta izriet, ka finanšu līdzekļi VAS “Pasažieru vilciens” elektrovilcienu iegādei tiks sniegti no valsts budžeta un ir plānots daļu no šiem līdzekļiem piešķirt no atbrīvotā ES fondu finansējuma. Līdz ar to ir secināms, ka finansējumu elektrovilcienu iegādei nenodrošinās pats pakalpojuma sniedzējs (VAS “Pasažieru vilciens”) no saviem līdzekļiem. Tādējādi </w:t>
            </w:r>
            <w:r w:rsidRPr="00FD3370">
              <w:lastRenderedPageBreak/>
              <w:t>netiek izpildīts regulas Nr.1370/2013 4.panta 4.punkta nosacījums, kuram iestājoties ir iespējams pagarināt pakalpojuma līgumu par 50%, proti, sabiedriskā pakalpojuma sniedzējs nav tas, kas nodrošinās ieguldāmos aktīvus.</w:t>
            </w:r>
          </w:p>
          <w:p w:rsidRPr="00FD3370" w:rsidR="00025A92" w:rsidP="00DB29E1" w:rsidRDefault="00025A92" w14:paraId="50577A42" w14:textId="77777777">
            <w:pPr>
              <w:jc w:val="both"/>
            </w:pPr>
            <w:r w:rsidRPr="00FD3370">
              <w:t>Ņemot vērā iepriekš minēto, kā arī ar Eiropas Parlamenta un Padomes regulu (ES) 2016/2338 (2016. gada 14. decembris), ar ko Regulu (EK) Nr. 1370/2007 groza attiecībā uz iekšzemes dzelzceļa pasažieru pārvadājumu tirgus atvēršanu grozītajā regulas Nr.1370/2007 8.panta 2.a apakšpunktā noteikto, lūdzam ziņojuma projektā skaidri norādīt, vai finansējums elektrovilcienu iegādei tiks piešķirts esošā Pārvadājuma pasūtījuma līguma ietvaros un tas tiks ietverts kompensācijas aprēķinā par izdevumiem, kas saistīti ar pasažieru pārvadājumu nodrošināšanu (tādā gadījumā tā beigu termiņš būtu 2024.gada 31.decembris), vai arī tiks noslēgts jauns līgums par sabiedrisko pakalpojumu sniegšanu atbilstoši regulas Nr.1370/2007 nosacījumiem.</w:t>
            </w:r>
          </w:p>
          <w:p w:rsidRPr="00FD3370" w:rsidR="00025A92" w:rsidP="00DB29E1" w:rsidRDefault="00025A92" w14:paraId="2DC7FA2B" w14:textId="5E91C906">
            <w:pPr>
              <w:jc w:val="both"/>
            </w:pPr>
            <w:r w:rsidRPr="00FD3370">
              <w:t xml:space="preserve">Vienlaikus skaidrojam, ka atbilstoši Eiropas Komisijas sniegtajiem skaidrojumiem vienu un to pašu pakalpojumu sniedzēju var atkārtoti pilnvarot sniegt vienu un to pašu vispārējās tautsaimnieciskas nozīmes pakalpojumu (lūdzam skatīt Rokasgrāmatā par Eiropas Savienības valsts atbalsta, publiskā iepirkuma un iekšējā tirgus noteikumu piemērošanu vispārējas tautsaimnieciskas nozīmes pakalpojumiem un jo īpaši vispārējas nozīmes sociālajiem pakalpojumiem 57.jautājumu 46.lpp.; pieejams: </w:t>
            </w:r>
            <w:hyperlink w:history="1" r:id="rId8">
              <w:r w:rsidRPr="00FD3370">
                <w:rPr>
                  <w:rStyle w:val="Hyperlink"/>
                  <w:color w:val="auto"/>
                </w:rPr>
                <w:t>http://ec.europa.eu/competition/state_aid/overview/new_guide_eu_rules_procurement_lv.pdf</w:t>
              </w:r>
            </w:hyperlink>
            <w:r w:rsidRPr="00FD3370">
              <w:t xml:space="preserve">). </w:t>
            </w:r>
          </w:p>
        </w:tc>
        <w:tc>
          <w:tcPr>
            <w:tcW w:w="2410" w:type="dxa"/>
            <w:vMerge w:val="restart"/>
            <w:tcBorders>
              <w:top w:val="single" w:color="auto" w:sz="4" w:space="0"/>
              <w:left w:val="single" w:color="auto" w:sz="4" w:space="0"/>
              <w:right w:val="single" w:color="auto" w:sz="4" w:space="0"/>
            </w:tcBorders>
          </w:tcPr>
          <w:p w:rsidRPr="00FD3370" w:rsidR="00025A92" w:rsidP="00643790" w:rsidRDefault="0076278E" w14:paraId="3E912642" w14:textId="77DCC854">
            <w:pPr>
              <w:pStyle w:val="naisc"/>
              <w:spacing w:before="0" w:after="0"/>
              <w:ind w:left="57" w:right="57" w:firstLine="409"/>
              <w:rPr>
                <w:b/>
              </w:rPr>
            </w:pPr>
            <w:r>
              <w:rPr>
                <w:b/>
              </w:rPr>
              <w:lastRenderedPageBreak/>
              <w:t>Ņ</w:t>
            </w:r>
            <w:r w:rsidRPr="00FD3370" w:rsidR="00025A92">
              <w:rPr>
                <w:b/>
              </w:rPr>
              <w:t>emts vērā</w:t>
            </w:r>
          </w:p>
          <w:p w:rsidRPr="00300E91" w:rsidR="007926DD" w:rsidP="00300E91" w:rsidRDefault="00913C20" w14:paraId="7A8AB790" w14:textId="142DB90B">
            <w:pPr>
              <w:pStyle w:val="naisc"/>
              <w:spacing w:before="0" w:after="0"/>
              <w:ind w:right="57"/>
              <w:jc w:val="both"/>
            </w:pPr>
            <w:r>
              <w:rPr>
                <w:bCs/>
              </w:rPr>
              <w:t xml:space="preserve">Skaidrojam, ka finansējums elektrovilcienu iegādei tiks piešķirts esošā </w:t>
            </w:r>
            <w:r w:rsidR="00A7258D">
              <w:rPr>
                <w:bCs/>
              </w:rPr>
              <w:t xml:space="preserve">Pārvadājuma pasūtījuma līguma ietvaros. </w:t>
            </w:r>
            <w:r w:rsidR="0003553B">
              <w:rPr>
                <w:bCs/>
              </w:rPr>
              <w:t xml:space="preserve">Papildus informējam, ka </w:t>
            </w:r>
            <w:r w:rsidR="004C6F57">
              <w:rPr>
                <w:bCs/>
              </w:rPr>
              <w:t xml:space="preserve">atbilstoši spēkā esošajā līgumā par </w:t>
            </w:r>
            <w:r w:rsidR="004C6F57">
              <w:rPr>
                <w:bCs/>
              </w:rPr>
              <w:lastRenderedPageBreak/>
              <w:t xml:space="preserve">sabiedriskā transporta pakalpojumu sniegšanu reģionālajos starppilsētu nozīmes maršrutos pa dzelzceļu noteiktajam, nepiešķirot Pārvadātājam (AS “Pasažieru vilciens”) no jauna tiesības sniegt </w:t>
            </w:r>
            <w:r w:rsidR="007926DD">
              <w:rPr>
                <w:bCs/>
              </w:rPr>
              <w:t>sabiedriskā transporta pakalpojumus reģionālajos starppilsētu nozīmes maršrutos pa dzelzceļu līdzvērtīgā apjomā</w:t>
            </w:r>
            <w:r w:rsidR="0047607A">
              <w:rPr>
                <w:bCs/>
              </w:rPr>
              <w:t>,</w:t>
            </w:r>
            <w:r w:rsidR="007926DD">
              <w:rPr>
                <w:bCs/>
              </w:rPr>
              <w:t xml:space="preserve">  Pasūtītājs (SIA “Autotransporta direkcija”) veic nepieciešamās darbības, </w:t>
            </w:r>
            <w:r w:rsidRPr="00300E91" w:rsidR="007926DD">
              <w:t xml:space="preserve">ievērojot normatīvajos aktos noteiktās procedūras, kas nodrošina, ka sabiedriskā transporta pakalpojumu reģionālos starppilsētu nozīmes maršrutos pa dzelzceļu līdzvērtīgā </w:t>
            </w:r>
            <w:r w:rsidRPr="00300E91" w:rsidR="007926DD">
              <w:lastRenderedPageBreak/>
              <w:t>apjomā sniegšanai tiek piesaistīts cits pakalpojuma sniedzējs (operators) ar nosacījumu, ka tas pārņem īpašumtiesības uz jauno ritošo sastāvu un no tām izrietošās visas Pārvadātāja saistības (tiesības un pienākumus), kas ir attiecināmas uz jauna ritošā sastāva iegādi.</w:t>
            </w:r>
          </w:p>
          <w:p w:rsidR="009665D9" w:rsidP="00300E91" w:rsidRDefault="009E3CA4" w14:paraId="4E25EA82" w14:textId="1AFEDEDA">
            <w:pPr>
              <w:pStyle w:val="naisc"/>
              <w:spacing w:before="0" w:after="0"/>
              <w:ind w:right="57"/>
              <w:jc w:val="both"/>
            </w:pPr>
            <w:r>
              <w:rPr>
                <w:bCs/>
              </w:rPr>
              <w:t>Ņ</w:t>
            </w:r>
            <w:r w:rsidR="001D7861">
              <w:rPr>
                <w:bCs/>
              </w:rPr>
              <w:t xml:space="preserve">emot vērā </w:t>
            </w:r>
            <w:r w:rsidR="00897719">
              <w:rPr>
                <w:bCs/>
              </w:rPr>
              <w:t xml:space="preserve">  </w:t>
            </w:r>
            <w:r>
              <w:rPr>
                <w:bCs/>
              </w:rPr>
              <w:t xml:space="preserve">iepriekš minēto un </w:t>
            </w:r>
            <w:r w:rsidR="00094D47">
              <w:rPr>
                <w:bCs/>
              </w:rPr>
              <w:t>I</w:t>
            </w:r>
            <w:r w:rsidR="001D7861">
              <w:rPr>
                <w:bCs/>
              </w:rPr>
              <w:t xml:space="preserve">nformatīvā ziņojuma saskaņošanas laikā </w:t>
            </w:r>
            <w:r w:rsidR="00913C20">
              <w:rPr>
                <w:bCs/>
              </w:rPr>
              <w:t>identificēto</w:t>
            </w:r>
            <w:r w:rsidR="00897719">
              <w:rPr>
                <w:bCs/>
              </w:rPr>
              <w:t xml:space="preserve"> jautājum</w:t>
            </w:r>
            <w:r w:rsidR="00915D8E">
              <w:rPr>
                <w:bCs/>
              </w:rPr>
              <w:t>u</w:t>
            </w:r>
            <w:r w:rsidR="00897719">
              <w:rPr>
                <w:bCs/>
              </w:rPr>
              <w:t xml:space="preserve"> komplicētību un ar to saistīto </w:t>
            </w:r>
            <w:r w:rsidR="00913C20">
              <w:rPr>
                <w:bCs/>
              </w:rPr>
              <w:t xml:space="preserve">nepieciešamību </w:t>
            </w:r>
            <w:r w:rsidR="00A14791">
              <w:rPr>
                <w:bCs/>
              </w:rPr>
              <w:t xml:space="preserve">sniegt juridiski korektus </w:t>
            </w:r>
            <w:r w:rsidRPr="00FD3370" w:rsidR="00A14791">
              <w:t>un attiecīgi argumentētus risinājumus, kas vienlaicīgi nepārprotami nodrošinātu Regulas Nr.1370/2007 prasību ievērošanu sabiedriskā pakalpojuma līguma esamībai pēc 2024.gada</w:t>
            </w:r>
            <w:r w:rsidR="00182D7B">
              <w:t xml:space="preserve">, Satiksmes </w:t>
            </w:r>
            <w:r w:rsidR="00182D7B">
              <w:lastRenderedPageBreak/>
              <w:t xml:space="preserve">ministrija skaidro, ka </w:t>
            </w:r>
            <w:r w:rsidR="00395FC1">
              <w:t>j</w:t>
            </w:r>
            <w:r w:rsidR="006E518F">
              <w:t>auna pārvadājum</w:t>
            </w:r>
            <w:r w:rsidR="009665D9">
              <w:t>a</w:t>
            </w:r>
            <w:r w:rsidR="006E518F">
              <w:t xml:space="preserve"> pasūtījuma līguma piešķiršanas  </w:t>
            </w:r>
            <w:r w:rsidR="00395FC1">
              <w:t>juridisk</w:t>
            </w:r>
            <w:r w:rsidR="009665D9">
              <w:t>ais</w:t>
            </w:r>
            <w:r w:rsidR="00395FC1">
              <w:t xml:space="preserve"> risinājums tiks sagatavots un saskaņots ar Eiropas Komisiju lielā projekta </w:t>
            </w:r>
            <w:r w:rsidR="009665D9">
              <w:t xml:space="preserve">iesnieguma </w:t>
            </w:r>
            <w:r w:rsidR="00395FC1">
              <w:t xml:space="preserve">izstrādes </w:t>
            </w:r>
            <w:r w:rsidR="009665D9">
              <w:t>laikā</w:t>
            </w:r>
            <w:r w:rsidR="00312134">
              <w:t xml:space="preserve">. </w:t>
            </w:r>
          </w:p>
          <w:p w:rsidRPr="00FD3370" w:rsidR="006E518F" w:rsidP="00300E91" w:rsidRDefault="006E518F" w14:paraId="6BD50F5F" w14:textId="566728BF">
            <w:pPr>
              <w:pStyle w:val="naisc"/>
              <w:spacing w:before="0" w:after="0"/>
              <w:ind w:right="57" w:firstLine="69"/>
              <w:jc w:val="both"/>
              <w:rPr>
                <w:bCs/>
              </w:rPr>
            </w:pPr>
          </w:p>
        </w:tc>
        <w:tc>
          <w:tcPr>
            <w:tcW w:w="3659" w:type="dxa"/>
            <w:vMerge w:val="restart"/>
            <w:tcBorders>
              <w:top w:val="single" w:color="auto" w:sz="4" w:space="0"/>
              <w:left w:val="single" w:color="auto" w:sz="4" w:space="0"/>
            </w:tcBorders>
          </w:tcPr>
          <w:p w:rsidR="00312134" w:rsidP="00390641" w:rsidRDefault="00094D47" w14:paraId="1FB9B6F7" w14:textId="44405C83">
            <w:pPr>
              <w:jc w:val="both"/>
              <w:rPr>
                <w:color w:val="000000" w:themeColor="text1"/>
              </w:rPr>
            </w:pPr>
            <w:r>
              <w:rPr>
                <w:color w:val="000000" w:themeColor="text1"/>
              </w:rPr>
              <w:lastRenderedPageBreak/>
              <w:t>Dzēsts Informatīvā ziņojuma 4.pielikums</w:t>
            </w:r>
            <w:r w:rsidR="00436499">
              <w:rPr>
                <w:color w:val="000000" w:themeColor="text1"/>
              </w:rPr>
              <w:t xml:space="preserve">, attiecīgi papildinot 3.pielikumu ar sadaļu “Komercdarbības atbalsta </w:t>
            </w:r>
            <w:proofErr w:type="spellStart"/>
            <w:r w:rsidR="00436499">
              <w:rPr>
                <w:color w:val="000000" w:themeColor="text1"/>
              </w:rPr>
              <w:t>izvērtējums</w:t>
            </w:r>
            <w:proofErr w:type="spellEnd"/>
            <w:r w:rsidR="00436499">
              <w:rPr>
                <w:color w:val="000000" w:themeColor="text1"/>
              </w:rPr>
              <w:t>” šādā redakcijā:</w:t>
            </w:r>
          </w:p>
          <w:p w:rsidRPr="00A62301" w:rsidR="00436499" w:rsidP="009E3CCA" w:rsidRDefault="00436499" w14:paraId="11F6C89A" w14:textId="582BA05D">
            <w:pPr>
              <w:spacing w:before="120" w:after="120"/>
              <w:jc w:val="both"/>
            </w:pPr>
            <w:r>
              <w:rPr>
                <w:color w:val="000000" w:themeColor="text1"/>
              </w:rPr>
              <w:t>“</w:t>
            </w:r>
            <w:r w:rsidRPr="00A62301">
              <w:t>F</w:t>
            </w:r>
            <w:r w:rsidRPr="00A62301">
              <w:rPr>
                <w:bCs/>
              </w:rPr>
              <w:t xml:space="preserve">inansējums elektrovilcienu iegādei tiks piešķirts esošā Pārvadājuma pasūtījuma līguma ietvaros. </w:t>
            </w:r>
            <w:r w:rsidRPr="00A62301">
              <w:t xml:space="preserve">Pārvadājuma pasūtījuma līgums ir noslēgts un visas kompensācijas izmaksas ir </w:t>
            </w:r>
            <w:r w:rsidRPr="00A62301">
              <w:lastRenderedPageBreak/>
              <w:t xml:space="preserve">aprēķinātas, ievērojot 2007.gada 23.oktobra Eiropas Parlamenta un Padomes regulas (EK) Nr. 1370/2007 par sabiedriskā pasažieru transporta pakalpojumiem, izmantojot dzelzceļu un autoceļus, un ar ko atceļ Padomes regulu (EEK) Nr. 1191/69 un Padomes regulu (EEK) Nr. 1107/70 (turpmāk – Regula Nr. 1370/2007) nosacījumus. </w:t>
            </w:r>
          </w:p>
          <w:p w:rsidRPr="00A62301" w:rsidR="00436499" w:rsidP="009E3CCA" w:rsidRDefault="00436499" w14:paraId="437A76EA" w14:textId="77777777">
            <w:pPr>
              <w:jc w:val="both"/>
            </w:pPr>
            <w:r w:rsidRPr="00A62301">
              <w:rPr>
                <w:bCs/>
              </w:rPr>
              <w:t xml:space="preserve">Savukārt, atbilstoši spēkā esošajā līgumā par sabiedriskā transporta pakalpojumu sniegšanu reģionālajos starppilsētu nozīmes maršrutos pa dzelzceļu noteiktajam, nepiešķirot Pārvadātājam (AS “Pasažieru vilciens”) no jauna tiesības sniegt sabiedriskā transporta pakalpojumus reģionālajos starppilsētu nozīmes maršrutos pa dzelzceļu līdzvērtīgā apjomā,  Pasūtītājs (SIA “Autotransporta direkcija”) veic nepieciešamās darbības, </w:t>
            </w:r>
            <w:r w:rsidRPr="00A62301">
              <w:t xml:space="preserve">ievērojot normatīvajos aktos noteiktās procedūras, kas nodrošina, ka sabiedriskā transporta pakalpojumu reģionālos starppilsētu nozīmes maršrutos pa dzelzceļu līdzvērtīgā apjomā sniegšanai tiek piesaistīts cits pakalpojuma sniedzējs </w:t>
            </w:r>
            <w:r w:rsidRPr="00A62301">
              <w:lastRenderedPageBreak/>
              <w:t>(operators) ar nosacījumu, ka tas pārņem īpašumtiesības uz jauno ritošo sastāvu un no tām izrietošās visas Pārvadātāja saistības (tiesības un pienākumus), kas ir attiecināmas uz jauna ritošā sastāva iegādi.</w:t>
            </w:r>
          </w:p>
          <w:p w:rsidRPr="00436499" w:rsidR="00436499" w:rsidP="00C40CFA" w:rsidRDefault="00436499" w14:paraId="733FE12A" w14:textId="6DC39B77">
            <w:pPr>
              <w:jc w:val="both"/>
            </w:pPr>
            <w:r w:rsidRPr="00A62301">
              <w:t>Ņemot vērā iepriekš minēto, Satiksmes ministrija nodrošinās Regulas Nr.1370/2007 prasību ievērošanu sabiedriskā pakalpojuma līguma esamībai arī pēc 2024.gada (pēc esošā Pārvadājuma pasūtījuma līguma termiņa beigām).</w:t>
            </w:r>
            <w:r>
              <w:t>”</w:t>
            </w:r>
          </w:p>
          <w:p w:rsidRPr="00FD3370" w:rsidR="00025A92" w:rsidP="0096113B" w:rsidRDefault="00025A92" w14:paraId="67BBA1DA" w14:textId="0A491308">
            <w:pPr>
              <w:autoSpaceDE w:val="0"/>
              <w:autoSpaceDN w:val="0"/>
              <w:jc w:val="both"/>
              <w:rPr>
                <w:rFonts w:eastAsiaTheme="minorHAnsi"/>
                <w:i/>
                <w:iCs/>
                <w:color w:val="252325"/>
              </w:rPr>
            </w:pPr>
          </w:p>
        </w:tc>
      </w:tr>
      <w:tr w:rsidRPr="00FD3370" w:rsidR="00025A92" w:rsidTr="00174771" w14:paraId="66CFABC8"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025A92" w:rsidP="00D2780B" w:rsidRDefault="00025A92" w14:paraId="6E9D8638" w14:textId="00ED5D3E">
            <w:pPr>
              <w:pStyle w:val="naisc"/>
              <w:spacing w:before="0" w:after="0"/>
              <w:ind w:left="57" w:right="57"/>
            </w:pPr>
            <w:r w:rsidRPr="00FD3370">
              <w:lastRenderedPageBreak/>
              <w:t>11.</w:t>
            </w:r>
          </w:p>
        </w:tc>
        <w:tc>
          <w:tcPr>
            <w:tcW w:w="1869" w:type="dxa"/>
            <w:tcBorders>
              <w:top w:val="single" w:color="auto" w:sz="4" w:space="0"/>
              <w:left w:val="single" w:color="auto" w:sz="4" w:space="0"/>
              <w:bottom w:val="single" w:color="auto" w:sz="4" w:space="0"/>
              <w:right w:val="single" w:color="auto" w:sz="4" w:space="0"/>
            </w:tcBorders>
          </w:tcPr>
          <w:p w:rsidRPr="00FD3370" w:rsidR="00025A92" w:rsidP="00D2780B" w:rsidRDefault="00025A92" w14:paraId="2C3303C9" w14:textId="5935C8E3">
            <w:pPr>
              <w:pStyle w:val="naisc"/>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025A92" w:rsidP="007A0D83" w:rsidRDefault="00025A92" w14:paraId="31F8D3E5" w14:textId="77777777">
            <w:pPr>
              <w:jc w:val="center"/>
              <w:rPr>
                <w:b/>
              </w:rPr>
            </w:pPr>
            <w:r w:rsidRPr="00FD3370">
              <w:rPr>
                <w:b/>
              </w:rPr>
              <w:t>Finanšu ministrija</w:t>
            </w:r>
          </w:p>
          <w:p w:rsidRPr="00300E91" w:rsidR="00025A92" w:rsidP="00300E91" w:rsidRDefault="00025A92" w14:paraId="3C251029" w14:textId="128B3983">
            <w:pPr>
              <w:spacing w:after="160" w:line="252" w:lineRule="auto"/>
              <w:jc w:val="both"/>
              <w:rPr>
                <w:sz w:val="22"/>
                <w:szCs w:val="22"/>
              </w:rPr>
            </w:pPr>
            <w:r w:rsidRPr="00FD3370">
              <w:t xml:space="preserve">Uzturam FM 2019.gada 19.augusta atzinumā iepriekš izteikto iebildumu Nr.9, ņemot vērā, ka  ziņojuma </w:t>
            </w:r>
            <w:r w:rsidRPr="00FD3370">
              <w:lastRenderedPageBreak/>
              <w:t>projekta 4.pielikumā “</w:t>
            </w:r>
            <w:bookmarkStart w:name="_Toc17379324" w:id="6"/>
            <w:r w:rsidRPr="00FD3370">
              <w:t xml:space="preserve">4. Komercdarbības atbalsta </w:t>
            </w:r>
            <w:proofErr w:type="spellStart"/>
            <w:r w:rsidRPr="00FD3370">
              <w:t>izvērtējums</w:t>
            </w:r>
            <w:proofErr w:type="spellEnd"/>
            <w:r w:rsidRPr="00FD3370">
              <w:t xml:space="preserve"> PV lielā projekta kontekstā</w:t>
            </w:r>
            <w:bookmarkEnd w:id="6"/>
            <w:r w:rsidRPr="00FD3370">
              <w:t>” sniegtais skaidrojums “</w:t>
            </w:r>
            <w:r w:rsidRPr="00FD3370">
              <w:rPr>
                <w:i/>
                <w:iCs/>
              </w:rPr>
              <w:t>Lai nodrošinātu Eiropas Parlamenta un Padomes Regulas (EK) Nr.1370/2007 (2007.gada 23.oktobris) par sabiedriskā pasažieru transporta pakalpojumiem, izmantojot dzelzceļu un autoceļus, un ar ko atceļ Padomes Regulu (EEK) Nr.1191/69 un Padomes Regulu (EEK) Nr.1107/70 (turpmāk – regula Nr.1370/2007) minēto nosacījumu – pakalpojuma sniedzējs nodrošinājis ievērojamus ieguldījumus aktīvos, kuru amortizācijas laikposms ir ārkārtīgi liels, kā arī valsts pasūtījuma līgumā ietverto nosacījumu, proti, līdz 2019.gada 31.decembrim pakalpojuma sniedzējs iegādājies jaunu ritošo sastāvu elektrificētajā vilcienu zonā, t.i., noslēgts līgums par jaunu elektrovilcienu piegādi, Ministru kabineta 2019.gada 16.jūlijā sēdē</w:t>
            </w:r>
            <w:r w:rsidRPr="00FD3370">
              <w:rPr>
                <w:i/>
                <w:iCs/>
                <w:vertAlign w:val="superscript"/>
              </w:rPr>
              <w:t>1</w:t>
            </w:r>
            <w:r w:rsidRPr="00FD3370">
              <w:rPr>
                <w:i/>
                <w:iCs/>
              </w:rPr>
              <w:t xml:space="preserve"> tika izskatīts Satiksmes ministrijas sagatavotais Informatīvais ziņojums par “Par jauno elektrovilcienu projektu”, kas paredz atļaut Satiksmes ministrijai uzņemties valsts budžeta ilgtermiņa saistības, lai nodrošinātu PV finansējumu jaunu elektrovilcienu iegādei. Atbilstoši MK sēdes </w:t>
            </w:r>
            <w:proofErr w:type="spellStart"/>
            <w:r w:rsidRPr="00FD3370">
              <w:rPr>
                <w:i/>
                <w:iCs/>
              </w:rPr>
              <w:t>protokollēmuma</w:t>
            </w:r>
            <w:proofErr w:type="spellEnd"/>
            <w:r w:rsidRPr="00FD3370">
              <w:rPr>
                <w:i/>
                <w:iCs/>
              </w:rPr>
              <w:t xml:space="preserve"> Nr.33 84.§ 5.punktā noteiktajam PV atver atsevišķu norēķinu kontu Valsts kasē valsts finansējuma saņemšanai un nodrošina jauno elektrovilcienu uzskaiti sabiedrības bilancē, lai izpildītu sabiedriskā transporta pakalpoja pasūtījuma līguma nosacījumus. Līdz ar to plānotais finansējums elektrovilcienu iegādei tiks piešķirts PV esošā pārvadājumu pasūtījuma līguma ietvaros, nodrošinot nepieciešamo finansējumu elektrovilcienu iegādei, tādejādi izpildot līguma termiņa pagarināšanas nosacījumus (par 50% jeb 7,5 gadiem) atbilstoši Regulas Nr. 1370/2007 nosacījumiem,” </w:t>
            </w:r>
            <w:r w:rsidRPr="00FD3370">
              <w:rPr>
                <w:u w:val="single"/>
              </w:rPr>
              <w:t xml:space="preserve">nesniedz objektīvu </w:t>
            </w:r>
            <w:r w:rsidRPr="00FD3370">
              <w:rPr>
                <w:u w:val="single"/>
              </w:rPr>
              <w:lastRenderedPageBreak/>
              <w:t xml:space="preserve">pamatojumu juridiski atbilstošam risinājumam, t.i., nav saprotams, kā finanšu līdzekļi, kas VAS “Pasažieru vilciens” elektrovilcienu iegādei tiks sniegti no valsts budžeta, nodrošinās, ka pats pakalpojuma sniedzējs (VAS “Pasažieru vilciens”) no saviem līdzekļiem ir iegādājies aktīvus ar ilgu amortizācijas laiku, tādējādi nodrošinot regulas Nr.1370/2013 4.panta 4.punkta nosacījumu izpildi, kuriem iestājoties ir iespējams pagarināt pakalpojuma līgumu par 50%. </w:t>
            </w:r>
            <w:r w:rsidRPr="00FD3370">
              <w:t xml:space="preserve">Ņemot vērā iepriekš minēto, lūdzam SM piedāvāt juridiski korektus un attiecīgi argumentētus risinājumus, kas vienlaicīgi nepārprotami nodrošinātu Regulas Nr.1370/2007 prasību ievērošanu sabiedriskā pakalpojuma līguma esamībai pēc 2024.gada (kad pēc FM rīcībā esošās informācijas beidzas esošais sabiedriskā pakalpojuma līgums). Jāņem vērā, ka, virzot jauno elektrovilcienu iegādes projektu līdzfinansēšanai no ES fondu līdzekļiem, pietiekami pārliecinoši juridiski pamatotai argumentācijai jābūt iekļautai attiecīgi arī darbības programmas “Izaugsme un nodarbinātība” grozījumu priekšlikuma pamatojumā un  “lielā projekta” iesniegumā, kuru rūpīgi izvērtēs arī JASPERS neatkarīgie eksperti un Eiropas komisija pirms Eiropas Komisijas gala lēmuma par ES fondu atbalsta apstiprināšanu projektam. </w:t>
            </w:r>
          </w:p>
        </w:tc>
        <w:tc>
          <w:tcPr>
            <w:tcW w:w="2410" w:type="dxa"/>
            <w:vMerge/>
            <w:tcBorders>
              <w:left w:val="single" w:color="auto" w:sz="4" w:space="0"/>
              <w:bottom w:val="single" w:color="auto" w:sz="4" w:space="0"/>
              <w:right w:val="single" w:color="auto" w:sz="4" w:space="0"/>
            </w:tcBorders>
          </w:tcPr>
          <w:p w:rsidRPr="00FD3370" w:rsidR="00025A92" w:rsidP="00DF05A2" w:rsidRDefault="00025A92" w14:paraId="74E9BC13" w14:textId="61C6C17D">
            <w:pPr>
              <w:pStyle w:val="naisc"/>
              <w:spacing w:before="0" w:after="0"/>
              <w:ind w:left="57" w:right="57" w:firstLine="409"/>
              <w:rPr>
                <w:b/>
              </w:rPr>
            </w:pPr>
          </w:p>
        </w:tc>
        <w:tc>
          <w:tcPr>
            <w:tcW w:w="3659" w:type="dxa"/>
            <w:vMerge/>
            <w:tcBorders>
              <w:left w:val="single" w:color="auto" w:sz="4" w:space="0"/>
              <w:bottom w:val="single" w:color="auto" w:sz="4" w:space="0"/>
            </w:tcBorders>
          </w:tcPr>
          <w:p w:rsidRPr="00FD3370" w:rsidR="00025A92" w:rsidP="00D2780B" w:rsidRDefault="00025A92" w14:paraId="45E1142C" w14:textId="77777777">
            <w:pPr>
              <w:shd w:val="clear" w:color="auto" w:fill="FFFFFF"/>
              <w:spacing w:before="20"/>
              <w:ind w:right="9"/>
              <w:jc w:val="both"/>
              <w:rPr>
                <w:color w:val="000000" w:themeColor="text1"/>
              </w:rPr>
            </w:pPr>
          </w:p>
        </w:tc>
      </w:tr>
      <w:tr w:rsidRPr="00FD3370" w:rsidR="00D2780B" w:rsidTr="00174771" w14:paraId="7A487093"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D2780B" w:rsidP="00D2780B" w:rsidRDefault="00D2780B" w14:paraId="6F1CC552" w14:textId="306BDDDE">
            <w:pPr>
              <w:pStyle w:val="naisc"/>
              <w:spacing w:before="0" w:after="0"/>
              <w:ind w:left="57" w:right="57"/>
            </w:pPr>
            <w:r w:rsidRPr="00FD3370">
              <w:lastRenderedPageBreak/>
              <w:t>1</w:t>
            </w:r>
            <w:r w:rsidRPr="00FD3370" w:rsidR="004418DA">
              <w:t>2</w:t>
            </w:r>
            <w:r w:rsidRPr="00FD3370">
              <w:t xml:space="preserve">. </w:t>
            </w:r>
          </w:p>
        </w:tc>
        <w:tc>
          <w:tcPr>
            <w:tcW w:w="1869" w:type="dxa"/>
            <w:tcBorders>
              <w:top w:val="single" w:color="auto" w:sz="4" w:space="0"/>
              <w:left w:val="single" w:color="auto" w:sz="4" w:space="0"/>
              <w:bottom w:val="single" w:color="auto" w:sz="4" w:space="0"/>
              <w:right w:val="single" w:color="auto" w:sz="4" w:space="0"/>
            </w:tcBorders>
          </w:tcPr>
          <w:p w:rsidRPr="00FD3370" w:rsidR="00D2780B" w:rsidP="00D2780B" w:rsidRDefault="00D2780B" w14:paraId="552DDB61" w14:textId="5D7A72DC">
            <w:pPr>
              <w:pStyle w:val="naisc"/>
              <w:ind w:left="57" w:right="57"/>
              <w:jc w:val="both"/>
            </w:pPr>
            <w:r w:rsidRPr="00FD3370">
              <w:t xml:space="preserve">Ministru kabineta </w:t>
            </w:r>
            <w:proofErr w:type="spellStart"/>
            <w:r w:rsidRPr="00FD3370">
              <w:t>protokollēmuma</w:t>
            </w:r>
            <w:proofErr w:type="spellEnd"/>
            <w:r w:rsidRPr="00FD3370">
              <w:t xml:space="preserve"> projekt</w:t>
            </w:r>
            <w:r w:rsidRPr="00FD3370" w:rsidR="00E40015">
              <w:t>a 2.punkts</w:t>
            </w:r>
            <w:r w:rsidRPr="00FD3370" w:rsidR="006B4881">
              <w:t>:</w:t>
            </w:r>
          </w:p>
          <w:p w:rsidRPr="00FD3370" w:rsidR="006B4881" w:rsidP="00E40015" w:rsidRDefault="00E40015" w14:paraId="3DCADB37" w14:textId="4406DF9E">
            <w:pPr>
              <w:jc w:val="both"/>
              <w:rPr>
                <w:sz w:val="28"/>
                <w:szCs w:val="28"/>
              </w:rPr>
            </w:pPr>
            <w:r w:rsidRPr="00FD3370">
              <w:t>“2.</w:t>
            </w:r>
            <w:r w:rsidRPr="00FD3370">
              <w:tab/>
              <w:t xml:space="preserve">Finanšu ministrijai virzīt grozījumus par </w:t>
            </w:r>
            <w:r w:rsidRPr="00FD3370">
              <w:lastRenderedPageBreak/>
              <w:t>Eiropas Savienības struktūrfondu un Kohēzijas fonda 2014. – 2020.gada plānošanas perioda darbības programmas “Izaugsme un nodarbinātība” 4.prioritārā virziena ietvaros atbrīvotā Eiropas Savienības finansējuma izmantošanu iesniegšanai Eiropas Komisijā.”</w:t>
            </w:r>
          </w:p>
        </w:tc>
        <w:tc>
          <w:tcPr>
            <w:tcW w:w="5670" w:type="dxa"/>
            <w:tcBorders>
              <w:top w:val="single" w:color="auto" w:sz="4" w:space="0"/>
              <w:left w:val="single" w:color="auto" w:sz="4" w:space="0"/>
              <w:bottom w:val="single" w:color="auto" w:sz="4" w:space="0"/>
              <w:right w:val="single" w:color="auto" w:sz="4" w:space="0"/>
            </w:tcBorders>
          </w:tcPr>
          <w:p w:rsidRPr="00FD3370" w:rsidR="00D2780B" w:rsidP="007C1CA9" w:rsidRDefault="00D2780B" w14:paraId="2BF07384" w14:textId="77777777">
            <w:pPr>
              <w:jc w:val="center"/>
              <w:rPr>
                <w:b/>
              </w:rPr>
            </w:pPr>
            <w:r w:rsidRPr="00FD3370">
              <w:rPr>
                <w:b/>
              </w:rPr>
              <w:lastRenderedPageBreak/>
              <w:t>Finanšu ministrija</w:t>
            </w:r>
          </w:p>
          <w:p w:rsidRPr="00FD3370" w:rsidR="00D2780B" w:rsidP="00D2780B" w:rsidRDefault="00D2780B" w14:paraId="39299818" w14:textId="77777777">
            <w:pPr>
              <w:spacing w:after="160" w:line="252" w:lineRule="auto"/>
              <w:jc w:val="both"/>
            </w:pPr>
            <w:r w:rsidRPr="00FD3370">
              <w:t xml:space="preserve">Lūdzam precizēt MK </w:t>
            </w:r>
            <w:proofErr w:type="spellStart"/>
            <w:r w:rsidRPr="00FD3370">
              <w:t>protokollēmuma</w:t>
            </w:r>
            <w:proofErr w:type="spellEnd"/>
            <w:r w:rsidRPr="00FD3370">
              <w:t xml:space="preserve"> projekta 2.punktu, nosakot FM sadarbībā ar SM sagatavot un virzīt saskaņošanai EK grozījumus darbības programmā. Vienlaikus lūdzam papildināt MK </w:t>
            </w:r>
            <w:proofErr w:type="spellStart"/>
            <w:r w:rsidRPr="00FD3370">
              <w:t>protokollēmuma</w:t>
            </w:r>
            <w:proofErr w:type="spellEnd"/>
            <w:r w:rsidRPr="00FD3370">
              <w:t xml:space="preserve"> projektu ar jauniem punktiem: </w:t>
            </w:r>
          </w:p>
          <w:p w:rsidRPr="00FD3370" w:rsidR="00D2780B" w:rsidP="00E51628" w:rsidRDefault="00D2780B" w14:paraId="0BBC9B20" w14:textId="77777777">
            <w:pPr>
              <w:pStyle w:val="ListParagraph"/>
              <w:numPr>
                <w:ilvl w:val="0"/>
                <w:numId w:val="2"/>
              </w:numPr>
              <w:spacing w:after="160" w:line="252" w:lineRule="auto"/>
              <w:ind w:left="487"/>
              <w:jc w:val="both"/>
              <w:rPr>
                <w:lang w:val="lv-LV"/>
              </w:rPr>
            </w:pPr>
            <w:r w:rsidRPr="00FD3370">
              <w:rPr>
                <w:lang w:val="lv-LV"/>
              </w:rPr>
              <w:lastRenderedPageBreak/>
              <w:t>nosakot, ka FM sadarbībā ar SM uzsākt sarunas ar EK par piedāvātajām alternatīvām 4.prioritārā virziena ietvaros atbrīvotā ES fondu finansējuma izmantošanai;</w:t>
            </w:r>
          </w:p>
          <w:p w:rsidRPr="00FD3370" w:rsidR="00D2780B" w:rsidP="00E51628" w:rsidRDefault="00D2780B" w14:paraId="2A48B3B5" w14:textId="718EE2EA">
            <w:pPr>
              <w:pStyle w:val="ListParagraph"/>
              <w:numPr>
                <w:ilvl w:val="0"/>
                <w:numId w:val="2"/>
              </w:numPr>
              <w:spacing w:after="160" w:line="252" w:lineRule="auto"/>
              <w:ind w:left="487"/>
              <w:jc w:val="both"/>
              <w:rPr>
                <w:lang w:val="lv-LV"/>
              </w:rPr>
            </w:pPr>
            <w:r w:rsidRPr="00FD3370">
              <w:rPr>
                <w:lang w:val="lv-LV"/>
              </w:rPr>
              <w:t>nosakot, ka grozījumus MK noteikumos Nr.281</w:t>
            </w:r>
            <w:r w:rsidRPr="00FD3370" w:rsidR="00EF7E9B">
              <w:rPr>
                <w:rStyle w:val="FootnoteReference"/>
                <w:lang w:val="lv-LV"/>
              </w:rPr>
              <w:footnoteReference w:id="6"/>
            </w:r>
            <w:r w:rsidRPr="00FD3370">
              <w:rPr>
                <w:lang w:val="lv-LV"/>
              </w:rPr>
              <w:t xml:space="preserve"> par finansējuma precizēšanu tiek virzīti pēc MK lēmuma par darbības programmas snieguma ietvara rezerves finansējuma izlietojuma priekšlikumiem, ņemot vērā, ka vēl norisinās diskusijas par snieguma rezerves un finansējuma atlikuma turpmāko izmantošanu. </w:t>
            </w:r>
          </w:p>
        </w:tc>
        <w:tc>
          <w:tcPr>
            <w:tcW w:w="2410" w:type="dxa"/>
            <w:tcBorders>
              <w:top w:val="single" w:color="auto" w:sz="4" w:space="0"/>
              <w:left w:val="single" w:color="auto" w:sz="4" w:space="0"/>
              <w:bottom w:val="single" w:color="auto" w:sz="4" w:space="0"/>
              <w:right w:val="single" w:color="auto" w:sz="4" w:space="0"/>
            </w:tcBorders>
          </w:tcPr>
          <w:p w:rsidRPr="00FD3370" w:rsidR="00DF05A2" w:rsidP="00DF05A2" w:rsidRDefault="0076278E" w14:paraId="142AA71E" w14:textId="46207900">
            <w:pPr>
              <w:pStyle w:val="naisc"/>
              <w:spacing w:before="0" w:after="0"/>
              <w:ind w:left="57" w:right="57" w:firstLine="409"/>
              <w:rPr>
                <w:b/>
              </w:rPr>
            </w:pPr>
            <w:r>
              <w:rPr>
                <w:b/>
              </w:rPr>
              <w:lastRenderedPageBreak/>
              <w:t>Ņ</w:t>
            </w:r>
            <w:r w:rsidRPr="00FD3370" w:rsidR="00DF05A2">
              <w:rPr>
                <w:b/>
              </w:rPr>
              <w:t>emts vērā</w:t>
            </w:r>
          </w:p>
          <w:p w:rsidRPr="00FD3370" w:rsidR="00D2780B" w:rsidP="00DF05A2" w:rsidRDefault="00D2780B" w14:paraId="422301B8" w14:textId="14899845">
            <w:pPr>
              <w:pStyle w:val="naisc"/>
              <w:spacing w:before="0" w:after="0"/>
              <w:ind w:right="57" w:firstLine="69"/>
              <w:jc w:val="both"/>
              <w:rPr>
                <w:bCs/>
              </w:rPr>
            </w:pPr>
          </w:p>
        </w:tc>
        <w:tc>
          <w:tcPr>
            <w:tcW w:w="3659" w:type="dxa"/>
            <w:tcBorders>
              <w:top w:val="single" w:color="auto" w:sz="4" w:space="0"/>
              <w:left w:val="single" w:color="auto" w:sz="4" w:space="0"/>
              <w:bottom w:val="single" w:color="auto" w:sz="4" w:space="0"/>
            </w:tcBorders>
          </w:tcPr>
          <w:p w:rsidRPr="00FD3370" w:rsidR="00D2780B" w:rsidP="00D2780B" w:rsidRDefault="00D2780B" w14:paraId="5A50656D" w14:textId="77777777">
            <w:pPr>
              <w:shd w:val="clear" w:color="auto" w:fill="FFFFFF"/>
              <w:spacing w:before="20"/>
              <w:ind w:right="9"/>
              <w:jc w:val="both"/>
              <w:rPr>
                <w:color w:val="000000" w:themeColor="text1"/>
              </w:rPr>
            </w:pPr>
            <w:r w:rsidRPr="00FD3370">
              <w:rPr>
                <w:color w:val="000000" w:themeColor="text1"/>
              </w:rPr>
              <w:t xml:space="preserve">Veikti precizējumi Ministru kabineta </w:t>
            </w:r>
            <w:proofErr w:type="spellStart"/>
            <w:r w:rsidRPr="00FD3370">
              <w:rPr>
                <w:color w:val="000000" w:themeColor="text1"/>
              </w:rPr>
              <w:t>protokollēmuma</w:t>
            </w:r>
            <w:proofErr w:type="spellEnd"/>
            <w:r w:rsidRPr="00FD3370">
              <w:rPr>
                <w:color w:val="000000" w:themeColor="text1"/>
              </w:rPr>
              <w:t xml:space="preserve"> projektā</w:t>
            </w:r>
            <w:r w:rsidRPr="00FD3370" w:rsidR="00463924">
              <w:rPr>
                <w:color w:val="000000" w:themeColor="text1"/>
              </w:rPr>
              <w:t xml:space="preserve"> šādā redakcijā:</w:t>
            </w:r>
          </w:p>
          <w:p w:rsidRPr="00FD3370" w:rsidR="00102861" w:rsidP="00102861" w:rsidRDefault="00102861" w14:paraId="06FA2C9F" w14:textId="2BA8955C">
            <w:pPr>
              <w:jc w:val="both"/>
            </w:pPr>
            <w:r w:rsidRPr="00FD3370">
              <w:t>“2. Finanšu ministrijai sadarbībā ar Satiksmes ministriju:</w:t>
            </w:r>
          </w:p>
          <w:p w:rsidRPr="00FD3370" w:rsidR="00102861" w:rsidP="00102861" w:rsidRDefault="00102861" w14:paraId="468E8290" w14:textId="77777777">
            <w:pPr>
              <w:jc w:val="both"/>
            </w:pPr>
            <w:r w:rsidRPr="00FD3370">
              <w:t xml:space="preserve">2.1. sagatavot un virzīt saskaņošanai Eiropas Komisijā grozījumus par Eiropas Savienības </w:t>
            </w:r>
            <w:r w:rsidRPr="00FD3370">
              <w:lastRenderedPageBreak/>
              <w:t>struktūrfondu un Kohēzijas fonda 2014. – 2020.gada plānošanas perioda darbības programmas “Izaugsme un nodarbinātība” 4.prioritārā virziena ietvaros atbrīvotā Eiropas Savienības finansējuma izmantošanu;</w:t>
            </w:r>
          </w:p>
          <w:p w:rsidRPr="00842CE8" w:rsidR="00463924" w:rsidP="00102861" w:rsidRDefault="00102861" w14:paraId="5405B6F3" w14:textId="6BD07577">
            <w:pPr>
              <w:jc w:val="both"/>
            </w:pPr>
            <w:r w:rsidRPr="00FD3370">
              <w:t xml:space="preserve">2.2. uzsākt sarunas ar Eiropas Komisiju par piedāvātajām alternatīvām darbības programmas “Izaugsme un nodarbinātība” 4.prioritārā virziena ietvaros atbrīvotā finansējuma izmantošanai.” </w:t>
            </w:r>
          </w:p>
        </w:tc>
      </w:tr>
      <w:tr w:rsidRPr="00FD3370" w:rsidR="00D2780B" w:rsidTr="006C75AC" w14:paraId="49DF7B1D" w14:textId="77777777">
        <w:trPr>
          <w:trHeight w:val="379"/>
        </w:trPr>
        <w:tc>
          <w:tcPr>
            <w:tcW w:w="14317" w:type="dxa"/>
            <w:gridSpan w:val="5"/>
            <w:tcBorders>
              <w:top w:val="single" w:color="auto" w:sz="4" w:space="0"/>
              <w:left w:val="single" w:color="auto" w:sz="4" w:space="0"/>
              <w:bottom w:val="single" w:color="auto" w:sz="4" w:space="0"/>
            </w:tcBorders>
          </w:tcPr>
          <w:p w:rsidRPr="00FD3370" w:rsidR="00D2780B" w:rsidP="00D2780B" w:rsidRDefault="00D2780B" w14:paraId="384F00D3" w14:textId="54550B25">
            <w:pPr>
              <w:pStyle w:val="naisc"/>
              <w:spacing w:before="0" w:after="0"/>
              <w:ind w:left="57" w:right="57"/>
              <w:rPr>
                <w:color w:val="000000" w:themeColor="text1"/>
              </w:rPr>
            </w:pPr>
            <w:r w:rsidRPr="00FD3370">
              <w:rPr>
                <w:b/>
              </w:rPr>
              <w:lastRenderedPageBreak/>
              <w:t>Institūciju izteiktie priekšlikumi</w:t>
            </w:r>
          </w:p>
        </w:tc>
      </w:tr>
      <w:tr w:rsidRPr="00FD3370" w:rsidR="00D2780B" w:rsidTr="00174771" w14:paraId="1F78B25B"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D2780B" w:rsidP="00D2780B" w:rsidRDefault="00D2780B" w14:paraId="4813B19C" w14:textId="20D119BF">
            <w:pPr>
              <w:pStyle w:val="naisc"/>
              <w:spacing w:before="0" w:after="0"/>
              <w:ind w:left="57" w:right="57"/>
            </w:pPr>
            <w:r w:rsidRPr="00FD3370">
              <w:t xml:space="preserve">1. </w:t>
            </w:r>
          </w:p>
        </w:tc>
        <w:tc>
          <w:tcPr>
            <w:tcW w:w="1869" w:type="dxa"/>
            <w:tcBorders>
              <w:top w:val="single" w:color="auto" w:sz="4" w:space="0"/>
              <w:left w:val="single" w:color="auto" w:sz="4" w:space="0"/>
              <w:bottom w:val="single" w:color="auto" w:sz="4" w:space="0"/>
              <w:right w:val="single" w:color="auto" w:sz="4" w:space="0"/>
            </w:tcBorders>
          </w:tcPr>
          <w:p w:rsidRPr="00FD3370" w:rsidR="00D2780B" w:rsidP="00D2780B" w:rsidRDefault="00D2780B" w14:paraId="36919167" w14:textId="674C09C9">
            <w:pPr>
              <w:pStyle w:val="naisc"/>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D2780B" w:rsidP="005D239D" w:rsidRDefault="00D2780B" w14:paraId="22F84277" w14:textId="77777777">
            <w:pPr>
              <w:jc w:val="center"/>
              <w:rPr>
                <w:b/>
              </w:rPr>
            </w:pPr>
            <w:r w:rsidRPr="00FD3370">
              <w:rPr>
                <w:b/>
              </w:rPr>
              <w:t>Finanšu ministrija</w:t>
            </w:r>
          </w:p>
          <w:p w:rsidRPr="00FD3370" w:rsidR="00D2780B" w:rsidP="00D2780B" w:rsidRDefault="00D2780B" w14:paraId="0983ED32" w14:textId="1C9C6B96">
            <w:pPr>
              <w:spacing w:after="160" w:line="252" w:lineRule="auto"/>
              <w:jc w:val="both"/>
            </w:pPr>
            <w:r w:rsidRPr="00FD3370">
              <w:t xml:space="preserve">Lūdzam precizēt ziņojuma projektā norādīto 1.zemsvītras atsauci, ņemot vērā, ka rādītāju pases nav darbības programmas pielikums. </w:t>
            </w:r>
          </w:p>
        </w:tc>
        <w:tc>
          <w:tcPr>
            <w:tcW w:w="2410" w:type="dxa"/>
            <w:tcBorders>
              <w:top w:val="single" w:color="auto" w:sz="4" w:space="0"/>
              <w:left w:val="single" w:color="auto" w:sz="4" w:space="0"/>
              <w:bottom w:val="single" w:color="auto" w:sz="4" w:space="0"/>
              <w:right w:val="single" w:color="auto" w:sz="4" w:space="0"/>
            </w:tcBorders>
          </w:tcPr>
          <w:p w:rsidRPr="00FD3370" w:rsidR="00DF05A2" w:rsidP="00DF05A2" w:rsidRDefault="00DF05A2" w14:paraId="697A5E73" w14:textId="77777777">
            <w:pPr>
              <w:pStyle w:val="naisc"/>
              <w:spacing w:before="0" w:after="0"/>
              <w:ind w:left="57" w:right="57" w:firstLine="409"/>
              <w:rPr>
                <w:b/>
              </w:rPr>
            </w:pPr>
            <w:r w:rsidRPr="00FD3370">
              <w:rPr>
                <w:b/>
              </w:rPr>
              <w:t>Ņemts vērā</w:t>
            </w:r>
          </w:p>
          <w:p w:rsidRPr="00FD3370" w:rsidR="00D2780B" w:rsidP="00DF05A2" w:rsidRDefault="00D2780B" w14:paraId="252F434C" w14:textId="7DA3574B">
            <w:pPr>
              <w:pStyle w:val="naisc"/>
              <w:spacing w:before="0" w:after="0"/>
              <w:ind w:right="57"/>
              <w:jc w:val="both"/>
              <w:rPr>
                <w:b/>
                <w:u w:val="single"/>
              </w:rPr>
            </w:pPr>
          </w:p>
        </w:tc>
        <w:tc>
          <w:tcPr>
            <w:tcW w:w="3659" w:type="dxa"/>
            <w:tcBorders>
              <w:top w:val="single" w:color="auto" w:sz="4" w:space="0"/>
              <w:left w:val="single" w:color="auto" w:sz="4" w:space="0"/>
              <w:bottom w:val="single" w:color="auto" w:sz="4" w:space="0"/>
            </w:tcBorders>
          </w:tcPr>
          <w:p w:rsidRPr="00FD3370" w:rsidR="00D2780B" w:rsidP="00D2780B" w:rsidRDefault="00845016" w14:paraId="1F8086C1" w14:textId="2241B7F1">
            <w:pPr>
              <w:shd w:val="clear" w:color="auto" w:fill="FFFFFF"/>
              <w:spacing w:before="20"/>
              <w:ind w:right="9"/>
              <w:jc w:val="both"/>
              <w:rPr>
                <w:color w:val="000000" w:themeColor="text1"/>
              </w:rPr>
            </w:pPr>
            <w:r w:rsidRPr="00FD3370">
              <w:rPr>
                <w:color w:val="000000" w:themeColor="text1"/>
              </w:rPr>
              <w:t>Veikti precizējumi Informat</w:t>
            </w:r>
            <w:r w:rsidRPr="00FD3370" w:rsidR="005451CF">
              <w:rPr>
                <w:color w:val="000000" w:themeColor="text1"/>
              </w:rPr>
              <w:t>īv</w:t>
            </w:r>
            <w:r w:rsidRPr="00FD3370">
              <w:rPr>
                <w:color w:val="000000" w:themeColor="text1"/>
              </w:rPr>
              <w:t>ā ziņojum</w:t>
            </w:r>
            <w:r w:rsidRPr="00FD3370" w:rsidR="005451CF">
              <w:rPr>
                <w:color w:val="000000" w:themeColor="text1"/>
              </w:rPr>
              <w:t>a 1.tabulas “DP 4.5.1.SAM noteiktie uzraudzības rādītāji” atsaucē izsakot</w:t>
            </w:r>
            <w:r w:rsidRPr="00FD3370" w:rsidR="009C38A1">
              <w:rPr>
                <w:color w:val="000000" w:themeColor="text1"/>
              </w:rPr>
              <w:t xml:space="preserve"> to</w:t>
            </w:r>
            <w:r w:rsidRPr="00FD3370" w:rsidR="005451CF">
              <w:rPr>
                <w:color w:val="000000" w:themeColor="text1"/>
              </w:rPr>
              <w:t xml:space="preserve"> šādā redakcijā:</w:t>
            </w:r>
          </w:p>
          <w:p w:rsidRPr="00FD3370" w:rsidR="005451CF" w:rsidP="00D2780B" w:rsidRDefault="005451CF" w14:paraId="213593ED" w14:textId="4F88500A">
            <w:pPr>
              <w:shd w:val="clear" w:color="auto" w:fill="FFFFFF"/>
              <w:spacing w:before="20"/>
              <w:ind w:right="9"/>
              <w:jc w:val="both"/>
              <w:rPr>
                <w:color w:val="000000" w:themeColor="text1"/>
              </w:rPr>
            </w:pPr>
            <w:r w:rsidRPr="00FD3370">
              <w:rPr>
                <w:color w:val="000000" w:themeColor="text1"/>
              </w:rPr>
              <w:t>“</w:t>
            </w:r>
            <w:r w:rsidRPr="00FD3370" w:rsidR="001746B9">
              <w:t>Atbilstoši darbības programmas “Izaugsme un nodarbinātība” rādītāju noteikšanas aprakstā (rādītāju pasē) 4.5.1.investīciju prioritātes specifiskajiem mērķiem noteiktajam.”</w:t>
            </w:r>
          </w:p>
        </w:tc>
      </w:tr>
      <w:tr w:rsidRPr="00FD3370" w:rsidR="00D2780B" w:rsidTr="00174771" w14:paraId="7665BBEF"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D2780B" w:rsidP="00D2780B" w:rsidRDefault="00D2780B" w14:paraId="364650B6" w14:textId="73B42240">
            <w:pPr>
              <w:pStyle w:val="naisc"/>
              <w:spacing w:before="0" w:after="0"/>
              <w:ind w:left="57" w:right="57"/>
            </w:pPr>
            <w:r w:rsidRPr="00FD3370">
              <w:lastRenderedPageBreak/>
              <w:t>2.</w:t>
            </w:r>
          </w:p>
        </w:tc>
        <w:tc>
          <w:tcPr>
            <w:tcW w:w="1869" w:type="dxa"/>
            <w:tcBorders>
              <w:top w:val="single" w:color="auto" w:sz="4" w:space="0"/>
              <w:left w:val="single" w:color="auto" w:sz="4" w:space="0"/>
              <w:bottom w:val="single" w:color="auto" w:sz="4" w:space="0"/>
              <w:right w:val="single" w:color="auto" w:sz="4" w:space="0"/>
            </w:tcBorders>
          </w:tcPr>
          <w:p w:rsidRPr="00FD3370" w:rsidR="00D2780B" w:rsidP="00D2780B" w:rsidRDefault="00D2780B" w14:paraId="42933820" w14:textId="6AA8BD87">
            <w:pPr>
              <w:pStyle w:val="naisc"/>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D2780B" w:rsidP="005D239D" w:rsidRDefault="00D2780B" w14:paraId="402781EB" w14:textId="77777777">
            <w:pPr>
              <w:jc w:val="center"/>
              <w:rPr>
                <w:b/>
              </w:rPr>
            </w:pPr>
            <w:r w:rsidRPr="00FD3370">
              <w:rPr>
                <w:b/>
              </w:rPr>
              <w:t>Finanšu ministrija</w:t>
            </w:r>
          </w:p>
          <w:p w:rsidRPr="00FD3370" w:rsidR="00D2780B" w:rsidP="00D2780B" w:rsidRDefault="00D2780B" w14:paraId="24DCED95" w14:textId="70104239">
            <w:pPr>
              <w:jc w:val="both"/>
              <w:rPr>
                <w:b/>
              </w:rPr>
            </w:pPr>
            <w:r w:rsidRPr="00FD3370">
              <w:t>Lūdzam izvērtēt iespēju papildināt ziņojuma projekta 5.sadaļas 6.tabulā norādīto darbību “Pozitīva EK lēmuma saņemšana” ar atsauci, ka norādītais termiņš var pagarināties, ja darbības programmas grozījumu saskaņošanas procesā ar EK izrietēs nepieciešamība sniegt papildu skaidrojumus/informāciju EK.</w:t>
            </w:r>
          </w:p>
        </w:tc>
        <w:tc>
          <w:tcPr>
            <w:tcW w:w="2410" w:type="dxa"/>
            <w:tcBorders>
              <w:top w:val="single" w:color="auto" w:sz="4" w:space="0"/>
              <w:left w:val="single" w:color="auto" w:sz="4" w:space="0"/>
              <w:bottom w:val="single" w:color="auto" w:sz="4" w:space="0"/>
              <w:right w:val="single" w:color="auto" w:sz="4" w:space="0"/>
            </w:tcBorders>
          </w:tcPr>
          <w:p w:rsidRPr="00FD3370" w:rsidR="00DF05A2" w:rsidP="00DF05A2" w:rsidRDefault="00DF05A2" w14:paraId="3AEB5D0E" w14:textId="77777777">
            <w:pPr>
              <w:pStyle w:val="naisc"/>
              <w:spacing w:before="0" w:after="0"/>
              <w:ind w:left="57" w:right="57" w:firstLine="409"/>
              <w:rPr>
                <w:b/>
              </w:rPr>
            </w:pPr>
            <w:r w:rsidRPr="00FD3370">
              <w:rPr>
                <w:b/>
              </w:rPr>
              <w:t>Ņemts vērā</w:t>
            </w:r>
          </w:p>
          <w:p w:rsidRPr="00FD3370" w:rsidR="00D2780B" w:rsidP="00DF05A2" w:rsidRDefault="00D2780B" w14:paraId="4A932B52" w14:textId="7E58DC57">
            <w:pPr>
              <w:pStyle w:val="naisc"/>
              <w:spacing w:before="0" w:after="0"/>
              <w:ind w:right="57"/>
              <w:jc w:val="both"/>
              <w:rPr>
                <w:b/>
                <w:u w:val="single"/>
              </w:rPr>
            </w:pPr>
          </w:p>
        </w:tc>
        <w:tc>
          <w:tcPr>
            <w:tcW w:w="3659" w:type="dxa"/>
            <w:tcBorders>
              <w:top w:val="single" w:color="auto" w:sz="4" w:space="0"/>
              <w:left w:val="single" w:color="auto" w:sz="4" w:space="0"/>
              <w:bottom w:val="single" w:color="auto" w:sz="4" w:space="0"/>
            </w:tcBorders>
          </w:tcPr>
          <w:p w:rsidRPr="00FD3370" w:rsidR="00ED1A8C" w:rsidP="00D2780B" w:rsidRDefault="005D239D" w14:paraId="61CD7205" w14:textId="3C59A159">
            <w:pPr>
              <w:shd w:val="clear" w:color="auto" w:fill="FFFFFF"/>
              <w:spacing w:before="20"/>
              <w:ind w:right="9"/>
              <w:jc w:val="both"/>
              <w:rPr>
                <w:color w:val="000000" w:themeColor="text1"/>
              </w:rPr>
            </w:pPr>
            <w:r w:rsidRPr="00FD3370">
              <w:rPr>
                <w:color w:val="000000" w:themeColor="text1"/>
              </w:rPr>
              <w:t>Veikti precizējumi Informatīvā ziņojuma 5.sadaļas 6.tabul</w:t>
            </w:r>
            <w:r w:rsidRPr="00FD3370" w:rsidR="00ED1A8C">
              <w:rPr>
                <w:color w:val="000000" w:themeColor="text1"/>
              </w:rPr>
              <w:t>as</w:t>
            </w:r>
            <w:r w:rsidRPr="00FD3370" w:rsidR="001746B9">
              <w:rPr>
                <w:color w:val="000000" w:themeColor="text1"/>
              </w:rPr>
              <w:t xml:space="preserve"> “Indikatīvais DP grozījumu ieviešanas laika grafiks”</w:t>
            </w:r>
            <w:r w:rsidRPr="00FD3370" w:rsidR="00ED1A8C">
              <w:rPr>
                <w:color w:val="000000" w:themeColor="text1"/>
              </w:rPr>
              <w:t xml:space="preserve"> norādītā darbības “Pozitīva EK lēmuma pieņemšana” ar atsauci šādā redakcijā:</w:t>
            </w:r>
          </w:p>
          <w:p w:rsidRPr="00FD3370" w:rsidR="00D2780B" w:rsidP="00D2780B" w:rsidRDefault="00ED1A8C" w14:paraId="0AF1B97E" w14:textId="409987EF">
            <w:pPr>
              <w:shd w:val="clear" w:color="auto" w:fill="FFFFFF"/>
              <w:spacing w:before="20"/>
              <w:ind w:right="9"/>
              <w:jc w:val="both"/>
              <w:rPr>
                <w:color w:val="000000" w:themeColor="text1"/>
              </w:rPr>
            </w:pPr>
            <w:r w:rsidRPr="00FD3370">
              <w:rPr>
                <w:color w:val="000000" w:themeColor="text1"/>
              </w:rPr>
              <w:t>“</w:t>
            </w:r>
            <w:r w:rsidRPr="00FD3370">
              <w:t xml:space="preserve">Norādītais termiņš var tikt pagarināts gadījumā, ja DP grozījumu saskaņošanas procesā ar </w:t>
            </w:r>
            <w:r w:rsidR="003C6913">
              <w:t>EK</w:t>
            </w:r>
            <w:r w:rsidRPr="00FD3370">
              <w:t xml:space="preserve"> būs nepieciešamība sniegt papildu informāciju vai skaidrojumus.”</w:t>
            </w:r>
            <w:r w:rsidRPr="00FD3370" w:rsidR="005D239D">
              <w:rPr>
                <w:color w:val="000000" w:themeColor="text1"/>
              </w:rPr>
              <w:t>.</w:t>
            </w:r>
          </w:p>
        </w:tc>
      </w:tr>
      <w:tr w:rsidRPr="00FD3370" w:rsidR="00D2780B" w:rsidTr="00174771" w14:paraId="4F3D06D9"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D2780B" w:rsidP="00D2780B" w:rsidRDefault="00D2780B" w14:paraId="357D425D" w14:textId="7E8B14CD">
            <w:pPr>
              <w:pStyle w:val="naisc"/>
              <w:spacing w:before="0" w:after="0"/>
              <w:ind w:left="57" w:right="57"/>
            </w:pPr>
            <w:r w:rsidRPr="00FD3370">
              <w:t>3.</w:t>
            </w:r>
          </w:p>
        </w:tc>
        <w:tc>
          <w:tcPr>
            <w:tcW w:w="1869" w:type="dxa"/>
            <w:tcBorders>
              <w:top w:val="single" w:color="auto" w:sz="4" w:space="0"/>
              <w:left w:val="single" w:color="auto" w:sz="4" w:space="0"/>
              <w:bottom w:val="single" w:color="auto" w:sz="4" w:space="0"/>
              <w:right w:val="single" w:color="auto" w:sz="4" w:space="0"/>
            </w:tcBorders>
          </w:tcPr>
          <w:p w:rsidRPr="00FD3370" w:rsidR="00D2780B" w:rsidP="00D2780B" w:rsidRDefault="00D2780B" w14:paraId="2167C354" w14:textId="667BDBC7">
            <w:pPr>
              <w:pStyle w:val="naisc"/>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D2780B" w:rsidP="005D239D" w:rsidRDefault="00D2780B" w14:paraId="46AFEE6F" w14:textId="77777777">
            <w:pPr>
              <w:jc w:val="center"/>
              <w:rPr>
                <w:b/>
              </w:rPr>
            </w:pPr>
            <w:r w:rsidRPr="00FD3370">
              <w:rPr>
                <w:b/>
              </w:rPr>
              <w:t>Finanšu ministrija</w:t>
            </w:r>
          </w:p>
          <w:p w:rsidRPr="00FD3370" w:rsidR="00D2780B" w:rsidP="00D2780B" w:rsidRDefault="00D2780B" w14:paraId="08379E0D" w14:textId="77777777">
            <w:pPr>
              <w:spacing w:after="160" w:line="252" w:lineRule="auto"/>
              <w:jc w:val="both"/>
            </w:pPr>
            <w:r w:rsidRPr="00FD3370">
              <w:t>Lūdzam izvērtēt iespēju precizēt ziņojuma projekta 5.sadaļas 7.tabulu “Indikatīvais elektrovilcienu iegādes projekta ieviešanas laika grafiks”:</w:t>
            </w:r>
          </w:p>
          <w:p w:rsidRPr="00FD3370" w:rsidR="00D2780B" w:rsidP="00E51628" w:rsidRDefault="00D2780B" w14:paraId="58B6FF9C" w14:textId="77777777">
            <w:pPr>
              <w:pStyle w:val="ListParagraph"/>
              <w:numPr>
                <w:ilvl w:val="0"/>
                <w:numId w:val="3"/>
              </w:numPr>
              <w:spacing w:after="160" w:line="252" w:lineRule="auto"/>
              <w:ind w:left="487"/>
              <w:jc w:val="both"/>
              <w:rPr>
                <w:lang w:val="lv-LV"/>
              </w:rPr>
            </w:pPr>
            <w:r w:rsidRPr="00FD3370">
              <w:rPr>
                <w:lang w:val="lv-LV"/>
              </w:rPr>
              <w:t>papildinot 1.darbību “Jaspers ekspertu piesaiste” ar vārdiem “un PI sagatavošana”, vienlaikus šim procesam paredzot arī atbilstošu izpildes termiņu laika grafikā. Pēc pieredzes citos lielajos projektos, vidēji šis process ir aizņēmis 600 dienas;</w:t>
            </w:r>
          </w:p>
          <w:p w:rsidRPr="00FD3370" w:rsidR="00D2780B" w:rsidP="00E51628" w:rsidRDefault="00D2780B" w14:paraId="24BD2351" w14:textId="270379A6">
            <w:pPr>
              <w:pStyle w:val="ListParagraph"/>
              <w:numPr>
                <w:ilvl w:val="0"/>
                <w:numId w:val="3"/>
              </w:numPr>
              <w:spacing w:after="160" w:line="252" w:lineRule="auto"/>
              <w:ind w:left="487"/>
              <w:jc w:val="both"/>
              <w:rPr>
                <w:b/>
                <w:lang w:val="lv-LV"/>
              </w:rPr>
            </w:pPr>
            <w:r w:rsidRPr="00FD3370">
              <w:rPr>
                <w:lang w:val="lv-LV"/>
              </w:rPr>
              <w:t>precizējot 2.darbības “JASPERS neatkarīgā ekspertīze (</w:t>
            </w:r>
            <w:proofErr w:type="spellStart"/>
            <w:r w:rsidRPr="00FD3370">
              <w:rPr>
                <w:lang w:val="lv-LV"/>
              </w:rPr>
              <w:t>Action</w:t>
            </w:r>
            <w:proofErr w:type="spellEnd"/>
            <w:r w:rsidRPr="00FD3370">
              <w:rPr>
                <w:lang w:val="lv-LV"/>
              </w:rPr>
              <w:t xml:space="preserve"> </w:t>
            </w:r>
            <w:proofErr w:type="spellStart"/>
            <w:r w:rsidRPr="00FD3370">
              <w:rPr>
                <w:lang w:val="lv-LV"/>
              </w:rPr>
              <w:t>Completion</w:t>
            </w:r>
            <w:proofErr w:type="spellEnd"/>
            <w:r w:rsidRPr="00FD3370">
              <w:rPr>
                <w:lang w:val="lv-LV"/>
              </w:rPr>
              <w:t xml:space="preserve"> </w:t>
            </w:r>
            <w:proofErr w:type="spellStart"/>
            <w:r w:rsidRPr="00FD3370">
              <w:rPr>
                <w:lang w:val="lv-LV"/>
              </w:rPr>
              <w:t>Note</w:t>
            </w:r>
            <w:proofErr w:type="spellEnd"/>
            <w:r w:rsidRPr="00FD3370">
              <w:rPr>
                <w:lang w:val="lv-LV"/>
              </w:rPr>
              <w:t>), PI iesniegšana CFLA” laika grafiku. Pēc pieredzes citos lielajos projektos, vidēji šis process ir aizņēmis 140 dienas.</w:t>
            </w:r>
          </w:p>
        </w:tc>
        <w:tc>
          <w:tcPr>
            <w:tcW w:w="2410" w:type="dxa"/>
            <w:tcBorders>
              <w:top w:val="single" w:color="auto" w:sz="4" w:space="0"/>
              <w:left w:val="single" w:color="auto" w:sz="4" w:space="0"/>
              <w:bottom w:val="single" w:color="auto" w:sz="4" w:space="0"/>
              <w:right w:val="single" w:color="auto" w:sz="4" w:space="0"/>
            </w:tcBorders>
          </w:tcPr>
          <w:p w:rsidRPr="00FD3370" w:rsidR="00DF05A2" w:rsidP="00DF05A2" w:rsidRDefault="00DF05A2" w14:paraId="1294928A" w14:textId="77777777">
            <w:pPr>
              <w:pStyle w:val="naisc"/>
              <w:spacing w:before="0" w:after="0"/>
              <w:ind w:left="57" w:right="57" w:firstLine="409"/>
              <w:rPr>
                <w:b/>
              </w:rPr>
            </w:pPr>
            <w:r w:rsidRPr="00FD3370">
              <w:rPr>
                <w:b/>
              </w:rPr>
              <w:t>Ņemts vērā</w:t>
            </w:r>
          </w:p>
          <w:p w:rsidRPr="00FD3370" w:rsidR="00652E58" w:rsidP="00DF05A2" w:rsidRDefault="00652E58" w14:paraId="07009DF1" w14:textId="6F8D94D9">
            <w:pPr>
              <w:pStyle w:val="naisc"/>
              <w:spacing w:before="0" w:after="0"/>
              <w:ind w:right="57"/>
              <w:jc w:val="both"/>
              <w:rPr>
                <w:bCs/>
              </w:rPr>
            </w:pPr>
            <w:r w:rsidRPr="00FD3370">
              <w:rPr>
                <w:bCs/>
              </w:rPr>
              <w:t xml:space="preserve"> </w:t>
            </w:r>
          </w:p>
        </w:tc>
        <w:tc>
          <w:tcPr>
            <w:tcW w:w="3659" w:type="dxa"/>
            <w:tcBorders>
              <w:top w:val="single" w:color="auto" w:sz="4" w:space="0"/>
              <w:left w:val="single" w:color="auto" w:sz="4" w:space="0"/>
              <w:bottom w:val="single" w:color="auto" w:sz="4" w:space="0"/>
            </w:tcBorders>
          </w:tcPr>
          <w:p w:rsidRPr="00FD3370" w:rsidR="00D2780B" w:rsidP="00D2780B" w:rsidRDefault="0031071B" w14:paraId="4DC82DFE" w14:textId="49912EE1">
            <w:pPr>
              <w:shd w:val="clear" w:color="auto" w:fill="FFFFFF"/>
              <w:spacing w:before="20"/>
              <w:ind w:right="9"/>
              <w:jc w:val="both"/>
              <w:rPr>
                <w:color w:val="000000" w:themeColor="text1"/>
              </w:rPr>
            </w:pPr>
            <w:r w:rsidRPr="00FD3370">
              <w:rPr>
                <w:color w:val="000000" w:themeColor="text1"/>
              </w:rPr>
              <w:t>Veikti precizējumi Informatīvā ziņojuma 5.sadaļas 7.tabulā</w:t>
            </w:r>
            <w:r w:rsidRPr="00FD3370" w:rsidR="00ED1A8C">
              <w:rPr>
                <w:color w:val="000000" w:themeColor="text1"/>
              </w:rPr>
              <w:t xml:space="preserve"> “</w:t>
            </w:r>
            <w:r w:rsidRPr="00FD3370" w:rsidR="004A48E4">
              <w:rPr>
                <w:color w:val="000000" w:themeColor="text1"/>
              </w:rPr>
              <w:t>Indikatīvais elektrovilcienu iegādes projekta ieviešanas laiks”:</w:t>
            </w:r>
          </w:p>
          <w:p w:rsidRPr="00FD3370" w:rsidR="004A48E4" w:rsidP="004A48E4" w:rsidRDefault="004A48E4" w14:paraId="253524CC" w14:textId="63B24554">
            <w:pPr>
              <w:pStyle w:val="ListParagraph"/>
              <w:numPr>
                <w:ilvl w:val="0"/>
                <w:numId w:val="7"/>
              </w:numPr>
              <w:shd w:val="clear" w:color="auto" w:fill="FFFFFF"/>
              <w:spacing w:before="20"/>
              <w:ind w:left="340" w:right="9"/>
              <w:jc w:val="both"/>
              <w:rPr>
                <w:color w:val="000000" w:themeColor="text1"/>
                <w:lang w:val="lv-LV"/>
              </w:rPr>
            </w:pPr>
            <w:r w:rsidRPr="00FD3370">
              <w:rPr>
                <w:color w:val="000000" w:themeColor="text1"/>
                <w:lang w:val="lv-LV"/>
              </w:rPr>
              <w:t>1.darbība izteikta šādā redakcijā</w:t>
            </w:r>
            <w:r w:rsidRPr="00FD3370" w:rsidR="009A69A4">
              <w:rPr>
                <w:color w:val="000000" w:themeColor="text1"/>
                <w:lang w:val="lv-LV"/>
              </w:rPr>
              <w:t>:</w:t>
            </w:r>
            <w:r w:rsidRPr="00FD3370">
              <w:rPr>
                <w:color w:val="000000" w:themeColor="text1"/>
                <w:lang w:val="lv-LV"/>
              </w:rPr>
              <w:t xml:space="preserve"> </w:t>
            </w:r>
            <w:r w:rsidRPr="00FD3370" w:rsidR="006C75AC">
              <w:rPr>
                <w:color w:val="000000" w:themeColor="text1"/>
                <w:lang w:val="lv-LV"/>
              </w:rPr>
              <w:t>“</w:t>
            </w:r>
            <w:r w:rsidRPr="00FD3370" w:rsidR="006C75AC">
              <w:rPr>
                <w:rFonts w:eastAsia="Calibri"/>
                <w:lang w:val="lv-LV"/>
              </w:rPr>
              <w:t xml:space="preserve">JASPERS ekspertu piesaiste, projekta iesnieguma (PI) sagatavošana un iesniegšana CFLA”, </w:t>
            </w:r>
            <w:r w:rsidRPr="00FD3370" w:rsidR="009A69A4">
              <w:rPr>
                <w:rFonts w:eastAsia="Calibri"/>
                <w:lang w:val="lv-LV"/>
              </w:rPr>
              <w:t xml:space="preserve">vienlaikus </w:t>
            </w:r>
            <w:r w:rsidRPr="00FD3370" w:rsidR="006C75AC">
              <w:rPr>
                <w:rFonts w:eastAsia="Calibri"/>
                <w:lang w:val="lv-LV"/>
              </w:rPr>
              <w:t>nosakot arī garāku izpildes termiņu (līdz 2021.gada III ceturksnim.</w:t>
            </w:r>
          </w:p>
          <w:p w:rsidRPr="00FD3370" w:rsidR="006C75AC" w:rsidP="004A48E4" w:rsidRDefault="006C75AC" w14:paraId="3DB7CCEA" w14:textId="56BD7A6D">
            <w:pPr>
              <w:pStyle w:val="ListParagraph"/>
              <w:numPr>
                <w:ilvl w:val="0"/>
                <w:numId w:val="7"/>
              </w:numPr>
              <w:shd w:val="clear" w:color="auto" w:fill="FFFFFF"/>
              <w:spacing w:before="20"/>
              <w:ind w:left="340" w:right="9"/>
              <w:jc w:val="both"/>
              <w:rPr>
                <w:color w:val="000000" w:themeColor="text1"/>
                <w:lang w:val="lv-LV"/>
              </w:rPr>
            </w:pPr>
            <w:r w:rsidRPr="00FD3370">
              <w:rPr>
                <w:rFonts w:eastAsia="Calibri"/>
                <w:lang w:val="lv-LV"/>
              </w:rPr>
              <w:t>2.darbība izteikta šādā redakcijā</w:t>
            </w:r>
            <w:r w:rsidRPr="00FD3370" w:rsidR="009A69A4">
              <w:rPr>
                <w:rFonts w:eastAsia="Calibri"/>
                <w:lang w:val="lv-LV"/>
              </w:rPr>
              <w:t>: “JASPERS neatkarīgā ekspertīze (</w:t>
            </w:r>
            <w:proofErr w:type="spellStart"/>
            <w:r w:rsidRPr="00FD3370" w:rsidR="009A69A4">
              <w:rPr>
                <w:rFonts w:eastAsia="Calibri"/>
                <w:lang w:val="lv-LV"/>
              </w:rPr>
              <w:t>Action</w:t>
            </w:r>
            <w:proofErr w:type="spellEnd"/>
            <w:r w:rsidRPr="00FD3370" w:rsidR="009A69A4">
              <w:rPr>
                <w:rFonts w:eastAsia="Calibri"/>
                <w:lang w:val="lv-LV"/>
              </w:rPr>
              <w:t xml:space="preserve"> </w:t>
            </w:r>
            <w:proofErr w:type="spellStart"/>
            <w:r w:rsidRPr="00FD3370" w:rsidR="009A69A4">
              <w:rPr>
                <w:rFonts w:eastAsia="Calibri"/>
                <w:lang w:val="lv-LV"/>
              </w:rPr>
              <w:t>Completion</w:t>
            </w:r>
            <w:proofErr w:type="spellEnd"/>
            <w:r w:rsidRPr="00FD3370" w:rsidR="009A69A4">
              <w:rPr>
                <w:rFonts w:eastAsia="Calibri"/>
                <w:lang w:val="lv-LV"/>
              </w:rPr>
              <w:t xml:space="preserve"> </w:t>
            </w:r>
            <w:proofErr w:type="spellStart"/>
            <w:r w:rsidRPr="00FD3370" w:rsidR="009A69A4">
              <w:rPr>
                <w:rFonts w:eastAsia="Calibri"/>
                <w:lang w:val="lv-LV"/>
              </w:rPr>
              <w:t>Note</w:t>
            </w:r>
            <w:proofErr w:type="spellEnd"/>
            <w:r w:rsidRPr="00FD3370" w:rsidR="009A69A4">
              <w:rPr>
                <w:rFonts w:eastAsia="Calibri"/>
                <w:lang w:val="lv-LV"/>
              </w:rPr>
              <w:t>)”, vienlaikus nosakot arī garāku izpildes termiņu (</w:t>
            </w:r>
            <w:r w:rsidRPr="00FD3370" w:rsidR="006B4881">
              <w:rPr>
                <w:rFonts w:eastAsia="Calibri"/>
                <w:lang w:val="lv-LV"/>
              </w:rPr>
              <w:t>2021.g. III cet. – 2022.g. I cet.)</w:t>
            </w:r>
            <w:r w:rsidRPr="00FD3370" w:rsidR="00E40015">
              <w:rPr>
                <w:rFonts w:eastAsia="Calibri"/>
                <w:lang w:val="lv-LV"/>
              </w:rPr>
              <w:t>.</w:t>
            </w:r>
            <w:r w:rsidRPr="00FD3370" w:rsidR="009A69A4">
              <w:rPr>
                <w:rFonts w:eastAsia="Calibri"/>
                <w:lang w:val="lv-LV"/>
              </w:rPr>
              <w:t xml:space="preserve"> </w:t>
            </w:r>
            <w:r w:rsidRPr="00FD3370">
              <w:rPr>
                <w:rFonts w:eastAsia="Calibri"/>
                <w:lang w:val="lv-LV"/>
              </w:rPr>
              <w:t xml:space="preserve"> </w:t>
            </w:r>
          </w:p>
        </w:tc>
      </w:tr>
      <w:tr w:rsidRPr="00FD3370" w:rsidR="00767A48" w:rsidTr="00174771" w14:paraId="16CE9BC4"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767A48" w:rsidP="00D2780B" w:rsidRDefault="00767A48" w14:paraId="71847BFC" w14:textId="514B9925">
            <w:pPr>
              <w:pStyle w:val="naisc"/>
              <w:spacing w:before="0" w:after="0"/>
              <w:ind w:left="57" w:right="57"/>
            </w:pPr>
            <w:r w:rsidRPr="00FD3370">
              <w:lastRenderedPageBreak/>
              <w:t>4.</w:t>
            </w:r>
          </w:p>
        </w:tc>
        <w:tc>
          <w:tcPr>
            <w:tcW w:w="1869" w:type="dxa"/>
            <w:tcBorders>
              <w:top w:val="single" w:color="auto" w:sz="4" w:space="0"/>
              <w:left w:val="single" w:color="auto" w:sz="4" w:space="0"/>
              <w:bottom w:val="single" w:color="auto" w:sz="4" w:space="0"/>
              <w:right w:val="single" w:color="auto" w:sz="4" w:space="0"/>
            </w:tcBorders>
          </w:tcPr>
          <w:p w:rsidRPr="00FD3370" w:rsidR="00767A48" w:rsidP="00D2780B" w:rsidRDefault="00767A48" w14:paraId="02956890" w14:textId="0BB57D64">
            <w:pPr>
              <w:pStyle w:val="naisc"/>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D276C7" w:rsidP="00D276C7" w:rsidRDefault="00D276C7" w14:paraId="20CBAC47" w14:textId="77777777">
            <w:pPr>
              <w:jc w:val="center"/>
              <w:rPr>
                <w:b/>
              </w:rPr>
            </w:pPr>
            <w:r w:rsidRPr="00FD3370">
              <w:rPr>
                <w:b/>
              </w:rPr>
              <w:t>Finanšu ministrija</w:t>
            </w:r>
          </w:p>
          <w:p w:rsidRPr="00FD3370" w:rsidR="00D276C7" w:rsidP="00300E91" w:rsidRDefault="00D276C7" w14:paraId="38D91316" w14:textId="7787351E">
            <w:pPr>
              <w:spacing w:after="160" w:line="252" w:lineRule="auto"/>
              <w:jc w:val="both"/>
              <w:rPr>
                <w:b/>
              </w:rPr>
            </w:pPr>
            <w:r w:rsidRPr="00FD3370">
              <w:t>Lūdzam precizēt ziņojuma projekta 7.tabulā “Indikatīvais elektrovilcienu iegādes projekta ieviešanas laika grafiks” (turpmāk – 7.tabula) un 3.pielikumā “Lielais projekts “Rīgas un Pierīgas pasažieru pārvadājumu nodrošināšanai nepieciešamo elektrovilcienu iegāde”” 1.tabulā “Indikatīvais PV projekta ieviešanas laika grafiks” (turpmāk – 3.pielikuma 1.tabula) norādīto informāciju, ņemot vērā, ka šobrīd ziņojuma projektā minētā darbība “JASPERS neatkarīgā ekspertīze (</w:t>
            </w:r>
            <w:proofErr w:type="spellStart"/>
            <w:r w:rsidRPr="00FD3370">
              <w:t>Action</w:t>
            </w:r>
            <w:proofErr w:type="spellEnd"/>
            <w:r w:rsidRPr="00FD3370">
              <w:t xml:space="preserve"> </w:t>
            </w:r>
            <w:proofErr w:type="spellStart"/>
            <w:r w:rsidRPr="00FD3370">
              <w:t>Completion</w:t>
            </w:r>
            <w:proofErr w:type="spellEnd"/>
            <w:r w:rsidRPr="00FD3370">
              <w:t xml:space="preserve"> </w:t>
            </w:r>
            <w:proofErr w:type="spellStart"/>
            <w:r w:rsidRPr="00FD3370">
              <w:t>Note</w:t>
            </w:r>
            <w:proofErr w:type="spellEnd"/>
            <w:r w:rsidRPr="00FD3370">
              <w:t>), PI iesniegšana CFLA” paredzēta līdz 2022.gada 1.cetrukšņa beigām, kas pārklājas ar nākamo plānoto darbību “Projekta iesnieguma apstiprināšana EK”, kas arī paredzēta 2022.gada 1.ceturksnī. Vēršam uzmanību, ka darbību “Projekta iesnieguma apstiprināšana EK” varētu plānot tikai nākamajā ceturksnī pēc JASPERS neatkarīgās ekspertīzes (</w:t>
            </w:r>
            <w:proofErr w:type="spellStart"/>
            <w:r w:rsidRPr="00FD3370">
              <w:t>Action</w:t>
            </w:r>
            <w:proofErr w:type="spellEnd"/>
            <w:r w:rsidRPr="00FD3370">
              <w:t xml:space="preserve"> </w:t>
            </w:r>
            <w:proofErr w:type="spellStart"/>
            <w:r w:rsidRPr="00FD3370">
              <w:t>Completion</w:t>
            </w:r>
            <w:proofErr w:type="spellEnd"/>
            <w:r w:rsidRPr="00FD3370">
              <w:t xml:space="preserve"> </w:t>
            </w:r>
            <w:proofErr w:type="spellStart"/>
            <w:r w:rsidRPr="00FD3370">
              <w:t>Note</w:t>
            </w:r>
            <w:proofErr w:type="spellEnd"/>
            <w:r w:rsidRPr="00FD3370">
              <w:t xml:space="preserve">) viedokļa saņemšanas. </w:t>
            </w:r>
          </w:p>
        </w:tc>
        <w:tc>
          <w:tcPr>
            <w:tcW w:w="2410" w:type="dxa"/>
            <w:tcBorders>
              <w:top w:val="single" w:color="auto" w:sz="4" w:space="0"/>
              <w:left w:val="single" w:color="auto" w:sz="4" w:space="0"/>
              <w:bottom w:val="single" w:color="auto" w:sz="4" w:space="0"/>
              <w:right w:val="single" w:color="auto" w:sz="4" w:space="0"/>
            </w:tcBorders>
          </w:tcPr>
          <w:p w:rsidRPr="00FD3370" w:rsidR="00D276C7" w:rsidP="00D276C7" w:rsidRDefault="00D276C7" w14:paraId="35AD517C" w14:textId="77777777">
            <w:pPr>
              <w:pStyle w:val="naisc"/>
              <w:spacing w:before="0" w:after="0"/>
              <w:ind w:left="57" w:right="57" w:firstLine="409"/>
              <w:rPr>
                <w:b/>
              </w:rPr>
            </w:pPr>
            <w:r w:rsidRPr="00FD3370">
              <w:rPr>
                <w:b/>
              </w:rPr>
              <w:t>Ņemts vērā</w:t>
            </w:r>
          </w:p>
          <w:p w:rsidRPr="00FD3370" w:rsidR="00767A48" w:rsidP="00FE2A70" w:rsidRDefault="00767A48" w14:paraId="7ABE045D" w14:textId="77777777">
            <w:pPr>
              <w:pStyle w:val="naisc"/>
              <w:spacing w:before="0" w:after="0"/>
              <w:ind w:left="57" w:right="57" w:firstLine="409"/>
              <w:rPr>
                <w:b/>
              </w:rPr>
            </w:pPr>
          </w:p>
        </w:tc>
        <w:tc>
          <w:tcPr>
            <w:tcW w:w="3659" w:type="dxa"/>
            <w:tcBorders>
              <w:top w:val="single" w:color="auto" w:sz="4" w:space="0"/>
              <w:left w:val="single" w:color="auto" w:sz="4" w:space="0"/>
              <w:bottom w:val="single" w:color="auto" w:sz="4" w:space="0"/>
            </w:tcBorders>
          </w:tcPr>
          <w:p w:rsidRPr="00FD3370" w:rsidR="00767A48" w:rsidP="00767A48" w:rsidRDefault="00767A48" w14:paraId="27A1AD47" w14:textId="025D030E">
            <w:pPr>
              <w:shd w:val="clear" w:color="auto" w:fill="FFFFFF"/>
              <w:spacing w:before="20"/>
              <w:ind w:right="9"/>
              <w:jc w:val="both"/>
              <w:rPr>
                <w:color w:val="000000" w:themeColor="text1"/>
              </w:rPr>
            </w:pPr>
            <w:r w:rsidRPr="00FD3370">
              <w:rPr>
                <w:color w:val="000000" w:themeColor="text1"/>
              </w:rPr>
              <w:t>Veikti precizējumi Informatīvā ziņojuma 5.sadaļas 7.tabulā “Indikatīvais elektrovilcienu iegādes projekta ieviešanas laiks”</w:t>
            </w:r>
            <w:r w:rsidR="001D2482">
              <w:rPr>
                <w:color w:val="000000" w:themeColor="text1"/>
              </w:rPr>
              <w:t xml:space="preserve"> </w:t>
            </w:r>
            <w:r w:rsidRPr="00FD3370">
              <w:rPr>
                <w:color w:val="000000" w:themeColor="text1"/>
              </w:rPr>
              <w:t>un 3.pielikuma 1.tabulā:</w:t>
            </w:r>
          </w:p>
          <w:p w:rsidRPr="00FD3370" w:rsidR="00767A48" w:rsidP="00767A48" w:rsidRDefault="00767A48" w14:paraId="00814C39" w14:textId="77777777">
            <w:pPr>
              <w:pStyle w:val="ListParagraph"/>
              <w:numPr>
                <w:ilvl w:val="0"/>
                <w:numId w:val="7"/>
              </w:numPr>
              <w:shd w:val="clear" w:color="auto" w:fill="FFFFFF"/>
              <w:spacing w:before="20"/>
              <w:ind w:left="340" w:right="9"/>
              <w:jc w:val="both"/>
              <w:rPr>
                <w:color w:val="000000" w:themeColor="text1"/>
                <w:lang w:val="lv-LV"/>
              </w:rPr>
            </w:pPr>
            <w:r w:rsidRPr="00FD3370">
              <w:rPr>
                <w:color w:val="000000" w:themeColor="text1"/>
                <w:lang w:val="lv-LV"/>
              </w:rPr>
              <w:t>darbībai “Projekta iesnieguma apstiprināšana EK” precizēts izpildes termiņš (</w:t>
            </w:r>
            <w:r w:rsidRPr="00FD3370">
              <w:rPr>
                <w:rFonts w:eastAsia="Calibri"/>
                <w:lang w:val="lv-LV"/>
              </w:rPr>
              <w:t>2022.gada II ceturksnis).</w:t>
            </w:r>
          </w:p>
          <w:p w:rsidRPr="00FD3370" w:rsidR="00767A48" w:rsidP="00767A48" w:rsidRDefault="00767A48" w14:paraId="7B55C87F" w14:textId="77777777">
            <w:pPr>
              <w:shd w:val="clear" w:color="auto" w:fill="FFFFFF"/>
              <w:spacing w:before="20"/>
              <w:ind w:right="9"/>
              <w:jc w:val="both"/>
              <w:rPr>
                <w:color w:val="000000" w:themeColor="text1"/>
              </w:rPr>
            </w:pPr>
          </w:p>
          <w:p w:rsidRPr="00FD3370" w:rsidR="00767A48" w:rsidP="00767A48" w:rsidRDefault="00767A48" w14:paraId="66BA5EAA" w14:textId="3EB66292">
            <w:pPr>
              <w:shd w:val="clear" w:color="auto" w:fill="FFFFFF"/>
              <w:spacing w:before="20"/>
              <w:ind w:right="9"/>
              <w:jc w:val="both"/>
              <w:rPr>
                <w:color w:val="000000" w:themeColor="text1"/>
              </w:rPr>
            </w:pPr>
          </w:p>
        </w:tc>
      </w:tr>
      <w:tr w:rsidRPr="00FD3370" w:rsidR="00767A48" w:rsidTr="00174771" w14:paraId="4CC5E922"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767A48" w:rsidP="00D2780B" w:rsidRDefault="00767A48" w14:paraId="2E4B2A28" w14:textId="77F1C3DE">
            <w:pPr>
              <w:pStyle w:val="naisc"/>
              <w:spacing w:before="0" w:after="0"/>
              <w:ind w:left="57" w:right="57"/>
            </w:pPr>
            <w:r w:rsidRPr="00FD3370">
              <w:t>5.</w:t>
            </w:r>
          </w:p>
        </w:tc>
        <w:tc>
          <w:tcPr>
            <w:tcW w:w="1869" w:type="dxa"/>
            <w:tcBorders>
              <w:top w:val="single" w:color="auto" w:sz="4" w:space="0"/>
              <w:left w:val="single" w:color="auto" w:sz="4" w:space="0"/>
              <w:bottom w:val="single" w:color="auto" w:sz="4" w:space="0"/>
              <w:right w:val="single" w:color="auto" w:sz="4" w:space="0"/>
            </w:tcBorders>
          </w:tcPr>
          <w:p w:rsidRPr="00FD3370" w:rsidR="00767A48" w:rsidP="00D2780B" w:rsidRDefault="00767A48" w14:paraId="149CFCB4" w14:textId="4C982564">
            <w:pPr>
              <w:pStyle w:val="naisc"/>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D276C7" w:rsidP="00D276C7" w:rsidRDefault="00D276C7" w14:paraId="409CDF8F" w14:textId="77777777">
            <w:pPr>
              <w:jc w:val="center"/>
              <w:rPr>
                <w:b/>
              </w:rPr>
            </w:pPr>
            <w:r w:rsidRPr="00FD3370">
              <w:rPr>
                <w:b/>
              </w:rPr>
              <w:t>Finanšu ministrija</w:t>
            </w:r>
          </w:p>
          <w:p w:rsidRPr="00FD3370" w:rsidR="00767A48" w:rsidP="00300E91" w:rsidRDefault="00D276C7" w14:paraId="65973365" w14:textId="75143EA5">
            <w:pPr>
              <w:spacing w:after="160" w:line="252" w:lineRule="auto"/>
              <w:jc w:val="both"/>
              <w:rPr>
                <w:b/>
              </w:rPr>
            </w:pPr>
            <w:r w:rsidRPr="00FD3370">
              <w:t xml:space="preserve">Lūdzam precizēt terminoloģiju attiecībā uz JASPERS ekspertu dokumentiem, ņemot vērā, ka (1) JASPERS eksperti – konsultanti  projekta iesnieguma sagatavošanai rezultātā sniedz </w:t>
            </w:r>
            <w:proofErr w:type="spellStart"/>
            <w:r w:rsidRPr="00FD3370">
              <w:rPr>
                <w:i/>
                <w:iCs/>
              </w:rPr>
              <w:t>Action</w:t>
            </w:r>
            <w:proofErr w:type="spellEnd"/>
            <w:r w:rsidRPr="00FD3370">
              <w:rPr>
                <w:i/>
                <w:iCs/>
              </w:rPr>
              <w:t xml:space="preserve"> </w:t>
            </w:r>
            <w:proofErr w:type="spellStart"/>
            <w:r w:rsidRPr="00FD3370">
              <w:rPr>
                <w:i/>
                <w:iCs/>
              </w:rPr>
              <w:t>Completion</w:t>
            </w:r>
            <w:proofErr w:type="spellEnd"/>
            <w:r w:rsidRPr="00FD3370">
              <w:rPr>
                <w:i/>
                <w:iCs/>
              </w:rPr>
              <w:t xml:space="preserve"> </w:t>
            </w:r>
            <w:proofErr w:type="spellStart"/>
            <w:r w:rsidRPr="00FD3370">
              <w:rPr>
                <w:i/>
                <w:iCs/>
              </w:rPr>
              <w:t>Note</w:t>
            </w:r>
            <w:proofErr w:type="spellEnd"/>
            <w:r w:rsidRPr="00FD3370">
              <w:t xml:space="preserve">, savukārt, (2) JASPERS neatkarīgie eksperti (IQR) iesnieguma pārbaudes rezultātā sniedz </w:t>
            </w:r>
            <w:proofErr w:type="spellStart"/>
            <w:r w:rsidRPr="00FD3370">
              <w:rPr>
                <w:i/>
                <w:iCs/>
              </w:rPr>
              <w:t>Independent</w:t>
            </w:r>
            <w:proofErr w:type="spellEnd"/>
            <w:r w:rsidRPr="00FD3370">
              <w:rPr>
                <w:i/>
                <w:iCs/>
              </w:rPr>
              <w:t xml:space="preserve"> </w:t>
            </w:r>
            <w:proofErr w:type="spellStart"/>
            <w:r w:rsidRPr="00FD3370">
              <w:rPr>
                <w:i/>
                <w:iCs/>
              </w:rPr>
              <w:t>quality</w:t>
            </w:r>
            <w:proofErr w:type="spellEnd"/>
            <w:r w:rsidRPr="00FD3370">
              <w:rPr>
                <w:i/>
                <w:iCs/>
              </w:rPr>
              <w:t xml:space="preserve"> </w:t>
            </w:r>
            <w:proofErr w:type="spellStart"/>
            <w:r w:rsidRPr="00FD3370">
              <w:rPr>
                <w:i/>
                <w:iCs/>
              </w:rPr>
              <w:t>review</w:t>
            </w:r>
            <w:proofErr w:type="spellEnd"/>
            <w:r w:rsidRPr="00FD3370">
              <w:rPr>
                <w:i/>
                <w:iCs/>
              </w:rPr>
              <w:t xml:space="preserve"> </w:t>
            </w:r>
            <w:proofErr w:type="spellStart"/>
            <w:r w:rsidRPr="00FD3370">
              <w:rPr>
                <w:i/>
                <w:iCs/>
              </w:rPr>
              <w:t>report</w:t>
            </w:r>
            <w:proofErr w:type="spellEnd"/>
            <w:r w:rsidRPr="00FD3370">
              <w:t xml:space="preserve"> pirms projekta iesnieguma iesniegšanas Eiropas Komisijai. </w:t>
            </w:r>
            <w:r w:rsidRPr="00FD3370">
              <w:rPr>
                <w:i/>
                <w:iCs/>
              </w:rPr>
              <w:t> </w:t>
            </w:r>
            <w:r w:rsidRPr="00FD3370">
              <w:t> </w:t>
            </w:r>
          </w:p>
        </w:tc>
        <w:tc>
          <w:tcPr>
            <w:tcW w:w="2410" w:type="dxa"/>
            <w:tcBorders>
              <w:top w:val="single" w:color="auto" w:sz="4" w:space="0"/>
              <w:left w:val="single" w:color="auto" w:sz="4" w:space="0"/>
              <w:bottom w:val="single" w:color="auto" w:sz="4" w:space="0"/>
              <w:right w:val="single" w:color="auto" w:sz="4" w:space="0"/>
            </w:tcBorders>
          </w:tcPr>
          <w:p w:rsidRPr="00FD3370" w:rsidR="00D276C7" w:rsidP="00D276C7" w:rsidRDefault="00D276C7" w14:paraId="551BE434" w14:textId="77777777">
            <w:pPr>
              <w:pStyle w:val="naisc"/>
              <w:spacing w:before="0" w:after="0"/>
              <w:ind w:left="57" w:right="57" w:firstLine="409"/>
              <w:rPr>
                <w:b/>
              </w:rPr>
            </w:pPr>
            <w:r w:rsidRPr="00FD3370">
              <w:rPr>
                <w:b/>
              </w:rPr>
              <w:t>Ņemts vērā</w:t>
            </w:r>
          </w:p>
          <w:p w:rsidRPr="00FD3370" w:rsidR="00767A48" w:rsidP="00FE2A70" w:rsidRDefault="00767A48" w14:paraId="749B97C2" w14:textId="77777777">
            <w:pPr>
              <w:pStyle w:val="naisc"/>
              <w:spacing w:before="0" w:after="0"/>
              <w:ind w:left="57" w:right="57" w:firstLine="409"/>
              <w:rPr>
                <w:b/>
              </w:rPr>
            </w:pPr>
          </w:p>
        </w:tc>
        <w:tc>
          <w:tcPr>
            <w:tcW w:w="3659" w:type="dxa"/>
            <w:tcBorders>
              <w:top w:val="single" w:color="auto" w:sz="4" w:space="0"/>
              <w:left w:val="single" w:color="auto" w:sz="4" w:space="0"/>
              <w:bottom w:val="single" w:color="auto" w:sz="4" w:space="0"/>
            </w:tcBorders>
          </w:tcPr>
          <w:p w:rsidRPr="00FD3370" w:rsidR="00767A48" w:rsidP="00FE2A70" w:rsidRDefault="00404C5F" w14:paraId="1019E72A" w14:textId="6EFE6230">
            <w:pPr>
              <w:shd w:val="clear" w:color="auto" w:fill="FFFFFF"/>
              <w:spacing w:before="20"/>
              <w:ind w:right="9"/>
              <w:jc w:val="both"/>
              <w:rPr>
                <w:color w:val="000000" w:themeColor="text1"/>
              </w:rPr>
            </w:pPr>
            <w:r w:rsidRPr="00FD3370">
              <w:rPr>
                <w:color w:val="000000" w:themeColor="text1"/>
              </w:rPr>
              <w:t>Veikti precizējumi Informatīvā ziņojuma 7.</w:t>
            </w:r>
            <w:r w:rsidR="001C4711">
              <w:rPr>
                <w:color w:val="000000" w:themeColor="text1"/>
              </w:rPr>
              <w:t>tabulā un 3.pielikuma 1.tabulā</w:t>
            </w:r>
            <w:r w:rsidRPr="00FD3370">
              <w:rPr>
                <w:color w:val="000000" w:themeColor="text1"/>
              </w:rPr>
              <w:t xml:space="preserve">, precizējot </w:t>
            </w:r>
            <w:r w:rsidR="001C4711">
              <w:rPr>
                <w:color w:val="000000" w:themeColor="text1"/>
              </w:rPr>
              <w:t>terminoloģiju un īstenošanas termiņu</w:t>
            </w:r>
            <w:r w:rsidRPr="00FD3370">
              <w:rPr>
                <w:color w:val="000000" w:themeColor="text1"/>
              </w:rPr>
              <w:t>.</w:t>
            </w:r>
          </w:p>
        </w:tc>
      </w:tr>
      <w:tr w:rsidRPr="00FD3370" w:rsidR="00767A48" w:rsidTr="00174771" w14:paraId="006ACACD" w14:textId="77777777">
        <w:trPr>
          <w:trHeight w:val="379"/>
        </w:trPr>
        <w:tc>
          <w:tcPr>
            <w:tcW w:w="709" w:type="dxa"/>
            <w:tcBorders>
              <w:top w:val="single" w:color="auto" w:sz="4" w:space="0"/>
              <w:left w:val="single" w:color="auto" w:sz="4" w:space="0"/>
              <w:bottom w:val="single" w:color="auto" w:sz="4" w:space="0"/>
              <w:right w:val="single" w:color="auto" w:sz="4" w:space="0"/>
            </w:tcBorders>
          </w:tcPr>
          <w:p w:rsidRPr="00FD3370" w:rsidR="00767A48" w:rsidP="00D2780B" w:rsidRDefault="00767A48" w14:paraId="5F159A84" w14:textId="7E3C7EC4">
            <w:pPr>
              <w:pStyle w:val="naisc"/>
              <w:spacing w:before="0" w:after="0"/>
              <w:ind w:left="57" w:right="57"/>
            </w:pPr>
            <w:r w:rsidRPr="00FD3370">
              <w:t>6.</w:t>
            </w:r>
          </w:p>
        </w:tc>
        <w:tc>
          <w:tcPr>
            <w:tcW w:w="1869" w:type="dxa"/>
            <w:tcBorders>
              <w:top w:val="single" w:color="auto" w:sz="4" w:space="0"/>
              <w:left w:val="single" w:color="auto" w:sz="4" w:space="0"/>
              <w:bottom w:val="single" w:color="auto" w:sz="4" w:space="0"/>
              <w:right w:val="single" w:color="auto" w:sz="4" w:space="0"/>
            </w:tcBorders>
          </w:tcPr>
          <w:p w:rsidRPr="00FD3370" w:rsidR="00767A48" w:rsidP="00D2780B" w:rsidRDefault="00767A48" w14:paraId="5AD5B62F" w14:textId="03DF52C9">
            <w:pPr>
              <w:pStyle w:val="naisc"/>
              <w:ind w:left="57" w:right="57"/>
              <w:jc w:val="both"/>
            </w:pPr>
            <w:r w:rsidRPr="00FD3370">
              <w:t>Informatīvais ziņojums</w:t>
            </w:r>
          </w:p>
        </w:tc>
        <w:tc>
          <w:tcPr>
            <w:tcW w:w="5670" w:type="dxa"/>
            <w:tcBorders>
              <w:top w:val="single" w:color="auto" w:sz="4" w:space="0"/>
              <w:left w:val="single" w:color="auto" w:sz="4" w:space="0"/>
              <w:bottom w:val="single" w:color="auto" w:sz="4" w:space="0"/>
              <w:right w:val="single" w:color="auto" w:sz="4" w:space="0"/>
            </w:tcBorders>
          </w:tcPr>
          <w:p w:rsidRPr="00FD3370" w:rsidR="00D276C7" w:rsidP="00D276C7" w:rsidRDefault="00D276C7" w14:paraId="5D393A87" w14:textId="77777777">
            <w:pPr>
              <w:jc w:val="center"/>
              <w:rPr>
                <w:b/>
              </w:rPr>
            </w:pPr>
            <w:r w:rsidRPr="00FD3370">
              <w:rPr>
                <w:b/>
              </w:rPr>
              <w:t>Finanšu ministrija</w:t>
            </w:r>
          </w:p>
          <w:p w:rsidRPr="00FD3370" w:rsidR="00767A48" w:rsidP="00300E91" w:rsidRDefault="00D276C7" w14:paraId="53BB090E" w14:textId="6ECA0C95">
            <w:pPr>
              <w:spacing w:after="160" w:line="252" w:lineRule="auto"/>
              <w:jc w:val="both"/>
              <w:rPr>
                <w:b/>
              </w:rPr>
            </w:pPr>
            <w:r w:rsidRPr="00FD3370">
              <w:t xml:space="preserve">Aicinām salāgot ziņojuma projekta 7.pielikuma “Satiksmes ministrijas priekšlikumi grozījumiem DP 4.prioritārajā virzienā “Pāreja uz ekonomiku ar zemu </w:t>
            </w:r>
            <w:r w:rsidRPr="00FD3370">
              <w:lastRenderedPageBreak/>
              <w:t xml:space="preserve">oglekļa emisijas līmeni visās nozarēs”” tabulas 10.punktā norādīto informāciju kolonnā “Ierosinājums/ grozījums” par paredzēto projekta iesniegšanas laiku Eiropas Komisijā (kas šobrīd norādīts 2021/3) ar ziņojuma projekta 7.tabulā un 3.pielikuma 1.tabulā norādīto informāciju (kas šobrīd norādīts 2022/1), lai paredzētais projekta iesniegšanas laiks Eiropas Komisijā būtu vienāds visā ziņojuma projekta dokumentācijā. </w:t>
            </w:r>
          </w:p>
        </w:tc>
        <w:tc>
          <w:tcPr>
            <w:tcW w:w="2410" w:type="dxa"/>
            <w:tcBorders>
              <w:top w:val="single" w:color="auto" w:sz="4" w:space="0"/>
              <w:left w:val="single" w:color="auto" w:sz="4" w:space="0"/>
              <w:bottom w:val="single" w:color="auto" w:sz="4" w:space="0"/>
              <w:right w:val="single" w:color="auto" w:sz="4" w:space="0"/>
            </w:tcBorders>
          </w:tcPr>
          <w:p w:rsidRPr="00FD3370" w:rsidR="00D276C7" w:rsidP="00D276C7" w:rsidRDefault="00D276C7" w14:paraId="2A0E76C8" w14:textId="77777777">
            <w:pPr>
              <w:pStyle w:val="naisc"/>
              <w:spacing w:before="0" w:after="0"/>
              <w:ind w:left="57" w:right="57" w:firstLine="409"/>
              <w:rPr>
                <w:b/>
              </w:rPr>
            </w:pPr>
            <w:r w:rsidRPr="00FD3370">
              <w:rPr>
                <w:b/>
              </w:rPr>
              <w:lastRenderedPageBreak/>
              <w:t>Ņemts vērā</w:t>
            </w:r>
          </w:p>
          <w:p w:rsidRPr="00FD3370" w:rsidR="00767A48" w:rsidP="00FE2A70" w:rsidRDefault="00767A48" w14:paraId="49575213" w14:textId="77777777">
            <w:pPr>
              <w:pStyle w:val="naisc"/>
              <w:spacing w:before="0" w:after="0"/>
              <w:ind w:left="57" w:right="57" w:firstLine="409"/>
              <w:rPr>
                <w:b/>
              </w:rPr>
            </w:pPr>
          </w:p>
        </w:tc>
        <w:tc>
          <w:tcPr>
            <w:tcW w:w="3659" w:type="dxa"/>
            <w:tcBorders>
              <w:top w:val="single" w:color="auto" w:sz="4" w:space="0"/>
              <w:left w:val="single" w:color="auto" w:sz="4" w:space="0"/>
              <w:bottom w:val="single" w:color="auto" w:sz="4" w:space="0"/>
            </w:tcBorders>
          </w:tcPr>
          <w:p w:rsidRPr="00FD3370" w:rsidR="00767A48" w:rsidP="00FE2A70" w:rsidRDefault="000A5806" w14:paraId="35F483A3" w14:textId="25E2E781">
            <w:pPr>
              <w:shd w:val="clear" w:color="auto" w:fill="FFFFFF"/>
              <w:spacing w:before="20"/>
              <w:ind w:right="9"/>
              <w:jc w:val="both"/>
              <w:rPr>
                <w:color w:val="000000" w:themeColor="text1"/>
              </w:rPr>
            </w:pPr>
            <w:r w:rsidRPr="00FD3370">
              <w:rPr>
                <w:color w:val="000000" w:themeColor="text1"/>
              </w:rPr>
              <w:t xml:space="preserve">Veikti precizējumi Informatīvā ziņojuma </w:t>
            </w:r>
            <w:r w:rsidR="00444123">
              <w:rPr>
                <w:color w:val="000000" w:themeColor="text1"/>
              </w:rPr>
              <w:t>6</w:t>
            </w:r>
            <w:r w:rsidRPr="00FD3370">
              <w:rPr>
                <w:color w:val="000000" w:themeColor="text1"/>
              </w:rPr>
              <w:t xml:space="preserve">.pielikuma tabulas 10.punktā, precizējot projekta </w:t>
            </w:r>
            <w:r w:rsidRPr="00FD3370">
              <w:rPr>
                <w:color w:val="000000" w:themeColor="text1"/>
              </w:rPr>
              <w:lastRenderedPageBreak/>
              <w:t>iesniegšanas laiku EK (2022.gada II ceturksnis).</w:t>
            </w:r>
          </w:p>
        </w:tc>
      </w:tr>
    </w:tbl>
    <w:p w:rsidRPr="00FD3370" w:rsidR="00AC6A52" w:rsidRDefault="00AC6A52" w14:paraId="38361EBD" w14:textId="77777777"/>
    <w:tbl>
      <w:tblPr>
        <w:tblW w:w="14360" w:type="dxa"/>
        <w:tblInd w:w="108" w:type="dxa"/>
        <w:tblLayout w:type="fixed"/>
        <w:tblLook w:val="00A0" w:firstRow="1" w:lastRow="0" w:firstColumn="1" w:lastColumn="0" w:noHBand="0" w:noVBand="0"/>
      </w:tblPr>
      <w:tblGrid>
        <w:gridCol w:w="4693"/>
        <w:gridCol w:w="9667"/>
      </w:tblGrid>
      <w:tr w:rsidRPr="00FD3370" w:rsidR="005F2DBA" w:rsidTr="00AC6A52" w14:paraId="6CD4456B" w14:textId="77777777">
        <w:tc>
          <w:tcPr>
            <w:tcW w:w="4693" w:type="dxa"/>
          </w:tcPr>
          <w:p w:rsidRPr="00FD3370" w:rsidR="005F2DBA" w:rsidP="005F2DBA" w:rsidRDefault="005F2DBA" w14:paraId="0F460FBB" w14:textId="77777777">
            <w:r w:rsidRPr="00FD3370">
              <w:t>Atbildīgā amatpersona</w:t>
            </w:r>
          </w:p>
        </w:tc>
        <w:tc>
          <w:tcPr>
            <w:tcW w:w="9667" w:type="dxa"/>
          </w:tcPr>
          <w:p w:rsidRPr="00FD3370" w:rsidR="005F2DBA" w:rsidP="00E43F04" w:rsidRDefault="00E40015" w14:paraId="0DD62EF6" w14:textId="27BDECDB">
            <w:pPr>
              <w:rPr>
                <w:highlight w:val="yellow"/>
              </w:rPr>
            </w:pPr>
            <w:proofErr w:type="spellStart"/>
            <w:r w:rsidRPr="00FD3370">
              <w:t>V.Preimanis</w:t>
            </w:r>
            <w:proofErr w:type="spellEnd"/>
          </w:p>
        </w:tc>
      </w:tr>
      <w:tr w:rsidRPr="00FD3370" w:rsidR="005F2DBA" w:rsidTr="00AC6A52" w14:paraId="130C49D7" w14:textId="77777777">
        <w:tc>
          <w:tcPr>
            <w:tcW w:w="4693" w:type="dxa"/>
          </w:tcPr>
          <w:p w:rsidRPr="00FD3370" w:rsidR="005F2DBA" w:rsidP="005F2DBA" w:rsidRDefault="005F2DBA" w14:paraId="2678009A" w14:textId="77777777">
            <w:pPr>
              <w:ind w:firstLine="720"/>
            </w:pPr>
          </w:p>
        </w:tc>
        <w:tc>
          <w:tcPr>
            <w:tcW w:w="9667" w:type="dxa"/>
            <w:tcBorders>
              <w:top w:val="single" w:color="000000" w:sz="6" w:space="0"/>
            </w:tcBorders>
          </w:tcPr>
          <w:p w:rsidRPr="00FD3370" w:rsidR="005F2DBA" w:rsidP="005F2DBA" w:rsidRDefault="005F2DBA" w14:paraId="64BBC89E" w14:textId="77777777">
            <w:pPr>
              <w:ind w:firstLine="720"/>
              <w:jc w:val="center"/>
            </w:pPr>
            <w:r w:rsidRPr="00FD3370">
              <w:t>(paraksts)*</w:t>
            </w:r>
          </w:p>
        </w:tc>
      </w:tr>
    </w:tbl>
    <w:p w:rsidRPr="00FD3370" w:rsidR="005F2DBA" w:rsidP="005F2DBA" w:rsidRDefault="005F2DBA" w14:paraId="59797AEC" w14:textId="77777777">
      <w:pPr>
        <w:ind w:firstLine="720"/>
        <w:jc w:val="both"/>
      </w:pPr>
    </w:p>
    <w:p w:rsidRPr="00FD3370" w:rsidR="003154A5" w:rsidP="001807C2" w:rsidRDefault="005F2DBA" w14:paraId="186C07C7" w14:textId="3F27704A">
      <w:pPr>
        <w:ind w:firstLine="720"/>
        <w:jc w:val="both"/>
      </w:pPr>
      <w:r w:rsidRPr="00FD3370">
        <w:t xml:space="preserve">Piezīme. * Dokumenta rekvizītu </w:t>
      </w:r>
      <w:r w:rsidRPr="00FD3370" w:rsidR="00B351FC">
        <w:t>“</w:t>
      </w:r>
      <w:r w:rsidRPr="00FD3370">
        <w:t>paraksts</w:t>
      </w:r>
      <w:r w:rsidRPr="00FD3370" w:rsidR="00B351FC">
        <w:t>”</w:t>
      </w:r>
      <w:r w:rsidRPr="00FD3370">
        <w:t xml:space="preserve"> neaizpilda, ja elektroniskais dokuments ir sagatavots atbilstoši normatīvajiem aktiem par elektronisko dokumentu noformēšanu.</w:t>
      </w:r>
    </w:p>
    <w:sectPr w:rsidRPr="00FD3370" w:rsidR="003154A5" w:rsidSect="000D6DD8">
      <w:headerReference w:type="even" r:id="rId9"/>
      <w:headerReference w:type="default" r:id="rId10"/>
      <w:footerReference w:type="default" r:id="rId11"/>
      <w:footerReference w:type="first" r:id="rId12"/>
      <w:pgSz w:w="16838" w:h="11906" w:orient="landscape"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42726" w14:textId="77777777" w:rsidR="006C75AC" w:rsidRDefault="006C75AC" w:rsidP="006D13B8">
      <w:r>
        <w:separator/>
      </w:r>
    </w:p>
  </w:endnote>
  <w:endnote w:type="continuationSeparator" w:id="0">
    <w:p w14:paraId="5AB7AFD2" w14:textId="77777777" w:rsidR="006C75AC" w:rsidRDefault="006C75AC" w:rsidP="006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EBD3" w14:textId="77777777" w:rsidR="006C75AC" w:rsidRDefault="006C75AC" w:rsidP="005E2399">
    <w:pPr>
      <w:pStyle w:val="Footer"/>
      <w:rPr>
        <w:sz w:val="20"/>
        <w:szCs w:val="20"/>
      </w:rPr>
    </w:pPr>
  </w:p>
  <w:p w14:paraId="32D57876" w14:textId="41356D39" w:rsidR="006C75AC" w:rsidRPr="005E2399" w:rsidRDefault="006C75AC" w:rsidP="005E2399">
    <w:pPr>
      <w:pStyle w:val="Footer"/>
    </w:pPr>
    <w:r>
      <w:rPr>
        <w:sz w:val="20"/>
        <w:szCs w:val="20"/>
      </w:rPr>
      <w:t>S</w:t>
    </w:r>
    <w:r w:rsidRPr="00F910BD">
      <w:rPr>
        <w:sz w:val="20"/>
        <w:szCs w:val="20"/>
      </w:rPr>
      <w:t>M</w:t>
    </w:r>
    <w:r w:rsidR="00DE1B1A">
      <w:rPr>
        <w:sz w:val="20"/>
        <w:szCs w:val="20"/>
      </w:rPr>
      <w:t>i</w:t>
    </w:r>
    <w:r w:rsidRPr="00F910BD">
      <w:rPr>
        <w:sz w:val="20"/>
        <w:szCs w:val="20"/>
      </w:rPr>
      <w:t>zz_</w:t>
    </w:r>
    <w:r w:rsidR="00811208">
      <w:rPr>
        <w:sz w:val="20"/>
        <w:szCs w:val="20"/>
      </w:rPr>
      <w:t>2</w:t>
    </w:r>
    <w:r w:rsidR="00E63894">
      <w:rPr>
        <w:sz w:val="20"/>
        <w:szCs w:val="20"/>
      </w:rPr>
      <w:t>6</w:t>
    </w:r>
    <w:r w:rsidR="007A2EE0">
      <w:rPr>
        <w:sz w:val="20"/>
        <w:szCs w:val="20"/>
      </w:rPr>
      <w:t>09</w:t>
    </w:r>
    <w:r>
      <w:rPr>
        <w:sz w:val="20"/>
        <w:szCs w:val="20"/>
      </w:rPr>
      <w:t>19_SAM451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F34C" w14:textId="039719C5" w:rsidR="006C75AC" w:rsidRPr="00F910BD" w:rsidRDefault="006C75AC" w:rsidP="00907C4A">
    <w:pPr>
      <w:pStyle w:val="Footer"/>
      <w:rPr>
        <w:sz w:val="20"/>
        <w:szCs w:val="20"/>
      </w:rPr>
    </w:pPr>
    <w:r w:rsidRPr="00F910BD">
      <w:rPr>
        <w:sz w:val="20"/>
        <w:szCs w:val="20"/>
      </w:rPr>
      <w:t>SM</w:t>
    </w:r>
    <w:r w:rsidR="00DE1B1A">
      <w:rPr>
        <w:sz w:val="20"/>
        <w:szCs w:val="20"/>
      </w:rPr>
      <w:t>i</w:t>
    </w:r>
    <w:r w:rsidRPr="00F910BD">
      <w:rPr>
        <w:sz w:val="20"/>
        <w:szCs w:val="20"/>
      </w:rPr>
      <w:t>zz_</w:t>
    </w:r>
    <w:r w:rsidR="00811208">
      <w:rPr>
        <w:sz w:val="20"/>
        <w:szCs w:val="20"/>
      </w:rPr>
      <w:t>2</w:t>
    </w:r>
    <w:r w:rsidR="00E63894">
      <w:rPr>
        <w:sz w:val="20"/>
        <w:szCs w:val="20"/>
      </w:rPr>
      <w:t>6</w:t>
    </w:r>
    <w:r w:rsidR="007A2EE0">
      <w:rPr>
        <w:sz w:val="20"/>
        <w:szCs w:val="20"/>
      </w:rPr>
      <w:t>09</w:t>
    </w:r>
    <w:r>
      <w:rPr>
        <w:sz w:val="20"/>
        <w:szCs w:val="20"/>
      </w:rPr>
      <w:t>19_SAM451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3343D" w14:textId="77777777" w:rsidR="006C75AC" w:rsidRDefault="006C75AC" w:rsidP="006D13B8">
      <w:r>
        <w:separator/>
      </w:r>
    </w:p>
  </w:footnote>
  <w:footnote w:type="continuationSeparator" w:id="0">
    <w:p w14:paraId="27209382" w14:textId="77777777" w:rsidR="006C75AC" w:rsidRDefault="006C75AC" w:rsidP="006D13B8">
      <w:r>
        <w:continuationSeparator/>
      </w:r>
    </w:p>
  </w:footnote>
  <w:footnote w:id="1">
    <w:p w14:paraId="4411EB9E" w14:textId="76F505AB" w:rsidR="009065BB" w:rsidRDefault="009065BB">
      <w:pPr>
        <w:pStyle w:val="FootnoteText"/>
      </w:pPr>
      <w:r w:rsidRPr="00643790">
        <w:rPr>
          <w:rStyle w:val="FootnoteReference"/>
          <w:rFonts w:ascii="Times New Roman" w:hAnsi="Times New Roman"/>
        </w:rPr>
        <w:footnoteRef/>
      </w:r>
      <w:r>
        <w:t xml:space="preserve"> </w:t>
      </w:r>
      <w:r w:rsidRPr="002826C3">
        <w:rPr>
          <w:rFonts w:ascii="Times New Roman" w:hAnsi="Times New Roman"/>
          <w:sz w:val="18"/>
          <w:szCs w:val="18"/>
        </w:rPr>
        <w:t xml:space="preserve">MK 2019.gada 16.jūlija </w:t>
      </w:r>
      <w:proofErr w:type="spellStart"/>
      <w:r w:rsidRPr="002826C3">
        <w:rPr>
          <w:rFonts w:ascii="Times New Roman" w:hAnsi="Times New Roman"/>
          <w:sz w:val="18"/>
          <w:szCs w:val="18"/>
        </w:rPr>
        <w:t>protokollēmums</w:t>
      </w:r>
      <w:proofErr w:type="spellEnd"/>
      <w:r w:rsidRPr="002826C3">
        <w:rPr>
          <w:rFonts w:ascii="Times New Roman" w:hAnsi="Times New Roman"/>
          <w:sz w:val="18"/>
          <w:szCs w:val="18"/>
        </w:rPr>
        <w:t xml:space="preserve"> Nr.33 84.§ “Informatīvais ziņojums “Par jauno elektrovilcienu projektu” un rīkojuma projekts “Par Satiksmes ministrijas ilgtermiņa saistībām jauno elektrovilcienu projektam””.</w:t>
      </w:r>
    </w:p>
  </w:footnote>
  <w:footnote w:id="2">
    <w:p w14:paraId="068CA2D9" w14:textId="420BDE35" w:rsidR="009065BB" w:rsidRDefault="009065BB">
      <w:pPr>
        <w:pStyle w:val="FootnoteText"/>
      </w:pPr>
      <w:r w:rsidRPr="00643790">
        <w:rPr>
          <w:rStyle w:val="FootnoteReference"/>
          <w:rFonts w:ascii="Times New Roman" w:hAnsi="Times New Roman"/>
        </w:rPr>
        <w:footnoteRef/>
      </w:r>
      <w:r w:rsidRPr="00643790">
        <w:rPr>
          <w:rFonts w:ascii="Times New Roman" w:hAnsi="Times New Roman"/>
        </w:rPr>
        <w:t xml:space="preserve"> </w:t>
      </w:r>
      <w:r w:rsidRPr="00D0736E">
        <w:rPr>
          <w:rFonts w:ascii="Times New Roman" w:hAnsi="Times New Roman"/>
          <w:sz w:val="18"/>
          <w:szCs w:val="18"/>
        </w:rPr>
        <w:t>MK 2015.gada 27.janvāra noteikumi Nr.42 “Noteikumi par kritērijiem un kārtību valsts budžeta dotācijas piešķiršanai pašvaldībām Eiropas Savienības struktūrfondu un Kohēzijas fonda 2014.–2020.gada plānošanas periodā līdzfinansēto projektu īstenošanai”.</w:t>
      </w:r>
    </w:p>
  </w:footnote>
  <w:footnote w:id="3">
    <w:p w14:paraId="511A5007" w14:textId="77777777" w:rsidR="009065BB" w:rsidRPr="00E7561F" w:rsidRDefault="009065BB" w:rsidP="004418DA">
      <w:pPr>
        <w:pStyle w:val="FootnoteText"/>
        <w:jc w:val="both"/>
        <w:rPr>
          <w:rFonts w:ascii="Times New Roman" w:eastAsiaTheme="minorHAnsi" w:hAnsi="Times New Roman"/>
        </w:rPr>
      </w:pPr>
      <w:r w:rsidRPr="00E7561F">
        <w:rPr>
          <w:rStyle w:val="FootnoteReference"/>
          <w:rFonts w:ascii="Times New Roman" w:hAnsi="Times New Roman"/>
        </w:rPr>
        <w:t>[1]</w:t>
      </w:r>
      <w:r w:rsidRPr="00E7561F">
        <w:rPr>
          <w:rFonts w:ascii="Times New Roman" w:hAnsi="Times New Roman"/>
        </w:rPr>
        <w:t xml:space="preserve"> </w:t>
      </w:r>
      <w:r w:rsidRPr="00E7561F">
        <w:rPr>
          <w:rFonts w:ascii="Times New Roman" w:hAnsi="Times New Roman"/>
          <w:sz w:val="18"/>
          <w:szCs w:val="18"/>
        </w:rPr>
        <w:t xml:space="preserve">MK 2019.gada 16.jūlija </w:t>
      </w:r>
      <w:proofErr w:type="spellStart"/>
      <w:r w:rsidRPr="00E7561F">
        <w:rPr>
          <w:rFonts w:ascii="Times New Roman" w:hAnsi="Times New Roman"/>
          <w:sz w:val="18"/>
          <w:szCs w:val="18"/>
        </w:rPr>
        <w:t>protokollēmuma</w:t>
      </w:r>
      <w:proofErr w:type="spellEnd"/>
      <w:r w:rsidRPr="00E7561F">
        <w:rPr>
          <w:rFonts w:ascii="Times New Roman" w:hAnsi="Times New Roman"/>
          <w:sz w:val="18"/>
          <w:szCs w:val="18"/>
        </w:rPr>
        <w:t xml:space="preserve"> Nr.33 84.§ “Informatīvais ziņojums “Par jauno elektrovilcienu projektu” un rīkojuma projekts “Par Satiksmes ministrijas ilgtermiņa saistībām jauno elektrovilcienu projektam”” 5.punkts uzdod Satiksmes ministrijai veikt visas nepieciešamās darbības attiecībā uz finansējuma piesaisti Eiropas Savienības fondu līdzfinansējuma nodrošināšanai jauno elektrovilcienu projektam 2021.-2023. gadā, tādejādi paredzot arī negatīvas ietekmes uz vispārējās valdības budžetu mazināšanas iespējas un attiecīgi precizējot fiskālo ietekmi pa gadiem.</w:t>
      </w:r>
    </w:p>
  </w:footnote>
  <w:footnote w:id="4">
    <w:p w14:paraId="13BF5B03" w14:textId="77777777" w:rsidR="00FF737D" w:rsidRPr="000C0D87" w:rsidRDefault="00FF737D" w:rsidP="00FF737D">
      <w:pPr>
        <w:jc w:val="both"/>
        <w:rPr>
          <w:sz w:val="22"/>
          <w:szCs w:val="22"/>
        </w:rPr>
      </w:pPr>
      <w:r w:rsidRPr="000C0D87">
        <w:rPr>
          <w:rStyle w:val="FootnoteReference"/>
          <w:sz w:val="20"/>
          <w:szCs w:val="20"/>
        </w:rPr>
        <w:footnoteRef/>
      </w:r>
      <w:r w:rsidRPr="000C0D87">
        <w:rPr>
          <w:sz w:val="20"/>
          <w:szCs w:val="20"/>
        </w:rPr>
        <w:t xml:space="preserve"> </w:t>
      </w:r>
      <w:r w:rsidRPr="000C0D87">
        <w:rPr>
          <w:sz w:val="20"/>
          <w:szCs w:val="20"/>
        </w:rPr>
        <w:t>Centrālā finanšu un līgumu aģentūra, pamatojoties uz  no Eiropas Komisijas 2019.gada 12.jūlijā saņemto apstiprinājumu lielajam projektam “Latvijas dzelzceļa tīkla elektrifikācija”, 2019.gada 18.jūlijā ir izdevusi lēmumu Nr. 39-2-60/6065 “Par lielā projekta iesnieguma Nr.6.2.1.1/18/I/001 apstiprināšanu”.</w:t>
      </w:r>
    </w:p>
  </w:footnote>
  <w:footnote w:id="5">
    <w:p w14:paraId="01994C6E" w14:textId="77777777" w:rsidR="00EF1A6A" w:rsidRPr="00D55C8D" w:rsidRDefault="00EF1A6A" w:rsidP="00EF1A6A">
      <w:pPr>
        <w:pStyle w:val="FootnoteText"/>
        <w:rPr>
          <w:rFonts w:ascii="Times New Roman" w:hAnsi="Times New Roman"/>
        </w:rPr>
      </w:pPr>
      <w:r w:rsidRPr="00D55C8D">
        <w:rPr>
          <w:rStyle w:val="FootnoteReference"/>
          <w:rFonts w:ascii="Times New Roman" w:hAnsi="Times New Roman"/>
        </w:rPr>
        <w:footnoteRef/>
      </w:r>
      <w:r w:rsidRPr="00D55C8D">
        <w:rPr>
          <w:rFonts w:ascii="Times New Roman" w:hAnsi="Times New Roman"/>
        </w:rPr>
        <w:t xml:space="preserve"> </w:t>
      </w:r>
      <w:hyperlink r:id="rId1" w:history="1">
        <w:r w:rsidRPr="00D55C8D">
          <w:rPr>
            <w:rStyle w:val="Hyperlink"/>
            <w:rFonts w:ascii="Times New Roman" w:hAnsi="Times New Roman"/>
          </w:rPr>
          <w:t>http://tap.mk.gov.lv/lv/mk/tap/?pid=40475566&amp;mode=mk&amp;date=2019-07-16</w:t>
        </w:r>
      </w:hyperlink>
      <w:r w:rsidRPr="00D55C8D">
        <w:rPr>
          <w:rFonts w:ascii="Times New Roman" w:hAnsi="Times New Roman"/>
        </w:rPr>
        <w:t xml:space="preserve"> </w:t>
      </w:r>
    </w:p>
  </w:footnote>
  <w:footnote w:id="6">
    <w:p w14:paraId="1909DD10" w14:textId="0641F5AA" w:rsidR="006C75AC" w:rsidRPr="00EF7E9B" w:rsidRDefault="006C75AC">
      <w:pPr>
        <w:pStyle w:val="FootnoteText"/>
        <w:rPr>
          <w:rFonts w:ascii="Times New Roman" w:hAnsi="Times New Roman"/>
        </w:rPr>
      </w:pPr>
      <w:r w:rsidRPr="00EF7E9B">
        <w:rPr>
          <w:rStyle w:val="FootnoteReference"/>
          <w:rFonts w:ascii="Times New Roman" w:hAnsi="Times New Roman"/>
        </w:rPr>
        <w:footnoteRef/>
      </w:r>
      <w:r w:rsidRPr="00EF7E9B">
        <w:rPr>
          <w:rFonts w:ascii="Times New Roman" w:hAnsi="Times New Roman"/>
        </w:rPr>
        <w:t xml:space="preserve"> </w:t>
      </w:r>
      <w:r w:rsidRPr="00EF7E9B">
        <w:rPr>
          <w:rFonts w:ascii="Times New Roman" w:hAnsi="Times New Roman"/>
          <w:sz w:val="18"/>
          <w:szCs w:val="18"/>
        </w:rPr>
        <w:t>MK 2016.gada 3.maija noteikumi Nr.281. “Darbības programmas “Izaugsme un nodarbinātība” 4.5.1.specifiskā atbalsta mērķa “Attīstīt videi draudzīgu sabiedriskā transporta infrastruktūru” 4.5.1.1.pasākuma “Attīstīt videi draudzīgu sabiedriskā transporta infrastruktūru (sliežu transporta)”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5AC" w:rsidP="009A1554" w:rsidRDefault="006C75AC" w14:paraId="3533846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75AC" w:rsidRDefault="006C75AC" w14:paraId="146B3D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07C4A" w:rsidR="006C75AC" w:rsidP="009A1554" w:rsidRDefault="006C75AC" w14:paraId="53529D5E" w14:textId="504909B3">
    <w:pPr>
      <w:pStyle w:val="Header"/>
      <w:framePr w:wrap="around" w:hAnchor="margin" w:vAnchor="text" w:xAlign="center" w:y="1"/>
      <w:rPr>
        <w:rStyle w:val="PageNumber"/>
        <w:sz w:val="20"/>
        <w:szCs w:val="20"/>
      </w:rPr>
    </w:pPr>
    <w:r w:rsidRPr="00907C4A">
      <w:rPr>
        <w:rStyle w:val="PageNumber"/>
        <w:sz w:val="20"/>
        <w:szCs w:val="20"/>
      </w:rPr>
      <w:fldChar w:fldCharType="begin"/>
    </w:r>
    <w:r w:rsidRPr="00907C4A">
      <w:rPr>
        <w:rStyle w:val="PageNumber"/>
        <w:sz w:val="20"/>
        <w:szCs w:val="20"/>
      </w:rPr>
      <w:instrText xml:space="preserve">PAGE  </w:instrText>
    </w:r>
    <w:r w:rsidRPr="00907C4A">
      <w:rPr>
        <w:rStyle w:val="PageNumber"/>
        <w:sz w:val="20"/>
        <w:szCs w:val="20"/>
      </w:rPr>
      <w:fldChar w:fldCharType="separate"/>
    </w:r>
    <w:r>
      <w:rPr>
        <w:rStyle w:val="PageNumber"/>
        <w:noProof/>
        <w:sz w:val="20"/>
        <w:szCs w:val="20"/>
      </w:rPr>
      <w:t>7</w:t>
    </w:r>
    <w:r w:rsidRPr="00907C4A">
      <w:rPr>
        <w:rStyle w:val="PageNumber"/>
        <w:sz w:val="20"/>
        <w:szCs w:val="20"/>
      </w:rPr>
      <w:fldChar w:fldCharType="end"/>
    </w:r>
  </w:p>
  <w:p w:rsidR="006C75AC" w:rsidRDefault="006C75AC" w14:paraId="236BEE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441"/>
    <w:multiLevelType w:val="hybridMultilevel"/>
    <w:tmpl w:val="D04E002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8C1C32"/>
    <w:multiLevelType w:val="hybridMultilevel"/>
    <w:tmpl w:val="CD220E0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58D51A0"/>
    <w:multiLevelType w:val="hybridMultilevel"/>
    <w:tmpl w:val="2732F5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064556"/>
    <w:multiLevelType w:val="hybridMultilevel"/>
    <w:tmpl w:val="3C2CE00C"/>
    <w:lvl w:ilvl="0" w:tplc="A9908D68">
      <w:start w:val="1"/>
      <w:numFmt w:val="decimal"/>
      <w:lvlText w:val="%1)"/>
      <w:lvlJc w:val="left"/>
      <w:pPr>
        <w:ind w:left="720" w:hanging="360"/>
      </w:pPr>
      <w:rPr>
        <w:rFonts w:hint="default"/>
        <w:b w:val="0"/>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950A44"/>
    <w:multiLevelType w:val="multilevel"/>
    <w:tmpl w:val="037AA48C"/>
    <w:lvl w:ilvl="0">
      <w:start w:val="4"/>
      <w:numFmt w:val="decimal"/>
      <w:lvlText w:val="%1."/>
      <w:lvlJc w:val="left"/>
      <w:pPr>
        <w:ind w:left="2003" w:hanging="585"/>
      </w:pPr>
      <w:rPr>
        <w:rFonts w:hint="default"/>
        <w:b/>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6A4348"/>
    <w:multiLevelType w:val="hybridMultilevel"/>
    <w:tmpl w:val="F83839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332AF8"/>
    <w:multiLevelType w:val="hybridMultilevel"/>
    <w:tmpl w:val="D2000822"/>
    <w:lvl w:ilvl="0" w:tplc="5AC4ACB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DD2C6A"/>
    <w:multiLevelType w:val="hybridMultilevel"/>
    <w:tmpl w:val="5EBEF35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706748"/>
    <w:multiLevelType w:val="hybridMultilevel"/>
    <w:tmpl w:val="4138660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C641853"/>
    <w:multiLevelType w:val="hybridMultilevel"/>
    <w:tmpl w:val="C0EE120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8593DA2"/>
    <w:multiLevelType w:val="hybridMultilevel"/>
    <w:tmpl w:val="C8DAE2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D4B678A"/>
    <w:multiLevelType w:val="hybridMultilevel"/>
    <w:tmpl w:val="105E2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8"/>
  </w:num>
  <w:num w:numId="6">
    <w:abstractNumId w:val="9"/>
  </w:num>
  <w:num w:numId="7">
    <w:abstractNumId w:val="2"/>
  </w:num>
  <w:num w:numId="8">
    <w:abstractNumId w:val="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35"/>
    <w:rsid w:val="00000B4A"/>
    <w:rsid w:val="000038A9"/>
    <w:rsid w:val="0000437D"/>
    <w:rsid w:val="00004872"/>
    <w:rsid w:val="000050A7"/>
    <w:rsid w:val="000060E1"/>
    <w:rsid w:val="00006F8F"/>
    <w:rsid w:val="000073D7"/>
    <w:rsid w:val="000074AC"/>
    <w:rsid w:val="00014B7F"/>
    <w:rsid w:val="000206FC"/>
    <w:rsid w:val="00022236"/>
    <w:rsid w:val="00022D12"/>
    <w:rsid w:val="00025A92"/>
    <w:rsid w:val="00025D10"/>
    <w:rsid w:val="00026063"/>
    <w:rsid w:val="000261FD"/>
    <w:rsid w:val="00030238"/>
    <w:rsid w:val="00031AB4"/>
    <w:rsid w:val="00033418"/>
    <w:rsid w:val="00034DD0"/>
    <w:rsid w:val="0003553B"/>
    <w:rsid w:val="00041A3D"/>
    <w:rsid w:val="00041A46"/>
    <w:rsid w:val="00047CA2"/>
    <w:rsid w:val="0005051E"/>
    <w:rsid w:val="00052919"/>
    <w:rsid w:val="00053511"/>
    <w:rsid w:val="0005358E"/>
    <w:rsid w:val="000572D1"/>
    <w:rsid w:val="00066095"/>
    <w:rsid w:val="000703FA"/>
    <w:rsid w:val="0007316D"/>
    <w:rsid w:val="00074DA1"/>
    <w:rsid w:val="00081703"/>
    <w:rsid w:val="00082836"/>
    <w:rsid w:val="00083535"/>
    <w:rsid w:val="00083F63"/>
    <w:rsid w:val="00084123"/>
    <w:rsid w:val="00087C00"/>
    <w:rsid w:val="00087ECD"/>
    <w:rsid w:val="00090A5A"/>
    <w:rsid w:val="00091020"/>
    <w:rsid w:val="00092CFD"/>
    <w:rsid w:val="00094D47"/>
    <w:rsid w:val="00095C74"/>
    <w:rsid w:val="000A051C"/>
    <w:rsid w:val="000A2295"/>
    <w:rsid w:val="000A3298"/>
    <w:rsid w:val="000A3E1C"/>
    <w:rsid w:val="000A56EE"/>
    <w:rsid w:val="000A5806"/>
    <w:rsid w:val="000A6598"/>
    <w:rsid w:val="000A7B82"/>
    <w:rsid w:val="000B4A31"/>
    <w:rsid w:val="000B5E1B"/>
    <w:rsid w:val="000B69E0"/>
    <w:rsid w:val="000B7A0F"/>
    <w:rsid w:val="000C1235"/>
    <w:rsid w:val="000C12CB"/>
    <w:rsid w:val="000C3577"/>
    <w:rsid w:val="000C50D8"/>
    <w:rsid w:val="000C5128"/>
    <w:rsid w:val="000C6F8F"/>
    <w:rsid w:val="000D0301"/>
    <w:rsid w:val="000D0E4C"/>
    <w:rsid w:val="000D1598"/>
    <w:rsid w:val="000D23B8"/>
    <w:rsid w:val="000D26EA"/>
    <w:rsid w:val="000D29FE"/>
    <w:rsid w:val="000D50BB"/>
    <w:rsid w:val="000D5D1E"/>
    <w:rsid w:val="000D6633"/>
    <w:rsid w:val="000D6A9B"/>
    <w:rsid w:val="000D6DD8"/>
    <w:rsid w:val="000E1571"/>
    <w:rsid w:val="000E1786"/>
    <w:rsid w:val="000F12A7"/>
    <w:rsid w:val="000F150C"/>
    <w:rsid w:val="000F3DC1"/>
    <w:rsid w:val="000F7189"/>
    <w:rsid w:val="001017EC"/>
    <w:rsid w:val="00102861"/>
    <w:rsid w:val="00105E27"/>
    <w:rsid w:val="00107284"/>
    <w:rsid w:val="00110B2E"/>
    <w:rsid w:val="00110B97"/>
    <w:rsid w:val="0011118C"/>
    <w:rsid w:val="0011183F"/>
    <w:rsid w:val="00112FE1"/>
    <w:rsid w:val="00113F6F"/>
    <w:rsid w:val="001156D8"/>
    <w:rsid w:val="00121723"/>
    <w:rsid w:val="001238A5"/>
    <w:rsid w:val="00125B05"/>
    <w:rsid w:val="00125C41"/>
    <w:rsid w:val="00131906"/>
    <w:rsid w:val="00131AF3"/>
    <w:rsid w:val="0013219A"/>
    <w:rsid w:val="0013224B"/>
    <w:rsid w:val="00134013"/>
    <w:rsid w:val="00136DE3"/>
    <w:rsid w:val="001418D3"/>
    <w:rsid w:val="00143DB5"/>
    <w:rsid w:val="001450DE"/>
    <w:rsid w:val="001455EE"/>
    <w:rsid w:val="0014683D"/>
    <w:rsid w:val="0014691A"/>
    <w:rsid w:val="001502AF"/>
    <w:rsid w:val="00155477"/>
    <w:rsid w:val="00164C16"/>
    <w:rsid w:val="00165792"/>
    <w:rsid w:val="001666CB"/>
    <w:rsid w:val="001746B9"/>
    <w:rsid w:val="00174771"/>
    <w:rsid w:val="0017583D"/>
    <w:rsid w:val="00176B2E"/>
    <w:rsid w:val="001775F5"/>
    <w:rsid w:val="001807C2"/>
    <w:rsid w:val="001816C2"/>
    <w:rsid w:val="00181A0A"/>
    <w:rsid w:val="00182D7B"/>
    <w:rsid w:val="00183B6C"/>
    <w:rsid w:val="0018490C"/>
    <w:rsid w:val="00184E6D"/>
    <w:rsid w:val="00185D45"/>
    <w:rsid w:val="0018677E"/>
    <w:rsid w:val="00187A5B"/>
    <w:rsid w:val="0019092F"/>
    <w:rsid w:val="00190E08"/>
    <w:rsid w:val="00190E81"/>
    <w:rsid w:val="00190F81"/>
    <w:rsid w:val="00195F02"/>
    <w:rsid w:val="001972F0"/>
    <w:rsid w:val="00197E16"/>
    <w:rsid w:val="001A1389"/>
    <w:rsid w:val="001A3178"/>
    <w:rsid w:val="001A4C20"/>
    <w:rsid w:val="001A54EC"/>
    <w:rsid w:val="001A5E71"/>
    <w:rsid w:val="001A70D9"/>
    <w:rsid w:val="001B08E3"/>
    <w:rsid w:val="001B6492"/>
    <w:rsid w:val="001B69A4"/>
    <w:rsid w:val="001B769B"/>
    <w:rsid w:val="001B7754"/>
    <w:rsid w:val="001C002D"/>
    <w:rsid w:val="001C02CE"/>
    <w:rsid w:val="001C0A5A"/>
    <w:rsid w:val="001C103D"/>
    <w:rsid w:val="001C1FA9"/>
    <w:rsid w:val="001C4711"/>
    <w:rsid w:val="001C4717"/>
    <w:rsid w:val="001C7FA6"/>
    <w:rsid w:val="001D0395"/>
    <w:rsid w:val="001D2482"/>
    <w:rsid w:val="001D252B"/>
    <w:rsid w:val="001D4956"/>
    <w:rsid w:val="001D7861"/>
    <w:rsid w:val="001E0025"/>
    <w:rsid w:val="001E0BE2"/>
    <w:rsid w:val="001E20B9"/>
    <w:rsid w:val="001E3B4D"/>
    <w:rsid w:val="001E46F5"/>
    <w:rsid w:val="001E53BF"/>
    <w:rsid w:val="001E55B7"/>
    <w:rsid w:val="001E7AEB"/>
    <w:rsid w:val="001F1F78"/>
    <w:rsid w:val="001F5EC2"/>
    <w:rsid w:val="001F62E0"/>
    <w:rsid w:val="002005B7"/>
    <w:rsid w:val="002029B1"/>
    <w:rsid w:val="00203D77"/>
    <w:rsid w:val="0020531C"/>
    <w:rsid w:val="00205AD7"/>
    <w:rsid w:val="002061BB"/>
    <w:rsid w:val="00206623"/>
    <w:rsid w:val="00206CC8"/>
    <w:rsid w:val="002073F6"/>
    <w:rsid w:val="0021077B"/>
    <w:rsid w:val="00210CDA"/>
    <w:rsid w:val="00213F91"/>
    <w:rsid w:val="00214FD0"/>
    <w:rsid w:val="00215565"/>
    <w:rsid w:val="00215A20"/>
    <w:rsid w:val="00224315"/>
    <w:rsid w:val="002243AF"/>
    <w:rsid w:val="00225871"/>
    <w:rsid w:val="0022682C"/>
    <w:rsid w:val="00230781"/>
    <w:rsid w:val="00234DFA"/>
    <w:rsid w:val="00235B22"/>
    <w:rsid w:val="00235F69"/>
    <w:rsid w:val="0024055B"/>
    <w:rsid w:val="00240B17"/>
    <w:rsid w:val="00242B40"/>
    <w:rsid w:val="0024338F"/>
    <w:rsid w:val="0024547E"/>
    <w:rsid w:val="00251FBB"/>
    <w:rsid w:val="002522BC"/>
    <w:rsid w:val="00253277"/>
    <w:rsid w:val="0025541E"/>
    <w:rsid w:val="002556AB"/>
    <w:rsid w:val="00257FF3"/>
    <w:rsid w:val="002601A5"/>
    <w:rsid w:val="002609E7"/>
    <w:rsid w:val="002627E7"/>
    <w:rsid w:val="00262EF0"/>
    <w:rsid w:val="002645E6"/>
    <w:rsid w:val="0026690E"/>
    <w:rsid w:val="00267793"/>
    <w:rsid w:val="002677CC"/>
    <w:rsid w:val="00267916"/>
    <w:rsid w:val="00267DCA"/>
    <w:rsid w:val="00272667"/>
    <w:rsid w:val="002726CB"/>
    <w:rsid w:val="00273BE0"/>
    <w:rsid w:val="0027483A"/>
    <w:rsid w:val="00277DDB"/>
    <w:rsid w:val="00277F3B"/>
    <w:rsid w:val="00280EEE"/>
    <w:rsid w:val="0028137E"/>
    <w:rsid w:val="002826C3"/>
    <w:rsid w:val="00284179"/>
    <w:rsid w:val="002856A7"/>
    <w:rsid w:val="00286377"/>
    <w:rsid w:val="00287DB5"/>
    <w:rsid w:val="002900C9"/>
    <w:rsid w:val="00290589"/>
    <w:rsid w:val="00290834"/>
    <w:rsid w:val="00290A0E"/>
    <w:rsid w:val="00290BF8"/>
    <w:rsid w:val="002A26EF"/>
    <w:rsid w:val="002A3A2B"/>
    <w:rsid w:val="002A4091"/>
    <w:rsid w:val="002A421E"/>
    <w:rsid w:val="002A47A4"/>
    <w:rsid w:val="002A79B7"/>
    <w:rsid w:val="002B0B35"/>
    <w:rsid w:val="002B35EA"/>
    <w:rsid w:val="002B382B"/>
    <w:rsid w:val="002B3B1E"/>
    <w:rsid w:val="002B4355"/>
    <w:rsid w:val="002B4765"/>
    <w:rsid w:val="002B480D"/>
    <w:rsid w:val="002B5704"/>
    <w:rsid w:val="002B5CC6"/>
    <w:rsid w:val="002B61C8"/>
    <w:rsid w:val="002B6689"/>
    <w:rsid w:val="002C3E7B"/>
    <w:rsid w:val="002C514F"/>
    <w:rsid w:val="002C5D75"/>
    <w:rsid w:val="002C5E0D"/>
    <w:rsid w:val="002C6EC9"/>
    <w:rsid w:val="002D0078"/>
    <w:rsid w:val="002D2FA5"/>
    <w:rsid w:val="002D638B"/>
    <w:rsid w:val="002D75C1"/>
    <w:rsid w:val="002E0EEC"/>
    <w:rsid w:val="002E24D7"/>
    <w:rsid w:val="002E4F0D"/>
    <w:rsid w:val="002E4FA7"/>
    <w:rsid w:val="002E51F4"/>
    <w:rsid w:val="002E53D8"/>
    <w:rsid w:val="002E7777"/>
    <w:rsid w:val="002F3749"/>
    <w:rsid w:val="002F4B1E"/>
    <w:rsid w:val="002F6630"/>
    <w:rsid w:val="002F7B8A"/>
    <w:rsid w:val="00300E91"/>
    <w:rsid w:val="00301BBF"/>
    <w:rsid w:val="00302321"/>
    <w:rsid w:val="00302349"/>
    <w:rsid w:val="00303CCC"/>
    <w:rsid w:val="00304DEC"/>
    <w:rsid w:val="003059FD"/>
    <w:rsid w:val="0030720F"/>
    <w:rsid w:val="0031067A"/>
    <w:rsid w:val="0031071B"/>
    <w:rsid w:val="00312134"/>
    <w:rsid w:val="0031251F"/>
    <w:rsid w:val="00313C84"/>
    <w:rsid w:val="003154A5"/>
    <w:rsid w:val="00316A4C"/>
    <w:rsid w:val="00317337"/>
    <w:rsid w:val="00317550"/>
    <w:rsid w:val="0032304A"/>
    <w:rsid w:val="003242AE"/>
    <w:rsid w:val="003243F8"/>
    <w:rsid w:val="003245FD"/>
    <w:rsid w:val="00326738"/>
    <w:rsid w:val="00327808"/>
    <w:rsid w:val="003302DD"/>
    <w:rsid w:val="00330802"/>
    <w:rsid w:val="00330D79"/>
    <w:rsid w:val="003345D8"/>
    <w:rsid w:val="00335640"/>
    <w:rsid w:val="003368EF"/>
    <w:rsid w:val="00337177"/>
    <w:rsid w:val="0034227A"/>
    <w:rsid w:val="003434AC"/>
    <w:rsid w:val="0034404A"/>
    <w:rsid w:val="00344173"/>
    <w:rsid w:val="00346CBD"/>
    <w:rsid w:val="00351FDC"/>
    <w:rsid w:val="003551FC"/>
    <w:rsid w:val="00356B3C"/>
    <w:rsid w:val="0036112E"/>
    <w:rsid w:val="00361398"/>
    <w:rsid w:val="00361B40"/>
    <w:rsid w:val="00367242"/>
    <w:rsid w:val="0037004F"/>
    <w:rsid w:val="003701C7"/>
    <w:rsid w:val="00370705"/>
    <w:rsid w:val="00371CEE"/>
    <w:rsid w:val="0037224C"/>
    <w:rsid w:val="003734AE"/>
    <w:rsid w:val="0037443F"/>
    <w:rsid w:val="003748F9"/>
    <w:rsid w:val="00380371"/>
    <w:rsid w:val="0038120B"/>
    <w:rsid w:val="00381C1D"/>
    <w:rsid w:val="003835A5"/>
    <w:rsid w:val="00386D9F"/>
    <w:rsid w:val="00386EAA"/>
    <w:rsid w:val="00387337"/>
    <w:rsid w:val="00390641"/>
    <w:rsid w:val="00391A1D"/>
    <w:rsid w:val="00391C75"/>
    <w:rsid w:val="00392409"/>
    <w:rsid w:val="003939D0"/>
    <w:rsid w:val="00395FC1"/>
    <w:rsid w:val="00397D7A"/>
    <w:rsid w:val="003A4C9F"/>
    <w:rsid w:val="003B28C3"/>
    <w:rsid w:val="003B322E"/>
    <w:rsid w:val="003B5327"/>
    <w:rsid w:val="003B5ED5"/>
    <w:rsid w:val="003B7535"/>
    <w:rsid w:val="003C5C26"/>
    <w:rsid w:val="003C6913"/>
    <w:rsid w:val="003C6EF2"/>
    <w:rsid w:val="003D026C"/>
    <w:rsid w:val="003D0F77"/>
    <w:rsid w:val="003D145D"/>
    <w:rsid w:val="003D1F90"/>
    <w:rsid w:val="003D261B"/>
    <w:rsid w:val="003D2CED"/>
    <w:rsid w:val="003D4E9A"/>
    <w:rsid w:val="003D7A91"/>
    <w:rsid w:val="003D7B0D"/>
    <w:rsid w:val="003E096B"/>
    <w:rsid w:val="003E0A8B"/>
    <w:rsid w:val="003E20F0"/>
    <w:rsid w:val="003E4871"/>
    <w:rsid w:val="003E5E42"/>
    <w:rsid w:val="003E644E"/>
    <w:rsid w:val="003E6A46"/>
    <w:rsid w:val="003F19D8"/>
    <w:rsid w:val="003F4DC0"/>
    <w:rsid w:val="00402433"/>
    <w:rsid w:val="00402893"/>
    <w:rsid w:val="00402A37"/>
    <w:rsid w:val="00404150"/>
    <w:rsid w:val="00404C5F"/>
    <w:rsid w:val="00405A05"/>
    <w:rsid w:val="00406806"/>
    <w:rsid w:val="00410358"/>
    <w:rsid w:val="00413C45"/>
    <w:rsid w:val="00415D0D"/>
    <w:rsid w:val="00416ED5"/>
    <w:rsid w:val="00417CC2"/>
    <w:rsid w:val="004200DC"/>
    <w:rsid w:val="00425688"/>
    <w:rsid w:val="00425B69"/>
    <w:rsid w:val="004268BD"/>
    <w:rsid w:val="004305E5"/>
    <w:rsid w:val="00430F58"/>
    <w:rsid w:val="004315E2"/>
    <w:rsid w:val="00435A3C"/>
    <w:rsid w:val="004363DC"/>
    <w:rsid w:val="00436499"/>
    <w:rsid w:val="0043746A"/>
    <w:rsid w:val="004418DA"/>
    <w:rsid w:val="00442EC1"/>
    <w:rsid w:val="00444123"/>
    <w:rsid w:val="00444DE3"/>
    <w:rsid w:val="00447FE9"/>
    <w:rsid w:val="00450337"/>
    <w:rsid w:val="0045120F"/>
    <w:rsid w:val="004518A0"/>
    <w:rsid w:val="00452469"/>
    <w:rsid w:val="00456E07"/>
    <w:rsid w:val="004638ED"/>
    <w:rsid w:val="00463924"/>
    <w:rsid w:val="00467F6C"/>
    <w:rsid w:val="00470BED"/>
    <w:rsid w:val="00471592"/>
    <w:rsid w:val="00471F1B"/>
    <w:rsid w:val="00476069"/>
    <w:rsid w:val="0047607A"/>
    <w:rsid w:val="0048057F"/>
    <w:rsid w:val="004806F9"/>
    <w:rsid w:val="0048070D"/>
    <w:rsid w:val="004822B3"/>
    <w:rsid w:val="004827C3"/>
    <w:rsid w:val="00486BAB"/>
    <w:rsid w:val="004907EC"/>
    <w:rsid w:val="00491ED0"/>
    <w:rsid w:val="00494777"/>
    <w:rsid w:val="00494A84"/>
    <w:rsid w:val="00494F31"/>
    <w:rsid w:val="004A0D05"/>
    <w:rsid w:val="004A474E"/>
    <w:rsid w:val="004A48E4"/>
    <w:rsid w:val="004A4B58"/>
    <w:rsid w:val="004A4FFB"/>
    <w:rsid w:val="004A6BC8"/>
    <w:rsid w:val="004B3B38"/>
    <w:rsid w:val="004B414B"/>
    <w:rsid w:val="004B4DEC"/>
    <w:rsid w:val="004B54E0"/>
    <w:rsid w:val="004B5D78"/>
    <w:rsid w:val="004B5F80"/>
    <w:rsid w:val="004C1D38"/>
    <w:rsid w:val="004C273A"/>
    <w:rsid w:val="004C29EF"/>
    <w:rsid w:val="004C4473"/>
    <w:rsid w:val="004C4879"/>
    <w:rsid w:val="004C494B"/>
    <w:rsid w:val="004C4E40"/>
    <w:rsid w:val="004C618B"/>
    <w:rsid w:val="004C6F57"/>
    <w:rsid w:val="004D0868"/>
    <w:rsid w:val="004D34ED"/>
    <w:rsid w:val="004D4F46"/>
    <w:rsid w:val="004D73AF"/>
    <w:rsid w:val="004E077D"/>
    <w:rsid w:val="004E1086"/>
    <w:rsid w:val="004E3795"/>
    <w:rsid w:val="004E4486"/>
    <w:rsid w:val="004E4C26"/>
    <w:rsid w:val="004E66B5"/>
    <w:rsid w:val="004F0EE5"/>
    <w:rsid w:val="004F265C"/>
    <w:rsid w:val="004F4E60"/>
    <w:rsid w:val="004F52FA"/>
    <w:rsid w:val="004F55A9"/>
    <w:rsid w:val="004F5E47"/>
    <w:rsid w:val="0050069A"/>
    <w:rsid w:val="00500881"/>
    <w:rsid w:val="0050117C"/>
    <w:rsid w:val="005039C2"/>
    <w:rsid w:val="00505C15"/>
    <w:rsid w:val="00506B96"/>
    <w:rsid w:val="00512C59"/>
    <w:rsid w:val="005140F9"/>
    <w:rsid w:val="00514B47"/>
    <w:rsid w:val="00517E76"/>
    <w:rsid w:val="005200A6"/>
    <w:rsid w:val="00521EA6"/>
    <w:rsid w:val="005272EA"/>
    <w:rsid w:val="0053122C"/>
    <w:rsid w:val="00534DE2"/>
    <w:rsid w:val="005358C0"/>
    <w:rsid w:val="005378C6"/>
    <w:rsid w:val="0054032A"/>
    <w:rsid w:val="00541FBF"/>
    <w:rsid w:val="00542BAB"/>
    <w:rsid w:val="00543E20"/>
    <w:rsid w:val="005443F7"/>
    <w:rsid w:val="0054495A"/>
    <w:rsid w:val="005451CF"/>
    <w:rsid w:val="00545243"/>
    <w:rsid w:val="0055050A"/>
    <w:rsid w:val="00551854"/>
    <w:rsid w:val="00552D41"/>
    <w:rsid w:val="00553C11"/>
    <w:rsid w:val="005569EC"/>
    <w:rsid w:val="005600FC"/>
    <w:rsid w:val="005601C7"/>
    <w:rsid w:val="005616E9"/>
    <w:rsid w:val="00562F2D"/>
    <w:rsid w:val="00563755"/>
    <w:rsid w:val="0056448D"/>
    <w:rsid w:val="00564C84"/>
    <w:rsid w:val="00566396"/>
    <w:rsid w:val="00566B89"/>
    <w:rsid w:val="00572135"/>
    <w:rsid w:val="005733CD"/>
    <w:rsid w:val="00576890"/>
    <w:rsid w:val="00581A1A"/>
    <w:rsid w:val="00582507"/>
    <w:rsid w:val="00583FBB"/>
    <w:rsid w:val="00586828"/>
    <w:rsid w:val="0058768F"/>
    <w:rsid w:val="00587AD6"/>
    <w:rsid w:val="00590336"/>
    <w:rsid w:val="00590402"/>
    <w:rsid w:val="00591C81"/>
    <w:rsid w:val="00594110"/>
    <w:rsid w:val="00594549"/>
    <w:rsid w:val="0059455D"/>
    <w:rsid w:val="00595151"/>
    <w:rsid w:val="00595AA7"/>
    <w:rsid w:val="00597227"/>
    <w:rsid w:val="00597CF3"/>
    <w:rsid w:val="005A0F47"/>
    <w:rsid w:val="005A3BD4"/>
    <w:rsid w:val="005A538D"/>
    <w:rsid w:val="005A7B15"/>
    <w:rsid w:val="005B1F13"/>
    <w:rsid w:val="005B58E3"/>
    <w:rsid w:val="005B785F"/>
    <w:rsid w:val="005C7487"/>
    <w:rsid w:val="005D0960"/>
    <w:rsid w:val="005D239D"/>
    <w:rsid w:val="005D5D2E"/>
    <w:rsid w:val="005D66A0"/>
    <w:rsid w:val="005E17BE"/>
    <w:rsid w:val="005E2399"/>
    <w:rsid w:val="005E3F39"/>
    <w:rsid w:val="005E4491"/>
    <w:rsid w:val="005E5256"/>
    <w:rsid w:val="005E6665"/>
    <w:rsid w:val="005F1FD7"/>
    <w:rsid w:val="005F276A"/>
    <w:rsid w:val="005F2DBA"/>
    <w:rsid w:val="00602F62"/>
    <w:rsid w:val="00611262"/>
    <w:rsid w:val="00614C6D"/>
    <w:rsid w:val="0061723A"/>
    <w:rsid w:val="00620406"/>
    <w:rsid w:val="006204CA"/>
    <w:rsid w:val="00620840"/>
    <w:rsid w:val="00623C65"/>
    <w:rsid w:val="0062415D"/>
    <w:rsid w:val="006242C8"/>
    <w:rsid w:val="006249AA"/>
    <w:rsid w:val="00624BE3"/>
    <w:rsid w:val="006257EC"/>
    <w:rsid w:val="006321C4"/>
    <w:rsid w:val="006321E8"/>
    <w:rsid w:val="006334AD"/>
    <w:rsid w:val="0063490F"/>
    <w:rsid w:val="00634AD1"/>
    <w:rsid w:val="00636FD4"/>
    <w:rsid w:val="006417BA"/>
    <w:rsid w:val="006423E1"/>
    <w:rsid w:val="006433C5"/>
    <w:rsid w:val="00643790"/>
    <w:rsid w:val="006458EF"/>
    <w:rsid w:val="0064673B"/>
    <w:rsid w:val="00652E58"/>
    <w:rsid w:val="00657E69"/>
    <w:rsid w:val="006632B5"/>
    <w:rsid w:val="00663A09"/>
    <w:rsid w:val="00663CB2"/>
    <w:rsid w:val="006651C3"/>
    <w:rsid w:val="00672715"/>
    <w:rsid w:val="00674102"/>
    <w:rsid w:val="00674DA3"/>
    <w:rsid w:val="006761AB"/>
    <w:rsid w:val="006803FC"/>
    <w:rsid w:val="00682CCF"/>
    <w:rsid w:val="006862F8"/>
    <w:rsid w:val="00686BA3"/>
    <w:rsid w:val="00687333"/>
    <w:rsid w:val="00691EDC"/>
    <w:rsid w:val="0069337B"/>
    <w:rsid w:val="006933A1"/>
    <w:rsid w:val="00695F6A"/>
    <w:rsid w:val="00696D9F"/>
    <w:rsid w:val="00697DD4"/>
    <w:rsid w:val="006A023B"/>
    <w:rsid w:val="006A47DD"/>
    <w:rsid w:val="006A4963"/>
    <w:rsid w:val="006A5561"/>
    <w:rsid w:val="006A74A0"/>
    <w:rsid w:val="006A7BDE"/>
    <w:rsid w:val="006B0277"/>
    <w:rsid w:val="006B1517"/>
    <w:rsid w:val="006B161B"/>
    <w:rsid w:val="006B2CDB"/>
    <w:rsid w:val="006B3940"/>
    <w:rsid w:val="006B40F2"/>
    <w:rsid w:val="006B4798"/>
    <w:rsid w:val="006B4881"/>
    <w:rsid w:val="006B6D80"/>
    <w:rsid w:val="006C2B9B"/>
    <w:rsid w:val="006C4B5C"/>
    <w:rsid w:val="006C4D39"/>
    <w:rsid w:val="006C578A"/>
    <w:rsid w:val="006C63D0"/>
    <w:rsid w:val="006C75AC"/>
    <w:rsid w:val="006D05EF"/>
    <w:rsid w:val="006D13B8"/>
    <w:rsid w:val="006D2547"/>
    <w:rsid w:val="006D666C"/>
    <w:rsid w:val="006D6F52"/>
    <w:rsid w:val="006D7E9B"/>
    <w:rsid w:val="006E0A5C"/>
    <w:rsid w:val="006E0DFF"/>
    <w:rsid w:val="006E4405"/>
    <w:rsid w:val="006E4AC1"/>
    <w:rsid w:val="006E518F"/>
    <w:rsid w:val="006E5BCB"/>
    <w:rsid w:val="006F6EAD"/>
    <w:rsid w:val="007044CA"/>
    <w:rsid w:val="00710129"/>
    <w:rsid w:val="007135DD"/>
    <w:rsid w:val="007139D1"/>
    <w:rsid w:val="00714DC7"/>
    <w:rsid w:val="00715FD9"/>
    <w:rsid w:val="0072098B"/>
    <w:rsid w:val="007232E7"/>
    <w:rsid w:val="00726A7D"/>
    <w:rsid w:val="007340B7"/>
    <w:rsid w:val="00734E3C"/>
    <w:rsid w:val="007378E1"/>
    <w:rsid w:val="00742E37"/>
    <w:rsid w:val="00743FDE"/>
    <w:rsid w:val="00750181"/>
    <w:rsid w:val="007523A7"/>
    <w:rsid w:val="00754E56"/>
    <w:rsid w:val="00756E04"/>
    <w:rsid w:val="00760213"/>
    <w:rsid w:val="007611D3"/>
    <w:rsid w:val="00761BE2"/>
    <w:rsid w:val="0076278E"/>
    <w:rsid w:val="007630E5"/>
    <w:rsid w:val="00763E1D"/>
    <w:rsid w:val="00763E4C"/>
    <w:rsid w:val="00764A99"/>
    <w:rsid w:val="00764DBB"/>
    <w:rsid w:val="0076598D"/>
    <w:rsid w:val="007674B8"/>
    <w:rsid w:val="00767A48"/>
    <w:rsid w:val="00767D25"/>
    <w:rsid w:val="00770117"/>
    <w:rsid w:val="00771B50"/>
    <w:rsid w:val="007733B8"/>
    <w:rsid w:val="00775A8E"/>
    <w:rsid w:val="0077799B"/>
    <w:rsid w:val="007803CF"/>
    <w:rsid w:val="007824D6"/>
    <w:rsid w:val="00785A0F"/>
    <w:rsid w:val="00787139"/>
    <w:rsid w:val="007879C6"/>
    <w:rsid w:val="00790647"/>
    <w:rsid w:val="007926DD"/>
    <w:rsid w:val="007933AB"/>
    <w:rsid w:val="00793450"/>
    <w:rsid w:val="007943CB"/>
    <w:rsid w:val="007952BD"/>
    <w:rsid w:val="007A0D83"/>
    <w:rsid w:val="007A2307"/>
    <w:rsid w:val="007A2EE0"/>
    <w:rsid w:val="007A320D"/>
    <w:rsid w:val="007A5DED"/>
    <w:rsid w:val="007B43AF"/>
    <w:rsid w:val="007B576F"/>
    <w:rsid w:val="007B598C"/>
    <w:rsid w:val="007B59BA"/>
    <w:rsid w:val="007B6CFD"/>
    <w:rsid w:val="007C00A1"/>
    <w:rsid w:val="007C1CA9"/>
    <w:rsid w:val="007C54D3"/>
    <w:rsid w:val="007C797F"/>
    <w:rsid w:val="007D138A"/>
    <w:rsid w:val="007D1F45"/>
    <w:rsid w:val="007D4147"/>
    <w:rsid w:val="007D492C"/>
    <w:rsid w:val="007D4B39"/>
    <w:rsid w:val="007D5172"/>
    <w:rsid w:val="007D6831"/>
    <w:rsid w:val="007E2406"/>
    <w:rsid w:val="007E264B"/>
    <w:rsid w:val="007E4B6B"/>
    <w:rsid w:val="007E6AE7"/>
    <w:rsid w:val="007E7CCF"/>
    <w:rsid w:val="007F0D81"/>
    <w:rsid w:val="007F298C"/>
    <w:rsid w:val="007F2D40"/>
    <w:rsid w:val="007F464C"/>
    <w:rsid w:val="00801064"/>
    <w:rsid w:val="00806A79"/>
    <w:rsid w:val="00811208"/>
    <w:rsid w:val="008160B7"/>
    <w:rsid w:val="008177A6"/>
    <w:rsid w:val="00817AD2"/>
    <w:rsid w:val="00821DAB"/>
    <w:rsid w:val="00823D7E"/>
    <w:rsid w:val="00826D9A"/>
    <w:rsid w:val="00827D32"/>
    <w:rsid w:val="0083372D"/>
    <w:rsid w:val="00833FD0"/>
    <w:rsid w:val="008362FA"/>
    <w:rsid w:val="008368FA"/>
    <w:rsid w:val="00841C32"/>
    <w:rsid w:val="0084264A"/>
    <w:rsid w:val="00842CE8"/>
    <w:rsid w:val="00845016"/>
    <w:rsid w:val="00850215"/>
    <w:rsid w:val="00850CDE"/>
    <w:rsid w:val="008511CA"/>
    <w:rsid w:val="00853C70"/>
    <w:rsid w:val="00860A97"/>
    <w:rsid w:val="0086288E"/>
    <w:rsid w:val="00862FB8"/>
    <w:rsid w:val="00864DDF"/>
    <w:rsid w:val="00867E83"/>
    <w:rsid w:val="00871745"/>
    <w:rsid w:val="008717CB"/>
    <w:rsid w:val="00871C45"/>
    <w:rsid w:val="00876B5E"/>
    <w:rsid w:val="00883EF1"/>
    <w:rsid w:val="00884F1E"/>
    <w:rsid w:val="00885D40"/>
    <w:rsid w:val="008872F1"/>
    <w:rsid w:val="00891A21"/>
    <w:rsid w:val="00893C32"/>
    <w:rsid w:val="0089457D"/>
    <w:rsid w:val="00894F26"/>
    <w:rsid w:val="00897719"/>
    <w:rsid w:val="00897760"/>
    <w:rsid w:val="00897E62"/>
    <w:rsid w:val="008A09DF"/>
    <w:rsid w:val="008A09F7"/>
    <w:rsid w:val="008A11A1"/>
    <w:rsid w:val="008A1411"/>
    <w:rsid w:val="008A645F"/>
    <w:rsid w:val="008A6B48"/>
    <w:rsid w:val="008A76A0"/>
    <w:rsid w:val="008B04B6"/>
    <w:rsid w:val="008B1438"/>
    <w:rsid w:val="008B1824"/>
    <w:rsid w:val="008B6479"/>
    <w:rsid w:val="008B673D"/>
    <w:rsid w:val="008B6998"/>
    <w:rsid w:val="008C3213"/>
    <w:rsid w:val="008C433B"/>
    <w:rsid w:val="008C47EC"/>
    <w:rsid w:val="008C5275"/>
    <w:rsid w:val="008C5A11"/>
    <w:rsid w:val="008C5C0E"/>
    <w:rsid w:val="008D03FB"/>
    <w:rsid w:val="008D04C6"/>
    <w:rsid w:val="008D30F6"/>
    <w:rsid w:val="008D3C17"/>
    <w:rsid w:val="008D3E5C"/>
    <w:rsid w:val="008D6CB4"/>
    <w:rsid w:val="008D6E38"/>
    <w:rsid w:val="008E0ACC"/>
    <w:rsid w:val="008E154F"/>
    <w:rsid w:val="008E24EB"/>
    <w:rsid w:val="008E2E53"/>
    <w:rsid w:val="008E337F"/>
    <w:rsid w:val="008E5B2A"/>
    <w:rsid w:val="008E71D7"/>
    <w:rsid w:val="008E7575"/>
    <w:rsid w:val="008E76A0"/>
    <w:rsid w:val="008F1A9A"/>
    <w:rsid w:val="008F37A3"/>
    <w:rsid w:val="008F46EF"/>
    <w:rsid w:val="008F6A52"/>
    <w:rsid w:val="008F75AB"/>
    <w:rsid w:val="008F7ECB"/>
    <w:rsid w:val="009002A9"/>
    <w:rsid w:val="00902192"/>
    <w:rsid w:val="009049D2"/>
    <w:rsid w:val="009065BB"/>
    <w:rsid w:val="009078A4"/>
    <w:rsid w:val="00907C4A"/>
    <w:rsid w:val="00912A56"/>
    <w:rsid w:val="00912B81"/>
    <w:rsid w:val="00913C20"/>
    <w:rsid w:val="00913F58"/>
    <w:rsid w:val="00914A66"/>
    <w:rsid w:val="00914E53"/>
    <w:rsid w:val="00915A05"/>
    <w:rsid w:val="00915D8E"/>
    <w:rsid w:val="00916AB0"/>
    <w:rsid w:val="00920B34"/>
    <w:rsid w:val="00922348"/>
    <w:rsid w:val="0093275D"/>
    <w:rsid w:val="00933F3A"/>
    <w:rsid w:val="00934C3A"/>
    <w:rsid w:val="00937318"/>
    <w:rsid w:val="009429AA"/>
    <w:rsid w:val="009444EE"/>
    <w:rsid w:val="00950432"/>
    <w:rsid w:val="00951009"/>
    <w:rsid w:val="00952096"/>
    <w:rsid w:val="009552E3"/>
    <w:rsid w:val="0096113B"/>
    <w:rsid w:val="00961578"/>
    <w:rsid w:val="0096180C"/>
    <w:rsid w:val="00961B14"/>
    <w:rsid w:val="009640DD"/>
    <w:rsid w:val="009665D9"/>
    <w:rsid w:val="00970A32"/>
    <w:rsid w:val="00971614"/>
    <w:rsid w:val="00972995"/>
    <w:rsid w:val="00972CA9"/>
    <w:rsid w:val="0097381D"/>
    <w:rsid w:val="009763EE"/>
    <w:rsid w:val="00976F3A"/>
    <w:rsid w:val="0098095F"/>
    <w:rsid w:val="00982F58"/>
    <w:rsid w:val="00984078"/>
    <w:rsid w:val="0098458E"/>
    <w:rsid w:val="00984C9A"/>
    <w:rsid w:val="009861AC"/>
    <w:rsid w:val="0098628D"/>
    <w:rsid w:val="00995D1A"/>
    <w:rsid w:val="00997097"/>
    <w:rsid w:val="009A0D76"/>
    <w:rsid w:val="009A1554"/>
    <w:rsid w:val="009A3470"/>
    <w:rsid w:val="009A63CE"/>
    <w:rsid w:val="009A69A4"/>
    <w:rsid w:val="009A7545"/>
    <w:rsid w:val="009B2980"/>
    <w:rsid w:val="009B4172"/>
    <w:rsid w:val="009B5E7F"/>
    <w:rsid w:val="009B5F3B"/>
    <w:rsid w:val="009B7C02"/>
    <w:rsid w:val="009C0A5E"/>
    <w:rsid w:val="009C0F98"/>
    <w:rsid w:val="009C2495"/>
    <w:rsid w:val="009C3728"/>
    <w:rsid w:val="009C38A1"/>
    <w:rsid w:val="009C4C05"/>
    <w:rsid w:val="009C5D3C"/>
    <w:rsid w:val="009C7719"/>
    <w:rsid w:val="009C7E6E"/>
    <w:rsid w:val="009D066F"/>
    <w:rsid w:val="009D6272"/>
    <w:rsid w:val="009E0047"/>
    <w:rsid w:val="009E0E6E"/>
    <w:rsid w:val="009E2B37"/>
    <w:rsid w:val="009E3287"/>
    <w:rsid w:val="009E332F"/>
    <w:rsid w:val="009E3B27"/>
    <w:rsid w:val="009E3CA4"/>
    <w:rsid w:val="009E3CCA"/>
    <w:rsid w:val="009E5DBB"/>
    <w:rsid w:val="009E7218"/>
    <w:rsid w:val="009F1B5E"/>
    <w:rsid w:val="009F1E92"/>
    <w:rsid w:val="009F32EA"/>
    <w:rsid w:val="009F50CA"/>
    <w:rsid w:val="009F7F03"/>
    <w:rsid w:val="00A00161"/>
    <w:rsid w:val="00A0077C"/>
    <w:rsid w:val="00A0692C"/>
    <w:rsid w:val="00A10433"/>
    <w:rsid w:val="00A111D8"/>
    <w:rsid w:val="00A1144F"/>
    <w:rsid w:val="00A1217F"/>
    <w:rsid w:val="00A12FF4"/>
    <w:rsid w:val="00A1397A"/>
    <w:rsid w:val="00A14791"/>
    <w:rsid w:val="00A15213"/>
    <w:rsid w:val="00A1528D"/>
    <w:rsid w:val="00A152D9"/>
    <w:rsid w:val="00A16FA3"/>
    <w:rsid w:val="00A1704B"/>
    <w:rsid w:val="00A17C32"/>
    <w:rsid w:val="00A17E71"/>
    <w:rsid w:val="00A20190"/>
    <w:rsid w:val="00A2378A"/>
    <w:rsid w:val="00A23FFB"/>
    <w:rsid w:val="00A2609F"/>
    <w:rsid w:val="00A26181"/>
    <w:rsid w:val="00A27E83"/>
    <w:rsid w:val="00A30BB6"/>
    <w:rsid w:val="00A35528"/>
    <w:rsid w:val="00A36E8B"/>
    <w:rsid w:val="00A36EF1"/>
    <w:rsid w:val="00A37A8B"/>
    <w:rsid w:val="00A4027B"/>
    <w:rsid w:val="00A404C8"/>
    <w:rsid w:val="00A424DB"/>
    <w:rsid w:val="00A42741"/>
    <w:rsid w:val="00A42932"/>
    <w:rsid w:val="00A43228"/>
    <w:rsid w:val="00A44608"/>
    <w:rsid w:val="00A44A0A"/>
    <w:rsid w:val="00A466DB"/>
    <w:rsid w:val="00A468A3"/>
    <w:rsid w:val="00A50B3F"/>
    <w:rsid w:val="00A52102"/>
    <w:rsid w:val="00A54A8A"/>
    <w:rsid w:val="00A55F6D"/>
    <w:rsid w:val="00A57EA4"/>
    <w:rsid w:val="00A61F04"/>
    <w:rsid w:val="00A62578"/>
    <w:rsid w:val="00A63872"/>
    <w:rsid w:val="00A638B2"/>
    <w:rsid w:val="00A64483"/>
    <w:rsid w:val="00A64576"/>
    <w:rsid w:val="00A654AE"/>
    <w:rsid w:val="00A65F91"/>
    <w:rsid w:val="00A66281"/>
    <w:rsid w:val="00A66B9E"/>
    <w:rsid w:val="00A70AED"/>
    <w:rsid w:val="00A70BFB"/>
    <w:rsid w:val="00A7258D"/>
    <w:rsid w:val="00A7284A"/>
    <w:rsid w:val="00A759E0"/>
    <w:rsid w:val="00A802C1"/>
    <w:rsid w:val="00A80A72"/>
    <w:rsid w:val="00A813B7"/>
    <w:rsid w:val="00A825B3"/>
    <w:rsid w:val="00A83E72"/>
    <w:rsid w:val="00A83FE1"/>
    <w:rsid w:val="00A84794"/>
    <w:rsid w:val="00A855A1"/>
    <w:rsid w:val="00A865E4"/>
    <w:rsid w:val="00A90B13"/>
    <w:rsid w:val="00A91CBD"/>
    <w:rsid w:val="00A9472C"/>
    <w:rsid w:val="00A94DF0"/>
    <w:rsid w:val="00A958F4"/>
    <w:rsid w:val="00A963C1"/>
    <w:rsid w:val="00A96452"/>
    <w:rsid w:val="00A97953"/>
    <w:rsid w:val="00AA020C"/>
    <w:rsid w:val="00AA3434"/>
    <w:rsid w:val="00AA4A66"/>
    <w:rsid w:val="00AA64A9"/>
    <w:rsid w:val="00AA657B"/>
    <w:rsid w:val="00AB26CB"/>
    <w:rsid w:val="00AB45B6"/>
    <w:rsid w:val="00AC40FC"/>
    <w:rsid w:val="00AC6A52"/>
    <w:rsid w:val="00AC6BAC"/>
    <w:rsid w:val="00AD06D9"/>
    <w:rsid w:val="00AD0B8B"/>
    <w:rsid w:val="00AD4B51"/>
    <w:rsid w:val="00AD5266"/>
    <w:rsid w:val="00AD5F1E"/>
    <w:rsid w:val="00AD782D"/>
    <w:rsid w:val="00AE13AC"/>
    <w:rsid w:val="00AE1A69"/>
    <w:rsid w:val="00AE4EA1"/>
    <w:rsid w:val="00AE4F83"/>
    <w:rsid w:val="00AE53BC"/>
    <w:rsid w:val="00AE6055"/>
    <w:rsid w:val="00AE6C9E"/>
    <w:rsid w:val="00AF6C6E"/>
    <w:rsid w:val="00B04AE4"/>
    <w:rsid w:val="00B05B58"/>
    <w:rsid w:val="00B0607A"/>
    <w:rsid w:val="00B0653C"/>
    <w:rsid w:val="00B102BA"/>
    <w:rsid w:val="00B10EF9"/>
    <w:rsid w:val="00B123CC"/>
    <w:rsid w:val="00B15E71"/>
    <w:rsid w:val="00B167FB"/>
    <w:rsid w:val="00B17302"/>
    <w:rsid w:val="00B20E54"/>
    <w:rsid w:val="00B21003"/>
    <w:rsid w:val="00B21B35"/>
    <w:rsid w:val="00B22F7F"/>
    <w:rsid w:val="00B24D9D"/>
    <w:rsid w:val="00B258D7"/>
    <w:rsid w:val="00B26561"/>
    <w:rsid w:val="00B3121F"/>
    <w:rsid w:val="00B31D69"/>
    <w:rsid w:val="00B31DB0"/>
    <w:rsid w:val="00B3264E"/>
    <w:rsid w:val="00B329E1"/>
    <w:rsid w:val="00B3439B"/>
    <w:rsid w:val="00B351FC"/>
    <w:rsid w:val="00B37A04"/>
    <w:rsid w:val="00B4087B"/>
    <w:rsid w:val="00B4272D"/>
    <w:rsid w:val="00B43177"/>
    <w:rsid w:val="00B431AC"/>
    <w:rsid w:val="00B439A9"/>
    <w:rsid w:val="00B43C5E"/>
    <w:rsid w:val="00B441F1"/>
    <w:rsid w:val="00B474EF"/>
    <w:rsid w:val="00B47629"/>
    <w:rsid w:val="00B528E9"/>
    <w:rsid w:val="00B5567A"/>
    <w:rsid w:val="00B5636E"/>
    <w:rsid w:val="00B60619"/>
    <w:rsid w:val="00B630D0"/>
    <w:rsid w:val="00B66BD0"/>
    <w:rsid w:val="00B67B7F"/>
    <w:rsid w:val="00B67F6E"/>
    <w:rsid w:val="00B70217"/>
    <w:rsid w:val="00B70317"/>
    <w:rsid w:val="00B71B80"/>
    <w:rsid w:val="00B72682"/>
    <w:rsid w:val="00B7369D"/>
    <w:rsid w:val="00B804EE"/>
    <w:rsid w:val="00B80D13"/>
    <w:rsid w:val="00B81892"/>
    <w:rsid w:val="00B83886"/>
    <w:rsid w:val="00B83EF1"/>
    <w:rsid w:val="00B84FA0"/>
    <w:rsid w:val="00B9163A"/>
    <w:rsid w:val="00B9267C"/>
    <w:rsid w:val="00B938B3"/>
    <w:rsid w:val="00B956E6"/>
    <w:rsid w:val="00B9579F"/>
    <w:rsid w:val="00BA0860"/>
    <w:rsid w:val="00BA102C"/>
    <w:rsid w:val="00BA2451"/>
    <w:rsid w:val="00BA283E"/>
    <w:rsid w:val="00BB559A"/>
    <w:rsid w:val="00BB5BB5"/>
    <w:rsid w:val="00BC1BF5"/>
    <w:rsid w:val="00BC203A"/>
    <w:rsid w:val="00BC58DD"/>
    <w:rsid w:val="00BC5A00"/>
    <w:rsid w:val="00BD04F1"/>
    <w:rsid w:val="00BD2F02"/>
    <w:rsid w:val="00BD353B"/>
    <w:rsid w:val="00BD360F"/>
    <w:rsid w:val="00BD6106"/>
    <w:rsid w:val="00BE4A2F"/>
    <w:rsid w:val="00BE4CDA"/>
    <w:rsid w:val="00BE5076"/>
    <w:rsid w:val="00BE6687"/>
    <w:rsid w:val="00BE6737"/>
    <w:rsid w:val="00BF03AA"/>
    <w:rsid w:val="00BF07A1"/>
    <w:rsid w:val="00BF1A10"/>
    <w:rsid w:val="00BF24F3"/>
    <w:rsid w:val="00BF3693"/>
    <w:rsid w:val="00BF5B11"/>
    <w:rsid w:val="00BF5C3B"/>
    <w:rsid w:val="00C00860"/>
    <w:rsid w:val="00C01929"/>
    <w:rsid w:val="00C0526D"/>
    <w:rsid w:val="00C05BD8"/>
    <w:rsid w:val="00C06ADA"/>
    <w:rsid w:val="00C06DC0"/>
    <w:rsid w:val="00C10995"/>
    <w:rsid w:val="00C11437"/>
    <w:rsid w:val="00C128F1"/>
    <w:rsid w:val="00C145B6"/>
    <w:rsid w:val="00C14F9A"/>
    <w:rsid w:val="00C162B5"/>
    <w:rsid w:val="00C20890"/>
    <w:rsid w:val="00C22F92"/>
    <w:rsid w:val="00C2426B"/>
    <w:rsid w:val="00C26205"/>
    <w:rsid w:val="00C32FB0"/>
    <w:rsid w:val="00C33CDD"/>
    <w:rsid w:val="00C34FFE"/>
    <w:rsid w:val="00C3566C"/>
    <w:rsid w:val="00C35C67"/>
    <w:rsid w:val="00C36090"/>
    <w:rsid w:val="00C37155"/>
    <w:rsid w:val="00C371B2"/>
    <w:rsid w:val="00C40CFA"/>
    <w:rsid w:val="00C413D7"/>
    <w:rsid w:val="00C4160A"/>
    <w:rsid w:val="00C42826"/>
    <w:rsid w:val="00C428C7"/>
    <w:rsid w:val="00C44668"/>
    <w:rsid w:val="00C50A77"/>
    <w:rsid w:val="00C50F96"/>
    <w:rsid w:val="00C54798"/>
    <w:rsid w:val="00C5511E"/>
    <w:rsid w:val="00C56C2E"/>
    <w:rsid w:val="00C638EF"/>
    <w:rsid w:val="00C66980"/>
    <w:rsid w:val="00C70CA9"/>
    <w:rsid w:val="00C71A49"/>
    <w:rsid w:val="00C729C0"/>
    <w:rsid w:val="00C747A5"/>
    <w:rsid w:val="00C7524A"/>
    <w:rsid w:val="00C778EE"/>
    <w:rsid w:val="00C8169B"/>
    <w:rsid w:val="00C86CC2"/>
    <w:rsid w:val="00C9257F"/>
    <w:rsid w:val="00CA2111"/>
    <w:rsid w:val="00CA391B"/>
    <w:rsid w:val="00CA6FFC"/>
    <w:rsid w:val="00CB15AB"/>
    <w:rsid w:val="00CB3F85"/>
    <w:rsid w:val="00CB5613"/>
    <w:rsid w:val="00CB6AF2"/>
    <w:rsid w:val="00CB760C"/>
    <w:rsid w:val="00CC020D"/>
    <w:rsid w:val="00CC0494"/>
    <w:rsid w:val="00CC2129"/>
    <w:rsid w:val="00CC2352"/>
    <w:rsid w:val="00CC30C2"/>
    <w:rsid w:val="00CC369F"/>
    <w:rsid w:val="00CC3D97"/>
    <w:rsid w:val="00CC55CA"/>
    <w:rsid w:val="00CC690B"/>
    <w:rsid w:val="00CD2220"/>
    <w:rsid w:val="00CD5D45"/>
    <w:rsid w:val="00CD6448"/>
    <w:rsid w:val="00CE0D08"/>
    <w:rsid w:val="00CE0D78"/>
    <w:rsid w:val="00CE1C96"/>
    <w:rsid w:val="00CE3B44"/>
    <w:rsid w:val="00CE61EE"/>
    <w:rsid w:val="00CF0BF1"/>
    <w:rsid w:val="00CF1739"/>
    <w:rsid w:val="00CF19EF"/>
    <w:rsid w:val="00CF2229"/>
    <w:rsid w:val="00CF3F09"/>
    <w:rsid w:val="00CF4831"/>
    <w:rsid w:val="00CF7706"/>
    <w:rsid w:val="00D007C5"/>
    <w:rsid w:val="00D05914"/>
    <w:rsid w:val="00D0736E"/>
    <w:rsid w:val="00D07C24"/>
    <w:rsid w:val="00D07C2A"/>
    <w:rsid w:val="00D11658"/>
    <w:rsid w:val="00D14300"/>
    <w:rsid w:val="00D17B91"/>
    <w:rsid w:val="00D20315"/>
    <w:rsid w:val="00D22814"/>
    <w:rsid w:val="00D23BF1"/>
    <w:rsid w:val="00D24A94"/>
    <w:rsid w:val="00D263E9"/>
    <w:rsid w:val="00D26636"/>
    <w:rsid w:val="00D276C7"/>
    <w:rsid w:val="00D2780B"/>
    <w:rsid w:val="00D30DC6"/>
    <w:rsid w:val="00D31440"/>
    <w:rsid w:val="00D32220"/>
    <w:rsid w:val="00D350B2"/>
    <w:rsid w:val="00D35305"/>
    <w:rsid w:val="00D36E1A"/>
    <w:rsid w:val="00D41A92"/>
    <w:rsid w:val="00D44BB9"/>
    <w:rsid w:val="00D44ED3"/>
    <w:rsid w:val="00D4568B"/>
    <w:rsid w:val="00D47029"/>
    <w:rsid w:val="00D5058E"/>
    <w:rsid w:val="00D50CA4"/>
    <w:rsid w:val="00D531FD"/>
    <w:rsid w:val="00D5585F"/>
    <w:rsid w:val="00D55C8D"/>
    <w:rsid w:val="00D60089"/>
    <w:rsid w:val="00D623A0"/>
    <w:rsid w:val="00D63C7D"/>
    <w:rsid w:val="00D642FF"/>
    <w:rsid w:val="00D64CEA"/>
    <w:rsid w:val="00D655A5"/>
    <w:rsid w:val="00D66175"/>
    <w:rsid w:val="00D665F4"/>
    <w:rsid w:val="00D67793"/>
    <w:rsid w:val="00D678E0"/>
    <w:rsid w:val="00D75964"/>
    <w:rsid w:val="00D813AB"/>
    <w:rsid w:val="00D83F3A"/>
    <w:rsid w:val="00D83F4D"/>
    <w:rsid w:val="00D862E9"/>
    <w:rsid w:val="00D87254"/>
    <w:rsid w:val="00D87796"/>
    <w:rsid w:val="00D91F09"/>
    <w:rsid w:val="00D95277"/>
    <w:rsid w:val="00D95E56"/>
    <w:rsid w:val="00D96780"/>
    <w:rsid w:val="00D97A15"/>
    <w:rsid w:val="00DA1AF2"/>
    <w:rsid w:val="00DA1FED"/>
    <w:rsid w:val="00DA2B43"/>
    <w:rsid w:val="00DB29E1"/>
    <w:rsid w:val="00DB2FC7"/>
    <w:rsid w:val="00DB46B0"/>
    <w:rsid w:val="00DB5952"/>
    <w:rsid w:val="00DB5A39"/>
    <w:rsid w:val="00DB68F6"/>
    <w:rsid w:val="00DB6EDA"/>
    <w:rsid w:val="00DC322B"/>
    <w:rsid w:val="00DC37B2"/>
    <w:rsid w:val="00DC4969"/>
    <w:rsid w:val="00DC52C6"/>
    <w:rsid w:val="00DC7507"/>
    <w:rsid w:val="00DD070A"/>
    <w:rsid w:val="00DD4663"/>
    <w:rsid w:val="00DE1B1A"/>
    <w:rsid w:val="00DE714B"/>
    <w:rsid w:val="00DE77E2"/>
    <w:rsid w:val="00DF03E1"/>
    <w:rsid w:val="00DF05A2"/>
    <w:rsid w:val="00DF075B"/>
    <w:rsid w:val="00DF7A74"/>
    <w:rsid w:val="00E02F65"/>
    <w:rsid w:val="00E03D55"/>
    <w:rsid w:val="00E05AEA"/>
    <w:rsid w:val="00E121F7"/>
    <w:rsid w:val="00E1248A"/>
    <w:rsid w:val="00E12533"/>
    <w:rsid w:val="00E12541"/>
    <w:rsid w:val="00E17497"/>
    <w:rsid w:val="00E2233B"/>
    <w:rsid w:val="00E2270F"/>
    <w:rsid w:val="00E25C27"/>
    <w:rsid w:val="00E2602F"/>
    <w:rsid w:val="00E30C81"/>
    <w:rsid w:val="00E3165D"/>
    <w:rsid w:val="00E3208F"/>
    <w:rsid w:val="00E33B6A"/>
    <w:rsid w:val="00E349A0"/>
    <w:rsid w:val="00E35DCF"/>
    <w:rsid w:val="00E40015"/>
    <w:rsid w:val="00E40029"/>
    <w:rsid w:val="00E412AA"/>
    <w:rsid w:val="00E419A9"/>
    <w:rsid w:val="00E43F04"/>
    <w:rsid w:val="00E44DF7"/>
    <w:rsid w:val="00E450F2"/>
    <w:rsid w:val="00E45405"/>
    <w:rsid w:val="00E51606"/>
    <w:rsid w:val="00E51628"/>
    <w:rsid w:val="00E52361"/>
    <w:rsid w:val="00E6047C"/>
    <w:rsid w:val="00E63894"/>
    <w:rsid w:val="00E63C18"/>
    <w:rsid w:val="00E666F4"/>
    <w:rsid w:val="00E71C7F"/>
    <w:rsid w:val="00E734B7"/>
    <w:rsid w:val="00E7561F"/>
    <w:rsid w:val="00E75815"/>
    <w:rsid w:val="00E76035"/>
    <w:rsid w:val="00E76C05"/>
    <w:rsid w:val="00E80570"/>
    <w:rsid w:val="00E8104C"/>
    <w:rsid w:val="00E83EDA"/>
    <w:rsid w:val="00E92D6B"/>
    <w:rsid w:val="00E94556"/>
    <w:rsid w:val="00E963A9"/>
    <w:rsid w:val="00EA130C"/>
    <w:rsid w:val="00EB0590"/>
    <w:rsid w:val="00EB089D"/>
    <w:rsid w:val="00EB3128"/>
    <w:rsid w:val="00EB7089"/>
    <w:rsid w:val="00EC0CDD"/>
    <w:rsid w:val="00EC3AF8"/>
    <w:rsid w:val="00EC3CA8"/>
    <w:rsid w:val="00EC4ECA"/>
    <w:rsid w:val="00ED164B"/>
    <w:rsid w:val="00ED18FC"/>
    <w:rsid w:val="00ED1A8C"/>
    <w:rsid w:val="00ED1F7C"/>
    <w:rsid w:val="00ED7C5A"/>
    <w:rsid w:val="00EE2D9D"/>
    <w:rsid w:val="00EE43B2"/>
    <w:rsid w:val="00EE4B1F"/>
    <w:rsid w:val="00EE6BD3"/>
    <w:rsid w:val="00EF1177"/>
    <w:rsid w:val="00EF1A6A"/>
    <w:rsid w:val="00EF1C4A"/>
    <w:rsid w:val="00EF3642"/>
    <w:rsid w:val="00EF4BC2"/>
    <w:rsid w:val="00EF6313"/>
    <w:rsid w:val="00EF7E9B"/>
    <w:rsid w:val="00F00001"/>
    <w:rsid w:val="00F0024A"/>
    <w:rsid w:val="00F00FE7"/>
    <w:rsid w:val="00F02303"/>
    <w:rsid w:val="00F04B24"/>
    <w:rsid w:val="00F04BF9"/>
    <w:rsid w:val="00F11CB9"/>
    <w:rsid w:val="00F12476"/>
    <w:rsid w:val="00F14898"/>
    <w:rsid w:val="00F167EE"/>
    <w:rsid w:val="00F22A12"/>
    <w:rsid w:val="00F24791"/>
    <w:rsid w:val="00F26C9A"/>
    <w:rsid w:val="00F26E95"/>
    <w:rsid w:val="00F26F54"/>
    <w:rsid w:val="00F276DF"/>
    <w:rsid w:val="00F302C4"/>
    <w:rsid w:val="00F32477"/>
    <w:rsid w:val="00F32ECA"/>
    <w:rsid w:val="00F33CA1"/>
    <w:rsid w:val="00F3435C"/>
    <w:rsid w:val="00F34998"/>
    <w:rsid w:val="00F34D38"/>
    <w:rsid w:val="00F36424"/>
    <w:rsid w:val="00F3702D"/>
    <w:rsid w:val="00F37263"/>
    <w:rsid w:val="00F400C6"/>
    <w:rsid w:val="00F41C30"/>
    <w:rsid w:val="00F41E11"/>
    <w:rsid w:val="00F4231E"/>
    <w:rsid w:val="00F437D5"/>
    <w:rsid w:val="00F44EEB"/>
    <w:rsid w:val="00F45ADC"/>
    <w:rsid w:val="00F47B92"/>
    <w:rsid w:val="00F502E7"/>
    <w:rsid w:val="00F51074"/>
    <w:rsid w:val="00F516D0"/>
    <w:rsid w:val="00F5572C"/>
    <w:rsid w:val="00F56A6D"/>
    <w:rsid w:val="00F61B4C"/>
    <w:rsid w:val="00F632C4"/>
    <w:rsid w:val="00F67E90"/>
    <w:rsid w:val="00F70CEA"/>
    <w:rsid w:val="00F71453"/>
    <w:rsid w:val="00F74730"/>
    <w:rsid w:val="00F82DB6"/>
    <w:rsid w:val="00F83A84"/>
    <w:rsid w:val="00F869D3"/>
    <w:rsid w:val="00F903C0"/>
    <w:rsid w:val="00F910BD"/>
    <w:rsid w:val="00F91387"/>
    <w:rsid w:val="00F920BB"/>
    <w:rsid w:val="00F94C85"/>
    <w:rsid w:val="00FA08E6"/>
    <w:rsid w:val="00FA12B8"/>
    <w:rsid w:val="00FA1B5E"/>
    <w:rsid w:val="00FA2D02"/>
    <w:rsid w:val="00FA7173"/>
    <w:rsid w:val="00FB0327"/>
    <w:rsid w:val="00FB3705"/>
    <w:rsid w:val="00FB4490"/>
    <w:rsid w:val="00FB5024"/>
    <w:rsid w:val="00FB60E8"/>
    <w:rsid w:val="00FB69C2"/>
    <w:rsid w:val="00FB6C42"/>
    <w:rsid w:val="00FC2338"/>
    <w:rsid w:val="00FC2E05"/>
    <w:rsid w:val="00FC3E6D"/>
    <w:rsid w:val="00FC4680"/>
    <w:rsid w:val="00FC6078"/>
    <w:rsid w:val="00FC6DB2"/>
    <w:rsid w:val="00FD2ED0"/>
    <w:rsid w:val="00FD3370"/>
    <w:rsid w:val="00FD5DC3"/>
    <w:rsid w:val="00FE00E0"/>
    <w:rsid w:val="00FE06C8"/>
    <w:rsid w:val="00FE1FB7"/>
    <w:rsid w:val="00FE2A70"/>
    <w:rsid w:val="00FE3245"/>
    <w:rsid w:val="00FE365D"/>
    <w:rsid w:val="00FE38BB"/>
    <w:rsid w:val="00FE77E3"/>
    <w:rsid w:val="00FF3CB6"/>
    <w:rsid w:val="00FF3F54"/>
    <w:rsid w:val="00FF5630"/>
    <w:rsid w:val="00FF737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F1F142C"/>
  <w15:docId w15:val="{EC70B37B-2DE7-4DDE-92B8-0B9A7571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35"/>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aliases w:val="Footnote Reference Number,Footnote symbol"/>
    <w:basedOn w:val="DefaultParagraphFont"/>
    <w:uiPriority w:val="99"/>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link w:val="ListParagraphChar"/>
    <w:uiPriority w:val="34"/>
    <w:qFormat/>
    <w:rsid w:val="00B21B35"/>
    <w:pPr>
      <w:ind w:left="720"/>
      <w:contextualSpacing/>
    </w:pPr>
    <w:rPr>
      <w:lang w:val="en-US" w:eastAsia="en-US"/>
    </w:rPr>
  </w:style>
  <w:style w:type="paragraph" w:customStyle="1" w:styleId="tv213">
    <w:name w:val="tv213"/>
    <w:basedOn w:val="Normal"/>
    <w:qFormat/>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6C4D39"/>
  </w:style>
  <w:style w:type="character" w:customStyle="1" w:styleId="normalchar1">
    <w:name w:val="normal__char1"/>
    <w:basedOn w:val="DefaultParagraphFont"/>
    <w:rsid w:val="007B6CFD"/>
    <w:rPr>
      <w:rFonts w:ascii="Calibri" w:hAnsi="Calibri" w:hint="default"/>
      <w:sz w:val="22"/>
      <w:szCs w:val="22"/>
    </w:rPr>
  </w:style>
  <w:style w:type="character" w:customStyle="1" w:styleId="tv2131char1">
    <w:name w:val="tv2131__char1"/>
    <w:basedOn w:val="DefaultParagraphFont"/>
    <w:rsid w:val="00486BAB"/>
    <w:rPr>
      <w:rFonts w:ascii="Times New Roman" w:hAnsi="Times New Roman" w:cs="Times New Roman" w:hint="default"/>
      <w:color w:val="414142"/>
      <w:sz w:val="20"/>
      <w:szCs w:val="20"/>
    </w:rPr>
  </w:style>
  <w:style w:type="paragraph" w:customStyle="1" w:styleId="Normal1">
    <w:name w:val="Normal1"/>
    <w:basedOn w:val="Normal"/>
    <w:rsid w:val="00486BAB"/>
    <w:rPr>
      <w:rFonts w:ascii="Calibri" w:hAnsi="Calibri"/>
      <w:sz w:val="22"/>
      <w:szCs w:val="22"/>
    </w:rPr>
  </w:style>
  <w:style w:type="paragraph" w:styleId="NoSpacing">
    <w:name w:val="No Spacing"/>
    <w:uiPriority w:val="1"/>
    <w:qFormat/>
    <w:rsid w:val="00EB0590"/>
    <w:pPr>
      <w:spacing w:line="240" w:lineRule="auto"/>
    </w:pPr>
    <w:rPr>
      <w:rFonts w:asciiTheme="minorHAnsi" w:hAnsiTheme="minorHAnsi"/>
      <w:sz w:val="22"/>
    </w:rPr>
  </w:style>
  <w:style w:type="character" w:customStyle="1" w:styleId="naisf14ptRakstz">
    <w:name w:val="naisf + 14pt Rakstz."/>
    <w:link w:val="naisf14pt"/>
    <w:locked/>
    <w:rsid w:val="00A813B7"/>
    <w:rPr>
      <w:szCs w:val="24"/>
    </w:rPr>
  </w:style>
  <w:style w:type="paragraph" w:customStyle="1" w:styleId="naisf14pt">
    <w:name w:val="naisf + 14pt"/>
    <w:basedOn w:val="Normal"/>
    <w:link w:val="naisf14ptRakstz"/>
    <w:rsid w:val="00A813B7"/>
    <w:pPr>
      <w:ind w:right="57" w:firstLine="709"/>
      <w:jc w:val="both"/>
    </w:pPr>
    <w:rPr>
      <w:rFonts w:eastAsiaTheme="minorHAnsi" w:cstheme="minorBidi"/>
      <w:sz w:val="28"/>
      <w:lang w:eastAsia="en-US"/>
    </w:rPr>
  </w:style>
  <w:style w:type="paragraph" w:styleId="List">
    <w:name w:val="List"/>
    <w:basedOn w:val="BodyText"/>
    <w:rsid w:val="0064673B"/>
    <w:pPr>
      <w:suppressAutoHyphens/>
    </w:pPr>
    <w:rPr>
      <w:lang w:eastAsia="zh-CN"/>
    </w:rPr>
  </w:style>
  <w:style w:type="paragraph" w:styleId="BodyText">
    <w:name w:val="Body Text"/>
    <w:basedOn w:val="Normal"/>
    <w:link w:val="BodyTextChar"/>
    <w:uiPriority w:val="99"/>
    <w:unhideWhenUsed/>
    <w:rsid w:val="0064673B"/>
    <w:pPr>
      <w:spacing w:after="120"/>
    </w:pPr>
  </w:style>
  <w:style w:type="character" w:customStyle="1" w:styleId="BodyTextChar">
    <w:name w:val="Body Text Char"/>
    <w:basedOn w:val="DefaultParagraphFont"/>
    <w:link w:val="BodyText"/>
    <w:uiPriority w:val="99"/>
    <w:rsid w:val="0064673B"/>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602F62"/>
    <w:rPr>
      <w:sz w:val="16"/>
      <w:szCs w:val="16"/>
    </w:rPr>
  </w:style>
  <w:style w:type="paragraph" w:styleId="CommentText">
    <w:name w:val="annotation text"/>
    <w:basedOn w:val="Normal"/>
    <w:link w:val="CommentTextChar"/>
    <w:uiPriority w:val="99"/>
    <w:unhideWhenUsed/>
    <w:rsid w:val="00602F62"/>
    <w:rPr>
      <w:sz w:val="20"/>
      <w:szCs w:val="20"/>
    </w:rPr>
  </w:style>
  <w:style w:type="character" w:customStyle="1" w:styleId="CommentTextChar">
    <w:name w:val="Comment Text Char"/>
    <w:basedOn w:val="DefaultParagraphFont"/>
    <w:link w:val="CommentText"/>
    <w:uiPriority w:val="99"/>
    <w:rsid w:val="00602F6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E77E3"/>
    <w:rPr>
      <w:b/>
      <w:bCs/>
    </w:rPr>
  </w:style>
  <w:style w:type="character" w:customStyle="1" w:styleId="CommentSubjectChar">
    <w:name w:val="Comment Subject Char"/>
    <w:basedOn w:val="CommentTextChar"/>
    <w:link w:val="CommentSubject"/>
    <w:uiPriority w:val="99"/>
    <w:semiHidden/>
    <w:rsid w:val="00FE77E3"/>
    <w:rPr>
      <w:rFonts w:eastAsia="Times New Roman" w:cs="Times New Roman"/>
      <w:b/>
      <w:bCs/>
      <w:sz w:val="20"/>
      <w:szCs w:val="20"/>
      <w:lang w:eastAsia="lv-LV"/>
    </w:rPr>
  </w:style>
  <w:style w:type="character" w:customStyle="1" w:styleId="ListParagraphChar">
    <w:name w:val="List Paragraph Char"/>
    <w:link w:val="ListParagraph"/>
    <w:uiPriority w:val="34"/>
    <w:rsid w:val="00AE53BC"/>
    <w:rPr>
      <w:rFonts w:eastAsia="Times New Roman" w:cs="Times New Roman"/>
      <w:sz w:val="24"/>
      <w:szCs w:val="24"/>
      <w:lang w:val="en-US"/>
    </w:rPr>
  </w:style>
  <w:style w:type="character" w:styleId="FollowedHyperlink">
    <w:name w:val="FollowedHyperlink"/>
    <w:basedOn w:val="DefaultParagraphFont"/>
    <w:uiPriority w:val="99"/>
    <w:semiHidden/>
    <w:unhideWhenUsed/>
    <w:rsid w:val="00EF1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8109">
      <w:bodyDiv w:val="1"/>
      <w:marLeft w:val="0"/>
      <w:marRight w:val="0"/>
      <w:marTop w:val="0"/>
      <w:marBottom w:val="0"/>
      <w:divBdr>
        <w:top w:val="none" w:sz="0" w:space="0" w:color="auto"/>
        <w:left w:val="none" w:sz="0" w:space="0" w:color="auto"/>
        <w:bottom w:val="none" w:sz="0" w:space="0" w:color="auto"/>
        <w:right w:val="none" w:sz="0" w:space="0" w:color="auto"/>
      </w:divBdr>
    </w:div>
    <w:div w:id="107897467">
      <w:bodyDiv w:val="1"/>
      <w:marLeft w:val="0"/>
      <w:marRight w:val="0"/>
      <w:marTop w:val="0"/>
      <w:marBottom w:val="0"/>
      <w:divBdr>
        <w:top w:val="none" w:sz="0" w:space="0" w:color="auto"/>
        <w:left w:val="none" w:sz="0" w:space="0" w:color="auto"/>
        <w:bottom w:val="none" w:sz="0" w:space="0" w:color="auto"/>
        <w:right w:val="none" w:sz="0" w:space="0" w:color="auto"/>
      </w:divBdr>
    </w:div>
    <w:div w:id="178930455">
      <w:bodyDiv w:val="1"/>
      <w:marLeft w:val="0"/>
      <w:marRight w:val="0"/>
      <w:marTop w:val="0"/>
      <w:marBottom w:val="0"/>
      <w:divBdr>
        <w:top w:val="none" w:sz="0" w:space="0" w:color="auto"/>
        <w:left w:val="none" w:sz="0" w:space="0" w:color="auto"/>
        <w:bottom w:val="none" w:sz="0" w:space="0" w:color="auto"/>
        <w:right w:val="none" w:sz="0" w:space="0" w:color="auto"/>
      </w:divBdr>
    </w:div>
    <w:div w:id="304167342">
      <w:bodyDiv w:val="1"/>
      <w:marLeft w:val="0"/>
      <w:marRight w:val="0"/>
      <w:marTop w:val="0"/>
      <w:marBottom w:val="0"/>
      <w:divBdr>
        <w:top w:val="none" w:sz="0" w:space="0" w:color="auto"/>
        <w:left w:val="none" w:sz="0" w:space="0" w:color="auto"/>
        <w:bottom w:val="none" w:sz="0" w:space="0" w:color="auto"/>
        <w:right w:val="none" w:sz="0" w:space="0" w:color="auto"/>
      </w:divBdr>
    </w:div>
    <w:div w:id="478500013">
      <w:bodyDiv w:val="1"/>
      <w:marLeft w:val="0"/>
      <w:marRight w:val="0"/>
      <w:marTop w:val="0"/>
      <w:marBottom w:val="0"/>
      <w:divBdr>
        <w:top w:val="none" w:sz="0" w:space="0" w:color="auto"/>
        <w:left w:val="none" w:sz="0" w:space="0" w:color="auto"/>
        <w:bottom w:val="none" w:sz="0" w:space="0" w:color="auto"/>
        <w:right w:val="none" w:sz="0" w:space="0" w:color="auto"/>
      </w:divBdr>
    </w:div>
    <w:div w:id="530263391">
      <w:bodyDiv w:val="1"/>
      <w:marLeft w:val="0"/>
      <w:marRight w:val="0"/>
      <w:marTop w:val="0"/>
      <w:marBottom w:val="0"/>
      <w:divBdr>
        <w:top w:val="none" w:sz="0" w:space="0" w:color="auto"/>
        <w:left w:val="none" w:sz="0" w:space="0" w:color="auto"/>
        <w:bottom w:val="none" w:sz="0" w:space="0" w:color="auto"/>
        <w:right w:val="none" w:sz="0" w:space="0" w:color="auto"/>
      </w:divBdr>
    </w:div>
    <w:div w:id="626811518">
      <w:bodyDiv w:val="1"/>
      <w:marLeft w:val="0"/>
      <w:marRight w:val="0"/>
      <w:marTop w:val="0"/>
      <w:marBottom w:val="0"/>
      <w:divBdr>
        <w:top w:val="none" w:sz="0" w:space="0" w:color="auto"/>
        <w:left w:val="none" w:sz="0" w:space="0" w:color="auto"/>
        <w:bottom w:val="none" w:sz="0" w:space="0" w:color="auto"/>
        <w:right w:val="none" w:sz="0" w:space="0" w:color="auto"/>
      </w:divBdr>
    </w:div>
    <w:div w:id="631524846">
      <w:bodyDiv w:val="1"/>
      <w:marLeft w:val="0"/>
      <w:marRight w:val="0"/>
      <w:marTop w:val="0"/>
      <w:marBottom w:val="0"/>
      <w:divBdr>
        <w:top w:val="none" w:sz="0" w:space="0" w:color="auto"/>
        <w:left w:val="none" w:sz="0" w:space="0" w:color="auto"/>
        <w:bottom w:val="none" w:sz="0" w:space="0" w:color="auto"/>
        <w:right w:val="none" w:sz="0" w:space="0" w:color="auto"/>
      </w:divBdr>
    </w:div>
    <w:div w:id="779959956">
      <w:bodyDiv w:val="1"/>
      <w:marLeft w:val="0"/>
      <w:marRight w:val="0"/>
      <w:marTop w:val="0"/>
      <w:marBottom w:val="0"/>
      <w:divBdr>
        <w:top w:val="none" w:sz="0" w:space="0" w:color="auto"/>
        <w:left w:val="none" w:sz="0" w:space="0" w:color="auto"/>
        <w:bottom w:val="none" w:sz="0" w:space="0" w:color="auto"/>
        <w:right w:val="none" w:sz="0" w:space="0" w:color="auto"/>
      </w:divBdr>
    </w:div>
    <w:div w:id="958560945">
      <w:bodyDiv w:val="1"/>
      <w:marLeft w:val="0"/>
      <w:marRight w:val="0"/>
      <w:marTop w:val="0"/>
      <w:marBottom w:val="0"/>
      <w:divBdr>
        <w:top w:val="none" w:sz="0" w:space="0" w:color="auto"/>
        <w:left w:val="none" w:sz="0" w:space="0" w:color="auto"/>
        <w:bottom w:val="none" w:sz="0" w:space="0" w:color="auto"/>
        <w:right w:val="none" w:sz="0" w:space="0" w:color="auto"/>
      </w:divBdr>
    </w:div>
    <w:div w:id="1043678033">
      <w:bodyDiv w:val="1"/>
      <w:marLeft w:val="0"/>
      <w:marRight w:val="0"/>
      <w:marTop w:val="0"/>
      <w:marBottom w:val="0"/>
      <w:divBdr>
        <w:top w:val="none" w:sz="0" w:space="0" w:color="auto"/>
        <w:left w:val="none" w:sz="0" w:space="0" w:color="auto"/>
        <w:bottom w:val="none" w:sz="0" w:space="0" w:color="auto"/>
        <w:right w:val="none" w:sz="0" w:space="0" w:color="auto"/>
      </w:divBdr>
    </w:div>
    <w:div w:id="1184125540">
      <w:bodyDiv w:val="1"/>
      <w:marLeft w:val="0"/>
      <w:marRight w:val="0"/>
      <w:marTop w:val="0"/>
      <w:marBottom w:val="0"/>
      <w:divBdr>
        <w:top w:val="none" w:sz="0" w:space="0" w:color="auto"/>
        <w:left w:val="none" w:sz="0" w:space="0" w:color="auto"/>
        <w:bottom w:val="none" w:sz="0" w:space="0" w:color="auto"/>
        <w:right w:val="none" w:sz="0" w:space="0" w:color="auto"/>
      </w:divBdr>
    </w:div>
    <w:div w:id="1266960644">
      <w:bodyDiv w:val="1"/>
      <w:marLeft w:val="0"/>
      <w:marRight w:val="0"/>
      <w:marTop w:val="0"/>
      <w:marBottom w:val="0"/>
      <w:divBdr>
        <w:top w:val="none" w:sz="0" w:space="0" w:color="auto"/>
        <w:left w:val="none" w:sz="0" w:space="0" w:color="auto"/>
        <w:bottom w:val="none" w:sz="0" w:space="0" w:color="auto"/>
        <w:right w:val="none" w:sz="0" w:space="0" w:color="auto"/>
      </w:divBdr>
    </w:div>
    <w:div w:id="1375152631">
      <w:bodyDiv w:val="1"/>
      <w:marLeft w:val="0"/>
      <w:marRight w:val="0"/>
      <w:marTop w:val="0"/>
      <w:marBottom w:val="0"/>
      <w:divBdr>
        <w:top w:val="none" w:sz="0" w:space="0" w:color="auto"/>
        <w:left w:val="none" w:sz="0" w:space="0" w:color="auto"/>
        <w:bottom w:val="none" w:sz="0" w:space="0" w:color="auto"/>
        <w:right w:val="none" w:sz="0" w:space="0" w:color="auto"/>
      </w:divBdr>
    </w:div>
    <w:div w:id="1424953694">
      <w:bodyDiv w:val="1"/>
      <w:marLeft w:val="0"/>
      <w:marRight w:val="0"/>
      <w:marTop w:val="0"/>
      <w:marBottom w:val="0"/>
      <w:divBdr>
        <w:top w:val="none" w:sz="0" w:space="0" w:color="auto"/>
        <w:left w:val="none" w:sz="0" w:space="0" w:color="auto"/>
        <w:bottom w:val="none" w:sz="0" w:space="0" w:color="auto"/>
        <w:right w:val="none" w:sz="0" w:space="0" w:color="auto"/>
      </w:divBdr>
    </w:div>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 w:id="1603025260">
      <w:bodyDiv w:val="1"/>
      <w:marLeft w:val="0"/>
      <w:marRight w:val="0"/>
      <w:marTop w:val="0"/>
      <w:marBottom w:val="0"/>
      <w:divBdr>
        <w:top w:val="none" w:sz="0" w:space="0" w:color="auto"/>
        <w:left w:val="none" w:sz="0" w:space="0" w:color="auto"/>
        <w:bottom w:val="none" w:sz="0" w:space="0" w:color="auto"/>
        <w:right w:val="none" w:sz="0" w:space="0" w:color="auto"/>
      </w:divBdr>
    </w:div>
    <w:div w:id="1739327336">
      <w:bodyDiv w:val="1"/>
      <w:marLeft w:val="0"/>
      <w:marRight w:val="0"/>
      <w:marTop w:val="0"/>
      <w:marBottom w:val="0"/>
      <w:divBdr>
        <w:top w:val="none" w:sz="0" w:space="0" w:color="auto"/>
        <w:left w:val="none" w:sz="0" w:space="0" w:color="auto"/>
        <w:bottom w:val="none" w:sz="0" w:space="0" w:color="auto"/>
        <w:right w:val="none" w:sz="0" w:space="0" w:color="auto"/>
      </w:divBdr>
    </w:div>
    <w:div w:id="1753313129">
      <w:bodyDiv w:val="1"/>
      <w:marLeft w:val="0"/>
      <w:marRight w:val="0"/>
      <w:marTop w:val="0"/>
      <w:marBottom w:val="0"/>
      <w:divBdr>
        <w:top w:val="none" w:sz="0" w:space="0" w:color="auto"/>
        <w:left w:val="none" w:sz="0" w:space="0" w:color="auto"/>
        <w:bottom w:val="none" w:sz="0" w:space="0" w:color="auto"/>
        <w:right w:val="none" w:sz="0" w:space="0" w:color="auto"/>
      </w:divBdr>
    </w:div>
    <w:div w:id="1759329820">
      <w:bodyDiv w:val="1"/>
      <w:marLeft w:val="0"/>
      <w:marRight w:val="0"/>
      <w:marTop w:val="0"/>
      <w:marBottom w:val="0"/>
      <w:divBdr>
        <w:top w:val="none" w:sz="0" w:space="0" w:color="auto"/>
        <w:left w:val="none" w:sz="0" w:space="0" w:color="auto"/>
        <w:bottom w:val="none" w:sz="0" w:space="0" w:color="auto"/>
        <w:right w:val="none" w:sz="0" w:space="0" w:color="auto"/>
      </w:divBdr>
    </w:div>
    <w:div w:id="1797872190">
      <w:bodyDiv w:val="1"/>
      <w:marLeft w:val="0"/>
      <w:marRight w:val="0"/>
      <w:marTop w:val="0"/>
      <w:marBottom w:val="0"/>
      <w:divBdr>
        <w:top w:val="none" w:sz="0" w:space="0" w:color="auto"/>
        <w:left w:val="none" w:sz="0" w:space="0" w:color="auto"/>
        <w:bottom w:val="none" w:sz="0" w:space="0" w:color="auto"/>
        <w:right w:val="none" w:sz="0" w:space="0" w:color="auto"/>
      </w:divBdr>
    </w:div>
    <w:div w:id="1803428409">
      <w:bodyDiv w:val="1"/>
      <w:marLeft w:val="0"/>
      <w:marRight w:val="0"/>
      <w:marTop w:val="0"/>
      <w:marBottom w:val="0"/>
      <w:divBdr>
        <w:top w:val="none" w:sz="0" w:space="0" w:color="auto"/>
        <w:left w:val="none" w:sz="0" w:space="0" w:color="auto"/>
        <w:bottom w:val="none" w:sz="0" w:space="0" w:color="auto"/>
        <w:right w:val="none" w:sz="0" w:space="0" w:color="auto"/>
      </w:divBdr>
    </w:div>
    <w:div w:id="1868368404">
      <w:bodyDiv w:val="1"/>
      <w:marLeft w:val="0"/>
      <w:marRight w:val="0"/>
      <w:marTop w:val="0"/>
      <w:marBottom w:val="0"/>
      <w:divBdr>
        <w:top w:val="none" w:sz="0" w:space="0" w:color="auto"/>
        <w:left w:val="none" w:sz="0" w:space="0" w:color="auto"/>
        <w:bottom w:val="none" w:sz="0" w:space="0" w:color="auto"/>
        <w:right w:val="none" w:sz="0" w:space="0" w:color="auto"/>
      </w:divBdr>
    </w:div>
    <w:div w:id="2058700105">
      <w:bodyDiv w:val="1"/>
      <w:marLeft w:val="0"/>
      <w:marRight w:val="0"/>
      <w:marTop w:val="0"/>
      <w:marBottom w:val="0"/>
      <w:divBdr>
        <w:top w:val="none" w:sz="0" w:space="0" w:color="auto"/>
        <w:left w:val="none" w:sz="0" w:space="0" w:color="auto"/>
        <w:bottom w:val="none" w:sz="0" w:space="0" w:color="auto"/>
        <w:right w:val="none" w:sz="0" w:space="0" w:color="auto"/>
      </w:divBdr>
      <w:divsChild>
        <w:div w:id="2030374042">
          <w:marLeft w:val="0"/>
          <w:marRight w:val="0"/>
          <w:marTop w:val="0"/>
          <w:marBottom w:val="0"/>
          <w:divBdr>
            <w:top w:val="none" w:sz="0" w:space="0" w:color="auto"/>
            <w:left w:val="none" w:sz="0" w:space="0" w:color="auto"/>
            <w:bottom w:val="none" w:sz="0" w:space="0" w:color="auto"/>
            <w:right w:val="none" w:sz="0" w:space="0" w:color="auto"/>
          </w:divBdr>
        </w:div>
        <w:div w:id="2066752444">
          <w:marLeft w:val="0"/>
          <w:marRight w:val="0"/>
          <w:marTop w:val="0"/>
          <w:marBottom w:val="0"/>
          <w:divBdr>
            <w:top w:val="none" w:sz="0" w:space="0" w:color="auto"/>
            <w:left w:val="none" w:sz="0" w:space="0" w:color="auto"/>
            <w:bottom w:val="none" w:sz="0" w:space="0" w:color="auto"/>
            <w:right w:val="none" w:sz="0" w:space="0" w:color="auto"/>
          </w:divBdr>
        </w:div>
      </w:divsChild>
    </w:div>
    <w:div w:id="2111461779">
      <w:bodyDiv w:val="1"/>
      <w:marLeft w:val="0"/>
      <w:marRight w:val="0"/>
      <w:marTop w:val="0"/>
      <w:marBottom w:val="0"/>
      <w:divBdr>
        <w:top w:val="none" w:sz="0" w:space="0" w:color="auto"/>
        <w:left w:val="none" w:sz="0" w:space="0" w:color="auto"/>
        <w:bottom w:val="none" w:sz="0" w:space="0" w:color="auto"/>
        <w:right w:val="none" w:sz="0" w:space="0" w:color="auto"/>
      </w:divBdr>
    </w:div>
    <w:div w:id="212325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state_aid/overview/new_guide_eu_rules_procurement_lv.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75566&amp;mode=mk&amp;date=2019-0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DD00-546C-40B7-B3BC-719F93B4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18500</Words>
  <Characters>10545</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Izziņa par atzinumos sniegtajiem iebildumiem par Informatīvo ziņojumu “Darbības programmas “Izaugsme un nodarbinātība” 4.prioritārā virziena ietvaros atbrīvotā Eiropas Savienības finansējuma izmantošanas alternatīvām un izvēlēto risinājumu”</vt:lpstr>
    </vt:vector>
  </TitlesOfParts>
  <Company>Satiksmes ministrija</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Informatīvo ziņojumu “Darbības programmas “Izaugsme un nodarbinātība” 4.prioritārā virziena ietvaros atbrīvotā Eiropas Savienības finansējuma izmantošanas alternatīvām un izvēlēto risinājumu”</dc:title>
  <dc:subject>Izziņa</dc:subject>
  <dc:creator>Vilnis Preimanis</dc:creator>
  <dc:description>67028223, vilnis.preimanis@sam.gov.lv</dc:description>
  <cp:lastModifiedBy>Baiba Jirgena</cp:lastModifiedBy>
  <cp:revision>11</cp:revision>
  <cp:lastPrinted>2019-09-25T08:45:00Z</cp:lastPrinted>
  <dcterms:created xsi:type="dcterms:W3CDTF">2019-09-25T09:53:00Z</dcterms:created>
  <dcterms:modified xsi:type="dcterms:W3CDTF">2019-09-26T09:35:00Z</dcterms:modified>
</cp:coreProperties>
</file>