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5A02" w:rsidR="00A55248" w:rsidP="00DA5A02" w:rsidRDefault="00A55248" w14:paraId="0689DEA1" w14:textId="54C46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name="OLE_LINK11" w:id="0"/>
      <w:bookmarkStart w:name="OLE_LINK12" w:id="1"/>
      <w:bookmarkStart w:name="OLE_LINK1" w:id="2"/>
      <w:r w:rsidRPr="002C03AE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Ministru kabineta rīkojuma projekta </w:t>
      </w:r>
      <w:r w:rsidRPr="00CE49A7" w:rsidR="00E32416">
        <w:rPr>
          <w:rFonts w:ascii="Times New Roman" w:hAnsi="Times New Roman" w:eastAsia="Times New Roman" w:cs="Times New Roman"/>
          <w:b/>
          <w:sz w:val="24"/>
          <w:szCs w:val="24"/>
        </w:rPr>
        <w:t>"</w:t>
      </w:r>
      <w:r w:rsidRPr="00DA5A0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finanšu līdzekļu piešķiršanu no valsts budžeta programmas </w:t>
      </w:r>
      <w:r w:rsidRPr="00CE49A7" w:rsidR="00E32416">
        <w:rPr>
          <w:rFonts w:ascii="Times New Roman" w:hAnsi="Times New Roman" w:cs="Times New Roman"/>
          <w:b/>
          <w:sz w:val="24"/>
          <w:szCs w:val="24"/>
          <w:lang w:eastAsia="lv-LV"/>
        </w:rPr>
        <w:t>"</w:t>
      </w:r>
      <w:r w:rsidRPr="00DA5A02">
        <w:rPr>
          <w:rFonts w:ascii="Times New Roman" w:hAnsi="Times New Roman" w:cs="Times New Roman"/>
          <w:b/>
          <w:sz w:val="24"/>
          <w:szCs w:val="24"/>
          <w:lang w:eastAsia="lv-LV"/>
        </w:rPr>
        <w:t>Līdzekļi neparedzētiem gadījumiem</w:t>
      </w:r>
      <w:r w:rsidRPr="00CE49A7" w:rsidR="00E32416">
        <w:rPr>
          <w:rFonts w:ascii="Times New Roman" w:hAnsi="Times New Roman" w:eastAsia="Times New Roman" w:cs="Times New Roman"/>
          <w:b/>
          <w:sz w:val="24"/>
          <w:szCs w:val="24"/>
        </w:rPr>
        <w:t>""</w:t>
      </w:r>
      <w:r w:rsidRPr="00DA5A02">
        <w:rPr>
          <w:rFonts w:ascii="Times New Roman" w:hAnsi="Times New Roman" w:eastAsia="Times New Roman" w:cs="Times New Roman"/>
          <w:b/>
          <w:sz w:val="24"/>
          <w:szCs w:val="24"/>
        </w:rPr>
        <w:t xml:space="preserve"> sākotnējās ietekmes novērtējuma </w:t>
      </w:r>
      <w:r w:rsidRPr="00DA5A02">
        <w:rPr>
          <w:rFonts w:ascii="Times New Roman" w:hAnsi="Times New Roman" w:cs="Times New Roman"/>
          <w:b/>
          <w:sz w:val="24"/>
          <w:szCs w:val="24"/>
        </w:rPr>
        <w:t>ziņojums (anotācija)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2C03AE" w:rsidR="002C03AE" w:rsidTr="00A1552F" w14:paraId="70BDCC6E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bookmarkEnd w:id="0"/>
          <w:bookmarkEnd w:id="1"/>
          <w:bookmarkEnd w:id="2"/>
          <w:p w:rsidRPr="00CE49A7" w:rsidR="00A1552F" w:rsidRDefault="00A1552F" w14:paraId="2E3635E1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CE49A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C03AE" w:rsidR="002C03AE" w:rsidTr="00E9181C" w14:paraId="47F047DD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2C03AE" w:rsidR="00A1552F" w:rsidP="00E32416" w:rsidRDefault="00A1552F" w14:paraId="3C58940B" w14:textId="488561D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6231" w:type="dxa"/>
            <w:shd w:val="clear" w:color="auto" w:fill="FFFFFF"/>
            <w:hideMark/>
          </w:tcPr>
          <w:p w:rsidRPr="002C03AE" w:rsidR="00A1552F" w:rsidP="00E32416" w:rsidRDefault="00146C6B" w14:paraId="2D343C0B" w14:textId="3A4D03F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</w:t>
            </w:r>
            <w:r w:rsidRPr="002C03AE" w:rsidR="00E324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2C03AE" w:rsidR="00A1552F" w:rsidP="00E32416" w:rsidRDefault="00A1552F" w14:paraId="386741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1905"/>
        <w:gridCol w:w="997"/>
        <w:gridCol w:w="991"/>
        <w:gridCol w:w="850"/>
        <w:gridCol w:w="993"/>
        <w:gridCol w:w="848"/>
        <w:gridCol w:w="993"/>
        <w:gridCol w:w="1122"/>
      </w:tblGrid>
      <w:tr w:rsidRPr="002C03AE" w:rsidR="002C03AE" w:rsidTr="0059057E" w14:paraId="2C53EF84" w14:textId="77777777">
        <w:trPr>
          <w:trHeight w:val="405"/>
        </w:trPr>
        <w:tc>
          <w:tcPr>
            <w:tcW w:w="5000" w:type="pct"/>
            <w:gridSpan w:val="9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E32416" w:rsidRDefault="004D15A9" w14:paraId="18B67FDD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2C03AE" w:rsidR="002C03AE" w:rsidTr="00DA326E" w14:paraId="22687615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2B187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64AFBC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9661F7" w14:paraId="0A3EB312" w14:textId="1BAEAC9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Projekts sagatavots saskaņā ar Ministru kabineta 2018.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jūlija noteikumu Nr.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 xml:space="preserve">421 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Kārtība, kādā veic gadskārtējā valsts budžeta likumā noteiktās apropriācijas izmaiņas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  <w:r w:rsidRPr="002C03AE" w:rsidR="00E32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Pr="002C03AE" w:rsidR="00EE244D">
              <w:rPr>
                <w:rFonts w:ascii="Times New Roman" w:hAnsi="Times New Roman" w:cs="Times New Roman"/>
                <w:sz w:val="24"/>
                <w:szCs w:val="24"/>
              </w:rPr>
              <w:t xml:space="preserve">, pēc </w:t>
            </w:r>
            <w:r w:rsidRPr="002C03AE" w:rsidR="00146C6B">
              <w:rPr>
                <w:rFonts w:ascii="Times New Roman" w:hAnsi="Times New Roman"/>
                <w:sz w:val="24"/>
                <w:szCs w:val="24"/>
              </w:rPr>
              <w:t>Latvijas Republikas Prokuratūras iniciatīva</w:t>
            </w:r>
            <w:r w:rsidRPr="002C03AE" w:rsidR="00EE244D">
              <w:rPr>
                <w:rFonts w:ascii="Times New Roman" w:hAnsi="Times New Roman"/>
                <w:sz w:val="24"/>
                <w:szCs w:val="24"/>
              </w:rPr>
              <w:t>s</w:t>
            </w:r>
            <w:r w:rsidRPr="002C03AE" w:rsidR="00146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2C03AE" w:rsidR="002C03AE" w:rsidTr="00DA326E" w14:paraId="5FF7B6AF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1C86D4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02016C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2C03AE" w:rsidR="00567B7C" w:rsidP="00DA5A02" w:rsidRDefault="00567B7C" w14:paraId="576037C1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5B42C97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6A248BD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3DDFF5E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427C319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3D0D3A1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627734D3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32802F0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502143D0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784A2EA3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0FAFBF4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5E416B5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1F0F472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5283C56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4B94793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628626D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1C66F97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29FDE10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C03AE" w:rsidR="00567B7C" w:rsidP="00DA5A02" w:rsidRDefault="00567B7C" w14:paraId="7B9225C8" w14:textId="357D7BA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146C6B" w:rsidP="00E32416" w:rsidRDefault="00146C6B" w14:paraId="4F0C1CD0" w14:textId="5BD7CDBD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Kriminālprocesa likuma (turpmāk – Likums) 11.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pantā 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pirmajā daļā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noteikto kriminālprocess notiek valsts valodā</w:t>
            </w:r>
            <w:r w:rsid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 Š</w:t>
            </w:r>
            <w:r w:rsidRPr="002C03AE" w:rsidR="003D08C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ī panta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trešajā daļā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noteikts, ka kriminālprocesā iesaistītajai personai, kura neprot valsts valodu, likumā paredzētajos gadījumos izsniedzot procesuālos dokumentus, nodrošina to tulkojumu personai saprotamā valodā, savukārt, šī panta 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ceturtajā daļā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noteikta prasība pievienot procesuālā dokumenta tulkojumu valsts valodā. </w:t>
            </w:r>
          </w:p>
          <w:p w:rsidRPr="002C03AE" w:rsidR="00146C6B" w:rsidP="00E32416" w:rsidRDefault="00146C6B" w14:paraId="1EBA4483" w14:textId="00FCA684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gadā Prokuratūrā, nodrošinot Likuma prasību izpildi, sakarā ar vairāku apjomīgu krimināllietu materiālu tulkošanu, ievērojami palielinājās tulkošanas pakalpojumu apjoms. </w:t>
            </w:r>
          </w:p>
          <w:p w:rsidRPr="002C03AE" w:rsidR="00146C6B" w:rsidP="00E32416" w:rsidRDefault="00146C6B" w14:paraId="6AE30D1C" w14:textId="67251C59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likumu "Par valsts budžetu 2014.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gadam" 2014.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gadam un turpmākajiem gadiem tika piešķirts finansējums 196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122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apmērā jaunās politikas iniciatīvai "Mutvārdu tulkošanas un procesuālo dokumentu tulkošanas nodrošināšana" Prokuratūras pamatbudžeta programmā 01.00.00 "Prokuratūras iestāžu uzturēšana" mutvārdu tulkošanas un procesuālo dokumentu tulkošanas nodrošināšanai. Līdz ar to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gadā tulkošanas pakalpojumu nodrošināšanai ieplānoti un apstiprināti izdevumi 196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122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apmērā. </w:t>
            </w:r>
          </w:p>
          <w:p w:rsidRPr="002C03AE" w:rsidR="00116DFA" w:rsidP="00F45646" w:rsidRDefault="00116DFA" w14:paraId="42695526" w14:textId="6019F580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Tomēr jau šobrīd, t.i., </w:t>
            </w:r>
            <w:r w:rsidRPr="002C03AE" w:rsidR="0099582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š.g.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nepilnos </w:t>
            </w:r>
            <w:r w:rsidRPr="002C03AE" w:rsidR="00827F7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deviņos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mēnešos, pēc stāvokļa uz </w:t>
            </w:r>
            <w:r w:rsidRPr="002C03AE" w:rsidR="00003C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11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.0</w:t>
            </w:r>
            <w:r w:rsidRPr="002C03AE" w:rsidR="00003C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9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.2019. tulkošanas pakalpojumu apmaksai Prokuratūrā kopsummā izlietoti </w:t>
            </w:r>
            <w:r w:rsidRPr="002C03AE" w:rsidR="00003C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362 018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t.i., jau šobrīd tiek pārsniegti gadam plānotie izdevumi par </w:t>
            </w:r>
            <w:r w:rsidRPr="002C03AE" w:rsidR="00003C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165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003C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896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un paredzams, ka līdz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gadā beigām,  nodrošinot Likuma prasību izpildi, šie izdevumi var sasniegt līdz pat</w:t>
            </w:r>
            <w:r w:rsidRPr="002C03AE" w:rsidR="004337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626 882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433725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jeb par </w:t>
            </w:r>
            <w:r w:rsidRPr="002C03AE" w:rsidR="0068656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430 760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gadā vairāk nekā gadam plānots (šobrīd zināms, ka divu krimināllietu ietvaros vēl jātulko </w:t>
            </w:r>
            <w:r w:rsidRPr="002C03AE" w:rsidR="007A44F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179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sējumi, kas, pēc provizoriskiem aprēķiniem, kopsummā var izmaksāt </w:t>
            </w:r>
            <w:r w:rsidRPr="002C03AE" w:rsidR="00B00AC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320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B00AC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287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no tiem līdz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gada beigām būs jāapmaksā provizoriski </w:t>
            </w:r>
            <w:r w:rsidRPr="002C03AE" w:rsidR="00BC386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264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BC386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864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pārējās izmaksas </w:t>
            </w:r>
            <w:r w:rsidRPr="002C03AE" w:rsidR="00B00AC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55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 w:rsidR="00B00AC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423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Pr="002C03AE" w:rsidR="00FE598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tiks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segtas </w:t>
            </w:r>
            <w:r w:rsidRPr="002C03AE" w:rsidR="00FE598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pēc </w:t>
            </w:r>
            <w:r w:rsidRPr="002C03AE" w:rsidR="006F682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šo krimināllietu </w:t>
            </w:r>
            <w:r w:rsidRPr="002C03AE" w:rsidR="00FE598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tulkošanas pakalpojumu </w:t>
            </w:r>
            <w:r w:rsidRPr="002C03AE" w:rsidR="00FE598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pabeigšanas</w:t>
            </w:r>
            <w:r w:rsidRPr="002C03AE" w:rsidR="006F682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gadā, no 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gadam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tulkošanas pakalpojumu nodrošināšanai plānotā finansējuma). </w:t>
            </w:r>
          </w:p>
          <w:p w:rsidRPr="00CE49A7" w:rsidR="00146C6B" w:rsidP="00F45646" w:rsidRDefault="00146C6B" w14:paraId="3B518E51" w14:textId="5EA700CC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Prokuratūrai mutiskās un rakstiskās tulkošanas pakalpojumu nodrošināšanai ir noslēgts iepirkuma līgums ar SIA "</w:t>
            </w:r>
            <w:proofErr w:type="spellStart"/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Linearis</w:t>
            </w:r>
            <w:proofErr w:type="spellEnd"/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". Saskaņā ar līguma nosacījumiem samaksa par izpildītajiem tulkošanas pakalpojumiem Prokuratūrai jāveic 15 darbadienu </w:t>
            </w:r>
            <w:r w:rsidRPr="00CE49A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laikā pēc nodošanas-pieņemšanas akta vai uzziņas parakstīšanas un pakalpojumu sniedzēja iesniegtā tulkošanas pakalpojuma apmaksas dokumenta saņemšanas.</w:t>
            </w:r>
          </w:p>
          <w:p w:rsidRPr="002C03AE" w:rsidR="00B7755D" w:rsidRDefault="00146C6B" w14:paraId="774F3232" w14:textId="38209E5B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Pieaugušo tulkošanas pakalpojumu izdevumu apmaksa šobrīd jau tiek veikta uz citu, līdz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beigām plānoto, bet vēl neapmaksāto, izdevumu rēķina. Salīdzinājumam, 2018.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gadā tulkošanas pakalpojumiem bija izlietoti kopsummā 136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438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gadā un, gatavojot budžeta pieprasījumu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gadam, Prokuratūra nevarēja paredzēt tik strauju izdevumu kāpumu.</w:t>
            </w:r>
          </w:p>
          <w:p w:rsidRPr="00CE49A7" w:rsidR="004D15A9" w:rsidRDefault="00B85344" w14:paraId="30C06537" w14:textId="5521E7F7">
            <w:pPr>
              <w:spacing w:after="0" w:line="240" w:lineRule="auto"/>
              <w:ind w:firstLine="52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Ministru kabineta rīkojuma projekts 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 finanšu līdzekļu piešķiršanu no valsts budžeta programmas 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Līdzekļi neparedzētiem gadījumiem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""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paredz </w:t>
            </w:r>
            <w:r w:rsidRPr="002C0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Finanšu ministrijai no valsts budžeta programmas 02.00.00 </w:t>
            </w:r>
            <w:r w:rsidRPr="002C03AE" w:rsidR="00F4564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2C03AE">
              <w:rPr>
                <w:rFonts w:ascii="Times New Roman" w:hAnsi="Times New Roman" w:cs="Times New Roman"/>
                <w:bCs/>
                <w:sz w:val="24"/>
                <w:szCs w:val="24"/>
              </w:rPr>
              <w:t>Līdzekļi neparedzētiem gadījumiem</w:t>
            </w:r>
            <w:r w:rsidRPr="002C03AE" w:rsidR="00F4564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2C0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piešķirt</w:t>
            </w:r>
            <w:r w:rsidRPr="002C03AE" w:rsidR="00447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Prokuratūrai </w:t>
            </w:r>
            <w:r w:rsidRPr="002C03AE" w:rsidR="00727E3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C03AE" w:rsidR="00F45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 w:rsidR="00727E3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2C03AE" w:rsidR="00F45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03AE" w:rsidR="00727E3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2C03AE" w:rsidR="00727E38">
              <w:rPr>
                <w:rFonts w:ascii="Times New Roman" w:hAnsi="Times New Roman" w:cs="Times New Roman"/>
                <w:sz w:val="24"/>
                <w:szCs w:val="24"/>
              </w:rPr>
              <w:t xml:space="preserve"> procesuālo dokumentu tulkošanas izdevumu segšanai</w:t>
            </w:r>
            <w:r w:rsidRPr="002C03AE" w:rsidR="00727E3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 w:rsidRPr="002C03AE" w:rsidR="00727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nodrošinātu </w:t>
            </w:r>
            <w:r w:rsidR="00C8748A">
              <w:rPr>
                <w:rFonts w:ascii="Times New Roman" w:hAnsi="Times New Roman" w:cs="Times New Roman"/>
                <w:bCs/>
                <w:sz w:val="24"/>
                <w:szCs w:val="24"/>
              </w:rPr>
              <w:t>Likuma</w:t>
            </w:r>
            <w:r w:rsidRPr="00CE49A7" w:rsidR="00727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prasību izpildi.</w:t>
            </w:r>
            <w:r w:rsidRPr="00CE49A7" w:rsidDel="005B4DB7" w:rsidR="005B4DB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2C03AE" w:rsidR="002C03AE" w:rsidTr="00DA326E" w14:paraId="1AA028D9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3D2851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4EC22A37" w14:textId="51CE741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2C03AE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EF6CCF" w14:paraId="09DA66A3" w14:textId="14F82F9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Ģenerālprokuratūra</w:t>
            </w:r>
            <w:r w:rsidRPr="002C03AE" w:rsidR="00293A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Tieslietu ministrija.</w:t>
            </w:r>
          </w:p>
        </w:tc>
      </w:tr>
      <w:tr w:rsidRPr="002C03AE" w:rsidR="002C03AE" w:rsidTr="00DA326E" w14:paraId="4416C82A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0D4BD8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4D15A9" w14:paraId="31AC9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2C03AE" w:rsidR="004D15A9" w:rsidP="00E32416" w:rsidRDefault="00EF6CCF" w14:paraId="1182056C" w14:textId="727303C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Pr="002C03AE" w:rsidR="002C03AE" w:rsidTr="0059057E" w14:paraId="4A35F0EC" w14:textId="77777777">
        <w:trPr>
          <w:trHeight w:val="128"/>
        </w:trPr>
        <w:tc>
          <w:tcPr>
            <w:tcW w:w="5000" w:type="pct"/>
            <w:gridSpan w:val="9"/>
            <w:tcBorders>
              <w:top w:val="outset" w:color="414142" w:sz="6" w:space="0"/>
              <w:left w:val="nil"/>
              <w:bottom w:val="outset" w:color="414142" w:sz="6" w:space="0"/>
              <w:right w:val="nil"/>
            </w:tcBorders>
          </w:tcPr>
          <w:p w:rsidRPr="002C03AE" w:rsidR="00031256" w:rsidP="00E32416" w:rsidRDefault="0081203F" w14:paraId="3909DB7C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Pr="002C03AE" w:rsidR="002C03AE" w:rsidTr="0059057E" w14:paraId="231B55F5" w14:textId="77777777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E32416" w:rsidRDefault="004D15A9" w14:paraId="4C70EC0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2C03AE" w:rsidR="002C03AE" w:rsidTr="00216350" w14:paraId="2C9F3255" w14:textId="77777777">
        <w:trPr>
          <w:trHeight w:val="224"/>
        </w:trPr>
        <w:tc>
          <w:tcPr>
            <w:tcW w:w="5000" w:type="pct"/>
            <w:gridSpan w:val="9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E49A7" w:rsidR="00503505" w:rsidP="00E32416" w:rsidRDefault="00503505" w14:paraId="674A68B1" w14:textId="633286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DA5A0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Pr="002C03AE" w:rsidR="002C03AE" w:rsidTr="0059057E" w14:paraId="347A5AC7" w14:textId="77777777">
        <w:trPr>
          <w:trHeight w:val="360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2C03AE" w:rsidR="0059057E" w:rsidP="00E32416" w:rsidRDefault="0059057E" w14:paraId="541E9657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2C03AE" w:rsidR="002C03AE" w:rsidTr="0059057E" w14:paraId="29A3C152" w14:textId="77777777">
        <w:trPr>
          <w:trHeight w:val="360"/>
        </w:trPr>
        <w:tc>
          <w:tcPr>
            <w:tcW w:w="5000" w:type="pct"/>
            <w:gridSpan w:val="9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E32416" w:rsidRDefault="004D15A9" w14:paraId="7F8B9A1A" w14:textId="59700816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2C03AE" w:rsidR="002C03AE" w:rsidTr="00DA326E" w14:paraId="1FADD8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:rsidRPr="002C03AE" w:rsidR="00A1552F" w:rsidP="00E32416" w:rsidRDefault="00A1552F" w14:paraId="262C2D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:rsidRPr="002C03AE" w:rsidR="00A1552F" w:rsidP="00E32416" w:rsidRDefault="00974B88" w14:paraId="07DADB8D" w14:textId="10CCC7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2019</w:t>
            </w:r>
            <w:r w:rsidRPr="002C03AE" w:rsidR="00E324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</w:t>
            </w:r>
            <w:r w:rsidRPr="002C03AE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:rsidRPr="002C03AE" w:rsidR="00A1552F" w:rsidP="00E32416" w:rsidRDefault="00A1552F" w14:paraId="722565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2C03AE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Pr="002C03AE" w:rsidR="002C03AE" w:rsidTr="00DA326E" w14:paraId="3F3714E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:rsidRPr="002C03AE" w:rsidR="00A1552F" w:rsidRDefault="00A1552F" w14:paraId="6B65150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:rsidRPr="002C03AE" w:rsidR="00A1552F" w:rsidRDefault="00A1552F" w14:paraId="1FE3EA8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:rsidRPr="002C03AE" w:rsidR="00A1552F" w:rsidRDefault="00974B88" w14:paraId="05AA3B1B" w14:textId="31C53B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:rsidRPr="002C03AE" w:rsidR="00A1552F" w:rsidRDefault="00974B88" w14:paraId="6EAA3566" w14:textId="3FA0BA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A1552F" w:rsidRDefault="00974B88" w14:paraId="12CF8BE9" w14:textId="34883A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2022</w:t>
            </w:r>
          </w:p>
        </w:tc>
      </w:tr>
      <w:tr w:rsidRPr="002C03AE" w:rsidR="002C03AE" w:rsidTr="00DA326E" w14:paraId="49BB82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:rsidRPr="002C03AE" w:rsidR="00A1552F" w:rsidRDefault="00A1552F" w14:paraId="3F28CE2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A1552F" w:rsidRDefault="00A1552F" w14:paraId="1B79CD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A1552F" w:rsidRDefault="00A1552F" w14:paraId="2AC38E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A1552F" w:rsidRDefault="00A1552F" w14:paraId="2B4E03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A1552F" w14:paraId="6AE5EEFE" w14:textId="2406CF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2C03AE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2020</w:t>
            </w:r>
            <w:r w:rsidRPr="002C03AE" w:rsidR="00E324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A1552F" w:rsidRDefault="00A1552F" w14:paraId="120E7F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A1552F" w14:paraId="5135D47B" w14:textId="344F30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2C03AE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2021</w:t>
            </w:r>
            <w:r w:rsidRPr="002C03AE" w:rsidR="00E324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A1552F" w:rsidRDefault="00A1552F" w14:paraId="19255F08" w14:textId="5D01C4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</w:r>
            <w:r w:rsidRPr="002C03AE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2021</w:t>
            </w:r>
            <w:r w:rsidRPr="002C03AE" w:rsidR="00E324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Pr="002C03AE" w:rsidR="002C03AE" w:rsidTr="00DA326E" w14:paraId="275C76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:rsidRPr="002C03AE" w:rsidR="00A1552F" w:rsidP="00E32416" w:rsidRDefault="00A1552F" w14:paraId="3986BB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A1552F" w:rsidP="00E32416" w:rsidRDefault="00A1552F" w14:paraId="00C3CC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A1552F" w:rsidP="00E32416" w:rsidRDefault="00A1552F" w14:paraId="72817E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A1552F" w:rsidP="00F45646" w:rsidRDefault="00A1552F" w14:paraId="6CD4C2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A1552F" w14:paraId="3947D3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A1552F" w:rsidRDefault="00A1552F" w14:paraId="137A32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A1552F" w14:paraId="51EDA9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A1552F" w:rsidRDefault="00A1552F" w14:paraId="259384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Pr="002C03AE" w:rsidR="002C03AE" w:rsidTr="00DA326E" w14:paraId="4E34D74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:rsidRPr="002C03AE" w:rsidR="00A1552F" w:rsidP="00E32416" w:rsidRDefault="00A1552F" w14:paraId="214303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A1552F" w:rsidP="00E32416" w:rsidRDefault="00D14420" w14:paraId="22FB6755" w14:textId="49A08F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A1552F" w:rsidP="00E32416" w:rsidRDefault="00D14420" w14:paraId="21B7EA7E" w14:textId="2FADE8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A1552F" w:rsidP="00F45646" w:rsidRDefault="00D14420" w14:paraId="27ABA99C" w14:textId="3DB8CA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D14420" w14:paraId="7F96843C" w14:textId="755078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A1552F" w:rsidRDefault="00D14420" w14:paraId="4C5BE556" w14:textId="2B38D9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A1552F" w:rsidRDefault="00D14420" w14:paraId="7C79F1AD" w14:textId="3EE9A9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A1552F" w:rsidRDefault="00D14420" w14:paraId="6D396717" w14:textId="251649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520E06" w14:paraId="206A899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5C3313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2E823635" w14:textId="3A3D66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4666040" w14:textId="60962D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76875EA6" w14:textId="7C4C8A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4246F99F" w14:textId="1F6DCE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37E31138" w14:textId="52A154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1D185DA0" w14:textId="12212D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4ACC7327" w14:textId="1DDA0C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0963C8" w14:paraId="1896700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322C56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6A0B7347" w14:textId="489104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4526573" w14:textId="7E6DD8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780AD3E0" w14:textId="570B73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526F362E" w14:textId="6D6507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0F7E5BA7" w14:textId="57D36B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7D8EE071" w14:textId="64C66A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6D4559E4" w14:textId="2AE3A7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787D68" w14:paraId="09258F9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5E5360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3FA3566D" w14:textId="646BC0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78375A40" w14:textId="14BAE9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7E8E5477" w14:textId="61A0CC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354B45F4" w14:textId="70CE77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23C76AB3" w14:textId="3BC147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34550C53" w14:textId="00E50D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3DC6A7F1" w14:textId="6E47B6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FD333E" w14:paraId="23D840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010228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4AD70ED5" w14:textId="03AFA2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F9051C" w14:paraId="3760E4A9" w14:textId="1B0F1C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430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1B310030" w14:textId="1F603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41E0EE48" w14:textId="496368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6D220683" w14:textId="05BD26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4D60BEEF" w14:textId="447399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1389ADAB" w14:textId="21C997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734735" w14:paraId="4F4AF0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3A3338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A13F6CF" w14:textId="1077BA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F9051C" w14:paraId="4AF048BA" w14:textId="2DC607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430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7F22E620" w14:textId="029B59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78E362AA" w14:textId="1CBB67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464D1C80" w14:textId="5C76F5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174B4760" w14:textId="5AB9E7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3DFDDE6E" w14:textId="28E939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674C24" w14:paraId="714A97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08F5CC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8BEBA73" w14:textId="4D1BAA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2803AFC9" w14:textId="3957AF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307B7BFA" w14:textId="740422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0C4FE404" w14:textId="5DA9DD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6FEB17C9" w14:textId="589AEE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28FC6BEA" w14:textId="4AC7C1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76C4A714" w14:textId="6C4BD1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BC11F0" w14:paraId="4496253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55A350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75461691" w14:textId="4DC64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1CDCC04C" w14:textId="4A5A57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5BC9F4C1" w14:textId="06E441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6DBF8573" w14:textId="7D9E93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676F77D9" w14:textId="478636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3A55AF67" w14:textId="02EAC5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0436C7A8" w14:textId="039F52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0F15D5" w14:paraId="718415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4F1E76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EBEF120" w14:textId="4EAB66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F1166" w14:paraId="5E35541B" w14:textId="2108D3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-430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3EE876D6" w14:textId="3B19BE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7723C036" w14:textId="65BCDE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3191DAF8" w14:textId="19AC40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438A1F9B" w14:textId="0028B6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24EB4A0A" w14:textId="34F7E1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0A2CDB" w14:paraId="1FD1EBF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732AA4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4602CC02" w14:textId="102766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F1166" w14:paraId="745944F6" w14:textId="6AAB04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-430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1FB78236" w14:textId="67FCAF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5E0B1A5F" w14:textId="63E10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6AFF96A9" w14:textId="4A1ED9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6A43BDAA" w14:textId="1C9D88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43D00EBB" w14:textId="62986A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FA764C" w14:paraId="0219441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5355EF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22D383A9" w14:textId="1EE2F1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276EADE8" w14:textId="03600F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5C126A02" w14:textId="17365B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4979A891" w14:textId="1B4DEA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5B449459" w14:textId="17350E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70FBF3B8" w14:textId="6976D9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0CC1CE70" w14:textId="0F8FE5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6B1C45" w14:paraId="01DF120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1E557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50FF4E68" w14:textId="4BADF2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2C03AE" w:rsidR="00D14420" w:rsidP="00E32416" w:rsidRDefault="00D14420" w14:paraId="6D6FD74D" w14:textId="6B3E31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2C03AE" w:rsidR="00D14420" w:rsidP="00F45646" w:rsidRDefault="00D14420" w14:paraId="76A397E9" w14:textId="4C07BD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7D07B80E" w14:textId="600F62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2C03AE" w:rsidR="00D14420" w:rsidRDefault="00D14420" w14:paraId="2C2CFF60" w14:textId="49355F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2C03AE" w:rsidR="00D14420" w:rsidRDefault="00D14420" w14:paraId="554DDD51" w14:textId="1F9FF8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2C03AE" w:rsidR="00D14420" w:rsidRDefault="00D14420" w14:paraId="2730454B" w14:textId="5712A9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DA326E" w14:paraId="3615E34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D14420" w:rsidP="00E32416" w:rsidRDefault="00D14420" w14:paraId="65C48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Pr="002C03AE" w:rsidR="00D14420" w:rsidP="00E32416" w:rsidRDefault="00D14420" w14:paraId="402FA84C" w14:textId="432301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2C03AE" w:rsidR="00D14420" w:rsidP="00E32416" w:rsidRDefault="008B5286" w14:paraId="7F582F6A" w14:textId="3DE133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430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Pr="002C03AE" w:rsidR="00D14420" w:rsidP="00F45646" w:rsidRDefault="00D14420" w14:paraId="75200478" w14:textId="6468BD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D14420" w:rsidRDefault="00D14420" w14:paraId="68585F4F" w14:textId="308A87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Pr="002C03AE" w:rsidR="00D14420" w:rsidRDefault="00D14420" w14:paraId="214D534F" w14:textId="45731D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D14420" w:rsidRDefault="00D14420" w14:paraId="2E81CFF9" w14:textId="741162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2C03AE" w:rsidR="00D14420" w:rsidRDefault="00D14420" w14:paraId="451447DE" w14:textId="59FE39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DA326E" w14:paraId="27B3A9F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214C02" w:rsidP="00E32416" w:rsidRDefault="00214C02" w14:paraId="00BC9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Pr="002C03AE" w:rsidR="00214C02" w:rsidP="00E32416" w:rsidRDefault="00214C02" w14:paraId="5ED8D417" w14:textId="0FFB6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2C03AE" w:rsidR="00214C02" w:rsidP="00E32416" w:rsidRDefault="00214C02" w14:paraId="3F4D7237" w14:textId="3A66C9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Pr="002C03AE" w:rsidR="00214C02" w:rsidP="00F45646" w:rsidRDefault="00214C02" w14:paraId="19237097" w14:textId="76CE1D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7FA304B4" w14:textId="59FB31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Pr="002C03AE" w:rsidR="00214C02" w:rsidRDefault="00214C02" w14:paraId="2BF861E8" w14:textId="5C5323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72D0C623" w14:textId="732D09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2C03AE" w:rsidR="00214C02" w:rsidRDefault="00214C02" w14:paraId="4E4E2A25" w14:textId="0A1CCE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DA326E" w14:paraId="752A83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214C02" w:rsidP="00E32416" w:rsidRDefault="00214C02" w14:paraId="328CC2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5D01F0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2C03AE" w:rsidR="00214C02" w:rsidRDefault="00214C02" w14:paraId="2E73074F" w14:textId="143E71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0DEC21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36D81B4B" w14:textId="149A12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1B9BE3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46806F8B" w14:textId="21C96C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2C03AE" w:rsidR="00214C02" w:rsidRDefault="00214C02" w14:paraId="4844096D" w14:textId="0E3139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DA326E" w14:paraId="25F6C3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214C02" w:rsidP="00E32416" w:rsidRDefault="00214C02" w14:paraId="7B14C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66A048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2C03AE" w:rsidR="00214C02" w:rsidRDefault="00214C02" w14:paraId="2E00BBB5" w14:textId="3A92EB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6D2DDD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138ED46C" w14:textId="75BD83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6977EE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391117D3" w14:textId="474A47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2C03AE" w:rsidR="00214C02" w:rsidRDefault="00214C02" w14:paraId="5FCBBBF6" w14:textId="116E69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DA326E" w14:paraId="0D622B3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214C02" w:rsidP="00E32416" w:rsidRDefault="00214C02" w14:paraId="06A5BF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1FA26D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2C03AE" w:rsidR="00214C02" w:rsidRDefault="00214C02" w14:paraId="354B80B4" w14:textId="315A78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2C9538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73935F0C" w14:textId="025CF4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2C03AE" w:rsidR="00214C02" w:rsidRDefault="00214C02" w14:paraId="77B24E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2C03AE" w:rsidR="00214C02" w:rsidRDefault="00214C02" w14:paraId="0E893A4D" w14:textId="07B0CB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2C03AE" w:rsidR="00214C02" w:rsidRDefault="00214C02" w14:paraId="418E5BBD" w14:textId="53C79E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2C03AE" w:rsidR="002C03AE" w:rsidTr="00C176D7" w14:paraId="166469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E504DA" w:rsidP="00E32416" w:rsidRDefault="00E504DA" w14:paraId="0A21AB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49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A5A02" w:rsidR="004245A8" w:rsidP="00E32416" w:rsidRDefault="004245A8" w14:paraId="20083432" w14:textId="111DC41F">
            <w:pPr>
              <w:tabs>
                <w:tab w:val="left" w:pos="6521"/>
              </w:tabs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Pēc situācijas uz </w:t>
            </w:r>
            <w:r w:rsidRPr="00DA5A02" w:rsidR="0040770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DA5A02" w:rsidR="008E477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.2019. tulkošanas pakalpojumu apmaksai Prokuratūrā kopsummā izlietoti </w:t>
            </w:r>
            <w:r w:rsidRPr="00DA5A02" w:rsidR="00C35C18">
              <w:rPr>
                <w:rFonts w:ascii="Times New Roman" w:hAnsi="Times New Roman" w:cs="Times New Roman"/>
                <w:iCs/>
                <w:sz w:val="24"/>
                <w:szCs w:val="24"/>
              </w:rPr>
              <w:t>362 018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t.i., jau šobrīd tiek pārsniegti gadam plānotie izdevumi par </w:t>
            </w:r>
            <w:r w:rsidRPr="00DA5A02" w:rsidR="00C35C18"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C35C18">
              <w:rPr>
                <w:rFonts w:ascii="Times New Roman" w:hAnsi="Times New Roman" w:cs="Times New Roman"/>
                <w:iCs/>
                <w:sz w:val="24"/>
                <w:szCs w:val="24"/>
              </w:rPr>
              <w:t>896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, un paredzams, ka līdz 2019.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gadā beigām šie izdevumi var sasniegt 62</w:t>
            </w:r>
            <w:r w:rsidRPr="00DA5A02" w:rsidR="003B76F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3B76FA">
              <w:rPr>
                <w:rFonts w:ascii="Times New Roman" w:hAnsi="Times New Roman" w:cs="Times New Roman"/>
                <w:iCs/>
                <w:sz w:val="24"/>
                <w:szCs w:val="24"/>
              </w:rPr>
              <w:t>882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euro,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jeb par 43</w:t>
            </w:r>
            <w:r w:rsidRPr="00DA5A02" w:rsidR="003B76F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3B76FA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gadā vairāk nekā gadam plānots (</w:t>
            </w:r>
            <w:r w:rsidRPr="00CE49A7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šobrīd zināms, ka divu krimināllietu ietvaros vēl jātulko </w:t>
            </w:r>
            <w:r w:rsidRPr="00CE49A7" w:rsidR="00187B2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179</w:t>
            </w:r>
            <w:r w:rsidRPr="00DA5A02" w:rsid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CE49A7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sējumi, kas, pēc provizoriskiem aprēķiniem, kopsummā var izmaksāt </w:t>
            </w:r>
            <w:r w:rsidRPr="00CE49A7" w:rsidR="00187B2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320 287</w:t>
            </w:r>
            <w:r w:rsidRPr="00CE49A7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CE49A7" w:rsidR="003B76F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no tiem līdz 2019.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gada beigām būs jāapmaksā provizoriski </w:t>
            </w:r>
            <w:r w:rsidRPr="002C03AE" w:rsidR="006E196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264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6E196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864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3B76F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C03AE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C03AE" w:rsidR="003B76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pārējās izmaksas </w:t>
            </w:r>
            <w:r w:rsidRPr="002C03AE" w:rsidR="000F617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55 423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 w:rsidR="003B76FA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 w:rsidR="003B76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apmērā tiks segtas pēc šo krimināllietu </w:t>
            </w:r>
            <w:r w:rsidRPr="002C03AE" w:rsidR="003B76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tulkošanas pakalpojumu pabeigšanas 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 w:rsidR="003B76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gadā, no 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 w:rsidR="003B76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gadam </w:t>
            </w:r>
            <w:r w:rsidRPr="002C03AE" w:rsidR="003B76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tulkošanas pakalpojumu nodrošināšanai plānotā finansējuma).</w:t>
            </w:r>
          </w:p>
          <w:p w:rsidRPr="00DA5A02" w:rsidR="00E504DA" w:rsidP="00E32416" w:rsidRDefault="00E504DA" w14:paraId="5C25EB65" w14:textId="77777777">
            <w:pPr>
              <w:tabs>
                <w:tab w:val="left" w:pos="6521"/>
              </w:tabs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Provizorisks aprēķins:</w:t>
            </w:r>
          </w:p>
          <w:p w:rsidRPr="00DA5A02" w:rsidR="00E504DA" w:rsidP="00F45646" w:rsidRDefault="00E504DA" w14:paraId="35C46FD6" w14:textId="3DF9853F">
            <w:pPr>
              <w:tabs>
                <w:tab w:val="left" w:pos="6521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1. Krimināllieta, kur jātulko 164 sējumi no latviešu valodas angļu valodā. Saskaņā ar līguma finanšu nosacījumiem, vienas lapas cena (1800 rakstzīmes ar tukšumzīmēm) - 5,45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 PVN.</w:t>
            </w:r>
          </w:p>
          <w:p w:rsidRPr="00DA5A02" w:rsidR="00E504DA" w:rsidRDefault="00E504DA" w14:paraId="4C033F08" w14:textId="28798D4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Ja vienā krimināllietas sējumā vidēji ir līdz 250 lapām, tad provizoriski šajā krimināllietā tulkojamo lapu skaits – 41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000 (164 x 250 = 41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lapas). Provizoriskās izmaksas:</w:t>
            </w:r>
          </w:p>
          <w:p w:rsidRPr="00DA5A02" w:rsidR="00E504DA" w:rsidRDefault="00E504DA" w14:paraId="3395EB07" w14:textId="37FC1F1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lapas x 5,45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=223 450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 PVN</w:t>
            </w:r>
          </w:p>
          <w:p w:rsidRPr="00DA5A02" w:rsidR="00E504DA" w:rsidRDefault="00E504DA" w14:paraId="19662C35" w14:textId="77777777">
            <w:pPr>
              <w:tabs>
                <w:tab w:val="left" w:pos="6521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2. Krimināllieta, kur nepieciešams veikt tulkošanu no latviešu valodas igauņu valodā. Krimināllietas apjoms - 163 sējumi.</w:t>
            </w:r>
          </w:p>
          <w:p w:rsidRPr="00DA5A02" w:rsidR="00E504DA" w:rsidRDefault="00E504DA" w14:paraId="7FBABDB9" w14:textId="5E41E955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Šobrīd iztulkoti aptuveni 1</w:t>
            </w:r>
            <w:r w:rsidRPr="00DA5A02" w:rsidR="0057774F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sējumi. Vēl jātulko provizoriski </w:t>
            </w:r>
            <w:r w:rsidRPr="00DA5A02" w:rsidR="0057774F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sējumi.</w:t>
            </w:r>
          </w:p>
          <w:p w:rsidRPr="00DA5A02" w:rsidR="00E504DA" w:rsidRDefault="00E504DA" w14:paraId="3A0D658F" w14:textId="4326FB8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Saskaņā ar līguma finanšu nosacījumiem, vienas lapas cena (1800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rakstzīmes ar tukšumzīmēm) 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 PVN.</w:t>
            </w:r>
          </w:p>
          <w:p w:rsidRPr="00DA5A02" w:rsidR="00FA1289" w:rsidRDefault="00E504DA" w14:paraId="76D7BE12" w14:textId="03BEA6B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 vienā krimināllietas sējumā vidēji ir līdz 250 lapām, tad provizoriski šajā krimināllietā tulkojamo lapu skaits – </w:t>
            </w:r>
            <w:r w:rsidRPr="00DA5A02" w:rsidR="00846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3750 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A5A02" w:rsidR="0057774F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x 250 = </w:t>
            </w:r>
            <w:r w:rsidRPr="00DA5A02" w:rsidR="005777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3750 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lapas). Provizoriski izmaksas:</w:t>
            </w:r>
          </w:p>
          <w:p w:rsidRPr="00DA5A02" w:rsidR="00E504DA" w:rsidRDefault="00FA1289" w14:paraId="5CE59598" w14:textId="5905E1A8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3750</w:t>
            </w:r>
            <w:r w:rsidR="002C03A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E504DA">
              <w:rPr>
                <w:rFonts w:ascii="Times New Roman" w:hAnsi="Times New Roman" w:cs="Times New Roman"/>
                <w:iCs/>
                <w:sz w:val="24"/>
                <w:szCs w:val="24"/>
              </w:rPr>
              <w:t>lapas x 11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E504D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 w:rsidR="00E50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41 250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 w:rsidR="00E504D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 w:rsidR="00E504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 PVN</w:t>
            </w:r>
          </w:p>
          <w:p w:rsidRPr="00DA5A02" w:rsidR="00E504DA" w:rsidRDefault="00E504DA" w14:paraId="026CF0C0" w14:textId="25F93A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KOPĀ: 223 450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r w:rsidRPr="00DA5A02" w:rsidR="00A63692">
              <w:rPr>
                <w:rFonts w:ascii="Times New Roman" w:hAnsi="Times New Roman" w:cs="Times New Roman"/>
                <w:iCs/>
                <w:sz w:val="24"/>
                <w:szCs w:val="24"/>
              </w:rPr>
              <w:t>41 250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PVN 21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= </w:t>
            </w:r>
            <w:r w:rsidRPr="00DA5A02" w:rsidR="00A63692">
              <w:rPr>
                <w:rFonts w:ascii="Times New Roman" w:hAnsi="Times New Roman" w:cs="Times New Roman"/>
                <w:iCs/>
                <w:sz w:val="24"/>
                <w:szCs w:val="24"/>
              </w:rPr>
              <w:t>320 287</w:t>
            </w:r>
            <w:r w:rsidRPr="00DA5A02" w:rsidR="00F456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A5A0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A5A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Pr="002C03AE" w:rsidR="00625D3D" w:rsidRDefault="00625D3D" w14:paraId="017BA399" w14:textId="27ADC55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CE49A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(no </w:t>
            </w:r>
            <w:r w:rsidRPr="00CE49A7" w:rsidR="00187B2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320 287</w:t>
            </w:r>
            <w:r w:rsidRPr="00CE49A7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līdz 2019.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gada beigām jāapmaksā provizoriski </w:t>
            </w:r>
            <w:r w:rsidRPr="002C03AE" w:rsidR="0052502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264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 w:rsidR="0052502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864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euro,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pārējās izmaksas </w:t>
            </w:r>
            <w:r w:rsidRPr="002C03AE" w:rsidR="00D8440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55 423</w:t>
            </w:r>
            <w:r w:rsidRPr="00DA5A02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E49A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E49A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apmērā tiks segtas 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gadā, no 2020.</w:t>
            </w:r>
            <w:r w:rsidRPr="002C03AE" w:rsidR="00F4564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gadam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tulkošanas pakalpojumu nodrošināšanai plānotā finansējuma)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2C03AE" w:rsidR="00625D3D" w:rsidRDefault="00625D3D" w14:paraId="48B3021A" w14:textId="388E879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lv-LV"/>
              </w:rPr>
              <w:t>NEPIECIEŠAMS PAPILDU FINANSĒJUMS 2019.</w:t>
            </w:r>
            <w:r w:rsidRPr="002C03AE" w:rsidR="00F45646"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lv-LV"/>
              </w:rPr>
              <w:t>GADĀ:</w:t>
            </w: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pārsniegto izdevumu </w:t>
            </w:r>
            <w:r w:rsidRPr="002C03AE" w:rsidR="00BE15A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165</w:t>
            </w:r>
            <w:r w:rsidRPr="002C03AE" w:rsidR="00EA08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 w:rsidR="00BE15A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896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 xml:space="preserve">euro 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apmērā segšana + </w:t>
            </w:r>
            <w:r w:rsidRPr="002C03AE" w:rsidR="00EA08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264 864</w:t>
            </w:r>
            <w:r w:rsidRPr="002C03AE" w:rsidR="00F4564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= </w:t>
            </w:r>
            <w:r w:rsidRPr="002C03AE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43</w:t>
            </w:r>
            <w:r w:rsidRPr="002C03AE" w:rsidR="002233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0</w:t>
            </w:r>
            <w:r w:rsidRPr="002C03AE" w:rsidR="00F45646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2C03AE" w:rsidR="002233D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760</w:t>
            </w:r>
            <w:r w:rsidRPr="002C03AE" w:rsidR="00F45646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2C03AE"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lv-LV"/>
              </w:rPr>
              <w:t>euro.</w:t>
            </w:r>
          </w:p>
        </w:tc>
      </w:tr>
      <w:tr w:rsidRPr="002C03AE" w:rsidR="002C03AE" w:rsidTr="00DA326E" w14:paraId="5FABF6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E504DA" w:rsidP="00E32416" w:rsidRDefault="00E504DA" w14:paraId="2520D3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:rsidRPr="002C03AE" w:rsidR="00E504DA" w:rsidRDefault="00E504DA" w14:paraId="775053C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2C03AE" w:rsidR="002C03AE" w:rsidTr="00DA326E" w14:paraId="53990F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E504DA" w:rsidP="00E32416" w:rsidRDefault="00E504DA" w14:paraId="6311FA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:rsidRPr="002C03AE" w:rsidR="00E504DA" w:rsidRDefault="00E504DA" w14:paraId="43C765C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2C03AE" w:rsidR="002C03AE" w:rsidTr="00DA326E" w14:paraId="719F5E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E504DA" w:rsidP="00E32416" w:rsidRDefault="00E504DA" w14:paraId="31E1C0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:rsidRPr="002C03AE" w:rsidR="00E504DA" w:rsidP="00E32416" w:rsidRDefault="00E504DA" w14:paraId="3C8FBF01" w14:textId="19DF92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Pr="002C03AE" w:rsidR="002C03AE" w:rsidTr="00DA326E" w14:paraId="7E7A8F1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2C03AE" w:rsidR="00E504DA" w:rsidP="00E32416" w:rsidRDefault="00E504DA" w14:paraId="09FE3B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:rsidRPr="00CE49A7" w:rsidR="00E504DA" w:rsidP="00E32416" w:rsidRDefault="009449B8" w14:paraId="793B9971" w14:textId="76AAF50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lv-LV"/>
              </w:rPr>
              <w:t xml:space="preserve">Izdevumus sedz no valsts budžeta programmas 02.00.00 </w:t>
            </w:r>
            <w:r w:rsidR="002C03AE"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eastAsia="lv-LV"/>
              </w:rPr>
              <w:t>"</w:t>
            </w:r>
            <w:r w:rsidRPr="00CE49A7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lv-LV"/>
              </w:rPr>
              <w:t>Līdzekļi neparedzētiem gadījumiem</w:t>
            </w:r>
            <w:r w:rsidR="002C03AE"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eastAsia="lv-LV"/>
              </w:rPr>
              <w:t>"</w:t>
            </w:r>
            <w:r w:rsidRPr="00CE49A7"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:rsidRPr="002C03AE" w:rsidR="004D15A9" w:rsidP="00E32416" w:rsidRDefault="004D15A9" w14:paraId="717F7F2B" w14:textId="553CEE6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2C03AE" w:rsidR="002C03AE" w:rsidTr="004D15A9" w14:paraId="4F0360E3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E32416" w:rsidRDefault="004D15A9" w14:paraId="433E7B0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2C03AE" w:rsidR="00B525A3" w:rsidTr="00B525A3" w14:paraId="0B379FE7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2C03AE" w:rsidR="00B525A3" w:rsidP="00E32416" w:rsidRDefault="00B525A3" w14:paraId="1B579D3B" w14:textId="531CC0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2C03AE" w:rsidR="004D15A9" w:rsidP="00E32416" w:rsidRDefault="004D15A9" w14:paraId="2CBEBB4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2C03AE" w:rsidR="002C03AE" w:rsidTr="001C5969" w14:paraId="5DED1206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E32416" w:rsidRDefault="004D15A9" w14:paraId="2C233676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2C03AE" w:rsidR="00B525A3" w:rsidTr="00B525A3" w14:paraId="3D3E697F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E49A7" w:rsidR="00B525A3" w:rsidP="00E32416" w:rsidRDefault="00B525A3" w14:paraId="46F4ED3F" w14:textId="3902BD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DA5A0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2C03AE" w:rsidR="004D15A9" w:rsidP="00E32416" w:rsidRDefault="004D15A9" w14:paraId="31665CF8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lv-LV"/>
        </w:rPr>
      </w:pPr>
    </w:p>
    <w:p w:rsidRPr="002C03AE" w:rsidR="004D15A9" w:rsidP="00E32416" w:rsidRDefault="004D15A9" w14:paraId="63E4FC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2C03AE" w:rsidR="002C03AE" w:rsidTr="00216350" w14:paraId="28BF07B0" w14:textId="77777777">
        <w:trPr>
          <w:trHeight w:val="266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2C03AE" w:rsidR="004D15A9" w:rsidP="00F45646" w:rsidRDefault="004D15A9" w14:paraId="62BDDC7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2C03AE" w:rsidR="00A97667" w:rsidTr="00216350" w14:paraId="7B1FA7B2" w14:textId="77777777">
        <w:trPr>
          <w:trHeight w:val="343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E49A7" w:rsidR="00A97667" w:rsidP="00E32416" w:rsidRDefault="00A97667" w14:paraId="298F5795" w14:textId="7DA8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0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2C03AE" w:rsidR="004D15A9" w:rsidP="00E32416" w:rsidRDefault="004D15A9" w14:paraId="569A45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2C03AE" w:rsidR="00BB1F46" w:rsidP="00E32416" w:rsidRDefault="00BB1F46" w14:paraId="10F2681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gaia"/>
        <w:tblW w:w="5000" w:type="pct"/>
        <w:tblLook w:val="04A0" w:firstRow="1" w:lastRow="0" w:firstColumn="1" w:lastColumn="0" w:noHBand="0" w:noVBand="1"/>
      </w:tblPr>
      <w:tblGrid>
        <w:gridCol w:w="453"/>
        <w:gridCol w:w="3443"/>
        <w:gridCol w:w="5165"/>
      </w:tblGrid>
      <w:tr w:rsidRPr="002C03AE" w:rsidR="002C03AE" w:rsidTr="00297EFA" w14:paraId="68FF1C96" w14:textId="77777777">
        <w:trPr>
          <w:trHeight w:val="375"/>
        </w:trPr>
        <w:tc>
          <w:tcPr>
            <w:tcW w:w="0" w:type="auto"/>
            <w:gridSpan w:val="3"/>
            <w:hideMark/>
          </w:tcPr>
          <w:p w:rsidRPr="002C03AE" w:rsidR="00293A78" w:rsidP="00F45646" w:rsidRDefault="00293A78" w14:paraId="4ED1FDB6" w14:textId="77777777">
            <w:pPr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2C03AE" w:rsidR="002C03AE" w:rsidTr="00297EFA" w14:paraId="4EE19C65" w14:textId="77777777">
        <w:trPr>
          <w:trHeight w:val="420"/>
        </w:trPr>
        <w:tc>
          <w:tcPr>
            <w:tcW w:w="247" w:type="pct"/>
            <w:hideMark/>
          </w:tcPr>
          <w:p w:rsidRPr="002C03AE" w:rsidR="00293A78" w:rsidP="00E32416" w:rsidRDefault="00293A78" w14:paraId="1DF88EC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hideMark/>
          </w:tcPr>
          <w:p w:rsidRPr="002C03AE" w:rsidR="00293A78" w:rsidP="00E32416" w:rsidRDefault="00293A78" w14:paraId="638AD5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2" w:type="pct"/>
            <w:hideMark/>
          </w:tcPr>
          <w:p w:rsidRPr="002C03AE" w:rsidR="00293A78" w:rsidP="00F45646" w:rsidRDefault="00293A78" w14:paraId="6030E582" w14:textId="77777777">
            <w:pPr>
              <w:ind w:firstLine="9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Finanšu ministrija un Ģenerālprokuratūra.</w:t>
            </w:r>
          </w:p>
        </w:tc>
      </w:tr>
      <w:tr w:rsidRPr="002C03AE" w:rsidR="002C03AE" w:rsidTr="00297EFA" w14:paraId="725071B6" w14:textId="77777777">
        <w:trPr>
          <w:trHeight w:val="450"/>
        </w:trPr>
        <w:tc>
          <w:tcPr>
            <w:tcW w:w="247" w:type="pct"/>
            <w:hideMark/>
          </w:tcPr>
          <w:p w:rsidRPr="002C03AE" w:rsidR="00293A78" w:rsidP="00E32416" w:rsidRDefault="00293A78" w14:paraId="4039A54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875" w:type="pct"/>
            <w:hideMark/>
          </w:tcPr>
          <w:p w:rsidRPr="002C03AE" w:rsidR="00293A78" w:rsidP="00E32416" w:rsidRDefault="00293A78" w14:paraId="7E87A0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Pr="002C03AE" w:rsidR="00293A78" w:rsidP="00F45646" w:rsidRDefault="00293A78" w14:paraId="342A7E5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2" w:type="pct"/>
            <w:hideMark/>
          </w:tcPr>
          <w:p w:rsidRPr="002C03AE" w:rsidR="00293A78" w:rsidRDefault="00293A78" w14:paraId="5D3E4D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Rīkojuma projekta izpilde neietekmē iesaistīto institūciju funkcijas un uzdevumus.</w:t>
            </w:r>
          </w:p>
          <w:p w:rsidRPr="002C03AE" w:rsidR="00293A78" w:rsidRDefault="00293A78" w14:paraId="3A37309B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cs="Times New Roman"/>
                <w:sz w:val="24"/>
                <w:szCs w:val="24"/>
              </w:rPr>
              <w:t>Rīkojuma projekta izpilde neietekmē valsts pārvaldes institucionālo sistēmu.</w:t>
            </w:r>
          </w:p>
        </w:tc>
      </w:tr>
      <w:tr w:rsidRPr="002C03AE" w:rsidR="00293A78" w:rsidTr="00297EFA" w14:paraId="226C86F3" w14:textId="77777777">
        <w:trPr>
          <w:trHeight w:val="390"/>
        </w:trPr>
        <w:tc>
          <w:tcPr>
            <w:tcW w:w="247" w:type="pct"/>
            <w:hideMark/>
          </w:tcPr>
          <w:p w:rsidRPr="002C03AE" w:rsidR="00293A78" w:rsidP="00E32416" w:rsidRDefault="00293A78" w14:paraId="1327574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hideMark/>
          </w:tcPr>
          <w:p w:rsidRPr="002C03AE" w:rsidR="00293A78" w:rsidP="00E32416" w:rsidRDefault="00293A78" w14:paraId="674C9B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2" w:type="pct"/>
            <w:hideMark/>
          </w:tcPr>
          <w:p w:rsidRPr="002C03AE" w:rsidR="00293A78" w:rsidP="00F45646" w:rsidRDefault="00293A78" w14:paraId="00FA6E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C03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2C03AE" w:rsidR="004D15A9" w:rsidP="00E32416" w:rsidRDefault="004D15A9" w14:paraId="3E8EDA78" w14:textId="44D2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C03AE" w:rsidR="00482531" w:rsidP="00E32416" w:rsidRDefault="00482531" w14:paraId="25413DB7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AE">
        <w:rPr>
          <w:rFonts w:ascii="Times New Roman" w:hAnsi="Times New Roman" w:cs="Times New Roman"/>
          <w:sz w:val="24"/>
          <w:szCs w:val="24"/>
        </w:rPr>
        <w:t>Iesniedzējs:</w:t>
      </w:r>
    </w:p>
    <w:p w:rsidRPr="002C03AE" w:rsidR="00567B7C" w:rsidP="00F45646" w:rsidRDefault="00482531" w14:paraId="565C02B9" w14:textId="7454B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OLE_LINK3" w:id="3"/>
      <w:bookmarkStart w:name="OLE_LINK4" w:id="4"/>
      <w:r w:rsidRPr="002C03AE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Pr="002C03AE" w:rsidR="00482531" w:rsidP="00DA5A02" w:rsidRDefault="00ED292A" w14:paraId="717DE89B" w14:textId="1787D20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AE">
        <w:rPr>
          <w:rFonts w:ascii="Times New Roman" w:hAnsi="Times New Roman" w:cs="Times New Roman"/>
          <w:sz w:val="24"/>
          <w:szCs w:val="24"/>
        </w:rPr>
        <w:t>t</w:t>
      </w:r>
      <w:r w:rsidRPr="002C03AE" w:rsidR="00482531">
        <w:rPr>
          <w:rFonts w:ascii="Times New Roman" w:hAnsi="Times New Roman" w:cs="Times New Roman"/>
          <w:sz w:val="24"/>
          <w:szCs w:val="24"/>
        </w:rPr>
        <w:t>ieslietu ministrs</w:t>
      </w:r>
      <w:r w:rsidRPr="002C03AE" w:rsidR="00E32416">
        <w:rPr>
          <w:rFonts w:ascii="Times New Roman" w:hAnsi="Times New Roman" w:cs="Times New Roman"/>
          <w:sz w:val="24"/>
          <w:szCs w:val="24"/>
        </w:rPr>
        <w:tab/>
      </w:r>
      <w:bookmarkEnd w:id="3"/>
      <w:bookmarkEnd w:id="4"/>
      <w:r w:rsidRPr="002C03AE" w:rsidR="00A9647E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2C03AE" w:rsidR="00A9647E">
        <w:rPr>
          <w:rFonts w:ascii="Times New Roman" w:hAnsi="Times New Roman" w:cs="Times New Roman"/>
          <w:sz w:val="24"/>
          <w:szCs w:val="24"/>
        </w:rPr>
        <w:t>Bordāns</w:t>
      </w:r>
      <w:proofErr w:type="spellEnd"/>
    </w:p>
    <w:p w:rsidRPr="002C03AE" w:rsidR="00567B7C" w:rsidP="00E32416" w:rsidRDefault="00567B7C" w14:paraId="3BD94E8E" w14:textId="3340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C03AE" w:rsidR="0099582D" w:rsidP="00E32416" w:rsidRDefault="0099582D" w14:paraId="45F6DE63" w14:textId="2ABE4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C03AE" w:rsidR="0099582D" w:rsidP="00F45646" w:rsidRDefault="0099582D" w14:paraId="611CE675" w14:textId="2CC1F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C03AE" w:rsidR="0099582D" w:rsidRDefault="0099582D" w14:paraId="296D17C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A5A02" w:rsidR="00567B7C" w:rsidRDefault="00567B7C" w14:paraId="48161BC1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A5A02">
        <w:rPr>
          <w:rFonts w:ascii="Times New Roman" w:hAnsi="Times New Roman" w:cs="Times New Roman"/>
          <w:sz w:val="20"/>
          <w:szCs w:val="24"/>
        </w:rPr>
        <w:t>Mickāne</w:t>
      </w:r>
      <w:proofErr w:type="spellEnd"/>
      <w:r w:rsidRPr="00DA5A02">
        <w:rPr>
          <w:rFonts w:ascii="Times New Roman" w:hAnsi="Times New Roman" w:cs="Times New Roman"/>
          <w:sz w:val="20"/>
          <w:szCs w:val="20"/>
        </w:rPr>
        <w:t xml:space="preserve"> 67044512</w:t>
      </w:r>
    </w:p>
    <w:p w:rsidRPr="00DA5A02" w:rsidR="00567B7C" w:rsidRDefault="00F45646" w14:paraId="21F72C4D" w14:textId="217A11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history="1" r:id="rId8">
        <w:r w:rsidRPr="00DA5A02" w:rsidR="004E52BA">
          <w:rPr>
            <w:rStyle w:val="Hipersaite"/>
            <w:rFonts w:ascii="Times New Roman" w:hAnsi="Times New Roman" w:cs="Times New Roman"/>
            <w:color w:val="auto"/>
            <w:sz w:val="20"/>
            <w:szCs w:val="20"/>
          </w:rPr>
          <w:t>Ineta.Mickane@lrp.gov.lv</w:t>
        </w:r>
      </w:hyperlink>
    </w:p>
    <w:p w:rsidRPr="00DA5A02" w:rsidR="004E52BA" w:rsidRDefault="004E52BA" w14:paraId="12728F5D" w14:textId="62ED9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DA5A02" w:rsidR="004E52BA" w:rsidRDefault="004E52BA" w14:paraId="5044A594" w14:textId="192BF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A02">
        <w:rPr>
          <w:rFonts w:ascii="Times New Roman" w:hAnsi="Times New Roman" w:cs="Times New Roman"/>
          <w:sz w:val="20"/>
          <w:szCs w:val="20"/>
        </w:rPr>
        <w:t>Indriksone</w:t>
      </w:r>
      <w:r w:rsidRPr="00DA5A02" w:rsidR="00E32416">
        <w:rPr>
          <w:rFonts w:ascii="Times New Roman" w:hAnsi="Times New Roman" w:cs="Times New Roman"/>
          <w:sz w:val="20"/>
          <w:szCs w:val="20"/>
        </w:rPr>
        <w:t xml:space="preserve"> </w:t>
      </w:r>
      <w:r w:rsidRPr="00DA5A02">
        <w:rPr>
          <w:rFonts w:ascii="Times New Roman" w:hAnsi="Times New Roman" w:cs="Times New Roman"/>
          <w:sz w:val="20"/>
          <w:szCs w:val="20"/>
        </w:rPr>
        <w:t>67036752</w:t>
      </w:r>
    </w:p>
    <w:p w:rsidRPr="00CE49A7" w:rsidR="004E52BA" w:rsidRDefault="004E52BA" w14:paraId="557E2813" w14:textId="03141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A02">
        <w:rPr>
          <w:rFonts w:ascii="Times New Roman" w:hAnsi="Times New Roman" w:cs="Times New Roman"/>
          <w:sz w:val="20"/>
          <w:szCs w:val="20"/>
        </w:rPr>
        <w:t>Laura.indriksone@tm.gov.lv</w:t>
      </w:r>
      <w:bookmarkStart w:name="_GoBack" w:id="5"/>
      <w:bookmarkEnd w:id="5"/>
    </w:p>
    <w:sectPr w:rsidRPr="00CE49A7" w:rsidR="004E52BA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1977" w14:textId="77777777" w:rsidR="000155AE" w:rsidRDefault="000155AE" w:rsidP="004D15A9">
      <w:pPr>
        <w:spacing w:after="0" w:line="240" w:lineRule="auto"/>
      </w:pPr>
      <w:r>
        <w:separator/>
      </w:r>
    </w:p>
  </w:endnote>
  <w:endnote w:type="continuationSeparator" w:id="0">
    <w:p w14:paraId="6F77673A" w14:textId="77777777" w:rsidR="000155AE" w:rsidRDefault="000155AE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89F3" w14:textId="1B44C1C3" w:rsidR="0042645D" w:rsidRDefault="00E32416" w:rsidP="0042645D">
    <w:pPr>
      <w:pStyle w:val="Kjene"/>
      <w:rPr>
        <w:rFonts w:ascii="Times New Roman" w:hAnsi="Times New Roman" w:cs="Times New Roman"/>
        <w:sz w:val="20"/>
        <w:szCs w:val="20"/>
      </w:rPr>
    </w:pPr>
    <w:r w:rsidRPr="00567B7C">
      <w:rPr>
        <w:rFonts w:ascii="Times New Roman" w:hAnsi="Times New Roman" w:cs="Times New Roman"/>
        <w:sz w:val="20"/>
        <w:szCs w:val="20"/>
      </w:rPr>
      <w:t>TMAnot_</w:t>
    </w:r>
    <w:r>
      <w:rPr>
        <w:rFonts w:ascii="Times New Roman" w:hAnsi="Times New Roman" w:cs="Times New Roman"/>
        <w:sz w:val="20"/>
        <w:szCs w:val="20"/>
      </w:rPr>
      <w:t>0110</w:t>
    </w:r>
    <w:r w:rsidRPr="00567B7C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LNG_</w:t>
    </w:r>
    <w:r w:rsidRPr="00567B7C">
      <w:rPr>
        <w:rFonts w:ascii="Times New Roman" w:hAnsi="Times New Roman" w:cs="Times New Roman"/>
        <w:sz w:val="20"/>
        <w:szCs w:val="20"/>
      </w:rPr>
      <w:t>tulkos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658" w14:textId="55D05095" w:rsidR="004D15A9" w:rsidRPr="00567B7C" w:rsidRDefault="00567B7C" w:rsidP="00567B7C">
    <w:pPr>
      <w:pStyle w:val="Kjene"/>
      <w:rPr>
        <w:rFonts w:ascii="Times New Roman" w:hAnsi="Times New Roman" w:cs="Times New Roman"/>
        <w:sz w:val="20"/>
        <w:szCs w:val="20"/>
      </w:rPr>
    </w:pPr>
    <w:r w:rsidRPr="00567B7C">
      <w:rPr>
        <w:rFonts w:ascii="Times New Roman" w:hAnsi="Times New Roman" w:cs="Times New Roman"/>
        <w:sz w:val="20"/>
        <w:szCs w:val="20"/>
      </w:rPr>
      <w:t>TMAnot_</w:t>
    </w:r>
    <w:r w:rsidR="00845F92">
      <w:rPr>
        <w:rFonts w:ascii="Times New Roman" w:hAnsi="Times New Roman" w:cs="Times New Roman"/>
        <w:sz w:val="20"/>
        <w:szCs w:val="20"/>
      </w:rPr>
      <w:t>0110</w:t>
    </w:r>
    <w:r w:rsidR="00845F92" w:rsidRPr="00567B7C">
      <w:rPr>
        <w:rFonts w:ascii="Times New Roman" w:hAnsi="Times New Roman" w:cs="Times New Roman"/>
        <w:sz w:val="20"/>
        <w:szCs w:val="20"/>
      </w:rPr>
      <w:t>19</w:t>
    </w:r>
    <w:r w:rsidRPr="00567B7C">
      <w:rPr>
        <w:rFonts w:ascii="Times New Roman" w:hAnsi="Times New Roman" w:cs="Times New Roman"/>
        <w:sz w:val="20"/>
        <w:szCs w:val="20"/>
      </w:rPr>
      <w:t>_</w:t>
    </w:r>
    <w:r w:rsidR="00E32416">
      <w:rPr>
        <w:rFonts w:ascii="Times New Roman" w:hAnsi="Times New Roman" w:cs="Times New Roman"/>
        <w:sz w:val="20"/>
        <w:szCs w:val="20"/>
      </w:rPr>
      <w:t>LNG_</w:t>
    </w:r>
    <w:r w:rsidRPr="00567B7C">
      <w:rPr>
        <w:rFonts w:ascii="Times New Roman" w:hAnsi="Times New Roman" w:cs="Times New Roman"/>
        <w:sz w:val="20"/>
        <w:szCs w:val="20"/>
      </w:rPr>
      <w:t>tulkos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10F6" w14:textId="77777777" w:rsidR="000155AE" w:rsidRDefault="000155AE" w:rsidP="004D15A9">
      <w:pPr>
        <w:spacing w:after="0" w:line="240" w:lineRule="auto"/>
      </w:pPr>
      <w:r>
        <w:separator/>
      </w:r>
    </w:p>
  </w:footnote>
  <w:footnote w:type="continuationSeparator" w:id="0">
    <w:p w14:paraId="2E0EACC3" w14:textId="77777777" w:rsidR="000155AE" w:rsidRDefault="000155AE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3D63889F" w14:textId="1EA5DCC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E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 w14:paraId="2E7D154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3CB6"/>
    <w:rsid w:val="0001150A"/>
    <w:rsid w:val="000155AE"/>
    <w:rsid w:val="00021D77"/>
    <w:rsid w:val="00031256"/>
    <w:rsid w:val="0004698E"/>
    <w:rsid w:val="00084207"/>
    <w:rsid w:val="000A1EBB"/>
    <w:rsid w:val="000B6C24"/>
    <w:rsid w:val="000C2AE7"/>
    <w:rsid w:val="000E3461"/>
    <w:rsid w:val="000E42FD"/>
    <w:rsid w:val="000F617B"/>
    <w:rsid w:val="00101CD5"/>
    <w:rsid w:val="00116DFA"/>
    <w:rsid w:val="001455EF"/>
    <w:rsid w:val="00146C6B"/>
    <w:rsid w:val="00187B24"/>
    <w:rsid w:val="00197759"/>
    <w:rsid w:val="001C5969"/>
    <w:rsid w:val="001C7EF8"/>
    <w:rsid w:val="001D0152"/>
    <w:rsid w:val="001D6FC3"/>
    <w:rsid w:val="001E2140"/>
    <w:rsid w:val="001F68D7"/>
    <w:rsid w:val="00214C02"/>
    <w:rsid w:val="00216350"/>
    <w:rsid w:val="00220682"/>
    <w:rsid w:val="002233D1"/>
    <w:rsid w:val="0022631D"/>
    <w:rsid w:val="00293A78"/>
    <w:rsid w:val="002C03AE"/>
    <w:rsid w:val="002C5221"/>
    <w:rsid w:val="0031530A"/>
    <w:rsid w:val="0032459E"/>
    <w:rsid w:val="003730C5"/>
    <w:rsid w:val="003750F9"/>
    <w:rsid w:val="003803BC"/>
    <w:rsid w:val="003922B0"/>
    <w:rsid w:val="003A2A0B"/>
    <w:rsid w:val="003B76FA"/>
    <w:rsid w:val="003C08C8"/>
    <w:rsid w:val="003D08C9"/>
    <w:rsid w:val="003D5E38"/>
    <w:rsid w:val="0040770D"/>
    <w:rsid w:val="004245A8"/>
    <w:rsid w:val="0042645D"/>
    <w:rsid w:val="00433725"/>
    <w:rsid w:val="0043541A"/>
    <w:rsid w:val="004475BD"/>
    <w:rsid w:val="00461275"/>
    <w:rsid w:val="00476E04"/>
    <w:rsid w:val="00482531"/>
    <w:rsid w:val="00493114"/>
    <w:rsid w:val="004A0C57"/>
    <w:rsid w:val="004A6F0B"/>
    <w:rsid w:val="004C2930"/>
    <w:rsid w:val="004C3B12"/>
    <w:rsid w:val="004D15A9"/>
    <w:rsid w:val="004D7EFC"/>
    <w:rsid w:val="004E52BA"/>
    <w:rsid w:val="00503505"/>
    <w:rsid w:val="00515CEE"/>
    <w:rsid w:val="00525026"/>
    <w:rsid w:val="00533ED4"/>
    <w:rsid w:val="0056459F"/>
    <w:rsid w:val="00567B7C"/>
    <w:rsid w:val="0057774F"/>
    <w:rsid w:val="0059057E"/>
    <w:rsid w:val="005B4DB7"/>
    <w:rsid w:val="005C0266"/>
    <w:rsid w:val="005D4E8A"/>
    <w:rsid w:val="005D7A62"/>
    <w:rsid w:val="005E6684"/>
    <w:rsid w:val="00612A92"/>
    <w:rsid w:val="00625D3D"/>
    <w:rsid w:val="006641E1"/>
    <w:rsid w:val="00686561"/>
    <w:rsid w:val="0069244D"/>
    <w:rsid w:val="006A4202"/>
    <w:rsid w:val="006B6203"/>
    <w:rsid w:val="006E196A"/>
    <w:rsid w:val="006E2ABC"/>
    <w:rsid w:val="006F6825"/>
    <w:rsid w:val="007047F3"/>
    <w:rsid w:val="0070772F"/>
    <w:rsid w:val="00727E38"/>
    <w:rsid w:val="0073730D"/>
    <w:rsid w:val="00745A9D"/>
    <w:rsid w:val="007A44F5"/>
    <w:rsid w:val="007C66CC"/>
    <w:rsid w:val="007C76FD"/>
    <w:rsid w:val="0081203F"/>
    <w:rsid w:val="00827F7F"/>
    <w:rsid w:val="00832785"/>
    <w:rsid w:val="008371BE"/>
    <w:rsid w:val="00841836"/>
    <w:rsid w:val="00845F92"/>
    <w:rsid w:val="008468AE"/>
    <w:rsid w:val="00874E06"/>
    <w:rsid w:val="008826E9"/>
    <w:rsid w:val="00883A50"/>
    <w:rsid w:val="008A1810"/>
    <w:rsid w:val="008B5286"/>
    <w:rsid w:val="008E477B"/>
    <w:rsid w:val="008E4E93"/>
    <w:rsid w:val="008E78B2"/>
    <w:rsid w:val="009449B8"/>
    <w:rsid w:val="00964EA7"/>
    <w:rsid w:val="009661F7"/>
    <w:rsid w:val="00974B88"/>
    <w:rsid w:val="0097690A"/>
    <w:rsid w:val="0099582D"/>
    <w:rsid w:val="00997954"/>
    <w:rsid w:val="009B7B57"/>
    <w:rsid w:val="009F08B9"/>
    <w:rsid w:val="00A1552F"/>
    <w:rsid w:val="00A35200"/>
    <w:rsid w:val="00A55248"/>
    <w:rsid w:val="00A6345F"/>
    <w:rsid w:val="00A63692"/>
    <w:rsid w:val="00A72C19"/>
    <w:rsid w:val="00A9229C"/>
    <w:rsid w:val="00A9647E"/>
    <w:rsid w:val="00A97667"/>
    <w:rsid w:val="00AB6562"/>
    <w:rsid w:val="00B00AC5"/>
    <w:rsid w:val="00B146DA"/>
    <w:rsid w:val="00B525A3"/>
    <w:rsid w:val="00B67842"/>
    <w:rsid w:val="00B753D2"/>
    <w:rsid w:val="00B7755D"/>
    <w:rsid w:val="00B81C6E"/>
    <w:rsid w:val="00B83C87"/>
    <w:rsid w:val="00B83D30"/>
    <w:rsid w:val="00B85344"/>
    <w:rsid w:val="00BB1F46"/>
    <w:rsid w:val="00BC2633"/>
    <w:rsid w:val="00BC2A26"/>
    <w:rsid w:val="00BC386D"/>
    <w:rsid w:val="00BE15AF"/>
    <w:rsid w:val="00BF327D"/>
    <w:rsid w:val="00BF3A34"/>
    <w:rsid w:val="00C2316A"/>
    <w:rsid w:val="00C35C18"/>
    <w:rsid w:val="00C8748A"/>
    <w:rsid w:val="00C96226"/>
    <w:rsid w:val="00CA2049"/>
    <w:rsid w:val="00CE49A7"/>
    <w:rsid w:val="00CE7EC9"/>
    <w:rsid w:val="00D06CB6"/>
    <w:rsid w:val="00D1107A"/>
    <w:rsid w:val="00D14420"/>
    <w:rsid w:val="00D313D5"/>
    <w:rsid w:val="00D431B8"/>
    <w:rsid w:val="00D84408"/>
    <w:rsid w:val="00D90F3F"/>
    <w:rsid w:val="00DA326E"/>
    <w:rsid w:val="00DA52AC"/>
    <w:rsid w:val="00DA596D"/>
    <w:rsid w:val="00DA5A02"/>
    <w:rsid w:val="00DE78C6"/>
    <w:rsid w:val="00DF1166"/>
    <w:rsid w:val="00DF7A8B"/>
    <w:rsid w:val="00E32416"/>
    <w:rsid w:val="00E44C94"/>
    <w:rsid w:val="00E45977"/>
    <w:rsid w:val="00E504DA"/>
    <w:rsid w:val="00E557CC"/>
    <w:rsid w:val="00E5586E"/>
    <w:rsid w:val="00E9181C"/>
    <w:rsid w:val="00E95CEF"/>
    <w:rsid w:val="00EA0862"/>
    <w:rsid w:val="00ED292A"/>
    <w:rsid w:val="00ED573E"/>
    <w:rsid w:val="00EE244D"/>
    <w:rsid w:val="00EF6CCF"/>
    <w:rsid w:val="00F45646"/>
    <w:rsid w:val="00F9051C"/>
    <w:rsid w:val="00F91583"/>
    <w:rsid w:val="00FA1289"/>
    <w:rsid w:val="00FA6298"/>
    <w:rsid w:val="00FB2959"/>
    <w:rsid w:val="00FC36A3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styleId="Bezatstarpm">
    <w:name w:val="No Spacing"/>
    <w:uiPriority w:val="1"/>
    <w:qFormat/>
    <w:rsid w:val="00A55248"/>
    <w:pPr>
      <w:spacing w:after="0" w:line="240" w:lineRule="auto"/>
    </w:pPr>
  </w:style>
  <w:style w:type="character" w:customStyle="1" w:styleId="FontStyle14">
    <w:name w:val="Font Style14"/>
    <w:rsid w:val="00B7755D"/>
    <w:rPr>
      <w:rFonts w:ascii="Times New Roman" w:hAnsi="Times New Roman" w:cs="Times New Roman"/>
      <w:sz w:val="22"/>
      <w:szCs w:val="22"/>
    </w:rPr>
  </w:style>
  <w:style w:type="table" w:styleId="Reatabulagaia">
    <w:name w:val="Grid Table Light"/>
    <w:basedOn w:val="Parastatabula"/>
    <w:uiPriority w:val="40"/>
    <w:rsid w:val="00293A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4E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Mickane@lr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13AD-B11A-4F89-9189-8AC604C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5759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"Par finanšu līdzekļu piešķiršanu no valsts budžeta programmas "Līdzekļi neparedzētiem gadījumiem"" sākotnējās ietekmes novērtējuma ziņojums (anotācija)</vt:lpstr>
      <vt:lpstr>Ministru kabineta rīkojuma projekta "Par apropriācijas pārdali" sākotnējās ietekmes novērtējuma ziņojums (anotācija)</vt:lpstr>
    </vt:vector>
  </TitlesOfParts>
  <Company>Tieslietu ministrija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finanšu līdzekļu piešķiršanu no valsts budžeta programmas "Līdzekļi neparedzētiem gadījumiem"" sākotnējās ietekmes novērtējuma ziņojums (anotācija)</dc:title>
  <dc:subject>Anotācija</dc:subject>
  <dc:creator>Ineta Mickāne, Laura Indriksone</dc:creator>
  <dc:description>67044512, Ineta.Mickane@lrp.gov.lv_x000d_
67036752, Laura.indriksone@tm.gov.lv_x000d_
</dc:description>
  <cp:lastModifiedBy>Laura Indriksone</cp:lastModifiedBy>
  <cp:revision>17</cp:revision>
  <cp:lastPrinted>2019-09-11T15:55:00Z</cp:lastPrinted>
  <dcterms:created xsi:type="dcterms:W3CDTF">2019-09-16T05:37:00Z</dcterms:created>
  <dcterms:modified xsi:type="dcterms:W3CDTF">2019-10-01T09:51:00Z</dcterms:modified>
</cp:coreProperties>
</file>