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BE44" w14:textId="3BB74F0F" w:rsidR="00894C55" w:rsidRDefault="006A0DA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Content>
          <w:r w:rsidR="00206BFB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</w:t>
          </w:r>
        </w:sdtContent>
      </w:sdt>
      <w:r w:rsidR="00894C55" w:rsidRPr="003D7F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2013.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 26.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februāra noteikumos Nr.</w:t>
      </w:r>
      <w:r w:rsidR="00760F08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206BFB" w:rsidRP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112 “Emisijas kvotu piešķiršanas kārtība stacionāro tehnoloģisko iekārtu operatoriem”</w:t>
      </w:r>
      <w:r w:rsidR="00D774A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”</w:t>
      </w:r>
      <w:r w:rsidR="00206BF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3D7F0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489CB41F" w14:textId="77777777" w:rsidR="00206BFB" w:rsidRPr="003D7F0C" w:rsidRDefault="00206BF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06BFB" w:rsidRPr="00206BFB" w14:paraId="698F5673" w14:textId="77777777" w:rsidTr="007537F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EBDE" w14:textId="77777777" w:rsidR="00206BFB" w:rsidRPr="00206BFB" w:rsidRDefault="00206BFB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06B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6BFB" w:rsidRPr="00206BFB" w14:paraId="13BC1D67" w14:textId="77777777" w:rsidTr="007537F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5976" w14:textId="77777777" w:rsidR="00206BFB" w:rsidRPr="00206BFB" w:rsidRDefault="00206BFB" w:rsidP="00753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06B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5F769" w14:textId="5CA201CA" w:rsidR="00770CBC" w:rsidRPr="00252F31" w:rsidRDefault="00770CBC" w:rsidP="0077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„Grozījumi 2013.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26.februāra Ministru kabineta noteikumos Nr.112 “Emisijas kvotu piešķiršanas kārtība stacionāro tehnoloģisko iekārtu operatoriem”” (turpmāk – Noteikumu projekts) mērķis ir nodrošināt Eiropas Parlamenta un Padomes 2018.</w:t>
            </w:r>
            <w:r w:rsidR="00817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19.</w:t>
            </w:r>
            <w:r w:rsidR="00817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marta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irektīvas Nr.</w:t>
            </w:r>
            <w:r w:rsidR="008170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2018/410, ar ko groza Direktīvu 2003/87/EK, lai sekmētu emisiju izmaksefektīvu samazināšanu un investīcijas mazogle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kļa risinājumos, un Lēmumu (ES) 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2015/1814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Direktīva 2018/410)</w:t>
            </w:r>
            <w:r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prasību pārņemšanu Latvijas normatīvajos aktos. </w:t>
            </w:r>
          </w:p>
          <w:p w14:paraId="2E016EBB" w14:textId="77777777" w:rsidR="00770CBC" w:rsidRPr="00252F31" w:rsidRDefault="00770CBC" w:rsidP="0077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B18DBFC" w14:textId="3472B5A9" w:rsidR="00206BFB" w:rsidRPr="00206BFB" w:rsidRDefault="009961C6" w:rsidP="0067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stā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sie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996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spēkā Oficiālo publikāciju un 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tiesiskās informācijas likuma 7. panta otrajā daļā noteiktajā kārtībā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avukārt ar </w:t>
            </w:r>
            <w:r w:rsidR="00770CBC"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770CBC"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paredzēts, ka atsevišķi tā punkti stāsies spēkā 2021.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70CBC"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70CBC" w:rsidRPr="00252F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janvārī.</w:t>
            </w:r>
          </w:p>
        </w:tc>
      </w:tr>
    </w:tbl>
    <w:p w14:paraId="641192A0" w14:textId="77777777" w:rsidR="00206BFB" w:rsidRPr="003D7F0C" w:rsidRDefault="00206BF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7F0820D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985E" w14:textId="7573D422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 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9470CF" w:rsidRPr="003D7F0C" w14:paraId="620DC2B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1D2D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36FFA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8C14" w14:textId="2B4C3F8B" w:rsidR="009470CF" w:rsidRPr="003D7F0C" w:rsidRDefault="00770CBC" w:rsidP="00676C40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8C49C3" w:rsidRPr="003D7F0C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C32D62">
              <w:rPr>
                <w:rFonts w:ascii="Times New Roman" w:hAnsi="Times New Roman" w:cs="Times New Roman"/>
                <w:sz w:val="24"/>
                <w:szCs w:val="24"/>
              </w:rPr>
              <w:t xml:space="preserve">sagatavots 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 xml:space="preserve">pēc Vides aizsardzības un reģionālās attīstības ministrijas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- VARAM) </w:t>
            </w:r>
            <w:r w:rsidR="0000141A">
              <w:rPr>
                <w:rFonts w:ascii="Times New Roman" w:hAnsi="Times New Roman" w:cs="Times New Roman"/>
                <w:sz w:val="24"/>
                <w:szCs w:val="24"/>
              </w:rPr>
              <w:t xml:space="preserve">iniciatīvas, lai </w:t>
            </w:r>
            <w:r w:rsidR="00C32D62">
              <w:rPr>
                <w:rFonts w:ascii="Times New Roman" w:hAnsi="Times New Roman" w:cs="Times New Roman"/>
                <w:sz w:val="24"/>
                <w:szCs w:val="24"/>
              </w:rPr>
              <w:t xml:space="preserve">nodrošinātu </w:t>
            </w:r>
            <w:r w:rsidR="0056647B">
              <w:rPr>
                <w:rFonts w:ascii="Times New Roman" w:hAnsi="Times New Roman" w:cs="Times New Roman"/>
                <w:sz w:val="24"/>
                <w:szCs w:val="24"/>
              </w:rPr>
              <w:t xml:space="preserve">atsevišķu </w:t>
            </w:r>
            <w:r w:rsidR="00C3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C3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 prasību pārņemšanu Latvijas normatīvajos aktos.</w:t>
            </w:r>
          </w:p>
        </w:tc>
      </w:tr>
      <w:tr w:rsidR="009470CF" w:rsidRPr="003D7F0C" w14:paraId="3986B2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4C70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D60A" w14:textId="7AE84898" w:rsidR="00D47D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16BDA19" w14:textId="77777777" w:rsidR="00D47D76" w:rsidRPr="00D47D76" w:rsidRDefault="00D47D76" w:rsidP="00D4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9AF810" w14:textId="77777777" w:rsidR="00D47D76" w:rsidRPr="00D47D76" w:rsidRDefault="00D47D76" w:rsidP="00D4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ACF9F5" w14:textId="77777777" w:rsidR="00D47D76" w:rsidRPr="00D47D76" w:rsidRDefault="00D47D76" w:rsidP="00D4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D625B27" w14:textId="77777777" w:rsidR="00D47D76" w:rsidRPr="00D47D76" w:rsidRDefault="00D47D76" w:rsidP="00D4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35E621" w14:textId="1DFDD1B2" w:rsidR="00E5323B" w:rsidRPr="00D47D76" w:rsidRDefault="00E5323B" w:rsidP="00D47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4BEC" w14:textId="3EC9F617" w:rsidR="00EC607F" w:rsidRDefault="009C6DAC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Savienības emisijas kvotu tirdzniecības sistēmas (turpmāk – ES ETS) 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darbība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Savienības (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 – 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ES) līmenī 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noteikta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D</w:t>
            </w:r>
            <w:r w:rsidR="00E33FCD" w:rsidRP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E33FCD" w:rsidRP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2003/87/EK</w:t>
            </w:r>
            <w:r w:rsid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651F8" w:rsidRP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kuru nosaka sistēmu siltumnīcas efektu izraisošo gāzu emisijas kvotu tirdzniecībai Kopienā un groza Padomes Direktīvu 96/61/EK</w:t>
            </w:r>
            <w:r w:rsid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33F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Direktīva 2003/87/EK). 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Eiropadome 2014.gada 24.oktobrī pieņēma secinājumus “Par klimata un enerģētikas politikas satvaru laikposmam no 2020.gada līdz 2030.gadam” (turpmāk – Eiropadomes secinājumi)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no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sakot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nosacījumus KEPS2030 noteikto mērķu īstenošanai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t.sk. nosacījumu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ES ETS jāreformē</w:t>
            </w:r>
            <w:r w:rsidR="00972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jānodrošina </w:t>
            </w:r>
            <w:r w:rsidR="00972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lab</w:t>
            </w:r>
            <w:r w:rsidR="00972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efektīv</w:t>
            </w:r>
            <w:r w:rsidR="00972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funkcionēšan</w:t>
            </w:r>
            <w:r w:rsidR="00972E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a, kā arī nosaukti elementi, kas jāiekļauj reformā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134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VARAM </w:t>
            </w:r>
            <w:r w:rsidR="007148BD" w:rsidRP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atbildīga par ES 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ETS</w:t>
            </w:r>
            <w:r w:rsidR="007148BD" w:rsidRP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darbību Latvijā</w:t>
            </w:r>
            <w:r w:rsidR="00001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likuma </w:t>
            </w:r>
            <w:r w:rsidR="00001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“Par piesārņojumu” </w:t>
            </w:r>
            <w:r w:rsidR="006C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32.</w:t>
            </w:r>
            <w:r w:rsidR="006C35B6" w:rsidRP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6C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pantā ietvertajam regulējumam.</w:t>
            </w:r>
          </w:p>
          <w:p w14:paraId="23E8742D" w14:textId="77777777" w:rsidR="00EC607F" w:rsidRDefault="00EC607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7BDBB37" w14:textId="67BCBF7B" w:rsidR="00914880" w:rsidRDefault="00C13496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veicinātu emisiju samazināšanu visā 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Eiropas Komisija 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 ceturtajam periodam (2021.-2030.gads) izstrādāja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jaunas prasības,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 noteica ar </w:t>
            </w:r>
            <w:r w:rsidR="00EC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īvu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5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nodrošinātu, ka labi funkcionējoša un reformēta ES ETS ir galvenais </w:t>
            </w:r>
            <w:r w:rsidR="0067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instruments siltumnīcefekta gāzu emisiju samazināšanas mērķa sasniegšanai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EC60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veikti grozījumi Direktīvā 2003/87/EK, kas attiecināmi uz daļā uz ES ETS ceturtā perioda regulējumu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  <w:r w:rsid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nosakot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C607F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jaunas definīcijas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 esošām un</w:t>
            </w:r>
            <w:r w:rsidR="00C258F1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jaunām iekārt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ām, nosakot j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aunu kārtību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groza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piešķirto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bezmaksas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emisiju kvotu apjomu </w:t>
            </w:r>
            <w:r w:rsidR="00914880" w:rsidRPr="0091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esošai iek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ārtai,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iekļaujot jaunus nosacījumus attiecībā uz ES ETS ietvaros izveidojamajiem finansēšanas mehānismiem (t.i. inovācijas un modernizācijas fondi), 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piemērojot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Eiropadomes secinājumos noteikto ikgadējo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koeficientu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E68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maksimālo pieļaujamo emisiju robežvērtību samazināšanai</w:t>
            </w:r>
            <w:r w:rsidR="001B0F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aktualizējot akreditācijas prasības ES ETS verificētājiem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1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61CF33F" w14:textId="77777777" w:rsidR="000F1061" w:rsidRDefault="000F106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1B282A1" w14:textId="537C321C" w:rsidR="000F1061" w:rsidRDefault="00DF5A14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Pastāvošais tiesiskais regulējums paredz ES ETS funkcionēšanu trešajā periodā (2013.-2020.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gads), bet ne ceturtajā periodā. 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Šobrīd Latvijas tiesību aktos nav</w:t>
            </w:r>
            <w:r w:rsidR="000E129A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12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pārņemtas</w:t>
            </w:r>
            <w:r w:rsidR="00566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visas</w:t>
            </w:r>
            <w:r w:rsidR="000E129A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</w:t>
            </w:r>
            <w:r w:rsidR="00EC0C6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irektīvas </w:t>
            </w:r>
            <w:r w:rsidR="00312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66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normas</w:t>
            </w:r>
            <w:r w:rsidR="00100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Tas nozīmē, ka Latvijā ES ETS ceturtajā periodā nefunkcionētu. </w:t>
            </w:r>
            <w:r w:rsidR="00F75A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089755E8" w14:textId="77777777" w:rsidR="00EC0C6F" w:rsidRPr="003D7F0C" w:rsidRDefault="00EC0C6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0C75217" w14:textId="4B0262A6" w:rsidR="003D7F0C" w:rsidRDefault="00142B71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</w:t>
            </w:r>
            <w:r w:rsidR="007478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pieņemtie nosacījumi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attiecas uz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ceturto periodu jāpārņem</w:t>
            </w:r>
            <w:r w:rsidR="009A179C" w:rsidRPr="003D7F0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2013.</w:t>
            </w:r>
            <w:r w:rsidR="004C3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79C" w:rsidRPr="003D7F0C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 w:rsidR="004C3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79C" w:rsidRPr="003D7F0C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4C3C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79C" w:rsidRPr="003D7F0C">
              <w:rPr>
                <w:rFonts w:ascii="Times New Roman" w:hAnsi="Times New Roman" w:cs="Times New Roman"/>
                <w:sz w:val="24"/>
                <w:szCs w:val="24"/>
              </w:rPr>
              <w:t>112 „Emisijas kvotu piešķiršanas kārtība stacionāro tehnoloģisko iekārtu operatoriem”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 (turpmāk –</w:t>
            </w:r>
            <w:r w:rsidR="00B1663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 xml:space="preserve">oteikumi </w:t>
            </w:r>
            <w:r w:rsidR="00B1663D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F360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776C">
              <w:rPr>
                <w:rFonts w:ascii="Times New Roman" w:hAnsi="Times New Roman" w:cs="Times New Roman"/>
                <w:sz w:val="24"/>
                <w:szCs w:val="24"/>
              </w:rPr>
              <w:t>112)</w:t>
            </w:r>
            <w:r w:rsidR="009A179C">
              <w:rPr>
                <w:rFonts w:ascii="Times New Roman" w:hAnsi="Times New Roman" w:cs="Times New Roman"/>
                <w:sz w:val="24"/>
                <w:szCs w:val="24"/>
              </w:rPr>
              <w:t xml:space="preserve">, lai nodrošinātu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funkcionēšanu Latvijā ES ETS ceturtā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perioda ietvaros.</w:t>
            </w:r>
          </w:p>
          <w:p w14:paraId="69A507A8" w14:textId="77777777" w:rsidR="009A179C" w:rsidRDefault="009A179C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23A6EC" w14:textId="77777777" w:rsidR="00DF5A14" w:rsidRDefault="00DF5A1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9A17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nosaka:</w:t>
            </w:r>
          </w:p>
          <w:p w14:paraId="1E3FFE37" w14:textId="41AF43A1" w:rsidR="00345EC7" w:rsidRDefault="00345EC7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Iekārtu saraksta izstrādi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ceturtajā periodā;</w:t>
            </w:r>
          </w:p>
          <w:p w14:paraId="21C7A558" w14:textId="4E9D0995" w:rsidR="009A179C" w:rsidRDefault="0056647B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Jaunas ES ETS iekārtas definīciju atbilstoši ES ETS ceturtajam periodam</w:t>
            </w:r>
            <w:r w:rsidR="00DF5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56935CD" w14:textId="145EEBD1" w:rsidR="00DF5A14" w:rsidRDefault="00DF5A14" w:rsidP="00ED53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Nosacījumus esošas iekārtas bezmaksas piešķiramo emisijas kvotu apjoma grozījumiem;</w:t>
            </w:r>
          </w:p>
          <w:p w14:paraId="090F1BDA" w14:textId="77777777" w:rsidR="00593648" w:rsidRDefault="00DF5A14" w:rsidP="007C76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 prasības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verificētāju akreditācijai;</w:t>
            </w:r>
          </w:p>
          <w:p w14:paraId="7B276EAF" w14:textId="23AC2D13" w:rsidR="006860E9" w:rsidRPr="00593648" w:rsidRDefault="004A2D2C" w:rsidP="007C76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ETS</w:t>
            </w:r>
            <w:r w:rsidR="00DF5A14"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ceturtajā periodā izmantojamo </w:t>
            </w:r>
            <w:r w:rsidR="006475BD"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sarakstu ar nozarēm un apakšnozarēm, kuras </w:t>
            </w:r>
            <w:r w:rsidR="006475BD"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uzskatāmas par pakļautām oglekļa emisiju pārvirzes riskam. </w:t>
            </w:r>
          </w:p>
          <w:p w14:paraId="2699FE57" w14:textId="77777777" w:rsidR="00593648" w:rsidRDefault="00593648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A20EF36" w14:textId="0167C182" w:rsidR="00345EC7" w:rsidRDefault="004C3C34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jaunā redakcijā 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izteiktais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spēka esošo 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 112 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 attiec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uz Latvijas iekārtu saraksta emisiju kvotu sadalei izstrādi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 ETS ceturtajā periodā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Komisija 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pieņems lēmumu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Latvijas iekārtu sara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ksta emisijas kvotu sadalei 2021.–2025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5EC7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gadā 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apstiprināšanu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2020. 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pirmajā pusē, kas nozīmē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iekārtu saraksts balstoties uz šo lēmumu visticamāk tiks izstrādāts 2020.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otrajā pusē</w:t>
            </w:r>
            <w:r w:rsid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Attiecīgi</w:t>
            </w:r>
            <w:r w:rsid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</w:t>
            </w:r>
            <w:r w:rsidR="00A529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2021.-2025.gada </w:t>
            </w:r>
            <w:r w:rsid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iekārtu saraksta lēmuma pieņem</w:t>
            </w:r>
            <w:r w:rsidR="007E6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šanai</w:t>
            </w:r>
            <w:r w:rsid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E6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atsauce uz </w:t>
            </w:r>
            <w:r w:rsidR="00742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7E6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iekārtu sarakstu</w:t>
            </w:r>
            <w:r w:rsidR="00742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E6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būs uz </w:t>
            </w:r>
            <w:r w:rsidR="007E6B7D" w:rsidRP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iekārtu sarakst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7E6B7D" w:rsidRP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emisijas kvotu sadalei 2013.-2030.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E6B7D" w:rsidRPr="00CD20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  <w:r w:rsidR="007E6B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2020.gada otrajā pusē, kad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spēkā 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būs abi saraksti, </w:t>
            </w:r>
            <w:r w:rsid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atsauce uz “iekārtu sarakstu” varētu attiekties uz abiem sarakstiem.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operators būs samazinājis jaudu vai pārtraucis/atsācis darbību 2020.gada laikā, atsauce lēmumu</w:t>
            </w:r>
            <w:r w:rsid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</w:t>
            </w:r>
            <w:r w:rsidR="00A651F8" w:rsidRPr="00A651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piešķirtā emisijas kvotu apjoma grozījumiem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pieņemšanu neietekmēs, jo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oteikumos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112 (17. un 25.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punktā) ir norādīts, ka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apjoms tiek grozīts ar nāk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amā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 1.janvāri, un tad jau būs iestājies ES ETS ceturtais periods ar jauniem nosacījumiem un iekārtu sarakstu.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</w:t>
            </w:r>
            <w:r w:rsidR="00576DF3" w:rsidRP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kāda jauna iekārta uzsāks savu normālu darbību 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kādai esošai iekārtai tiks palielināta jauda</w:t>
            </w:r>
            <w:r w:rsidR="00576DF3" w:rsidRP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nākamajā dienā pēc noteikumu projekta spēkā stāšanās brīža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tad atsauce uz </w:t>
            </w:r>
            <w:r w:rsidR="00742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iekārtu sarakstu</w:t>
            </w:r>
            <w:r w:rsidR="00742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būtu uz </w:t>
            </w:r>
            <w:r w:rsidR="00576DF3" w:rsidRPr="00345E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iekārtu sara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kstu emisijas kvotu sadalei 2013.–2020.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gadam, jo šajos gadījumos piešķirto emisijas kvotu apjoms ir jāgroza </w:t>
            </w:r>
            <w:r w:rsidR="00576DF3" w:rsidRP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sākot ar iekārtas 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r w:rsidR="00576DF3" w:rsidRP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izmainītās</w:t>
            </w:r>
            <w:r w:rsid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576DF3" w:rsidRPr="00576D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darbības uzsākšanas dienu.</w:t>
            </w:r>
          </w:p>
          <w:p w14:paraId="3CF8A6BA" w14:textId="77777777" w:rsidR="00345EC7" w:rsidRDefault="00345EC7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27D4588" w14:textId="7DFF22B9" w:rsidR="003A30F7" w:rsidRDefault="009E4216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 2018/410 izveidoja jaunu bezmaksas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442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votu piešķīruma grozījumu veidu, kas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balstīsies uz esošas iekārtas darbības līmeņa izmaiņām, nevis uz iekārtas jaudas maiņu, kā tas notika trešajā periodā. Attiecīgi, lai nodrošinātu, ka operatoriem 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ETS ceturtajā periodā pareizi tiek grozīts bezmaksas </w:t>
            </w:r>
            <w:r w:rsidR="00D30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emisiju 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apjoms, ir nepieciešams groz</w:t>
            </w:r>
            <w:r w:rsidR="00B166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 N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</w:t>
            </w:r>
            <w:r w:rsidR="00B166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112 12.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punktu. Būtiski pieminēt, ka šis jaunais grozījum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stāsies spēkā 2021.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gadā, kad sāk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C77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 ES ETS ceturtais periods. </w:t>
            </w:r>
          </w:p>
          <w:p w14:paraId="490275FD" w14:textId="77777777" w:rsidR="00593648" w:rsidRPr="007C768C" w:rsidRDefault="00593648" w:rsidP="007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97A54A0" w14:textId="0207C8F0" w:rsidR="000F1061" w:rsidRDefault="000F1061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 </w:t>
            </w:r>
            <w:r w:rsidR="00AB3B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2018/410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ietekmē ES ETS operatorus tiešā veidā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mainoties bezmaksas emisijas kvotu piešķiršanas nosacījumiem un tādejādi arī to daudzumam.</w:t>
            </w:r>
          </w:p>
          <w:p w14:paraId="050D4815" w14:textId="77777777" w:rsidR="005F2018" w:rsidRDefault="005F2018" w:rsidP="000F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F539E5C" w14:textId="69852E58" w:rsidR="00FA6183" w:rsidRDefault="005F2018" w:rsidP="00495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Direktīva 2018/410 aktualizē akreditācijas prasības, un balstoties uz Direktīvas 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2018/410 pilnvaru, Eiropas Komisija izstrādāja </w:t>
            </w:r>
            <w:r w:rsidR="00FA6183" w:rsidRPr="00924386">
              <w:rPr>
                <w:rFonts w:ascii="Times New Roman" w:hAnsi="Times New Roman"/>
                <w:sz w:val="24"/>
                <w:szCs w:val="24"/>
              </w:rPr>
              <w:t>Eiropas Komisijas Īstenošanas Regulu Nr.</w:t>
            </w:r>
            <w:r w:rsidR="00F3603F">
              <w:rPr>
                <w:rFonts w:ascii="Times New Roman" w:hAnsi="Times New Roman"/>
                <w:sz w:val="24"/>
                <w:szCs w:val="24"/>
              </w:rPr>
              <w:t> </w:t>
            </w:r>
            <w:r w:rsidR="00FA6183" w:rsidRPr="00924386">
              <w:rPr>
                <w:rFonts w:ascii="Times New Roman" w:hAnsi="Times New Roman"/>
                <w:sz w:val="24"/>
                <w:szCs w:val="24"/>
              </w:rPr>
              <w:t>2018/2067 par datu verifikāciju un verificētāju akreditāciju saskaņā ar Eiropas Parlamenta un Padomes Direktīvu 2003/87/EK (turpmāk – Regula 2018/2067)</w:t>
            </w:r>
            <w:r w:rsidR="00FA6183">
              <w:rPr>
                <w:rFonts w:ascii="Times New Roman" w:hAnsi="Times New Roman"/>
                <w:sz w:val="24"/>
                <w:szCs w:val="24"/>
              </w:rPr>
              <w:t xml:space="preserve">. Šī regula aizstāj 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Regulu Nr.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600/2012 </w:t>
            </w:r>
            <w:r w:rsidR="00FA6183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siltumnīcefekta gāzu ziņojumu un tonnkilometru ziņojumu verifikāciju un par verificētāju akreditāciju saskaņā ar Eiropas Parlamenta un Padomes Direktīvu 2003/87/EK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Regula Nr.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600/2012), nosakot </w:t>
            </w:r>
            <w:r w:rsidR="00FA6183" w:rsidRP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siltumnīcefekta gāzu emisiju un 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tonnkilometru datu verifikāciju. Regulas Nr.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2018/2067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prasību 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iekļaušana </w:t>
            </w:r>
            <w:r w:rsidR="007E1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projektā nodrošina datu verifikāciju un verificētāju akreditēšan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 ETS sistēmā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prasību īstenošanu</w:t>
            </w:r>
            <w:r w:rsidR="00FA6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C879C5F" w14:textId="532D0F74" w:rsidR="005F2018" w:rsidRPr="000F1061" w:rsidRDefault="00FA6183" w:rsidP="007E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 2018/410 arī sniedz pilnvaru 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Komisijas Deleģēt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ajai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</w:t>
            </w:r>
            <w:r w:rsidR="004959E6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2019/331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959E6" w:rsidRP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ko nosaka Savienības mēroga pārejas noteikumus saskaņotai bezmaksas emisijas kvotu iedalei saskaņā ar Eiropas Parlamenta un Padomes Direktīvas 2003/87/EK 10.a pantu</w:t>
            </w:r>
            <w:r w:rsidR="00AB3B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Regula 2019/331)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7E1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Regula 2019/331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tagad ir piemērojama emisiju un darbības datu verifikācijai, kas ir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ietverts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projektā. Tomēr būtiski </w:t>
            </w:r>
            <w:r w:rsidR="008159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norādīt</w:t>
            </w:r>
            <w:r w:rsidR="0049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Regulu Nr.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600/2012 </w:t>
            </w:r>
            <w:r w:rsidR="005F2018"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turpina piemērot </w:t>
            </w:r>
            <w:r w:rsid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to emisijas un darbības datu verifikācij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ām</w:t>
            </w:r>
            <w:r w:rsid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uras īstenotas</w:t>
            </w:r>
            <w:r w:rsid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pirms 2019</w:t>
            </w:r>
            <w:r w:rsidR="005F2018"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F2018"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F2018" w:rsidRPr="005F2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janvāra.</w:t>
            </w:r>
          </w:p>
        </w:tc>
      </w:tr>
      <w:tr w:rsidR="009470CF" w:rsidRPr="003D7F0C" w14:paraId="241041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B046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D54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5B5B" w14:textId="77777777" w:rsidR="00E5323B" w:rsidRDefault="009E44FB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</w:p>
          <w:p w14:paraId="1974A11B" w14:textId="77777777" w:rsidR="009E44FB" w:rsidRDefault="009E44FB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 (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VVD)</w:t>
            </w:r>
          </w:p>
          <w:p w14:paraId="2A5543A1" w14:textId="04774C4E" w:rsidR="009E44FB" w:rsidRPr="003D7F0C" w:rsidRDefault="004C3C3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</w:t>
            </w:r>
            <w:r w:rsidR="000C02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abiedrība ar ierobežotu atbildību “</w:t>
            </w:r>
            <w:r w:rsidR="009E44FB" w:rsidRP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Vides, ģeol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oģijas un meteoroloģijas centrs</w:t>
            </w:r>
            <w:r w:rsidR="000C02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- </w:t>
            </w:r>
            <w:r w:rsidR="009E44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LVĢMC)</w:t>
            </w:r>
          </w:p>
        </w:tc>
      </w:tr>
      <w:tr w:rsidR="009470CF" w:rsidRPr="003D7F0C" w14:paraId="604DFD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E507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24E6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5776" w14:textId="77777777" w:rsidR="00E5323B" w:rsidRPr="003D7F0C" w:rsidRDefault="008C49C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AFFCA83" w14:textId="779E1F79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18743E8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D8DC" w14:textId="5CBFAFEB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 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9470CF" w:rsidRPr="003D7F0C" w14:paraId="2343151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62E9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6262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05FF" w14:textId="7ABDADD2" w:rsidR="0068404E" w:rsidRDefault="0068404E" w:rsidP="00C020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84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emisijas kvotu </w:t>
            </w:r>
            <w:r w:rsid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tirdzniecības sistēmas operatori</w:t>
            </w:r>
            <w:r w:rsidRPr="00684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kuri veic kādu no likuma „Par piesārņojumu” 2.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84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pielikumā minētajām darbībām un kuriem ir izsniegtas siltumnīcefekta gāzu emisijas atļaujas;</w:t>
            </w:r>
          </w:p>
          <w:p w14:paraId="6093CA8C" w14:textId="5F358026" w:rsidR="00C041A4" w:rsidRPr="0068404E" w:rsidRDefault="00C041A4" w:rsidP="00C0208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4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no Eiropas Savienības dalībvalstīm atbilstības novērtēšanas institūcijā vai Latvijā akredi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tēti vides verificētāji;</w:t>
            </w:r>
          </w:p>
          <w:p w14:paraId="20CE3E91" w14:textId="77777777" w:rsidR="00F071F1" w:rsidRPr="003D7F0C" w:rsidRDefault="00C041A4" w:rsidP="00C02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  <w:r w:rsidR="003F11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VVD, LVĢMC un </w:t>
            </w:r>
            <w:r w:rsidR="00F071F1" w:rsidRPr="00F07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Nacionālais akreditācijas birojs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LATAK)</w:t>
            </w:r>
          </w:p>
        </w:tc>
      </w:tr>
      <w:tr w:rsidR="009470CF" w:rsidRPr="003D7F0C" w14:paraId="7BA9D42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14EF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0A62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79F70" w14:textId="009A40AA" w:rsidR="00C83E85" w:rsidRPr="004A2D2C" w:rsidRDefault="00C83E85" w:rsidP="00C8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Vērtējot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oteikumu projekta īstenošanas ietekmi uz administratīvajām procedūrām un to izmaksām, nav identificēts administratīvā sloga palielinājums.</w:t>
            </w:r>
          </w:p>
          <w:p w14:paraId="655C520B" w14:textId="77777777" w:rsidR="00C83E85" w:rsidRPr="004A2D2C" w:rsidRDefault="00C83E85" w:rsidP="00C8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6E99FF1" w14:textId="59A3826C" w:rsidR="001A5D71" w:rsidRPr="003D7F0C" w:rsidRDefault="00C83E85" w:rsidP="00F3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Paredzams, ka pēc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oteikumu projekta apstiprināšanas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LATAK</w:t>
            </w:r>
            <w:r w:rsidRP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būs nepieciešams veikt pārakreditācijas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Latvijā akreditētiem vides verificētājiem.</w:t>
            </w:r>
          </w:p>
        </w:tc>
      </w:tr>
      <w:tr w:rsidR="009470CF" w:rsidRPr="003D7F0C" w14:paraId="1817D7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3396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E3B8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D0F12" w14:textId="31DEB605" w:rsidR="00E5323B" w:rsidRPr="003D7F0C" w:rsidRDefault="001B0F8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470CF" w:rsidRPr="003D7F0C" w14:paraId="620C439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C2B6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9F3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54A0" w14:textId="47F9A00E" w:rsidR="00E5323B" w:rsidRPr="003D7F0C" w:rsidRDefault="000179D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470CF" w:rsidRPr="003D7F0C" w14:paraId="3B47AB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9939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F768C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B445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79DB232" w14:textId="7A84571B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470CF" w:rsidRPr="003D7F0C" w14:paraId="6C374C79" w14:textId="77777777" w:rsidTr="007537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053B" w14:textId="70CF5DE5" w:rsidR="009470CF" w:rsidRPr="003D7F0C" w:rsidRDefault="009470CF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</w:t>
            </w:r>
            <w:r w:rsidR="00F360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9470CF" w:rsidRPr="003D7F0C" w14:paraId="0F548658" w14:textId="77777777" w:rsidTr="007537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A5F6" w14:textId="4E7E0271" w:rsidR="009470CF" w:rsidRPr="003D7F0C" w:rsidRDefault="009470CF" w:rsidP="0075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F360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8B28562" w14:textId="77777777" w:rsidR="009470CF" w:rsidRPr="003D7F0C" w:rsidRDefault="009470CF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3B3C8E9" w14:textId="40CCA5EF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1942B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50FD" w14:textId="4618802F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 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9470CF" w:rsidRPr="003D7F0C" w14:paraId="1A13E47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785C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83F9B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B9259" w14:textId="5BE23BD3" w:rsidR="007D116E" w:rsidRDefault="00A90C4D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F360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2019. gada 1</w:t>
            </w:r>
            <w:r w:rsidR="00AB3B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jūlija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rīkojuma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r. 381 “</w:t>
            </w:r>
            <w:r w:rsidRPr="00A9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konceptuālo ziņojumu </w:t>
            </w:r>
            <w:r w:rsidR="00F14F2F" w:rsidRP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“Par bezmaksas emisijas kvotu piešķiršanu elektroenerģijas ražotājiem Eiropas Savienības emisiju tirdzniecības sistēmas 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 - 2030.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periodā”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(turpmāk – rīkojums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r. 381) 2.punktu tika pieņemts lēmums </w:t>
            </w:r>
            <w:r w:rsidRPr="00A90C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neatbalstīt bezmaksas emisijas kvotu piešķiršanu elektroenerģijas ražošanai 2021.-2030. gadā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Ar rīkojumu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r. 381 tika 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pieņemts lēmums par Direktīvas 2018/410 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15.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izteiktā Direktīvas 2003/87/EK 10.c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14F2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prasībām, kur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ietvaros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</w:t>
            </w:r>
            <w:r w:rsidR="00F14F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dalībvalstīm ir rīcības brīvība.</w:t>
            </w:r>
          </w:p>
          <w:p w14:paraId="50552E9B" w14:textId="77777777" w:rsidR="00F14F2F" w:rsidRDefault="00F14F2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252F32A" w14:textId="6784C628" w:rsidR="00B1663D" w:rsidRDefault="00D52354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VARAM 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likumprojekt</w:t>
            </w:r>
            <w:r w:rsidR="00E42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“Klimata likums</w:t>
            </w:r>
            <w:r w:rsidR="00FB2A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kuru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pārņemtas Direktīvas 2018/410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</w:t>
            </w:r>
            <w:r w:rsidR="00E848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4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13., 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 un 39.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017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prasības</w:t>
            </w:r>
            <w:r w:rsidR="00DA48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B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likumprojektu “Klimata likums” </w:t>
            </w:r>
            <w:r w:rsidR="00DA028F" w:rsidRPr="00DA0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precizēts un pilnveidots</w:t>
            </w:r>
            <w:r w:rsidR="00DA028F" w:rsidRPr="00DA02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Latvijas klimata politikas juridiskais ietvars</w:t>
            </w:r>
            <w:r w:rsidR="00EB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iestrādāti likuma “Par piesārņojumu” panti, kas attiecas uz </w:t>
            </w:r>
            <w:r w:rsidR="00AB3B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AB3B37" w:rsidRPr="00AB3B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iltumnīcefekta gāzu</w:t>
            </w:r>
            <w:r w:rsidR="00EB79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emisiju samazināšanu, t.sk. ES ETS sistēmas darbību.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94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Iekļaušanās Direktīvas 2018/410 3.panta termiņos ir atkarīga no likumprojekta </w:t>
            </w:r>
            <w:r w:rsidR="00C9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izstrādes un saskaņošanas ilguma</w:t>
            </w:r>
            <w:r w:rsidR="00A94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C6EDFDB" w14:textId="6BB2DD25" w:rsidR="00AB18A5" w:rsidRDefault="00B1663D" w:rsidP="00ED5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Balstoties uz Direktīvas 2018/410 pilnvarām, Eiropas Komisija ir pieņēmusi, un vēl turpina pieņemt, dažādus deleģētos aktus, lai noteiktu kārtību kādā funkcionēs ES ETS ceturtajā periodā. Saistībā ar bezmaksas</w:t>
            </w:r>
            <w:r w:rsidR="00433EDE">
              <w:rPr>
                <w:rFonts w:ascii="Times New Roman" w:hAnsi="Times New Roman"/>
                <w:sz w:val="24"/>
                <w:szCs w:val="24"/>
              </w:rPr>
              <w:t xml:space="preserve"> emisijas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kvotu piešķiršanu ir izdota Regula 2019/331, un </w:t>
            </w:r>
            <w:r w:rsidR="00B1710C">
              <w:rPr>
                <w:rFonts w:ascii="Times New Roman" w:hAnsi="Times New Roman"/>
                <w:sz w:val="24"/>
                <w:szCs w:val="24"/>
              </w:rPr>
              <w:t>š.g. otrajā pusē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 likumdevējs plāno pieņemt juridisko instrumentu – regulu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saistībā 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jauno bezmaksas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piešķīruma grozījumu veidu, kas balstās uz iekārtas darbības līmeņa maiņām. Noteikumus Nr.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112 būtu nepieciešams pielāgot abu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regulu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prasībām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 to nevar izdarīt</w:t>
            </w:r>
            <w:r w:rsidR="000471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kamēr nav pieņemta regula saistībā ar bezmaksas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piešķīruma grozījumu veidu, jo šī reg</w:t>
            </w:r>
            <w:r w:rsidR="00DB5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ula ir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cieši saist</w:t>
            </w:r>
            <w:r w:rsidR="00DB5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īta ar Regulas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2019/331</w:t>
            </w:r>
            <w:r w:rsidR="00DB5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saturu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DB5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Tādēļ 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nacionālā normatīvo aktu bāze, lai </w:t>
            </w:r>
            <w:r w:rsidR="003320EE">
              <w:rPr>
                <w:rFonts w:ascii="Times New Roman" w:hAnsi="Times New Roman"/>
                <w:sz w:val="24"/>
                <w:szCs w:val="24"/>
              </w:rPr>
              <w:t xml:space="preserve">korekti un pareizi īstenotu 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regulas </w:t>
            </w:r>
            <w:r w:rsidR="003320EE">
              <w:rPr>
                <w:rFonts w:ascii="Times New Roman" w:hAnsi="Times New Roman"/>
                <w:sz w:val="24"/>
                <w:szCs w:val="24"/>
              </w:rPr>
              <w:t xml:space="preserve">prasības, tiks pilnveidota </w:t>
            </w:r>
            <w:r w:rsidR="00DB5C5D">
              <w:rPr>
                <w:rFonts w:ascii="Times New Roman" w:hAnsi="Times New Roman"/>
                <w:sz w:val="24"/>
                <w:szCs w:val="24"/>
              </w:rPr>
              <w:t>tad, kad būs zināms abu deleģēto</w:t>
            </w:r>
            <w:r w:rsidR="00047154">
              <w:rPr>
                <w:rFonts w:ascii="Times New Roman" w:hAnsi="Times New Roman"/>
                <w:sz w:val="24"/>
                <w:szCs w:val="24"/>
              </w:rPr>
              <w:t xml:space="preserve"> tiesību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 aktu saturs, un</w:t>
            </w:r>
            <w:r w:rsidR="003320EE">
              <w:rPr>
                <w:rFonts w:ascii="Times New Roman" w:hAnsi="Times New Roman"/>
                <w:sz w:val="24"/>
                <w:szCs w:val="24"/>
              </w:rPr>
              <w:t>,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</w:t>
            </w:r>
            <w:r w:rsidR="00DB5C5D" w:rsidRPr="00515868">
              <w:rPr>
                <w:rFonts w:ascii="Times New Roman" w:hAnsi="Times New Roman"/>
                <w:sz w:val="24"/>
                <w:szCs w:val="24"/>
              </w:rPr>
              <w:t>ērā nepieciešamību samazināt normatīvisma slogu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1AA2">
              <w:rPr>
                <w:rFonts w:ascii="Times New Roman" w:hAnsi="Times New Roman"/>
                <w:sz w:val="24"/>
                <w:szCs w:val="24"/>
              </w:rPr>
              <w:t>ir plānots to</w:t>
            </w:r>
            <w:r w:rsidR="00DB5C5D">
              <w:rPr>
                <w:rFonts w:ascii="Times New Roman" w:hAnsi="Times New Roman"/>
                <w:sz w:val="24"/>
                <w:szCs w:val="24"/>
              </w:rPr>
              <w:t xml:space="preserve"> apvienot ar likumprojekta “Klimata likums” izstrādi</w:t>
            </w:r>
            <w:r w:rsidR="003320EE">
              <w:rPr>
                <w:rFonts w:ascii="Times New Roman" w:hAnsi="Times New Roman"/>
                <w:sz w:val="24"/>
                <w:szCs w:val="24"/>
              </w:rPr>
              <w:t xml:space="preserve"> un virzību likumdošanas procesā</w:t>
            </w:r>
            <w:r w:rsidR="00DB5C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75120B" w14:textId="77777777" w:rsidR="00B1710C" w:rsidRPr="00FC23A7" w:rsidRDefault="00B1710C" w:rsidP="00ED5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9CABF" w14:textId="17BDB4D7" w:rsidR="0079718A" w:rsidRPr="003D7F0C" w:rsidRDefault="007537FB" w:rsidP="0079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 atbilstoši likuma “Par piesārņojumu” 32.</w:t>
            </w:r>
            <w:r w:rsidRP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panta piektās daļas un pieci prim daļas noteiktajam deleģējumam izstrādā stacionāro tehnoloģisko iekārtu saraksta projektu, ar ko</w:t>
            </w:r>
            <w:r w:rsidR="00C83E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pārņemta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Direktīvas 2018/410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AB1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 prasības.</w:t>
            </w:r>
          </w:p>
        </w:tc>
      </w:tr>
      <w:tr w:rsidR="009470CF" w:rsidRPr="003D7F0C" w14:paraId="11DEB9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A1FD" w14:textId="26DFBF38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1FB5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B3075" w14:textId="77777777" w:rsidR="00EC607F" w:rsidRPr="003D7F0C" w:rsidRDefault="006B4FB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VVD</w:t>
            </w:r>
          </w:p>
        </w:tc>
      </w:tr>
      <w:tr w:rsidR="009470CF" w:rsidRPr="003D7F0C" w14:paraId="1D6C56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C55EF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969B9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9A505" w14:textId="77777777" w:rsidR="00E5323B" w:rsidRPr="003D7F0C" w:rsidRDefault="009C6DA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04DDA11" w14:textId="06069A52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771AB4C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A05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470CF" w:rsidRPr="003D7F0C" w14:paraId="6351A35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C5E1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51A2F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A67EB" w14:textId="4D207CE2" w:rsidR="00E5323B" w:rsidRPr="003D7F0C" w:rsidRDefault="00710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9470C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sagatavots,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9470C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2018/410</w:t>
            </w:r>
            <w:r w:rsid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4A2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pārņemšanu Latvijas normatīvajos aktos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2019.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9.</w:t>
            </w:r>
            <w:r w:rsidR="007537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915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oktobrim</w:t>
            </w:r>
            <w:r w:rsidR="00C271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arī, lai nodrošinātu tādu nacionālo normatīvo aktu bāzi, lai 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pareizi un korekti īstenotu</w:t>
            </w:r>
            <w:r w:rsidR="00C271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C271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271F0" w:rsidRPr="00153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2018/2067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prasības.</w:t>
            </w:r>
          </w:p>
        </w:tc>
      </w:tr>
      <w:tr w:rsidR="009470CF" w:rsidRPr="003D7F0C" w14:paraId="37D7E79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71DB" w14:textId="46FEB5CC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BC13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CC65" w14:textId="21CF7482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470CF" w:rsidRPr="003D7F0C" w14:paraId="0B291CC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CDF87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82B70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4904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3420816" w14:textId="34FA782C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2122"/>
        <w:gridCol w:w="1658"/>
        <w:gridCol w:w="3438"/>
      </w:tblGrid>
      <w:tr w:rsidR="009470CF" w:rsidRPr="003D7F0C" w14:paraId="5C7F1398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0F41" w14:textId="26D3D552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1. 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tabula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9470CF" w:rsidRPr="003D7F0C" w14:paraId="04CD489B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860A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5DC9C" w14:textId="09CD6A8C" w:rsidR="00E5323B" w:rsidRPr="003D7F0C" w:rsidRDefault="00493F97" w:rsidP="00C02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rlamenta un Padomes 2018.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14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marta 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 Nr.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2018/410</w:t>
            </w:r>
            <w:r w:rsidR="009B02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/ES</w:t>
            </w:r>
            <w:r w:rsidRPr="00493F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ar ko groza Direktīvu 2003/87/EK, lai sekmētu emisiju izmaksefektīvu samazināšanu un investīcijas mazoglekļa risinājumos, un Lēmumu (ES) 2015/1814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470CF" w:rsidRPr="003D7F0C" w14:paraId="155BBADE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266B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B4FB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E06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3D8A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21180E" w:rsidRPr="003D7F0C" w14:paraId="599DE364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95872" w14:textId="6AA6E8A9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2DFB0" w14:textId="025171D6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118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C2758" w14:textId="3BD93495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E54F3" w14:textId="043F8EBB" w:rsidR="0021180E" w:rsidRPr="0021180E" w:rsidRDefault="0021180E" w:rsidP="002118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9470CF" w:rsidRPr="003D7F0C" w14:paraId="3E749111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C810E" w14:textId="7263B88C" w:rsidR="00E5323B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7.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FEEF3" w14:textId="18C81F72" w:rsidR="00E5323B" w:rsidRPr="003D7F0C" w:rsidRDefault="007903EC" w:rsidP="00784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7840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E934E" w14:textId="77777777" w:rsidR="00E5323B" w:rsidRPr="003D7F0C" w:rsidRDefault="003D7F0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5E58F" w14:textId="77777777" w:rsidR="00E5323B" w:rsidRPr="003D7F0C" w:rsidRDefault="00710C6A" w:rsidP="00710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 xml:space="preserve">paredz stingrākas prasības </w:t>
            </w:r>
          </w:p>
        </w:tc>
      </w:tr>
      <w:tr w:rsidR="00C54BD8" w:rsidRPr="003D7F0C" w14:paraId="3C9CCDB3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E0528" w14:textId="76ABD9E1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8.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3.d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88A0C" w14:textId="77777777" w:rsidR="00C54BD8" w:rsidRPr="003D7F0C" w:rsidRDefault="00C54BD8" w:rsidP="0059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jāpārņem, jo nosacījumi attiecas tikai uz ES institūcijām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E93E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4C52B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7D" w:rsidRPr="003D7F0C" w14:paraId="43FD39AE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C2604" w14:textId="2D99BE44" w:rsidR="0054667D" w:rsidRPr="003D7F0C" w:rsidRDefault="00F337D1" w:rsidP="0059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12.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izteiktā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otrā daļa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1CFF6" w14:textId="6280E556" w:rsidR="00EF6349" w:rsidRDefault="00EF6349" w:rsidP="00EF63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F6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ttiecas uz Eiropas Komisiju.</w:t>
            </w:r>
          </w:p>
          <w:p w14:paraId="12073B1A" w14:textId="77777777" w:rsidR="00EF6349" w:rsidRPr="00EF6349" w:rsidRDefault="00EF6349" w:rsidP="00EF63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99B4710" w14:textId="234D1105" w:rsidR="0054667D" w:rsidRPr="003D7F0C" w:rsidRDefault="00EF6349" w:rsidP="00EF63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F6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 nosaka kopējo ES ETS ietvaros piešķiramo emisijas kvotu kopapjomu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201F6" w14:textId="5E92A7A2" w:rsidR="0054667D" w:rsidRPr="003D7F0C" w:rsidRDefault="005466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20957" w14:textId="1D35500C" w:rsidR="0054667D" w:rsidRPr="003D7F0C" w:rsidRDefault="005466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9193A" w:rsidRPr="003D7F0C" w14:paraId="712E92B8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D81E3" w14:textId="3FEEAB06" w:rsidR="00F9193A" w:rsidRPr="003D7F0C" w:rsidRDefault="00F337D1" w:rsidP="00593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CA918" w14:textId="77777777" w:rsid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FF06F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7AFC2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34F8FEB4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F96C1" w14:textId="738067E2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731F9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jāpārņem, jo nosacījumi attiecas tikai uz ES institūcijām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4D85A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CC5B2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0AEFACDD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FB0B8" w14:textId="054498C6" w:rsidR="00F9193A" w:rsidRPr="003D7F0C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5.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B5497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90537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9D93C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130344A1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75A80" w14:textId="344F22F6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5a un 5b</w:t>
            </w:r>
            <w:r w:rsidR="003320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7AD87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E364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85AE1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4378479A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C94A0" w14:textId="384DBE27" w:rsid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6.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EAA8D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19068" w14:textId="215A2329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DAD8F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247EE0EB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FB423" w14:textId="12748356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7.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E90B7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26279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872F4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93A" w:rsidRPr="003D7F0C" w14:paraId="63BA6158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76EE3" w14:textId="7D5D0F5C" w:rsidR="00F9193A" w:rsidRPr="00F9193A" w:rsidRDefault="00F337D1" w:rsidP="00F919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8.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  <w:r w:rsidR="00F9193A"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5DA4D" w14:textId="77777777" w:rsidR="00F9193A" w:rsidRPr="00F9193A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47BAA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8EB5F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3BD4189A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551E7" w14:textId="3FC5A44A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9.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3B1BC" w14:textId="77777777" w:rsidR="00C54BD8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Grieķiju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63038" w14:textId="77777777" w:rsidR="00C54BD8" w:rsidRPr="003D7F0C" w:rsidRDefault="00C54BD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4C204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67D" w:rsidRPr="003D7F0C" w14:paraId="344F9EBB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09D3E" w14:textId="55C5A105" w:rsidR="0054667D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20.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D306F" w14:textId="3060ED95" w:rsidR="0054667D" w:rsidRPr="003D7F0C" w:rsidRDefault="00A25B68" w:rsidP="007903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3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54667D"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7F528" w14:textId="77777777" w:rsidR="0054667D" w:rsidRPr="003D7F0C" w:rsidRDefault="00346F2D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54667D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ārņemts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4C96A" w14:textId="77777777" w:rsidR="0054667D" w:rsidRPr="003D7F0C" w:rsidRDefault="00710C6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>paredz stingrākas prasības</w:t>
            </w:r>
          </w:p>
        </w:tc>
      </w:tr>
      <w:tr w:rsidR="00F9193A" w:rsidRPr="003D7F0C" w14:paraId="2666FB84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940C0" w14:textId="54D4A5AF" w:rsidR="00F9193A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919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5F744" w14:textId="77777777" w:rsidR="00F9193A" w:rsidRPr="003D7F0C" w:rsidRDefault="00F9193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BCCBC" w14:textId="77777777" w:rsidR="00F9193A" w:rsidRPr="003D7F0C" w:rsidRDefault="00F9193A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A2AC1" w14:textId="77777777" w:rsidR="00F9193A" w:rsidRPr="003D7F0C" w:rsidRDefault="00F9193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A4A" w:rsidRPr="003D7F0C" w14:paraId="716CAA2B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3A6F6" w14:textId="082A0DCD" w:rsidR="00992A4A" w:rsidRDefault="00992A4A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15.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10.b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12., 3.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8FE04" w14:textId="4ACB14F9" w:rsidR="00992A4A" w:rsidRDefault="00992A4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A058" w14:textId="77777777" w:rsidR="00992A4A" w:rsidRPr="003D7F0C" w:rsidRDefault="00992A4A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50EFD" w14:textId="77777777" w:rsidR="00992A4A" w:rsidRPr="003D7F0C" w:rsidRDefault="00992A4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A4A" w:rsidRPr="003D7F0C" w14:paraId="28CA5F22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8A7D" w14:textId="506027F2" w:rsidR="00992A4A" w:rsidRDefault="00992A4A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15.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izteiktais 10.b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5.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D9382" w14:textId="48A05AE0" w:rsidR="00992A4A" w:rsidRDefault="00992A4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0C19B" w14:textId="77777777" w:rsidR="00992A4A" w:rsidRPr="003D7F0C" w:rsidRDefault="00992A4A" w:rsidP="00346F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06047" w14:textId="77777777" w:rsidR="00992A4A" w:rsidRPr="003D7F0C" w:rsidRDefault="00992A4A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D8" w:rsidRPr="003D7F0C" w14:paraId="57381E23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15554" w14:textId="301B31A2" w:rsidR="00C54BD8" w:rsidRPr="003D7F0C" w:rsidRDefault="00F337D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20.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4.</w:t>
            </w:r>
            <w:r w:rsidR="00706D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54BD8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3352E" w14:textId="77777777" w:rsidR="00C54BD8" w:rsidRPr="003D7F0C" w:rsidRDefault="008A42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C125B" w14:textId="77777777" w:rsidR="00C54BD8" w:rsidRPr="003D7F0C" w:rsidRDefault="00C54BD8" w:rsidP="005466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91570" w14:textId="77777777" w:rsidR="00C54BD8" w:rsidRPr="003D7F0C" w:rsidRDefault="00C54BD8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7B7A128A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90440" w14:textId="77777777" w:rsidR="00EA60DF" w:rsidRPr="003D7F0C" w:rsidRDefault="00F337D1" w:rsidP="00F337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22.punktā izteiktais </w:t>
            </w:r>
            <w:r w:rsidR="00EA60D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14.panta 1.punkts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4D56D" w14:textId="77777777" w:rsidR="00EA60DF" w:rsidRPr="003D7F0C" w:rsidRDefault="00EA60D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CB00F" w14:textId="77777777" w:rsidR="00EA60DF" w:rsidRPr="003D7F0C" w:rsidRDefault="00EA60DF" w:rsidP="005466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AF3DB" w14:textId="77777777" w:rsidR="00EA60DF" w:rsidRPr="003D7F0C" w:rsidRDefault="00EA60DF" w:rsidP="00E53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948743E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62D40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23.punktā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 panta ceturtā un piektā daļa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A020" w14:textId="28BC8AA6" w:rsidR="00EA60DF" w:rsidRPr="003D7F0C" w:rsidRDefault="00BA0718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4.</w:t>
            </w:r>
            <w:r w:rsidRPr="00BA07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5EE74" w14:textId="71C275AC" w:rsidR="00EA60DF" w:rsidRPr="003D7F0C" w:rsidRDefault="00BA0718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99150" w14:textId="726492D8" w:rsidR="00EA60DF" w:rsidRPr="003D7F0C" w:rsidRDefault="00BA0718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>paredz stingrākas prasības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60DF" w:rsidRPr="003D7F0C" w14:paraId="58E11690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0419F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24.punktā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16.panta 12.punkts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23519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BCCBB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A1B2B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29E851D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7943" w14:textId="77777777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25.punktā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19.panta 3.punkts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7EF34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0A55D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4A3DA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0B4100E9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575BE" w14:textId="13E94AC7" w:rsidR="00EA60DF" w:rsidRPr="003D7F0C" w:rsidRDefault="00F337D1" w:rsidP="00F337D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26.punkta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21.panta 1.punkts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2BA15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9C372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BC427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D5FDF01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C9E1F" w14:textId="77E6824A" w:rsidR="00EA60DF" w:rsidRPr="003D7F0C" w:rsidRDefault="00F337D1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26.punkta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21.panta 4.punkts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ADCEF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A9636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8A35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47EF1D0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B1BB4" w14:textId="77777777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27.punktā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22.pants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2A946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4B6F3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B5DED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B93F486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F928E" w14:textId="77777777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28.punktā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22a. 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60AD4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A5E88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93005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40A91FE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8A82C" w14:textId="77777777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29.punktā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23.pants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8849E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452B3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58ACB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65BCC749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AE0B" w14:textId="56B1E4D8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30.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49DA3" w14:textId="01A5123B" w:rsidR="00EA60DF" w:rsidRPr="003D7F0C" w:rsidRDefault="00447232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0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02E30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8B536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3FADBF50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6203A" w14:textId="34B91A28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30.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panta 3.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punkta otrā daļa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F0958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3841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8F3CC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5EA83388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1309D" w14:textId="3C2D3744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1.panta 31.punkta 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24.a panta 1.punkts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2B4A0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843CD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DFBF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03680149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DCB75" w14:textId="2DADFCAA" w:rsidR="00EA60DF" w:rsidRPr="003D7F0C" w:rsidRDefault="00D12F1D" w:rsidP="00D12F1D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33.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25.a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panta 1.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punkts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34CA6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73F7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A7B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6EA040FD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5ECEA" w14:textId="4963C4B0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34.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izteiktā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panta 3.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punkta otrā daļa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EAAF8" w14:textId="77777777" w:rsidR="00EA60DF" w:rsidRPr="003D7F0C" w:rsidRDefault="00963C01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1BD65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B823D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775D89EC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A1A28" w14:textId="06C2D689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35.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27.a</w:t>
            </w:r>
            <w:r w:rsidR="0072288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FA27E7" w14:textId="77777777" w:rsidR="00EA60DF" w:rsidRPr="003D7F0C" w:rsidRDefault="0063612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šo nosacījumu neizvēlas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9ABAC" w14:textId="17800B9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BCEE8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1BC397AF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1154C" w14:textId="7BACF1E6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36.</w:t>
            </w:r>
            <w:r w:rsidR="00722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28.c</w:t>
            </w:r>
            <w:r w:rsidR="0072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AFA79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7C316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3CF47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0DF" w:rsidRPr="003D7F0C" w14:paraId="4A546B23" w14:textId="77777777" w:rsidTr="00593648">
        <w:trPr>
          <w:trHeight w:val="272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ED397" w14:textId="34C9043C" w:rsidR="00EA60DF" w:rsidRPr="003D7F0C" w:rsidRDefault="00D12F1D" w:rsidP="00EA60DF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37.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F9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60DF" w:rsidRPr="003D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187B" w14:textId="77777777" w:rsidR="00EA60DF" w:rsidRPr="003D7F0C" w:rsidRDefault="00485495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Attiecas uz Eiropas Komisiju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FEB3F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08B14" w14:textId="77777777" w:rsidR="00EA60DF" w:rsidRPr="003D7F0C" w:rsidRDefault="00EA60DF" w:rsidP="00EA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148" w:rsidRPr="003D7F0C" w14:paraId="401E57D3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02135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6C4F2" w14:textId="766E4A35" w:rsidR="00153148" w:rsidRPr="003D7F0C" w:rsidRDefault="00153148" w:rsidP="0015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3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Komisijas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19.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decembra Īstenošanas regula 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 </w:t>
            </w:r>
            <w:r w:rsidRPr="001531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2018/2067 par datu verifikāciju un verificētāju akreditāciju saskaņā ar Eiropas Parlamenta un Padomes Direktīvu 2003/87/EK</w:t>
            </w:r>
          </w:p>
        </w:tc>
      </w:tr>
      <w:tr w:rsidR="00153148" w:rsidRPr="003D7F0C" w14:paraId="78008C19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004F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BB8E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FCCB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D926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153148" w:rsidRPr="003D7F0C" w14:paraId="172BE409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DC870" w14:textId="1AB13602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F19AC" w14:textId="1B71A6E6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8C309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F0B28" w14:textId="77777777" w:rsidR="00153148" w:rsidRPr="003D7F0C" w:rsidRDefault="00153148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 xml:space="preserve">paredz stingrākas prasības </w:t>
            </w:r>
          </w:p>
        </w:tc>
      </w:tr>
      <w:tr w:rsidR="006475BD" w:rsidRPr="003D7F0C" w14:paraId="0BA8E613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F55C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84F1" w14:textId="56A1B1F8" w:rsidR="006475BD" w:rsidRPr="003D7F0C" w:rsidRDefault="006475BD" w:rsidP="00F3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Komisijas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019.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 w:rsidR="00F9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februāra Deleģētais lēmums</w:t>
            </w:r>
            <w:r w:rsidRPr="0064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2019/708, ar ko papildina Eiropas Parlamenta un Padomes Direktīvu 2003/87/EK, 2021.–2030.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75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periodam nosakot sarakstu ar nozarēm un apakšnozarēm, kuras uzskatāmas par pakļautām oglekļa emisiju pārvirzes riskam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475BD" w:rsidRPr="003D7F0C" w14:paraId="0336C23B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162E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D427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B628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FC24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6475BD" w:rsidRPr="003D7F0C" w14:paraId="1AEF1001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5FA0B" w14:textId="53B82B9A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66312" w14:textId="5B6DA210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B50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389AB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5670C" w14:textId="77777777" w:rsidR="006475BD" w:rsidRPr="003D7F0C" w:rsidRDefault="006475BD" w:rsidP="00F360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ne</w:t>
            </w:r>
            <w:r w:rsidRPr="00710C6A">
              <w:rPr>
                <w:rFonts w:ascii="Times New Roman" w:hAnsi="Times New Roman"/>
                <w:sz w:val="24"/>
                <w:szCs w:val="24"/>
              </w:rPr>
              <w:t xml:space="preserve">paredz stingrākas prasības </w:t>
            </w:r>
          </w:p>
        </w:tc>
      </w:tr>
      <w:tr w:rsidR="00EA60DF" w:rsidRPr="003D7F0C" w14:paraId="4F30EF1D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F4B5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9656" w14:textId="14355B81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noteikumu projektu ir pārņemtas Direktīvas 2018/410 prasības: </w:t>
            </w:r>
            <w:r w:rsidRPr="00F24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24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7.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F245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zteikto 3.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apakšpunktu;</w:t>
            </w:r>
          </w:p>
          <w:p w14:paraId="40DD18EA" w14:textId="5E041743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12.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izteikto 9.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otr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daļu;</w:t>
            </w:r>
          </w:p>
          <w:p w14:paraId="7D11A145" w14:textId="5AE8B14A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izteikto 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10.a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apakšpunktu;</w:t>
            </w:r>
          </w:p>
          <w:p w14:paraId="2864D339" w14:textId="3ECE865B" w:rsidR="00496AC0" w:rsidRDefault="00496AC0" w:rsidP="00496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17.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punktā izteikto 11.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otro</w:t>
            </w:r>
            <w:r w:rsidR="00593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rindkopu;</w:t>
            </w:r>
          </w:p>
          <w:p w14:paraId="2BECECC1" w14:textId="140531A5" w:rsidR="00496AC0" w:rsidRDefault="00496A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23.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izteikto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</w:t>
            </w:r>
            <w:r w:rsidR="00293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panta ceturto </w:t>
            </w:r>
            <w:r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daļ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3B43749E" w14:textId="77777777" w:rsidR="00496AC0" w:rsidRDefault="00496A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4E70985" w14:textId="7B80ED01" w:rsidR="00EC2EDF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2018/410 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14.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apakšpunktā izteiktais 10.a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6.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apakšpunkts netiek pārņemts</w:t>
            </w:r>
            <w:r w:rsidR="00843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Šobrīd, </w:t>
            </w:r>
            <w:r w:rsidR="00E34D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konstatēts Komisijas 2019.gada 17.decembra ziņojumā Eiropas Parlamentam un Padomei par Eiropas CO</w:t>
            </w:r>
            <w:r w:rsidR="00E34DF6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lv-LV"/>
              </w:rPr>
              <w:t>2</w:t>
            </w:r>
            <w:r w:rsidR="00E34D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tirgus darbību, </w:t>
            </w:r>
            <w:r w:rsidR="00843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netiešo izmaksu kompensācija pastāv tikai 11 ES dalībvalstīs.  </w:t>
            </w:r>
            <w:r w:rsidR="00E34D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norādīts Komisijas pamatnostādnē par </w:t>
            </w:r>
            <w:r w:rsidR="00E34DF6" w:rsidRPr="00843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atsevišķiem valsts atbalsta pasākumiem saistībā ar siltumnīcefekta gāzu emisiju kvotu tirdzniecības sistēmu pēc 2012.</w:t>
            </w:r>
            <w:r w:rsidR="004C3C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34DF6" w:rsidRPr="00843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</w:t>
            </w:r>
            <w:r w:rsidR="00E34D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pamatnostādne), ja netiešo izmaksu kompensācija nav mērķtiecīga, tā var ierobežot motivāciju samazināt emisijas, ieviest inovācijas nozarē, un novest līdz tam, ka emisiju samazināšanas izmaksas segs citas ekonomikas nozares. 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Papildus, </w:t>
            </w:r>
            <w:r w:rsidR="008434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pamatnostādnē Komisija norāda, ka 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pastāv</w:t>
            </w:r>
            <w:r w:rsidR="00126F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liela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iespēja, ka valsts atbalsts </w:t>
            </w:r>
            <w:r w:rsidR="00126F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veicinās tirgus 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kropļo</w:t>
            </w:r>
            <w:r w:rsidR="00126F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šanu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it īpaši reģionāli un starp dalībvalstīm. </w:t>
            </w:r>
            <w:r w:rsidR="007E1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Secīgi </w:t>
            </w:r>
            <w:r w:rsidR="007E1D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noBreakHyphen/>
              <w:t xml:space="preserve"> </w:t>
            </w:r>
            <w:r w:rsidR="00746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neplāno sniegt valsts atbalstu netiešo izmaksu kompensāciju veidā.</w:t>
            </w:r>
          </w:p>
          <w:p w14:paraId="6E6519AA" w14:textId="671B72BC" w:rsidR="00B305E2" w:rsidRDefault="002932F9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2018/410 </w:t>
            </w:r>
            <w:r w:rsidR="00E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20.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="00EC2ED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12.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ED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4.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EC2EDF"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</w:t>
            </w:r>
            <w:r w:rsid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netiek pārņemts, jo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 w:rsid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kvotu anulēšana no kopējā izsolāmo </w:t>
            </w:r>
            <w:r w:rsidR="00433E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emisijas </w:t>
            </w:r>
            <w:r w:rsidR="00B305E2" w:rsidRP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kvotu daudzuma</w:t>
            </w:r>
            <w:r w:rsid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B305E2" w:rsidRPr="00B30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05E2" w:rsidRPr="00B30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ES</w:t>
            </w:r>
            <w:r w:rsidR="00B305E2" w:rsidRPr="00B30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dalībvalsts teritorijā papildu valsts pasākumu dēļ tiek slēgta elektroenerģijas ražošanas jauda, </w:t>
            </w:r>
            <w:r w:rsidR="00B30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negatīvi iespaidotu Latvijas budžeta ieņēmumus. </w:t>
            </w:r>
          </w:p>
          <w:p w14:paraId="262E5B86" w14:textId="77777777" w:rsidR="00447232" w:rsidRDefault="00447232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79FBB8" w14:textId="7A9B85A2" w:rsidR="00447232" w:rsidRDefault="002932F9" w:rsidP="00ED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2018/410 </w:t>
            </w:r>
            <w:r w:rsidR="00447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47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30.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47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447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 </w:t>
            </w:r>
            <w:r w:rsidR="004472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 izteiktais </w:t>
            </w:r>
            <w:r w:rsidR="00447232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447232"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pants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netiek pārņemts, jo Latvija līdz šim nav </w:t>
            </w:r>
            <w:r w:rsidR="00447232" w:rsidRP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piemēro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jusi</w:t>
            </w:r>
            <w:r w:rsidR="00447232" w:rsidRP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emisijas kvotu tirdzniecību darbībām un siltumnīcefektu izraisošām gāzēm, kuras nav uzskaitītas 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likuma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“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Par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iesārņojumu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”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="00447232" w:rsidRP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pielikumā,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un </w:t>
            </w:r>
            <w:r w:rsidR="00224D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pēc </w:t>
            </w:r>
            <w:r w:rsidR="00224D1B" w:rsidRPr="00224D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attiecīgo kritēriju</w:t>
            </w:r>
            <w:r w:rsidR="00224D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izvērtēšanas, to iekļaušana 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 ETS ceturtajā periodā</w:t>
            </w:r>
            <w:r w:rsidR="00224D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B1E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nebūtu izmaksefektīva</w:t>
            </w:r>
            <w:r w:rsidR="004472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3796939B" w14:textId="77777777" w:rsidR="00EC2EDF" w:rsidRPr="00B305E2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6A97D19" w14:textId="3B629129" w:rsidR="00EC2EDF" w:rsidRPr="003D7F0C" w:rsidRDefault="00EC2EDF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2018/410 1.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panta 35.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punktā izteiktais </w:t>
            </w:r>
            <w:r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27.a</w:t>
            </w:r>
            <w:r w:rsidR="00293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3D7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pants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netiek pārņemts, jo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 neplāno no ES ETS izslēgt operatorus, kas emitē mazāk nekā 2 500 tonnas CO</w:t>
            </w:r>
            <w:r w:rsidRPr="008A069D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ekvivalenta gadā, ņemot vērā, ka tas palielinās ne-ETS sektor</w:t>
            </w:r>
            <w:r w:rsidR="00246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emisijas pret kopējo Latvijas emisiju apjomu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EA60DF" w:rsidRPr="003D7F0C" w14:paraId="15540251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20CDE" w14:textId="2D30578C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4789E" w14:textId="070ED16E" w:rsidR="00EA60DF" w:rsidRPr="003D7F0C" w:rsidRDefault="0067601A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A60DF" w:rsidRPr="003D7F0C" w14:paraId="1B6F9187" w14:textId="77777777" w:rsidTr="00593648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9AAC0" w14:textId="77777777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72F8" w14:textId="5EC61E29" w:rsidR="00EA60DF" w:rsidRPr="003D7F0C" w:rsidRDefault="00EA60DF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A60DF" w:rsidRPr="003D7F0C" w14:paraId="7172CA97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9E12" w14:textId="49130D92" w:rsidR="00EA60DF" w:rsidRPr="003D7F0C" w:rsidRDefault="006A0DAE" w:rsidP="00EA6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2. </w:t>
            </w:r>
            <w:r w:rsidR="00EA60DF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tabula</w:t>
            </w:r>
            <w:r w:rsidR="00EA60DF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="00EA60DF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EA60DF" w:rsidRPr="003D7F0C" w14:paraId="4557D42B" w14:textId="77777777" w:rsidTr="00346F2D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2E995" w14:textId="3424E916" w:rsidR="00EA60DF" w:rsidRPr="003D7F0C" w:rsidRDefault="00EA60DF" w:rsidP="0059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57343B2" w14:textId="16BC9700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04E31DB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8E7D8" w14:textId="5C34D880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 </w:t>
            </w:r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9470CF" w:rsidRPr="003D7F0C" w14:paraId="0939D2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6C913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C9319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424F0" w14:textId="40E21DC3" w:rsidR="00E5323B" w:rsidRPr="003D7F0C" w:rsidRDefault="00194B23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4829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abiedrības līdzdalība ir nodrošināta 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askaņā ar Ministru kabineta 2009.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noteikumu Nr.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</w:t>
            </w:r>
            <w:r w:rsidR="000C75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932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aicinot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līdzdarboties, rakstiski sniedzot viedokli par noteikumu projektu tā izstrādes stadijā. Sabiedrības pārstāvji ir informēti par iespēju līdzdarboties, publicējot paziņojumu par līdzdalības procesu VARAM tīmekļvietnē.</w:t>
            </w:r>
          </w:p>
        </w:tc>
      </w:tr>
      <w:tr w:rsidR="009470CF" w:rsidRPr="003D7F0C" w14:paraId="67426F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0EF08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EC94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3D580" w14:textId="1AC5032A" w:rsidR="00DB5BC3" w:rsidRPr="005915B7" w:rsidRDefault="00194B23" w:rsidP="00784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3F4806">
              <w:rPr>
                <w:rFonts w:ascii="Times New Roman" w:hAnsi="Times New Roman"/>
                <w:sz w:val="24"/>
                <w:szCs w:val="24"/>
              </w:rPr>
              <w:t>projekts publicēts VARAM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806">
              <w:rPr>
                <w:rFonts w:ascii="Times New Roman" w:hAnsi="Times New Roman"/>
                <w:sz w:val="24"/>
                <w:szCs w:val="24"/>
              </w:rPr>
              <w:t xml:space="preserve">tīmekļvietnē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  <w:r w:rsidR="000C756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784088" w:rsidRPr="00784088">
              <w:rPr>
                <w:rFonts w:ascii="Times New Roman" w:hAnsi="Times New Roman"/>
                <w:sz w:val="24"/>
                <w:szCs w:val="24"/>
              </w:rPr>
              <w:t>14</w:t>
            </w:r>
            <w:r w:rsidRPr="00784088">
              <w:rPr>
                <w:rFonts w:ascii="Times New Roman" w:hAnsi="Times New Roman"/>
                <w:sz w:val="24"/>
                <w:szCs w:val="24"/>
              </w:rPr>
              <w:t>.</w:t>
            </w:r>
            <w:r w:rsidR="000C756B">
              <w:rPr>
                <w:rFonts w:ascii="Times New Roman" w:hAnsi="Times New Roman"/>
                <w:sz w:val="24"/>
                <w:szCs w:val="24"/>
              </w:rPr>
              <w:t> </w:t>
            </w:r>
            <w:r w:rsidRPr="00784088">
              <w:rPr>
                <w:rFonts w:ascii="Times New Roman" w:hAnsi="Times New Roman"/>
                <w:sz w:val="24"/>
                <w:szCs w:val="24"/>
              </w:rPr>
              <w:t>jūnijā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6C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8" w:history="1">
              <w:r w:rsidR="00784088" w:rsidRPr="007840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www.varam.gov.lv</w:t>
              </w:r>
            </w:hyperlink>
            <w:r w:rsidR="00396CFF" w:rsidRPr="00BB50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70CF" w:rsidRPr="003D7F0C" w14:paraId="6B9B381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CF4E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E390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D438" w14:textId="1539A645" w:rsidR="00E5323B" w:rsidRPr="003D7F0C" w:rsidRDefault="00A94A72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Ieteikumi vai komentāri netika saņemti</w:t>
            </w:r>
            <w:r w:rsidR="006A0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0CF" w:rsidRPr="003D7F0C" w14:paraId="268B1726" w14:textId="77777777" w:rsidTr="005915B7">
        <w:trPr>
          <w:trHeight w:val="45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2C83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75F9D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BD304" w14:textId="340FA4E6" w:rsidR="0033211C" w:rsidRPr="003D7F0C" w:rsidRDefault="00496AC0" w:rsidP="003321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96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</w:t>
            </w:r>
            <w:r w:rsidR="003321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saskaņots ar</w:t>
            </w:r>
            <w:r w:rsidRPr="00272D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VVD, LATAK un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LVĢMC</w:t>
            </w:r>
            <w:r w:rsidRPr="00496A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F4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4103C65A" w14:textId="1F93EA67" w:rsidR="00E5323B" w:rsidRPr="003D7F0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470CF" w:rsidRPr="003D7F0C" w14:paraId="68BB2E8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D315A" w14:textId="774BA5D8" w:rsidR="00655F2C" w:rsidRPr="003D7F0C" w:rsidRDefault="006A0DA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 </w:t>
            </w:r>
            <w:bookmarkStart w:id="0" w:name="_GoBack"/>
            <w:bookmarkEnd w:id="0"/>
            <w:r w:rsidR="00E5323B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9470CF" w:rsidRPr="003D7F0C" w14:paraId="48641B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9D6E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5665E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0315" w14:textId="77777777" w:rsidR="004829C0" w:rsidRPr="003D7F0C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VVD, LATAK</w:t>
            </w:r>
          </w:p>
        </w:tc>
      </w:tr>
      <w:tr w:rsidR="009470CF" w:rsidRPr="003D7F0C" w14:paraId="2C5FBB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E215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02754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1AA58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iekļautie nosacījumi var radīt ietekmi uz pārvaldes funkcijām, tomēr tas neietekmēs institucionālo sistēmu.</w:t>
            </w:r>
          </w:p>
          <w:p w14:paraId="20B0A9DE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717075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iekļauto nosacījumu izpildei nav nepieciešams veidot jaunas institūcijas, likvidēt vai reorganizēt esošās institūcijas. </w:t>
            </w:r>
          </w:p>
          <w:p w14:paraId="7EF4106E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4273EF0" w14:textId="77777777" w:rsidR="009D56A1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iekļauto nosacījumu izpilde neatstās ietekmi uz cilvēkresursiem.</w:t>
            </w:r>
          </w:p>
          <w:p w14:paraId="20A65FDF" w14:textId="77777777" w:rsidR="004829C0" w:rsidRPr="009D56A1" w:rsidRDefault="004829C0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9B8AA08" w14:textId="77777777" w:rsidR="00E5323B" w:rsidRPr="003D7F0C" w:rsidRDefault="009D56A1" w:rsidP="00ED5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izpildē iesaistītās institūcijas noteikumu projektā iekļautos pasākumu nodrošinās piešķirto valsts budžeta līdzekļu ietvaros.</w:t>
            </w:r>
          </w:p>
        </w:tc>
      </w:tr>
      <w:tr w:rsidR="009470CF" w:rsidRPr="003D7F0C" w14:paraId="5166CC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2C88D" w14:textId="77777777" w:rsidR="00655F2C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C228" w14:textId="77777777" w:rsidR="00E5323B" w:rsidRPr="003D7F0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58F8" w14:textId="77777777" w:rsidR="00E5323B" w:rsidRPr="003D7F0C" w:rsidRDefault="009D56A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FCBC2D7" w14:textId="77777777" w:rsidR="00C25B49" w:rsidRPr="003D7F0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CFBB" w14:textId="377925E0" w:rsidR="00894C55" w:rsidRPr="003D7F0C" w:rsidRDefault="004829C0" w:rsidP="004829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 attīstības</w:t>
      </w:r>
      <w:r w:rsidR="00894C55" w:rsidRPr="003D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088">
        <w:rPr>
          <w:rFonts w:ascii="Times New Roman" w:hAnsi="Times New Roman" w:cs="Times New Roman"/>
          <w:sz w:val="28"/>
          <w:szCs w:val="28"/>
        </w:rPr>
        <w:tab/>
      </w:r>
      <w:r w:rsidR="007840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Juris</w:t>
      </w:r>
      <w:r w:rsidR="00760F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Pūce</w:t>
      </w:r>
    </w:p>
    <w:p w14:paraId="7938B3F2" w14:textId="77777777" w:rsidR="00760F08" w:rsidRDefault="00760F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5C4833" w14:textId="77777777" w:rsidR="00760F08" w:rsidRDefault="00760F0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78C28" w14:textId="77777777" w:rsidR="00894C55" w:rsidRPr="005915B7" w:rsidRDefault="00194B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5B7">
        <w:rPr>
          <w:rFonts w:ascii="Times New Roman" w:hAnsi="Times New Roman" w:cs="Times New Roman"/>
          <w:sz w:val="20"/>
          <w:szCs w:val="20"/>
        </w:rPr>
        <w:t>Leimane</w:t>
      </w:r>
      <w:r w:rsidR="00D133F8" w:rsidRPr="005915B7">
        <w:rPr>
          <w:rFonts w:ascii="Times New Roman" w:hAnsi="Times New Roman" w:cs="Times New Roman"/>
          <w:sz w:val="20"/>
          <w:szCs w:val="20"/>
        </w:rPr>
        <w:t xml:space="preserve"> </w:t>
      </w:r>
      <w:r w:rsidRPr="005915B7">
        <w:rPr>
          <w:rFonts w:ascii="Times New Roman" w:hAnsi="Times New Roman" w:cs="Times New Roman"/>
          <w:sz w:val="20"/>
          <w:szCs w:val="20"/>
        </w:rPr>
        <w:t>67026528</w:t>
      </w:r>
    </w:p>
    <w:p w14:paraId="7D28AA40" w14:textId="77777777" w:rsidR="00894C55" w:rsidRPr="005915B7" w:rsidRDefault="00194B2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5B7">
        <w:rPr>
          <w:rFonts w:ascii="Times New Roman" w:hAnsi="Times New Roman" w:cs="Times New Roman"/>
          <w:sz w:val="20"/>
          <w:szCs w:val="20"/>
        </w:rPr>
        <w:t>Liza.Leimane</w:t>
      </w:r>
      <w:r w:rsidR="00894C55" w:rsidRPr="005915B7">
        <w:rPr>
          <w:rFonts w:ascii="Times New Roman" w:hAnsi="Times New Roman" w:cs="Times New Roman"/>
          <w:sz w:val="20"/>
          <w:szCs w:val="20"/>
        </w:rPr>
        <w:t>@</w:t>
      </w:r>
      <w:r w:rsidRPr="005915B7">
        <w:rPr>
          <w:rFonts w:ascii="Times New Roman" w:hAnsi="Times New Roman" w:cs="Times New Roman"/>
          <w:sz w:val="20"/>
          <w:szCs w:val="20"/>
        </w:rPr>
        <w:t>varam</w:t>
      </w:r>
      <w:r w:rsidR="00894C55" w:rsidRPr="005915B7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5915B7" w:rsidSect="00C96D1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A0D9A" w14:textId="77777777" w:rsidR="006A0DAE" w:rsidRDefault="006A0DAE" w:rsidP="00894C55">
      <w:pPr>
        <w:spacing w:after="0" w:line="240" w:lineRule="auto"/>
      </w:pPr>
      <w:r>
        <w:separator/>
      </w:r>
    </w:p>
  </w:endnote>
  <w:endnote w:type="continuationSeparator" w:id="0">
    <w:p w14:paraId="7B92A75A" w14:textId="77777777" w:rsidR="006A0DAE" w:rsidRDefault="006A0DAE" w:rsidP="00894C55">
      <w:pPr>
        <w:spacing w:after="0" w:line="240" w:lineRule="auto"/>
      </w:pPr>
      <w:r>
        <w:continuationSeparator/>
      </w:r>
    </w:p>
  </w:endnote>
  <w:endnote w:type="continuationNotice" w:id="1">
    <w:p w14:paraId="6E07DB27" w14:textId="77777777" w:rsidR="000D6C6D" w:rsidRDefault="000D6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3997" w14:textId="38F599BB" w:rsidR="006A0DAE" w:rsidRPr="003D7F0C" w:rsidRDefault="006A0DAE" w:rsidP="003D7F0C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VARAMAnot_020919_Groz112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0018" w14:textId="24065752" w:rsidR="006A0DAE" w:rsidRPr="003D7F0C" w:rsidRDefault="006A0DAE" w:rsidP="003D7F0C">
    <w:pPr>
      <w:pStyle w:val="Footer"/>
      <w:rPr>
        <w:rFonts w:ascii="Times New Roman" w:hAnsi="Times New Roman" w:cs="Times New Roman"/>
        <w:sz w:val="20"/>
        <w:szCs w:val="20"/>
      </w:rPr>
    </w:pPr>
    <w:r w:rsidRPr="003D7F0C">
      <w:rPr>
        <w:rFonts w:ascii="Times New Roman" w:hAnsi="Times New Roman" w:cs="Times New Roman"/>
        <w:sz w:val="20"/>
        <w:szCs w:val="20"/>
      </w:rPr>
      <w:fldChar w:fldCharType="begin"/>
    </w:r>
    <w:r w:rsidRPr="003D7F0C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3D7F0C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VARAMAnot_020919_Groz112</w:t>
    </w:r>
    <w:r w:rsidRPr="003D7F0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830E" w14:textId="77777777" w:rsidR="006A0DAE" w:rsidRDefault="006A0DAE" w:rsidP="00894C55">
      <w:pPr>
        <w:spacing w:after="0" w:line="240" w:lineRule="auto"/>
      </w:pPr>
      <w:r>
        <w:separator/>
      </w:r>
    </w:p>
  </w:footnote>
  <w:footnote w:type="continuationSeparator" w:id="0">
    <w:p w14:paraId="0F81F08F" w14:textId="77777777" w:rsidR="006A0DAE" w:rsidRDefault="006A0DAE" w:rsidP="00894C55">
      <w:pPr>
        <w:spacing w:after="0" w:line="240" w:lineRule="auto"/>
      </w:pPr>
      <w:r>
        <w:continuationSeparator/>
      </w:r>
    </w:p>
  </w:footnote>
  <w:footnote w:type="continuationNotice" w:id="1">
    <w:p w14:paraId="01BAE8E6" w14:textId="77777777" w:rsidR="000D6C6D" w:rsidRDefault="000D6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C9685E0" w14:textId="77777777" w:rsidR="006A0DAE" w:rsidRPr="00C25B49" w:rsidRDefault="006A0DA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D05D7">
          <w:rPr>
            <w:rFonts w:ascii="Times New Roman" w:hAnsi="Times New Roman" w:cs="Times New Roman"/>
            <w:noProof/>
            <w:sz w:val="24"/>
            <w:szCs w:val="20"/>
          </w:rPr>
          <w:t>13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03B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EBF"/>
    <w:multiLevelType w:val="hybridMultilevel"/>
    <w:tmpl w:val="04605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4C75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7EB"/>
    <w:multiLevelType w:val="hybridMultilevel"/>
    <w:tmpl w:val="B1ACB5EC"/>
    <w:lvl w:ilvl="0" w:tplc="8B1A0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57096"/>
    <w:multiLevelType w:val="hybridMultilevel"/>
    <w:tmpl w:val="B0961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58CF"/>
    <w:multiLevelType w:val="hybridMultilevel"/>
    <w:tmpl w:val="6A1C434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41A"/>
    <w:rsid w:val="00010556"/>
    <w:rsid w:val="00011533"/>
    <w:rsid w:val="000179DE"/>
    <w:rsid w:val="00042AC3"/>
    <w:rsid w:val="00047154"/>
    <w:rsid w:val="00070A69"/>
    <w:rsid w:val="000763E2"/>
    <w:rsid w:val="000C023D"/>
    <w:rsid w:val="000C756B"/>
    <w:rsid w:val="000D32A5"/>
    <w:rsid w:val="000D6C6D"/>
    <w:rsid w:val="000E129A"/>
    <w:rsid w:val="000F103A"/>
    <w:rsid w:val="000F1061"/>
    <w:rsid w:val="00100AFA"/>
    <w:rsid w:val="00126FA2"/>
    <w:rsid w:val="00142B71"/>
    <w:rsid w:val="00153148"/>
    <w:rsid w:val="00164BFE"/>
    <w:rsid w:val="001667CF"/>
    <w:rsid w:val="001719F1"/>
    <w:rsid w:val="0018220C"/>
    <w:rsid w:val="00191430"/>
    <w:rsid w:val="00194B23"/>
    <w:rsid w:val="001A5D71"/>
    <w:rsid w:val="001B0F84"/>
    <w:rsid w:val="001D65FC"/>
    <w:rsid w:val="001F4C80"/>
    <w:rsid w:val="001F7795"/>
    <w:rsid w:val="00206BFB"/>
    <w:rsid w:val="0021180E"/>
    <w:rsid w:val="00215D7E"/>
    <w:rsid w:val="002177C8"/>
    <w:rsid w:val="00224D1B"/>
    <w:rsid w:val="00243426"/>
    <w:rsid w:val="00246D07"/>
    <w:rsid w:val="0025179B"/>
    <w:rsid w:val="002520C3"/>
    <w:rsid w:val="00252F31"/>
    <w:rsid w:val="00255699"/>
    <w:rsid w:val="00272D62"/>
    <w:rsid w:val="002932F9"/>
    <w:rsid w:val="00294A11"/>
    <w:rsid w:val="002B5197"/>
    <w:rsid w:val="002D05D7"/>
    <w:rsid w:val="002E1C05"/>
    <w:rsid w:val="003057CF"/>
    <w:rsid w:val="003120A1"/>
    <w:rsid w:val="00314348"/>
    <w:rsid w:val="003320EE"/>
    <w:rsid w:val="0033211C"/>
    <w:rsid w:val="003458E3"/>
    <w:rsid w:val="00345EC7"/>
    <w:rsid w:val="00346F2D"/>
    <w:rsid w:val="0035124F"/>
    <w:rsid w:val="00351836"/>
    <w:rsid w:val="00394A57"/>
    <w:rsid w:val="00396CFF"/>
    <w:rsid w:val="003A30F7"/>
    <w:rsid w:val="003B0BF9"/>
    <w:rsid w:val="003D7F0C"/>
    <w:rsid w:val="003E0791"/>
    <w:rsid w:val="003F11FA"/>
    <w:rsid w:val="003F28AC"/>
    <w:rsid w:val="003F44E1"/>
    <w:rsid w:val="00400C5C"/>
    <w:rsid w:val="00433EDE"/>
    <w:rsid w:val="0044229B"/>
    <w:rsid w:val="004454FE"/>
    <w:rsid w:val="00447232"/>
    <w:rsid w:val="00454B08"/>
    <w:rsid w:val="00456E40"/>
    <w:rsid w:val="00471F27"/>
    <w:rsid w:val="004829C0"/>
    <w:rsid w:val="00485495"/>
    <w:rsid w:val="00493F97"/>
    <w:rsid w:val="004959E6"/>
    <w:rsid w:val="00496AC0"/>
    <w:rsid w:val="004A2D2C"/>
    <w:rsid w:val="004B1EE6"/>
    <w:rsid w:val="004C3C34"/>
    <w:rsid w:val="0050178F"/>
    <w:rsid w:val="00524C59"/>
    <w:rsid w:val="0052506D"/>
    <w:rsid w:val="0054667D"/>
    <w:rsid w:val="0056647B"/>
    <w:rsid w:val="00576DF3"/>
    <w:rsid w:val="005868C4"/>
    <w:rsid w:val="005915B7"/>
    <w:rsid w:val="005923DC"/>
    <w:rsid w:val="00593648"/>
    <w:rsid w:val="005950E7"/>
    <w:rsid w:val="005B1AA2"/>
    <w:rsid w:val="005F2018"/>
    <w:rsid w:val="005F25E4"/>
    <w:rsid w:val="00602EE5"/>
    <w:rsid w:val="006340F7"/>
    <w:rsid w:val="0063612F"/>
    <w:rsid w:val="006475BD"/>
    <w:rsid w:val="00653D90"/>
    <w:rsid w:val="00655F2C"/>
    <w:rsid w:val="00670300"/>
    <w:rsid w:val="0067601A"/>
    <w:rsid w:val="00676C40"/>
    <w:rsid w:val="00680562"/>
    <w:rsid w:val="006823B6"/>
    <w:rsid w:val="0068302D"/>
    <w:rsid w:val="0068404E"/>
    <w:rsid w:val="006860E9"/>
    <w:rsid w:val="006A0DAE"/>
    <w:rsid w:val="006B4FB9"/>
    <w:rsid w:val="006B64B6"/>
    <w:rsid w:val="006B7D5D"/>
    <w:rsid w:val="006C35B6"/>
    <w:rsid w:val="006D3A27"/>
    <w:rsid w:val="006E1081"/>
    <w:rsid w:val="006F2C83"/>
    <w:rsid w:val="00706D13"/>
    <w:rsid w:val="00710C6A"/>
    <w:rsid w:val="0071233B"/>
    <w:rsid w:val="0071448C"/>
    <w:rsid w:val="007148BD"/>
    <w:rsid w:val="00720585"/>
    <w:rsid w:val="00722880"/>
    <w:rsid w:val="00727865"/>
    <w:rsid w:val="007302FD"/>
    <w:rsid w:val="007420BF"/>
    <w:rsid w:val="0074693B"/>
    <w:rsid w:val="00747884"/>
    <w:rsid w:val="00750FE3"/>
    <w:rsid w:val="007537FB"/>
    <w:rsid w:val="00760F08"/>
    <w:rsid w:val="00762052"/>
    <w:rsid w:val="00770CBC"/>
    <w:rsid w:val="00770E38"/>
    <w:rsid w:val="00773AF6"/>
    <w:rsid w:val="00784088"/>
    <w:rsid w:val="0078599A"/>
    <w:rsid w:val="007903EC"/>
    <w:rsid w:val="00795F71"/>
    <w:rsid w:val="0079718A"/>
    <w:rsid w:val="007A09D2"/>
    <w:rsid w:val="007B1F37"/>
    <w:rsid w:val="007B783A"/>
    <w:rsid w:val="007C47A1"/>
    <w:rsid w:val="007C5594"/>
    <w:rsid w:val="007C768C"/>
    <w:rsid w:val="007C776C"/>
    <w:rsid w:val="007D116E"/>
    <w:rsid w:val="007D59ED"/>
    <w:rsid w:val="007E1D60"/>
    <w:rsid w:val="007E5F7A"/>
    <w:rsid w:val="007E6B7D"/>
    <w:rsid w:val="007E73AB"/>
    <w:rsid w:val="00815966"/>
    <w:rsid w:val="00816C11"/>
    <w:rsid w:val="00817008"/>
    <w:rsid w:val="00843463"/>
    <w:rsid w:val="008457F9"/>
    <w:rsid w:val="008468EB"/>
    <w:rsid w:val="00852EF3"/>
    <w:rsid w:val="0086778B"/>
    <w:rsid w:val="00894C55"/>
    <w:rsid w:val="008A069D"/>
    <w:rsid w:val="008A428C"/>
    <w:rsid w:val="008B3674"/>
    <w:rsid w:val="008B44D4"/>
    <w:rsid w:val="008C49C3"/>
    <w:rsid w:val="00914880"/>
    <w:rsid w:val="00922BC4"/>
    <w:rsid w:val="009321FA"/>
    <w:rsid w:val="00940BC4"/>
    <w:rsid w:val="009470CF"/>
    <w:rsid w:val="00963C01"/>
    <w:rsid w:val="00966AD3"/>
    <w:rsid w:val="00970CE4"/>
    <w:rsid w:val="00972E6A"/>
    <w:rsid w:val="00992A4A"/>
    <w:rsid w:val="009961C6"/>
    <w:rsid w:val="00996D13"/>
    <w:rsid w:val="009A179C"/>
    <w:rsid w:val="009A2654"/>
    <w:rsid w:val="009B02EF"/>
    <w:rsid w:val="009B10C0"/>
    <w:rsid w:val="009C16F9"/>
    <w:rsid w:val="009C6DAC"/>
    <w:rsid w:val="009D56A1"/>
    <w:rsid w:val="009E4216"/>
    <w:rsid w:val="009E44FB"/>
    <w:rsid w:val="00A10FC3"/>
    <w:rsid w:val="00A25B68"/>
    <w:rsid w:val="00A52900"/>
    <w:rsid w:val="00A55D56"/>
    <w:rsid w:val="00A6073E"/>
    <w:rsid w:val="00A651F8"/>
    <w:rsid w:val="00A6548F"/>
    <w:rsid w:val="00A71CF7"/>
    <w:rsid w:val="00A71D4D"/>
    <w:rsid w:val="00A90C4D"/>
    <w:rsid w:val="00A94A72"/>
    <w:rsid w:val="00AA248E"/>
    <w:rsid w:val="00AB18A5"/>
    <w:rsid w:val="00AB3B37"/>
    <w:rsid w:val="00AD5183"/>
    <w:rsid w:val="00AE5567"/>
    <w:rsid w:val="00AF1239"/>
    <w:rsid w:val="00B030A3"/>
    <w:rsid w:val="00B16480"/>
    <w:rsid w:val="00B1663D"/>
    <w:rsid w:val="00B1710C"/>
    <w:rsid w:val="00B2165C"/>
    <w:rsid w:val="00B22C2E"/>
    <w:rsid w:val="00B305E2"/>
    <w:rsid w:val="00B52191"/>
    <w:rsid w:val="00B54597"/>
    <w:rsid w:val="00BA0718"/>
    <w:rsid w:val="00BA20AA"/>
    <w:rsid w:val="00BB50FB"/>
    <w:rsid w:val="00BC6C27"/>
    <w:rsid w:val="00BD4425"/>
    <w:rsid w:val="00BE597E"/>
    <w:rsid w:val="00BF7134"/>
    <w:rsid w:val="00C02089"/>
    <w:rsid w:val="00C041A4"/>
    <w:rsid w:val="00C13496"/>
    <w:rsid w:val="00C233F3"/>
    <w:rsid w:val="00C258F1"/>
    <w:rsid w:val="00C25B49"/>
    <w:rsid w:val="00C271F0"/>
    <w:rsid w:val="00C32D62"/>
    <w:rsid w:val="00C3623F"/>
    <w:rsid w:val="00C54BD8"/>
    <w:rsid w:val="00C71EBA"/>
    <w:rsid w:val="00C83E85"/>
    <w:rsid w:val="00C93483"/>
    <w:rsid w:val="00C96D19"/>
    <w:rsid w:val="00CA4A51"/>
    <w:rsid w:val="00CB110B"/>
    <w:rsid w:val="00CB690A"/>
    <w:rsid w:val="00CC0D2D"/>
    <w:rsid w:val="00CD20D3"/>
    <w:rsid w:val="00CE5657"/>
    <w:rsid w:val="00CF38FF"/>
    <w:rsid w:val="00D12F1D"/>
    <w:rsid w:val="00D133F8"/>
    <w:rsid w:val="00D14A3E"/>
    <w:rsid w:val="00D1656F"/>
    <w:rsid w:val="00D305BA"/>
    <w:rsid w:val="00D46BE6"/>
    <w:rsid w:val="00D47D76"/>
    <w:rsid w:val="00D52354"/>
    <w:rsid w:val="00D637D9"/>
    <w:rsid w:val="00D64296"/>
    <w:rsid w:val="00D64F55"/>
    <w:rsid w:val="00D774A0"/>
    <w:rsid w:val="00DA028F"/>
    <w:rsid w:val="00DA4887"/>
    <w:rsid w:val="00DB5BC3"/>
    <w:rsid w:val="00DB5C5D"/>
    <w:rsid w:val="00DC6B91"/>
    <w:rsid w:val="00DD05FC"/>
    <w:rsid w:val="00DF5A14"/>
    <w:rsid w:val="00E1711A"/>
    <w:rsid w:val="00E33FCD"/>
    <w:rsid w:val="00E34194"/>
    <w:rsid w:val="00E34A7F"/>
    <w:rsid w:val="00E34DF6"/>
    <w:rsid w:val="00E3716B"/>
    <w:rsid w:val="00E42763"/>
    <w:rsid w:val="00E5323B"/>
    <w:rsid w:val="00E5418F"/>
    <w:rsid w:val="00E8488C"/>
    <w:rsid w:val="00E8749E"/>
    <w:rsid w:val="00E90C01"/>
    <w:rsid w:val="00E92F81"/>
    <w:rsid w:val="00EA486E"/>
    <w:rsid w:val="00EA60DF"/>
    <w:rsid w:val="00EB7938"/>
    <w:rsid w:val="00EC0C6F"/>
    <w:rsid w:val="00EC2EDF"/>
    <w:rsid w:val="00EC5056"/>
    <w:rsid w:val="00EC607F"/>
    <w:rsid w:val="00ED1568"/>
    <w:rsid w:val="00ED5394"/>
    <w:rsid w:val="00EF5167"/>
    <w:rsid w:val="00EF6349"/>
    <w:rsid w:val="00F071F1"/>
    <w:rsid w:val="00F14F2F"/>
    <w:rsid w:val="00F249CF"/>
    <w:rsid w:val="00F337D1"/>
    <w:rsid w:val="00F3603F"/>
    <w:rsid w:val="00F57B0C"/>
    <w:rsid w:val="00F75AA3"/>
    <w:rsid w:val="00F90C54"/>
    <w:rsid w:val="00F9193A"/>
    <w:rsid w:val="00F96E5B"/>
    <w:rsid w:val="00FA6183"/>
    <w:rsid w:val="00FB2A2B"/>
    <w:rsid w:val="00FC23A7"/>
    <w:rsid w:val="00FE68B9"/>
    <w:rsid w:val="00FE696E"/>
    <w:rsid w:val="00FF3078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75AAC5"/>
  <w15:docId w15:val="{E3C39A04-E039-4FC4-AFBA-DE982F1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0CF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8C49C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FA6183"/>
    <w:rPr>
      <w:i/>
      <w:iCs/>
    </w:rPr>
  </w:style>
  <w:style w:type="paragraph" w:customStyle="1" w:styleId="forceindicator">
    <w:name w:val="forceindicator"/>
    <w:basedOn w:val="Normal"/>
    <w:rsid w:val="00FA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lat/likumdosana/normativo_aktu_projekti/klimata_parmainu_joma/?doc=2752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2774E0"/>
    <w:rsid w:val="002C28B0"/>
    <w:rsid w:val="00344186"/>
    <w:rsid w:val="00354B08"/>
    <w:rsid w:val="00472F39"/>
    <w:rsid w:val="00523A63"/>
    <w:rsid w:val="005F3641"/>
    <w:rsid w:val="00605484"/>
    <w:rsid w:val="006D0D9A"/>
    <w:rsid w:val="00707B4A"/>
    <w:rsid w:val="00746C1C"/>
    <w:rsid w:val="00762E37"/>
    <w:rsid w:val="00781567"/>
    <w:rsid w:val="00812E3D"/>
    <w:rsid w:val="00837359"/>
    <w:rsid w:val="008A58D3"/>
    <w:rsid w:val="008B623B"/>
    <w:rsid w:val="008D39C9"/>
    <w:rsid w:val="009242EB"/>
    <w:rsid w:val="009978C9"/>
    <w:rsid w:val="009C1B4C"/>
    <w:rsid w:val="00A93CD8"/>
    <w:rsid w:val="00AD33A4"/>
    <w:rsid w:val="00AD4A2F"/>
    <w:rsid w:val="00B24715"/>
    <w:rsid w:val="00B3767C"/>
    <w:rsid w:val="00BD3EAF"/>
    <w:rsid w:val="00BE07AE"/>
    <w:rsid w:val="00C00671"/>
    <w:rsid w:val="00C027BC"/>
    <w:rsid w:val="00C274D0"/>
    <w:rsid w:val="00C56AB1"/>
    <w:rsid w:val="00CC3B05"/>
    <w:rsid w:val="00CF2B86"/>
    <w:rsid w:val="00DF413B"/>
    <w:rsid w:val="00E57A49"/>
    <w:rsid w:val="00EE490C"/>
    <w:rsid w:val="00EE7E5F"/>
    <w:rsid w:val="00F774A5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ABF-67F0-4228-A65E-DF6E0E1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2013. gada 26. februāra noteikumos Nr. 112 “Emisijas kvotu piešķiršanas kārtība stacionāro tehnoloģisko iekārtu operatoriem”” sākotnējās ietekmes novērtējuma ziņojums (anotācija)</vt:lpstr>
    </vt:vector>
  </TitlesOfParts>
  <Company>Vides aizsardzības un reģionālās attīstības ministrija</Company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 gada 26. februāra noteikumos Nr. 112 “Emisijas kvotu piešķiršanas kārtība stacionāro tehnoloģisko iekārtu operatoriem”” sākotnējās ietekmes novērtējuma ziņojums (anotācija)</dc:title>
  <dc:subject>Anotācija</dc:subject>
  <dc:creator>Līza Leimane</dc:creator>
  <cp:keywords/>
  <dc:description>Līza Leimane 67026528 
Liza.Leimane@varam.gov.lv</dc:description>
  <cp:lastModifiedBy>Marta Ošleja</cp:lastModifiedBy>
  <cp:revision>6</cp:revision>
  <dcterms:created xsi:type="dcterms:W3CDTF">2019-09-18T12:26:00Z</dcterms:created>
  <dcterms:modified xsi:type="dcterms:W3CDTF">2019-09-19T13:32:00Z</dcterms:modified>
  <cp:category>Vides politika</cp:category>
</cp:coreProperties>
</file>