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5188" w14:textId="77777777" w:rsidR="007A7643" w:rsidRPr="007A7643" w:rsidRDefault="00C32F6F" w:rsidP="007A7643">
      <w:pPr>
        <w:spacing w:after="0" w:line="240" w:lineRule="auto"/>
        <w:ind w:right="-483"/>
        <w:jc w:val="center"/>
        <w:rPr>
          <w:b/>
          <w:sz w:val="28"/>
          <w:szCs w:val="28"/>
        </w:rPr>
      </w:pPr>
      <w:bookmarkStart w:id="0" w:name="_GoBack"/>
      <w:bookmarkEnd w:id="0"/>
      <w:r w:rsidRPr="007A7643">
        <w:rPr>
          <w:b/>
          <w:sz w:val="28"/>
          <w:szCs w:val="28"/>
        </w:rPr>
        <w:t xml:space="preserve">Informatīvais ziņojums </w:t>
      </w:r>
      <w:bookmarkStart w:id="1" w:name="_Hlk16079300"/>
    </w:p>
    <w:p w14:paraId="68849242" w14:textId="130A9719" w:rsidR="00C32F6F" w:rsidRPr="007A7643" w:rsidRDefault="00C32F6F" w:rsidP="007A7643">
      <w:pPr>
        <w:spacing w:after="0" w:line="240" w:lineRule="auto"/>
        <w:ind w:right="-483"/>
        <w:jc w:val="center"/>
        <w:rPr>
          <w:b/>
          <w:sz w:val="28"/>
          <w:szCs w:val="28"/>
        </w:rPr>
      </w:pPr>
      <w:r w:rsidRPr="007A7643">
        <w:rPr>
          <w:b/>
          <w:sz w:val="28"/>
          <w:szCs w:val="28"/>
        </w:rPr>
        <w:t xml:space="preserve">“Par Jelgavas pilsētas pašvaldības paredzētās darbības </w:t>
      </w:r>
      <w:r w:rsidR="007A1F6C" w:rsidRPr="007A7643">
        <w:rPr>
          <w:b/>
          <w:sz w:val="28"/>
          <w:szCs w:val="28"/>
        </w:rPr>
        <w:t xml:space="preserve">– </w:t>
      </w:r>
      <w:r w:rsidRPr="007A7643">
        <w:rPr>
          <w:b/>
          <w:sz w:val="28"/>
          <w:szCs w:val="28"/>
        </w:rPr>
        <w:t>transporta</w:t>
      </w:r>
      <w:r w:rsidR="007A1F6C" w:rsidRPr="007A7643">
        <w:rPr>
          <w:b/>
          <w:sz w:val="28"/>
          <w:szCs w:val="28"/>
        </w:rPr>
        <w:t xml:space="preserve"> </w:t>
      </w:r>
      <w:r w:rsidRPr="007A7643">
        <w:rPr>
          <w:b/>
          <w:sz w:val="28"/>
          <w:szCs w:val="28"/>
        </w:rPr>
        <w:t>pārvada (tilta) izbūve</w:t>
      </w:r>
      <w:r w:rsidR="007A1F6C" w:rsidRPr="007A7643">
        <w:rPr>
          <w:b/>
          <w:sz w:val="28"/>
          <w:szCs w:val="28"/>
        </w:rPr>
        <w:t>s</w:t>
      </w:r>
      <w:r w:rsidRPr="007A7643">
        <w:rPr>
          <w:b/>
          <w:sz w:val="28"/>
          <w:szCs w:val="28"/>
        </w:rPr>
        <w:t xml:space="preserve"> pār Lielupi un </w:t>
      </w:r>
      <w:proofErr w:type="spellStart"/>
      <w:r w:rsidRPr="007A7643">
        <w:rPr>
          <w:b/>
          <w:sz w:val="28"/>
          <w:szCs w:val="28"/>
        </w:rPr>
        <w:t>Driksas</w:t>
      </w:r>
      <w:proofErr w:type="spellEnd"/>
      <w:r w:rsidRPr="007A7643">
        <w:rPr>
          <w:b/>
          <w:sz w:val="28"/>
          <w:szCs w:val="28"/>
        </w:rPr>
        <w:t xml:space="preserve"> upi Jelgavas pilsētā īstenošanu”</w:t>
      </w:r>
      <w:bookmarkEnd w:id="1"/>
    </w:p>
    <w:p w14:paraId="40EBE902" w14:textId="77777777" w:rsidR="00C32F6F" w:rsidRPr="007A7643" w:rsidRDefault="00C32F6F" w:rsidP="007A7643">
      <w:pPr>
        <w:spacing w:after="0" w:line="240" w:lineRule="auto"/>
        <w:ind w:right="-483"/>
        <w:jc w:val="center"/>
        <w:rPr>
          <w:b/>
          <w:sz w:val="28"/>
          <w:szCs w:val="28"/>
        </w:rPr>
      </w:pPr>
    </w:p>
    <w:p w14:paraId="3556D54F" w14:textId="77777777" w:rsidR="00AB3E05" w:rsidRPr="007A7643" w:rsidRDefault="00AB3E05" w:rsidP="007A7643">
      <w:pPr>
        <w:pStyle w:val="ListParagraph"/>
        <w:numPr>
          <w:ilvl w:val="0"/>
          <w:numId w:val="5"/>
        </w:numPr>
        <w:ind w:right="-483"/>
        <w:jc w:val="center"/>
        <w:rPr>
          <w:rFonts w:ascii="Times New Roman" w:hAnsi="Times New Roman" w:cs="Times New Roman"/>
          <w:b/>
          <w:sz w:val="28"/>
          <w:szCs w:val="28"/>
        </w:rPr>
      </w:pPr>
      <w:r w:rsidRPr="007A7643">
        <w:rPr>
          <w:rFonts w:ascii="Times New Roman" w:hAnsi="Times New Roman" w:cs="Times New Roman"/>
          <w:b/>
          <w:sz w:val="28"/>
          <w:szCs w:val="28"/>
        </w:rPr>
        <w:t>Informatīvā ziņojuma sagatavošanas pamatojums</w:t>
      </w:r>
    </w:p>
    <w:p w14:paraId="5F41FA89" w14:textId="110C5147" w:rsidR="006E2193" w:rsidRPr="007A7643" w:rsidRDefault="006E2193" w:rsidP="00BC355E">
      <w:pPr>
        <w:spacing w:before="120" w:after="0" w:line="240" w:lineRule="auto"/>
        <w:ind w:right="-483" w:firstLine="851"/>
        <w:jc w:val="both"/>
        <w:rPr>
          <w:rFonts w:eastAsia="Times New Roman"/>
          <w:sz w:val="28"/>
          <w:szCs w:val="28"/>
        </w:rPr>
      </w:pPr>
      <w:r w:rsidRPr="007A7643">
        <w:rPr>
          <w:sz w:val="28"/>
          <w:szCs w:val="28"/>
        </w:rPr>
        <w:t xml:space="preserve">Informatīvā ziņojuma sagatavošanas pamatojums izriet no </w:t>
      </w:r>
      <w:r w:rsidR="007F26E6" w:rsidRPr="007A7643">
        <w:rPr>
          <w:sz w:val="28"/>
          <w:szCs w:val="28"/>
        </w:rPr>
        <w:t>likuma “</w:t>
      </w:r>
      <w:r w:rsidR="007F26E6" w:rsidRPr="007A7643">
        <w:rPr>
          <w:i/>
          <w:sz w:val="28"/>
          <w:szCs w:val="28"/>
        </w:rPr>
        <w:t>Par īpaši aizsargājamām dabas teritorijām</w:t>
      </w:r>
      <w:r w:rsidR="007F26E6" w:rsidRPr="007A7643">
        <w:rPr>
          <w:sz w:val="28"/>
          <w:szCs w:val="28"/>
        </w:rPr>
        <w:t>” (turpmāk – ĪADT likums) 43.</w:t>
      </w:r>
      <w:r w:rsidR="000F2294">
        <w:rPr>
          <w:sz w:val="28"/>
          <w:szCs w:val="28"/>
        </w:rPr>
        <w:t> </w:t>
      </w:r>
      <w:r w:rsidR="007F26E6" w:rsidRPr="007A7643">
        <w:rPr>
          <w:sz w:val="28"/>
          <w:szCs w:val="28"/>
        </w:rPr>
        <w:t>panta</w:t>
      </w:r>
      <w:r w:rsidR="007A6A11" w:rsidRPr="007A7643">
        <w:rPr>
          <w:sz w:val="28"/>
          <w:szCs w:val="28"/>
        </w:rPr>
        <w:t xml:space="preserve"> </w:t>
      </w:r>
      <w:r w:rsidR="00A07135" w:rsidRPr="007A7643">
        <w:rPr>
          <w:sz w:val="28"/>
          <w:szCs w:val="28"/>
        </w:rPr>
        <w:t xml:space="preserve">sestās un </w:t>
      </w:r>
      <w:r w:rsidR="002650A2" w:rsidRPr="007A7643">
        <w:rPr>
          <w:sz w:val="28"/>
          <w:szCs w:val="28"/>
        </w:rPr>
        <w:t xml:space="preserve">desmitās daļas </w:t>
      </w:r>
      <w:r w:rsidR="007A6A11" w:rsidRPr="007A7643">
        <w:rPr>
          <w:sz w:val="28"/>
          <w:szCs w:val="28"/>
          <w:shd w:val="clear" w:color="auto" w:fill="FFFFFF"/>
        </w:rPr>
        <w:t xml:space="preserve">un </w:t>
      </w:r>
      <w:r w:rsidRPr="007A7643">
        <w:rPr>
          <w:rFonts w:eastAsia="Times New Roman"/>
          <w:sz w:val="28"/>
          <w:szCs w:val="28"/>
        </w:rPr>
        <w:t>Ministru kabineta 2011. gada 19. aprīļa noteikumu Nr. 300 “</w:t>
      </w:r>
      <w:r w:rsidRPr="007A7643">
        <w:rPr>
          <w:rFonts w:eastAsia="Times New Roman"/>
          <w:i/>
          <w:sz w:val="28"/>
          <w:szCs w:val="28"/>
        </w:rPr>
        <w:t>Kārtība, kādā novērtējama ietekme uz Eiropas nozīmes īpaši aizsargājamo dabas teritoriju (</w:t>
      </w:r>
      <w:proofErr w:type="spellStart"/>
      <w:r w:rsidRPr="007A7643">
        <w:rPr>
          <w:rFonts w:eastAsia="Times New Roman"/>
          <w:i/>
          <w:sz w:val="28"/>
          <w:szCs w:val="28"/>
        </w:rPr>
        <w:t>Natura</w:t>
      </w:r>
      <w:proofErr w:type="spellEnd"/>
      <w:r w:rsidRPr="007A7643">
        <w:rPr>
          <w:rFonts w:eastAsia="Times New Roman"/>
          <w:i/>
          <w:sz w:val="28"/>
          <w:szCs w:val="28"/>
        </w:rPr>
        <w:t xml:space="preserve"> 2000)</w:t>
      </w:r>
      <w:r w:rsidRPr="007A7643">
        <w:rPr>
          <w:rFonts w:eastAsia="Times New Roman"/>
          <w:sz w:val="28"/>
          <w:szCs w:val="28"/>
        </w:rPr>
        <w:t xml:space="preserve">” (turpmāk – </w:t>
      </w:r>
      <w:bookmarkStart w:id="2" w:name="_Hlk16235699"/>
      <w:r w:rsidRPr="007A7643">
        <w:rPr>
          <w:rFonts w:eastAsia="Times New Roman"/>
          <w:sz w:val="28"/>
          <w:szCs w:val="28"/>
        </w:rPr>
        <w:t>MK Noteikumi Nr.</w:t>
      </w:r>
      <w:r w:rsidR="00781F37">
        <w:rPr>
          <w:rFonts w:eastAsia="Times New Roman"/>
          <w:sz w:val="28"/>
          <w:szCs w:val="28"/>
        </w:rPr>
        <w:t> </w:t>
      </w:r>
      <w:r w:rsidRPr="007A7643">
        <w:rPr>
          <w:rFonts w:eastAsia="Times New Roman"/>
          <w:sz w:val="28"/>
          <w:szCs w:val="28"/>
        </w:rPr>
        <w:t>30</w:t>
      </w:r>
      <w:bookmarkEnd w:id="2"/>
      <w:r w:rsidRPr="007A7643">
        <w:rPr>
          <w:rFonts w:eastAsia="Times New Roman"/>
          <w:sz w:val="28"/>
          <w:szCs w:val="28"/>
        </w:rPr>
        <w:t xml:space="preserve">0) </w:t>
      </w:r>
      <w:r w:rsidR="002650A2" w:rsidRPr="007A7643">
        <w:rPr>
          <w:rFonts w:eastAsia="Times New Roman"/>
          <w:sz w:val="28"/>
          <w:szCs w:val="28"/>
        </w:rPr>
        <w:t>45. punkta</w:t>
      </w:r>
      <w:r w:rsidRPr="007A7643">
        <w:rPr>
          <w:rFonts w:eastAsia="Times New Roman"/>
          <w:sz w:val="28"/>
          <w:szCs w:val="28"/>
        </w:rPr>
        <w:t xml:space="preserve">, kas paredz, ka gadījumos, ja saskaņā ar paredzētās darbības ietekmes uz vidi novērtējumu </w:t>
      </w:r>
      <w:r w:rsidRPr="007A7643">
        <w:rPr>
          <w:sz w:val="28"/>
          <w:szCs w:val="28"/>
        </w:rPr>
        <w:t>t</w:t>
      </w:r>
      <w:r w:rsidR="002650A2" w:rsidRPr="007A7643">
        <w:rPr>
          <w:sz w:val="28"/>
          <w:szCs w:val="28"/>
        </w:rPr>
        <w:t>ā</w:t>
      </w:r>
      <w:r w:rsidRPr="007A7643">
        <w:rPr>
          <w:sz w:val="28"/>
          <w:szCs w:val="28"/>
        </w:rPr>
        <w:t xml:space="preserve"> </w:t>
      </w:r>
      <w:r w:rsidRPr="007A7643">
        <w:rPr>
          <w:sz w:val="28"/>
          <w:szCs w:val="28"/>
          <w:shd w:val="clear" w:color="auto" w:fill="FFFFFF"/>
        </w:rPr>
        <w:t>negatīvi ietekmēs</w:t>
      </w:r>
      <w:r w:rsidRPr="007A7643">
        <w:rPr>
          <w:sz w:val="28"/>
          <w:szCs w:val="28"/>
        </w:rPr>
        <w:t xml:space="preserve"> </w:t>
      </w:r>
      <w:r w:rsidR="000B2403" w:rsidRPr="007A7643">
        <w:rPr>
          <w:sz w:val="28"/>
          <w:szCs w:val="28"/>
        </w:rPr>
        <w:t>Eiropas nozīmes aizsargājamo dabas teritoriju (</w:t>
      </w:r>
      <w:proofErr w:type="spellStart"/>
      <w:r w:rsidR="000B2403" w:rsidRPr="007A7643">
        <w:rPr>
          <w:sz w:val="28"/>
          <w:szCs w:val="28"/>
        </w:rPr>
        <w:t>Natura</w:t>
      </w:r>
      <w:proofErr w:type="spellEnd"/>
      <w:r w:rsidR="000B2403" w:rsidRPr="007A7643">
        <w:rPr>
          <w:sz w:val="28"/>
          <w:szCs w:val="28"/>
        </w:rPr>
        <w:t xml:space="preserve"> 2000) (turpmāk – </w:t>
      </w:r>
      <w:proofErr w:type="spellStart"/>
      <w:r w:rsidR="000B2403" w:rsidRPr="007A7643">
        <w:rPr>
          <w:sz w:val="28"/>
          <w:szCs w:val="28"/>
        </w:rPr>
        <w:t>Natura</w:t>
      </w:r>
      <w:proofErr w:type="spellEnd"/>
      <w:r w:rsidR="000B2403" w:rsidRPr="007A7643">
        <w:rPr>
          <w:sz w:val="28"/>
          <w:szCs w:val="28"/>
        </w:rPr>
        <w:t xml:space="preserve"> 2000 teritorija)</w:t>
      </w:r>
      <w:r w:rsidR="007A1F6C" w:rsidRPr="007A7643">
        <w:rPr>
          <w:sz w:val="28"/>
          <w:szCs w:val="28"/>
        </w:rPr>
        <w:t>,</w:t>
      </w:r>
      <w:r w:rsidRPr="007A7643">
        <w:rPr>
          <w:sz w:val="28"/>
          <w:szCs w:val="28"/>
        </w:rPr>
        <w:t xml:space="preserve"> bet paredzētā darbība ir vien</w:t>
      </w:r>
      <w:r w:rsidR="002650A2" w:rsidRPr="007A7643">
        <w:rPr>
          <w:sz w:val="28"/>
          <w:szCs w:val="28"/>
        </w:rPr>
        <w:t xml:space="preserve">īgais risinājums, lai apmierinātu sabiedrībai nozīmīgas intereses (arī sociālās vai ekonomiskās intereses), </w:t>
      </w:r>
      <w:r w:rsidR="007A6A11" w:rsidRPr="007A7643">
        <w:rPr>
          <w:sz w:val="28"/>
          <w:szCs w:val="28"/>
        </w:rPr>
        <w:t>Ministru kabinets</w:t>
      </w:r>
      <w:r w:rsidR="007A6A11" w:rsidRPr="007A7643">
        <w:rPr>
          <w:sz w:val="28"/>
          <w:szCs w:val="28"/>
          <w:shd w:val="clear" w:color="auto" w:fill="FFFFFF"/>
        </w:rPr>
        <w:t xml:space="preserve"> pieņem lēmumu</w:t>
      </w:r>
      <w:r w:rsidR="002650A2" w:rsidRPr="007A7643">
        <w:rPr>
          <w:sz w:val="28"/>
          <w:szCs w:val="28"/>
          <w:shd w:val="clear" w:color="auto" w:fill="FFFFFF"/>
        </w:rPr>
        <w:t xml:space="preserve">, </w:t>
      </w:r>
      <w:r w:rsidR="002650A2" w:rsidRPr="007A7643">
        <w:rPr>
          <w:sz w:val="28"/>
          <w:szCs w:val="28"/>
        </w:rPr>
        <w:t>ka paredzētā darbība ir vienīgais risinājums un nepieciešams sabiedrības interešu apmierināšanai</w:t>
      </w:r>
      <w:r w:rsidR="00F4365D" w:rsidRPr="007A7643">
        <w:rPr>
          <w:rFonts w:eastAsia="Times New Roman"/>
          <w:sz w:val="28"/>
          <w:szCs w:val="28"/>
        </w:rPr>
        <w:t>. P</w:t>
      </w:r>
      <w:r w:rsidR="007A6A11" w:rsidRPr="007A7643">
        <w:rPr>
          <w:rFonts w:eastAsia="Times New Roman"/>
          <w:sz w:val="28"/>
          <w:szCs w:val="28"/>
        </w:rPr>
        <w:t xml:space="preserve">amats šāda lēmuma pieņemšanai ir </w:t>
      </w:r>
      <w:r w:rsidRPr="007A7643">
        <w:rPr>
          <w:rFonts w:eastAsia="Times New Roman"/>
          <w:sz w:val="28"/>
          <w:szCs w:val="28"/>
        </w:rPr>
        <w:t xml:space="preserve">informatīvais ziņojums </w:t>
      </w:r>
      <w:r w:rsidR="002650A2" w:rsidRPr="007A7643">
        <w:rPr>
          <w:rFonts w:eastAsia="Times New Roman"/>
          <w:sz w:val="28"/>
          <w:szCs w:val="28"/>
        </w:rPr>
        <w:t>(MK Noteikumu Nr.</w:t>
      </w:r>
      <w:r w:rsidR="000F2294">
        <w:rPr>
          <w:rFonts w:eastAsia="Times New Roman"/>
          <w:sz w:val="28"/>
          <w:szCs w:val="28"/>
        </w:rPr>
        <w:t> </w:t>
      </w:r>
      <w:r w:rsidR="002650A2" w:rsidRPr="007A7643">
        <w:rPr>
          <w:rFonts w:eastAsia="Times New Roman"/>
          <w:sz w:val="28"/>
          <w:szCs w:val="28"/>
        </w:rPr>
        <w:t>300 45.1</w:t>
      </w:r>
      <w:r w:rsidR="007A6A11" w:rsidRPr="007A7643">
        <w:rPr>
          <w:rFonts w:eastAsia="Times New Roman"/>
          <w:sz w:val="28"/>
          <w:szCs w:val="28"/>
        </w:rPr>
        <w:t>. punkts)</w:t>
      </w:r>
      <w:r w:rsidRPr="007A7643">
        <w:rPr>
          <w:rFonts w:eastAsia="Times New Roman"/>
          <w:sz w:val="28"/>
          <w:szCs w:val="28"/>
        </w:rPr>
        <w:t xml:space="preserve">. </w:t>
      </w:r>
    </w:p>
    <w:p w14:paraId="01353483" w14:textId="5C1D811C" w:rsidR="00397883" w:rsidRPr="007A7643" w:rsidRDefault="000B2403" w:rsidP="00BC355E">
      <w:pPr>
        <w:spacing w:before="120" w:after="0" w:line="240" w:lineRule="auto"/>
        <w:ind w:right="-483" w:firstLine="851"/>
        <w:jc w:val="both"/>
        <w:rPr>
          <w:sz w:val="28"/>
          <w:szCs w:val="28"/>
        </w:rPr>
      </w:pPr>
      <w:r w:rsidRPr="007A7643">
        <w:rPr>
          <w:sz w:val="28"/>
          <w:szCs w:val="28"/>
          <w:shd w:val="clear" w:color="auto" w:fill="FFFFFF"/>
        </w:rPr>
        <w:t xml:space="preserve">Informatīvais ziņojums sagatavots par Jelgavas pilsētas pašvaldības administrācijas paredzēto darbību </w:t>
      </w:r>
      <w:r w:rsidRPr="000F2294">
        <w:rPr>
          <w:sz w:val="28"/>
          <w:szCs w:val="28"/>
          <w:shd w:val="clear" w:color="auto" w:fill="FFFFFF"/>
        </w:rPr>
        <w:t>“</w:t>
      </w:r>
      <w:r w:rsidR="000F2294" w:rsidRPr="000F2294">
        <w:rPr>
          <w:sz w:val="28"/>
          <w:szCs w:val="28"/>
          <w:shd w:val="clear" w:color="auto" w:fill="FFFFFF"/>
        </w:rPr>
        <w:t>T</w:t>
      </w:r>
      <w:r w:rsidRPr="000F2294">
        <w:rPr>
          <w:sz w:val="28"/>
          <w:szCs w:val="28"/>
        </w:rPr>
        <w:t xml:space="preserve">ransporta pārvada (tilta) izbūve pār Lielupi un </w:t>
      </w:r>
      <w:proofErr w:type="spellStart"/>
      <w:r w:rsidRPr="000F2294">
        <w:rPr>
          <w:sz w:val="28"/>
          <w:szCs w:val="28"/>
        </w:rPr>
        <w:t>Driksas</w:t>
      </w:r>
      <w:proofErr w:type="spellEnd"/>
      <w:r w:rsidRPr="000F2294">
        <w:rPr>
          <w:sz w:val="28"/>
          <w:szCs w:val="28"/>
        </w:rPr>
        <w:t xml:space="preserve"> upi Jelgavas pilsētā”</w:t>
      </w:r>
      <w:r w:rsidRPr="007A7643">
        <w:rPr>
          <w:sz w:val="28"/>
          <w:szCs w:val="28"/>
        </w:rPr>
        <w:t xml:space="preserve"> (turpmāk – Paredzētā darbība), kura daļēji </w:t>
      </w:r>
      <w:bookmarkStart w:id="3" w:name="_Hlk16236519"/>
      <w:r w:rsidRPr="007A7643">
        <w:rPr>
          <w:sz w:val="28"/>
          <w:szCs w:val="28"/>
        </w:rPr>
        <w:t xml:space="preserve">plānota </w:t>
      </w:r>
      <w:proofErr w:type="spellStart"/>
      <w:r w:rsidRPr="007A7643">
        <w:rPr>
          <w:sz w:val="28"/>
          <w:szCs w:val="28"/>
        </w:rPr>
        <w:t>Natura</w:t>
      </w:r>
      <w:proofErr w:type="spellEnd"/>
      <w:r w:rsidRPr="007A7643">
        <w:rPr>
          <w:sz w:val="28"/>
          <w:szCs w:val="28"/>
        </w:rPr>
        <w:t xml:space="preserve"> 2000 teritorijā, </w:t>
      </w:r>
      <w:bookmarkEnd w:id="3"/>
      <w:r w:rsidRPr="007A7643">
        <w:rPr>
          <w:sz w:val="28"/>
          <w:szCs w:val="28"/>
        </w:rPr>
        <w:t>dabas liegumā „</w:t>
      </w:r>
      <w:r w:rsidRPr="007A7643">
        <w:rPr>
          <w:i/>
          <w:sz w:val="28"/>
          <w:szCs w:val="28"/>
        </w:rPr>
        <w:t>Lielupes palienes pļavas</w:t>
      </w:r>
      <w:r w:rsidRPr="007A7643">
        <w:rPr>
          <w:sz w:val="28"/>
          <w:szCs w:val="28"/>
        </w:rPr>
        <w:t>”</w:t>
      </w:r>
      <w:r w:rsidR="002650A2" w:rsidRPr="007A7643">
        <w:rPr>
          <w:sz w:val="28"/>
          <w:szCs w:val="28"/>
        </w:rPr>
        <w:t xml:space="preserve"> (turpmāk – Dabas liegums)</w:t>
      </w:r>
      <w:r w:rsidRPr="007A7643">
        <w:rPr>
          <w:sz w:val="28"/>
          <w:szCs w:val="28"/>
        </w:rPr>
        <w:t xml:space="preserve">. </w:t>
      </w:r>
      <w:r w:rsidR="007A1F6C" w:rsidRPr="007A7643">
        <w:rPr>
          <w:sz w:val="28"/>
          <w:szCs w:val="28"/>
        </w:rPr>
        <w:t xml:space="preserve">Paredzētās darbības ietekmes uz vidi novērtējuma procedūras ietvaros, kas tiek veikta saskaņā ar likumu </w:t>
      </w:r>
      <w:r w:rsidR="007A1F6C" w:rsidRPr="000F2294">
        <w:rPr>
          <w:sz w:val="28"/>
          <w:szCs w:val="28"/>
        </w:rPr>
        <w:t>“Par ietekmes uz vidi novērtējumu”</w:t>
      </w:r>
      <w:r w:rsidRPr="000F2294">
        <w:rPr>
          <w:sz w:val="28"/>
          <w:szCs w:val="28"/>
        </w:rPr>
        <w:t xml:space="preserve"> </w:t>
      </w:r>
      <w:r w:rsidRPr="007A7643">
        <w:rPr>
          <w:sz w:val="28"/>
          <w:szCs w:val="28"/>
        </w:rPr>
        <w:t>(turpmāk – Novērtējuma likums)</w:t>
      </w:r>
      <w:r w:rsidR="007A1F6C" w:rsidRPr="007A7643">
        <w:rPr>
          <w:sz w:val="28"/>
          <w:szCs w:val="28"/>
        </w:rPr>
        <w:t xml:space="preserve">, sagatavots ietekmes uz vidi novērtējuma ziņojums </w:t>
      </w:r>
      <w:r w:rsidR="007A1F6C" w:rsidRPr="000F2294">
        <w:rPr>
          <w:sz w:val="28"/>
          <w:szCs w:val="28"/>
        </w:rPr>
        <w:t xml:space="preserve">“Transporta pārvada (tilta) izbūve pār Lielupi un </w:t>
      </w:r>
      <w:proofErr w:type="spellStart"/>
      <w:r w:rsidR="007A1F6C" w:rsidRPr="000F2294">
        <w:rPr>
          <w:sz w:val="28"/>
          <w:szCs w:val="28"/>
        </w:rPr>
        <w:t>Driksas</w:t>
      </w:r>
      <w:proofErr w:type="spellEnd"/>
      <w:r w:rsidR="007A1F6C" w:rsidRPr="000F2294">
        <w:rPr>
          <w:sz w:val="28"/>
          <w:szCs w:val="28"/>
        </w:rPr>
        <w:t xml:space="preserve"> upi Jelgavā. </w:t>
      </w:r>
      <w:r w:rsidR="007A1F6C" w:rsidRPr="00AD6A29">
        <w:rPr>
          <w:sz w:val="28"/>
          <w:szCs w:val="28"/>
        </w:rPr>
        <w:t xml:space="preserve">Ietekmes uz vidi novērtējuma ziņojums. SIA “Estonian, </w:t>
      </w:r>
      <w:proofErr w:type="spellStart"/>
      <w:r w:rsidR="007A1F6C" w:rsidRPr="00AD6A29">
        <w:rPr>
          <w:sz w:val="28"/>
          <w:szCs w:val="28"/>
        </w:rPr>
        <w:t>Latvian</w:t>
      </w:r>
      <w:proofErr w:type="spellEnd"/>
      <w:r w:rsidR="007A1F6C" w:rsidRPr="00AD6A29">
        <w:rPr>
          <w:sz w:val="28"/>
          <w:szCs w:val="28"/>
        </w:rPr>
        <w:t xml:space="preserve"> &amp; </w:t>
      </w:r>
      <w:proofErr w:type="spellStart"/>
      <w:r w:rsidR="007A1F6C" w:rsidRPr="00AD6A29">
        <w:rPr>
          <w:sz w:val="28"/>
          <w:szCs w:val="28"/>
        </w:rPr>
        <w:t>Lithuanian</w:t>
      </w:r>
      <w:proofErr w:type="spellEnd"/>
      <w:r w:rsidR="007A1F6C" w:rsidRPr="00AD6A29">
        <w:rPr>
          <w:sz w:val="28"/>
          <w:szCs w:val="28"/>
        </w:rPr>
        <w:t xml:space="preserve"> </w:t>
      </w:r>
      <w:proofErr w:type="spellStart"/>
      <w:r w:rsidR="007A1F6C" w:rsidRPr="00AD6A29">
        <w:rPr>
          <w:sz w:val="28"/>
          <w:szCs w:val="28"/>
        </w:rPr>
        <w:t>Environment</w:t>
      </w:r>
      <w:proofErr w:type="spellEnd"/>
      <w:r w:rsidR="007A1F6C" w:rsidRPr="00AD6A29">
        <w:rPr>
          <w:sz w:val="28"/>
          <w:szCs w:val="28"/>
        </w:rPr>
        <w:t>” (2019.</w:t>
      </w:r>
      <w:r w:rsidR="000F2294" w:rsidRPr="00AD6A29">
        <w:rPr>
          <w:sz w:val="28"/>
          <w:szCs w:val="28"/>
        </w:rPr>
        <w:t> </w:t>
      </w:r>
      <w:r w:rsidR="007A1F6C" w:rsidRPr="00AD6A29">
        <w:rPr>
          <w:sz w:val="28"/>
          <w:szCs w:val="28"/>
        </w:rPr>
        <w:t>gada jūlijs) (turpmāk – Ziņojums</w:t>
      </w:r>
      <w:r w:rsidR="00A07135" w:rsidRPr="00AD6A29">
        <w:rPr>
          <w:rStyle w:val="FootnoteReference"/>
          <w:sz w:val="28"/>
          <w:szCs w:val="28"/>
        </w:rPr>
        <w:footnoteReference w:id="2"/>
      </w:r>
      <w:r w:rsidR="007A1F6C" w:rsidRPr="00AD6A29">
        <w:rPr>
          <w:sz w:val="28"/>
          <w:szCs w:val="28"/>
        </w:rPr>
        <w:t xml:space="preserve">). </w:t>
      </w:r>
      <w:r w:rsidR="007A1F6C" w:rsidRPr="007A7643">
        <w:rPr>
          <w:sz w:val="28"/>
          <w:szCs w:val="28"/>
        </w:rPr>
        <w:t>Saskaņā ar Ziņojumu Paredzētajai darbībai ir būtiska negatīva i</w:t>
      </w:r>
      <w:r w:rsidR="002650A2" w:rsidRPr="007A7643">
        <w:rPr>
          <w:sz w:val="28"/>
          <w:szCs w:val="28"/>
        </w:rPr>
        <w:t xml:space="preserve">etekme uz </w:t>
      </w:r>
      <w:proofErr w:type="spellStart"/>
      <w:r w:rsidR="002650A2" w:rsidRPr="007A7643">
        <w:rPr>
          <w:sz w:val="28"/>
          <w:szCs w:val="28"/>
        </w:rPr>
        <w:t>Natura</w:t>
      </w:r>
      <w:proofErr w:type="spellEnd"/>
      <w:r w:rsidR="002650A2" w:rsidRPr="007A7643">
        <w:rPr>
          <w:sz w:val="28"/>
          <w:szCs w:val="28"/>
        </w:rPr>
        <w:t xml:space="preserve"> 2000 teritorij</w:t>
      </w:r>
      <w:r w:rsidR="00D25A21" w:rsidRPr="007A7643">
        <w:rPr>
          <w:sz w:val="28"/>
          <w:szCs w:val="28"/>
        </w:rPr>
        <w:t>u</w:t>
      </w:r>
      <w:r w:rsidR="002650A2" w:rsidRPr="007A7643">
        <w:rPr>
          <w:sz w:val="28"/>
          <w:szCs w:val="28"/>
        </w:rPr>
        <w:t xml:space="preserve"> </w:t>
      </w:r>
      <w:r w:rsidRPr="007A7643">
        <w:rPr>
          <w:sz w:val="28"/>
          <w:szCs w:val="28"/>
        </w:rPr>
        <w:t>un tā ir vienīgais risinājums, lai atrisinātu Jelgavas pilsētas satiksmes organizācijas problēmas</w:t>
      </w:r>
      <w:r w:rsidR="003120E2" w:rsidRPr="007A7643">
        <w:rPr>
          <w:sz w:val="28"/>
          <w:szCs w:val="28"/>
        </w:rPr>
        <w:t xml:space="preserve"> un nodrošinātu pilsētas </w:t>
      </w:r>
      <w:r w:rsidR="002650A2" w:rsidRPr="007A7643">
        <w:rPr>
          <w:sz w:val="28"/>
          <w:szCs w:val="28"/>
        </w:rPr>
        <w:t xml:space="preserve">ziemeļu daļas </w:t>
      </w:r>
      <w:r w:rsidR="00C449E5" w:rsidRPr="007A7643">
        <w:rPr>
          <w:sz w:val="28"/>
          <w:szCs w:val="28"/>
        </w:rPr>
        <w:t xml:space="preserve">sociālo un </w:t>
      </w:r>
      <w:r w:rsidR="002650A2" w:rsidRPr="007A7643">
        <w:rPr>
          <w:sz w:val="28"/>
          <w:szCs w:val="28"/>
        </w:rPr>
        <w:t>ekonomisko</w:t>
      </w:r>
      <w:r w:rsidR="003120E2" w:rsidRPr="007A7643">
        <w:rPr>
          <w:sz w:val="28"/>
          <w:szCs w:val="28"/>
        </w:rPr>
        <w:t xml:space="preserve"> attīstību</w:t>
      </w:r>
      <w:r w:rsidRPr="007A7643">
        <w:rPr>
          <w:sz w:val="28"/>
          <w:szCs w:val="28"/>
        </w:rPr>
        <w:t>.</w:t>
      </w:r>
    </w:p>
    <w:p w14:paraId="712C37CA" w14:textId="77777777" w:rsidR="006E2193" w:rsidRPr="007A7643" w:rsidRDefault="006E2193" w:rsidP="007A7643">
      <w:pPr>
        <w:pStyle w:val="ListParagraph"/>
        <w:numPr>
          <w:ilvl w:val="0"/>
          <w:numId w:val="5"/>
        </w:numPr>
        <w:spacing w:before="120"/>
        <w:ind w:right="-483"/>
        <w:jc w:val="center"/>
        <w:rPr>
          <w:rFonts w:ascii="Times New Roman" w:hAnsi="Times New Roman" w:cs="Times New Roman"/>
          <w:b/>
          <w:sz w:val="28"/>
          <w:szCs w:val="28"/>
        </w:rPr>
      </w:pPr>
      <w:r w:rsidRPr="007A7643">
        <w:rPr>
          <w:rFonts w:ascii="Times New Roman" w:hAnsi="Times New Roman" w:cs="Times New Roman"/>
          <w:b/>
          <w:sz w:val="28"/>
          <w:szCs w:val="28"/>
        </w:rPr>
        <w:t>Normatīvo aktu ietvars</w:t>
      </w:r>
    </w:p>
    <w:p w14:paraId="4865350C" w14:textId="0B32284F" w:rsidR="00E336D5" w:rsidRPr="007A7643" w:rsidRDefault="00506F7E" w:rsidP="000D2BDE">
      <w:pPr>
        <w:spacing w:before="120" w:after="0" w:line="240" w:lineRule="auto"/>
        <w:ind w:right="-483" w:firstLine="851"/>
        <w:jc w:val="both"/>
        <w:rPr>
          <w:sz w:val="28"/>
          <w:szCs w:val="28"/>
        </w:rPr>
      </w:pPr>
      <w:r w:rsidRPr="007A7643">
        <w:rPr>
          <w:sz w:val="28"/>
          <w:szCs w:val="28"/>
        </w:rPr>
        <w:t xml:space="preserve">Saskaņā ar </w:t>
      </w:r>
      <w:bookmarkStart w:id="4" w:name="_Hlk16076485"/>
      <w:r w:rsidRPr="007A7643">
        <w:rPr>
          <w:sz w:val="28"/>
          <w:szCs w:val="28"/>
        </w:rPr>
        <w:t>ĪADT likum</w:t>
      </w:r>
      <w:r w:rsidR="007A6A11" w:rsidRPr="007A7643">
        <w:rPr>
          <w:sz w:val="28"/>
          <w:szCs w:val="28"/>
        </w:rPr>
        <w:t>a</w:t>
      </w:r>
      <w:r w:rsidRPr="007A7643">
        <w:rPr>
          <w:sz w:val="28"/>
          <w:szCs w:val="28"/>
        </w:rPr>
        <w:t xml:space="preserve"> 43.</w:t>
      </w:r>
      <w:r w:rsidR="000F2294">
        <w:rPr>
          <w:sz w:val="28"/>
          <w:szCs w:val="28"/>
        </w:rPr>
        <w:t> </w:t>
      </w:r>
      <w:bookmarkEnd w:id="4"/>
      <w:r w:rsidR="00D5606C" w:rsidRPr="007A7643">
        <w:rPr>
          <w:sz w:val="28"/>
          <w:szCs w:val="28"/>
        </w:rPr>
        <w:t>pant</w:t>
      </w:r>
      <w:r w:rsidR="00D5606C">
        <w:rPr>
          <w:sz w:val="28"/>
          <w:szCs w:val="28"/>
        </w:rPr>
        <w:t>a pirmo daļu</w:t>
      </w:r>
      <w:r w:rsidRPr="007A7643">
        <w:rPr>
          <w:sz w:val="28"/>
          <w:szCs w:val="28"/>
        </w:rPr>
        <w:t>, ar kuru pārņemtas Eiropas Padomes 1992.</w:t>
      </w:r>
      <w:r w:rsidR="000F2294">
        <w:rPr>
          <w:sz w:val="28"/>
          <w:szCs w:val="28"/>
        </w:rPr>
        <w:t> </w:t>
      </w:r>
      <w:r w:rsidRPr="007A7643">
        <w:rPr>
          <w:sz w:val="28"/>
          <w:szCs w:val="28"/>
        </w:rPr>
        <w:t>gada 21.</w:t>
      </w:r>
      <w:r w:rsidR="000F2294">
        <w:rPr>
          <w:sz w:val="28"/>
          <w:szCs w:val="28"/>
        </w:rPr>
        <w:t> </w:t>
      </w:r>
      <w:r w:rsidRPr="007A7643">
        <w:rPr>
          <w:sz w:val="28"/>
          <w:szCs w:val="28"/>
        </w:rPr>
        <w:t>maija direktīvas </w:t>
      </w:r>
      <w:hyperlink r:id="rId8" w:tgtFrame="_blank" w:history="1">
        <w:r w:rsidRPr="007A7643">
          <w:rPr>
            <w:sz w:val="28"/>
            <w:szCs w:val="28"/>
          </w:rPr>
          <w:t>92/43/EEK</w:t>
        </w:r>
      </w:hyperlink>
      <w:r w:rsidRPr="007A7643">
        <w:rPr>
          <w:sz w:val="28"/>
          <w:szCs w:val="28"/>
        </w:rPr>
        <w:t> par dabisko dzīvotņu, savvaļas faunas un floras aizsardzību (turpmāk – D</w:t>
      </w:r>
      <w:r w:rsidR="00AB7A68" w:rsidRPr="007A7643">
        <w:rPr>
          <w:sz w:val="28"/>
          <w:szCs w:val="28"/>
        </w:rPr>
        <w:t>zīvotņu d</w:t>
      </w:r>
      <w:r w:rsidRPr="007A7643">
        <w:rPr>
          <w:sz w:val="28"/>
          <w:szCs w:val="28"/>
        </w:rPr>
        <w:t xml:space="preserve">irektīva </w:t>
      </w:r>
      <w:hyperlink r:id="rId9" w:tgtFrame="_blank" w:history="1">
        <w:r w:rsidRPr="007A7643">
          <w:rPr>
            <w:sz w:val="28"/>
            <w:szCs w:val="28"/>
          </w:rPr>
          <w:t>92/43/EEK</w:t>
        </w:r>
      </w:hyperlink>
      <w:r w:rsidRPr="007A7643">
        <w:rPr>
          <w:sz w:val="28"/>
          <w:szCs w:val="28"/>
        </w:rPr>
        <w:t xml:space="preserve">) prasības, </w:t>
      </w:r>
      <w:proofErr w:type="spellStart"/>
      <w:r w:rsidR="00E336D5" w:rsidRPr="007A7643">
        <w:rPr>
          <w:sz w:val="28"/>
          <w:szCs w:val="28"/>
        </w:rPr>
        <w:t>Natura</w:t>
      </w:r>
      <w:proofErr w:type="spellEnd"/>
      <w:r w:rsidR="00E336D5" w:rsidRPr="007A7643">
        <w:rPr>
          <w:sz w:val="28"/>
          <w:szCs w:val="28"/>
        </w:rPr>
        <w:t xml:space="preserve"> 2000</w:t>
      </w:r>
      <w:r w:rsidR="006E2193" w:rsidRPr="007A7643">
        <w:rPr>
          <w:sz w:val="28"/>
          <w:szCs w:val="28"/>
        </w:rPr>
        <w:t xml:space="preserve"> teritorijas</w:t>
      </w:r>
      <w:r w:rsidR="00E336D5" w:rsidRPr="007A7643">
        <w:rPr>
          <w:sz w:val="28"/>
          <w:szCs w:val="28"/>
        </w:rPr>
        <w:t xml:space="preserve"> ir vienots Eiropas nozīmes aizsargājamo dabas teritoriju tīkls. Tajā ietilpst īpaši aizsargājamās dabas teritorijas, kuras ir Eiropas Savienībā </w:t>
      </w:r>
      <w:r w:rsidR="00F0711C" w:rsidRPr="007A7643">
        <w:rPr>
          <w:sz w:val="28"/>
          <w:szCs w:val="28"/>
        </w:rPr>
        <w:t xml:space="preserve">(turpmāk – ES) </w:t>
      </w:r>
      <w:r w:rsidR="00E336D5" w:rsidRPr="007A7643">
        <w:rPr>
          <w:sz w:val="28"/>
          <w:szCs w:val="28"/>
        </w:rPr>
        <w:t xml:space="preserve">nozīmīgas un attiecīgajā </w:t>
      </w:r>
      <w:proofErr w:type="spellStart"/>
      <w:r w:rsidR="00E336D5" w:rsidRPr="007A7643">
        <w:rPr>
          <w:sz w:val="28"/>
          <w:szCs w:val="28"/>
        </w:rPr>
        <w:lastRenderedPageBreak/>
        <w:t>bioģeogrāfiskajā</w:t>
      </w:r>
      <w:proofErr w:type="spellEnd"/>
      <w:r w:rsidR="00E336D5" w:rsidRPr="007A7643">
        <w:rPr>
          <w:sz w:val="28"/>
          <w:szCs w:val="28"/>
        </w:rPr>
        <w:t xml:space="preserve"> rajonā vai rajonos būtiski sekmē īpaši aizsargājamiem biotopu veidiem vai īpaši aizsargājamām sugām labvēlīga aizsardzības statusa saglabāšanu vai atjaunošanu, var būtiski veicināt </w:t>
      </w:r>
      <w:proofErr w:type="spellStart"/>
      <w:r w:rsidR="00E336D5" w:rsidRPr="007A7643">
        <w:rPr>
          <w:sz w:val="28"/>
          <w:szCs w:val="28"/>
        </w:rPr>
        <w:t>Natura</w:t>
      </w:r>
      <w:proofErr w:type="spellEnd"/>
      <w:r w:rsidR="00E336D5" w:rsidRPr="007A7643">
        <w:rPr>
          <w:sz w:val="28"/>
          <w:szCs w:val="28"/>
        </w:rPr>
        <w:t xml:space="preserve"> 2000 tīkla vienotību, kā arī būtiski sekmē bioloģiskās daudzveidības saglabāšanu attiecīgajā </w:t>
      </w:r>
      <w:proofErr w:type="spellStart"/>
      <w:r w:rsidR="00E336D5" w:rsidRPr="007A7643">
        <w:rPr>
          <w:sz w:val="28"/>
          <w:szCs w:val="28"/>
        </w:rPr>
        <w:t>bioģeogrāfiskajā</w:t>
      </w:r>
      <w:proofErr w:type="spellEnd"/>
      <w:r w:rsidR="00E336D5" w:rsidRPr="007A7643">
        <w:rPr>
          <w:sz w:val="28"/>
          <w:szCs w:val="28"/>
        </w:rPr>
        <w:t xml:space="preserve"> rajonā vai rajonos.</w:t>
      </w:r>
    </w:p>
    <w:p w14:paraId="6DB0EBB1" w14:textId="2842B34D" w:rsidR="006E2193" w:rsidRPr="007A7643" w:rsidRDefault="005D6940" w:rsidP="000D2BDE">
      <w:pPr>
        <w:spacing w:before="120" w:after="0" w:line="240" w:lineRule="auto"/>
        <w:ind w:right="-483" w:firstLine="851"/>
        <w:jc w:val="both"/>
        <w:rPr>
          <w:sz w:val="28"/>
          <w:szCs w:val="28"/>
        </w:rPr>
      </w:pPr>
      <w:r w:rsidRPr="007A7643">
        <w:rPr>
          <w:sz w:val="28"/>
          <w:szCs w:val="28"/>
        </w:rPr>
        <w:t xml:space="preserve">ĪADT likuma 43. panta ceturtā un piektā daļa </w:t>
      </w:r>
      <w:r w:rsidR="00D5606C" w:rsidRPr="007A7643">
        <w:rPr>
          <w:sz w:val="28"/>
          <w:szCs w:val="28"/>
        </w:rPr>
        <w:t>no</w:t>
      </w:r>
      <w:r w:rsidR="00D5606C">
        <w:rPr>
          <w:sz w:val="28"/>
          <w:szCs w:val="28"/>
        </w:rPr>
        <w:t>teic</w:t>
      </w:r>
      <w:r w:rsidRPr="007A7643">
        <w:rPr>
          <w:sz w:val="28"/>
          <w:szCs w:val="28"/>
        </w:rPr>
        <w:t xml:space="preserve">, ka paredzētajai darbībai, kas atsevišķi vai kopā ar citu paredzēto darbību var būtiski ietekmēt </w:t>
      </w:r>
      <w:proofErr w:type="spellStart"/>
      <w:r w:rsidRPr="007A7643">
        <w:rPr>
          <w:sz w:val="28"/>
          <w:szCs w:val="28"/>
        </w:rPr>
        <w:t>Natura</w:t>
      </w:r>
      <w:proofErr w:type="spellEnd"/>
      <w:r w:rsidRPr="007A7643">
        <w:rPr>
          <w:sz w:val="28"/>
          <w:szCs w:val="28"/>
        </w:rPr>
        <w:t xml:space="preserve"> 2000 teritorij</w:t>
      </w:r>
      <w:r w:rsidR="007A6A11" w:rsidRPr="007A7643">
        <w:rPr>
          <w:sz w:val="28"/>
          <w:szCs w:val="28"/>
        </w:rPr>
        <w:t>u,</w:t>
      </w:r>
      <w:r w:rsidRPr="007A7643">
        <w:rPr>
          <w:sz w:val="28"/>
          <w:szCs w:val="28"/>
        </w:rPr>
        <w:t xml:space="preserve"> veic ietekmes uz vidi novērtējumu un paredzēto darbību atļauj veikt, ja tā negatīvi neietekmē </w:t>
      </w:r>
      <w:proofErr w:type="spellStart"/>
      <w:r w:rsidRPr="007A7643">
        <w:rPr>
          <w:sz w:val="28"/>
          <w:szCs w:val="28"/>
        </w:rPr>
        <w:t>Natura</w:t>
      </w:r>
      <w:proofErr w:type="spellEnd"/>
      <w:r w:rsidRPr="007A7643">
        <w:rPr>
          <w:sz w:val="28"/>
          <w:szCs w:val="28"/>
        </w:rPr>
        <w:t xml:space="preserve"> 2000</w:t>
      </w:r>
      <w:r w:rsidR="007A6A11" w:rsidRPr="007A7643">
        <w:rPr>
          <w:sz w:val="28"/>
          <w:szCs w:val="28"/>
        </w:rPr>
        <w:t xml:space="preserve"> teritorijas </w:t>
      </w:r>
      <w:r w:rsidRPr="007A7643">
        <w:rPr>
          <w:sz w:val="28"/>
          <w:szCs w:val="28"/>
        </w:rPr>
        <w:t>ekoloģiskās funkcijas, integritāti un nav pretrunā ar tās izveidošanas un aizsardzības mērķiem</w:t>
      </w:r>
      <w:r w:rsidRPr="007A7643">
        <w:rPr>
          <w:rStyle w:val="FootnoteReference"/>
          <w:sz w:val="28"/>
          <w:szCs w:val="28"/>
        </w:rPr>
        <w:footnoteReference w:id="3"/>
      </w:r>
      <w:r w:rsidRPr="007A7643">
        <w:rPr>
          <w:sz w:val="28"/>
          <w:szCs w:val="28"/>
        </w:rPr>
        <w:t xml:space="preserve">. Savukārt minētā likuma 43. panta sestā, septītā un astotā daļa paredz, ka darbību, kas negatīvi ietekmē </w:t>
      </w:r>
      <w:proofErr w:type="spellStart"/>
      <w:r w:rsidRPr="007A7643">
        <w:rPr>
          <w:sz w:val="28"/>
          <w:szCs w:val="28"/>
        </w:rPr>
        <w:t>Natura</w:t>
      </w:r>
      <w:proofErr w:type="spellEnd"/>
      <w:r w:rsidRPr="007A7643">
        <w:rPr>
          <w:sz w:val="28"/>
          <w:szCs w:val="28"/>
        </w:rPr>
        <w:t xml:space="preserve"> 2000 teritoriju, atļauj veikt tikai tādos gadījumos, kad tas ir vienīgais risinājums un nepieciešams sabiedrībai nozīmīgu interešu apmierināšanai</w:t>
      </w:r>
      <w:r w:rsidR="005E6ADE" w:rsidRPr="007A7643">
        <w:rPr>
          <w:rStyle w:val="FootnoteReference"/>
          <w:sz w:val="28"/>
          <w:szCs w:val="28"/>
        </w:rPr>
        <w:footnoteReference w:id="4"/>
      </w:r>
      <w:r w:rsidRPr="007A7643">
        <w:rPr>
          <w:sz w:val="28"/>
          <w:szCs w:val="28"/>
        </w:rPr>
        <w:t xml:space="preserve">. </w:t>
      </w:r>
      <w:r w:rsidR="00027054" w:rsidRPr="007A7643">
        <w:rPr>
          <w:sz w:val="28"/>
          <w:szCs w:val="28"/>
        </w:rPr>
        <w:t>G</w:t>
      </w:r>
      <w:r w:rsidRPr="007A7643">
        <w:rPr>
          <w:sz w:val="28"/>
          <w:szCs w:val="28"/>
        </w:rPr>
        <w:t xml:space="preserve">adījumos, kad </w:t>
      </w:r>
      <w:proofErr w:type="spellStart"/>
      <w:r w:rsidRPr="007A7643">
        <w:rPr>
          <w:sz w:val="28"/>
          <w:szCs w:val="28"/>
        </w:rPr>
        <w:t>Natura</w:t>
      </w:r>
      <w:proofErr w:type="spellEnd"/>
      <w:r w:rsidRPr="007A7643">
        <w:rPr>
          <w:sz w:val="28"/>
          <w:szCs w:val="28"/>
        </w:rPr>
        <w:t xml:space="preserve"> 2000 teritorijā ir sastopamas Sugu un biotopu aizsardzības likumam pakārtotajā normatīvajā aktā noteiktās Latvijā sastopamās </w:t>
      </w:r>
      <w:r w:rsidR="00F0711C" w:rsidRPr="007A7643">
        <w:rPr>
          <w:sz w:val="28"/>
          <w:szCs w:val="28"/>
        </w:rPr>
        <w:t>ES</w:t>
      </w:r>
      <w:r w:rsidRPr="007A7643">
        <w:rPr>
          <w:sz w:val="28"/>
          <w:szCs w:val="28"/>
        </w:rPr>
        <w:t xml:space="preserve"> prioritārās sugas vai biotopi</w:t>
      </w:r>
      <w:r w:rsidR="003120E2" w:rsidRPr="007A7643">
        <w:rPr>
          <w:sz w:val="28"/>
          <w:szCs w:val="28"/>
        </w:rPr>
        <w:t xml:space="preserve"> un paredzētajai darbībai ir negatīva ietekme uz tām</w:t>
      </w:r>
      <w:r w:rsidRPr="007A7643">
        <w:rPr>
          <w:sz w:val="28"/>
          <w:szCs w:val="28"/>
        </w:rPr>
        <w:t xml:space="preserve">, sabiedrībai nozīmīgas intereses, kas var attaisnot darbību ar negatīvu ietekmi uz </w:t>
      </w:r>
      <w:proofErr w:type="spellStart"/>
      <w:r w:rsidRPr="007A7643">
        <w:rPr>
          <w:sz w:val="28"/>
          <w:szCs w:val="28"/>
        </w:rPr>
        <w:t>Natura</w:t>
      </w:r>
      <w:proofErr w:type="spellEnd"/>
      <w:r w:rsidRPr="007A7643">
        <w:rPr>
          <w:sz w:val="28"/>
          <w:szCs w:val="28"/>
        </w:rPr>
        <w:t xml:space="preserve"> 2000 teritoriju, ir veselības aizsardzība</w:t>
      </w:r>
      <w:r w:rsidR="003120E2" w:rsidRPr="007A7643">
        <w:rPr>
          <w:sz w:val="28"/>
          <w:szCs w:val="28"/>
        </w:rPr>
        <w:t>, sabiedrības drošība</w:t>
      </w:r>
      <w:r w:rsidRPr="007A7643">
        <w:rPr>
          <w:sz w:val="28"/>
          <w:szCs w:val="28"/>
        </w:rPr>
        <w:t xml:space="preserve"> vai vides aizsardzība, bet citas sabiedrībai sevišķi svarīgas intereses, ja ir saņemts atzinums no Eiropas Komisijas</w:t>
      </w:r>
      <w:r w:rsidR="00275E23" w:rsidRPr="007A7643">
        <w:rPr>
          <w:rStyle w:val="FootnoteReference"/>
          <w:sz w:val="28"/>
          <w:szCs w:val="28"/>
        </w:rPr>
        <w:footnoteReference w:id="5"/>
      </w:r>
      <w:r w:rsidRPr="007A7643">
        <w:rPr>
          <w:sz w:val="28"/>
          <w:szCs w:val="28"/>
        </w:rPr>
        <w:t>.</w:t>
      </w:r>
      <w:r w:rsidR="00275E23" w:rsidRPr="007A7643">
        <w:rPr>
          <w:sz w:val="28"/>
          <w:szCs w:val="28"/>
        </w:rPr>
        <w:t xml:space="preserve"> Savukārt </w:t>
      </w:r>
      <w:r w:rsidR="003120E2" w:rsidRPr="007A7643">
        <w:rPr>
          <w:sz w:val="28"/>
          <w:szCs w:val="28"/>
        </w:rPr>
        <w:t xml:space="preserve">citos </w:t>
      </w:r>
      <w:r w:rsidR="00275E23" w:rsidRPr="007A7643">
        <w:rPr>
          <w:sz w:val="28"/>
          <w:szCs w:val="28"/>
        </w:rPr>
        <w:t>gadījumos</w:t>
      </w:r>
      <w:r w:rsidR="003120E2" w:rsidRPr="007A7643">
        <w:rPr>
          <w:sz w:val="28"/>
          <w:szCs w:val="28"/>
        </w:rPr>
        <w:t xml:space="preserve"> darbību ar negatīvu ietekmi uz </w:t>
      </w:r>
      <w:proofErr w:type="spellStart"/>
      <w:r w:rsidR="003120E2" w:rsidRPr="007A7643">
        <w:rPr>
          <w:sz w:val="28"/>
          <w:szCs w:val="28"/>
        </w:rPr>
        <w:t>Natura</w:t>
      </w:r>
      <w:proofErr w:type="spellEnd"/>
      <w:r w:rsidR="003120E2" w:rsidRPr="007A7643">
        <w:rPr>
          <w:sz w:val="28"/>
          <w:szCs w:val="28"/>
        </w:rPr>
        <w:t xml:space="preserve"> 2000 teritoriju var attaisnot arī sabiedrībai nozīmīgas sociālās un ekonomiskās intereses</w:t>
      </w:r>
      <w:r w:rsidR="003120E2" w:rsidRPr="007A7643">
        <w:rPr>
          <w:rStyle w:val="FootnoteReference"/>
          <w:sz w:val="28"/>
          <w:szCs w:val="28"/>
        </w:rPr>
        <w:footnoteReference w:id="6"/>
      </w:r>
      <w:r w:rsidR="003120E2" w:rsidRPr="007A7643">
        <w:rPr>
          <w:sz w:val="28"/>
          <w:szCs w:val="28"/>
        </w:rPr>
        <w:t>.</w:t>
      </w:r>
      <w:r w:rsidR="00275E23" w:rsidRPr="007A7643">
        <w:rPr>
          <w:sz w:val="28"/>
          <w:szCs w:val="28"/>
        </w:rPr>
        <w:t xml:space="preserve"> </w:t>
      </w:r>
      <w:r w:rsidR="006E2193" w:rsidRPr="007A7643">
        <w:rPr>
          <w:sz w:val="28"/>
          <w:szCs w:val="28"/>
        </w:rPr>
        <w:t>ĪADT likuma 43. panta devītā daļa paredz, ka minētā likuma 43.</w:t>
      </w:r>
      <w:r w:rsidR="00B00B27">
        <w:rPr>
          <w:sz w:val="28"/>
          <w:szCs w:val="28"/>
        </w:rPr>
        <w:t> </w:t>
      </w:r>
      <w:r w:rsidR="006E2193" w:rsidRPr="007A7643">
        <w:rPr>
          <w:sz w:val="28"/>
          <w:szCs w:val="28"/>
        </w:rPr>
        <w:t>panta sestajā, septītajā un astotajā daļā minētajos gadījumos nosaka kompensējošos pasākumus Eiropas nozīmes aizsargājamo dabas teritoriju (</w:t>
      </w:r>
      <w:proofErr w:type="spellStart"/>
      <w:r w:rsidR="006E2193" w:rsidRPr="007A7643">
        <w:rPr>
          <w:sz w:val="28"/>
          <w:szCs w:val="28"/>
        </w:rPr>
        <w:t>Natura</w:t>
      </w:r>
      <w:proofErr w:type="spellEnd"/>
      <w:r w:rsidR="006E2193" w:rsidRPr="007A7643">
        <w:rPr>
          <w:sz w:val="28"/>
          <w:szCs w:val="28"/>
        </w:rPr>
        <w:t xml:space="preserve"> 2000) tīklam</w:t>
      </w:r>
      <w:r w:rsidR="005E6ADE" w:rsidRPr="007A7643">
        <w:rPr>
          <w:rStyle w:val="FootnoteReference"/>
          <w:sz w:val="28"/>
          <w:szCs w:val="28"/>
        </w:rPr>
        <w:footnoteReference w:id="7"/>
      </w:r>
      <w:r w:rsidR="006E2193" w:rsidRPr="007A7643">
        <w:rPr>
          <w:sz w:val="28"/>
          <w:szCs w:val="28"/>
        </w:rPr>
        <w:t>, lai nodrošinātu paredzētās darbības veikšanas vai plānošanas dokumenta īstenošanas negatīvo ietekmju līdzsvarošanu un teritorijas vienotības (viengabalainības) aizsardzību un saglabāšanu</w:t>
      </w:r>
      <w:r w:rsidR="006E2193" w:rsidRPr="007A7643">
        <w:rPr>
          <w:rStyle w:val="FootnoteReference"/>
          <w:sz w:val="28"/>
          <w:szCs w:val="28"/>
        </w:rPr>
        <w:footnoteReference w:id="8"/>
      </w:r>
      <w:r w:rsidR="006E2193" w:rsidRPr="007A7643">
        <w:rPr>
          <w:sz w:val="28"/>
          <w:szCs w:val="28"/>
        </w:rPr>
        <w:t xml:space="preserve">. </w:t>
      </w:r>
      <w:bookmarkStart w:id="5" w:name="_Hlk16077084"/>
      <w:r w:rsidR="00553D32" w:rsidRPr="007A7643">
        <w:rPr>
          <w:sz w:val="28"/>
          <w:szCs w:val="28"/>
        </w:rPr>
        <w:t>Kritērijus, pēc kuriem nosakāmi kompensējošie pasākumi</w:t>
      </w:r>
      <w:bookmarkEnd w:id="5"/>
      <w:r w:rsidR="005E6ADE" w:rsidRPr="007A7643">
        <w:rPr>
          <w:sz w:val="28"/>
          <w:szCs w:val="28"/>
        </w:rPr>
        <w:t xml:space="preserve">, </w:t>
      </w:r>
      <w:r w:rsidR="00553D32" w:rsidRPr="007A7643">
        <w:rPr>
          <w:sz w:val="28"/>
          <w:szCs w:val="28"/>
        </w:rPr>
        <w:t>nosaka Ministru kabineta 2006. gada 18. jūlija noteikumi Nr. 594 “</w:t>
      </w:r>
      <w:r w:rsidR="00553D32" w:rsidRPr="007A7643">
        <w:rPr>
          <w:i/>
          <w:sz w:val="28"/>
          <w:szCs w:val="28"/>
        </w:rPr>
        <w:t>Noteikumi par kritērijiem, pēc kuriem nosakāmi kompensējošie pasākumi Eiropas nozīmes aizsargājamo dabas teritoriju (</w:t>
      </w:r>
      <w:proofErr w:type="spellStart"/>
      <w:r w:rsidR="00553D32" w:rsidRPr="007A7643">
        <w:rPr>
          <w:i/>
          <w:sz w:val="28"/>
          <w:szCs w:val="28"/>
        </w:rPr>
        <w:t>Natura</w:t>
      </w:r>
      <w:proofErr w:type="spellEnd"/>
      <w:r w:rsidR="00553D32" w:rsidRPr="007A7643">
        <w:rPr>
          <w:i/>
          <w:sz w:val="28"/>
          <w:szCs w:val="28"/>
        </w:rPr>
        <w:t xml:space="preserve"> 2000) tīklam, to piemērošanas kārtību un prasīb</w:t>
      </w:r>
      <w:r w:rsidR="005E6ADE" w:rsidRPr="007A7643">
        <w:rPr>
          <w:i/>
          <w:sz w:val="28"/>
          <w:szCs w:val="28"/>
        </w:rPr>
        <w:t xml:space="preserve">ām </w:t>
      </w:r>
      <w:r w:rsidR="00553D32" w:rsidRPr="007A7643">
        <w:rPr>
          <w:i/>
          <w:sz w:val="28"/>
          <w:szCs w:val="28"/>
        </w:rPr>
        <w:t>ilgtermiņa monitoringa plāna izstrādei</w:t>
      </w:r>
      <w:r w:rsidR="005E6ADE" w:rsidRPr="007A7643">
        <w:rPr>
          <w:sz w:val="28"/>
          <w:szCs w:val="28"/>
        </w:rPr>
        <w:t>”.</w:t>
      </w:r>
    </w:p>
    <w:p w14:paraId="374ED971" w14:textId="77777777" w:rsidR="00164D78" w:rsidRPr="007A7643" w:rsidRDefault="00A67314" w:rsidP="000D2BDE">
      <w:pPr>
        <w:spacing w:before="120" w:after="0" w:line="240" w:lineRule="auto"/>
        <w:ind w:right="-483" w:firstLine="851"/>
        <w:jc w:val="both"/>
        <w:rPr>
          <w:sz w:val="28"/>
          <w:szCs w:val="28"/>
        </w:rPr>
      </w:pPr>
      <w:r w:rsidRPr="007A7643">
        <w:rPr>
          <w:sz w:val="28"/>
          <w:szCs w:val="28"/>
        </w:rPr>
        <w:t xml:space="preserve">No minētajām tiesību normām izriet, ka darbību ar negatīvu ietekmi uz </w:t>
      </w:r>
      <w:proofErr w:type="spellStart"/>
      <w:r w:rsidRPr="007A7643">
        <w:rPr>
          <w:sz w:val="28"/>
          <w:szCs w:val="28"/>
        </w:rPr>
        <w:t>Natura</w:t>
      </w:r>
      <w:proofErr w:type="spellEnd"/>
      <w:r w:rsidRPr="007A7643">
        <w:rPr>
          <w:sz w:val="28"/>
          <w:szCs w:val="28"/>
        </w:rPr>
        <w:t xml:space="preserve"> 2000 teritoriju izņēmuma kārtā var atļaut, tomēr jāizpildās </w:t>
      </w:r>
      <w:r w:rsidR="00A93F75" w:rsidRPr="007A7643">
        <w:rPr>
          <w:sz w:val="28"/>
          <w:szCs w:val="28"/>
        </w:rPr>
        <w:t>trīs</w:t>
      </w:r>
      <w:r w:rsidRPr="007A7643">
        <w:rPr>
          <w:sz w:val="28"/>
          <w:szCs w:val="28"/>
        </w:rPr>
        <w:t xml:space="preserve"> nosacījumiem un tiem jābūt kumulatīviem</w:t>
      </w:r>
      <w:r w:rsidR="00164D78" w:rsidRPr="007A7643">
        <w:rPr>
          <w:sz w:val="28"/>
          <w:szCs w:val="28"/>
        </w:rPr>
        <w:t>:</w:t>
      </w:r>
    </w:p>
    <w:p w14:paraId="66F88C81" w14:textId="77777777" w:rsidR="00164D78" w:rsidRPr="007A7643" w:rsidRDefault="00A67314" w:rsidP="007A7643">
      <w:pPr>
        <w:pStyle w:val="ListParagraph"/>
        <w:numPr>
          <w:ilvl w:val="0"/>
          <w:numId w:val="3"/>
        </w:numPr>
        <w:spacing w:before="60"/>
        <w:ind w:left="426" w:right="-483" w:hanging="284"/>
        <w:contextualSpacing w:val="0"/>
        <w:jc w:val="both"/>
        <w:rPr>
          <w:rFonts w:ascii="Times New Roman" w:hAnsi="Times New Roman" w:cs="Times New Roman"/>
          <w:sz w:val="28"/>
          <w:szCs w:val="28"/>
        </w:rPr>
      </w:pPr>
      <w:r w:rsidRPr="007A7643">
        <w:rPr>
          <w:rFonts w:ascii="Times New Roman" w:hAnsi="Times New Roman" w:cs="Times New Roman"/>
          <w:sz w:val="28"/>
          <w:szCs w:val="28"/>
        </w:rPr>
        <w:lastRenderedPageBreak/>
        <w:t>Pirmkārt, paredzētā darbība ir vienīgais risinājums</w:t>
      </w:r>
      <w:r w:rsidR="005E6ADE" w:rsidRPr="007A7643">
        <w:rPr>
          <w:rFonts w:ascii="Times New Roman" w:hAnsi="Times New Roman" w:cs="Times New Roman"/>
          <w:sz w:val="28"/>
          <w:szCs w:val="28"/>
        </w:rPr>
        <w:t xml:space="preserve"> (</w:t>
      </w:r>
      <w:r w:rsidR="006E2193" w:rsidRPr="007A7643">
        <w:rPr>
          <w:rFonts w:ascii="Times New Roman" w:hAnsi="Times New Roman" w:cs="Times New Roman"/>
          <w:sz w:val="28"/>
          <w:szCs w:val="28"/>
        </w:rPr>
        <w:t xml:space="preserve">nav </w:t>
      </w:r>
      <w:r w:rsidR="00164D78" w:rsidRPr="007A7643">
        <w:rPr>
          <w:rFonts w:ascii="Times New Roman" w:hAnsi="Times New Roman" w:cs="Times New Roman"/>
          <w:sz w:val="28"/>
          <w:szCs w:val="28"/>
        </w:rPr>
        <w:t xml:space="preserve">konstatējama cita </w:t>
      </w:r>
      <w:r w:rsidR="006E2193" w:rsidRPr="007A7643">
        <w:rPr>
          <w:rFonts w:ascii="Times New Roman" w:hAnsi="Times New Roman" w:cs="Times New Roman"/>
          <w:sz w:val="28"/>
          <w:szCs w:val="28"/>
        </w:rPr>
        <w:t xml:space="preserve">iespējami realizējama alternatīva attiecīgā mērķa sasniegšanai, kas negatīvi neietekmētu </w:t>
      </w:r>
      <w:proofErr w:type="spellStart"/>
      <w:r w:rsidR="006E2193" w:rsidRPr="007A7643">
        <w:rPr>
          <w:rFonts w:ascii="Times New Roman" w:hAnsi="Times New Roman" w:cs="Times New Roman"/>
          <w:sz w:val="28"/>
          <w:szCs w:val="28"/>
        </w:rPr>
        <w:t>Natura</w:t>
      </w:r>
      <w:proofErr w:type="spellEnd"/>
      <w:r w:rsidR="006E2193" w:rsidRPr="007A7643">
        <w:rPr>
          <w:rFonts w:ascii="Times New Roman" w:hAnsi="Times New Roman" w:cs="Times New Roman"/>
          <w:sz w:val="28"/>
          <w:szCs w:val="28"/>
        </w:rPr>
        <w:t xml:space="preserve"> 2000 teritoriju</w:t>
      </w:r>
      <w:r w:rsidR="005E6ADE" w:rsidRPr="007A7643">
        <w:rPr>
          <w:rFonts w:ascii="Times New Roman" w:hAnsi="Times New Roman" w:cs="Times New Roman"/>
          <w:sz w:val="28"/>
          <w:szCs w:val="28"/>
        </w:rPr>
        <w:t>)</w:t>
      </w:r>
      <w:r w:rsidR="006E2193" w:rsidRPr="007A7643">
        <w:rPr>
          <w:rFonts w:ascii="Times New Roman" w:hAnsi="Times New Roman" w:cs="Times New Roman"/>
          <w:sz w:val="28"/>
          <w:szCs w:val="28"/>
        </w:rPr>
        <w:t xml:space="preserve">. </w:t>
      </w:r>
    </w:p>
    <w:p w14:paraId="68332380" w14:textId="77777777" w:rsidR="00164D78" w:rsidRPr="007A7643" w:rsidRDefault="00A67314" w:rsidP="007A7643">
      <w:pPr>
        <w:pStyle w:val="ListParagraph"/>
        <w:numPr>
          <w:ilvl w:val="0"/>
          <w:numId w:val="3"/>
        </w:numPr>
        <w:spacing w:before="60"/>
        <w:ind w:left="426" w:right="-483" w:hanging="284"/>
        <w:contextualSpacing w:val="0"/>
        <w:jc w:val="both"/>
        <w:rPr>
          <w:rFonts w:ascii="Times New Roman" w:hAnsi="Times New Roman" w:cs="Times New Roman"/>
          <w:sz w:val="28"/>
          <w:szCs w:val="28"/>
        </w:rPr>
      </w:pPr>
      <w:r w:rsidRPr="007A7643">
        <w:rPr>
          <w:rFonts w:ascii="Times New Roman" w:hAnsi="Times New Roman" w:cs="Times New Roman"/>
          <w:sz w:val="28"/>
          <w:szCs w:val="28"/>
        </w:rPr>
        <w:t>Otrkārt, tā ir nepieciešama sabiedrībai sevišķi svarīgu interešu apmierināšanai</w:t>
      </w:r>
      <w:r w:rsidR="00F4365D" w:rsidRPr="007A7643">
        <w:rPr>
          <w:rStyle w:val="FootnoteReference"/>
          <w:rFonts w:ascii="Times New Roman" w:hAnsi="Times New Roman" w:cs="Times New Roman"/>
          <w:sz w:val="28"/>
          <w:szCs w:val="28"/>
        </w:rPr>
        <w:footnoteReference w:id="9"/>
      </w:r>
      <w:r w:rsidR="00A93F75" w:rsidRPr="007A7643">
        <w:rPr>
          <w:rFonts w:ascii="Times New Roman" w:hAnsi="Times New Roman" w:cs="Times New Roman"/>
          <w:sz w:val="28"/>
          <w:szCs w:val="28"/>
        </w:rPr>
        <w:t>.</w:t>
      </w:r>
      <w:r w:rsidR="00164D78" w:rsidRPr="007A7643">
        <w:rPr>
          <w:rFonts w:ascii="Times New Roman" w:hAnsi="Times New Roman" w:cs="Times New Roman"/>
          <w:sz w:val="28"/>
          <w:szCs w:val="28"/>
        </w:rPr>
        <w:t xml:space="preserve"> </w:t>
      </w:r>
    </w:p>
    <w:p w14:paraId="0CE5E242" w14:textId="3F48A179" w:rsidR="00A67314" w:rsidRPr="007A7643" w:rsidRDefault="00A93F75" w:rsidP="007A7643">
      <w:pPr>
        <w:pStyle w:val="ListParagraph"/>
        <w:numPr>
          <w:ilvl w:val="0"/>
          <w:numId w:val="3"/>
        </w:numPr>
        <w:spacing w:before="60"/>
        <w:ind w:left="426" w:right="-483" w:hanging="284"/>
        <w:contextualSpacing w:val="0"/>
        <w:jc w:val="both"/>
        <w:rPr>
          <w:rFonts w:ascii="Times New Roman" w:hAnsi="Times New Roman" w:cs="Times New Roman"/>
          <w:sz w:val="28"/>
          <w:szCs w:val="28"/>
        </w:rPr>
      </w:pPr>
      <w:r w:rsidRPr="007A7643">
        <w:rPr>
          <w:rFonts w:ascii="Times New Roman" w:hAnsi="Times New Roman" w:cs="Times New Roman"/>
          <w:sz w:val="28"/>
          <w:szCs w:val="28"/>
        </w:rPr>
        <w:t>Treškārt, ir paredzēti visi nepieciešamie kompens</w:t>
      </w:r>
      <w:r w:rsidR="000F2294">
        <w:rPr>
          <w:rFonts w:ascii="Times New Roman" w:hAnsi="Times New Roman" w:cs="Times New Roman"/>
          <w:sz w:val="28"/>
          <w:szCs w:val="28"/>
        </w:rPr>
        <w:t>ējošie</w:t>
      </w:r>
      <w:r w:rsidRPr="007A7643">
        <w:rPr>
          <w:rFonts w:ascii="Times New Roman" w:hAnsi="Times New Roman" w:cs="Times New Roman"/>
          <w:sz w:val="28"/>
          <w:szCs w:val="28"/>
        </w:rPr>
        <w:t xml:space="preserve"> pasākumi, lai nodrošinātu </w:t>
      </w:r>
      <w:proofErr w:type="spellStart"/>
      <w:r w:rsidRPr="007A7643">
        <w:rPr>
          <w:rFonts w:ascii="Times New Roman" w:hAnsi="Times New Roman" w:cs="Times New Roman"/>
          <w:sz w:val="28"/>
          <w:szCs w:val="28"/>
        </w:rPr>
        <w:t>Natura</w:t>
      </w:r>
      <w:proofErr w:type="spellEnd"/>
      <w:r w:rsidRPr="007A7643">
        <w:rPr>
          <w:rFonts w:ascii="Times New Roman" w:hAnsi="Times New Roman" w:cs="Times New Roman"/>
          <w:sz w:val="28"/>
          <w:szCs w:val="28"/>
        </w:rPr>
        <w:t xml:space="preserve"> 2000 teritoriju tīkla aizsardzību un saglabāšanu.</w:t>
      </w:r>
    </w:p>
    <w:p w14:paraId="6A25C202" w14:textId="0E841B35" w:rsidR="00AB7A68" w:rsidRPr="007A7643" w:rsidRDefault="00A67314" w:rsidP="000D2BDE">
      <w:pPr>
        <w:spacing w:before="120" w:after="0" w:line="240" w:lineRule="auto"/>
        <w:ind w:right="-483" w:firstLine="851"/>
        <w:jc w:val="both"/>
        <w:rPr>
          <w:rFonts w:eastAsia="Times New Roman"/>
          <w:sz w:val="28"/>
          <w:szCs w:val="28"/>
        </w:rPr>
      </w:pPr>
      <w:r w:rsidRPr="007A7643">
        <w:rPr>
          <w:sz w:val="28"/>
          <w:szCs w:val="28"/>
        </w:rPr>
        <w:t xml:space="preserve">Prasības paredzēto darbību ietekmes uz vidi un </w:t>
      </w:r>
      <w:proofErr w:type="spellStart"/>
      <w:r w:rsidRPr="007A7643">
        <w:rPr>
          <w:sz w:val="28"/>
          <w:szCs w:val="28"/>
        </w:rPr>
        <w:t>Natura</w:t>
      </w:r>
      <w:proofErr w:type="spellEnd"/>
      <w:r w:rsidRPr="007A7643">
        <w:rPr>
          <w:sz w:val="28"/>
          <w:szCs w:val="28"/>
        </w:rPr>
        <w:t xml:space="preserve"> 2000 teritoriju</w:t>
      </w:r>
      <w:r w:rsidR="00A93F75" w:rsidRPr="007A7643">
        <w:rPr>
          <w:sz w:val="28"/>
          <w:szCs w:val="28"/>
        </w:rPr>
        <w:t xml:space="preserve"> novērtēšanai</w:t>
      </w:r>
      <w:r w:rsidRPr="007A7643">
        <w:rPr>
          <w:sz w:val="28"/>
          <w:szCs w:val="28"/>
        </w:rPr>
        <w:t>, kā arī paredzēto darbību akceptēšanai</w:t>
      </w:r>
      <w:r w:rsidR="00F0610D" w:rsidRPr="007A7643">
        <w:rPr>
          <w:sz w:val="28"/>
          <w:szCs w:val="28"/>
        </w:rPr>
        <w:t xml:space="preserve"> pēc ietekmes novērtējuma</w:t>
      </w:r>
      <w:r w:rsidRPr="007A7643">
        <w:rPr>
          <w:sz w:val="28"/>
          <w:szCs w:val="28"/>
        </w:rPr>
        <w:t>, ir noteiktas</w:t>
      </w:r>
      <w:r w:rsidR="00164D78" w:rsidRPr="007A7643">
        <w:rPr>
          <w:sz w:val="28"/>
          <w:szCs w:val="28"/>
        </w:rPr>
        <w:t xml:space="preserve"> Novērtējuma </w:t>
      </w:r>
      <w:r w:rsidRPr="007A7643">
        <w:rPr>
          <w:sz w:val="28"/>
          <w:szCs w:val="28"/>
        </w:rPr>
        <w:t xml:space="preserve"> likumā </w:t>
      </w:r>
      <w:r w:rsidR="00AB7A68" w:rsidRPr="007A7643">
        <w:rPr>
          <w:sz w:val="28"/>
          <w:szCs w:val="28"/>
        </w:rPr>
        <w:t>un uz tā pamata izdotajos normatīvajos aktos</w:t>
      </w:r>
      <w:r w:rsidR="007F26E6" w:rsidRPr="007A7643">
        <w:rPr>
          <w:sz w:val="28"/>
          <w:szCs w:val="28"/>
        </w:rPr>
        <w:t>. Minētā likuma 4</w:t>
      </w:r>
      <w:r w:rsidR="00B00B27" w:rsidRPr="002B40A1">
        <w:rPr>
          <w:sz w:val="28"/>
          <w:szCs w:val="28"/>
          <w:vertAlign w:val="superscript"/>
        </w:rPr>
        <w:t>1</w:t>
      </w:r>
      <w:r w:rsidR="007F26E6" w:rsidRPr="007A7643">
        <w:rPr>
          <w:sz w:val="28"/>
          <w:szCs w:val="28"/>
        </w:rPr>
        <w:t>.</w:t>
      </w:r>
      <w:r w:rsidR="000F2294">
        <w:rPr>
          <w:sz w:val="28"/>
          <w:szCs w:val="28"/>
        </w:rPr>
        <w:t> </w:t>
      </w:r>
      <w:r w:rsidR="007F26E6" w:rsidRPr="007A7643">
        <w:rPr>
          <w:sz w:val="28"/>
          <w:szCs w:val="28"/>
        </w:rPr>
        <w:t xml:space="preserve">panta pirmā un otrā daļa noteic, ka ietekmi uz </w:t>
      </w:r>
      <w:proofErr w:type="spellStart"/>
      <w:r w:rsidR="007F26E6" w:rsidRPr="007A7643">
        <w:rPr>
          <w:sz w:val="28"/>
          <w:szCs w:val="28"/>
        </w:rPr>
        <w:t>Natura</w:t>
      </w:r>
      <w:proofErr w:type="spellEnd"/>
      <w:r w:rsidR="007F26E6" w:rsidRPr="007A7643">
        <w:rPr>
          <w:sz w:val="28"/>
          <w:szCs w:val="28"/>
        </w:rPr>
        <w:t xml:space="preserve"> 2000 teritoriju novērtē saskaņā ar atsevišķu kārtību, ko nosaka Ministru kabinets</w:t>
      </w:r>
      <w:r w:rsidR="00397883" w:rsidRPr="007A7643">
        <w:rPr>
          <w:sz w:val="28"/>
          <w:szCs w:val="28"/>
        </w:rPr>
        <w:t xml:space="preserve">, savukārt trešā daļa noteic, ka gadījumos, kad paredzētajai darbībai veic ietekmes uz vidi novērtējumu un šīs darbības īstenošana var būtiski ietekmēt </w:t>
      </w:r>
      <w:proofErr w:type="spellStart"/>
      <w:r w:rsidR="00397883" w:rsidRPr="007A7643">
        <w:rPr>
          <w:sz w:val="28"/>
          <w:szCs w:val="28"/>
        </w:rPr>
        <w:t>Natura</w:t>
      </w:r>
      <w:proofErr w:type="spellEnd"/>
      <w:r w:rsidR="00397883" w:rsidRPr="007A7643">
        <w:rPr>
          <w:sz w:val="28"/>
          <w:szCs w:val="28"/>
        </w:rPr>
        <w:t xml:space="preserve"> 2000 teritoriju, ziņojumu par ietekmi uz </w:t>
      </w:r>
      <w:proofErr w:type="spellStart"/>
      <w:r w:rsidR="00397883" w:rsidRPr="007A7643">
        <w:rPr>
          <w:sz w:val="28"/>
          <w:szCs w:val="28"/>
        </w:rPr>
        <w:t>Natura</w:t>
      </w:r>
      <w:proofErr w:type="spellEnd"/>
      <w:r w:rsidR="00397883" w:rsidRPr="007A7643">
        <w:rPr>
          <w:sz w:val="28"/>
          <w:szCs w:val="28"/>
        </w:rPr>
        <w:t xml:space="preserve"> 2000 teritoriju ietver ietekmes uz vidi novērtējuma ziņojumā</w:t>
      </w:r>
      <w:r w:rsidR="007F26E6" w:rsidRPr="007A7643">
        <w:rPr>
          <w:sz w:val="28"/>
          <w:szCs w:val="28"/>
        </w:rPr>
        <w:t xml:space="preserve">. Balstoties uz </w:t>
      </w:r>
      <w:r w:rsidR="00164D78" w:rsidRPr="007A7643">
        <w:rPr>
          <w:sz w:val="28"/>
          <w:szCs w:val="28"/>
        </w:rPr>
        <w:t xml:space="preserve">Novērtējuma </w:t>
      </w:r>
      <w:r w:rsidR="00397883" w:rsidRPr="007A7643">
        <w:rPr>
          <w:sz w:val="28"/>
          <w:szCs w:val="28"/>
        </w:rPr>
        <w:t>likuma 4</w:t>
      </w:r>
      <w:r w:rsidR="00B00B27" w:rsidRPr="002B40A1">
        <w:rPr>
          <w:sz w:val="28"/>
          <w:szCs w:val="28"/>
          <w:vertAlign w:val="superscript"/>
        </w:rPr>
        <w:t>1</w:t>
      </w:r>
      <w:r w:rsidR="00397883" w:rsidRPr="007A7643">
        <w:rPr>
          <w:sz w:val="28"/>
          <w:szCs w:val="28"/>
        </w:rPr>
        <w:t>.</w:t>
      </w:r>
      <w:r w:rsidR="00B00B27">
        <w:rPr>
          <w:sz w:val="28"/>
          <w:szCs w:val="28"/>
        </w:rPr>
        <w:t> </w:t>
      </w:r>
      <w:r w:rsidR="00397883" w:rsidRPr="007A7643">
        <w:rPr>
          <w:sz w:val="28"/>
          <w:szCs w:val="28"/>
        </w:rPr>
        <w:t>panta otrajā daļā ietverto</w:t>
      </w:r>
      <w:r w:rsidR="007F26E6" w:rsidRPr="007A7643">
        <w:rPr>
          <w:sz w:val="28"/>
          <w:szCs w:val="28"/>
        </w:rPr>
        <w:t xml:space="preserve"> deleģējumu</w:t>
      </w:r>
      <w:r w:rsidR="00397883" w:rsidRPr="007A7643">
        <w:rPr>
          <w:sz w:val="28"/>
          <w:szCs w:val="28"/>
        </w:rPr>
        <w:t xml:space="preserve">, </w:t>
      </w:r>
      <w:r w:rsidR="007F26E6" w:rsidRPr="007A7643">
        <w:rPr>
          <w:sz w:val="28"/>
          <w:szCs w:val="28"/>
        </w:rPr>
        <w:t xml:space="preserve">izdoti </w:t>
      </w:r>
      <w:bookmarkStart w:id="6" w:name="_Hlk16070772"/>
      <w:r w:rsidRPr="007A7643">
        <w:rPr>
          <w:rFonts w:eastAsia="Times New Roman"/>
          <w:sz w:val="28"/>
          <w:szCs w:val="28"/>
        </w:rPr>
        <w:t>MK Noteikum</w:t>
      </w:r>
      <w:r w:rsidR="007F26E6" w:rsidRPr="007A7643">
        <w:rPr>
          <w:rFonts w:eastAsia="Times New Roman"/>
          <w:sz w:val="28"/>
          <w:szCs w:val="28"/>
        </w:rPr>
        <w:t>i</w:t>
      </w:r>
      <w:r w:rsidRPr="007A7643">
        <w:rPr>
          <w:rFonts w:eastAsia="Times New Roman"/>
          <w:sz w:val="28"/>
          <w:szCs w:val="28"/>
        </w:rPr>
        <w:t xml:space="preserve"> Nr.</w:t>
      </w:r>
      <w:r w:rsidR="000F2294">
        <w:rPr>
          <w:rFonts w:eastAsia="Times New Roman"/>
          <w:sz w:val="28"/>
          <w:szCs w:val="28"/>
        </w:rPr>
        <w:t> </w:t>
      </w:r>
      <w:r w:rsidRPr="007A7643">
        <w:rPr>
          <w:rFonts w:eastAsia="Times New Roman"/>
          <w:sz w:val="28"/>
          <w:szCs w:val="28"/>
        </w:rPr>
        <w:t>300</w:t>
      </w:r>
      <w:r w:rsidR="007F26E6" w:rsidRPr="007A7643">
        <w:rPr>
          <w:rFonts w:eastAsia="Times New Roman"/>
          <w:sz w:val="28"/>
          <w:szCs w:val="28"/>
        </w:rPr>
        <w:t xml:space="preserve">, kuru 45. un 46. punkts paredz, </w:t>
      </w:r>
      <w:r w:rsidR="00AB7A68" w:rsidRPr="007A7643">
        <w:rPr>
          <w:rFonts w:eastAsia="Times New Roman"/>
          <w:sz w:val="28"/>
          <w:szCs w:val="28"/>
        </w:rPr>
        <w:t>–</w:t>
      </w:r>
      <w:r w:rsidR="007F26E6" w:rsidRPr="007A7643">
        <w:rPr>
          <w:rFonts w:eastAsia="Times New Roman"/>
          <w:sz w:val="28"/>
          <w:szCs w:val="28"/>
        </w:rPr>
        <w:t xml:space="preserve"> ja</w:t>
      </w:r>
      <w:r w:rsidR="00AB7A68" w:rsidRPr="007A7643">
        <w:rPr>
          <w:rFonts w:eastAsia="Times New Roman"/>
          <w:sz w:val="28"/>
          <w:szCs w:val="28"/>
        </w:rPr>
        <w:t xml:space="preserve"> </w:t>
      </w:r>
      <w:r w:rsidR="007F26E6" w:rsidRPr="007A7643">
        <w:rPr>
          <w:rFonts w:eastAsia="Times New Roman"/>
          <w:sz w:val="28"/>
          <w:szCs w:val="28"/>
        </w:rPr>
        <w:t xml:space="preserve">saskaņā ar ierosinātāja sagatavoto ietekmes novērtējuma ziņojumu paredzētā darbība būtiski negatīvi ietekmēs </w:t>
      </w:r>
      <w:proofErr w:type="spellStart"/>
      <w:r w:rsidR="007F26E6" w:rsidRPr="007A7643">
        <w:rPr>
          <w:rFonts w:eastAsia="Times New Roman"/>
          <w:sz w:val="28"/>
          <w:szCs w:val="28"/>
        </w:rPr>
        <w:t>Natura</w:t>
      </w:r>
      <w:proofErr w:type="spellEnd"/>
      <w:r w:rsidR="007F26E6" w:rsidRPr="007A7643">
        <w:rPr>
          <w:rFonts w:eastAsia="Times New Roman"/>
          <w:sz w:val="28"/>
          <w:szCs w:val="28"/>
        </w:rPr>
        <w:t xml:space="preserve"> 2000 teritoriju, bet paredzētā darbība ir vienīgais risinājums, lai apmierinātu sabiedrībai nozīmīgas intereses, sagatavojams un Ministru kabinetā iesniedzams informatīvais ziņojums un Ministru kabineta rīkojuma projekts lēmuma pieņemšanai</w:t>
      </w:r>
      <w:r w:rsidR="00AB7A68" w:rsidRPr="007A7643">
        <w:rPr>
          <w:rFonts w:eastAsia="Times New Roman"/>
          <w:sz w:val="28"/>
          <w:szCs w:val="28"/>
        </w:rPr>
        <w:t xml:space="preserve">. No ĪADT likuma 43. panta desmitās daļas </w:t>
      </w:r>
      <w:r w:rsidR="00164D78" w:rsidRPr="007A7643">
        <w:rPr>
          <w:rFonts w:eastAsia="Times New Roman"/>
          <w:sz w:val="28"/>
          <w:szCs w:val="28"/>
        </w:rPr>
        <w:t xml:space="preserve">un MK Noteikumu Nr. 300 45.2. un 46.2. punkta </w:t>
      </w:r>
      <w:r w:rsidR="00AB7A68" w:rsidRPr="007A7643">
        <w:rPr>
          <w:rFonts w:eastAsia="Times New Roman"/>
          <w:sz w:val="28"/>
          <w:szCs w:val="28"/>
        </w:rPr>
        <w:t xml:space="preserve">izriet, ka ar Ministru kabineta lēmumu izlemjamais jautājums ir, vai paredzētā darbība </w:t>
      </w:r>
      <w:r w:rsidR="00164D78" w:rsidRPr="007A7643">
        <w:rPr>
          <w:rFonts w:eastAsia="Times New Roman"/>
          <w:sz w:val="28"/>
          <w:szCs w:val="28"/>
        </w:rPr>
        <w:t xml:space="preserve">ir vienīgais risinājums un </w:t>
      </w:r>
      <w:r w:rsidR="00AB7A68" w:rsidRPr="007A7643">
        <w:rPr>
          <w:rFonts w:eastAsia="Times New Roman"/>
          <w:sz w:val="28"/>
          <w:szCs w:val="28"/>
        </w:rPr>
        <w:t>nepiecieša</w:t>
      </w:r>
      <w:r w:rsidR="00164D78" w:rsidRPr="007A7643">
        <w:rPr>
          <w:rFonts w:eastAsia="Times New Roman"/>
          <w:sz w:val="28"/>
          <w:szCs w:val="28"/>
        </w:rPr>
        <w:t>ma</w:t>
      </w:r>
      <w:r w:rsidR="00AB7A68" w:rsidRPr="007A7643">
        <w:rPr>
          <w:rFonts w:eastAsia="Times New Roman"/>
          <w:sz w:val="28"/>
          <w:szCs w:val="28"/>
        </w:rPr>
        <w:t xml:space="preserve"> sabiedrībai sevišķi svarīgu interešu apmierināšanai. </w:t>
      </w:r>
    </w:p>
    <w:p w14:paraId="4590C43B" w14:textId="2C2A0450" w:rsidR="00AB7A68" w:rsidRPr="007A7643" w:rsidRDefault="00AB7A68" w:rsidP="000D2BDE">
      <w:pPr>
        <w:spacing w:before="120" w:after="0" w:line="240" w:lineRule="auto"/>
        <w:ind w:right="-483" w:firstLine="851"/>
        <w:jc w:val="both"/>
        <w:rPr>
          <w:rFonts w:eastAsia="Times New Roman"/>
          <w:sz w:val="28"/>
          <w:szCs w:val="28"/>
        </w:rPr>
      </w:pPr>
      <w:r w:rsidRPr="007A7643">
        <w:rPr>
          <w:rFonts w:eastAsia="Times New Roman"/>
          <w:sz w:val="28"/>
          <w:szCs w:val="28"/>
        </w:rPr>
        <w:t>Prasības informatīvā ziņojuma saturam noteiktas MK Noteikumu Nr. 300 47</w:t>
      </w:r>
      <w:r w:rsidR="000F2294">
        <w:rPr>
          <w:rFonts w:eastAsia="Times New Roman"/>
          <w:sz w:val="28"/>
          <w:szCs w:val="28"/>
        </w:rPr>
        <w:t>. </w:t>
      </w:r>
      <w:r w:rsidRPr="007A7643">
        <w:rPr>
          <w:rFonts w:eastAsia="Times New Roman"/>
          <w:sz w:val="28"/>
          <w:szCs w:val="28"/>
        </w:rPr>
        <w:t xml:space="preserve">punktā. </w:t>
      </w:r>
    </w:p>
    <w:bookmarkEnd w:id="6"/>
    <w:p w14:paraId="5DC4EEC9" w14:textId="77777777" w:rsidR="00AB7A68" w:rsidRPr="007A7643" w:rsidRDefault="007A0E92" w:rsidP="007A7643">
      <w:pPr>
        <w:pStyle w:val="tv213"/>
        <w:shd w:val="clear" w:color="auto" w:fill="FFFFFF"/>
        <w:spacing w:before="120" w:beforeAutospacing="0" w:after="0" w:afterAutospacing="0"/>
        <w:ind w:left="600" w:right="-483"/>
        <w:jc w:val="center"/>
        <w:rPr>
          <w:b/>
          <w:sz w:val="28"/>
          <w:szCs w:val="28"/>
        </w:rPr>
      </w:pPr>
      <w:r w:rsidRPr="007A7643">
        <w:rPr>
          <w:b/>
          <w:sz w:val="28"/>
          <w:szCs w:val="28"/>
        </w:rPr>
        <w:t>3. </w:t>
      </w:r>
      <w:r w:rsidR="00AB7A68" w:rsidRPr="007A7643">
        <w:rPr>
          <w:b/>
          <w:sz w:val="28"/>
          <w:szCs w:val="28"/>
        </w:rPr>
        <w:t xml:space="preserve">Informācija par ietekmēto </w:t>
      </w:r>
      <w:proofErr w:type="spellStart"/>
      <w:r w:rsidR="00E336D5" w:rsidRPr="007A7643">
        <w:rPr>
          <w:b/>
          <w:sz w:val="28"/>
          <w:szCs w:val="28"/>
        </w:rPr>
        <w:t>Natura</w:t>
      </w:r>
      <w:proofErr w:type="spellEnd"/>
      <w:r w:rsidR="00E336D5" w:rsidRPr="007A7643">
        <w:rPr>
          <w:b/>
          <w:sz w:val="28"/>
          <w:szCs w:val="28"/>
        </w:rPr>
        <w:t xml:space="preserve"> 2000 </w:t>
      </w:r>
      <w:r w:rsidR="00AB7A68" w:rsidRPr="007A7643">
        <w:rPr>
          <w:b/>
          <w:sz w:val="28"/>
          <w:szCs w:val="28"/>
        </w:rPr>
        <w:t>teritoriju</w:t>
      </w:r>
    </w:p>
    <w:p w14:paraId="67098FAD" w14:textId="06074F5D" w:rsidR="00610632" w:rsidRPr="007A7643" w:rsidRDefault="00A2163E" w:rsidP="000D2BDE">
      <w:pPr>
        <w:spacing w:before="120" w:after="0" w:line="240" w:lineRule="auto"/>
        <w:ind w:right="-483" w:firstLine="851"/>
        <w:jc w:val="both"/>
        <w:rPr>
          <w:sz w:val="28"/>
          <w:szCs w:val="28"/>
        </w:rPr>
      </w:pPr>
      <w:r w:rsidRPr="007A7643">
        <w:rPr>
          <w:sz w:val="28"/>
          <w:szCs w:val="28"/>
        </w:rPr>
        <w:t>Dabas liegums (</w:t>
      </w:r>
      <w:proofErr w:type="spellStart"/>
      <w:r w:rsidR="008E4284" w:rsidRPr="007A7643">
        <w:rPr>
          <w:sz w:val="28"/>
          <w:szCs w:val="28"/>
        </w:rPr>
        <w:t>Natura</w:t>
      </w:r>
      <w:proofErr w:type="spellEnd"/>
      <w:r w:rsidR="008E4284" w:rsidRPr="007A7643">
        <w:rPr>
          <w:sz w:val="28"/>
          <w:szCs w:val="28"/>
        </w:rPr>
        <w:t xml:space="preserve"> 2000 teritorijas </w:t>
      </w:r>
      <w:r w:rsidRPr="007A7643">
        <w:rPr>
          <w:sz w:val="28"/>
          <w:szCs w:val="28"/>
        </w:rPr>
        <w:t xml:space="preserve">kods LV0523100) ir C tipa </w:t>
      </w:r>
      <w:proofErr w:type="spellStart"/>
      <w:r w:rsidRPr="007A7643">
        <w:rPr>
          <w:sz w:val="28"/>
          <w:szCs w:val="28"/>
        </w:rPr>
        <w:t>Natura</w:t>
      </w:r>
      <w:proofErr w:type="spellEnd"/>
      <w:r w:rsidRPr="007A7643">
        <w:rPr>
          <w:sz w:val="28"/>
          <w:szCs w:val="28"/>
        </w:rPr>
        <w:t xml:space="preserve"> 2000 teritorija, kas </w:t>
      </w:r>
      <w:r w:rsidR="00610632" w:rsidRPr="007A7643">
        <w:rPr>
          <w:sz w:val="28"/>
          <w:szCs w:val="28"/>
        </w:rPr>
        <w:t xml:space="preserve">veidota, lai saglabātu dabiskās pļavas Lielupes krastos un </w:t>
      </w:r>
      <w:r w:rsidRPr="007A7643">
        <w:rPr>
          <w:sz w:val="28"/>
          <w:szCs w:val="28"/>
        </w:rPr>
        <w:t>noteikta īpaši aizsargājamo sugu (t</w:t>
      </w:r>
      <w:r w:rsidR="003B2239" w:rsidRPr="007A7643">
        <w:rPr>
          <w:sz w:val="28"/>
          <w:szCs w:val="28"/>
        </w:rPr>
        <w:t>ai skaitā</w:t>
      </w:r>
      <w:r w:rsidRPr="007A7643">
        <w:rPr>
          <w:sz w:val="28"/>
          <w:szCs w:val="28"/>
        </w:rPr>
        <w:t xml:space="preserve"> putnu) un īpaši aizsargājamo biotopu aizsardzībai</w:t>
      </w:r>
      <w:r w:rsidRPr="007A7643">
        <w:rPr>
          <w:rStyle w:val="FootnoteReference"/>
          <w:sz w:val="28"/>
          <w:szCs w:val="28"/>
        </w:rPr>
        <w:footnoteReference w:id="10"/>
      </w:r>
      <w:r w:rsidRPr="007A7643">
        <w:rPr>
          <w:sz w:val="28"/>
          <w:szCs w:val="28"/>
        </w:rPr>
        <w:t xml:space="preserve">. </w:t>
      </w:r>
      <w:r w:rsidR="00B12086" w:rsidRPr="007A7643">
        <w:rPr>
          <w:sz w:val="28"/>
          <w:szCs w:val="28"/>
        </w:rPr>
        <w:t xml:space="preserve">Dabas liegums ir arī putniem starptautiski nozīmīga vieta (kods – LV027), kas atbilst </w:t>
      </w:r>
      <w:r w:rsidR="00882A49" w:rsidRPr="007A7643">
        <w:rPr>
          <w:sz w:val="28"/>
          <w:szCs w:val="28"/>
        </w:rPr>
        <w:t>putniem nozīmīgas vietas (</w:t>
      </w:r>
      <w:r w:rsidR="00B12086" w:rsidRPr="007A7643">
        <w:rPr>
          <w:sz w:val="28"/>
          <w:szCs w:val="28"/>
        </w:rPr>
        <w:t>PNV</w:t>
      </w:r>
      <w:r w:rsidR="00882A49" w:rsidRPr="007A7643">
        <w:rPr>
          <w:sz w:val="28"/>
          <w:szCs w:val="28"/>
        </w:rPr>
        <w:t>)</w:t>
      </w:r>
      <w:r w:rsidR="00B12086" w:rsidRPr="007A7643">
        <w:rPr>
          <w:sz w:val="28"/>
          <w:szCs w:val="28"/>
        </w:rPr>
        <w:t xml:space="preserve"> kritērijam A1 (vietā regulāri un nozīmīgā skaitā sastopama globāli apdraudēta suga vai cita suga ar globālu aizsardzības nozīmi) pēc šeit ligzdojošo griežu (</w:t>
      </w:r>
      <w:proofErr w:type="spellStart"/>
      <w:r w:rsidR="00B12086" w:rsidRPr="007A7643">
        <w:rPr>
          <w:i/>
          <w:sz w:val="28"/>
          <w:szCs w:val="28"/>
        </w:rPr>
        <w:t>Crex</w:t>
      </w:r>
      <w:proofErr w:type="spellEnd"/>
      <w:r w:rsidR="00B12086" w:rsidRPr="007A7643">
        <w:rPr>
          <w:i/>
          <w:sz w:val="28"/>
          <w:szCs w:val="28"/>
        </w:rPr>
        <w:t xml:space="preserve"> </w:t>
      </w:r>
      <w:proofErr w:type="spellStart"/>
      <w:r w:rsidR="00B12086" w:rsidRPr="007A7643">
        <w:rPr>
          <w:i/>
          <w:sz w:val="28"/>
          <w:szCs w:val="28"/>
        </w:rPr>
        <w:t>crex</w:t>
      </w:r>
      <w:proofErr w:type="spellEnd"/>
      <w:r w:rsidR="00B12086" w:rsidRPr="007A7643">
        <w:rPr>
          <w:sz w:val="28"/>
          <w:szCs w:val="28"/>
        </w:rPr>
        <w:t>) skaita.</w:t>
      </w:r>
    </w:p>
    <w:p w14:paraId="74D9C6F2" w14:textId="1F60E57E" w:rsidR="00F0711C" w:rsidRPr="007A7643" w:rsidRDefault="00610632" w:rsidP="000D2BDE">
      <w:pPr>
        <w:spacing w:before="120" w:after="0" w:line="240" w:lineRule="auto"/>
        <w:ind w:right="-483" w:firstLine="851"/>
        <w:jc w:val="both"/>
        <w:rPr>
          <w:sz w:val="28"/>
          <w:szCs w:val="28"/>
        </w:rPr>
      </w:pPr>
      <w:r w:rsidRPr="007A7643">
        <w:rPr>
          <w:sz w:val="28"/>
          <w:szCs w:val="28"/>
        </w:rPr>
        <w:lastRenderedPageBreak/>
        <w:t xml:space="preserve">Saskaņā ar Dabas lieguma </w:t>
      </w:r>
      <w:proofErr w:type="spellStart"/>
      <w:r w:rsidRPr="007A7643">
        <w:rPr>
          <w:sz w:val="28"/>
          <w:szCs w:val="28"/>
        </w:rPr>
        <w:t>Natura</w:t>
      </w:r>
      <w:proofErr w:type="spellEnd"/>
      <w:r w:rsidRPr="007A7643">
        <w:rPr>
          <w:sz w:val="28"/>
          <w:szCs w:val="28"/>
        </w:rPr>
        <w:t xml:space="preserve"> 2000 teritorijas standarta datu formu</w:t>
      </w:r>
      <w:r w:rsidR="00B17168" w:rsidRPr="007A7643">
        <w:rPr>
          <w:rStyle w:val="FootnoteReference"/>
          <w:sz w:val="28"/>
          <w:szCs w:val="28"/>
        </w:rPr>
        <w:footnoteReference w:id="11"/>
      </w:r>
      <w:r w:rsidRPr="007A7643">
        <w:rPr>
          <w:sz w:val="28"/>
          <w:szCs w:val="28"/>
        </w:rPr>
        <w:t xml:space="preserve">, </w:t>
      </w:r>
      <w:r w:rsidRPr="002B40A1">
        <w:rPr>
          <w:sz w:val="28"/>
          <w:szCs w:val="28"/>
        </w:rPr>
        <w:t xml:space="preserve">teritorija ir nozīmīga </w:t>
      </w:r>
      <w:r w:rsidR="00F0711C" w:rsidRPr="002B40A1">
        <w:rPr>
          <w:sz w:val="28"/>
          <w:szCs w:val="28"/>
        </w:rPr>
        <w:t>ES</w:t>
      </w:r>
      <w:r w:rsidRPr="002B40A1">
        <w:rPr>
          <w:sz w:val="28"/>
          <w:szCs w:val="28"/>
        </w:rPr>
        <w:t xml:space="preserve"> nozīmes īpaši aizsargājamo biotopu 6510 </w:t>
      </w:r>
      <w:r w:rsidRPr="002B40A1">
        <w:rPr>
          <w:i/>
          <w:sz w:val="28"/>
          <w:szCs w:val="28"/>
        </w:rPr>
        <w:t xml:space="preserve">Mēreni mitras pļavas </w:t>
      </w:r>
      <w:r w:rsidRPr="002B40A1">
        <w:rPr>
          <w:sz w:val="28"/>
          <w:szCs w:val="28"/>
        </w:rPr>
        <w:t>un</w:t>
      </w:r>
      <w:r w:rsidRPr="002B40A1">
        <w:rPr>
          <w:i/>
          <w:sz w:val="28"/>
          <w:szCs w:val="28"/>
        </w:rPr>
        <w:t xml:space="preserve"> </w:t>
      </w:r>
      <w:r w:rsidRPr="002B40A1">
        <w:rPr>
          <w:sz w:val="28"/>
          <w:szCs w:val="28"/>
        </w:rPr>
        <w:t xml:space="preserve">6430 </w:t>
      </w:r>
      <w:proofErr w:type="spellStart"/>
      <w:r w:rsidRPr="002B40A1">
        <w:rPr>
          <w:i/>
          <w:sz w:val="28"/>
          <w:szCs w:val="28"/>
        </w:rPr>
        <w:t>Eitrofas</w:t>
      </w:r>
      <w:proofErr w:type="spellEnd"/>
      <w:r w:rsidRPr="002B40A1">
        <w:rPr>
          <w:i/>
          <w:sz w:val="28"/>
          <w:szCs w:val="28"/>
        </w:rPr>
        <w:t xml:space="preserve"> augsto lakstaugu audzes </w:t>
      </w:r>
      <w:r w:rsidRPr="002B40A1">
        <w:rPr>
          <w:sz w:val="28"/>
          <w:szCs w:val="28"/>
        </w:rPr>
        <w:t xml:space="preserve">aizsardzībai, bet teritorijā sastopams arī </w:t>
      </w:r>
      <w:r w:rsidR="00F0711C" w:rsidRPr="002B40A1">
        <w:rPr>
          <w:sz w:val="28"/>
          <w:szCs w:val="28"/>
        </w:rPr>
        <w:t>ES</w:t>
      </w:r>
      <w:r w:rsidRPr="002B40A1">
        <w:rPr>
          <w:sz w:val="28"/>
          <w:szCs w:val="28"/>
        </w:rPr>
        <w:t xml:space="preserve"> nozīmes īpaši aizsargājams biotops 6450 </w:t>
      </w:r>
      <w:r w:rsidRPr="002B40A1">
        <w:rPr>
          <w:i/>
          <w:sz w:val="28"/>
          <w:szCs w:val="28"/>
        </w:rPr>
        <w:t xml:space="preserve">Palieņu zālāji, </w:t>
      </w:r>
      <w:r w:rsidRPr="002B40A1">
        <w:rPr>
          <w:sz w:val="28"/>
          <w:szCs w:val="28"/>
        </w:rPr>
        <w:t>kas kopā veido izcilu teritoriju reto putnu ligzdošanai un atpūtai migrācijas laikā. Saskaņā</w:t>
      </w:r>
      <w:r w:rsidRPr="007A7643">
        <w:rPr>
          <w:sz w:val="28"/>
          <w:szCs w:val="28"/>
        </w:rPr>
        <w:t xml:space="preserve"> ar </w:t>
      </w:r>
      <w:proofErr w:type="spellStart"/>
      <w:r w:rsidRPr="007A7643">
        <w:rPr>
          <w:sz w:val="28"/>
          <w:szCs w:val="28"/>
        </w:rPr>
        <w:t>Natura</w:t>
      </w:r>
      <w:proofErr w:type="spellEnd"/>
      <w:r w:rsidRPr="007A7643">
        <w:rPr>
          <w:sz w:val="28"/>
          <w:szCs w:val="28"/>
        </w:rPr>
        <w:t xml:space="preserve"> 2000 teritorijas standarta datu form</w:t>
      </w:r>
      <w:r w:rsidR="00B17168" w:rsidRPr="007A7643">
        <w:rPr>
          <w:sz w:val="28"/>
          <w:szCs w:val="28"/>
        </w:rPr>
        <w:t>as 4.2. </w:t>
      </w:r>
      <w:r w:rsidR="00AB073E">
        <w:rPr>
          <w:sz w:val="28"/>
          <w:szCs w:val="28"/>
        </w:rPr>
        <w:t>apakš</w:t>
      </w:r>
      <w:r w:rsidR="00B17168" w:rsidRPr="007A7643">
        <w:rPr>
          <w:sz w:val="28"/>
          <w:szCs w:val="28"/>
        </w:rPr>
        <w:t>punktu</w:t>
      </w:r>
      <w:r w:rsidRPr="007A7643">
        <w:rPr>
          <w:sz w:val="28"/>
          <w:szCs w:val="28"/>
        </w:rPr>
        <w:t xml:space="preserve"> Dabas liegums </w:t>
      </w:r>
      <w:proofErr w:type="spellStart"/>
      <w:r w:rsidRPr="007A7643">
        <w:rPr>
          <w:sz w:val="28"/>
          <w:szCs w:val="28"/>
        </w:rPr>
        <w:t>Natura</w:t>
      </w:r>
      <w:proofErr w:type="spellEnd"/>
      <w:r w:rsidRPr="007A7643">
        <w:rPr>
          <w:sz w:val="28"/>
          <w:szCs w:val="28"/>
        </w:rPr>
        <w:t xml:space="preserve"> 2000 teritoriju tīklā ir īpaši nozīmīgs griezes (</w:t>
      </w:r>
      <w:proofErr w:type="spellStart"/>
      <w:r w:rsidRPr="007A7643">
        <w:rPr>
          <w:i/>
          <w:sz w:val="28"/>
          <w:szCs w:val="28"/>
        </w:rPr>
        <w:t>Crex</w:t>
      </w:r>
      <w:proofErr w:type="spellEnd"/>
      <w:r w:rsidRPr="007A7643">
        <w:rPr>
          <w:i/>
          <w:sz w:val="28"/>
          <w:szCs w:val="28"/>
        </w:rPr>
        <w:t xml:space="preserve"> </w:t>
      </w:r>
      <w:proofErr w:type="spellStart"/>
      <w:r w:rsidRPr="007A7643">
        <w:rPr>
          <w:i/>
          <w:sz w:val="28"/>
          <w:szCs w:val="28"/>
        </w:rPr>
        <w:t>crex</w:t>
      </w:r>
      <w:proofErr w:type="spellEnd"/>
      <w:r w:rsidRPr="007A7643">
        <w:rPr>
          <w:sz w:val="28"/>
          <w:szCs w:val="28"/>
        </w:rPr>
        <w:t xml:space="preserve">), melnās </w:t>
      </w:r>
      <w:proofErr w:type="spellStart"/>
      <w:r w:rsidRPr="007A7643">
        <w:rPr>
          <w:sz w:val="28"/>
          <w:szCs w:val="28"/>
        </w:rPr>
        <w:t>pusk</w:t>
      </w:r>
      <w:r w:rsidR="000F2294">
        <w:rPr>
          <w:sz w:val="28"/>
          <w:szCs w:val="28"/>
        </w:rPr>
        <w:t>u</w:t>
      </w:r>
      <w:r w:rsidRPr="007A7643">
        <w:rPr>
          <w:sz w:val="28"/>
          <w:szCs w:val="28"/>
        </w:rPr>
        <w:t>italas</w:t>
      </w:r>
      <w:proofErr w:type="spellEnd"/>
      <w:r w:rsidRPr="007A7643">
        <w:rPr>
          <w:sz w:val="28"/>
          <w:szCs w:val="28"/>
        </w:rPr>
        <w:t xml:space="preserve"> (</w:t>
      </w:r>
      <w:proofErr w:type="spellStart"/>
      <w:r w:rsidR="000F2294" w:rsidRPr="000F2294">
        <w:rPr>
          <w:i/>
          <w:sz w:val="28"/>
          <w:szCs w:val="28"/>
        </w:rPr>
        <w:t>L</w:t>
      </w:r>
      <w:r w:rsidRPr="007A7643">
        <w:rPr>
          <w:i/>
          <w:sz w:val="28"/>
          <w:szCs w:val="28"/>
        </w:rPr>
        <w:t>imosa</w:t>
      </w:r>
      <w:proofErr w:type="spellEnd"/>
      <w:r w:rsidRPr="007A7643">
        <w:rPr>
          <w:i/>
          <w:sz w:val="28"/>
          <w:szCs w:val="28"/>
        </w:rPr>
        <w:t xml:space="preserve"> </w:t>
      </w:r>
      <w:proofErr w:type="spellStart"/>
      <w:r w:rsidRPr="007A7643">
        <w:rPr>
          <w:i/>
          <w:sz w:val="28"/>
          <w:szCs w:val="28"/>
        </w:rPr>
        <w:t>limosa</w:t>
      </w:r>
      <w:proofErr w:type="spellEnd"/>
      <w:r w:rsidRPr="007A7643">
        <w:rPr>
          <w:sz w:val="28"/>
          <w:szCs w:val="28"/>
        </w:rPr>
        <w:t>), pļavu tilbītes (</w:t>
      </w:r>
      <w:proofErr w:type="spellStart"/>
      <w:r w:rsidRPr="007A7643">
        <w:rPr>
          <w:i/>
          <w:sz w:val="28"/>
          <w:szCs w:val="28"/>
        </w:rPr>
        <w:t>Triga</w:t>
      </w:r>
      <w:proofErr w:type="spellEnd"/>
      <w:r w:rsidRPr="007A7643">
        <w:rPr>
          <w:i/>
          <w:sz w:val="28"/>
          <w:szCs w:val="28"/>
        </w:rPr>
        <w:t xml:space="preserve"> </w:t>
      </w:r>
      <w:proofErr w:type="spellStart"/>
      <w:r w:rsidRPr="007A7643">
        <w:rPr>
          <w:i/>
          <w:sz w:val="28"/>
          <w:szCs w:val="28"/>
        </w:rPr>
        <w:t>totanus</w:t>
      </w:r>
      <w:proofErr w:type="spellEnd"/>
      <w:r w:rsidRPr="007A7643">
        <w:rPr>
          <w:sz w:val="28"/>
          <w:szCs w:val="28"/>
        </w:rPr>
        <w:t>), kā arī citu putnu sugu aizsardzībai.</w:t>
      </w:r>
      <w:r w:rsidR="00F0711C" w:rsidRPr="007A7643">
        <w:rPr>
          <w:sz w:val="28"/>
          <w:szCs w:val="28"/>
        </w:rPr>
        <w:t xml:space="preserve"> </w:t>
      </w:r>
    </w:p>
    <w:p w14:paraId="61B22FB8" w14:textId="77777777" w:rsidR="00BF2FCA" w:rsidRPr="007A7643" w:rsidRDefault="00F0711C" w:rsidP="000D2BDE">
      <w:pPr>
        <w:spacing w:before="120" w:after="0" w:line="240" w:lineRule="auto"/>
        <w:ind w:right="-483" w:firstLine="851"/>
        <w:jc w:val="both"/>
        <w:rPr>
          <w:sz w:val="28"/>
          <w:szCs w:val="28"/>
        </w:rPr>
      </w:pPr>
      <w:proofErr w:type="spellStart"/>
      <w:r w:rsidRPr="007A7643">
        <w:rPr>
          <w:sz w:val="28"/>
          <w:szCs w:val="28"/>
        </w:rPr>
        <w:t>Natura</w:t>
      </w:r>
      <w:proofErr w:type="spellEnd"/>
      <w:r w:rsidRPr="007A7643">
        <w:rPr>
          <w:sz w:val="28"/>
          <w:szCs w:val="28"/>
        </w:rPr>
        <w:t xml:space="preserve"> 2000 teritorijas </w:t>
      </w:r>
      <w:r w:rsidRPr="002B40A1">
        <w:rPr>
          <w:sz w:val="28"/>
          <w:szCs w:val="28"/>
        </w:rPr>
        <w:t>ekoloģisko integritāti nodrošina lielās zālāju platības, no kurām lielākā daļa ir ES nozīmes aizsargājamie zālāju biotopi un kuras piemērotas putnu ligzdošanas un barošanās vajadzībām, kā arī atpūtai migrācijas laikā.</w:t>
      </w:r>
      <w:r w:rsidR="00B17168" w:rsidRPr="002B40A1">
        <w:rPr>
          <w:sz w:val="28"/>
          <w:szCs w:val="28"/>
        </w:rPr>
        <w:t xml:space="preserve"> </w:t>
      </w:r>
      <w:r w:rsidR="00BF2FCA" w:rsidRPr="002B40A1">
        <w:rPr>
          <w:rFonts w:eastAsia="Cambria"/>
          <w:sz w:val="28"/>
          <w:szCs w:val="28"/>
          <w:lang w:eastAsia="es-ES"/>
        </w:rPr>
        <w:t>Dabas liegumam gan atsevišķi</w:t>
      </w:r>
      <w:r w:rsidR="00BF2FCA" w:rsidRPr="007A7643">
        <w:rPr>
          <w:rFonts w:eastAsia="Cambria"/>
          <w:sz w:val="28"/>
          <w:szCs w:val="28"/>
          <w:lang w:eastAsia="es-ES"/>
        </w:rPr>
        <w:t>, gan kopā ar tam pieguļošo dabas parku “</w:t>
      </w:r>
      <w:r w:rsidR="00BF2FCA" w:rsidRPr="007A7643">
        <w:rPr>
          <w:rFonts w:eastAsia="Cambria"/>
          <w:i/>
          <w:sz w:val="28"/>
          <w:szCs w:val="28"/>
          <w:lang w:eastAsia="es-ES"/>
        </w:rPr>
        <w:t>Svētes paliene</w:t>
      </w:r>
      <w:r w:rsidR="00BF2FCA" w:rsidRPr="007A7643">
        <w:rPr>
          <w:rFonts w:eastAsia="Cambria"/>
          <w:sz w:val="28"/>
          <w:szCs w:val="28"/>
          <w:lang w:eastAsia="es-ES"/>
        </w:rPr>
        <w:t xml:space="preserve">” ir būtiska nozīme dabiskās Lielupes palienes un tai raksturīgo augu un dzīvnieku sabiedrību saglabāšanā </w:t>
      </w:r>
      <w:proofErr w:type="spellStart"/>
      <w:r w:rsidR="00BF2FCA" w:rsidRPr="007A7643">
        <w:rPr>
          <w:rFonts w:eastAsia="Cambria"/>
          <w:sz w:val="28"/>
          <w:szCs w:val="28"/>
          <w:lang w:eastAsia="es-ES"/>
        </w:rPr>
        <w:t>bioģeogrāfiskajā</w:t>
      </w:r>
      <w:proofErr w:type="spellEnd"/>
      <w:r w:rsidR="00BF2FCA" w:rsidRPr="007A7643">
        <w:rPr>
          <w:rFonts w:eastAsia="Cambria"/>
          <w:sz w:val="28"/>
          <w:szCs w:val="28"/>
          <w:lang w:eastAsia="es-ES"/>
        </w:rPr>
        <w:t xml:space="preserve"> (Zemgales) reģionā, jo Lielupes paliene tiek izmantota intensīvajā lauksaimniecībā un nenodrošina būtiskas platības ne ES nozīmes zālāju biotopu pastāvēšanai, ne zālājos dzīvojošo putnu ligzdošanai.</w:t>
      </w:r>
    </w:p>
    <w:p w14:paraId="0BDD7ECA" w14:textId="77777777" w:rsidR="005E4E9C" w:rsidRPr="007A7643" w:rsidRDefault="00A2163E" w:rsidP="000D2BDE">
      <w:pPr>
        <w:spacing w:before="120" w:after="0" w:line="240" w:lineRule="auto"/>
        <w:ind w:right="-483" w:firstLine="851"/>
        <w:jc w:val="both"/>
        <w:rPr>
          <w:sz w:val="28"/>
          <w:szCs w:val="28"/>
        </w:rPr>
      </w:pPr>
      <w:r w:rsidRPr="007A7643">
        <w:rPr>
          <w:sz w:val="28"/>
          <w:szCs w:val="28"/>
        </w:rPr>
        <w:t>Dabas liegum</w:t>
      </w:r>
      <w:r w:rsidR="005E4E9C" w:rsidRPr="007A7643">
        <w:rPr>
          <w:sz w:val="28"/>
          <w:szCs w:val="28"/>
        </w:rPr>
        <w:t>a</w:t>
      </w:r>
      <w:r w:rsidRPr="007A7643">
        <w:rPr>
          <w:sz w:val="28"/>
          <w:szCs w:val="28"/>
        </w:rPr>
        <w:t xml:space="preserve"> </w:t>
      </w:r>
      <w:r w:rsidR="005E4E9C" w:rsidRPr="007A7643">
        <w:rPr>
          <w:sz w:val="28"/>
          <w:szCs w:val="28"/>
        </w:rPr>
        <w:t>kopējā platība ir 364 ha</w:t>
      </w:r>
      <w:r w:rsidR="005E4E9C" w:rsidRPr="007A7643">
        <w:rPr>
          <w:rStyle w:val="FootnoteReference"/>
          <w:sz w:val="28"/>
          <w:szCs w:val="28"/>
        </w:rPr>
        <w:footnoteReference w:id="12"/>
      </w:r>
      <w:r w:rsidR="005E4E9C" w:rsidRPr="007A7643">
        <w:rPr>
          <w:sz w:val="28"/>
          <w:szCs w:val="28"/>
        </w:rPr>
        <w:t xml:space="preserve">, to </w:t>
      </w:r>
      <w:r w:rsidRPr="007A7643">
        <w:rPr>
          <w:sz w:val="28"/>
          <w:szCs w:val="28"/>
        </w:rPr>
        <w:t xml:space="preserve">veido četras </w:t>
      </w:r>
      <w:r w:rsidR="005E4E9C" w:rsidRPr="007A7643">
        <w:rPr>
          <w:sz w:val="28"/>
          <w:szCs w:val="28"/>
        </w:rPr>
        <w:t xml:space="preserve">ekoloģiski vienotas </w:t>
      </w:r>
      <w:r w:rsidRPr="007A7643">
        <w:rPr>
          <w:sz w:val="28"/>
          <w:szCs w:val="28"/>
        </w:rPr>
        <w:t>teritorijas, kas savstarpēji nerobežojas, Jelgavas pilsētas, Ozolnieku novada un Jelgavas novada administratīvajā</w:t>
      </w:r>
      <w:r w:rsidR="005E4E9C" w:rsidRPr="007A7643">
        <w:rPr>
          <w:sz w:val="28"/>
          <w:szCs w:val="28"/>
        </w:rPr>
        <w:t>s</w:t>
      </w:r>
      <w:r w:rsidRPr="007A7643">
        <w:rPr>
          <w:sz w:val="28"/>
          <w:szCs w:val="28"/>
        </w:rPr>
        <w:t xml:space="preserve"> teritorijā</w:t>
      </w:r>
      <w:r w:rsidR="005E4E9C" w:rsidRPr="007A7643">
        <w:rPr>
          <w:sz w:val="28"/>
          <w:szCs w:val="28"/>
        </w:rPr>
        <w:t>s</w:t>
      </w:r>
      <w:r w:rsidR="00610632" w:rsidRPr="007A7643">
        <w:rPr>
          <w:sz w:val="28"/>
          <w:szCs w:val="28"/>
        </w:rPr>
        <w:t xml:space="preserve">. </w:t>
      </w:r>
      <w:r w:rsidRPr="007A7643">
        <w:rPr>
          <w:sz w:val="28"/>
          <w:szCs w:val="28"/>
        </w:rPr>
        <w:t>I teritorija</w:t>
      </w:r>
      <w:r w:rsidR="00164D78" w:rsidRPr="007A7643">
        <w:rPr>
          <w:sz w:val="28"/>
          <w:szCs w:val="28"/>
        </w:rPr>
        <w:t>s platība ir</w:t>
      </w:r>
      <w:r w:rsidRPr="007A7643">
        <w:rPr>
          <w:sz w:val="28"/>
          <w:szCs w:val="28"/>
        </w:rPr>
        <w:t xml:space="preserve"> </w:t>
      </w:r>
      <w:r w:rsidR="00164D78" w:rsidRPr="007A7643">
        <w:rPr>
          <w:rFonts w:eastAsia="Cambria"/>
          <w:sz w:val="28"/>
          <w:szCs w:val="28"/>
        </w:rPr>
        <w:t>218 h</w:t>
      </w:r>
      <w:r w:rsidR="00164D78" w:rsidRPr="007A7643">
        <w:rPr>
          <w:sz w:val="28"/>
          <w:szCs w:val="28"/>
        </w:rPr>
        <w:t xml:space="preserve">a un tā </w:t>
      </w:r>
      <w:r w:rsidR="00366E0D" w:rsidRPr="007A7643">
        <w:rPr>
          <w:sz w:val="28"/>
          <w:szCs w:val="28"/>
        </w:rPr>
        <w:t xml:space="preserve">atrodas Jelgavas pilsētā, </w:t>
      </w:r>
      <w:proofErr w:type="spellStart"/>
      <w:r w:rsidRPr="007A7643">
        <w:rPr>
          <w:sz w:val="28"/>
          <w:szCs w:val="28"/>
        </w:rPr>
        <w:t>Pilssalā</w:t>
      </w:r>
      <w:proofErr w:type="spellEnd"/>
      <w:r w:rsidRPr="007A7643">
        <w:rPr>
          <w:sz w:val="28"/>
          <w:szCs w:val="28"/>
        </w:rPr>
        <w:t xml:space="preserve"> un Lielupes labajā krastā</w:t>
      </w:r>
      <w:r w:rsidR="00164D78" w:rsidRPr="007A7643">
        <w:rPr>
          <w:sz w:val="28"/>
          <w:szCs w:val="28"/>
        </w:rPr>
        <w:t>.</w:t>
      </w:r>
      <w:r w:rsidRPr="007A7643">
        <w:rPr>
          <w:sz w:val="28"/>
          <w:szCs w:val="28"/>
        </w:rPr>
        <w:t xml:space="preserve"> II teritorija</w:t>
      </w:r>
      <w:r w:rsidR="00164D78" w:rsidRPr="007A7643">
        <w:rPr>
          <w:sz w:val="28"/>
          <w:szCs w:val="28"/>
        </w:rPr>
        <w:t>s platība ir 55 ha un tā</w:t>
      </w:r>
      <w:r w:rsidRPr="007A7643">
        <w:rPr>
          <w:sz w:val="28"/>
          <w:szCs w:val="28"/>
        </w:rPr>
        <w:t xml:space="preserve"> </w:t>
      </w:r>
      <w:r w:rsidR="00366E0D" w:rsidRPr="007A7643">
        <w:rPr>
          <w:sz w:val="28"/>
          <w:szCs w:val="28"/>
        </w:rPr>
        <w:t xml:space="preserve">atrodas Jelgavas pilsētā, </w:t>
      </w:r>
      <w:r w:rsidRPr="007A7643">
        <w:rPr>
          <w:sz w:val="28"/>
          <w:szCs w:val="28"/>
        </w:rPr>
        <w:t>Lielupes kreisajā krastā starp Platones un Vircavas ieteku</w:t>
      </w:r>
      <w:r w:rsidR="00164D78" w:rsidRPr="007A7643">
        <w:rPr>
          <w:sz w:val="28"/>
          <w:szCs w:val="28"/>
        </w:rPr>
        <w:t xml:space="preserve">. </w:t>
      </w:r>
      <w:r w:rsidRPr="007A7643">
        <w:rPr>
          <w:sz w:val="28"/>
          <w:szCs w:val="28"/>
        </w:rPr>
        <w:t>III teritorija</w:t>
      </w:r>
      <w:r w:rsidR="00164D78" w:rsidRPr="007A7643">
        <w:rPr>
          <w:sz w:val="28"/>
          <w:szCs w:val="28"/>
        </w:rPr>
        <w:t xml:space="preserve">s platība ir 25 ha un tā </w:t>
      </w:r>
      <w:r w:rsidR="00366E0D" w:rsidRPr="007A7643">
        <w:rPr>
          <w:sz w:val="28"/>
          <w:szCs w:val="28"/>
        </w:rPr>
        <w:t xml:space="preserve">atrodas Ozolnieku novada Cenu pagastā, </w:t>
      </w:r>
      <w:r w:rsidRPr="007A7643">
        <w:rPr>
          <w:sz w:val="28"/>
          <w:szCs w:val="28"/>
        </w:rPr>
        <w:t>Lielupes labajā krastā pie Senču dīķiem</w:t>
      </w:r>
      <w:r w:rsidR="00164D78" w:rsidRPr="007A7643">
        <w:rPr>
          <w:sz w:val="28"/>
          <w:szCs w:val="28"/>
        </w:rPr>
        <w:t xml:space="preserve">. </w:t>
      </w:r>
      <w:r w:rsidRPr="007A7643">
        <w:rPr>
          <w:sz w:val="28"/>
          <w:szCs w:val="28"/>
        </w:rPr>
        <w:t>IV teritorija</w:t>
      </w:r>
      <w:r w:rsidR="00164D78" w:rsidRPr="007A7643">
        <w:rPr>
          <w:sz w:val="28"/>
          <w:szCs w:val="28"/>
        </w:rPr>
        <w:t xml:space="preserve">s platība ir 66 ha un tā </w:t>
      </w:r>
      <w:r w:rsidR="00366E0D" w:rsidRPr="007A7643">
        <w:rPr>
          <w:sz w:val="28"/>
          <w:szCs w:val="28"/>
        </w:rPr>
        <w:t xml:space="preserve">atrodas Jelgavas novada Jaunsvirlaukas pagastā, </w:t>
      </w:r>
      <w:r w:rsidRPr="007A7643">
        <w:rPr>
          <w:sz w:val="28"/>
          <w:szCs w:val="28"/>
        </w:rPr>
        <w:t>Lielupes kreisajā krastā lejpus Sesavas ietekai.</w:t>
      </w:r>
      <w:r w:rsidR="00164D78" w:rsidRPr="007A7643">
        <w:rPr>
          <w:sz w:val="28"/>
          <w:szCs w:val="28"/>
        </w:rPr>
        <w:t xml:space="preserve"> </w:t>
      </w:r>
    </w:p>
    <w:p w14:paraId="4B55AFCC" w14:textId="468CD77F" w:rsidR="005E4E9C" w:rsidRPr="007A7643" w:rsidRDefault="001E0ADC" w:rsidP="000D2BDE">
      <w:pPr>
        <w:spacing w:before="120" w:after="0" w:line="240" w:lineRule="auto"/>
        <w:ind w:right="-483" w:firstLine="851"/>
        <w:jc w:val="both"/>
        <w:rPr>
          <w:sz w:val="28"/>
          <w:szCs w:val="28"/>
        </w:rPr>
      </w:pPr>
      <w:r w:rsidRPr="007A7643">
        <w:rPr>
          <w:rFonts w:eastAsia="Cambria"/>
          <w:sz w:val="28"/>
          <w:szCs w:val="28"/>
        </w:rPr>
        <w:t xml:space="preserve">Plānotais tilts pār Lielupi un </w:t>
      </w:r>
      <w:proofErr w:type="spellStart"/>
      <w:r w:rsidRPr="007A7643">
        <w:rPr>
          <w:rFonts w:eastAsia="Cambria"/>
          <w:sz w:val="28"/>
          <w:szCs w:val="28"/>
        </w:rPr>
        <w:t>Driksas</w:t>
      </w:r>
      <w:proofErr w:type="spellEnd"/>
      <w:r w:rsidRPr="007A7643">
        <w:rPr>
          <w:rFonts w:eastAsia="Cambria"/>
          <w:sz w:val="28"/>
          <w:szCs w:val="28"/>
        </w:rPr>
        <w:t xml:space="preserve"> upi</w:t>
      </w:r>
      <w:r w:rsidRPr="007A7643">
        <w:rPr>
          <w:sz w:val="28"/>
          <w:szCs w:val="28"/>
        </w:rPr>
        <w:t xml:space="preserve"> </w:t>
      </w:r>
      <w:r w:rsidR="00164D78" w:rsidRPr="007A7643">
        <w:rPr>
          <w:sz w:val="28"/>
          <w:szCs w:val="28"/>
        </w:rPr>
        <w:t xml:space="preserve">paredzēts, </w:t>
      </w:r>
      <w:r w:rsidRPr="007A7643">
        <w:rPr>
          <w:sz w:val="28"/>
          <w:szCs w:val="28"/>
        </w:rPr>
        <w:t>šķērso</w:t>
      </w:r>
      <w:r w:rsidR="00164D78" w:rsidRPr="007A7643">
        <w:rPr>
          <w:sz w:val="28"/>
          <w:szCs w:val="28"/>
        </w:rPr>
        <w:t>jot</w:t>
      </w:r>
      <w:r w:rsidRPr="007A7643">
        <w:rPr>
          <w:sz w:val="28"/>
          <w:szCs w:val="28"/>
        </w:rPr>
        <w:t xml:space="preserve"> dabas lieguma </w:t>
      </w:r>
      <w:r w:rsidRPr="007A7643">
        <w:rPr>
          <w:rFonts w:eastAsia="Cambria"/>
          <w:sz w:val="28"/>
          <w:szCs w:val="28"/>
        </w:rPr>
        <w:t>I</w:t>
      </w:r>
      <w:r w:rsidR="00AB073E">
        <w:rPr>
          <w:rFonts w:eastAsia="Cambria"/>
          <w:sz w:val="28"/>
          <w:szCs w:val="28"/>
        </w:rPr>
        <w:t> </w:t>
      </w:r>
      <w:r w:rsidRPr="007A7643">
        <w:rPr>
          <w:rFonts w:eastAsia="Cambria"/>
          <w:sz w:val="28"/>
          <w:szCs w:val="28"/>
        </w:rPr>
        <w:t>teritoriju.</w:t>
      </w:r>
      <w:r w:rsidR="00B17168" w:rsidRPr="007A7643">
        <w:rPr>
          <w:sz w:val="28"/>
          <w:szCs w:val="28"/>
        </w:rPr>
        <w:t xml:space="preserve"> </w:t>
      </w:r>
      <w:proofErr w:type="spellStart"/>
      <w:r w:rsidR="001624B9" w:rsidRPr="007A7643">
        <w:rPr>
          <w:sz w:val="28"/>
          <w:szCs w:val="28"/>
        </w:rPr>
        <w:t>Natura</w:t>
      </w:r>
      <w:proofErr w:type="spellEnd"/>
      <w:r w:rsidR="001624B9" w:rsidRPr="007A7643">
        <w:rPr>
          <w:sz w:val="28"/>
          <w:szCs w:val="28"/>
        </w:rPr>
        <w:t xml:space="preserve"> 2000 teritorijas </w:t>
      </w:r>
      <w:r w:rsidR="000F2294">
        <w:rPr>
          <w:sz w:val="28"/>
          <w:szCs w:val="28"/>
        </w:rPr>
        <w:t xml:space="preserve">shēma </w:t>
      </w:r>
      <w:r w:rsidR="001624B9" w:rsidRPr="007A7643">
        <w:rPr>
          <w:sz w:val="28"/>
          <w:szCs w:val="28"/>
        </w:rPr>
        <w:t>pievienota informatīvā ziņojuma 1. pielikumā.</w:t>
      </w:r>
    </w:p>
    <w:p w14:paraId="31460997" w14:textId="77777777" w:rsidR="00B17168" w:rsidRPr="007A7643" w:rsidRDefault="00B17168" w:rsidP="007A7643">
      <w:pPr>
        <w:spacing w:before="120" w:after="0" w:line="240" w:lineRule="auto"/>
        <w:ind w:right="-483"/>
        <w:jc w:val="both"/>
        <w:rPr>
          <w:sz w:val="28"/>
          <w:szCs w:val="28"/>
        </w:rPr>
      </w:pPr>
    </w:p>
    <w:p w14:paraId="66EAAF95" w14:textId="77777777" w:rsidR="001E0ADC" w:rsidRPr="007A7643" w:rsidRDefault="007A0E92" w:rsidP="007A7643">
      <w:pPr>
        <w:pStyle w:val="tv213"/>
        <w:shd w:val="clear" w:color="auto" w:fill="FFFFFF"/>
        <w:spacing w:before="120" w:beforeAutospacing="0" w:after="0" w:afterAutospacing="0"/>
        <w:ind w:left="601" w:right="-483"/>
        <w:jc w:val="center"/>
        <w:rPr>
          <w:b/>
          <w:sz w:val="28"/>
          <w:szCs w:val="28"/>
        </w:rPr>
      </w:pPr>
      <w:r w:rsidRPr="007A7643">
        <w:rPr>
          <w:b/>
          <w:sz w:val="28"/>
          <w:szCs w:val="28"/>
        </w:rPr>
        <w:t>4. </w:t>
      </w:r>
      <w:r w:rsidR="001E0ADC" w:rsidRPr="007A7643">
        <w:rPr>
          <w:b/>
          <w:sz w:val="28"/>
          <w:szCs w:val="28"/>
        </w:rPr>
        <w:t>K</w:t>
      </w:r>
      <w:r w:rsidR="00E336D5" w:rsidRPr="007A7643">
        <w:rPr>
          <w:b/>
          <w:sz w:val="28"/>
          <w:szCs w:val="28"/>
        </w:rPr>
        <w:t>opsavilkums par paredzēto darbību</w:t>
      </w:r>
    </w:p>
    <w:p w14:paraId="545EDD24" w14:textId="63E4D0AA" w:rsidR="00F4365D" w:rsidRPr="007A7643" w:rsidRDefault="00B12086" w:rsidP="000D2BDE">
      <w:pPr>
        <w:spacing w:before="120" w:after="0" w:line="240" w:lineRule="auto"/>
        <w:ind w:right="-483" w:firstLine="851"/>
        <w:jc w:val="both"/>
        <w:rPr>
          <w:sz w:val="28"/>
          <w:szCs w:val="28"/>
        </w:rPr>
      </w:pPr>
      <w:r w:rsidRPr="007A7643">
        <w:rPr>
          <w:sz w:val="28"/>
          <w:szCs w:val="28"/>
        </w:rPr>
        <w:t xml:space="preserve">Paredzētā darbība ir transporta pārvada (tilta) pār Lielupi un </w:t>
      </w:r>
      <w:proofErr w:type="spellStart"/>
      <w:r w:rsidRPr="007A7643">
        <w:rPr>
          <w:sz w:val="28"/>
          <w:szCs w:val="28"/>
        </w:rPr>
        <w:t>Driksas</w:t>
      </w:r>
      <w:proofErr w:type="spellEnd"/>
      <w:r w:rsidRPr="007A7643">
        <w:rPr>
          <w:sz w:val="28"/>
          <w:szCs w:val="28"/>
        </w:rPr>
        <w:t xml:space="preserve"> upi, kā arī </w:t>
      </w:r>
      <w:proofErr w:type="spellStart"/>
      <w:r w:rsidRPr="007A7643">
        <w:rPr>
          <w:sz w:val="28"/>
          <w:szCs w:val="28"/>
        </w:rPr>
        <w:t>pieslēgumu</w:t>
      </w:r>
      <w:proofErr w:type="spellEnd"/>
      <w:r w:rsidRPr="007A7643">
        <w:rPr>
          <w:sz w:val="28"/>
          <w:szCs w:val="28"/>
        </w:rPr>
        <w:t xml:space="preserve"> esošajām ielām izbūve Jelgavas pilsētas</w:t>
      </w:r>
      <w:r w:rsidRPr="007A7643">
        <w:rPr>
          <w:rFonts w:eastAsia="Cambria"/>
          <w:sz w:val="28"/>
          <w:szCs w:val="28"/>
        </w:rPr>
        <w:t xml:space="preserve"> ziemeļu daļā</w:t>
      </w:r>
      <w:r w:rsidRPr="007A7643">
        <w:rPr>
          <w:sz w:val="28"/>
          <w:szCs w:val="28"/>
        </w:rPr>
        <w:t xml:space="preserve">. </w:t>
      </w:r>
      <w:r w:rsidR="00F4365D" w:rsidRPr="007A7643">
        <w:rPr>
          <w:sz w:val="28"/>
          <w:szCs w:val="28"/>
        </w:rPr>
        <w:t>Jelgava ir ceturtā lielākā Latvijas pilsēta pēc iedzīvotāju skaita (56 383) un piektā pēc platības (60,3</w:t>
      </w:r>
      <w:r w:rsidR="004E062B" w:rsidRPr="007A7643">
        <w:rPr>
          <w:sz w:val="28"/>
          <w:szCs w:val="28"/>
        </w:rPr>
        <w:t> </w:t>
      </w:r>
      <w:r w:rsidR="00F4365D" w:rsidRPr="007A7643">
        <w:rPr>
          <w:sz w:val="28"/>
          <w:szCs w:val="28"/>
        </w:rPr>
        <w:t>km</w:t>
      </w:r>
      <w:r w:rsidR="00F4365D" w:rsidRPr="007A7643">
        <w:rPr>
          <w:sz w:val="28"/>
          <w:szCs w:val="28"/>
          <w:vertAlign w:val="superscript"/>
        </w:rPr>
        <w:t>2</w:t>
      </w:r>
      <w:r w:rsidR="00F4365D" w:rsidRPr="007A7643">
        <w:rPr>
          <w:sz w:val="28"/>
          <w:szCs w:val="28"/>
        </w:rPr>
        <w:t>)</w:t>
      </w:r>
      <w:r w:rsidR="00F4365D" w:rsidRPr="007A7643">
        <w:rPr>
          <w:sz w:val="28"/>
          <w:szCs w:val="28"/>
          <w:vertAlign w:val="superscript"/>
        </w:rPr>
        <w:footnoteReference w:id="13"/>
      </w:r>
      <w:r w:rsidR="00F4365D" w:rsidRPr="007A7643">
        <w:rPr>
          <w:sz w:val="28"/>
          <w:szCs w:val="28"/>
        </w:rPr>
        <w:t xml:space="preserve">. Pilsēta </w:t>
      </w:r>
      <w:r w:rsidRPr="007A7643">
        <w:rPr>
          <w:sz w:val="28"/>
          <w:szCs w:val="28"/>
        </w:rPr>
        <w:t xml:space="preserve">izvietota pie TN-T autoceļu tīkla </w:t>
      </w:r>
      <w:r w:rsidR="00F4365D" w:rsidRPr="007A7643">
        <w:rPr>
          <w:sz w:val="28"/>
          <w:szCs w:val="28"/>
        </w:rPr>
        <w:t>Latvijas centrālajā daļā, 42 km attālumā no Rīgas un 34 km attālumā no Lietuvas robežas</w:t>
      </w:r>
      <w:r w:rsidRPr="007A7643">
        <w:rPr>
          <w:sz w:val="28"/>
          <w:szCs w:val="28"/>
        </w:rPr>
        <w:t>.</w:t>
      </w:r>
    </w:p>
    <w:p w14:paraId="56568B23" w14:textId="778B8ADD" w:rsidR="001624B9" w:rsidRPr="007A7643" w:rsidRDefault="00B12086" w:rsidP="000D2BDE">
      <w:pPr>
        <w:spacing w:before="120" w:after="0" w:line="240" w:lineRule="auto"/>
        <w:ind w:right="-483" w:firstLine="851"/>
        <w:jc w:val="both"/>
        <w:rPr>
          <w:rFonts w:eastAsia="Cambria"/>
          <w:sz w:val="28"/>
          <w:szCs w:val="28"/>
        </w:rPr>
      </w:pPr>
      <w:r w:rsidRPr="007A7643">
        <w:rPr>
          <w:sz w:val="28"/>
          <w:szCs w:val="28"/>
        </w:rPr>
        <w:lastRenderedPageBreak/>
        <w:t xml:space="preserve">Ar Paredzēto darbību paredzēts nodrošināt papildus šķērsojumu pār Lielupi un </w:t>
      </w:r>
      <w:proofErr w:type="spellStart"/>
      <w:r w:rsidRPr="007A7643">
        <w:rPr>
          <w:sz w:val="28"/>
          <w:szCs w:val="28"/>
        </w:rPr>
        <w:t>Driksas</w:t>
      </w:r>
      <w:proofErr w:type="spellEnd"/>
      <w:r w:rsidRPr="007A7643">
        <w:rPr>
          <w:sz w:val="28"/>
          <w:szCs w:val="28"/>
        </w:rPr>
        <w:t xml:space="preserve"> upi, savienojot Jelgavas </w:t>
      </w:r>
      <w:r w:rsidRPr="002B40A1">
        <w:rPr>
          <w:sz w:val="28"/>
          <w:szCs w:val="28"/>
        </w:rPr>
        <w:t>pilsētas ziemeļu daļas teritorijas (</w:t>
      </w:r>
      <w:r w:rsidR="00BC4C40" w:rsidRPr="002B40A1">
        <w:rPr>
          <w:rFonts w:eastAsia="Cambria"/>
          <w:sz w:val="28"/>
          <w:szCs w:val="28"/>
        </w:rPr>
        <w:t>savienojot</w:t>
      </w:r>
      <w:r w:rsidRPr="002B40A1">
        <w:rPr>
          <w:rFonts w:eastAsia="Cambria"/>
          <w:sz w:val="28"/>
          <w:szCs w:val="28"/>
        </w:rPr>
        <w:t xml:space="preserve"> Loka maģistrāles </w:t>
      </w:r>
      <w:r w:rsidR="00BC4C40" w:rsidRPr="002B40A1">
        <w:rPr>
          <w:rFonts w:eastAsia="Cambria"/>
          <w:sz w:val="28"/>
          <w:szCs w:val="28"/>
        </w:rPr>
        <w:t>transporta mezglu ar izbūvējamo Atmodas ielu</w:t>
      </w:r>
      <w:r w:rsidRPr="002B40A1">
        <w:rPr>
          <w:rFonts w:eastAsia="Cambria"/>
          <w:sz w:val="28"/>
          <w:szCs w:val="28"/>
        </w:rPr>
        <w:t xml:space="preserve">) un nodrošinot to </w:t>
      </w:r>
      <w:r w:rsidR="001624B9" w:rsidRPr="002B40A1">
        <w:rPr>
          <w:sz w:val="28"/>
          <w:szCs w:val="28"/>
        </w:rPr>
        <w:t xml:space="preserve">sasaisti ar </w:t>
      </w:r>
      <w:bookmarkStart w:id="7" w:name="_Hlk17902640"/>
      <w:r w:rsidR="001624B9" w:rsidRPr="002B40A1">
        <w:rPr>
          <w:sz w:val="28"/>
          <w:szCs w:val="28"/>
        </w:rPr>
        <w:t>valsts un reģionālās nozīmes ceļiem</w:t>
      </w:r>
      <w:bookmarkEnd w:id="7"/>
      <w:r w:rsidR="00DD66F7" w:rsidRPr="002B40A1">
        <w:rPr>
          <w:sz w:val="28"/>
          <w:szCs w:val="28"/>
        </w:rPr>
        <w:t xml:space="preserve">. </w:t>
      </w:r>
      <w:r w:rsidR="001624B9" w:rsidRPr="002B40A1">
        <w:rPr>
          <w:sz w:val="28"/>
          <w:szCs w:val="28"/>
        </w:rPr>
        <w:t xml:space="preserve">Paredzētās darbības </w:t>
      </w:r>
      <w:r w:rsidR="00B17168" w:rsidRPr="002B40A1">
        <w:rPr>
          <w:sz w:val="28"/>
          <w:szCs w:val="28"/>
        </w:rPr>
        <w:t>īstenošanas vieta Jelgavas pilsētā</w:t>
      </w:r>
      <w:r w:rsidR="001624B9" w:rsidRPr="002B40A1">
        <w:rPr>
          <w:sz w:val="28"/>
          <w:szCs w:val="28"/>
        </w:rPr>
        <w:t xml:space="preserve"> </w:t>
      </w:r>
      <w:r w:rsidR="00B17168" w:rsidRPr="002B40A1">
        <w:rPr>
          <w:sz w:val="28"/>
          <w:szCs w:val="28"/>
        </w:rPr>
        <w:t xml:space="preserve">attēlota </w:t>
      </w:r>
      <w:r w:rsidR="001624B9" w:rsidRPr="002B40A1">
        <w:rPr>
          <w:sz w:val="28"/>
          <w:szCs w:val="28"/>
        </w:rPr>
        <w:t xml:space="preserve">informatīvā ziņojuma </w:t>
      </w:r>
      <w:r w:rsidR="00B17168" w:rsidRPr="002B40A1">
        <w:rPr>
          <w:sz w:val="28"/>
          <w:szCs w:val="28"/>
        </w:rPr>
        <w:t>2</w:t>
      </w:r>
      <w:r w:rsidR="001624B9" w:rsidRPr="002B40A1">
        <w:rPr>
          <w:sz w:val="28"/>
          <w:szCs w:val="28"/>
        </w:rPr>
        <w:t>.</w:t>
      </w:r>
      <w:r w:rsidR="00AB073E" w:rsidRPr="002B40A1">
        <w:rPr>
          <w:sz w:val="28"/>
          <w:szCs w:val="28"/>
        </w:rPr>
        <w:t> </w:t>
      </w:r>
      <w:r w:rsidR="001624B9" w:rsidRPr="002B40A1">
        <w:rPr>
          <w:sz w:val="28"/>
          <w:szCs w:val="28"/>
        </w:rPr>
        <w:t>pielikumā.</w:t>
      </w:r>
    </w:p>
    <w:p w14:paraId="5124AE7B" w14:textId="77777777" w:rsidR="001D6A74" w:rsidRPr="007A7643" w:rsidRDefault="001624B9" w:rsidP="000D2BDE">
      <w:pPr>
        <w:pStyle w:val="tv213"/>
        <w:shd w:val="clear" w:color="auto" w:fill="FFFFFF"/>
        <w:spacing w:before="120" w:beforeAutospacing="0" w:after="0" w:afterAutospacing="0"/>
        <w:ind w:right="-483" w:firstLine="851"/>
        <w:jc w:val="both"/>
        <w:rPr>
          <w:sz w:val="28"/>
          <w:szCs w:val="28"/>
        </w:rPr>
      </w:pPr>
      <w:r w:rsidRPr="007A7643">
        <w:rPr>
          <w:sz w:val="28"/>
          <w:szCs w:val="28"/>
        </w:rPr>
        <w:t>Tilts paredzēts</w:t>
      </w:r>
      <w:r w:rsidR="007A1F6C" w:rsidRPr="007A7643">
        <w:rPr>
          <w:sz w:val="28"/>
          <w:szCs w:val="28"/>
        </w:rPr>
        <w:t xml:space="preserve"> autotransporta satiksmei, pa kuru atļauta arī gājēju pārvietošanās un velosipēdu kustība.</w:t>
      </w:r>
      <w:r w:rsidR="007A1F6C" w:rsidRPr="007A7643">
        <w:rPr>
          <w:rFonts w:ascii="Calibri" w:hAnsi="Calibri" w:cstheme="minorBidi"/>
          <w:sz w:val="28"/>
          <w:szCs w:val="28"/>
        </w:rPr>
        <w:t xml:space="preserve"> </w:t>
      </w:r>
      <w:r w:rsidR="00DD66F7" w:rsidRPr="007A7643">
        <w:rPr>
          <w:sz w:val="28"/>
          <w:szCs w:val="28"/>
        </w:rPr>
        <w:t>Plānotā t</w:t>
      </w:r>
      <w:r w:rsidR="007A1F6C" w:rsidRPr="007A7643">
        <w:rPr>
          <w:sz w:val="28"/>
          <w:szCs w:val="28"/>
        </w:rPr>
        <w:t>ilta un pieeju izbūves kopgarums ir ~ 1376 m</w:t>
      </w:r>
      <w:r w:rsidRPr="007A7643">
        <w:rPr>
          <w:sz w:val="28"/>
          <w:szCs w:val="28"/>
        </w:rPr>
        <w:t xml:space="preserve">. </w:t>
      </w:r>
      <w:proofErr w:type="spellStart"/>
      <w:r w:rsidRPr="007A7643">
        <w:rPr>
          <w:sz w:val="28"/>
          <w:szCs w:val="28"/>
        </w:rPr>
        <w:t>Natura</w:t>
      </w:r>
      <w:proofErr w:type="spellEnd"/>
      <w:r w:rsidRPr="007A7643">
        <w:rPr>
          <w:sz w:val="28"/>
          <w:szCs w:val="28"/>
        </w:rPr>
        <w:t xml:space="preserve"> 2000 teritoriju (</w:t>
      </w:r>
      <w:r w:rsidR="00914EA8" w:rsidRPr="007A7643">
        <w:rPr>
          <w:sz w:val="28"/>
          <w:szCs w:val="28"/>
        </w:rPr>
        <w:t>D</w:t>
      </w:r>
      <w:r w:rsidRPr="007A7643">
        <w:rPr>
          <w:sz w:val="28"/>
          <w:szCs w:val="28"/>
        </w:rPr>
        <w:t xml:space="preserve">abas lieguma </w:t>
      </w:r>
      <w:r w:rsidR="00914EA8" w:rsidRPr="007A7643">
        <w:rPr>
          <w:sz w:val="28"/>
          <w:szCs w:val="28"/>
        </w:rPr>
        <w:t>I teritoriju)</w:t>
      </w:r>
      <w:r w:rsidR="007A1F6C" w:rsidRPr="007A7643">
        <w:rPr>
          <w:sz w:val="28"/>
          <w:szCs w:val="28"/>
        </w:rPr>
        <w:t xml:space="preserve"> tilt</w:t>
      </w:r>
      <w:r w:rsidRPr="007A7643">
        <w:rPr>
          <w:sz w:val="28"/>
          <w:szCs w:val="28"/>
        </w:rPr>
        <w:t>s</w:t>
      </w:r>
      <w:r w:rsidR="007A1F6C" w:rsidRPr="007A7643">
        <w:rPr>
          <w:sz w:val="28"/>
          <w:szCs w:val="28"/>
        </w:rPr>
        <w:t xml:space="preserve"> </w:t>
      </w:r>
      <w:r w:rsidRPr="007A7643">
        <w:rPr>
          <w:sz w:val="28"/>
          <w:szCs w:val="28"/>
        </w:rPr>
        <w:t xml:space="preserve">šķērsotu ~ 730 m garā </w:t>
      </w:r>
      <w:r w:rsidR="007A1F6C" w:rsidRPr="007A7643">
        <w:rPr>
          <w:sz w:val="28"/>
          <w:szCs w:val="28"/>
        </w:rPr>
        <w:t>posm</w:t>
      </w:r>
      <w:r w:rsidRPr="007A7643">
        <w:rPr>
          <w:sz w:val="28"/>
          <w:szCs w:val="28"/>
        </w:rPr>
        <w:t>ā</w:t>
      </w:r>
      <w:r w:rsidR="00914EA8" w:rsidRPr="007A7643">
        <w:rPr>
          <w:sz w:val="28"/>
          <w:szCs w:val="28"/>
        </w:rPr>
        <w:t xml:space="preserve"> (</w:t>
      </w:r>
      <w:r w:rsidR="00B17168" w:rsidRPr="007A7643">
        <w:rPr>
          <w:sz w:val="28"/>
          <w:szCs w:val="28"/>
        </w:rPr>
        <w:t>sk. 1</w:t>
      </w:r>
      <w:r w:rsidR="00914EA8" w:rsidRPr="007A7643">
        <w:rPr>
          <w:sz w:val="28"/>
          <w:szCs w:val="28"/>
        </w:rPr>
        <w:t>. attēl</w:t>
      </w:r>
      <w:r w:rsidR="00B17168" w:rsidRPr="007A7643">
        <w:rPr>
          <w:sz w:val="28"/>
          <w:szCs w:val="28"/>
        </w:rPr>
        <w:t>u</w:t>
      </w:r>
      <w:r w:rsidR="00914EA8" w:rsidRPr="007A7643">
        <w:rPr>
          <w:sz w:val="28"/>
          <w:szCs w:val="28"/>
        </w:rPr>
        <w:t>)</w:t>
      </w:r>
      <w:r w:rsidRPr="007A7643">
        <w:rPr>
          <w:sz w:val="28"/>
          <w:szCs w:val="28"/>
        </w:rPr>
        <w:t>.</w:t>
      </w:r>
      <w:r w:rsidR="007A1F6C" w:rsidRPr="007A7643">
        <w:rPr>
          <w:sz w:val="28"/>
          <w:szCs w:val="28"/>
        </w:rPr>
        <w:t xml:space="preserve"> </w:t>
      </w:r>
    </w:p>
    <w:p w14:paraId="07468CB0" w14:textId="77777777" w:rsidR="001D6A74" w:rsidRDefault="001D6A74" w:rsidP="007A7643">
      <w:pPr>
        <w:pStyle w:val="tv213"/>
        <w:shd w:val="clear" w:color="auto" w:fill="FFFFFF"/>
        <w:spacing w:before="120" w:beforeAutospacing="0" w:after="0" w:afterAutospacing="0"/>
        <w:ind w:right="-483"/>
        <w:jc w:val="both"/>
      </w:pPr>
    </w:p>
    <w:p w14:paraId="388FF3E9" w14:textId="77777777" w:rsidR="001D6A74" w:rsidRDefault="001D6A74" w:rsidP="007A7643">
      <w:pPr>
        <w:pStyle w:val="tv213"/>
        <w:shd w:val="clear" w:color="auto" w:fill="FFFFFF"/>
        <w:spacing w:before="120" w:beforeAutospacing="0" w:after="0" w:afterAutospacing="0"/>
        <w:ind w:right="-483"/>
        <w:jc w:val="center"/>
      </w:pPr>
      <w:r w:rsidRPr="00101376">
        <w:rPr>
          <w:rFonts w:asciiTheme="majorHAnsi" w:hAnsiTheme="majorHAnsi" w:cstheme="majorHAnsi"/>
          <w:noProof/>
          <w:sz w:val="22"/>
        </w:rPr>
        <w:drawing>
          <wp:inline distT="0" distB="0" distL="0" distR="0" wp14:anchorId="235325A2" wp14:editId="47D779A3">
            <wp:extent cx="3265890" cy="42754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_6_DL_skersojums.jpg"/>
                    <pic:cNvPicPr/>
                  </pic:nvPicPr>
                  <pic:blipFill rotWithShape="1">
                    <a:blip r:embed="rId10" cstate="print">
                      <a:extLst>
                        <a:ext uri="{28A0092B-C50C-407E-A947-70E740481C1C}">
                          <a14:useLocalDpi xmlns:a14="http://schemas.microsoft.com/office/drawing/2010/main" val="0"/>
                        </a:ext>
                      </a:extLst>
                    </a:blip>
                    <a:srcRect l="6455" t="3631" r="2876" b="12452"/>
                    <a:stretch/>
                  </pic:blipFill>
                  <pic:spPr bwMode="auto">
                    <a:xfrm>
                      <a:off x="0" y="0"/>
                      <a:ext cx="3267565" cy="4277685"/>
                    </a:xfrm>
                    <a:prstGeom prst="rect">
                      <a:avLst/>
                    </a:prstGeom>
                    <a:ln>
                      <a:noFill/>
                    </a:ln>
                    <a:extLst>
                      <a:ext uri="{53640926-AAD7-44D8-BBD7-CCE9431645EC}">
                        <a14:shadowObscured xmlns:a14="http://schemas.microsoft.com/office/drawing/2010/main"/>
                      </a:ext>
                    </a:extLst>
                  </pic:spPr>
                </pic:pic>
              </a:graphicData>
            </a:graphic>
          </wp:inline>
        </w:drawing>
      </w:r>
    </w:p>
    <w:p w14:paraId="058CFF6D" w14:textId="77777777" w:rsidR="001D6A74" w:rsidRPr="00914EA8" w:rsidRDefault="00B17168" w:rsidP="007A7643">
      <w:pPr>
        <w:pStyle w:val="tv213"/>
        <w:shd w:val="clear" w:color="auto" w:fill="FFFFFF"/>
        <w:spacing w:before="120" w:beforeAutospacing="0" w:after="0" w:afterAutospacing="0"/>
        <w:ind w:right="-483"/>
        <w:jc w:val="right"/>
        <w:rPr>
          <w:i/>
          <w:sz w:val="22"/>
          <w:szCs w:val="22"/>
        </w:rPr>
      </w:pPr>
      <w:r>
        <w:rPr>
          <w:i/>
          <w:sz w:val="22"/>
          <w:szCs w:val="22"/>
        </w:rPr>
        <w:t>1</w:t>
      </w:r>
      <w:r w:rsidR="00914EA8" w:rsidRPr="00914EA8">
        <w:rPr>
          <w:i/>
          <w:sz w:val="22"/>
          <w:szCs w:val="22"/>
        </w:rPr>
        <w:t>. attēls. Paredzētās darbības vieta Dabas lieguma I teritorijā</w:t>
      </w:r>
    </w:p>
    <w:p w14:paraId="0D2F9A8B" w14:textId="0D8E9D2D" w:rsidR="006621CF" w:rsidRPr="007A7643" w:rsidRDefault="002000AD" w:rsidP="000D2BDE">
      <w:pPr>
        <w:pStyle w:val="tv213"/>
        <w:shd w:val="clear" w:color="auto" w:fill="FFFFFF"/>
        <w:spacing w:before="120" w:beforeAutospacing="0" w:after="0" w:afterAutospacing="0"/>
        <w:ind w:right="-483" w:firstLine="851"/>
        <w:jc w:val="both"/>
        <w:rPr>
          <w:sz w:val="28"/>
          <w:szCs w:val="28"/>
        </w:rPr>
      </w:pPr>
      <w:r w:rsidRPr="007A7643">
        <w:rPr>
          <w:sz w:val="28"/>
          <w:szCs w:val="28"/>
        </w:rPr>
        <w:t xml:space="preserve">Tilta būvniecībai izskatīti </w:t>
      </w:r>
      <w:r w:rsidR="00AB073E">
        <w:rPr>
          <w:sz w:val="28"/>
          <w:szCs w:val="28"/>
        </w:rPr>
        <w:t>trīs</w:t>
      </w:r>
      <w:r w:rsidR="00AB073E" w:rsidRPr="007A7643">
        <w:rPr>
          <w:sz w:val="28"/>
          <w:szCs w:val="28"/>
        </w:rPr>
        <w:t xml:space="preserve"> </w:t>
      </w:r>
      <w:r w:rsidRPr="007A7643">
        <w:rPr>
          <w:sz w:val="28"/>
          <w:szCs w:val="28"/>
        </w:rPr>
        <w:t>alternatīvie konstrukciju varianti – atšķirīga dizain</w:t>
      </w:r>
      <w:r w:rsidR="006621CF" w:rsidRPr="007A7643">
        <w:rPr>
          <w:sz w:val="28"/>
          <w:szCs w:val="28"/>
        </w:rPr>
        <w:t>a</w:t>
      </w:r>
      <w:r w:rsidRPr="007A7643">
        <w:rPr>
          <w:sz w:val="28"/>
          <w:szCs w:val="28"/>
        </w:rPr>
        <w:t xml:space="preserve"> vienas sistēmas tilts (1. un 2. </w:t>
      </w:r>
      <w:r w:rsidR="00B17168" w:rsidRPr="007A7643">
        <w:rPr>
          <w:sz w:val="28"/>
          <w:szCs w:val="28"/>
        </w:rPr>
        <w:t>variants</w:t>
      </w:r>
      <w:r w:rsidRPr="007A7643">
        <w:rPr>
          <w:sz w:val="28"/>
          <w:szCs w:val="28"/>
        </w:rPr>
        <w:t>) vai arku tilts (3.</w:t>
      </w:r>
      <w:r w:rsidR="00C83BBE">
        <w:rPr>
          <w:sz w:val="28"/>
          <w:szCs w:val="28"/>
        </w:rPr>
        <w:t> </w:t>
      </w:r>
      <w:r w:rsidR="00B17168" w:rsidRPr="007A7643">
        <w:rPr>
          <w:sz w:val="28"/>
          <w:szCs w:val="28"/>
        </w:rPr>
        <w:t>variants</w:t>
      </w:r>
      <w:r w:rsidRPr="007A7643">
        <w:rPr>
          <w:sz w:val="28"/>
          <w:szCs w:val="28"/>
        </w:rPr>
        <w:t xml:space="preserve">). </w:t>
      </w:r>
      <w:r w:rsidR="006621CF" w:rsidRPr="007A7643">
        <w:rPr>
          <w:sz w:val="28"/>
          <w:szCs w:val="28"/>
        </w:rPr>
        <w:t>Atkarībā no alternatīv</w:t>
      </w:r>
      <w:r w:rsidR="00B17168" w:rsidRPr="007A7643">
        <w:rPr>
          <w:sz w:val="28"/>
          <w:szCs w:val="28"/>
        </w:rPr>
        <w:t>ā varianta</w:t>
      </w:r>
      <w:r w:rsidR="006621CF" w:rsidRPr="007A7643">
        <w:rPr>
          <w:sz w:val="28"/>
          <w:szCs w:val="28"/>
        </w:rPr>
        <w:t xml:space="preserve"> kopēja</w:t>
      </w:r>
      <w:r w:rsidR="004E062B" w:rsidRPr="007A7643">
        <w:rPr>
          <w:sz w:val="28"/>
          <w:szCs w:val="28"/>
        </w:rPr>
        <w:t>i</w:t>
      </w:r>
      <w:r w:rsidR="006621CF" w:rsidRPr="007A7643">
        <w:rPr>
          <w:sz w:val="28"/>
          <w:szCs w:val="28"/>
        </w:rPr>
        <w:t>s tilta konstrukcijas platums ir no 15,5</w:t>
      </w:r>
      <w:r w:rsidR="00AB073E">
        <w:rPr>
          <w:sz w:val="28"/>
          <w:szCs w:val="28"/>
        </w:rPr>
        <w:t> </w:t>
      </w:r>
      <w:r w:rsidR="006621CF" w:rsidRPr="007A7643">
        <w:rPr>
          <w:sz w:val="28"/>
          <w:szCs w:val="28"/>
        </w:rPr>
        <w:t>m (1. un 2. </w:t>
      </w:r>
      <w:r w:rsidR="00B17168" w:rsidRPr="007A7643">
        <w:rPr>
          <w:sz w:val="28"/>
          <w:szCs w:val="28"/>
        </w:rPr>
        <w:t>variants</w:t>
      </w:r>
      <w:r w:rsidR="006621CF" w:rsidRPr="007A7643">
        <w:rPr>
          <w:sz w:val="28"/>
          <w:szCs w:val="28"/>
        </w:rPr>
        <w:t>), bet 3. </w:t>
      </w:r>
      <w:r w:rsidR="00B17168" w:rsidRPr="007A7643">
        <w:rPr>
          <w:sz w:val="28"/>
          <w:szCs w:val="28"/>
        </w:rPr>
        <w:t xml:space="preserve">varianta </w:t>
      </w:r>
      <w:r w:rsidR="006621CF" w:rsidRPr="007A7643">
        <w:rPr>
          <w:sz w:val="28"/>
          <w:szCs w:val="28"/>
        </w:rPr>
        <w:t>gadījumā – līdz 17,2 m (ieskaitot tilta loka konstrukcijas platumu).</w:t>
      </w:r>
    </w:p>
    <w:p w14:paraId="764884D5" w14:textId="7188319F" w:rsidR="006621CF" w:rsidRPr="007A7643" w:rsidRDefault="002000AD" w:rsidP="000D2BDE">
      <w:pPr>
        <w:pStyle w:val="tv213"/>
        <w:shd w:val="clear" w:color="auto" w:fill="FFFFFF"/>
        <w:spacing w:before="120" w:beforeAutospacing="0" w:after="0" w:afterAutospacing="0"/>
        <w:ind w:right="-483" w:firstLine="851"/>
        <w:jc w:val="both"/>
        <w:rPr>
          <w:rFonts w:asciiTheme="majorHAnsi" w:hAnsiTheme="majorHAnsi" w:cstheme="majorHAnsi"/>
          <w:sz w:val="28"/>
          <w:szCs w:val="28"/>
        </w:rPr>
      </w:pPr>
      <w:r w:rsidRPr="007A7643">
        <w:rPr>
          <w:sz w:val="28"/>
          <w:szCs w:val="28"/>
        </w:rPr>
        <w:t>1. un 2. </w:t>
      </w:r>
      <w:r w:rsidR="00B17168" w:rsidRPr="007A7643">
        <w:rPr>
          <w:sz w:val="28"/>
          <w:szCs w:val="28"/>
        </w:rPr>
        <w:t>varianta</w:t>
      </w:r>
      <w:r w:rsidRPr="007A7643">
        <w:rPr>
          <w:sz w:val="28"/>
          <w:szCs w:val="28"/>
        </w:rPr>
        <w:t xml:space="preserve"> gadījumā</w:t>
      </w:r>
      <w:r w:rsidRPr="007A7643">
        <w:rPr>
          <w:rFonts w:asciiTheme="majorHAnsi" w:hAnsiTheme="majorHAnsi" w:cstheme="majorHAnsi"/>
          <w:sz w:val="28"/>
          <w:szCs w:val="28"/>
        </w:rPr>
        <w:t xml:space="preserve"> </w:t>
      </w:r>
      <w:r w:rsidRPr="007A7643">
        <w:rPr>
          <w:sz w:val="28"/>
          <w:szCs w:val="28"/>
        </w:rPr>
        <w:t xml:space="preserve">paredzēti 10 viena veida </w:t>
      </w:r>
      <w:proofErr w:type="spellStart"/>
      <w:r w:rsidRPr="007A7643">
        <w:rPr>
          <w:sz w:val="28"/>
          <w:szCs w:val="28"/>
        </w:rPr>
        <w:t>starpbalsti</w:t>
      </w:r>
      <w:proofErr w:type="spellEnd"/>
      <w:r w:rsidRPr="007A7643">
        <w:rPr>
          <w:sz w:val="28"/>
          <w:szCs w:val="28"/>
        </w:rPr>
        <w:t>, kuru vidējais augstums paredzēts ~ 6,3 m, garums 8,1 m, platums 2,5 m, bet kopējā balstu aizņemtā platība ~ 210 m</w:t>
      </w:r>
      <w:r w:rsidRPr="007A7643">
        <w:rPr>
          <w:sz w:val="28"/>
          <w:szCs w:val="28"/>
          <w:vertAlign w:val="superscript"/>
        </w:rPr>
        <w:t>2</w:t>
      </w:r>
      <w:r w:rsidRPr="007A7643">
        <w:rPr>
          <w:sz w:val="28"/>
          <w:szCs w:val="28"/>
        </w:rPr>
        <w:t>. 1. un 2. </w:t>
      </w:r>
      <w:r w:rsidR="00B17168" w:rsidRPr="007A7643">
        <w:rPr>
          <w:sz w:val="28"/>
          <w:szCs w:val="28"/>
        </w:rPr>
        <w:t>varianta</w:t>
      </w:r>
      <w:r w:rsidRPr="007A7643">
        <w:rPr>
          <w:sz w:val="28"/>
          <w:szCs w:val="28"/>
        </w:rPr>
        <w:t xml:space="preserve"> gadījumā viens no </w:t>
      </w:r>
      <w:proofErr w:type="spellStart"/>
      <w:r w:rsidRPr="007A7643">
        <w:rPr>
          <w:sz w:val="28"/>
          <w:szCs w:val="28"/>
        </w:rPr>
        <w:t>starpbalstiem</w:t>
      </w:r>
      <w:proofErr w:type="spellEnd"/>
      <w:r w:rsidRPr="007A7643">
        <w:rPr>
          <w:sz w:val="28"/>
          <w:szCs w:val="28"/>
        </w:rPr>
        <w:t xml:space="preserve"> paredzēts </w:t>
      </w:r>
      <w:proofErr w:type="spellStart"/>
      <w:r w:rsidRPr="007A7643">
        <w:rPr>
          <w:sz w:val="28"/>
          <w:szCs w:val="28"/>
        </w:rPr>
        <w:t>Driksas</w:t>
      </w:r>
      <w:proofErr w:type="spellEnd"/>
      <w:r w:rsidRPr="007A7643">
        <w:rPr>
          <w:sz w:val="28"/>
          <w:szCs w:val="28"/>
        </w:rPr>
        <w:t xml:space="preserve"> upes gultnē, bet divi Lielupes upes gultnē. </w:t>
      </w:r>
      <w:r w:rsidRPr="007A7643">
        <w:rPr>
          <w:sz w:val="28"/>
          <w:szCs w:val="28"/>
        </w:rPr>
        <w:lastRenderedPageBreak/>
        <w:t>3.</w:t>
      </w:r>
      <w:r w:rsidR="00C83BBE">
        <w:rPr>
          <w:sz w:val="28"/>
          <w:szCs w:val="28"/>
        </w:rPr>
        <w:t> </w:t>
      </w:r>
      <w:r w:rsidR="00B17168" w:rsidRPr="007A7643">
        <w:rPr>
          <w:sz w:val="28"/>
          <w:szCs w:val="28"/>
        </w:rPr>
        <w:t>varianta</w:t>
      </w:r>
      <w:r w:rsidRPr="007A7643">
        <w:rPr>
          <w:sz w:val="28"/>
          <w:szCs w:val="28"/>
        </w:rPr>
        <w:t xml:space="preserve"> gadījumā paredzēti kopumā </w:t>
      </w:r>
      <w:r w:rsidR="00AB073E">
        <w:rPr>
          <w:sz w:val="28"/>
          <w:szCs w:val="28"/>
        </w:rPr>
        <w:t>astoņi</w:t>
      </w:r>
      <w:r w:rsidR="00AB073E" w:rsidRPr="007A7643">
        <w:rPr>
          <w:sz w:val="28"/>
          <w:szCs w:val="28"/>
        </w:rPr>
        <w:t xml:space="preserve"> </w:t>
      </w:r>
      <w:r w:rsidRPr="007A7643">
        <w:rPr>
          <w:sz w:val="28"/>
          <w:szCs w:val="28"/>
        </w:rPr>
        <w:t xml:space="preserve">divu veidu </w:t>
      </w:r>
      <w:proofErr w:type="spellStart"/>
      <w:r w:rsidRPr="007A7643">
        <w:rPr>
          <w:sz w:val="28"/>
          <w:szCs w:val="28"/>
        </w:rPr>
        <w:t>starpbalsti</w:t>
      </w:r>
      <w:proofErr w:type="spellEnd"/>
      <w:r w:rsidRPr="007A7643">
        <w:rPr>
          <w:sz w:val="28"/>
          <w:szCs w:val="28"/>
        </w:rPr>
        <w:t xml:space="preserve">. Tērauda lokus un kopnes balstītu </w:t>
      </w:r>
      <w:r w:rsidR="00AB073E">
        <w:rPr>
          <w:sz w:val="28"/>
          <w:szCs w:val="28"/>
        </w:rPr>
        <w:t>pieci</w:t>
      </w:r>
      <w:r w:rsidR="00AB073E" w:rsidRPr="007A7643">
        <w:rPr>
          <w:sz w:val="28"/>
          <w:szCs w:val="28"/>
        </w:rPr>
        <w:t xml:space="preserve"> </w:t>
      </w:r>
      <w:proofErr w:type="spellStart"/>
      <w:r w:rsidRPr="007A7643">
        <w:rPr>
          <w:sz w:val="28"/>
          <w:szCs w:val="28"/>
        </w:rPr>
        <w:t>starpbalsti</w:t>
      </w:r>
      <w:proofErr w:type="spellEnd"/>
      <w:r w:rsidRPr="007A7643">
        <w:rPr>
          <w:sz w:val="28"/>
          <w:szCs w:val="28"/>
        </w:rPr>
        <w:t xml:space="preserve"> ar vidējo augstumu ~ 8,2 m, garumu 19,1 m un platumu 5 m. Savukārt nepārtraukto </w:t>
      </w:r>
      <w:proofErr w:type="spellStart"/>
      <w:r w:rsidRPr="007A7643">
        <w:rPr>
          <w:sz w:val="28"/>
          <w:szCs w:val="28"/>
        </w:rPr>
        <w:t>vairāklaidumu</w:t>
      </w:r>
      <w:proofErr w:type="spellEnd"/>
      <w:r w:rsidRPr="007A7643">
        <w:rPr>
          <w:sz w:val="28"/>
          <w:szCs w:val="28"/>
        </w:rPr>
        <w:t xml:space="preserve"> dzelzsbetona </w:t>
      </w:r>
      <w:proofErr w:type="spellStart"/>
      <w:r w:rsidRPr="007A7643">
        <w:rPr>
          <w:sz w:val="28"/>
          <w:szCs w:val="28"/>
        </w:rPr>
        <w:t>kastveida</w:t>
      </w:r>
      <w:proofErr w:type="spellEnd"/>
      <w:r w:rsidRPr="007A7643">
        <w:rPr>
          <w:sz w:val="28"/>
          <w:szCs w:val="28"/>
        </w:rPr>
        <w:t xml:space="preserve"> siju virs Lielupes palienēm balstītu </w:t>
      </w:r>
      <w:r w:rsidR="00AB073E">
        <w:rPr>
          <w:sz w:val="28"/>
          <w:szCs w:val="28"/>
        </w:rPr>
        <w:t>trīs</w:t>
      </w:r>
      <w:r w:rsidR="00AB073E" w:rsidRPr="007A7643">
        <w:rPr>
          <w:sz w:val="28"/>
          <w:szCs w:val="28"/>
        </w:rPr>
        <w:t xml:space="preserve"> </w:t>
      </w:r>
      <w:proofErr w:type="spellStart"/>
      <w:r w:rsidRPr="007A7643">
        <w:rPr>
          <w:sz w:val="28"/>
          <w:szCs w:val="28"/>
        </w:rPr>
        <w:t>starpbalsti</w:t>
      </w:r>
      <w:proofErr w:type="spellEnd"/>
      <w:r w:rsidRPr="007A7643">
        <w:rPr>
          <w:sz w:val="28"/>
          <w:szCs w:val="28"/>
        </w:rPr>
        <w:t xml:space="preserve"> ar vidējo augstumu 5,1 m, garumu 8,1 m un platumu 2,5 m. 3. </w:t>
      </w:r>
      <w:r w:rsidR="00B17168" w:rsidRPr="007A7643">
        <w:rPr>
          <w:sz w:val="28"/>
          <w:szCs w:val="28"/>
        </w:rPr>
        <w:t xml:space="preserve">varianta </w:t>
      </w:r>
      <w:r w:rsidRPr="007A7643">
        <w:rPr>
          <w:sz w:val="28"/>
          <w:szCs w:val="28"/>
        </w:rPr>
        <w:t xml:space="preserve">gadījumā kopējā platība, kuru aizņemtu tilta </w:t>
      </w:r>
      <w:proofErr w:type="spellStart"/>
      <w:r w:rsidRPr="007A7643">
        <w:rPr>
          <w:sz w:val="28"/>
          <w:szCs w:val="28"/>
        </w:rPr>
        <w:t>starpbalsti</w:t>
      </w:r>
      <w:proofErr w:type="spellEnd"/>
      <w:r w:rsidRPr="007A7643">
        <w:rPr>
          <w:sz w:val="28"/>
          <w:szCs w:val="28"/>
        </w:rPr>
        <w:t>, ir aptuveni 540 m</w:t>
      </w:r>
      <w:r w:rsidRPr="007A7643">
        <w:rPr>
          <w:sz w:val="28"/>
          <w:szCs w:val="28"/>
          <w:vertAlign w:val="superscript"/>
        </w:rPr>
        <w:t>2</w:t>
      </w:r>
      <w:r w:rsidRPr="007A7643">
        <w:rPr>
          <w:sz w:val="28"/>
          <w:szCs w:val="28"/>
        </w:rPr>
        <w:t xml:space="preserve">. Viens no </w:t>
      </w:r>
      <w:proofErr w:type="spellStart"/>
      <w:r w:rsidRPr="007A7643">
        <w:rPr>
          <w:sz w:val="28"/>
          <w:szCs w:val="28"/>
        </w:rPr>
        <w:t>starpbalstiem</w:t>
      </w:r>
      <w:proofErr w:type="spellEnd"/>
      <w:r w:rsidRPr="007A7643">
        <w:rPr>
          <w:sz w:val="28"/>
          <w:szCs w:val="28"/>
        </w:rPr>
        <w:t xml:space="preserve"> paredzēts uz Lielupes krasta līnijas.</w:t>
      </w:r>
      <w:r w:rsidRPr="007A7643">
        <w:rPr>
          <w:rFonts w:asciiTheme="majorHAnsi" w:hAnsiTheme="majorHAnsi" w:cstheme="majorHAnsi"/>
          <w:sz w:val="28"/>
          <w:szCs w:val="28"/>
        </w:rPr>
        <w:t xml:space="preserve"> </w:t>
      </w:r>
    </w:p>
    <w:p w14:paraId="4A152EFC" w14:textId="77777777" w:rsidR="004C6AC6" w:rsidRPr="007A7643" w:rsidRDefault="002000AD" w:rsidP="000D2BDE">
      <w:pPr>
        <w:pStyle w:val="tv213"/>
        <w:shd w:val="clear" w:color="auto" w:fill="FFFFFF"/>
        <w:spacing w:before="120" w:beforeAutospacing="0" w:after="0" w:afterAutospacing="0"/>
        <w:ind w:right="-483" w:firstLine="851"/>
        <w:jc w:val="both"/>
        <w:rPr>
          <w:rFonts w:asciiTheme="majorHAnsi" w:hAnsiTheme="majorHAnsi" w:cstheme="majorHAnsi"/>
          <w:sz w:val="28"/>
          <w:szCs w:val="28"/>
        </w:rPr>
      </w:pPr>
      <w:r w:rsidRPr="007A7643">
        <w:rPr>
          <w:sz w:val="28"/>
          <w:szCs w:val="28"/>
        </w:rPr>
        <w:t>Vis</w:t>
      </w:r>
      <w:r w:rsidR="00B17168" w:rsidRPr="007A7643">
        <w:rPr>
          <w:sz w:val="28"/>
          <w:szCs w:val="28"/>
        </w:rPr>
        <w:t>os</w:t>
      </w:r>
      <w:r w:rsidRPr="007A7643">
        <w:rPr>
          <w:sz w:val="28"/>
          <w:szCs w:val="28"/>
        </w:rPr>
        <w:t xml:space="preserve"> piedāvātaj</w:t>
      </w:r>
      <w:r w:rsidR="00B17168" w:rsidRPr="007A7643">
        <w:rPr>
          <w:sz w:val="28"/>
          <w:szCs w:val="28"/>
        </w:rPr>
        <w:t>os variantos</w:t>
      </w:r>
      <w:r w:rsidRPr="007A7643">
        <w:rPr>
          <w:sz w:val="28"/>
          <w:szCs w:val="28"/>
        </w:rPr>
        <w:t xml:space="preserve"> tilta balstus (gan krasta, gan </w:t>
      </w:r>
      <w:proofErr w:type="spellStart"/>
      <w:r w:rsidRPr="007A7643">
        <w:rPr>
          <w:sz w:val="28"/>
          <w:szCs w:val="28"/>
        </w:rPr>
        <w:t>starpbalstus</w:t>
      </w:r>
      <w:proofErr w:type="spellEnd"/>
      <w:r w:rsidRPr="007A7643">
        <w:rPr>
          <w:sz w:val="28"/>
          <w:szCs w:val="28"/>
        </w:rPr>
        <w:t>) ir paredzēts izbūvēt no monolīta dzelzsbetona, tos balstot uz urbtajiem pāļiem ar diametru 1,3 m un paredzēto garumu vismaz 10 m.</w:t>
      </w:r>
      <w:r w:rsidRPr="007A7643">
        <w:rPr>
          <w:rFonts w:asciiTheme="majorHAnsi" w:hAnsiTheme="majorHAnsi" w:cstheme="majorHAnsi"/>
          <w:sz w:val="28"/>
          <w:szCs w:val="28"/>
        </w:rPr>
        <w:t xml:space="preserve"> </w:t>
      </w:r>
    </w:p>
    <w:p w14:paraId="6AB2A849" w14:textId="66A1D099" w:rsidR="004C6AC6" w:rsidRPr="007A7643" w:rsidRDefault="004C6AC6" w:rsidP="000D2BDE">
      <w:pPr>
        <w:pStyle w:val="tv213"/>
        <w:shd w:val="clear" w:color="auto" w:fill="FFFFFF"/>
        <w:spacing w:before="120" w:beforeAutospacing="0" w:after="0" w:afterAutospacing="0"/>
        <w:ind w:right="-483" w:firstLine="851"/>
        <w:jc w:val="both"/>
        <w:rPr>
          <w:rFonts w:asciiTheme="majorHAnsi" w:hAnsiTheme="majorHAnsi" w:cstheme="majorHAnsi"/>
          <w:sz w:val="28"/>
          <w:szCs w:val="28"/>
        </w:rPr>
      </w:pPr>
      <w:r w:rsidRPr="007A7643">
        <w:rPr>
          <w:sz w:val="28"/>
          <w:szCs w:val="28"/>
          <w:lang w:eastAsia="en-GB"/>
        </w:rPr>
        <w:t xml:space="preserve">Saskaņā ar Ziņojumu izvēlētā Paredzētās darbības alternatīva ir tilta konstrukciju 1. variants. </w:t>
      </w:r>
    </w:p>
    <w:p w14:paraId="0A72209A" w14:textId="77777777" w:rsidR="00E336D5" w:rsidRPr="007A7643" w:rsidRDefault="007A0E92" w:rsidP="007A7643">
      <w:pPr>
        <w:pStyle w:val="tv213"/>
        <w:shd w:val="clear" w:color="auto" w:fill="FFFFFF"/>
        <w:spacing w:before="240" w:beforeAutospacing="0" w:after="0" w:afterAutospacing="0"/>
        <w:ind w:left="601" w:right="-483"/>
        <w:jc w:val="center"/>
        <w:rPr>
          <w:b/>
          <w:sz w:val="28"/>
          <w:szCs w:val="28"/>
        </w:rPr>
      </w:pPr>
      <w:r w:rsidRPr="007A7643">
        <w:rPr>
          <w:b/>
          <w:sz w:val="28"/>
          <w:szCs w:val="28"/>
        </w:rPr>
        <w:t>5. </w:t>
      </w:r>
      <w:r w:rsidR="00DD66F7" w:rsidRPr="007A7643">
        <w:rPr>
          <w:b/>
          <w:sz w:val="28"/>
          <w:szCs w:val="28"/>
        </w:rPr>
        <w:t>P</w:t>
      </w:r>
      <w:r w:rsidR="00E336D5" w:rsidRPr="007A7643">
        <w:rPr>
          <w:b/>
          <w:sz w:val="28"/>
          <w:szCs w:val="28"/>
        </w:rPr>
        <w:t>aredzētās darbības īstenošanas būtiskās negatīvās ietekmes uz </w:t>
      </w:r>
      <w:proofErr w:type="spellStart"/>
      <w:r w:rsidR="00E336D5" w:rsidRPr="007A7643">
        <w:rPr>
          <w:b/>
          <w:sz w:val="28"/>
          <w:szCs w:val="28"/>
        </w:rPr>
        <w:t>Natura</w:t>
      </w:r>
      <w:proofErr w:type="spellEnd"/>
      <w:r w:rsidR="00E336D5" w:rsidRPr="007A7643">
        <w:rPr>
          <w:b/>
          <w:sz w:val="28"/>
          <w:szCs w:val="28"/>
        </w:rPr>
        <w:t xml:space="preserve"> 2000 teritoriju, tās ekoloģiskajām funkcijām, integritāti un izveidošanas un aizsardzības mērķiem un to apraksts</w:t>
      </w:r>
      <w:r w:rsidR="00610632" w:rsidRPr="007A7643">
        <w:rPr>
          <w:rStyle w:val="FootnoteReference"/>
          <w:b/>
          <w:sz w:val="28"/>
          <w:szCs w:val="28"/>
        </w:rPr>
        <w:footnoteReference w:id="14"/>
      </w:r>
    </w:p>
    <w:p w14:paraId="575972BC" w14:textId="77777777" w:rsidR="002000AD" w:rsidRPr="007A7643" w:rsidRDefault="002000AD" w:rsidP="007A7643">
      <w:pPr>
        <w:pStyle w:val="tv213"/>
        <w:shd w:val="clear" w:color="auto" w:fill="FFFFFF"/>
        <w:spacing w:before="0" w:beforeAutospacing="0" w:after="0" w:afterAutospacing="0"/>
        <w:ind w:left="600" w:right="-483"/>
        <w:jc w:val="both"/>
        <w:rPr>
          <w:rFonts w:ascii="Arial" w:hAnsi="Arial" w:cs="Arial"/>
          <w:color w:val="414142"/>
          <w:sz w:val="28"/>
          <w:szCs w:val="28"/>
        </w:rPr>
      </w:pPr>
    </w:p>
    <w:p w14:paraId="1D937861" w14:textId="6C834126" w:rsidR="009414C7" w:rsidRPr="007A7643" w:rsidRDefault="00CD1ED0" w:rsidP="00B6448F">
      <w:pPr>
        <w:spacing w:line="240" w:lineRule="auto"/>
        <w:ind w:right="-483" w:firstLine="851"/>
        <w:jc w:val="both"/>
        <w:rPr>
          <w:rFonts w:eastAsia="Calibri"/>
          <w:sz w:val="28"/>
          <w:szCs w:val="28"/>
        </w:rPr>
      </w:pPr>
      <w:r w:rsidRPr="007A7643">
        <w:rPr>
          <w:rFonts w:eastAsia="Calibri"/>
          <w:sz w:val="28"/>
          <w:szCs w:val="28"/>
        </w:rPr>
        <w:t xml:space="preserve">Saskaņā ar novērtējuma rezultātiem </w:t>
      </w:r>
      <w:r w:rsidR="009357E9" w:rsidRPr="007A7643">
        <w:rPr>
          <w:rFonts w:eastAsia="Calibri"/>
          <w:sz w:val="28"/>
          <w:szCs w:val="28"/>
        </w:rPr>
        <w:t xml:space="preserve">Paredzētajai darbībai </w:t>
      </w:r>
      <w:r w:rsidRPr="007A7643">
        <w:rPr>
          <w:rFonts w:eastAsia="Calibri"/>
          <w:sz w:val="28"/>
          <w:szCs w:val="28"/>
        </w:rPr>
        <w:t>būs</w:t>
      </w:r>
      <w:r w:rsidR="009357E9" w:rsidRPr="007A7643">
        <w:rPr>
          <w:rFonts w:eastAsia="Calibri"/>
          <w:sz w:val="28"/>
          <w:szCs w:val="28"/>
        </w:rPr>
        <w:t xml:space="preserve"> būtiska negatīva ietekme uz </w:t>
      </w:r>
      <w:proofErr w:type="spellStart"/>
      <w:r w:rsidR="009357E9" w:rsidRPr="007A7643">
        <w:rPr>
          <w:rFonts w:eastAsia="Calibri"/>
          <w:sz w:val="28"/>
          <w:szCs w:val="28"/>
        </w:rPr>
        <w:t>Natura</w:t>
      </w:r>
      <w:proofErr w:type="spellEnd"/>
      <w:r w:rsidR="009357E9" w:rsidRPr="007A7643">
        <w:rPr>
          <w:rFonts w:eastAsia="Calibri"/>
          <w:sz w:val="28"/>
          <w:szCs w:val="28"/>
        </w:rPr>
        <w:t xml:space="preserve"> 2000 teritorijas integritāti jeb viengabalainību un tā </w:t>
      </w:r>
      <w:r w:rsidRPr="007A7643">
        <w:rPr>
          <w:rFonts w:eastAsia="Calibri"/>
          <w:sz w:val="28"/>
          <w:szCs w:val="28"/>
        </w:rPr>
        <w:t>nonāk</w:t>
      </w:r>
      <w:r w:rsidR="009357E9" w:rsidRPr="007A7643">
        <w:rPr>
          <w:rFonts w:eastAsia="Calibri"/>
          <w:sz w:val="28"/>
          <w:szCs w:val="28"/>
        </w:rPr>
        <w:t xml:space="preserve"> pretrunā </w:t>
      </w:r>
      <w:proofErr w:type="spellStart"/>
      <w:r w:rsidR="009357E9" w:rsidRPr="007A7643">
        <w:rPr>
          <w:rFonts w:eastAsia="Calibri"/>
          <w:sz w:val="28"/>
          <w:szCs w:val="28"/>
        </w:rPr>
        <w:t>Natura</w:t>
      </w:r>
      <w:proofErr w:type="spellEnd"/>
      <w:r w:rsidR="009357E9" w:rsidRPr="007A7643">
        <w:rPr>
          <w:rFonts w:eastAsia="Calibri"/>
          <w:sz w:val="28"/>
          <w:szCs w:val="28"/>
        </w:rPr>
        <w:t xml:space="preserve"> 2000 teritorijas izveidošanas un aizsardzības mērķiem, jo tās īstenošanas rezultātā tiks </w:t>
      </w:r>
      <w:r w:rsidR="009414C7" w:rsidRPr="007A7643">
        <w:rPr>
          <w:rFonts w:eastAsia="Calibri"/>
          <w:sz w:val="28"/>
          <w:szCs w:val="28"/>
        </w:rPr>
        <w:t xml:space="preserve">būtiski samazinātas un </w:t>
      </w:r>
      <w:r w:rsidR="009357E9" w:rsidRPr="007A7643">
        <w:rPr>
          <w:rFonts w:eastAsia="Calibri"/>
          <w:sz w:val="28"/>
          <w:szCs w:val="28"/>
        </w:rPr>
        <w:t xml:space="preserve">negatīvi ietekmētas putnu sugām, ar kuru aizsardzību pamatota </w:t>
      </w:r>
      <w:proofErr w:type="spellStart"/>
      <w:r w:rsidR="009357E9" w:rsidRPr="007A7643">
        <w:rPr>
          <w:rFonts w:eastAsia="Calibri"/>
          <w:sz w:val="28"/>
          <w:szCs w:val="28"/>
        </w:rPr>
        <w:t>Natura</w:t>
      </w:r>
      <w:proofErr w:type="spellEnd"/>
      <w:r w:rsidR="009357E9" w:rsidRPr="007A7643">
        <w:rPr>
          <w:rFonts w:eastAsia="Calibri"/>
          <w:sz w:val="28"/>
          <w:szCs w:val="28"/>
        </w:rPr>
        <w:t xml:space="preserve"> 2000 teritorijas izveidošana un aizsardzība, piemērotas dzīvotnes</w:t>
      </w:r>
      <w:r w:rsidR="009414C7" w:rsidRPr="007A7643">
        <w:rPr>
          <w:rFonts w:eastAsia="Calibri"/>
          <w:sz w:val="28"/>
          <w:szCs w:val="28"/>
        </w:rPr>
        <w:t>. P</w:t>
      </w:r>
      <w:r w:rsidRPr="007A7643">
        <w:rPr>
          <w:rFonts w:eastAsia="Calibri"/>
          <w:sz w:val="28"/>
          <w:szCs w:val="28"/>
        </w:rPr>
        <w:t>iemērotu dzīvotņu p</w:t>
      </w:r>
      <w:r w:rsidR="009414C7" w:rsidRPr="007A7643">
        <w:rPr>
          <w:rFonts w:eastAsia="Calibri"/>
          <w:sz w:val="28"/>
          <w:szCs w:val="28"/>
        </w:rPr>
        <w:t>latību samazinājums</w:t>
      </w:r>
      <w:r w:rsidRPr="007A7643">
        <w:rPr>
          <w:rFonts w:eastAsia="Calibri"/>
          <w:sz w:val="28"/>
          <w:szCs w:val="28"/>
        </w:rPr>
        <w:t xml:space="preserve"> negatīvās ietekmes dēļ</w:t>
      </w:r>
      <w:r w:rsidR="009414C7" w:rsidRPr="007A7643">
        <w:rPr>
          <w:rFonts w:eastAsia="Calibri"/>
          <w:sz w:val="28"/>
          <w:szCs w:val="28"/>
        </w:rPr>
        <w:t xml:space="preserve"> skars 26 % </w:t>
      </w:r>
      <w:r w:rsidR="00370506" w:rsidRPr="007A7643">
        <w:rPr>
          <w:rFonts w:eastAsia="Calibri"/>
          <w:sz w:val="28"/>
          <w:szCs w:val="28"/>
        </w:rPr>
        <w:t xml:space="preserve">jeb 56,8 ha </w:t>
      </w:r>
      <w:r w:rsidR="009414C7" w:rsidRPr="007A7643">
        <w:rPr>
          <w:rFonts w:eastAsia="Calibri"/>
          <w:sz w:val="28"/>
          <w:szCs w:val="28"/>
        </w:rPr>
        <w:t>no Dabas lieguma I</w:t>
      </w:r>
      <w:r w:rsidRPr="007A7643">
        <w:rPr>
          <w:rFonts w:eastAsia="Calibri"/>
          <w:sz w:val="28"/>
          <w:szCs w:val="28"/>
        </w:rPr>
        <w:t> </w:t>
      </w:r>
      <w:r w:rsidR="009414C7" w:rsidRPr="007A7643">
        <w:rPr>
          <w:rFonts w:eastAsia="Calibri"/>
          <w:sz w:val="28"/>
          <w:szCs w:val="28"/>
        </w:rPr>
        <w:t xml:space="preserve">teritorijas </w:t>
      </w:r>
      <w:r w:rsidRPr="007A7643">
        <w:rPr>
          <w:rFonts w:eastAsia="Calibri"/>
          <w:sz w:val="28"/>
          <w:szCs w:val="28"/>
        </w:rPr>
        <w:t xml:space="preserve">kopējās </w:t>
      </w:r>
      <w:r w:rsidR="009414C7" w:rsidRPr="007A7643">
        <w:rPr>
          <w:rFonts w:eastAsia="Calibri"/>
          <w:sz w:val="28"/>
          <w:szCs w:val="28"/>
        </w:rPr>
        <w:t>platības.</w:t>
      </w:r>
    </w:p>
    <w:p w14:paraId="3D7DF229" w14:textId="10E49414" w:rsidR="006A5162" w:rsidRPr="007A7643" w:rsidRDefault="009000D1" w:rsidP="00AB448F">
      <w:pPr>
        <w:spacing w:line="240" w:lineRule="auto"/>
        <w:ind w:right="-483" w:firstLine="851"/>
        <w:jc w:val="both"/>
        <w:rPr>
          <w:rFonts w:eastAsia="Calibri"/>
          <w:sz w:val="28"/>
          <w:szCs w:val="28"/>
        </w:rPr>
      </w:pPr>
      <w:proofErr w:type="spellStart"/>
      <w:r w:rsidRPr="009000D1">
        <w:rPr>
          <w:rFonts w:eastAsia="Calibri"/>
          <w:sz w:val="28"/>
          <w:szCs w:val="28"/>
        </w:rPr>
        <w:t>Natura</w:t>
      </w:r>
      <w:proofErr w:type="spellEnd"/>
      <w:r w:rsidRPr="009000D1">
        <w:rPr>
          <w:rFonts w:eastAsia="Calibri"/>
          <w:sz w:val="28"/>
          <w:szCs w:val="28"/>
        </w:rPr>
        <w:t xml:space="preserve"> 2000 teritorijā ir sastopamas Ministru kabineta 2006. gada 21.</w:t>
      </w:r>
      <w:r w:rsidR="00C610A3">
        <w:rPr>
          <w:rFonts w:eastAsia="Calibri"/>
          <w:sz w:val="28"/>
          <w:szCs w:val="28"/>
        </w:rPr>
        <w:t> </w:t>
      </w:r>
      <w:r w:rsidRPr="009000D1">
        <w:rPr>
          <w:rFonts w:eastAsia="Calibri"/>
          <w:sz w:val="28"/>
          <w:szCs w:val="28"/>
        </w:rPr>
        <w:t xml:space="preserve">februāra noteikumu Nr. 153 “Noteikumi par Latvijā sastopamo Eiropas Savienības prioritāri aizsargājamo sugu un biotopu sarakstu” pielikumā noteiktās Latvijā </w:t>
      </w:r>
      <w:r w:rsidR="00F0711C" w:rsidRPr="009000D1">
        <w:rPr>
          <w:sz w:val="28"/>
          <w:szCs w:val="28"/>
        </w:rPr>
        <w:t>ES</w:t>
      </w:r>
      <w:r w:rsidR="006A5162" w:rsidRPr="009000D1">
        <w:rPr>
          <w:sz w:val="28"/>
          <w:szCs w:val="28"/>
        </w:rPr>
        <w:t xml:space="preserve"> prioritārās sugas un biotopi, tomēr saskaņā ar Ziņojumu Paredzētajai darbībai</w:t>
      </w:r>
      <w:r w:rsidR="006A5162" w:rsidRPr="007A7643">
        <w:rPr>
          <w:sz w:val="28"/>
          <w:szCs w:val="28"/>
        </w:rPr>
        <w:t xml:space="preserve"> nebūs negatīva ietekme uz </w:t>
      </w:r>
      <w:r w:rsidR="00B465F7">
        <w:rPr>
          <w:sz w:val="28"/>
          <w:szCs w:val="28"/>
        </w:rPr>
        <w:t>prioritārām</w:t>
      </w:r>
      <w:r w:rsidR="009414C7" w:rsidRPr="007A7643">
        <w:rPr>
          <w:sz w:val="28"/>
          <w:szCs w:val="28"/>
        </w:rPr>
        <w:t xml:space="preserve"> sugām vai biotopiem, kuru aizsardzībai </w:t>
      </w:r>
      <w:proofErr w:type="spellStart"/>
      <w:r w:rsidR="009414C7" w:rsidRPr="007A7643">
        <w:rPr>
          <w:sz w:val="28"/>
          <w:szCs w:val="28"/>
        </w:rPr>
        <w:t>Natura</w:t>
      </w:r>
      <w:proofErr w:type="spellEnd"/>
      <w:r w:rsidR="009414C7" w:rsidRPr="007A7643">
        <w:rPr>
          <w:sz w:val="28"/>
          <w:szCs w:val="28"/>
        </w:rPr>
        <w:t xml:space="preserve"> 2000 teritorija veidota</w:t>
      </w:r>
      <w:r w:rsidR="006A5162" w:rsidRPr="007A7643">
        <w:rPr>
          <w:sz w:val="28"/>
          <w:szCs w:val="28"/>
        </w:rPr>
        <w:t>.</w:t>
      </w:r>
    </w:p>
    <w:p w14:paraId="23BFEF54" w14:textId="1A252E68" w:rsidR="007A0E92" w:rsidRPr="007A7643" w:rsidRDefault="007A0E92" w:rsidP="00AB448F">
      <w:pPr>
        <w:spacing w:line="240" w:lineRule="auto"/>
        <w:ind w:right="-483" w:firstLine="851"/>
        <w:jc w:val="both"/>
        <w:rPr>
          <w:rFonts w:eastAsia="Calibri"/>
          <w:sz w:val="28"/>
          <w:szCs w:val="28"/>
        </w:rPr>
      </w:pPr>
      <w:r w:rsidRPr="007A7643">
        <w:rPr>
          <w:rFonts w:eastAsia="Calibri"/>
          <w:sz w:val="28"/>
          <w:szCs w:val="28"/>
        </w:rPr>
        <w:t xml:space="preserve">Saskaņā ar Ziņojumu </w:t>
      </w:r>
      <w:r w:rsidR="009414C7" w:rsidRPr="007A7643">
        <w:rPr>
          <w:rFonts w:eastAsia="Calibri"/>
          <w:sz w:val="28"/>
          <w:szCs w:val="28"/>
        </w:rPr>
        <w:t xml:space="preserve">būtiska </w:t>
      </w:r>
      <w:r w:rsidRPr="007A7643">
        <w:rPr>
          <w:rFonts w:eastAsia="Calibri"/>
          <w:sz w:val="28"/>
          <w:szCs w:val="28"/>
        </w:rPr>
        <w:t>n</w:t>
      </w:r>
      <w:r w:rsidR="002E1260" w:rsidRPr="007A7643">
        <w:rPr>
          <w:rFonts w:eastAsia="Calibri"/>
          <w:sz w:val="28"/>
          <w:szCs w:val="28"/>
        </w:rPr>
        <w:t>egatīv</w:t>
      </w:r>
      <w:r w:rsidR="009414C7" w:rsidRPr="007A7643">
        <w:rPr>
          <w:rFonts w:eastAsia="Calibri"/>
          <w:sz w:val="28"/>
          <w:szCs w:val="28"/>
        </w:rPr>
        <w:t>a</w:t>
      </w:r>
      <w:r w:rsidR="002E1260" w:rsidRPr="007A7643">
        <w:rPr>
          <w:rFonts w:eastAsia="Calibri"/>
          <w:sz w:val="28"/>
          <w:szCs w:val="28"/>
        </w:rPr>
        <w:t xml:space="preserve"> ietekme </w:t>
      </w:r>
      <w:r w:rsidR="009357E9" w:rsidRPr="007A7643">
        <w:rPr>
          <w:rFonts w:eastAsia="Calibri"/>
          <w:sz w:val="28"/>
          <w:szCs w:val="28"/>
        </w:rPr>
        <w:t xml:space="preserve">uz </w:t>
      </w:r>
      <w:proofErr w:type="spellStart"/>
      <w:r w:rsidR="009414C7" w:rsidRPr="007A7643">
        <w:rPr>
          <w:rFonts w:eastAsia="Calibri"/>
          <w:sz w:val="28"/>
          <w:szCs w:val="28"/>
        </w:rPr>
        <w:t>Natura</w:t>
      </w:r>
      <w:proofErr w:type="spellEnd"/>
      <w:r w:rsidR="009414C7" w:rsidRPr="007A7643">
        <w:rPr>
          <w:rFonts w:eastAsia="Calibri"/>
          <w:sz w:val="28"/>
          <w:szCs w:val="28"/>
        </w:rPr>
        <w:t xml:space="preserve"> 2000 teritorijas </w:t>
      </w:r>
      <w:proofErr w:type="spellStart"/>
      <w:r w:rsidR="009357E9" w:rsidRPr="007A7643">
        <w:rPr>
          <w:rFonts w:eastAsia="Calibri"/>
          <w:sz w:val="28"/>
          <w:szCs w:val="28"/>
        </w:rPr>
        <w:t>ornitofaunu</w:t>
      </w:r>
      <w:proofErr w:type="spellEnd"/>
      <w:r w:rsidR="009357E9" w:rsidRPr="007A7643">
        <w:rPr>
          <w:rFonts w:eastAsia="Calibri"/>
          <w:sz w:val="28"/>
          <w:szCs w:val="28"/>
        </w:rPr>
        <w:t xml:space="preserve"> </w:t>
      </w:r>
      <w:r w:rsidR="002E1260" w:rsidRPr="007A7643">
        <w:rPr>
          <w:rFonts w:eastAsia="Calibri"/>
          <w:sz w:val="28"/>
          <w:szCs w:val="28"/>
        </w:rPr>
        <w:t xml:space="preserve">sagaidāma 56,8 ha lielā </w:t>
      </w:r>
      <w:r w:rsidR="00370506" w:rsidRPr="007A7643">
        <w:rPr>
          <w:rFonts w:eastAsia="Calibri"/>
          <w:sz w:val="28"/>
          <w:szCs w:val="28"/>
        </w:rPr>
        <w:t>platībā (500 m joslā uz abām pusēm no plānotā tilta)</w:t>
      </w:r>
      <w:r w:rsidR="002E1260" w:rsidRPr="007A7643">
        <w:rPr>
          <w:rFonts w:eastAsia="Calibri"/>
          <w:sz w:val="28"/>
          <w:szCs w:val="28"/>
        </w:rPr>
        <w:t xml:space="preserve">, kas šķērsos (fragmentēs) </w:t>
      </w:r>
      <w:proofErr w:type="spellStart"/>
      <w:r w:rsidR="009414C7" w:rsidRPr="007A7643">
        <w:rPr>
          <w:rFonts w:eastAsia="Calibri"/>
          <w:sz w:val="28"/>
          <w:szCs w:val="28"/>
        </w:rPr>
        <w:t>Natura</w:t>
      </w:r>
      <w:proofErr w:type="spellEnd"/>
      <w:r w:rsidR="009414C7" w:rsidRPr="007A7643">
        <w:rPr>
          <w:rFonts w:eastAsia="Calibri"/>
          <w:sz w:val="28"/>
          <w:szCs w:val="28"/>
        </w:rPr>
        <w:t xml:space="preserve"> 2000 teritorijas I </w:t>
      </w:r>
      <w:r w:rsidR="002E1260" w:rsidRPr="007A7643">
        <w:rPr>
          <w:rFonts w:eastAsia="Calibri"/>
          <w:sz w:val="28"/>
          <w:szCs w:val="28"/>
        </w:rPr>
        <w:t xml:space="preserve">teritoriju, un tā izpaudīsies kā putniem piemērotu dzīvotņu zudums, kvalitātes pasliktināšanās un traucējumu </w:t>
      </w:r>
      <w:r w:rsidR="0024539E" w:rsidRPr="007A7643">
        <w:rPr>
          <w:rFonts w:eastAsia="Calibri"/>
          <w:sz w:val="28"/>
          <w:szCs w:val="28"/>
        </w:rPr>
        <w:t xml:space="preserve">(trokšņi, gaisma) </w:t>
      </w:r>
      <w:r w:rsidR="002E1260" w:rsidRPr="007A7643">
        <w:rPr>
          <w:rFonts w:eastAsia="Calibri"/>
          <w:sz w:val="28"/>
          <w:szCs w:val="28"/>
        </w:rPr>
        <w:t xml:space="preserve">palielināšanās, kas summēsies ar pastāvošajiem negatīvas ietekmes uz </w:t>
      </w:r>
      <w:proofErr w:type="spellStart"/>
      <w:r w:rsidR="002E1260" w:rsidRPr="007A7643">
        <w:rPr>
          <w:rFonts w:eastAsia="Calibri"/>
          <w:sz w:val="28"/>
          <w:szCs w:val="28"/>
        </w:rPr>
        <w:t>Natura</w:t>
      </w:r>
      <w:proofErr w:type="spellEnd"/>
      <w:r w:rsidR="002E1260" w:rsidRPr="007A7643">
        <w:rPr>
          <w:rFonts w:eastAsia="Calibri"/>
          <w:sz w:val="28"/>
          <w:szCs w:val="28"/>
        </w:rPr>
        <w:t xml:space="preserve"> 2000 teritoriju faktoriem (galvenokārt aizaugšana), kuru rezultātā ievērojami sarukusi (vai atsevišķām sugām izzudusi) ligzdošana Dabas lieguma teritorijā</w:t>
      </w:r>
      <w:r w:rsidR="008037CA" w:rsidRPr="007A7643">
        <w:rPr>
          <w:rFonts w:eastAsia="Calibri"/>
          <w:sz w:val="28"/>
          <w:szCs w:val="28"/>
        </w:rPr>
        <w:t xml:space="preserve">. </w:t>
      </w:r>
      <w:r w:rsidR="00690AF9" w:rsidRPr="007A7643">
        <w:rPr>
          <w:rFonts w:eastAsia="Calibri"/>
          <w:sz w:val="28"/>
          <w:szCs w:val="28"/>
        </w:rPr>
        <w:t xml:space="preserve">Tā kā </w:t>
      </w:r>
      <w:proofErr w:type="spellStart"/>
      <w:r w:rsidR="00690AF9" w:rsidRPr="007A7643">
        <w:rPr>
          <w:rFonts w:eastAsia="Calibri"/>
          <w:sz w:val="28"/>
          <w:szCs w:val="28"/>
        </w:rPr>
        <w:t>Natura</w:t>
      </w:r>
      <w:proofErr w:type="spellEnd"/>
      <w:r w:rsidR="00690AF9" w:rsidRPr="007A7643">
        <w:rPr>
          <w:rFonts w:eastAsia="Calibri"/>
          <w:sz w:val="28"/>
          <w:szCs w:val="28"/>
        </w:rPr>
        <w:t xml:space="preserve"> 2000 teritorija </w:t>
      </w:r>
      <w:r w:rsidR="00690AF9" w:rsidRPr="007A7643">
        <w:rPr>
          <w:sz w:val="28"/>
          <w:szCs w:val="28"/>
        </w:rPr>
        <w:t xml:space="preserve">nespēj nodrošināt optimālus ligzdošanas un barošanās apstākļus </w:t>
      </w:r>
      <w:r w:rsidR="00690AF9" w:rsidRPr="007A7643">
        <w:rPr>
          <w:sz w:val="28"/>
          <w:szCs w:val="28"/>
        </w:rPr>
        <w:lastRenderedPageBreak/>
        <w:t>putniem bez cilvēka aktīvas un mērķtiecīgas darbības, kas vērsta uz dzīvotņu apsaimniekošanu atbilstoši putnu interesēm, bet li</w:t>
      </w:r>
      <w:r w:rsidR="008037CA" w:rsidRPr="007A7643">
        <w:rPr>
          <w:rFonts w:eastAsia="Calibri"/>
          <w:sz w:val="28"/>
          <w:szCs w:val="28"/>
        </w:rPr>
        <w:t>gzdošanas</w:t>
      </w:r>
      <w:r w:rsidR="002E1260" w:rsidRPr="007A7643">
        <w:rPr>
          <w:rFonts w:eastAsia="Calibri"/>
          <w:sz w:val="28"/>
          <w:szCs w:val="28"/>
        </w:rPr>
        <w:t xml:space="preserve"> atjauno</w:t>
      </w:r>
      <w:r w:rsidR="0024539E" w:rsidRPr="007A7643">
        <w:rPr>
          <w:rFonts w:eastAsia="Calibri"/>
          <w:sz w:val="28"/>
          <w:szCs w:val="28"/>
        </w:rPr>
        <w:t>šanās būtu</w:t>
      </w:r>
      <w:r w:rsidR="002E1260" w:rsidRPr="007A7643">
        <w:rPr>
          <w:rFonts w:eastAsia="Calibri"/>
          <w:sz w:val="28"/>
          <w:szCs w:val="28"/>
        </w:rPr>
        <w:t xml:space="preserve"> iespējama, veicot apsaimniekošanas pas</w:t>
      </w:r>
      <w:r w:rsidR="008037CA" w:rsidRPr="007A7643">
        <w:rPr>
          <w:rFonts w:eastAsia="Calibri"/>
          <w:sz w:val="28"/>
          <w:szCs w:val="28"/>
        </w:rPr>
        <w:t xml:space="preserve">ākumus </w:t>
      </w:r>
      <w:r w:rsidR="00D410A9">
        <w:rPr>
          <w:rFonts w:eastAsia="Calibri"/>
          <w:sz w:val="28"/>
          <w:szCs w:val="28"/>
        </w:rPr>
        <w:t>–</w:t>
      </w:r>
      <w:r w:rsidR="00D410A9" w:rsidRPr="007A7643">
        <w:rPr>
          <w:rFonts w:eastAsia="Calibri"/>
          <w:sz w:val="28"/>
          <w:szCs w:val="28"/>
        </w:rPr>
        <w:t xml:space="preserve"> </w:t>
      </w:r>
      <w:r w:rsidR="0024539E" w:rsidRPr="007A7643">
        <w:rPr>
          <w:rFonts w:eastAsia="Calibri"/>
          <w:sz w:val="28"/>
          <w:szCs w:val="28"/>
        </w:rPr>
        <w:t xml:space="preserve">putniem </w:t>
      </w:r>
      <w:r w:rsidR="0024539E" w:rsidRPr="007A7643">
        <w:rPr>
          <w:sz w:val="28"/>
          <w:szCs w:val="28"/>
        </w:rPr>
        <w:t xml:space="preserve">piemēroto un vēsturiski piemēroto dzīvotņu platību sarukums novērtēts kā būtiski nelabvēlīgs un tāds, kas ir pretrunā </w:t>
      </w:r>
      <w:proofErr w:type="spellStart"/>
      <w:r w:rsidR="0024539E" w:rsidRPr="007A7643">
        <w:rPr>
          <w:sz w:val="28"/>
          <w:szCs w:val="28"/>
        </w:rPr>
        <w:t>Natura</w:t>
      </w:r>
      <w:proofErr w:type="spellEnd"/>
      <w:r w:rsidR="0024539E" w:rsidRPr="007A7643">
        <w:rPr>
          <w:sz w:val="28"/>
          <w:szCs w:val="28"/>
        </w:rPr>
        <w:t xml:space="preserve"> 2000 izveides mērķiem. </w:t>
      </w:r>
      <w:r w:rsidR="00690AF9" w:rsidRPr="007A7643">
        <w:rPr>
          <w:rFonts w:eastAsia="Calibri"/>
          <w:sz w:val="28"/>
          <w:szCs w:val="28"/>
        </w:rPr>
        <w:t>Paredzētās darbības</w:t>
      </w:r>
      <w:r w:rsidR="008037CA" w:rsidRPr="007A7643">
        <w:rPr>
          <w:rFonts w:eastAsia="Calibri"/>
          <w:sz w:val="28"/>
          <w:szCs w:val="28"/>
        </w:rPr>
        <w:t xml:space="preserve"> i</w:t>
      </w:r>
      <w:r w:rsidR="002E1260" w:rsidRPr="007A7643">
        <w:rPr>
          <w:rFonts w:eastAsia="Calibri"/>
          <w:sz w:val="28"/>
          <w:szCs w:val="28"/>
        </w:rPr>
        <w:t xml:space="preserve">etekme kā būtiski nelabvēlīga </w:t>
      </w:r>
      <w:r w:rsidRPr="007A7643">
        <w:rPr>
          <w:rFonts w:eastAsia="Calibri"/>
          <w:sz w:val="28"/>
          <w:szCs w:val="28"/>
        </w:rPr>
        <w:t xml:space="preserve">Ziņojumā </w:t>
      </w:r>
      <w:r w:rsidR="002E1260" w:rsidRPr="007A7643">
        <w:rPr>
          <w:rFonts w:eastAsia="Calibri"/>
          <w:sz w:val="28"/>
          <w:szCs w:val="28"/>
        </w:rPr>
        <w:t>novērtēta šādām putnu sugām: pļavu tilbīte (</w:t>
      </w:r>
      <w:proofErr w:type="spellStart"/>
      <w:r w:rsidR="002E1260" w:rsidRPr="007A7643">
        <w:rPr>
          <w:rFonts w:eastAsia="Calibri"/>
          <w:i/>
          <w:sz w:val="28"/>
          <w:szCs w:val="28"/>
        </w:rPr>
        <w:t>Tringa</w:t>
      </w:r>
      <w:proofErr w:type="spellEnd"/>
      <w:r w:rsidR="002E1260" w:rsidRPr="007A7643">
        <w:rPr>
          <w:rFonts w:eastAsia="Calibri"/>
          <w:i/>
          <w:sz w:val="28"/>
          <w:szCs w:val="28"/>
        </w:rPr>
        <w:t xml:space="preserve"> </w:t>
      </w:r>
      <w:proofErr w:type="spellStart"/>
      <w:r w:rsidR="002E1260" w:rsidRPr="007A7643">
        <w:rPr>
          <w:rFonts w:eastAsia="Calibri"/>
          <w:i/>
          <w:sz w:val="28"/>
          <w:szCs w:val="28"/>
        </w:rPr>
        <w:t>totanus</w:t>
      </w:r>
      <w:proofErr w:type="spellEnd"/>
      <w:r w:rsidR="002E1260" w:rsidRPr="007A7643">
        <w:rPr>
          <w:rFonts w:eastAsia="Calibri"/>
          <w:sz w:val="28"/>
          <w:szCs w:val="28"/>
        </w:rPr>
        <w:t xml:space="preserve">), melnā </w:t>
      </w:r>
      <w:proofErr w:type="spellStart"/>
      <w:r w:rsidR="002E1260" w:rsidRPr="007A7643">
        <w:rPr>
          <w:rFonts w:eastAsia="Calibri"/>
          <w:sz w:val="28"/>
          <w:szCs w:val="28"/>
        </w:rPr>
        <w:t>pusk</w:t>
      </w:r>
      <w:r w:rsidR="00B465F7">
        <w:rPr>
          <w:rFonts w:eastAsia="Calibri"/>
          <w:sz w:val="28"/>
          <w:szCs w:val="28"/>
        </w:rPr>
        <w:t>u</w:t>
      </w:r>
      <w:r w:rsidR="002E1260" w:rsidRPr="007A7643">
        <w:rPr>
          <w:rFonts w:eastAsia="Calibri"/>
          <w:sz w:val="28"/>
          <w:szCs w:val="28"/>
        </w:rPr>
        <w:t>itala</w:t>
      </w:r>
      <w:proofErr w:type="spellEnd"/>
      <w:r w:rsidR="002E1260" w:rsidRPr="007A7643">
        <w:rPr>
          <w:rFonts w:eastAsia="Calibri"/>
          <w:sz w:val="28"/>
          <w:szCs w:val="28"/>
        </w:rPr>
        <w:t xml:space="preserve"> (</w:t>
      </w:r>
      <w:proofErr w:type="spellStart"/>
      <w:r w:rsidR="002E1260" w:rsidRPr="007A7643">
        <w:rPr>
          <w:rFonts w:eastAsia="Calibri"/>
          <w:i/>
          <w:sz w:val="28"/>
          <w:szCs w:val="28"/>
        </w:rPr>
        <w:t>Limosa</w:t>
      </w:r>
      <w:proofErr w:type="spellEnd"/>
      <w:r w:rsidR="002E1260" w:rsidRPr="007A7643">
        <w:rPr>
          <w:rFonts w:eastAsia="Calibri"/>
          <w:i/>
          <w:sz w:val="28"/>
          <w:szCs w:val="28"/>
        </w:rPr>
        <w:t xml:space="preserve"> </w:t>
      </w:r>
      <w:proofErr w:type="spellStart"/>
      <w:r w:rsidR="002E1260" w:rsidRPr="007A7643">
        <w:rPr>
          <w:rFonts w:eastAsia="Calibri"/>
          <w:i/>
          <w:sz w:val="28"/>
          <w:szCs w:val="28"/>
        </w:rPr>
        <w:t>limosa</w:t>
      </w:r>
      <w:proofErr w:type="spellEnd"/>
      <w:r w:rsidR="002E1260" w:rsidRPr="007A7643">
        <w:rPr>
          <w:rFonts w:eastAsia="Calibri"/>
          <w:sz w:val="28"/>
          <w:szCs w:val="28"/>
        </w:rPr>
        <w:t>), ķikuts (</w:t>
      </w:r>
      <w:proofErr w:type="spellStart"/>
      <w:r w:rsidR="002E1260" w:rsidRPr="007A7643">
        <w:rPr>
          <w:rFonts w:eastAsia="Calibri"/>
          <w:i/>
          <w:sz w:val="28"/>
          <w:szCs w:val="28"/>
        </w:rPr>
        <w:t>Gallinago</w:t>
      </w:r>
      <w:proofErr w:type="spellEnd"/>
      <w:r w:rsidR="002E1260" w:rsidRPr="007A7643">
        <w:rPr>
          <w:rFonts w:eastAsia="Calibri"/>
          <w:i/>
          <w:sz w:val="28"/>
          <w:szCs w:val="28"/>
        </w:rPr>
        <w:t xml:space="preserve"> </w:t>
      </w:r>
      <w:proofErr w:type="spellStart"/>
      <w:r w:rsidR="002E1260" w:rsidRPr="007A7643">
        <w:rPr>
          <w:rFonts w:eastAsia="Calibri"/>
          <w:i/>
          <w:sz w:val="28"/>
          <w:szCs w:val="28"/>
        </w:rPr>
        <w:t>media</w:t>
      </w:r>
      <w:proofErr w:type="spellEnd"/>
      <w:r w:rsidR="002E1260" w:rsidRPr="007A7643">
        <w:rPr>
          <w:rFonts w:eastAsia="Calibri"/>
          <w:sz w:val="28"/>
          <w:szCs w:val="28"/>
        </w:rPr>
        <w:t>), grieze (</w:t>
      </w:r>
      <w:proofErr w:type="spellStart"/>
      <w:r w:rsidR="002E1260" w:rsidRPr="007A7643">
        <w:rPr>
          <w:rFonts w:eastAsia="Calibri"/>
          <w:i/>
          <w:sz w:val="28"/>
          <w:szCs w:val="28"/>
        </w:rPr>
        <w:t>Crex</w:t>
      </w:r>
      <w:proofErr w:type="spellEnd"/>
      <w:r w:rsidR="002E1260" w:rsidRPr="007A7643">
        <w:rPr>
          <w:rFonts w:eastAsia="Calibri"/>
          <w:i/>
          <w:sz w:val="28"/>
          <w:szCs w:val="28"/>
        </w:rPr>
        <w:t xml:space="preserve"> </w:t>
      </w:r>
      <w:proofErr w:type="spellStart"/>
      <w:r w:rsidR="002E1260" w:rsidRPr="007A7643">
        <w:rPr>
          <w:rFonts w:eastAsia="Calibri"/>
          <w:i/>
          <w:sz w:val="28"/>
          <w:szCs w:val="28"/>
        </w:rPr>
        <w:t>crex</w:t>
      </w:r>
      <w:proofErr w:type="spellEnd"/>
      <w:r w:rsidR="002E1260" w:rsidRPr="007A7643">
        <w:rPr>
          <w:rFonts w:eastAsia="Calibri"/>
          <w:sz w:val="28"/>
          <w:szCs w:val="28"/>
        </w:rPr>
        <w:t>), ormanītis (</w:t>
      </w:r>
      <w:proofErr w:type="spellStart"/>
      <w:r w:rsidR="002E1260" w:rsidRPr="007A7643">
        <w:rPr>
          <w:rFonts w:eastAsia="Calibri"/>
          <w:i/>
          <w:sz w:val="28"/>
          <w:szCs w:val="28"/>
        </w:rPr>
        <w:t>Porzana</w:t>
      </w:r>
      <w:proofErr w:type="spellEnd"/>
      <w:r w:rsidR="002E1260" w:rsidRPr="007A7643">
        <w:rPr>
          <w:rFonts w:eastAsia="Calibri"/>
          <w:i/>
          <w:sz w:val="28"/>
          <w:szCs w:val="28"/>
        </w:rPr>
        <w:t xml:space="preserve"> </w:t>
      </w:r>
      <w:proofErr w:type="spellStart"/>
      <w:r w:rsidR="002E1260" w:rsidRPr="007A7643">
        <w:rPr>
          <w:rFonts w:eastAsia="Calibri"/>
          <w:i/>
          <w:sz w:val="28"/>
          <w:szCs w:val="28"/>
        </w:rPr>
        <w:t>porzana</w:t>
      </w:r>
      <w:proofErr w:type="spellEnd"/>
      <w:r w:rsidR="002E1260" w:rsidRPr="007A7643">
        <w:rPr>
          <w:rFonts w:eastAsia="Calibri"/>
          <w:sz w:val="28"/>
          <w:szCs w:val="28"/>
        </w:rPr>
        <w:t>), mazais ormanītis (</w:t>
      </w:r>
      <w:proofErr w:type="spellStart"/>
      <w:r w:rsidR="002E1260" w:rsidRPr="007A7643">
        <w:rPr>
          <w:rFonts w:eastAsia="Calibri"/>
          <w:i/>
          <w:sz w:val="28"/>
          <w:szCs w:val="28"/>
        </w:rPr>
        <w:t>Porzana</w:t>
      </w:r>
      <w:proofErr w:type="spellEnd"/>
      <w:r w:rsidR="002E1260" w:rsidRPr="007A7643">
        <w:rPr>
          <w:rFonts w:eastAsia="Calibri"/>
          <w:i/>
          <w:sz w:val="28"/>
          <w:szCs w:val="28"/>
        </w:rPr>
        <w:t xml:space="preserve"> </w:t>
      </w:r>
      <w:proofErr w:type="spellStart"/>
      <w:r w:rsidR="002E1260" w:rsidRPr="007A7643">
        <w:rPr>
          <w:rFonts w:eastAsia="Calibri"/>
          <w:i/>
          <w:sz w:val="28"/>
          <w:szCs w:val="28"/>
        </w:rPr>
        <w:t>parva</w:t>
      </w:r>
      <w:proofErr w:type="spellEnd"/>
      <w:r w:rsidR="002E1260" w:rsidRPr="007A7643">
        <w:rPr>
          <w:rFonts w:eastAsia="Calibri"/>
          <w:sz w:val="28"/>
          <w:szCs w:val="28"/>
        </w:rPr>
        <w:t>) un melnais zīriņš (</w:t>
      </w:r>
      <w:proofErr w:type="spellStart"/>
      <w:r w:rsidR="002E1260" w:rsidRPr="007A7643">
        <w:rPr>
          <w:rFonts w:eastAsia="Calibri"/>
          <w:i/>
          <w:sz w:val="28"/>
          <w:szCs w:val="28"/>
        </w:rPr>
        <w:t>Chlidonias</w:t>
      </w:r>
      <w:proofErr w:type="spellEnd"/>
      <w:r w:rsidR="002E1260" w:rsidRPr="007A7643">
        <w:rPr>
          <w:rFonts w:eastAsia="Calibri"/>
          <w:i/>
          <w:sz w:val="28"/>
          <w:szCs w:val="28"/>
        </w:rPr>
        <w:t xml:space="preserve"> niger</w:t>
      </w:r>
      <w:r w:rsidR="002E1260" w:rsidRPr="007A7643">
        <w:rPr>
          <w:rFonts w:eastAsia="Calibri"/>
          <w:sz w:val="28"/>
          <w:szCs w:val="28"/>
        </w:rPr>
        <w:t>)</w:t>
      </w:r>
      <w:r w:rsidR="008037CA" w:rsidRPr="007A7643">
        <w:rPr>
          <w:rStyle w:val="FootnoteReference"/>
          <w:rFonts w:eastAsia="Calibri"/>
          <w:sz w:val="28"/>
          <w:szCs w:val="28"/>
        </w:rPr>
        <w:footnoteReference w:id="15"/>
      </w:r>
      <w:r w:rsidR="00CD1ED0" w:rsidRPr="007A7643">
        <w:rPr>
          <w:rFonts w:eastAsia="Calibri"/>
          <w:sz w:val="28"/>
          <w:szCs w:val="28"/>
        </w:rPr>
        <w:t xml:space="preserve">, no kurām trīs putnu sugas norādītas </w:t>
      </w:r>
      <w:proofErr w:type="spellStart"/>
      <w:r w:rsidR="00CD1ED0" w:rsidRPr="007A7643">
        <w:rPr>
          <w:rFonts w:eastAsia="Calibri"/>
          <w:sz w:val="28"/>
          <w:szCs w:val="28"/>
        </w:rPr>
        <w:t>Natura</w:t>
      </w:r>
      <w:proofErr w:type="spellEnd"/>
      <w:r w:rsidR="00CD1ED0" w:rsidRPr="007A7643">
        <w:rPr>
          <w:rFonts w:eastAsia="Calibri"/>
          <w:sz w:val="28"/>
          <w:szCs w:val="28"/>
        </w:rPr>
        <w:t xml:space="preserve"> 2000</w:t>
      </w:r>
      <w:r w:rsidR="009414C7" w:rsidRPr="007A7643">
        <w:rPr>
          <w:rFonts w:eastAsia="Calibri"/>
          <w:sz w:val="28"/>
          <w:szCs w:val="28"/>
        </w:rPr>
        <w:t xml:space="preserve"> </w:t>
      </w:r>
      <w:r w:rsidR="00CD1ED0" w:rsidRPr="007A7643">
        <w:rPr>
          <w:rFonts w:eastAsia="Calibri"/>
          <w:sz w:val="28"/>
          <w:szCs w:val="28"/>
        </w:rPr>
        <w:t>teritorijas standarta daru formas 4.2. </w:t>
      </w:r>
      <w:r w:rsidR="00D410A9">
        <w:rPr>
          <w:rFonts w:eastAsia="Calibri"/>
          <w:sz w:val="28"/>
          <w:szCs w:val="28"/>
        </w:rPr>
        <w:t>apakš</w:t>
      </w:r>
      <w:r w:rsidR="00CD1ED0" w:rsidRPr="007A7643">
        <w:rPr>
          <w:rFonts w:eastAsia="Calibri"/>
          <w:sz w:val="28"/>
          <w:szCs w:val="28"/>
        </w:rPr>
        <w:t xml:space="preserve">punktā kā teritorijas kvalitātes un nozīmības kritērijs. </w:t>
      </w:r>
      <w:r w:rsidRPr="007A7643">
        <w:rPr>
          <w:sz w:val="28"/>
          <w:szCs w:val="28"/>
        </w:rPr>
        <w:t>Saskaņā ar sertificēta dabas eksperta</w:t>
      </w:r>
      <w:r w:rsidRPr="007A7643">
        <w:rPr>
          <w:rStyle w:val="FootnoteReference"/>
          <w:sz w:val="28"/>
          <w:szCs w:val="28"/>
        </w:rPr>
        <w:footnoteReference w:id="16"/>
      </w:r>
      <w:r w:rsidRPr="007A7643">
        <w:rPr>
          <w:sz w:val="28"/>
          <w:szCs w:val="28"/>
        </w:rPr>
        <w:t xml:space="preserve"> novērtējumu (Ziņojuma 22. pielikums) </w:t>
      </w:r>
      <w:r w:rsidR="009414C7" w:rsidRPr="007A7643">
        <w:rPr>
          <w:sz w:val="28"/>
          <w:szCs w:val="28"/>
        </w:rPr>
        <w:t>Paredzētās darbības negatīvā</w:t>
      </w:r>
      <w:r w:rsidRPr="007A7643">
        <w:rPr>
          <w:sz w:val="28"/>
          <w:szCs w:val="28"/>
        </w:rPr>
        <w:t xml:space="preserve"> ietekme var būt pieļaujam</w:t>
      </w:r>
      <w:r w:rsidR="00CD1ED0" w:rsidRPr="007A7643">
        <w:rPr>
          <w:sz w:val="28"/>
          <w:szCs w:val="28"/>
        </w:rPr>
        <w:t xml:space="preserve">a </w:t>
      </w:r>
      <w:r w:rsidRPr="007A7643">
        <w:rPr>
          <w:sz w:val="28"/>
          <w:szCs w:val="28"/>
        </w:rPr>
        <w:t xml:space="preserve">tikai gadījumā, ja tiek </w:t>
      </w:r>
      <w:r w:rsidR="00A7175E">
        <w:rPr>
          <w:sz w:val="28"/>
          <w:szCs w:val="28"/>
        </w:rPr>
        <w:t>kompensētas</w:t>
      </w:r>
      <w:r w:rsidRPr="007A7643">
        <w:rPr>
          <w:sz w:val="28"/>
          <w:szCs w:val="28"/>
        </w:rPr>
        <w:t xml:space="preserve"> zaudēto un būtiski negatīvi ietekmēto (putniem piemēroto) dzīvotņu platības.</w:t>
      </w:r>
    </w:p>
    <w:p w14:paraId="154D3A97" w14:textId="1F71FA64" w:rsidR="008037CA" w:rsidRPr="007A7643" w:rsidRDefault="008037CA" w:rsidP="00AB448F">
      <w:pPr>
        <w:spacing w:after="0" w:line="240" w:lineRule="auto"/>
        <w:ind w:right="-483" w:firstLine="851"/>
        <w:jc w:val="both"/>
        <w:rPr>
          <w:sz w:val="28"/>
          <w:szCs w:val="28"/>
        </w:rPr>
      </w:pPr>
      <w:r w:rsidRPr="007A7643">
        <w:rPr>
          <w:sz w:val="28"/>
          <w:szCs w:val="28"/>
        </w:rPr>
        <w:t xml:space="preserve">Saskaņā ar Ziņojumu Paredzētajai darbībai nebūs būtiska negatīva ietekme uz </w:t>
      </w:r>
      <w:proofErr w:type="spellStart"/>
      <w:r w:rsidRPr="007A7643">
        <w:rPr>
          <w:sz w:val="28"/>
          <w:szCs w:val="28"/>
        </w:rPr>
        <w:t>Natura</w:t>
      </w:r>
      <w:proofErr w:type="spellEnd"/>
      <w:r w:rsidRPr="007A7643">
        <w:rPr>
          <w:sz w:val="28"/>
          <w:szCs w:val="28"/>
        </w:rPr>
        <w:t xml:space="preserve"> 2000 teritorijā sastopamiem biotopiem, augu un bezmugurkaulnieku sugām</w:t>
      </w:r>
      <w:r w:rsidR="009357E9" w:rsidRPr="007A7643">
        <w:rPr>
          <w:sz w:val="28"/>
          <w:szCs w:val="28"/>
        </w:rPr>
        <w:t xml:space="preserve">, tomēr </w:t>
      </w:r>
      <w:r w:rsidR="00EF3F54" w:rsidRPr="007A7643">
        <w:rPr>
          <w:sz w:val="28"/>
          <w:szCs w:val="28"/>
        </w:rPr>
        <w:t xml:space="preserve">Paredzētā darbība atstās nelabvēlīgu ietekmi uz Eiropas Savienības nozīmes zālāju biotopiem, kas ir </w:t>
      </w:r>
      <w:proofErr w:type="spellStart"/>
      <w:r w:rsidR="00EF3F54" w:rsidRPr="007A7643">
        <w:rPr>
          <w:sz w:val="28"/>
          <w:szCs w:val="28"/>
        </w:rPr>
        <w:t>Natura</w:t>
      </w:r>
      <w:proofErr w:type="spellEnd"/>
      <w:r w:rsidR="00EF3F54" w:rsidRPr="007A7643">
        <w:rPr>
          <w:sz w:val="28"/>
          <w:szCs w:val="28"/>
        </w:rPr>
        <w:t xml:space="preserve"> 2000 teritorijas aizsardzības mērķis – </w:t>
      </w:r>
      <w:bookmarkStart w:id="9" w:name="_Hlk17883688"/>
      <w:r w:rsidR="00EF3F54" w:rsidRPr="007A7643">
        <w:rPr>
          <w:sz w:val="28"/>
          <w:szCs w:val="28"/>
        </w:rPr>
        <w:t xml:space="preserve">6430 </w:t>
      </w:r>
      <w:proofErr w:type="spellStart"/>
      <w:r w:rsidR="00EF3F54" w:rsidRPr="007A7643">
        <w:rPr>
          <w:i/>
          <w:sz w:val="28"/>
          <w:szCs w:val="28"/>
        </w:rPr>
        <w:t>Eitrofas</w:t>
      </w:r>
      <w:proofErr w:type="spellEnd"/>
      <w:r w:rsidR="00EF3F54" w:rsidRPr="007A7643">
        <w:rPr>
          <w:i/>
          <w:sz w:val="28"/>
          <w:szCs w:val="28"/>
        </w:rPr>
        <w:t xml:space="preserve"> augsto lakstaugu audzes</w:t>
      </w:r>
      <w:bookmarkEnd w:id="9"/>
      <w:r w:rsidR="00EF3F54" w:rsidRPr="007A7643">
        <w:rPr>
          <w:sz w:val="28"/>
          <w:szCs w:val="28"/>
        </w:rPr>
        <w:t xml:space="preserve">, </w:t>
      </w:r>
      <w:bookmarkStart w:id="10" w:name="_Hlk17883732"/>
      <w:r w:rsidR="00EF3F54" w:rsidRPr="007A7643">
        <w:rPr>
          <w:sz w:val="28"/>
          <w:szCs w:val="28"/>
        </w:rPr>
        <w:t xml:space="preserve">6450 </w:t>
      </w:r>
      <w:r w:rsidR="00EF3F54" w:rsidRPr="007A7643">
        <w:rPr>
          <w:i/>
          <w:sz w:val="28"/>
          <w:szCs w:val="28"/>
        </w:rPr>
        <w:t>Palieņu zālāji</w:t>
      </w:r>
      <w:r w:rsidR="00EF3F54" w:rsidRPr="007A7643">
        <w:rPr>
          <w:sz w:val="28"/>
          <w:szCs w:val="28"/>
        </w:rPr>
        <w:t xml:space="preserve"> </w:t>
      </w:r>
      <w:bookmarkEnd w:id="10"/>
      <w:r w:rsidR="00EF3F54" w:rsidRPr="007A7643">
        <w:rPr>
          <w:sz w:val="28"/>
          <w:szCs w:val="28"/>
        </w:rPr>
        <w:t xml:space="preserve">un </w:t>
      </w:r>
      <w:bookmarkStart w:id="11" w:name="_Hlk17883651"/>
      <w:r w:rsidR="00EF3F54" w:rsidRPr="007A7643">
        <w:rPr>
          <w:sz w:val="28"/>
          <w:szCs w:val="28"/>
        </w:rPr>
        <w:t xml:space="preserve">6510 </w:t>
      </w:r>
      <w:r w:rsidR="00EF3F54" w:rsidRPr="007A7643">
        <w:rPr>
          <w:i/>
          <w:sz w:val="28"/>
          <w:szCs w:val="28"/>
        </w:rPr>
        <w:t>Mēreni mitras pļavas</w:t>
      </w:r>
      <w:bookmarkEnd w:id="11"/>
      <w:r w:rsidR="009357E9" w:rsidRPr="007A7643">
        <w:rPr>
          <w:i/>
          <w:sz w:val="28"/>
          <w:szCs w:val="28"/>
        </w:rPr>
        <w:t xml:space="preserve">, </w:t>
      </w:r>
      <w:r w:rsidR="009357E9" w:rsidRPr="007A7643">
        <w:rPr>
          <w:sz w:val="28"/>
          <w:szCs w:val="28"/>
        </w:rPr>
        <w:t>un šajos biotopos (augsnē) mītošajām bezmugurkaulnieku sugām. Nelabvēlīgā ietekme</w:t>
      </w:r>
      <w:r w:rsidR="0024539E" w:rsidRPr="007A7643">
        <w:rPr>
          <w:sz w:val="28"/>
          <w:szCs w:val="28"/>
        </w:rPr>
        <w:t xml:space="preserve"> izpaudīsies kā </w:t>
      </w:r>
      <w:r w:rsidR="00EF3F54" w:rsidRPr="007A7643">
        <w:rPr>
          <w:sz w:val="28"/>
          <w:szCs w:val="28"/>
        </w:rPr>
        <w:t>būvniecības darbu radītā traucējuma sekas</w:t>
      </w:r>
      <w:r w:rsidR="0024539E" w:rsidRPr="007A7643">
        <w:rPr>
          <w:sz w:val="28"/>
          <w:szCs w:val="28"/>
        </w:rPr>
        <w:t>, kuru novēršana iespējama 5-10 gadu laikā</w:t>
      </w:r>
      <w:r w:rsidR="00EF3F54" w:rsidRPr="007A7643">
        <w:rPr>
          <w:sz w:val="28"/>
          <w:szCs w:val="28"/>
        </w:rPr>
        <w:t xml:space="preserve">, kā arī tilta trases radītā noēnojuma ietekme </w:t>
      </w:r>
      <w:r w:rsidR="0024539E" w:rsidRPr="007A7643">
        <w:rPr>
          <w:sz w:val="28"/>
          <w:szCs w:val="28"/>
        </w:rPr>
        <w:t xml:space="preserve">visā </w:t>
      </w:r>
      <w:r w:rsidR="00EF3F54" w:rsidRPr="007A7643">
        <w:rPr>
          <w:sz w:val="28"/>
          <w:szCs w:val="28"/>
        </w:rPr>
        <w:t>satiksm</w:t>
      </w:r>
      <w:r w:rsidR="0024539E" w:rsidRPr="007A7643">
        <w:rPr>
          <w:sz w:val="28"/>
          <w:szCs w:val="28"/>
        </w:rPr>
        <w:t>es pārvada ekspluatācijas laikā</w:t>
      </w:r>
      <w:r w:rsidR="00EF3F54" w:rsidRPr="007A7643">
        <w:rPr>
          <w:sz w:val="28"/>
          <w:szCs w:val="28"/>
        </w:rPr>
        <w:t>.</w:t>
      </w:r>
      <w:r w:rsidR="0024539E" w:rsidRPr="007A7643">
        <w:rPr>
          <w:sz w:val="28"/>
          <w:szCs w:val="28"/>
        </w:rPr>
        <w:t xml:space="preserve"> Ietekme būvniecības laikā</w:t>
      </w:r>
      <w:r w:rsidRPr="007A7643">
        <w:rPr>
          <w:sz w:val="28"/>
          <w:szCs w:val="28"/>
        </w:rPr>
        <w:t xml:space="preserve"> iespējama </w:t>
      </w:r>
      <w:r w:rsidR="0024539E" w:rsidRPr="007A7643">
        <w:rPr>
          <w:sz w:val="28"/>
          <w:szCs w:val="28"/>
        </w:rPr>
        <w:t xml:space="preserve">2,97 ha platībā tilta konstrukciju </w:t>
      </w:r>
      <w:r w:rsidR="009357E9" w:rsidRPr="007A7643">
        <w:rPr>
          <w:sz w:val="28"/>
          <w:szCs w:val="28"/>
        </w:rPr>
        <w:t>1. un 2.</w:t>
      </w:r>
      <w:r w:rsidR="0024539E" w:rsidRPr="007A7643">
        <w:rPr>
          <w:sz w:val="28"/>
          <w:szCs w:val="28"/>
        </w:rPr>
        <w:t xml:space="preserve"> variantā </w:t>
      </w:r>
      <w:r w:rsidR="006A5162" w:rsidRPr="007A7643">
        <w:rPr>
          <w:sz w:val="28"/>
          <w:szCs w:val="28"/>
        </w:rPr>
        <w:t xml:space="preserve">vai </w:t>
      </w:r>
      <w:r w:rsidRPr="007A7643">
        <w:rPr>
          <w:sz w:val="28"/>
          <w:szCs w:val="28"/>
        </w:rPr>
        <w:t>3,91 ha platībā</w:t>
      </w:r>
      <w:r w:rsidR="006A5162" w:rsidRPr="007A7643">
        <w:rPr>
          <w:sz w:val="28"/>
          <w:szCs w:val="28"/>
        </w:rPr>
        <w:t xml:space="preserve"> – 3. variantā. P</w:t>
      </w:r>
      <w:r w:rsidRPr="007A7643">
        <w:rPr>
          <w:sz w:val="28"/>
          <w:szCs w:val="28"/>
        </w:rPr>
        <w:t xml:space="preserve">aliekošā ietekme sagaidāma </w:t>
      </w:r>
      <w:r w:rsidR="006A5162" w:rsidRPr="007A7643">
        <w:rPr>
          <w:sz w:val="28"/>
          <w:szCs w:val="28"/>
        </w:rPr>
        <w:t xml:space="preserve">0,426 ha tilta konstrukciju 1. un 2. variantā (0,026 ha biotopu platība zem tilta balstiem un noēnojuma ietekme 0,4 ha platībā) vai </w:t>
      </w:r>
      <w:r w:rsidRPr="007A7643">
        <w:rPr>
          <w:sz w:val="28"/>
          <w:szCs w:val="28"/>
        </w:rPr>
        <w:t xml:space="preserve">0,474 ha platībā </w:t>
      </w:r>
      <w:r w:rsidR="006A5162" w:rsidRPr="007A7643">
        <w:rPr>
          <w:sz w:val="28"/>
          <w:szCs w:val="28"/>
        </w:rPr>
        <w:t xml:space="preserve">3. variantā </w:t>
      </w:r>
      <w:r w:rsidRPr="007A7643">
        <w:rPr>
          <w:sz w:val="28"/>
          <w:szCs w:val="28"/>
        </w:rPr>
        <w:t>(0,07 ha biotopu platība zem tilta balstiem un noēnojuma ietekme 0,4 ha platībā)</w:t>
      </w:r>
      <w:r w:rsidR="006A5162" w:rsidRPr="007A7643">
        <w:rPr>
          <w:rStyle w:val="FootnoteReference"/>
          <w:sz w:val="28"/>
          <w:szCs w:val="28"/>
        </w:rPr>
        <w:footnoteReference w:id="17"/>
      </w:r>
      <w:r w:rsidRPr="007A7643">
        <w:rPr>
          <w:sz w:val="28"/>
          <w:szCs w:val="28"/>
        </w:rPr>
        <w:t xml:space="preserve">. </w:t>
      </w:r>
      <w:r w:rsidR="009357E9" w:rsidRPr="007A7643">
        <w:rPr>
          <w:sz w:val="28"/>
          <w:szCs w:val="28"/>
        </w:rPr>
        <w:t xml:space="preserve">Ietekme uz bezmugurkaulnieku sugām saistīta ar zemsedzes bojājumiem un īslaicīgiem traucējumiem zālāju struktūrā, kas samazina pārvietošanās un barošanās iespējas (tādā pašā platībā kā norādīts attiecībā uz biotopiem). </w:t>
      </w:r>
      <w:r w:rsidRPr="007A7643">
        <w:rPr>
          <w:sz w:val="28"/>
          <w:szCs w:val="28"/>
        </w:rPr>
        <w:t>Vērtējot pret biotopiem, kuru aizsardzībai</w:t>
      </w:r>
      <w:r w:rsidR="006A5162" w:rsidRPr="007A7643">
        <w:rPr>
          <w:sz w:val="28"/>
          <w:szCs w:val="28"/>
        </w:rPr>
        <w:t xml:space="preserve"> </w:t>
      </w:r>
      <w:proofErr w:type="spellStart"/>
      <w:r w:rsidR="006A5162" w:rsidRPr="007A7643">
        <w:rPr>
          <w:sz w:val="28"/>
          <w:szCs w:val="28"/>
        </w:rPr>
        <w:t>Natura</w:t>
      </w:r>
      <w:proofErr w:type="spellEnd"/>
      <w:r w:rsidR="006A5162" w:rsidRPr="007A7643">
        <w:rPr>
          <w:sz w:val="28"/>
          <w:szCs w:val="28"/>
        </w:rPr>
        <w:t xml:space="preserve"> 2000 teritorija veidota</w:t>
      </w:r>
      <w:r w:rsidRPr="007A7643">
        <w:rPr>
          <w:sz w:val="28"/>
          <w:szCs w:val="28"/>
        </w:rPr>
        <w:t>:</w:t>
      </w:r>
    </w:p>
    <w:p w14:paraId="4ECD7ADC" w14:textId="77777777" w:rsidR="008037CA" w:rsidRPr="007A7643" w:rsidRDefault="006A5162" w:rsidP="007A7643">
      <w:pPr>
        <w:pStyle w:val="ListParagraph"/>
        <w:numPr>
          <w:ilvl w:val="0"/>
          <w:numId w:val="4"/>
        </w:numPr>
        <w:spacing w:before="60"/>
        <w:ind w:left="426" w:right="-483" w:hanging="284"/>
        <w:contextualSpacing w:val="0"/>
        <w:jc w:val="both"/>
        <w:rPr>
          <w:rFonts w:ascii="Times New Roman" w:hAnsi="Times New Roman" w:cs="Times New Roman"/>
          <w:sz w:val="28"/>
          <w:szCs w:val="28"/>
        </w:rPr>
      </w:pPr>
      <w:r w:rsidRPr="007A7643">
        <w:rPr>
          <w:rFonts w:ascii="Times New Roman" w:hAnsi="Times New Roman" w:cs="Times New Roman"/>
          <w:sz w:val="28"/>
          <w:szCs w:val="28"/>
        </w:rPr>
        <w:t xml:space="preserve">paliekoša ietekme uz </w:t>
      </w:r>
      <w:r w:rsidR="008037CA" w:rsidRPr="007A7643">
        <w:rPr>
          <w:rFonts w:ascii="Times New Roman" w:hAnsi="Times New Roman" w:cs="Times New Roman"/>
          <w:sz w:val="28"/>
          <w:szCs w:val="28"/>
        </w:rPr>
        <w:t xml:space="preserve">biotopu 6510 </w:t>
      </w:r>
      <w:r w:rsidRPr="007A7643">
        <w:rPr>
          <w:rFonts w:ascii="Times New Roman" w:hAnsi="Times New Roman" w:cs="Times New Roman"/>
          <w:i/>
          <w:sz w:val="28"/>
          <w:szCs w:val="28"/>
        </w:rPr>
        <w:t>M</w:t>
      </w:r>
      <w:r w:rsidR="008037CA" w:rsidRPr="007A7643">
        <w:rPr>
          <w:rFonts w:ascii="Times New Roman" w:hAnsi="Times New Roman" w:cs="Times New Roman"/>
          <w:i/>
          <w:sz w:val="28"/>
          <w:szCs w:val="28"/>
        </w:rPr>
        <w:t>ēreni mitras pļavas</w:t>
      </w:r>
      <w:r w:rsidR="008037CA" w:rsidRPr="007A7643">
        <w:rPr>
          <w:rFonts w:ascii="Times New Roman" w:hAnsi="Times New Roman" w:cs="Times New Roman"/>
          <w:sz w:val="28"/>
          <w:szCs w:val="28"/>
        </w:rPr>
        <w:t xml:space="preserve"> sagaidāma 0,005 ha platībā tilta konstrukciju 1. un 2. variantā (0,03 % no attiecīgā biotopa Dabas lieguma I teritorijā), </w:t>
      </w:r>
      <w:r w:rsidRPr="007A7643">
        <w:rPr>
          <w:rFonts w:ascii="Times New Roman" w:hAnsi="Times New Roman" w:cs="Times New Roman"/>
          <w:sz w:val="28"/>
          <w:szCs w:val="28"/>
        </w:rPr>
        <w:t xml:space="preserve">bet </w:t>
      </w:r>
      <w:r w:rsidR="007A0E92" w:rsidRPr="007A7643">
        <w:rPr>
          <w:rFonts w:ascii="Times New Roman" w:hAnsi="Times New Roman" w:cs="Times New Roman"/>
          <w:sz w:val="28"/>
          <w:szCs w:val="28"/>
        </w:rPr>
        <w:t xml:space="preserve">ietekme </w:t>
      </w:r>
      <w:r w:rsidR="008037CA" w:rsidRPr="007A7643">
        <w:rPr>
          <w:rFonts w:ascii="Times New Roman" w:hAnsi="Times New Roman" w:cs="Times New Roman"/>
          <w:sz w:val="28"/>
          <w:szCs w:val="28"/>
        </w:rPr>
        <w:t>nav sagaidāma tilta konstrukciju 3. </w:t>
      </w:r>
      <w:r w:rsidRPr="007A7643">
        <w:rPr>
          <w:rFonts w:ascii="Times New Roman" w:hAnsi="Times New Roman" w:cs="Times New Roman"/>
          <w:sz w:val="28"/>
          <w:szCs w:val="28"/>
        </w:rPr>
        <w:t>variantā;</w:t>
      </w:r>
      <w:r w:rsidR="008037CA" w:rsidRPr="007A7643">
        <w:rPr>
          <w:rFonts w:ascii="Times New Roman" w:hAnsi="Times New Roman" w:cs="Times New Roman"/>
          <w:sz w:val="28"/>
          <w:szCs w:val="28"/>
        </w:rPr>
        <w:t xml:space="preserve"> </w:t>
      </w:r>
      <w:r w:rsidRPr="007A7643">
        <w:rPr>
          <w:rFonts w:ascii="Times New Roman" w:hAnsi="Times New Roman" w:cs="Times New Roman"/>
          <w:sz w:val="28"/>
          <w:szCs w:val="28"/>
        </w:rPr>
        <w:t xml:space="preserve">papildus visos tilta konstrukciju variantos </w:t>
      </w:r>
      <w:r w:rsidR="008037CA" w:rsidRPr="007A7643">
        <w:rPr>
          <w:rFonts w:ascii="Times New Roman" w:hAnsi="Times New Roman" w:cs="Times New Roman"/>
          <w:sz w:val="28"/>
          <w:szCs w:val="28"/>
        </w:rPr>
        <w:lastRenderedPageBreak/>
        <w:t xml:space="preserve">sagaidāma </w:t>
      </w:r>
      <w:r w:rsidRPr="007A7643">
        <w:rPr>
          <w:rFonts w:ascii="Times New Roman" w:hAnsi="Times New Roman" w:cs="Times New Roman"/>
          <w:sz w:val="28"/>
          <w:szCs w:val="28"/>
        </w:rPr>
        <w:t xml:space="preserve">noēnojuma ietekme </w:t>
      </w:r>
      <w:r w:rsidR="008037CA" w:rsidRPr="007A7643">
        <w:rPr>
          <w:rFonts w:ascii="Times New Roman" w:hAnsi="Times New Roman" w:cs="Times New Roman"/>
          <w:sz w:val="28"/>
          <w:szCs w:val="28"/>
        </w:rPr>
        <w:t>0,08 ha platībā (0,42% no attiecīgā biotopa Dabas lieguma I teritorijā);</w:t>
      </w:r>
    </w:p>
    <w:p w14:paraId="3BEF391E" w14:textId="77777777" w:rsidR="008037CA" w:rsidRPr="007A7643" w:rsidRDefault="006A5162" w:rsidP="007A7643">
      <w:pPr>
        <w:pStyle w:val="ListParagraph"/>
        <w:numPr>
          <w:ilvl w:val="0"/>
          <w:numId w:val="4"/>
        </w:numPr>
        <w:ind w:left="426" w:right="-483" w:hanging="284"/>
        <w:contextualSpacing w:val="0"/>
        <w:jc w:val="both"/>
        <w:rPr>
          <w:rFonts w:ascii="Times New Roman" w:hAnsi="Times New Roman" w:cs="Times New Roman"/>
          <w:sz w:val="28"/>
          <w:szCs w:val="28"/>
        </w:rPr>
      </w:pPr>
      <w:r w:rsidRPr="007A7643">
        <w:rPr>
          <w:rFonts w:ascii="Times New Roman" w:hAnsi="Times New Roman" w:cs="Times New Roman"/>
          <w:sz w:val="28"/>
          <w:szCs w:val="28"/>
        </w:rPr>
        <w:t xml:space="preserve">paliekoša ietekme uz </w:t>
      </w:r>
      <w:r w:rsidR="008037CA" w:rsidRPr="007A7643">
        <w:rPr>
          <w:rFonts w:ascii="Times New Roman" w:hAnsi="Times New Roman" w:cs="Times New Roman"/>
          <w:sz w:val="28"/>
          <w:szCs w:val="28"/>
        </w:rPr>
        <w:t xml:space="preserve">biotopu 6430 </w:t>
      </w:r>
      <w:proofErr w:type="spellStart"/>
      <w:r w:rsidRPr="007A7643">
        <w:rPr>
          <w:rFonts w:ascii="Times New Roman" w:hAnsi="Times New Roman" w:cs="Times New Roman"/>
          <w:i/>
          <w:sz w:val="28"/>
          <w:szCs w:val="28"/>
        </w:rPr>
        <w:t>E</w:t>
      </w:r>
      <w:r w:rsidR="008037CA" w:rsidRPr="007A7643">
        <w:rPr>
          <w:rFonts w:ascii="Times New Roman" w:hAnsi="Times New Roman" w:cs="Times New Roman"/>
          <w:i/>
          <w:sz w:val="28"/>
          <w:szCs w:val="28"/>
        </w:rPr>
        <w:t>itrofas</w:t>
      </w:r>
      <w:proofErr w:type="spellEnd"/>
      <w:r w:rsidR="008037CA" w:rsidRPr="007A7643">
        <w:rPr>
          <w:rFonts w:ascii="Times New Roman" w:hAnsi="Times New Roman" w:cs="Times New Roman"/>
          <w:i/>
          <w:sz w:val="28"/>
          <w:szCs w:val="28"/>
        </w:rPr>
        <w:t xml:space="preserve"> augsto lakstaugu audzes</w:t>
      </w:r>
      <w:r w:rsidR="008037CA" w:rsidRPr="007A7643">
        <w:rPr>
          <w:rFonts w:ascii="Times New Roman" w:hAnsi="Times New Roman" w:cs="Times New Roman"/>
          <w:sz w:val="28"/>
          <w:szCs w:val="28"/>
        </w:rPr>
        <w:t xml:space="preserve"> zem tilta balstiem nav sagaidāma; prognozēta tikai noēnojuma ietekme visos tilta konstrukciju variantos 0,04 ha platībā (0,66% no attiecīgā biotopa Dabas lieguma I teritorijā);</w:t>
      </w:r>
    </w:p>
    <w:p w14:paraId="636EFCA7" w14:textId="04175745" w:rsidR="00B06FF4" w:rsidRPr="007A7643" w:rsidRDefault="006A5162" w:rsidP="007A7643">
      <w:pPr>
        <w:pStyle w:val="ListParagraph"/>
        <w:numPr>
          <w:ilvl w:val="0"/>
          <w:numId w:val="4"/>
        </w:numPr>
        <w:spacing w:after="160"/>
        <w:ind w:left="426" w:right="-483" w:hanging="284"/>
        <w:jc w:val="both"/>
        <w:rPr>
          <w:rFonts w:ascii="Times New Roman" w:hAnsi="Times New Roman" w:cs="Times New Roman"/>
          <w:sz w:val="28"/>
          <w:szCs w:val="28"/>
        </w:rPr>
      </w:pPr>
      <w:r w:rsidRPr="007A7643">
        <w:rPr>
          <w:rFonts w:ascii="Times New Roman" w:hAnsi="Times New Roman" w:cs="Times New Roman"/>
          <w:sz w:val="28"/>
          <w:szCs w:val="28"/>
        </w:rPr>
        <w:t xml:space="preserve">paliekoša ietekme uz </w:t>
      </w:r>
      <w:r w:rsidR="008037CA" w:rsidRPr="007A7643">
        <w:rPr>
          <w:rFonts w:ascii="Times New Roman" w:hAnsi="Times New Roman" w:cs="Times New Roman"/>
          <w:sz w:val="28"/>
          <w:szCs w:val="28"/>
        </w:rPr>
        <w:t xml:space="preserve">biotopu 6270 </w:t>
      </w:r>
      <w:r w:rsidRPr="007A7643">
        <w:rPr>
          <w:rFonts w:ascii="Times New Roman" w:hAnsi="Times New Roman" w:cs="Times New Roman"/>
          <w:i/>
          <w:sz w:val="28"/>
          <w:szCs w:val="28"/>
        </w:rPr>
        <w:t>S</w:t>
      </w:r>
      <w:r w:rsidR="008037CA" w:rsidRPr="007A7643">
        <w:rPr>
          <w:rFonts w:ascii="Times New Roman" w:hAnsi="Times New Roman" w:cs="Times New Roman"/>
          <w:i/>
          <w:sz w:val="28"/>
          <w:szCs w:val="28"/>
        </w:rPr>
        <w:t>ugām bagātas ganības un ganītas pļavas</w:t>
      </w:r>
      <w:r w:rsidR="008037CA" w:rsidRPr="007A7643">
        <w:rPr>
          <w:rFonts w:ascii="Times New Roman" w:hAnsi="Times New Roman" w:cs="Times New Roman"/>
          <w:sz w:val="28"/>
          <w:szCs w:val="28"/>
        </w:rPr>
        <w:t xml:space="preserve"> nav sagaidāma</w:t>
      </w:r>
      <w:r w:rsidR="00580653" w:rsidRPr="007A7643">
        <w:rPr>
          <w:rStyle w:val="FootnoteReference"/>
          <w:rFonts w:ascii="Times New Roman" w:hAnsi="Times New Roman" w:cs="Times New Roman"/>
          <w:sz w:val="28"/>
          <w:szCs w:val="28"/>
        </w:rPr>
        <w:footnoteReference w:id="18"/>
      </w:r>
      <w:r w:rsidR="008037CA" w:rsidRPr="007A7643">
        <w:rPr>
          <w:rFonts w:ascii="Times New Roman" w:hAnsi="Times New Roman" w:cs="Times New Roman"/>
          <w:sz w:val="28"/>
          <w:szCs w:val="28"/>
        </w:rPr>
        <w:t>.</w:t>
      </w:r>
      <w:r w:rsidR="00B06FF4" w:rsidRPr="007A7643">
        <w:rPr>
          <w:rFonts w:eastAsia="Calibri"/>
          <w:sz w:val="28"/>
          <w:szCs w:val="28"/>
        </w:rPr>
        <w:t xml:space="preserve"> </w:t>
      </w:r>
    </w:p>
    <w:p w14:paraId="33DF7AD2" w14:textId="77777777" w:rsidR="00E336D5" w:rsidRPr="007A7643" w:rsidRDefault="007A0E92" w:rsidP="007A7643">
      <w:pPr>
        <w:pStyle w:val="tv213"/>
        <w:shd w:val="clear" w:color="auto" w:fill="FFFFFF"/>
        <w:spacing w:before="0" w:beforeAutospacing="0" w:after="0" w:afterAutospacing="0"/>
        <w:ind w:left="600" w:right="-483"/>
        <w:jc w:val="center"/>
        <w:rPr>
          <w:b/>
          <w:sz w:val="28"/>
          <w:szCs w:val="28"/>
        </w:rPr>
      </w:pPr>
      <w:r w:rsidRPr="007A7643">
        <w:rPr>
          <w:b/>
          <w:sz w:val="28"/>
          <w:szCs w:val="28"/>
        </w:rPr>
        <w:t>6. </w:t>
      </w:r>
      <w:r w:rsidR="002000AD" w:rsidRPr="007A7643">
        <w:rPr>
          <w:b/>
          <w:sz w:val="28"/>
          <w:szCs w:val="28"/>
        </w:rPr>
        <w:t>K</w:t>
      </w:r>
      <w:r w:rsidR="00E336D5" w:rsidRPr="007A7643">
        <w:rPr>
          <w:b/>
          <w:sz w:val="28"/>
          <w:szCs w:val="28"/>
        </w:rPr>
        <w:t>opsavilkums par izskatītajiem alternatīvajiem risinājumiem, ietverot pamatojumu, kādēļ neviens no tiem nav atzīts par piemērotu</w:t>
      </w:r>
      <w:r w:rsidR="002000AD" w:rsidRPr="007A7643">
        <w:rPr>
          <w:b/>
          <w:sz w:val="28"/>
          <w:szCs w:val="28"/>
        </w:rPr>
        <w:t>.</w:t>
      </w:r>
    </w:p>
    <w:p w14:paraId="1F779033" w14:textId="77777777" w:rsidR="002000AD" w:rsidRPr="007A7643" w:rsidRDefault="002000AD" w:rsidP="007A7643">
      <w:pPr>
        <w:pStyle w:val="tv213"/>
        <w:shd w:val="clear" w:color="auto" w:fill="FFFFFF"/>
        <w:spacing w:before="0" w:beforeAutospacing="0" w:after="0" w:afterAutospacing="0"/>
        <w:ind w:left="600" w:right="-483"/>
        <w:jc w:val="both"/>
        <w:rPr>
          <w:rFonts w:ascii="Arial" w:hAnsi="Arial" w:cs="Arial"/>
          <w:color w:val="414142"/>
          <w:sz w:val="28"/>
          <w:szCs w:val="28"/>
        </w:rPr>
      </w:pPr>
    </w:p>
    <w:p w14:paraId="48E3BA10" w14:textId="77777777" w:rsidR="00B478C4" w:rsidRPr="007A7643" w:rsidRDefault="00B478C4" w:rsidP="004D03D2">
      <w:pPr>
        <w:pStyle w:val="tv213"/>
        <w:shd w:val="clear" w:color="auto" w:fill="FFFFFF"/>
        <w:spacing w:before="0" w:beforeAutospacing="0" w:after="0" w:afterAutospacing="0"/>
        <w:ind w:right="-483" w:firstLine="851"/>
        <w:jc w:val="both"/>
        <w:rPr>
          <w:rFonts w:eastAsia="Cambria"/>
          <w:sz w:val="28"/>
          <w:szCs w:val="28"/>
        </w:rPr>
      </w:pPr>
      <w:r w:rsidRPr="007A7643">
        <w:rPr>
          <w:rFonts w:eastAsia="Cambria"/>
          <w:sz w:val="28"/>
          <w:szCs w:val="28"/>
        </w:rPr>
        <w:t>Novērtēts, ka Paredzētā darbība ir vienīgais risinājums, lai nodrošinātu gan pašreizējās, gan prognozētās Jelgavas pilsētas satiksmes organizācijas vajadzības, jo nav cita risinājuma kā nodrošināt abos Lielupes krastos esošo Jelgavas pilsētas ziemeļu teritoriju efektīvu savienošanu un attīst</w:t>
      </w:r>
      <w:r w:rsidR="00AD6D10" w:rsidRPr="007A7643">
        <w:rPr>
          <w:rFonts w:eastAsia="Cambria"/>
          <w:sz w:val="28"/>
          <w:szCs w:val="28"/>
        </w:rPr>
        <w:t>ību, vienlaikus atslogojot pilsētas centru no pieaugošās transporta intensitātes.</w:t>
      </w:r>
    </w:p>
    <w:p w14:paraId="6365C0DE" w14:textId="6A171B12" w:rsidR="007000DD" w:rsidRPr="007A7643" w:rsidRDefault="009414C7" w:rsidP="004D03D2">
      <w:pPr>
        <w:pStyle w:val="tv213"/>
        <w:shd w:val="clear" w:color="auto" w:fill="FFFFFF"/>
        <w:spacing w:before="120" w:beforeAutospacing="0" w:after="0" w:afterAutospacing="0"/>
        <w:ind w:right="-483" w:firstLine="851"/>
        <w:jc w:val="both"/>
        <w:rPr>
          <w:rFonts w:eastAsia="Cambria"/>
          <w:sz w:val="28"/>
          <w:szCs w:val="28"/>
        </w:rPr>
      </w:pPr>
      <w:r w:rsidRPr="007A7643">
        <w:rPr>
          <w:rFonts w:eastAsia="Cambria"/>
          <w:sz w:val="28"/>
          <w:szCs w:val="28"/>
        </w:rPr>
        <w:t xml:space="preserve">Paredzētās darbības nepieciešamību pamato apstāklis, ka </w:t>
      </w:r>
      <w:r w:rsidR="002000AD" w:rsidRPr="007A7643">
        <w:rPr>
          <w:rFonts w:eastAsia="Cambria"/>
          <w:sz w:val="28"/>
          <w:szCs w:val="28"/>
        </w:rPr>
        <w:t>Jelgavas pilsēt</w:t>
      </w:r>
      <w:r w:rsidRPr="007A7643">
        <w:rPr>
          <w:rFonts w:eastAsia="Cambria"/>
          <w:sz w:val="28"/>
          <w:szCs w:val="28"/>
        </w:rPr>
        <w:t xml:space="preserve">u šķērso Lielupe un </w:t>
      </w:r>
      <w:proofErr w:type="spellStart"/>
      <w:r w:rsidRPr="007A7643">
        <w:rPr>
          <w:rFonts w:eastAsia="Cambria"/>
          <w:sz w:val="28"/>
          <w:szCs w:val="28"/>
        </w:rPr>
        <w:t>Driksas</w:t>
      </w:r>
      <w:proofErr w:type="spellEnd"/>
      <w:r w:rsidRPr="007A7643">
        <w:rPr>
          <w:rFonts w:eastAsia="Cambria"/>
          <w:sz w:val="28"/>
          <w:szCs w:val="28"/>
        </w:rPr>
        <w:t xml:space="preserve"> upe, bet</w:t>
      </w:r>
      <w:r w:rsidR="002000AD" w:rsidRPr="007A7643">
        <w:rPr>
          <w:rFonts w:eastAsia="Cambria"/>
          <w:sz w:val="28"/>
          <w:szCs w:val="28"/>
        </w:rPr>
        <w:t xml:space="preserve"> upju krastos izvietoto Jelgavas pilsētas daļu savienošanai ir tikai divi transporta koridori: </w:t>
      </w:r>
      <w:bookmarkStart w:id="12" w:name="_Hlk16238364"/>
      <w:r w:rsidR="002000AD" w:rsidRPr="007A7643">
        <w:rPr>
          <w:rFonts w:eastAsia="Cambria"/>
          <w:sz w:val="28"/>
          <w:szCs w:val="28"/>
        </w:rPr>
        <w:t xml:space="preserve">caur pilsētas centru </w:t>
      </w:r>
      <w:r w:rsidR="00DD66F7" w:rsidRPr="007A7643">
        <w:rPr>
          <w:rFonts w:eastAsia="Cambria"/>
          <w:sz w:val="28"/>
          <w:szCs w:val="28"/>
        </w:rPr>
        <w:t>(</w:t>
      </w:r>
      <w:r w:rsidR="002000AD" w:rsidRPr="007A7643">
        <w:rPr>
          <w:rFonts w:eastAsia="Cambria"/>
          <w:sz w:val="28"/>
          <w:szCs w:val="28"/>
        </w:rPr>
        <w:t xml:space="preserve">pa esošo tiltu pār Lielupi un </w:t>
      </w:r>
      <w:proofErr w:type="spellStart"/>
      <w:r w:rsidR="002000AD" w:rsidRPr="007A7643">
        <w:rPr>
          <w:rFonts w:eastAsia="Cambria"/>
          <w:sz w:val="28"/>
          <w:szCs w:val="28"/>
        </w:rPr>
        <w:t>Driksas</w:t>
      </w:r>
      <w:proofErr w:type="spellEnd"/>
      <w:r w:rsidR="002000AD" w:rsidRPr="007A7643">
        <w:rPr>
          <w:rFonts w:eastAsia="Cambria"/>
          <w:sz w:val="28"/>
          <w:szCs w:val="28"/>
        </w:rPr>
        <w:t xml:space="preserve"> upi</w:t>
      </w:r>
      <w:bookmarkEnd w:id="12"/>
      <w:r w:rsidR="00DD66F7" w:rsidRPr="007A7643">
        <w:rPr>
          <w:rFonts w:eastAsia="Cambria"/>
          <w:sz w:val="28"/>
          <w:szCs w:val="28"/>
        </w:rPr>
        <w:t xml:space="preserve">) un </w:t>
      </w:r>
      <w:bookmarkStart w:id="13" w:name="_Hlk16238469"/>
      <w:r w:rsidR="00DD66F7" w:rsidRPr="007A7643">
        <w:rPr>
          <w:rFonts w:eastAsia="Cambria"/>
          <w:sz w:val="28"/>
          <w:szCs w:val="28"/>
        </w:rPr>
        <w:t>pa</w:t>
      </w:r>
      <w:r w:rsidR="002000AD" w:rsidRPr="007A7643">
        <w:rPr>
          <w:rFonts w:eastAsia="Cambria"/>
          <w:sz w:val="28"/>
          <w:szCs w:val="28"/>
        </w:rPr>
        <w:t xml:space="preserve"> pilsētas dienvidu apvedceļu (valsts autoceļš A9)</w:t>
      </w:r>
      <w:bookmarkEnd w:id="13"/>
      <w:r w:rsidR="002000AD" w:rsidRPr="007A7643">
        <w:rPr>
          <w:rFonts w:eastAsia="Cambria"/>
          <w:sz w:val="28"/>
          <w:szCs w:val="28"/>
        </w:rPr>
        <w:t>, bet nav maģistrāla savienojuma, lai nodrošinātu transporta (t</w:t>
      </w:r>
      <w:r w:rsidR="003B2239" w:rsidRPr="007A7643">
        <w:rPr>
          <w:rFonts w:eastAsia="Cambria"/>
          <w:sz w:val="28"/>
          <w:szCs w:val="28"/>
        </w:rPr>
        <w:t>ai skaitā</w:t>
      </w:r>
      <w:r w:rsidR="002000AD" w:rsidRPr="007A7643">
        <w:rPr>
          <w:rFonts w:eastAsia="Cambria"/>
          <w:sz w:val="28"/>
          <w:szCs w:val="28"/>
        </w:rPr>
        <w:t xml:space="preserve"> tranzīta</w:t>
      </w:r>
      <w:r w:rsidR="00AD6D10" w:rsidRPr="007A7643">
        <w:rPr>
          <w:rFonts w:eastAsia="Cambria"/>
          <w:sz w:val="28"/>
          <w:szCs w:val="28"/>
        </w:rPr>
        <w:t>) plūsmu pilsētas ziemeļu daļā</w:t>
      </w:r>
      <w:r w:rsidRPr="007A7643">
        <w:rPr>
          <w:rFonts w:eastAsia="Cambria"/>
          <w:sz w:val="28"/>
          <w:szCs w:val="28"/>
        </w:rPr>
        <w:t xml:space="preserve">. Ziemeļu šķērsojums </w:t>
      </w:r>
      <w:r w:rsidR="00AD6D10" w:rsidRPr="007A7643">
        <w:rPr>
          <w:rFonts w:eastAsia="Cambria"/>
          <w:sz w:val="28"/>
          <w:szCs w:val="28"/>
        </w:rPr>
        <w:t xml:space="preserve">ir </w:t>
      </w:r>
      <w:r w:rsidR="002000AD" w:rsidRPr="007A7643">
        <w:rPr>
          <w:rFonts w:eastAsia="Cambria"/>
          <w:sz w:val="28"/>
          <w:szCs w:val="28"/>
        </w:rPr>
        <w:t xml:space="preserve">nozīmīgs </w:t>
      </w:r>
      <w:r w:rsidR="00AD6D10" w:rsidRPr="007A7643">
        <w:rPr>
          <w:rFonts w:eastAsia="Cambria"/>
          <w:sz w:val="28"/>
          <w:szCs w:val="28"/>
        </w:rPr>
        <w:t xml:space="preserve">iztrūkstošs </w:t>
      </w:r>
      <w:r w:rsidR="002000AD" w:rsidRPr="007A7643">
        <w:rPr>
          <w:rFonts w:eastAsia="Cambria"/>
          <w:sz w:val="28"/>
          <w:szCs w:val="28"/>
        </w:rPr>
        <w:t>Jelgavas pilsētas maģistrālā ielu tīkla fragments</w:t>
      </w:r>
      <w:r w:rsidRPr="007A7643">
        <w:rPr>
          <w:rFonts w:eastAsia="Cambria"/>
          <w:sz w:val="28"/>
          <w:szCs w:val="28"/>
        </w:rPr>
        <w:t>, kura trūkums kavē pilsētas attīstību un pārslogo ar autotransportu pilsētas centru</w:t>
      </w:r>
      <w:r w:rsidR="002000AD" w:rsidRPr="007A7643">
        <w:rPr>
          <w:rFonts w:eastAsia="Cambria"/>
          <w:sz w:val="28"/>
          <w:szCs w:val="28"/>
        </w:rPr>
        <w:t xml:space="preserve">. </w:t>
      </w:r>
      <w:r w:rsidR="007000DD" w:rsidRPr="007A7643">
        <w:rPr>
          <w:sz w:val="28"/>
          <w:szCs w:val="28"/>
        </w:rPr>
        <w:t xml:space="preserve">Esošo transporta koridoru un plānotā ziemeļu koridora attēlojums kartē pievienots informatīvā ziņojuma </w:t>
      </w:r>
      <w:r w:rsidR="00261E96" w:rsidRPr="007A7643">
        <w:rPr>
          <w:sz w:val="28"/>
          <w:szCs w:val="28"/>
        </w:rPr>
        <w:t>3</w:t>
      </w:r>
      <w:r w:rsidR="007000DD" w:rsidRPr="007A7643">
        <w:rPr>
          <w:sz w:val="28"/>
          <w:szCs w:val="28"/>
        </w:rPr>
        <w:t xml:space="preserve">. pielikumā. </w:t>
      </w:r>
    </w:p>
    <w:p w14:paraId="51A4E24F" w14:textId="77777777" w:rsidR="007000DD" w:rsidRPr="007A7643" w:rsidRDefault="00024B0C" w:rsidP="004D03D2">
      <w:pPr>
        <w:pStyle w:val="tv213"/>
        <w:shd w:val="clear" w:color="auto" w:fill="FFFFFF"/>
        <w:spacing w:before="120" w:beforeAutospacing="0" w:after="0" w:afterAutospacing="0"/>
        <w:ind w:right="-483" w:firstLine="851"/>
        <w:jc w:val="both"/>
        <w:rPr>
          <w:rFonts w:eastAsia="Calibri"/>
          <w:sz w:val="28"/>
          <w:szCs w:val="28"/>
        </w:rPr>
      </w:pPr>
      <w:r w:rsidRPr="007A7643">
        <w:rPr>
          <w:sz w:val="28"/>
          <w:szCs w:val="28"/>
        </w:rPr>
        <w:t xml:space="preserve">Saskaņā ar Ziņojumu </w:t>
      </w:r>
      <w:r w:rsidR="00093EDB" w:rsidRPr="007A7643">
        <w:rPr>
          <w:sz w:val="28"/>
          <w:szCs w:val="28"/>
        </w:rPr>
        <w:t xml:space="preserve">intensīvāk </w:t>
      </w:r>
      <w:r w:rsidR="00093EDB" w:rsidRPr="007A7643">
        <w:rPr>
          <w:rFonts w:eastAsia="Calibri" w:cs="Calibri"/>
          <w:sz w:val="28"/>
          <w:szCs w:val="28"/>
        </w:rPr>
        <w:t xml:space="preserve">noslogotais transporta koridors pašlaik ir caur pilsētas centru, </w:t>
      </w:r>
      <w:r w:rsidR="001976FA" w:rsidRPr="007A7643">
        <w:rPr>
          <w:rFonts w:eastAsia="Calibri" w:cs="Calibri"/>
          <w:sz w:val="28"/>
          <w:szCs w:val="28"/>
        </w:rPr>
        <w:t>kur</w:t>
      </w:r>
      <w:r w:rsidR="00093EDB" w:rsidRPr="007A7643">
        <w:rPr>
          <w:rFonts w:eastAsia="Calibri" w:cs="Calibri"/>
          <w:sz w:val="28"/>
          <w:szCs w:val="28"/>
        </w:rPr>
        <w:t xml:space="preserve"> esošo tiltu pār Lielupi </w:t>
      </w:r>
      <w:r w:rsidR="001976FA" w:rsidRPr="007A7643">
        <w:rPr>
          <w:rFonts w:eastAsia="Calibri" w:cs="Calibri"/>
          <w:sz w:val="28"/>
          <w:szCs w:val="28"/>
        </w:rPr>
        <w:t xml:space="preserve">diennaktī </w:t>
      </w:r>
      <w:r w:rsidR="00093EDB" w:rsidRPr="007A7643">
        <w:rPr>
          <w:rFonts w:eastAsia="Calibri" w:cs="Calibri"/>
          <w:sz w:val="28"/>
          <w:szCs w:val="28"/>
        </w:rPr>
        <w:t>šķērso</w:t>
      </w:r>
      <w:r w:rsidR="001976FA" w:rsidRPr="007A7643">
        <w:rPr>
          <w:rFonts w:eastAsia="Calibri" w:cs="Calibri"/>
          <w:sz w:val="28"/>
          <w:szCs w:val="28"/>
        </w:rPr>
        <w:t xml:space="preserve"> </w:t>
      </w:r>
      <w:r w:rsidR="00093EDB" w:rsidRPr="007A7643">
        <w:rPr>
          <w:rFonts w:eastAsia="Calibri" w:cs="Calibri"/>
          <w:sz w:val="28"/>
          <w:szCs w:val="28"/>
        </w:rPr>
        <w:t xml:space="preserve">~ </w:t>
      </w:r>
      <w:r w:rsidR="001976FA" w:rsidRPr="007A7643">
        <w:rPr>
          <w:rFonts w:eastAsia="Calibri" w:cs="Calibri"/>
          <w:sz w:val="28"/>
          <w:szCs w:val="28"/>
        </w:rPr>
        <w:t>32 </w:t>
      </w:r>
      <w:r w:rsidR="00093EDB" w:rsidRPr="007A7643">
        <w:rPr>
          <w:rFonts w:eastAsia="Calibri" w:cs="Calibri"/>
          <w:sz w:val="28"/>
          <w:szCs w:val="28"/>
        </w:rPr>
        <w:t>000 transportlīdzekļu</w:t>
      </w:r>
      <w:r w:rsidR="008C0F24" w:rsidRPr="007A7643">
        <w:rPr>
          <w:rFonts w:eastAsia="Calibri" w:cs="Calibri"/>
          <w:sz w:val="28"/>
          <w:szCs w:val="28"/>
        </w:rPr>
        <w:t xml:space="preserve">, bet Lielās ielas un Jāņa Čakstes bulvāra krustojumu diennaktī šķērso ~ </w:t>
      </w:r>
      <w:r w:rsidR="0020495D" w:rsidRPr="007A7643">
        <w:rPr>
          <w:rFonts w:eastAsia="Calibri" w:cs="Calibri"/>
          <w:sz w:val="28"/>
          <w:szCs w:val="28"/>
        </w:rPr>
        <w:t>38</w:t>
      </w:r>
      <w:r w:rsidR="008C0F24" w:rsidRPr="007A7643">
        <w:rPr>
          <w:rFonts w:eastAsia="Calibri" w:cs="Calibri"/>
          <w:sz w:val="28"/>
          <w:szCs w:val="28"/>
        </w:rPr>
        <w:t> 000 transportlīdzekļu</w:t>
      </w:r>
      <w:r w:rsidR="0020495D" w:rsidRPr="007A7643">
        <w:rPr>
          <w:rFonts w:eastAsia="Calibri" w:cs="Calibri"/>
          <w:sz w:val="28"/>
          <w:szCs w:val="28"/>
        </w:rPr>
        <w:t xml:space="preserve"> (sk.1. tabulu)</w:t>
      </w:r>
      <w:r w:rsidR="008C0F24" w:rsidRPr="007A7643">
        <w:rPr>
          <w:rFonts w:eastAsia="Calibri" w:cs="Calibri"/>
          <w:sz w:val="28"/>
          <w:szCs w:val="28"/>
        </w:rPr>
        <w:t>.</w:t>
      </w:r>
      <w:r w:rsidR="00093EDB" w:rsidRPr="007A7643">
        <w:rPr>
          <w:rFonts w:eastAsia="Calibri" w:cs="Calibri"/>
          <w:sz w:val="28"/>
          <w:szCs w:val="28"/>
        </w:rPr>
        <w:t xml:space="preserve"> </w:t>
      </w:r>
      <w:r w:rsidR="00984D50" w:rsidRPr="007A7643">
        <w:rPr>
          <w:rFonts w:eastAsia="Calibri" w:cs="Calibri"/>
          <w:sz w:val="28"/>
          <w:szCs w:val="28"/>
        </w:rPr>
        <w:t>Š</w:t>
      </w:r>
      <w:r w:rsidR="00093EDB" w:rsidRPr="007A7643">
        <w:rPr>
          <w:rFonts w:eastAsia="Calibri" w:cs="Calibri"/>
          <w:sz w:val="28"/>
          <w:szCs w:val="28"/>
        </w:rPr>
        <w:t>ī maģistrālo ielu koridora kapacitāte</w:t>
      </w:r>
      <w:r w:rsidR="00093EDB" w:rsidRPr="007A7643">
        <w:rPr>
          <w:rStyle w:val="FootnoteReference"/>
          <w:rFonts w:eastAsia="Calibri" w:cs="Calibri"/>
          <w:sz w:val="28"/>
          <w:szCs w:val="28"/>
        </w:rPr>
        <w:footnoteReference w:id="19"/>
      </w:r>
      <w:r w:rsidR="00093EDB" w:rsidRPr="007A7643">
        <w:rPr>
          <w:rFonts w:eastAsia="Calibri" w:cs="Calibri"/>
          <w:sz w:val="28"/>
          <w:szCs w:val="28"/>
        </w:rPr>
        <w:t xml:space="preserve"> ir </w:t>
      </w:r>
      <w:r w:rsidR="00984D50" w:rsidRPr="007A7643">
        <w:rPr>
          <w:rFonts w:eastAsia="Calibri" w:cs="Calibri"/>
          <w:sz w:val="28"/>
          <w:szCs w:val="28"/>
        </w:rPr>
        <w:t xml:space="preserve">tikai </w:t>
      </w:r>
      <w:r w:rsidR="00093EDB" w:rsidRPr="007A7643">
        <w:rPr>
          <w:rFonts w:eastAsia="Calibri" w:cs="Calibri"/>
          <w:sz w:val="28"/>
          <w:szCs w:val="28"/>
        </w:rPr>
        <w:t>26 000 transportlīdzekļ</w:t>
      </w:r>
      <w:r w:rsidR="00B478C4" w:rsidRPr="007A7643">
        <w:rPr>
          <w:rFonts w:eastAsia="Calibri" w:cs="Calibri"/>
          <w:sz w:val="28"/>
          <w:szCs w:val="28"/>
        </w:rPr>
        <w:t>i</w:t>
      </w:r>
      <w:r w:rsidR="00093EDB" w:rsidRPr="007A7643">
        <w:rPr>
          <w:rFonts w:eastAsia="Calibri" w:cs="Calibri"/>
          <w:sz w:val="28"/>
          <w:szCs w:val="28"/>
        </w:rPr>
        <w:t xml:space="preserve"> diennaktī</w:t>
      </w:r>
      <w:r w:rsidR="008C0F24" w:rsidRPr="007A7643">
        <w:rPr>
          <w:rFonts w:eastAsia="Calibri" w:cs="Calibri"/>
          <w:sz w:val="28"/>
          <w:szCs w:val="28"/>
        </w:rPr>
        <w:t>,</w:t>
      </w:r>
      <w:r w:rsidR="00BC4C40" w:rsidRPr="007A7643">
        <w:rPr>
          <w:rFonts w:eastAsia="Calibri" w:cs="Calibri"/>
          <w:sz w:val="28"/>
          <w:szCs w:val="28"/>
        </w:rPr>
        <w:t xml:space="preserve"> tādēļ</w:t>
      </w:r>
      <w:r w:rsidR="008C0F24" w:rsidRPr="007A7643">
        <w:rPr>
          <w:rFonts w:eastAsia="Calibri" w:cs="Calibri"/>
          <w:sz w:val="28"/>
          <w:szCs w:val="28"/>
        </w:rPr>
        <w:t xml:space="preserve"> </w:t>
      </w:r>
      <w:r w:rsidR="00BC4C40" w:rsidRPr="007A7643">
        <w:rPr>
          <w:sz w:val="28"/>
          <w:szCs w:val="28"/>
        </w:rPr>
        <w:t xml:space="preserve">pilsētas centra tilta caurlaides spēja </w:t>
      </w:r>
      <w:r w:rsidR="009414C7" w:rsidRPr="007A7643">
        <w:rPr>
          <w:sz w:val="28"/>
          <w:szCs w:val="28"/>
        </w:rPr>
        <w:t>ir</w:t>
      </w:r>
      <w:r w:rsidR="00BC4C40" w:rsidRPr="007A7643">
        <w:rPr>
          <w:sz w:val="28"/>
          <w:szCs w:val="28"/>
        </w:rPr>
        <w:t xml:space="preserve"> izsmelt</w:t>
      </w:r>
      <w:r w:rsidR="009414C7" w:rsidRPr="007A7643">
        <w:rPr>
          <w:sz w:val="28"/>
          <w:szCs w:val="28"/>
        </w:rPr>
        <w:t>a</w:t>
      </w:r>
      <w:r w:rsidR="00BC4C40" w:rsidRPr="007A7643">
        <w:rPr>
          <w:sz w:val="28"/>
          <w:szCs w:val="28"/>
        </w:rPr>
        <w:t xml:space="preserve"> un </w:t>
      </w:r>
      <w:r w:rsidR="00BF2FCA" w:rsidRPr="007A7643">
        <w:rPr>
          <w:sz w:val="28"/>
          <w:szCs w:val="28"/>
        </w:rPr>
        <w:t xml:space="preserve">tā ir </w:t>
      </w:r>
      <w:r w:rsidR="00BC4C40" w:rsidRPr="007A7643">
        <w:rPr>
          <w:sz w:val="28"/>
          <w:szCs w:val="28"/>
        </w:rPr>
        <w:t>nepietiekoš</w:t>
      </w:r>
      <w:r w:rsidR="009414C7" w:rsidRPr="007A7643">
        <w:rPr>
          <w:sz w:val="28"/>
          <w:szCs w:val="28"/>
        </w:rPr>
        <w:t>a</w:t>
      </w:r>
      <w:r w:rsidR="00BC4C40" w:rsidRPr="007A7643">
        <w:rPr>
          <w:sz w:val="28"/>
          <w:szCs w:val="28"/>
        </w:rPr>
        <w:t xml:space="preserve"> transportlīdzekļu, tajā skaitā operatīvo transportlīdzekļu, kustības nodrošināšanai. </w:t>
      </w:r>
      <w:r w:rsidR="00093EDB" w:rsidRPr="007A7643">
        <w:rPr>
          <w:rFonts w:eastAsia="Calibri" w:cs="Calibri"/>
          <w:sz w:val="28"/>
          <w:szCs w:val="28"/>
        </w:rPr>
        <w:t>Otr</w:t>
      </w:r>
      <w:r w:rsidR="003802D2" w:rsidRPr="007A7643">
        <w:rPr>
          <w:rFonts w:eastAsia="Calibri" w:cs="Calibri"/>
          <w:sz w:val="28"/>
          <w:szCs w:val="28"/>
        </w:rPr>
        <w:t>aj</w:t>
      </w:r>
      <w:r w:rsidR="00093EDB" w:rsidRPr="007A7643">
        <w:rPr>
          <w:rFonts w:eastAsia="Calibri" w:cs="Calibri"/>
          <w:sz w:val="28"/>
          <w:szCs w:val="28"/>
        </w:rPr>
        <w:t xml:space="preserve">ā transporta koridorā (pilsētas dienvidu apvedceļš) gada </w:t>
      </w:r>
      <w:r w:rsidR="00093EDB" w:rsidRPr="007A7643">
        <w:rPr>
          <w:rFonts w:eastAsia="Calibri"/>
          <w:sz w:val="28"/>
          <w:szCs w:val="28"/>
        </w:rPr>
        <w:t xml:space="preserve">vidējā diennakts intensitāte ir vērā ņemami mazāka – tā nesasniedz 10 000 transportlīdzekļu. </w:t>
      </w:r>
      <w:r w:rsidR="00306F17" w:rsidRPr="007A7643">
        <w:rPr>
          <w:rFonts w:eastAsia="Calibri"/>
          <w:sz w:val="28"/>
          <w:szCs w:val="28"/>
        </w:rPr>
        <w:t>Daļēji tas skaidro</w:t>
      </w:r>
      <w:r w:rsidR="009414C7" w:rsidRPr="007A7643">
        <w:rPr>
          <w:rFonts w:eastAsia="Calibri"/>
          <w:sz w:val="28"/>
          <w:szCs w:val="28"/>
        </w:rPr>
        <w:t>jams</w:t>
      </w:r>
      <w:r w:rsidR="00306F17" w:rsidRPr="007A7643">
        <w:rPr>
          <w:rFonts w:eastAsia="Calibri"/>
          <w:sz w:val="28"/>
          <w:szCs w:val="28"/>
        </w:rPr>
        <w:t xml:space="preserve"> ar savienojošo posmu (Atmodas – Rūpniecības ielas koridora) nepietiekamu kapacitāti, kā arī apvedceļa attālo izvietojumu</w:t>
      </w:r>
      <w:r w:rsidR="003802D2" w:rsidRPr="007A7643">
        <w:rPr>
          <w:rFonts w:eastAsia="Calibri"/>
          <w:sz w:val="28"/>
          <w:szCs w:val="28"/>
        </w:rPr>
        <w:t>.</w:t>
      </w:r>
      <w:r w:rsidR="00AD6D10" w:rsidRPr="007A7643">
        <w:rPr>
          <w:rFonts w:eastAsia="Calibri"/>
          <w:sz w:val="28"/>
          <w:szCs w:val="28"/>
        </w:rPr>
        <w:t xml:space="preserve"> </w:t>
      </w:r>
    </w:p>
    <w:p w14:paraId="3D8ACC7D" w14:textId="77777777" w:rsidR="001D6A74" w:rsidRPr="007A7643" w:rsidRDefault="001D6A74" w:rsidP="004D03D2">
      <w:pPr>
        <w:pStyle w:val="tv213"/>
        <w:shd w:val="clear" w:color="auto" w:fill="FFFFFF"/>
        <w:spacing w:before="120" w:beforeAutospacing="0" w:after="0" w:afterAutospacing="0"/>
        <w:ind w:right="-483" w:firstLine="851"/>
        <w:jc w:val="both"/>
        <w:rPr>
          <w:rFonts w:eastAsia="Calibri"/>
          <w:sz w:val="28"/>
          <w:szCs w:val="28"/>
        </w:rPr>
      </w:pPr>
      <w:r w:rsidRPr="007A7643">
        <w:rPr>
          <w:rFonts w:eastAsia="Calibri"/>
          <w:sz w:val="28"/>
          <w:szCs w:val="28"/>
        </w:rPr>
        <w:t xml:space="preserve">Kā viens no alternatīviem risinājumiem pilsētas centra atslogošanai no satiksmes kopš 2010. gada ir ieviests kravu transporta tranzīta caur pilsētu </w:t>
      </w:r>
      <w:r w:rsidRPr="007A7643">
        <w:rPr>
          <w:rFonts w:eastAsia="Calibri"/>
          <w:sz w:val="28"/>
          <w:szCs w:val="28"/>
        </w:rPr>
        <w:lastRenderedPageBreak/>
        <w:t xml:space="preserve">aizliegums, tomēr aizlieguma darbības laikā pilsētas transporta koridora pārslodzes problēmas nav izdevies atrisināt. </w:t>
      </w:r>
    </w:p>
    <w:p w14:paraId="21723663" w14:textId="77777777" w:rsidR="0020495D" w:rsidRDefault="0020495D" w:rsidP="007A7643">
      <w:pPr>
        <w:spacing w:before="120" w:after="0" w:line="240" w:lineRule="auto"/>
        <w:ind w:right="-483"/>
        <w:contextualSpacing/>
        <w:jc w:val="right"/>
        <w:rPr>
          <w:rFonts w:eastAsia="Times New Roman"/>
          <w:i/>
          <w:sz w:val="22"/>
          <w:szCs w:val="22"/>
        </w:rPr>
      </w:pPr>
      <w:r w:rsidRPr="00261E96">
        <w:rPr>
          <w:rFonts w:eastAsia="Calibri"/>
          <w:sz w:val="22"/>
          <w:szCs w:val="22"/>
        </w:rPr>
        <w:t>1</w:t>
      </w:r>
      <w:r w:rsidR="0087045D" w:rsidRPr="00261E96">
        <w:rPr>
          <w:rFonts w:eastAsia="Calibri"/>
          <w:sz w:val="22"/>
          <w:szCs w:val="22"/>
        </w:rPr>
        <w:t>.tabula</w:t>
      </w:r>
      <w:r w:rsidR="0087045D" w:rsidRPr="0087045D">
        <w:rPr>
          <w:rFonts w:eastAsia="Times New Roman"/>
          <w:i/>
          <w:sz w:val="22"/>
          <w:szCs w:val="22"/>
        </w:rPr>
        <w:t xml:space="preserve"> </w:t>
      </w:r>
    </w:p>
    <w:p w14:paraId="359D2591" w14:textId="77777777" w:rsidR="0087045D" w:rsidRPr="0087045D" w:rsidRDefault="0087045D" w:rsidP="007A7643">
      <w:pPr>
        <w:spacing w:before="120" w:after="0" w:line="240" w:lineRule="auto"/>
        <w:ind w:right="-483"/>
        <w:contextualSpacing/>
        <w:jc w:val="center"/>
        <w:rPr>
          <w:rFonts w:eastAsia="Times New Roman"/>
          <w:sz w:val="22"/>
          <w:szCs w:val="22"/>
        </w:rPr>
      </w:pPr>
      <w:r w:rsidRPr="0087045D">
        <w:rPr>
          <w:rFonts w:eastAsia="Times New Roman"/>
          <w:i/>
          <w:sz w:val="22"/>
          <w:szCs w:val="22"/>
        </w:rPr>
        <w:t>Satiksmes intensitāte Jelgavas pilsētas krustojumos laikā no 2015. līdz 2018. gadam</w:t>
      </w:r>
    </w:p>
    <w:tbl>
      <w:tblPr>
        <w:tblStyle w:val="TableGrid"/>
        <w:tblW w:w="0" w:type="auto"/>
        <w:jc w:val="center"/>
        <w:tblLook w:val="04A0" w:firstRow="1" w:lastRow="0" w:firstColumn="1" w:lastColumn="0" w:noHBand="0" w:noVBand="1"/>
      </w:tblPr>
      <w:tblGrid>
        <w:gridCol w:w="4223"/>
        <w:gridCol w:w="1423"/>
        <w:gridCol w:w="1367"/>
        <w:gridCol w:w="1283"/>
      </w:tblGrid>
      <w:tr w:rsidR="0087045D" w:rsidRPr="0087045D" w14:paraId="24BE73BD" w14:textId="77777777" w:rsidTr="0087045D">
        <w:trPr>
          <w:trHeight w:val="596"/>
          <w:tblHeader/>
          <w:jc w:val="center"/>
        </w:trPr>
        <w:tc>
          <w:tcPr>
            <w:tcW w:w="4223" w:type="dxa"/>
            <w:vMerge w:val="restart"/>
            <w:shd w:val="clear" w:color="auto" w:fill="C5E0B3"/>
            <w:vAlign w:val="center"/>
          </w:tcPr>
          <w:p w14:paraId="68B70EF4"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Krustojums</w:t>
            </w:r>
          </w:p>
        </w:tc>
        <w:tc>
          <w:tcPr>
            <w:tcW w:w="4073" w:type="dxa"/>
            <w:gridSpan w:val="3"/>
            <w:shd w:val="clear" w:color="auto" w:fill="C5E0B3"/>
            <w:vAlign w:val="center"/>
          </w:tcPr>
          <w:p w14:paraId="51C59A54"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 xml:space="preserve">Vidējā diennakts satiksmes intensitāte krustojumā </w:t>
            </w:r>
          </w:p>
        </w:tc>
      </w:tr>
      <w:tr w:rsidR="0087045D" w:rsidRPr="0087045D" w14:paraId="435E798C" w14:textId="77777777" w:rsidTr="0087045D">
        <w:trPr>
          <w:tblHeader/>
          <w:jc w:val="center"/>
        </w:trPr>
        <w:tc>
          <w:tcPr>
            <w:tcW w:w="4223" w:type="dxa"/>
            <w:vMerge/>
            <w:shd w:val="clear" w:color="auto" w:fill="C5E0B3"/>
            <w:vAlign w:val="center"/>
          </w:tcPr>
          <w:p w14:paraId="396AF0BA" w14:textId="77777777" w:rsidR="0087045D" w:rsidRPr="0087045D" w:rsidRDefault="0087045D" w:rsidP="007A7643">
            <w:pPr>
              <w:ind w:right="-483"/>
              <w:jc w:val="center"/>
              <w:rPr>
                <w:rFonts w:ascii="Times New Roman" w:eastAsia="Times New Roman" w:hAnsi="Times New Roman" w:cs="Times New Roman"/>
                <w:lang w:val="lv-LV"/>
              </w:rPr>
            </w:pPr>
          </w:p>
        </w:tc>
        <w:tc>
          <w:tcPr>
            <w:tcW w:w="1423" w:type="dxa"/>
            <w:shd w:val="clear" w:color="auto" w:fill="C5E0B3"/>
            <w:vAlign w:val="center"/>
          </w:tcPr>
          <w:p w14:paraId="56A1EBF5" w14:textId="77777777" w:rsidR="0087045D" w:rsidRPr="0087045D" w:rsidRDefault="0087045D" w:rsidP="007A7643">
            <w:pPr>
              <w:ind w:right="-483"/>
              <w:jc w:val="center"/>
              <w:rPr>
                <w:rFonts w:ascii="Times New Roman" w:eastAsia="Times New Roman" w:hAnsi="Times New Roman" w:cs="Times New Roman"/>
                <w:lang w:val="lv-LV"/>
              </w:rPr>
            </w:pPr>
            <w:r w:rsidRPr="0087045D">
              <w:rPr>
                <w:rFonts w:ascii="Times New Roman" w:eastAsia="Times New Roman" w:hAnsi="Times New Roman" w:cs="Times New Roman"/>
                <w:b/>
                <w:bCs/>
                <w:lang w:val="lv-LV"/>
              </w:rPr>
              <w:t>2015/2016*</w:t>
            </w:r>
          </w:p>
        </w:tc>
        <w:tc>
          <w:tcPr>
            <w:tcW w:w="1367" w:type="dxa"/>
            <w:shd w:val="clear" w:color="auto" w:fill="C5E0B3"/>
            <w:vAlign w:val="center"/>
          </w:tcPr>
          <w:p w14:paraId="1CE5EE6C" w14:textId="77777777" w:rsidR="0087045D" w:rsidRPr="0087045D" w:rsidRDefault="0087045D" w:rsidP="007A7643">
            <w:pPr>
              <w:ind w:right="-483"/>
              <w:jc w:val="center"/>
              <w:rPr>
                <w:rFonts w:ascii="Times New Roman" w:eastAsia="Times New Roman" w:hAnsi="Times New Roman" w:cs="Times New Roman"/>
                <w:lang w:val="lv-LV"/>
              </w:rPr>
            </w:pPr>
            <w:r w:rsidRPr="0087045D">
              <w:rPr>
                <w:rFonts w:ascii="Times New Roman" w:eastAsia="Times New Roman" w:hAnsi="Times New Roman" w:cs="Times New Roman"/>
                <w:b/>
                <w:bCs/>
                <w:lang w:val="lv-LV"/>
              </w:rPr>
              <w:t>2017</w:t>
            </w:r>
          </w:p>
        </w:tc>
        <w:tc>
          <w:tcPr>
            <w:tcW w:w="1283" w:type="dxa"/>
            <w:shd w:val="clear" w:color="auto" w:fill="C5E0B3"/>
            <w:vAlign w:val="center"/>
          </w:tcPr>
          <w:p w14:paraId="3BF86599" w14:textId="77777777" w:rsidR="0087045D" w:rsidRPr="0087045D" w:rsidRDefault="0087045D" w:rsidP="007A7643">
            <w:pPr>
              <w:ind w:right="-483"/>
              <w:jc w:val="center"/>
              <w:rPr>
                <w:rFonts w:ascii="Times New Roman" w:eastAsia="Times New Roman" w:hAnsi="Times New Roman" w:cs="Times New Roman"/>
                <w:lang w:val="lv-LV"/>
              </w:rPr>
            </w:pPr>
            <w:r w:rsidRPr="0087045D">
              <w:rPr>
                <w:rFonts w:ascii="Times New Roman" w:eastAsia="Times New Roman" w:hAnsi="Times New Roman" w:cs="Times New Roman"/>
                <w:b/>
                <w:bCs/>
                <w:lang w:val="lv-LV"/>
              </w:rPr>
              <w:t>2018</w:t>
            </w:r>
          </w:p>
        </w:tc>
      </w:tr>
      <w:tr w:rsidR="0087045D" w:rsidRPr="0087045D" w14:paraId="1FA6ACBD" w14:textId="77777777" w:rsidTr="0087045D">
        <w:trPr>
          <w:jc w:val="center"/>
        </w:trPr>
        <w:tc>
          <w:tcPr>
            <w:tcW w:w="4223" w:type="dxa"/>
            <w:vAlign w:val="center"/>
          </w:tcPr>
          <w:p w14:paraId="1A69B6F8"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Lielā iela – Jāņa Čakstes bulvāris</w:t>
            </w:r>
          </w:p>
        </w:tc>
        <w:tc>
          <w:tcPr>
            <w:tcW w:w="1423" w:type="dxa"/>
            <w:vAlign w:val="bottom"/>
          </w:tcPr>
          <w:p w14:paraId="649D0A07"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32451</w:t>
            </w:r>
          </w:p>
        </w:tc>
        <w:tc>
          <w:tcPr>
            <w:tcW w:w="1367" w:type="dxa"/>
            <w:vAlign w:val="bottom"/>
          </w:tcPr>
          <w:p w14:paraId="7796A8BF"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37700</w:t>
            </w:r>
          </w:p>
        </w:tc>
        <w:tc>
          <w:tcPr>
            <w:tcW w:w="1283" w:type="dxa"/>
            <w:vAlign w:val="bottom"/>
          </w:tcPr>
          <w:p w14:paraId="69D4B167"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35000</w:t>
            </w:r>
          </w:p>
        </w:tc>
      </w:tr>
      <w:tr w:rsidR="0087045D" w:rsidRPr="0087045D" w14:paraId="3B9FF00A" w14:textId="77777777" w:rsidTr="0087045D">
        <w:trPr>
          <w:jc w:val="center"/>
        </w:trPr>
        <w:tc>
          <w:tcPr>
            <w:tcW w:w="4223" w:type="dxa"/>
            <w:vAlign w:val="center"/>
          </w:tcPr>
          <w:p w14:paraId="583D8CD9"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Lielā iela – Akadēmijas iela</w:t>
            </w:r>
          </w:p>
        </w:tc>
        <w:tc>
          <w:tcPr>
            <w:tcW w:w="1423" w:type="dxa"/>
            <w:vAlign w:val="bottom"/>
          </w:tcPr>
          <w:p w14:paraId="4C5157E5"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29594</w:t>
            </w:r>
          </w:p>
        </w:tc>
        <w:tc>
          <w:tcPr>
            <w:tcW w:w="1367" w:type="dxa"/>
            <w:vAlign w:val="bottom"/>
          </w:tcPr>
          <w:p w14:paraId="67A5B7B8"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34000</w:t>
            </w:r>
          </w:p>
        </w:tc>
        <w:tc>
          <w:tcPr>
            <w:tcW w:w="1283" w:type="dxa"/>
            <w:vAlign w:val="bottom"/>
          </w:tcPr>
          <w:p w14:paraId="5B85EB47"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31500</w:t>
            </w:r>
          </w:p>
        </w:tc>
      </w:tr>
      <w:tr w:rsidR="0087045D" w:rsidRPr="0087045D" w14:paraId="5165FC12" w14:textId="77777777" w:rsidTr="0087045D">
        <w:trPr>
          <w:jc w:val="center"/>
        </w:trPr>
        <w:tc>
          <w:tcPr>
            <w:tcW w:w="4223" w:type="dxa"/>
            <w:vAlign w:val="center"/>
          </w:tcPr>
          <w:p w14:paraId="01C88308"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Lielā iela – Katoļu iela</w:t>
            </w:r>
          </w:p>
        </w:tc>
        <w:tc>
          <w:tcPr>
            <w:tcW w:w="1423" w:type="dxa"/>
            <w:vAlign w:val="bottom"/>
          </w:tcPr>
          <w:p w14:paraId="045783C1"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21556</w:t>
            </w:r>
          </w:p>
        </w:tc>
        <w:tc>
          <w:tcPr>
            <w:tcW w:w="1367" w:type="dxa"/>
            <w:vAlign w:val="bottom"/>
          </w:tcPr>
          <w:p w14:paraId="2C663F49"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25100</w:t>
            </w:r>
          </w:p>
        </w:tc>
        <w:tc>
          <w:tcPr>
            <w:tcW w:w="1283" w:type="dxa"/>
            <w:vAlign w:val="bottom"/>
          </w:tcPr>
          <w:p w14:paraId="69969884"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23500</w:t>
            </w:r>
          </w:p>
        </w:tc>
      </w:tr>
      <w:tr w:rsidR="0087045D" w:rsidRPr="0087045D" w14:paraId="7DA2A751" w14:textId="77777777" w:rsidTr="0087045D">
        <w:trPr>
          <w:jc w:val="center"/>
        </w:trPr>
        <w:tc>
          <w:tcPr>
            <w:tcW w:w="4223" w:type="dxa"/>
            <w:vAlign w:val="center"/>
          </w:tcPr>
          <w:p w14:paraId="5084274A"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Lielā iela – Pasta iela</w:t>
            </w:r>
          </w:p>
        </w:tc>
        <w:tc>
          <w:tcPr>
            <w:tcW w:w="1423" w:type="dxa"/>
            <w:vAlign w:val="bottom"/>
          </w:tcPr>
          <w:p w14:paraId="78E4192C"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24773</w:t>
            </w:r>
          </w:p>
        </w:tc>
        <w:tc>
          <w:tcPr>
            <w:tcW w:w="1367" w:type="dxa"/>
            <w:vAlign w:val="bottom"/>
          </w:tcPr>
          <w:p w14:paraId="61A69E46"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29000</w:t>
            </w:r>
          </w:p>
        </w:tc>
        <w:tc>
          <w:tcPr>
            <w:tcW w:w="1283" w:type="dxa"/>
            <w:vAlign w:val="bottom"/>
          </w:tcPr>
          <w:p w14:paraId="5012D5D8"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25300</w:t>
            </w:r>
          </w:p>
        </w:tc>
      </w:tr>
      <w:tr w:rsidR="0087045D" w:rsidRPr="0087045D" w14:paraId="3E2B247C" w14:textId="77777777" w:rsidTr="0087045D">
        <w:trPr>
          <w:jc w:val="center"/>
        </w:trPr>
        <w:tc>
          <w:tcPr>
            <w:tcW w:w="4223" w:type="dxa"/>
            <w:vAlign w:val="center"/>
          </w:tcPr>
          <w:p w14:paraId="63F9C52F"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 xml:space="preserve">Lielā iela – </w:t>
            </w:r>
            <w:proofErr w:type="spellStart"/>
            <w:r w:rsidRPr="0087045D">
              <w:rPr>
                <w:rFonts w:ascii="Times New Roman" w:eastAsia="Times New Roman" w:hAnsi="Times New Roman" w:cs="Times New Roman"/>
                <w:lang w:val="lv-LV"/>
              </w:rPr>
              <w:t>Mātera</w:t>
            </w:r>
            <w:proofErr w:type="spellEnd"/>
            <w:r w:rsidRPr="0087045D">
              <w:rPr>
                <w:rFonts w:ascii="Times New Roman" w:eastAsia="Times New Roman" w:hAnsi="Times New Roman" w:cs="Times New Roman"/>
                <w:lang w:val="lv-LV"/>
              </w:rPr>
              <w:t xml:space="preserve"> iela</w:t>
            </w:r>
          </w:p>
        </w:tc>
        <w:tc>
          <w:tcPr>
            <w:tcW w:w="1423" w:type="dxa"/>
            <w:vAlign w:val="bottom"/>
          </w:tcPr>
          <w:p w14:paraId="000E9889"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19599</w:t>
            </w:r>
          </w:p>
        </w:tc>
        <w:tc>
          <w:tcPr>
            <w:tcW w:w="1367" w:type="dxa"/>
            <w:vAlign w:val="bottom"/>
          </w:tcPr>
          <w:p w14:paraId="4AFE67EE"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19000</w:t>
            </w:r>
          </w:p>
        </w:tc>
        <w:tc>
          <w:tcPr>
            <w:tcW w:w="1283" w:type="dxa"/>
            <w:vAlign w:val="bottom"/>
          </w:tcPr>
          <w:p w14:paraId="1CE5FD17"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21600</w:t>
            </w:r>
          </w:p>
        </w:tc>
      </w:tr>
      <w:tr w:rsidR="0087045D" w:rsidRPr="0087045D" w14:paraId="6F54A428" w14:textId="77777777" w:rsidTr="0087045D">
        <w:trPr>
          <w:jc w:val="center"/>
        </w:trPr>
        <w:tc>
          <w:tcPr>
            <w:tcW w:w="4223" w:type="dxa"/>
            <w:vAlign w:val="center"/>
          </w:tcPr>
          <w:p w14:paraId="18238DAE"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Lielā iela – Pētera iela</w:t>
            </w:r>
          </w:p>
        </w:tc>
        <w:tc>
          <w:tcPr>
            <w:tcW w:w="1423" w:type="dxa"/>
            <w:vAlign w:val="bottom"/>
          </w:tcPr>
          <w:p w14:paraId="26FEFD84"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17113</w:t>
            </w:r>
          </w:p>
        </w:tc>
        <w:tc>
          <w:tcPr>
            <w:tcW w:w="1367" w:type="dxa"/>
            <w:vAlign w:val="bottom"/>
          </w:tcPr>
          <w:p w14:paraId="1F50785D"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20300</w:t>
            </w:r>
          </w:p>
        </w:tc>
        <w:tc>
          <w:tcPr>
            <w:tcW w:w="1283" w:type="dxa"/>
            <w:vAlign w:val="bottom"/>
          </w:tcPr>
          <w:p w14:paraId="6D263F3B"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18800</w:t>
            </w:r>
          </w:p>
        </w:tc>
      </w:tr>
      <w:tr w:rsidR="0087045D" w:rsidRPr="0087045D" w14:paraId="17BD3D03" w14:textId="77777777" w:rsidTr="0087045D">
        <w:trPr>
          <w:jc w:val="center"/>
        </w:trPr>
        <w:tc>
          <w:tcPr>
            <w:tcW w:w="4223" w:type="dxa"/>
            <w:vAlign w:val="center"/>
          </w:tcPr>
          <w:p w14:paraId="1D2A77C3"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Lielā iela – Kalpaka iela</w:t>
            </w:r>
          </w:p>
        </w:tc>
        <w:tc>
          <w:tcPr>
            <w:tcW w:w="1423" w:type="dxa"/>
            <w:vAlign w:val="bottom"/>
          </w:tcPr>
          <w:p w14:paraId="0141369B"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17712</w:t>
            </w:r>
          </w:p>
        </w:tc>
        <w:tc>
          <w:tcPr>
            <w:tcW w:w="1367" w:type="dxa"/>
            <w:vAlign w:val="bottom"/>
          </w:tcPr>
          <w:p w14:paraId="3DD885B7"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21000</w:t>
            </w:r>
          </w:p>
        </w:tc>
        <w:tc>
          <w:tcPr>
            <w:tcW w:w="1283" w:type="dxa"/>
            <w:vAlign w:val="bottom"/>
          </w:tcPr>
          <w:p w14:paraId="368E9A2B"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18400</w:t>
            </w:r>
          </w:p>
        </w:tc>
      </w:tr>
      <w:tr w:rsidR="0087045D" w:rsidRPr="0087045D" w14:paraId="5A7EF1CF" w14:textId="77777777" w:rsidTr="0087045D">
        <w:trPr>
          <w:jc w:val="center"/>
        </w:trPr>
        <w:tc>
          <w:tcPr>
            <w:tcW w:w="4223" w:type="dxa"/>
            <w:vAlign w:val="center"/>
          </w:tcPr>
          <w:p w14:paraId="51DA6A50" w14:textId="77777777" w:rsidR="0087045D" w:rsidRPr="0087045D" w:rsidRDefault="0087045D" w:rsidP="007A7643">
            <w:pPr>
              <w:ind w:right="-483"/>
              <w:jc w:val="both"/>
              <w:rPr>
                <w:rFonts w:ascii="Times New Roman" w:eastAsia="Times New Roman" w:hAnsi="Times New Roman" w:cs="Times New Roman"/>
                <w:lang w:val="lv-LV"/>
              </w:rPr>
            </w:pPr>
            <w:r w:rsidRPr="0087045D">
              <w:rPr>
                <w:rFonts w:ascii="Times New Roman" w:eastAsia="Times New Roman" w:hAnsi="Times New Roman" w:cs="Times New Roman"/>
                <w:lang w:val="lv-LV"/>
              </w:rPr>
              <w:t>Lielā iela – Dambja</w:t>
            </w:r>
          </w:p>
        </w:tc>
        <w:tc>
          <w:tcPr>
            <w:tcW w:w="1423" w:type="dxa"/>
            <w:vAlign w:val="bottom"/>
          </w:tcPr>
          <w:p w14:paraId="432D712E"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19589</w:t>
            </w:r>
          </w:p>
        </w:tc>
        <w:tc>
          <w:tcPr>
            <w:tcW w:w="1367" w:type="dxa"/>
            <w:vAlign w:val="bottom"/>
          </w:tcPr>
          <w:p w14:paraId="415BBDB0"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21000</w:t>
            </w:r>
          </w:p>
        </w:tc>
        <w:tc>
          <w:tcPr>
            <w:tcW w:w="1283" w:type="dxa"/>
            <w:vAlign w:val="bottom"/>
          </w:tcPr>
          <w:p w14:paraId="7788E9D1"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Calibri" w:hAnsi="Times New Roman" w:cs="Times New Roman"/>
                <w:color w:val="000000"/>
                <w:lang w:val="lv-LV"/>
              </w:rPr>
              <w:t>18900</w:t>
            </w:r>
          </w:p>
        </w:tc>
      </w:tr>
      <w:tr w:rsidR="0087045D" w:rsidRPr="0087045D" w14:paraId="27746C33" w14:textId="77777777" w:rsidTr="0087045D">
        <w:trPr>
          <w:jc w:val="center"/>
        </w:trPr>
        <w:tc>
          <w:tcPr>
            <w:tcW w:w="4223" w:type="dxa"/>
            <w:vAlign w:val="center"/>
          </w:tcPr>
          <w:p w14:paraId="530F67D7" w14:textId="77777777" w:rsidR="0087045D" w:rsidRPr="0087045D" w:rsidRDefault="0087045D" w:rsidP="000D2776">
            <w:pPr>
              <w:ind w:right="-483"/>
              <w:rPr>
                <w:rFonts w:ascii="Times New Roman" w:eastAsia="Times New Roman" w:hAnsi="Times New Roman" w:cs="Times New Roman"/>
                <w:b/>
                <w:lang w:val="lv-LV"/>
              </w:rPr>
            </w:pPr>
            <w:r w:rsidRPr="0087045D">
              <w:rPr>
                <w:rFonts w:ascii="Times New Roman" w:eastAsia="Times New Roman" w:hAnsi="Times New Roman" w:cs="Times New Roman"/>
                <w:b/>
                <w:lang w:val="lv-LV"/>
              </w:rPr>
              <w:t xml:space="preserve">Vidējā </w:t>
            </w:r>
          </w:p>
        </w:tc>
        <w:tc>
          <w:tcPr>
            <w:tcW w:w="1423" w:type="dxa"/>
            <w:vAlign w:val="center"/>
          </w:tcPr>
          <w:p w14:paraId="110F948D"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22798</w:t>
            </w:r>
          </w:p>
        </w:tc>
        <w:tc>
          <w:tcPr>
            <w:tcW w:w="1367" w:type="dxa"/>
            <w:vAlign w:val="center"/>
          </w:tcPr>
          <w:p w14:paraId="1DC298DA"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25888</w:t>
            </w:r>
          </w:p>
        </w:tc>
        <w:tc>
          <w:tcPr>
            <w:tcW w:w="1283" w:type="dxa"/>
            <w:vAlign w:val="center"/>
          </w:tcPr>
          <w:p w14:paraId="4D6E9C71"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24125</w:t>
            </w:r>
          </w:p>
        </w:tc>
      </w:tr>
      <w:tr w:rsidR="0087045D" w:rsidRPr="0087045D" w14:paraId="72A54AEF" w14:textId="77777777" w:rsidTr="0087045D">
        <w:trPr>
          <w:jc w:val="center"/>
        </w:trPr>
        <w:tc>
          <w:tcPr>
            <w:tcW w:w="4223" w:type="dxa"/>
            <w:vAlign w:val="center"/>
          </w:tcPr>
          <w:p w14:paraId="3867AF81" w14:textId="37F83262" w:rsidR="0087045D" w:rsidRPr="0087045D" w:rsidRDefault="0087045D" w:rsidP="000D2776">
            <w:pPr>
              <w:ind w:right="-483"/>
              <w:rPr>
                <w:rFonts w:ascii="Times New Roman" w:eastAsia="Times New Roman" w:hAnsi="Times New Roman" w:cs="Times New Roman"/>
                <w:b/>
                <w:lang w:val="lv-LV"/>
              </w:rPr>
            </w:pPr>
            <w:r w:rsidRPr="0087045D">
              <w:rPr>
                <w:rFonts w:ascii="Times New Roman" w:eastAsia="Times New Roman" w:hAnsi="Times New Roman" w:cs="Times New Roman"/>
                <w:b/>
                <w:lang w:val="lv-LV"/>
              </w:rPr>
              <w:t>% pieaugums pret 2015</w:t>
            </w:r>
            <w:r w:rsidR="002E2258">
              <w:rPr>
                <w:rFonts w:ascii="Times New Roman" w:eastAsia="Times New Roman" w:hAnsi="Times New Roman" w:cs="Times New Roman"/>
                <w:b/>
                <w:lang w:val="lv-LV"/>
              </w:rPr>
              <w:t>.</w:t>
            </w:r>
            <w:r w:rsidRPr="0087045D">
              <w:rPr>
                <w:rFonts w:ascii="Times New Roman" w:eastAsia="Times New Roman" w:hAnsi="Times New Roman" w:cs="Times New Roman"/>
                <w:b/>
                <w:lang w:val="lv-LV"/>
              </w:rPr>
              <w:t>/2016. gadu</w:t>
            </w:r>
          </w:p>
        </w:tc>
        <w:tc>
          <w:tcPr>
            <w:tcW w:w="1423" w:type="dxa"/>
            <w:vAlign w:val="center"/>
          </w:tcPr>
          <w:p w14:paraId="7CC4AC92"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w:t>
            </w:r>
          </w:p>
        </w:tc>
        <w:tc>
          <w:tcPr>
            <w:tcW w:w="1367" w:type="dxa"/>
            <w:vAlign w:val="center"/>
          </w:tcPr>
          <w:p w14:paraId="201D4C89"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14 %</w:t>
            </w:r>
          </w:p>
        </w:tc>
        <w:tc>
          <w:tcPr>
            <w:tcW w:w="1283" w:type="dxa"/>
            <w:vAlign w:val="center"/>
          </w:tcPr>
          <w:p w14:paraId="1F0DE20A" w14:textId="77777777" w:rsidR="0087045D" w:rsidRPr="0087045D" w:rsidRDefault="0087045D" w:rsidP="007A7643">
            <w:pPr>
              <w:ind w:right="-483"/>
              <w:jc w:val="center"/>
              <w:rPr>
                <w:rFonts w:ascii="Times New Roman" w:eastAsia="Times New Roman" w:hAnsi="Times New Roman" w:cs="Times New Roman"/>
                <w:b/>
                <w:bCs/>
                <w:lang w:val="lv-LV"/>
              </w:rPr>
            </w:pPr>
            <w:r w:rsidRPr="0087045D">
              <w:rPr>
                <w:rFonts w:ascii="Times New Roman" w:eastAsia="Times New Roman" w:hAnsi="Times New Roman" w:cs="Times New Roman"/>
                <w:b/>
                <w:bCs/>
                <w:lang w:val="lv-LV"/>
              </w:rPr>
              <w:t>6 %</w:t>
            </w:r>
          </w:p>
        </w:tc>
      </w:tr>
    </w:tbl>
    <w:p w14:paraId="4A38A098" w14:textId="77777777" w:rsidR="0087045D" w:rsidRPr="0087045D" w:rsidRDefault="0087045D" w:rsidP="007A7643">
      <w:pPr>
        <w:spacing w:before="120" w:after="0" w:line="240" w:lineRule="auto"/>
        <w:ind w:right="-483"/>
        <w:contextualSpacing/>
        <w:jc w:val="both"/>
        <w:rPr>
          <w:rFonts w:eastAsia="Times New Roman"/>
          <w:sz w:val="18"/>
          <w:szCs w:val="18"/>
        </w:rPr>
      </w:pPr>
      <w:r w:rsidRPr="0087045D">
        <w:rPr>
          <w:rFonts w:eastAsia="Times New Roman"/>
          <w:sz w:val="18"/>
          <w:szCs w:val="18"/>
        </w:rPr>
        <w:t>*Laika posmā no 2015. gada 1. jūnija līdz 2016. gada 1. jūnijam</w:t>
      </w:r>
    </w:p>
    <w:p w14:paraId="7975C51A" w14:textId="729F810D" w:rsidR="00261E96" w:rsidRPr="007A7643" w:rsidRDefault="00AD6D10" w:rsidP="004D03D2">
      <w:pPr>
        <w:pStyle w:val="tv213"/>
        <w:shd w:val="clear" w:color="auto" w:fill="FFFFFF"/>
        <w:spacing w:before="120" w:beforeAutospacing="0" w:after="0" w:afterAutospacing="0"/>
        <w:ind w:right="-483" w:firstLine="851"/>
        <w:jc w:val="both"/>
        <w:rPr>
          <w:sz w:val="28"/>
          <w:szCs w:val="28"/>
        </w:rPr>
      </w:pPr>
      <w:r w:rsidRPr="007A7643">
        <w:rPr>
          <w:sz w:val="28"/>
          <w:szCs w:val="28"/>
        </w:rPr>
        <w:t xml:space="preserve">Ziņojumā izskatīti </w:t>
      </w:r>
      <w:r w:rsidR="00261E96" w:rsidRPr="007A7643">
        <w:rPr>
          <w:sz w:val="28"/>
          <w:szCs w:val="28"/>
        </w:rPr>
        <w:t xml:space="preserve">arī </w:t>
      </w:r>
      <w:r w:rsidR="004D03D2">
        <w:rPr>
          <w:sz w:val="28"/>
          <w:szCs w:val="28"/>
        </w:rPr>
        <w:t>trīs</w:t>
      </w:r>
      <w:r w:rsidR="004D03D2" w:rsidRPr="007A7643">
        <w:rPr>
          <w:sz w:val="28"/>
          <w:szCs w:val="28"/>
        </w:rPr>
        <w:t xml:space="preserve"> </w:t>
      </w:r>
      <w:r w:rsidRPr="007A7643">
        <w:rPr>
          <w:sz w:val="28"/>
          <w:szCs w:val="28"/>
        </w:rPr>
        <w:t>iespējamie alternatīvie risinājumi, lai daļēji pārdalītu un novirzītu transporta plūsmu no pilsētas centra pa alternatīviem maršrutiem, t</w:t>
      </w:r>
      <w:r w:rsidR="003B2239" w:rsidRPr="007A7643">
        <w:rPr>
          <w:sz w:val="28"/>
          <w:szCs w:val="28"/>
        </w:rPr>
        <w:t>ai skaitā</w:t>
      </w:r>
      <w:r w:rsidRPr="007A7643">
        <w:rPr>
          <w:sz w:val="28"/>
          <w:szCs w:val="28"/>
        </w:rPr>
        <w:t>, divi risinājumi papildus apvedceļa būvniecībai uz dienvidiem no pilsētas (</w:t>
      </w:r>
      <w:r w:rsidR="00261E96" w:rsidRPr="007A7643">
        <w:rPr>
          <w:sz w:val="28"/>
          <w:szCs w:val="28"/>
        </w:rPr>
        <w:t>2</w:t>
      </w:r>
      <w:r w:rsidRPr="007A7643">
        <w:rPr>
          <w:sz w:val="28"/>
          <w:szCs w:val="28"/>
        </w:rPr>
        <w:t>.</w:t>
      </w:r>
      <w:r w:rsidR="00261E96" w:rsidRPr="007A7643">
        <w:rPr>
          <w:sz w:val="28"/>
          <w:szCs w:val="28"/>
        </w:rPr>
        <w:t> </w:t>
      </w:r>
      <w:r w:rsidRPr="007A7643">
        <w:rPr>
          <w:sz w:val="28"/>
          <w:szCs w:val="28"/>
        </w:rPr>
        <w:t>attēlā melnā krāsā un sarkanā krāsā), kā arī Platones-Rūpniecība ielas savienojums (</w:t>
      </w:r>
      <w:r w:rsidR="00261E96" w:rsidRPr="007A7643">
        <w:rPr>
          <w:sz w:val="28"/>
          <w:szCs w:val="28"/>
        </w:rPr>
        <w:t>2</w:t>
      </w:r>
      <w:r w:rsidRPr="007A7643">
        <w:rPr>
          <w:sz w:val="28"/>
          <w:szCs w:val="28"/>
        </w:rPr>
        <w:t>.</w:t>
      </w:r>
      <w:r w:rsidR="00261E96" w:rsidRPr="007A7643">
        <w:rPr>
          <w:sz w:val="28"/>
          <w:szCs w:val="28"/>
        </w:rPr>
        <w:t> </w:t>
      </w:r>
      <w:r w:rsidRPr="007A7643">
        <w:rPr>
          <w:sz w:val="28"/>
          <w:szCs w:val="28"/>
        </w:rPr>
        <w:t xml:space="preserve">attēlā zaļā krāsā). Novērtēts, ka satiksmes organizācijas problēmas alternatīvie varianti risinātu tikai daļēji. Pašlaik pārslogotais pilsētas centra satiksmes koridors tiktu atslogots daļēji, bet pilsētas ziemeļu daļu savienošanas un attīstības mērķi netiktu sasniegti. </w:t>
      </w:r>
      <w:r w:rsidR="007000DD" w:rsidRPr="007A7643">
        <w:rPr>
          <w:sz w:val="28"/>
          <w:szCs w:val="28"/>
        </w:rPr>
        <w:t>Novērtēts, ka šo mērķi iespējams sasniegt, tikai būvējot pilsētas ziemeļu šķērsojumu</w:t>
      </w:r>
      <w:r w:rsidR="00261E96" w:rsidRPr="007A7643">
        <w:rPr>
          <w:sz w:val="28"/>
          <w:szCs w:val="28"/>
        </w:rPr>
        <w:t xml:space="preserve">. </w:t>
      </w:r>
    </w:p>
    <w:p w14:paraId="36176723" w14:textId="320937E3" w:rsidR="001D6A74" w:rsidRPr="007A7643" w:rsidRDefault="00261E96" w:rsidP="004D03D2">
      <w:pPr>
        <w:pStyle w:val="tv213"/>
        <w:shd w:val="clear" w:color="auto" w:fill="FFFFFF"/>
        <w:spacing w:before="120" w:beforeAutospacing="0" w:after="0" w:afterAutospacing="0"/>
        <w:ind w:right="-483" w:firstLine="851"/>
        <w:jc w:val="both"/>
        <w:rPr>
          <w:sz w:val="28"/>
          <w:szCs w:val="28"/>
        </w:rPr>
      </w:pPr>
      <w:r w:rsidRPr="007A7643">
        <w:rPr>
          <w:sz w:val="28"/>
          <w:szCs w:val="28"/>
        </w:rPr>
        <w:t>Tomēr j</w:t>
      </w:r>
      <w:r w:rsidR="001D6A74" w:rsidRPr="007A7643">
        <w:rPr>
          <w:rFonts w:eastAsia="Cambria"/>
          <w:sz w:val="28"/>
          <w:szCs w:val="28"/>
        </w:rPr>
        <w:t xml:space="preserve">ebkurā no iespējamiem risinājumiem ziemeļu šķērsojuma (tilta) būvniecības vietā būtu īpaši aizsargājamā dabas teritorija, kas iekļauta </w:t>
      </w:r>
      <w:proofErr w:type="spellStart"/>
      <w:r w:rsidR="001D6A74" w:rsidRPr="007A7643">
        <w:rPr>
          <w:rFonts w:eastAsia="Cambria"/>
          <w:sz w:val="28"/>
          <w:szCs w:val="28"/>
        </w:rPr>
        <w:t>Natura</w:t>
      </w:r>
      <w:proofErr w:type="spellEnd"/>
      <w:r w:rsidR="001D6A74" w:rsidRPr="007A7643">
        <w:rPr>
          <w:rFonts w:eastAsia="Cambria"/>
          <w:sz w:val="28"/>
          <w:szCs w:val="28"/>
        </w:rPr>
        <w:t xml:space="preserve"> 2000 tīklā, jo D</w:t>
      </w:r>
      <w:r w:rsidR="001D6A74" w:rsidRPr="007A7643">
        <w:rPr>
          <w:sz w:val="28"/>
          <w:szCs w:val="28"/>
        </w:rPr>
        <w:t xml:space="preserve">abas lieguma I teritorija izvietota jau ~ </w:t>
      </w:r>
      <w:r w:rsidR="001D6A74" w:rsidRPr="007A7643">
        <w:rPr>
          <w:rFonts w:eastAsia="Cambria"/>
          <w:sz w:val="28"/>
          <w:szCs w:val="28"/>
        </w:rPr>
        <w:t xml:space="preserve">150 m attālumā uz ziemeļiem no esošā tilta pār Lielupi un </w:t>
      </w:r>
      <w:proofErr w:type="spellStart"/>
      <w:r w:rsidR="001D6A74" w:rsidRPr="007A7643">
        <w:rPr>
          <w:rFonts w:eastAsia="Cambria"/>
          <w:sz w:val="28"/>
          <w:szCs w:val="28"/>
        </w:rPr>
        <w:t>Driksas</w:t>
      </w:r>
      <w:proofErr w:type="spellEnd"/>
      <w:r w:rsidR="001D6A74" w:rsidRPr="007A7643">
        <w:rPr>
          <w:rFonts w:eastAsia="Cambria"/>
          <w:sz w:val="28"/>
          <w:szCs w:val="28"/>
        </w:rPr>
        <w:t xml:space="preserve"> upi pilsētas centrālajā daļā (sk. </w:t>
      </w:r>
      <w:proofErr w:type="spellStart"/>
      <w:r w:rsidRPr="007A7643">
        <w:rPr>
          <w:rFonts w:eastAsia="Cambria"/>
          <w:sz w:val="28"/>
          <w:szCs w:val="28"/>
        </w:rPr>
        <w:t>Natura</w:t>
      </w:r>
      <w:proofErr w:type="spellEnd"/>
      <w:r w:rsidRPr="007A7643">
        <w:rPr>
          <w:rFonts w:eastAsia="Cambria"/>
          <w:sz w:val="28"/>
          <w:szCs w:val="28"/>
        </w:rPr>
        <w:t xml:space="preserve"> 2000 teritorijas izvietojumu </w:t>
      </w:r>
      <w:r w:rsidR="00370506" w:rsidRPr="007A7643">
        <w:rPr>
          <w:rFonts w:eastAsia="Cambria"/>
          <w:sz w:val="28"/>
          <w:szCs w:val="28"/>
        </w:rPr>
        <w:t xml:space="preserve">informatīvā ziņojuma </w:t>
      </w:r>
      <w:r w:rsidRPr="007A7643">
        <w:rPr>
          <w:rFonts w:eastAsia="Cambria"/>
          <w:sz w:val="28"/>
          <w:szCs w:val="28"/>
        </w:rPr>
        <w:t>1</w:t>
      </w:r>
      <w:r w:rsidR="001D6A74" w:rsidRPr="007A7643">
        <w:rPr>
          <w:rFonts w:eastAsia="Cambria"/>
          <w:sz w:val="28"/>
          <w:szCs w:val="28"/>
        </w:rPr>
        <w:t>.</w:t>
      </w:r>
      <w:r w:rsidR="005901A5" w:rsidRPr="007A7643">
        <w:rPr>
          <w:rFonts w:eastAsia="Cambria"/>
          <w:sz w:val="28"/>
          <w:szCs w:val="28"/>
        </w:rPr>
        <w:t> </w:t>
      </w:r>
      <w:r w:rsidR="001D6A74" w:rsidRPr="007A7643">
        <w:rPr>
          <w:rFonts w:eastAsia="Cambria"/>
          <w:sz w:val="28"/>
          <w:szCs w:val="28"/>
        </w:rPr>
        <w:t>pielikum</w:t>
      </w:r>
      <w:r w:rsidRPr="007A7643">
        <w:rPr>
          <w:rFonts w:eastAsia="Cambria"/>
          <w:sz w:val="28"/>
          <w:szCs w:val="28"/>
        </w:rPr>
        <w:t>ā</w:t>
      </w:r>
      <w:r w:rsidR="001D6A74" w:rsidRPr="007A7643">
        <w:rPr>
          <w:rFonts w:eastAsia="Cambria"/>
          <w:sz w:val="28"/>
          <w:szCs w:val="28"/>
        </w:rPr>
        <w:t>), bet tās teritorija turpinās līdz Jelgavas pilsētas administratīvās teritorijas ziemeļu robežai. Z</w:t>
      </w:r>
      <w:r w:rsidR="001D6A74" w:rsidRPr="007A7643">
        <w:rPr>
          <w:sz w:val="28"/>
          <w:szCs w:val="28"/>
        </w:rPr>
        <w:t xml:space="preserve">iemeļos </w:t>
      </w:r>
      <w:r w:rsidR="001D6A74" w:rsidRPr="007A7643">
        <w:rPr>
          <w:rFonts w:eastAsia="Cambria"/>
          <w:sz w:val="28"/>
          <w:szCs w:val="28"/>
        </w:rPr>
        <w:t>d</w:t>
      </w:r>
      <w:r w:rsidR="001D6A74" w:rsidRPr="007A7643">
        <w:rPr>
          <w:sz w:val="28"/>
          <w:szCs w:val="28"/>
        </w:rPr>
        <w:t>abas lieguma “</w:t>
      </w:r>
      <w:r w:rsidR="001D6A74" w:rsidRPr="007A7643">
        <w:rPr>
          <w:i/>
          <w:sz w:val="28"/>
          <w:szCs w:val="28"/>
        </w:rPr>
        <w:t>Lielupes palienes pļavas</w:t>
      </w:r>
      <w:r w:rsidR="001D6A74" w:rsidRPr="007A7643">
        <w:rPr>
          <w:sz w:val="28"/>
          <w:szCs w:val="28"/>
        </w:rPr>
        <w:t>” I teritorija robežojas jau ar citu īpaši aizsargājamo dabas teritoriju – dabas parku “</w:t>
      </w:r>
      <w:r w:rsidR="001D6A74" w:rsidRPr="007A7643">
        <w:rPr>
          <w:i/>
          <w:sz w:val="28"/>
          <w:szCs w:val="28"/>
        </w:rPr>
        <w:t>Svētes paliene</w:t>
      </w:r>
      <w:r w:rsidR="001D6A74" w:rsidRPr="007A7643">
        <w:rPr>
          <w:sz w:val="28"/>
          <w:szCs w:val="28"/>
        </w:rPr>
        <w:t xml:space="preserve">” (arī iekļauta </w:t>
      </w:r>
      <w:proofErr w:type="spellStart"/>
      <w:r w:rsidR="001D6A74" w:rsidRPr="007A7643">
        <w:rPr>
          <w:sz w:val="28"/>
          <w:szCs w:val="28"/>
        </w:rPr>
        <w:t>Natura</w:t>
      </w:r>
      <w:proofErr w:type="spellEnd"/>
      <w:r w:rsidR="001D6A74" w:rsidRPr="007A7643">
        <w:rPr>
          <w:sz w:val="28"/>
          <w:szCs w:val="28"/>
        </w:rPr>
        <w:t xml:space="preserve"> 2000 tīklā).</w:t>
      </w:r>
    </w:p>
    <w:p w14:paraId="3ADC8ABF" w14:textId="77777777" w:rsidR="0020495D" w:rsidRDefault="0020495D" w:rsidP="007A7643">
      <w:pPr>
        <w:pStyle w:val="tv213"/>
        <w:shd w:val="clear" w:color="auto" w:fill="FFFFFF"/>
        <w:spacing w:before="120" w:beforeAutospacing="0" w:after="0" w:afterAutospacing="0"/>
        <w:ind w:right="-483"/>
        <w:jc w:val="center"/>
      </w:pPr>
      <w:r w:rsidRPr="003C25B1">
        <w:rPr>
          <w:rFonts w:eastAsia="Calibri" w:cs="Calibri"/>
          <w:noProof/>
        </w:rPr>
        <w:lastRenderedPageBreak/>
        <w:drawing>
          <wp:inline distT="0" distB="0" distL="0" distR="0" wp14:anchorId="30624E7D" wp14:editId="4669D6F2">
            <wp:extent cx="3388721" cy="4085019"/>
            <wp:effectExtent l="0" t="5398"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42_CD-5.jpg"/>
                    <pic:cNvPicPr/>
                  </pic:nvPicPr>
                  <pic:blipFill rotWithShape="1">
                    <a:blip r:embed="rId11" cstate="print">
                      <a:extLst>
                        <a:ext uri="{28A0092B-C50C-407E-A947-70E740481C1C}">
                          <a14:useLocalDpi xmlns:a14="http://schemas.microsoft.com/office/drawing/2010/main" val="0"/>
                        </a:ext>
                      </a:extLst>
                    </a:blip>
                    <a:srcRect/>
                    <a:stretch/>
                  </pic:blipFill>
                  <pic:spPr bwMode="auto">
                    <a:xfrm rot="5400000">
                      <a:off x="0" y="0"/>
                      <a:ext cx="3451857" cy="4161128"/>
                    </a:xfrm>
                    <a:prstGeom prst="rect">
                      <a:avLst/>
                    </a:prstGeom>
                    <a:ln>
                      <a:noFill/>
                    </a:ln>
                    <a:extLst>
                      <a:ext uri="{53640926-AAD7-44D8-BBD7-CCE9431645EC}">
                        <a14:shadowObscured xmlns:a14="http://schemas.microsoft.com/office/drawing/2010/main"/>
                      </a:ext>
                    </a:extLst>
                  </pic:spPr>
                </pic:pic>
              </a:graphicData>
            </a:graphic>
          </wp:inline>
        </w:drawing>
      </w:r>
    </w:p>
    <w:p w14:paraId="39C3A3D8" w14:textId="77777777" w:rsidR="0020495D" w:rsidRPr="0020495D" w:rsidRDefault="00261E96" w:rsidP="007A7643">
      <w:pPr>
        <w:pStyle w:val="tv213"/>
        <w:shd w:val="clear" w:color="auto" w:fill="FFFFFF"/>
        <w:spacing w:before="120" w:beforeAutospacing="0" w:after="0" w:afterAutospacing="0"/>
        <w:ind w:right="-483"/>
        <w:jc w:val="center"/>
        <w:rPr>
          <w:sz w:val="22"/>
          <w:szCs w:val="22"/>
        </w:rPr>
      </w:pPr>
      <w:r>
        <w:rPr>
          <w:i/>
          <w:sz w:val="22"/>
          <w:szCs w:val="22"/>
        </w:rPr>
        <w:t>2</w:t>
      </w:r>
      <w:r w:rsidR="0020495D" w:rsidRPr="001D6A74">
        <w:rPr>
          <w:i/>
          <w:sz w:val="22"/>
          <w:szCs w:val="22"/>
        </w:rPr>
        <w:t>.attēls</w:t>
      </w:r>
      <w:r w:rsidR="001D6A74">
        <w:rPr>
          <w:sz w:val="22"/>
          <w:szCs w:val="22"/>
        </w:rPr>
        <w:t xml:space="preserve">. </w:t>
      </w:r>
      <w:r w:rsidR="0020495D">
        <w:rPr>
          <w:i/>
          <w:sz w:val="22"/>
          <w:szCs w:val="22"/>
        </w:rPr>
        <w:t>Izvērtētās</w:t>
      </w:r>
      <w:r w:rsidR="0020495D" w:rsidRPr="0020495D">
        <w:rPr>
          <w:i/>
          <w:sz w:val="22"/>
          <w:szCs w:val="22"/>
        </w:rPr>
        <w:t xml:space="preserve"> alternatīvas transporta plūsmas novirzīšanai no pilsētas centra</w:t>
      </w:r>
    </w:p>
    <w:p w14:paraId="217162DF" w14:textId="77777777" w:rsidR="002000AD" w:rsidRDefault="002000AD" w:rsidP="007A7643">
      <w:pPr>
        <w:pStyle w:val="tv213"/>
        <w:shd w:val="clear" w:color="auto" w:fill="FFFFFF"/>
        <w:spacing w:before="0" w:beforeAutospacing="0" w:after="0" w:afterAutospacing="0"/>
        <w:ind w:right="-483"/>
        <w:jc w:val="both"/>
        <w:rPr>
          <w:rFonts w:ascii="Arial" w:hAnsi="Arial" w:cs="Arial"/>
          <w:color w:val="414142"/>
          <w:sz w:val="20"/>
          <w:szCs w:val="20"/>
        </w:rPr>
      </w:pPr>
    </w:p>
    <w:p w14:paraId="15EAD0D8" w14:textId="77777777" w:rsidR="00E336D5" w:rsidRPr="007A7643" w:rsidRDefault="007A0E92" w:rsidP="007A7643">
      <w:pPr>
        <w:pStyle w:val="tv213"/>
        <w:shd w:val="clear" w:color="auto" w:fill="FFFFFF"/>
        <w:spacing w:before="0" w:beforeAutospacing="0" w:after="0" w:afterAutospacing="0"/>
        <w:ind w:left="600" w:right="-483"/>
        <w:jc w:val="center"/>
        <w:rPr>
          <w:b/>
          <w:sz w:val="28"/>
          <w:szCs w:val="28"/>
        </w:rPr>
      </w:pPr>
      <w:r w:rsidRPr="007A7643">
        <w:rPr>
          <w:b/>
          <w:sz w:val="28"/>
          <w:szCs w:val="28"/>
        </w:rPr>
        <w:t>7. </w:t>
      </w:r>
      <w:r w:rsidR="007000DD" w:rsidRPr="007A7643">
        <w:rPr>
          <w:b/>
          <w:sz w:val="28"/>
          <w:szCs w:val="28"/>
        </w:rPr>
        <w:t>I</w:t>
      </w:r>
      <w:r w:rsidR="00E336D5" w:rsidRPr="007A7643">
        <w:rPr>
          <w:b/>
          <w:sz w:val="28"/>
          <w:szCs w:val="28"/>
        </w:rPr>
        <w:t>emesls un pamatojums, kāpēc īstenojama paredzētā d</w:t>
      </w:r>
      <w:r w:rsidR="007000DD" w:rsidRPr="007A7643">
        <w:rPr>
          <w:b/>
          <w:sz w:val="28"/>
          <w:szCs w:val="28"/>
        </w:rPr>
        <w:t>arbība vai plānošanas dokuments</w:t>
      </w:r>
    </w:p>
    <w:p w14:paraId="6C5A9B0C" w14:textId="1567B41D" w:rsidR="007000DD" w:rsidRDefault="002000AD" w:rsidP="004D03D2">
      <w:pPr>
        <w:pStyle w:val="tv213"/>
        <w:shd w:val="clear" w:color="auto" w:fill="FFFFFF"/>
        <w:spacing w:before="120" w:beforeAutospacing="0" w:after="0" w:afterAutospacing="0"/>
        <w:ind w:right="-483" w:firstLine="851"/>
        <w:jc w:val="both"/>
        <w:rPr>
          <w:sz w:val="28"/>
          <w:szCs w:val="28"/>
        </w:rPr>
      </w:pPr>
      <w:r w:rsidRPr="007A7643">
        <w:rPr>
          <w:rFonts w:eastAsia="Cambria"/>
          <w:sz w:val="28"/>
          <w:szCs w:val="28"/>
        </w:rPr>
        <w:t>Paredzētās darbības</w:t>
      </w:r>
      <w:r w:rsidRPr="007A7643">
        <w:rPr>
          <w:sz w:val="28"/>
          <w:szCs w:val="28"/>
        </w:rPr>
        <w:t xml:space="preserve"> </w:t>
      </w:r>
      <w:r w:rsidR="007000DD" w:rsidRPr="007A7643">
        <w:rPr>
          <w:sz w:val="28"/>
          <w:szCs w:val="28"/>
        </w:rPr>
        <w:t xml:space="preserve">īstenošana saistīta ar sabiedrībai nozīmīgu sociālo un ekonomisko interešu apmierināšanu, jo tās </w:t>
      </w:r>
      <w:r w:rsidRPr="007A7643">
        <w:rPr>
          <w:sz w:val="28"/>
          <w:szCs w:val="28"/>
        </w:rPr>
        <w:t xml:space="preserve">mērķis ir atrisināt Jelgavas pilsētas satiksmes organizācijas problēmas un radīt priekšnosacījumus </w:t>
      </w:r>
      <w:r w:rsidR="007000DD" w:rsidRPr="007A7643">
        <w:rPr>
          <w:sz w:val="28"/>
          <w:szCs w:val="28"/>
        </w:rPr>
        <w:t xml:space="preserve">pilsētas ziemeļu daļas sociālajai un ekonomiskajai </w:t>
      </w:r>
      <w:r w:rsidRPr="007A7643">
        <w:rPr>
          <w:sz w:val="28"/>
          <w:szCs w:val="28"/>
        </w:rPr>
        <w:t>attīstībai, tai skaitā</w:t>
      </w:r>
      <w:r w:rsidR="007000DD" w:rsidRPr="007A7643">
        <w:rPr>
          <w:sz w:val="28"/>
          <w:szCs w:val="28"/>
        </w:rPr>
        <w:t xml:space="preserve"> izveidot transporta infrastruktūru industriālo teritoriju attīstībai pilsētas ziemeļrietumu daļā (lidlaukam pieguļošajās teritorijās) un novirzīt tranzīta plūsmas no pilsētas centra uz mazāk apdzīvotiem rajoniem (samazinot sastrēgumus, trokšņu līmeņa pārsniegumus pilsētas centrā un radot priekšnoteikumu ceļu satiksmes negadījumu samazināšanai).</w:t>
      </w:r>
    </w:p>
    <w:p w14:paraId="46758763" w14:textId="77777777" w:rsidR="006B10FE" w:rsidRPr="007A7643" w:rsidRDefault="006B10FE" w:rsidP="007A7643">
      <w:pPr>
        <w:pStyle w:val="tv213"/>
        <w:shd w:val="clear" w:color="auto" w:fill="FFFFFF"/>
        <w:spacing w:before="120" w:beforeAutospacing="0" w:after="0" w:afterAutospacing="0"/>
        <w:ind w:right="-483"/>
        <w:jc w:val="both"/>
        <w:rPr>
          <w:sz w:val="28"/>
          <w:szCs w:val="28"/>
        </w:rPr>
      </w:pPr>
    </w:p>
    <w:p w14:paraId="6AFB1E7B" w14:textId="77777777" w:rsidR="007000DD" w:rsidRPr="007A7643" w:rsidRDefault="007000DD" w:rsidP="007A7643">
      <w:pPr>
        <w:pStyle w:val="tv213"/>
        <w:shd w:val="clear" w:color="auto" w:fill="FFFFFF"/>
        <w:spacing w:before="0" w:beforeAutospacing="0" w:after="0" w:afterAutospacing="0"/>
        <w:ind w:left="600" w:right="-483"/>
        <w:jc w:val="both"/>
        <w:rPr>
          <w:sz w:val="28"/>
          <w:szCs w:val="28"/>
        </w:rPr>
      </w:pPr>
    </w:p>
    <w:p w14:paraId="3ECD5017" w14:textId="77777777" w:rsidR="00E336D5" w:rsidRPr="007A7643" w:rsidRDefault="007A0E92" w:rsidP="007A7643">
      <w:pPr>
        <w:pStyle w:val="tv213"/>
        <w:shd w:val="clear" w:color="auto" w:fill="FFFFFF"/>
        <w:spacing w:before="0" w:beforeAutospacing="0" w:after="0" w:afterAutospacing="0"/>
        <w:ind w:left="600" w:right="-483"/>
        <w:jc w:val="center"/>
        <w:rPr>
          <w:b/>
          <w:sz w:val="28"/>
          <w:szCs w:val="28"/>
        </w:rPr>
      </w:pPr>
      <w:r w:rsidRPr="007A7643">
        <w:rPr>
          <w:b/>
          <w:sz w:val="28"/>
          <w:szCs w:val="28"/>
        </w:rPr>
        <w:t>8. </w:t>
      </w:r>
      <w:r w:rsidR="007000DD" w:rsidRPr="007A7643">
        <w:rPr>
          <w:b/>
          <w:sz w:val="28"/>
          <w:szCs w:val="28"/>
        </w:rPr>
        <w:t>P</w:t>
      </w:r>
      <w:r w:rsidR="00E336D5" w:rsidRPr="007A7643">
        <w:rPr>
          <w:b/>
          <w:sz w:val="28"/>
          <w:szCs w:val="28"/>
        </w:rPr>
        <w:t>aredzētie ietekmi samazinošie un kompensējošie pasākumi, to izvēles pamatojums un ieviešanas grafiks, kā</w:t>
      </w:r>
      <w:r w:rsidR="00785BAB" w:rsidRPr="007A7643">
        <w:rPr>
          <w:b/>
          <w:sz w:val="28"/>
          <w:szCs w:val="28"/>
        </w:rPr>
        <w:t xml:space="preserve"> arī pasākumu monitoringa plāns.</w:t>
      </w:r>
    </w:p>
    <w:p w14:paraId="3A40FCE6" w14:textId="37A26A25" w:rsidR="004C6AC6" w:rsidRPr="007A7643" w:rsidRDefault="004C6AC6" w:rsidP="00774A18">
      <w:pPr>
        <w:pStyle w:val="tv213"/>
        <w:shd w:val="clear" w:color="auto" w:fill="FFFFFF"/>
        <w:spacing w:before="120" w:beforeAutospacing="0" w:after="0" w:afterAutospacing="0"/>
        <w:ind w:right="-483" w:firstLine="851"/>
        <w:jc w:val="both"/>
        <w:rPr>
          <w:sz w:val="28"/>
          <w:szCs w:val="28"/>
          <w:lang w:eastAsia="en-GB"/>
        </w:rPr>
      </w:pPr>
      <w:r w:rsidRPr="007A7643">
        <w:rPr>
          <w:sz w:val="28"/>
          <w:szCs w:val="28"/>
          <w:lang w:eastAsia="en-GB"/>
        </w:rPr>
        <w:t xml:space="preserve">Saskaņā ar Ziņojumu izvēlētā Paredzētās darbības alternatīva ir tilta konstrukciju 1. variants. Lai samazinātu ietekmi uz </w:t>
      </w:r>
      <w:proofErr w:type="spellStart"/>
      <w:r w:rsidRPr="007A7643">
        <w:rPr>
          <w:sz w:val="28"/>
          <w:szCs w:val="28"/>
          <w:lang w:eastAsia="en-GB"/>
        </w:rPr>
        <w:t>ornitofaunu</w:t>
      </w:r>
      <w:proofErr w:type="spellEnd"/>
      <w:r w:rsidRPr="007A7643">
        <w:rPr>
          <w:sz w:val="28"/>
          <w:szCs w:val="28"/>
          <w:lang w:eastAsia="en-GB"/>
        </w:rPr>
        <w:t>, tiltam paredzēta necaurredzam</w:t>
      </w:r>
      <w:r w:rsidR="003B2239" w:rsidRPr="007A7643">
        <w:rPr>
          <w:sz w:val="28"/>
          <w:szCs w:val="28"/>
          <w:lang w:eastAsia="en-GB"/>
        </w:rPr>
        <w:t>a</w:t>
      </w:r>
      <w:r w:rsidRPr="007A7643">
        <w:rPr>
          <w:sz w:val="28"/>
          <w:szCs w:val="28"/>
          <w:lang w:eastAsia="en-GB"/>
        </w:rPr>
        <w:t xml:space="preserve"> vai pret sadursmēm efektīvi marķēta vairogu siena</w:t>
      </w:r>
      <w:r w:rsidR="003B2239" w:rsidRPr="007A7643">
        <w:rPr>
          <w:sz w:val="28"/>
          <w:szCs w:val="28"/>
          <w:lang w:eastAsia="en-GB"/>
        </w:rPr>
        <w:t xml:space="preserve"> </w:t>
      </w:r>
      <w:r w:rsidRPr="007A7643">
        <w:rPr>
          <w:sz w:val="28"/>
          <w:szCs w:val="28"/>
          <w:lang w:eastAsia="en-GB"/>
        </w:rPr>
        <w:t xml:space="preserve">2,5 m </w:t>
      </w:r>
      <w:r w:rsidR="003B2239" w:rsidRPr="007A7643">
        <w:rPr>
          <w:sz w:val="28"/>
          <w:szCs w:val="28"/>
          <w:lang w:eastAsia="en-GB"/>
        </w:rPr>
        <w:t xml:space="preserve">augstumā </w:t>
      </w:r>
      <w:r w:rsidRPr="007A7643">
        <w:rPr>
          <w:sz w:val="28"/>
          <w:szCs w:val="28"/>
          <w:lang w:eastAsia="en-GB"/>
        </w:rPr>
        <w:t xml:space="preserve">virs brauktuves līmeņa, kas samazinās putnu </w:t>
      </w:r>
      <w:r w:rsidR="003B2239" w:rsidRPr="007A7643">
        <w:rPr>
          <w:sz w:val="28"/>
          <w:szCs w:val="28"/>
          <w:lang w:eastAsia="en-GB"/>
        </w:rPr>
        <w:t>sadursmi ar</w:t>
      </w:r>
      <w:r w:rsidRPr="007A7643">
        <w:rPr>
          <w:sz w:val="28"/>
          <w:szCs w:val="28"/>
          <w:lang w:eastAsia="en-GB"/>
        </w:rPr>
        <w:t xml:space="preserve"> stiklotām virsmām un automašīnām, </w:t>
      </w:r>
      <w:r w:rsidR="003B2239" w:rsidRPr="007A7643">
        <w:rPr>
          <w:sz w:val="28"/>
          <w:szCs w:val="28"/>
          <w:lang w:eastAsia="en-GB"/>
        </w:rPr>
        <w:t>kā arī</w:t>
      </w:r>
      <w:r w:rsidRPr="007A7643">
        <w:rPr>
          <w:sz w:val="28"/>
          <w:szCs w:val="28"/>
          <w:lang w:eastAsia="en-GB"/>
        </w:rPr>
        <w:t xml:space="preserve"> kalpos kā prettrokšņa barjeras.</w:t>
      </w:r>
      <w:r w:rsidR="003B2239" w:rsidRPr="007A7643">
        <w:rPr>
          <w:sz w:val="28"/>
          <w:szCs w:val="28"/>
          <w:lang w:eastAsia="en-GB"/>
        </w:rPr>
        <w:t xml:space="preserve"> Paredzētās darbības ietekmes mazināšanai paredzēti arī citi pasākumi, tajā skaitā ierobežojumu noteikšana būvdarbu veikšanai putnu ligzdošanas periodā, braukšanas ātruma ierobežojuma noteikšana uz tilta, zālāju apsaimniekošanas </w:t>
      </w:r>
      <w:r w:rsidR="003B2239" w:rsidRPr="007A7643">
        <w:rPr>
          <w:sz w:val="28"/>
          <w:szCs w:val="28"/>
          <w:lang w:eastAsia="en-GB"/>
        </w:rPr>
        <w:lastRenderedPageBreak/>
        <w:t xml:space="preserve">pasākumu veikšana u.c. Pārskats par plānotajiem ietekmi samazinošajiem pasākumiem pievienots informatīvā ziņojuma </w:t>
      </w:r>
      <w:r w:rsidR="001542D9" w:rsidRPr="007A7643">
        <w:rPr>
          <w:sz w:val="28"/>
          <w:szCs w:val="28"/>
          <w:lang w:eastAsia="en-GB"/>
        </w:rPr>
        <w:t>4</w:t>
      </w:r>
      <w:r w:rsidR="003B2239" w:rsidRPr="007A7643">
        <w:rPr>
          <w:sz w:val="28"/>
          <w:szCs w:val="28"/>
          <w:lang w:eastAsia="en-GB"/>
        </w:rPr>
        <w:t xml:space="preserve">. pielikumā. </w:t>
      </w:r>
    </w:p>
    <w:p w14:paraId="6586627D" w14:textId="7E16A081" w:rsidR="00785BAB" w:rsidRPr="007A7643" w:rsidRDefault="00785BAB" w:rsidP="00774A18">
      <w:pPr>
        <w:pStyle w:val="tv213"/>
        <w:shd w:val="clear" w:color="auto" w:fill="FFFFFF"/>
        <w:spacing w:before="120" w:beforeAutospacing="0" w:after="0" w:afterAutospacing="0"/>
        <w:ind w:right="-483" w:firstLine="851"/>
        <w:jc w:val="both"/>
        <w:rPr>
          <w:sz w:val="28"/>
          <w:szCs w:val="28"/>
        </w:rPr>
      </w:pPr>
      <w:r w:rsidRPr="007A7643">
        <w:rPr>
          <w:sz w:val="28"/>
          <w:szCs w:val="28"/>
        </w:rPr>
        <w:t xml:space="preserve">Lai kompensētu </w:t>
      </w:r>
      <w:r w:rsidR="006E77AF" w:rsidRPr="007A7643">
        <w:rPr>
          <w:sz w:val="28"/>
          <w:szCs w:val="28"/>
        </w:rPr>
        <w:t>putniem (t</w:t>
      </w:r>
      <w:r w:rsidR="003B2239" w:rsidRPr="007A7643">
        <w:rPr>
          <w:sz w:val="28"/>
          <w:szCs w:val="28"/>
        </w:rPr>
        <w:t>ai skaitā</w:t>
      </w:r>
      <w:r w:rsidR="006E77AF" w:rsidRPr="007A7643">
        <w:rPr>
          <w:sz w:val="28"/>
          <w:szCs w:val="28"/>
        </w:rPr>
        <w:t xml:space="preserve"> </w:t>
      </w:r>
      <w:proofErr w:type="spellStart"/>
      <w:r w:rsidR="006E77AF" w:rsidRPr="007A7643">
        <w:rPr>
          <w:sz w:val="28"/>
          <w:szCs w:val="28"/>
        </w:rPr>
        <w:t>caurceļojošajiem</w:t>
      </w:r>
      <w:proofErr w:type="spellEnd"/>
      <w:r w:rsidR="006E77AF" w:rsidRPr="007A7643">
        <w:rPr>
          <w:sz w:val="28"/>
          <w:szCs w:val="28"/>
        </w:rPr>
        <w:t xml:space="preserve">) piemērotu </w:t>
      </w:r>
      <w:r w:rsidRPr="007A7643">
        <w:rPr>
          <w:sz w:val="28"/>
          <w:szCs w:val="28"/>
        </w:rPr>
        <w:t xml:space="preserve">dzīvotņu zudumu un nodrošinātu piemērotu dzīvotņu izveidi tām pašām putnu sugām, kuras tiks ietekmētas ar Paredzētās darbības īstenošanu, paredzēts </w:t>
      </w:r>
      <w:r w:rsidR="0011499B" w:rsidRPr="007A7643">
        <w:rPr>
          <w:sz w:val="28"/>
          <w:szCs w:val="28"/>
        </w:rPr>
        <w:t>izveidot</w:t>
      </w:r>
      <w:r w:rsidRPr="007A7643">
        <w:rPr>
          <w:sz w:val="28"/>
          <w:szCs w:val="28"/>
        </w:rPr>
        <w:t xml:space="preserve"> kompensējošā</w:t>
      </w:r>
      <w:r w:rsidR="0011499B" w:rsidRPr="007A7643">
        <w:rPr>
          <w:sz w:val="28"/>
          <w:szCs w:val="28"/>
        </w:rPr>
        <w:t>s palienes zālāju</w:t>
      </w:r>
      <w:r w:rsidRPr="007A7643">
        <w:rPr>
          <w:sz w:val="28"/>
          <w:szCs w:val="28"/>
        </w:rPr>
        <w:t xml:space="preserve"> </w:t>
      </w:r>
      <w:r w:rsidR="006E77AF" w:rsidRPr="007A7643">
        <w:rPr>
          <w:sz w:val="28"/>
          <w:szCs w:val="28"/>
        </w:rPr>
        <w:t>platīb</w:t>
      </w:r>
      <w:r w:rsidR="0011499B" w:rsidRPr="007A7643">
        <w:rPr>
          <w:sz w:val="28"/>
          <w:szCs w:val="28"/>
        </w:rPr>
        <w:t>as pie Dabas lieguma I teritorijas robežas</w:t>
      </w:r>
      <w:r w:rsidRPr="007A7643">
        <w:rPr>
          <w:sz w:val="28"/>
          <w:szCs w:val="28"/>
        </w:rPr>
        <w:t xml:space="preserve">, kurās jau šobrīd ir līdzvērtīgs </w:t>
      </w:r>
      <w:r w:rsidR="007A2536" w:rsidRPr="007A7643">
        <w:rPr>
          <w:sz w:val="28"/>
          <w:szCs w:val="28"/>
        </w:rPr>
        <w:t xml:space="preserve">palieņu zālāju biotops </w:t>
      </w:r>
      <w:r w:rsidRPr="007A7643">
        <w:rPr>
          <w:sz w:val="28"/>
          <w:szCs w:val="28"/>
        </w:rPr>
        <w:t>vai pastāv iespēja nodrošināt</w:t>
      </w:r>
      <w:r w:rsidR="006E77AF" w:rsidRPr="007A7643">
        <w:rPr>
          <w:sz w:val="28"/>
          <w:szCs w:val="28"/>
        </w:rPr>
        <w:t xml:space="preserve"> līdzvērtīga</w:t>
      </w:r>
      <w:r w:rsidR="007A2536" w:rsidRPr="007A7643">
        <w:rPr>
          <w:sz w:val="28"/>
          <w:szCs w:val="28"/>
        </w:rPr>
        <w:t xml:space="preserve"> palieņu zāl</w:t>
      </w:r>
      <w:r w:rsidR="006E77AF" w:rsidRPr="007A7643">
        <w:rPr>
          <w:sz w:val="28"/>
          <w:szCs w:val="28"/>
        </w:rPr>
        <w:t>āja biotopa izveidošanos</w:t>
      </w:r>
      <w:r w:rsidRPr="007A7643">
        <w:rPr>
          <w:sz w:val="28"/>
          <w:szCs w:val="28"/>
        </w:rPr>
        <w:t>.</w:t>
      </w:r>
    </w:p>
    <w:p w14:paraId="6F7D30F8" w14:textId="348292AC" w:rsidR="001828AC" w:rsidRPr="007A7643" w:rsidRDefault="001828AC" w:rsidP="00774A18">
      <w:pPr>
        <w:pStyle w:val="tv213"/>
        <w:shd w:val="clear" w:color="auto" w:fill="FFFFFF"/>
        <w:spacing w:before="120" w:beforeAutospacing="0" w:after="0" w:afterAutospacing="0"/>
        <w:ind w:right="-483" w:firstLine="851"/>
        <w:jc w:val="both"/>
        <w:rPr>
          <w:sz w:val="28"/>
          <w:szCs w:val="28"/>
        </w:rPr>
      </w:pPr>
      <w:r w:rsidRPr="007A7643">
        <w:rPr>
          <w:sz w:val="28"/>
          <w:szCs w:val="28"/>
        </w:rPr>
        <w:t xml:space="preserve">Kopumā </w:t>
      </w:r>
      <w:proofErr w:type="spellStart"/>
      <w:r w:rsidRPr="007A7643">
        <w:rPr>
          <w:sz w:val="28"/>
          <w:szCs w:val="28"/>
        </w:rPr>
        <w:t>Natura</w:t>
      </w:r>
      <w:proofErr w:type="spellEnd"/>
      <w:r w:rsidRPr="007A7643">
        <w:rPr>
          <w:sz w:val="28"/>
          <w:szCs w:val="28"/>
        </w:rPr>
        <w:t xml:space="preserve"> 2000 teritoriju paredzēts paplašināt ar </w:t>
      </w:r>
      <w:r w:rsidR="00774A18">
        <w:rPr>
          <w:sz w:val="28"/>
          <w:szCs w:val="28"/>
        </w:rPr>
        <w:t>trīs</w:t>
      </w:r>
      <w:r w:rsidR="00774A18" w:rsidRPr="007A7643">
        <w:rPr>
          <w:sz w:val="28"/>
          <w:szCs w:val="28"/>
        </w:rPr>
        <w:t xml:space="preserve"> </w:t>
      </w:r>
      <w:r w:rsidRPr="007A7643">
        <w:rPr>
          <w:sz w:val="28"/>
          <w:szCs w:val="28"/>
        </w:rPr>
        <w:t xml:space="preserve">kompensējošām teritorijām </w:t>
      </w:r>
      <w:r w:rsidR="007A2536" w:rsidRPr="007A7643">
        <w:rPr>
          <w:sz w:val="28"/>
          <w:szCs w:val="28"/>
        </w:rPr>
        <w:t>(kopējā platība 55,69 ha)</w:t>
      </w:r>
      <w:r w:rsidR="00774A18">
        <w:rPr>
          <w:sz w:val="28"/>
          <w:szCs w:val="28"/>
        </w:rPr>
        <w:t xml:space="preserve">: </w:t>
      </w:r>
      <w:r w:rsidRPr="007A7643">
        <w:rPr>
          <w:sz w:val="28"/>
          <w:szCs w:val="28"/>
        </w:rPr>
        <w:t>kompensējošo teritoriju Nr.</w:t>
      </w:r>
      <w:r w:rsidR="005901A5" w:rsidRPr="007A7643">
        <w:rPr>
          <w:sz w:val="28"/>
          <w:szCs w:val="28"/>
        </w:rPr>
        <w:t> </w:t>
      </w:r>
      <w:r w:rsidRPr="007A7643">
        <w:rPr>
          <w:sz w:val="28"/>
          <w:szCs w:val="28"/>
        </w:rPr>
        <w:t xml:space="preserve">1 – </w:t>
      </w:r>
      <w:proofErr w:type="spellStart"/>
      <w:r w:rsidRPr="007A7643">
        <w:rPr>
          <w:sz w:val="28"/>
          <w:szCs w:val="28"/>
        </w:rPr>
        <w:t>Driksas</w:t>
      </w:r>
      <w:proofErr w:type="spellEnd"/>
      <w:r w:rsidRPr="007A7643">
        <w:rPr>
          <w:sz w:val="28"/>
          <w:szCs w:val="28"/>
        </w:rPr>
        <w:t xml:space="preserve"> upes kreisajā krastā uz ziemeļiem no Paredzētās darbības vietas (36,2 ha); kompensējošo teritoriju Nr.</w:t>
      </w:r>
      <w:r w:rsidR="005901A5" w:rsidRPr="007A7643">
        <w:rPr>
          <w:sz w:val="28"/>
          <w:szCs w:val="28"/>
        </w:rPr>
        <w:t> </w:t>
      </w:r>
      <w:r w:rsidRPr="007A7643">
        <w:rPr>
          <w:sz w:val="28"/>
          <w:szCs w:val="28"/>
        </w:rPr>
        <w:t xml:space="preserve">2 – </w:t>
      </w:r>
      <w:proofErr w:type="spellStart"/>
      <w:r w:rsidRPr="007A7643">
        <w:rPr>
          <w:sz w:val="28"/>
          <w:szCs w:val="28"/>
        </w:rPr>
        <w:t>Driksas</w:t>
      </w:r>
      <w:proofErr w:type="spellEnd"/>
      <w:r w:rsidRPr="007A7643">
        <w:rPr>
          <w:sz w:val="28"/>
          <w:szCs w:val="28"/>
        </w:rPr>
        <w:t xml:space="preserve"> upes kreisajā krastā uz dienvidiem no Paredzētās darbības vietas (1,8 ha); kompensējošo teritoriju Nr.</w:t>
      </w:r>
      <w:r w:rsidR="005901A5" w:rsidRPr="007A7643">
        <w:rPr>
          <w:sz w:val="28"/>
          <w:szCs w:val="28"/>
        </w:rPr>
        <w:t> </w:t>
      </w:r>
      <w:r w:rsidRPr="007A7643">
        <w:rPr>
          <w:sz w:val="28"/>
          <w:szCs w:val="28"/>
        </w:rPr>
        <w:t>3 – Iecavas upes kreisajā krastā (17,69</w:t>
      </w:r>
      <w:r w:rsidR="003423F7" w:rsidRPr="007A7643">
        <w:rPr>
          <w:sz w:val="28"/>
          <w:szCs w:val="28"/>
        </w:rPr>
        <w:t> </w:t>
      </w:r>
      <w:r w:rsidRPr="007A7643">
        <w:rPr>
          <w:sz w:val="28"/>
          <w:szCs w:val="28"/>
        </w:rPr>
        <w:t>ha).</w:t>
      </w:r>
      <w:r w:rsidR="00AF2B7E" w:rsidRPr="007A7643">
        <w:rPr>
          <w:sz w:val="28"/>
          <w:szCs w:val="28"/>
        </w:rPr>
        <w:t xml:space="preserve"> Kompensējošās platības būs salīdzināmas ar tieši ietekmētās teritorijas platību (56,8 ha).  </w:t>
      </w:r>
    </w:p>
    <w:p w14:paraId="30CC98F3" w14:textId="11BEF656" w:rsidR="001828AC" w:rsidRPr="007A7643" w:rsidRDefault="001828AC" w:rsidP="00774A18">
      <w:pPr>
        <w:pStyle w:val="tv213"/>
        <w:shd w:val="clear" w:color="auto" w:fill="FFFFFF"/>
        <w:spacing w:before="120" w:beforeAutospacing="0" w:after="0" w:afterAutospacing="0"/>
        <w:ind w:right="-483" w:firstLine="851"/>
        <w:jc w:val="both"/>
        <w:rPr>
          <w:sz w:val="28"/>
          <w:szCs w:val="28"/>
        </w:rPr>
      </w:pPr>
      <w:r w:rsidRPr="007A7643">
        <w:rPr>
          <w:sz w:val="28"/>
          <w:szCs w:val="28"/>
        </w:rPr>
        <w:t>Kompens</w:t>
      </w:r>
      <w:r w:rsidR="00CC370A" w:rsidRPr="007A7643">
        <w:rPr>
          <w:sz w:val="28"/>
          <w:szCs w:val="28"/>
        </w:rPr>
        <w:t>ē</w:t>
      </w:r>
      <w:r w:rsidRPr="007A7643">
        <w:rPr>
          <w:sz w:val="28"/>
          <w:szCs w:val="28"/>
        </w:rPr>
        <w:t xml:space="preserve">jošo teritoriju izvietojums kartē atspoguļots </w:t>
      </w:r>
      <w:r w:rsidR="009C24B9" w:rsidRPr="007A7643">
        <w:rPr>
          <w:sz w:val="28"/>
          <w:szCs w:val="28"/>
        </w:rPr>
        <w:t xml:space="preserve">informatīvā ziņojuma </w:t>
      </w:r>
      <w:r w:rsidR="001542D9" w:rsidRPr="007A7643">
        <w:rPr>
          <w:sz w:val="28"/>
          <w:szCs w:val="28"/>
        </w:rPr>
        <w:t>5</w:t>
      </w:r>
      <w:r w:rsidRPr="007A7643">
        <w:rPr>
          <w:sz w:val="28"/>
          <w:szCs w:val="28"/>
        </w:rPr>
        <w:t>.</w:t>
      </w:r>
      <w:r w:rsidR="009C24B9" w:rsidRPr="007A7643">
        <w:rPr>
          <w:sz w:val="28"/>
          <w:szCs w:val="28"/>
        </w:rPr>
        <w:t> </w:t>
      </w:r>
      <w:r w:rsidRPr="007A7643">
        <w:rPr>
          <w:sz w:val="28"/>
          <w:szCs w:val="28"/>
        </w:rPr>
        <w:t>pielikumā</w:t>
      </w:r>
      <w:r w:rsidR="009C24B9" w:rsidRPr="007A7643">
        <w:rPr>
          <w:sz w:val="28"/>
          <w:szCs w:val="28"/>
        </w:rPr>
        <w:t xml:space="preserve">. Kompensējošo </w:t>
      </w:r>
      <w:r w:rsidR="007C4E7E" w:rsidRPr="007A7643">
        <w:rPr>
          <w:sz w:val="28"/>
          <w:szCs w:val="28"/>
        </w:rPr>
        <w:t>pasākumu</w:t>
      </w:r>
      <w:r w:rsidR="009C24B9" w:rsidRPr="007A7643">
        <w:rPr>
          <w:sz w:val="28"/>
          <w:szCs w:val="28"/>
        </w:rPr>
        <w:t xml:space="preserve"> </w:t>
      </w:r>
      <w:r w:rsidR="007C4E7E" w:rsidRPr="007A7643">
        <w:rPr>
          <w:sz w:val="28"/>
          <w:szCs w:val="28"/>
        </w:rPr>
        <w:t>ieviešanas</w:t>
      </w:r>
      <w:r w:rsidR="009C24B9" w:rsidRPr="007A7643">
        <w:rPr>
          <w:sz w:val="28"/>
          <w:szCs w:val="28"/>
        </w:rPr>
        <w:t xml:space="preserve"> grafiks ietverts informatīvā ziņojuma 6. pielikumā. </w:t>
      </w:r>
    </w:p>
    <w:p w14:paraId="341469AF" w14:textId="2A3FB65F" w:rsidR="00093A22" w:rsidRPr="007A7643" w:rsidRDefault="006E77AF" w:rsidP="00774A18">
      <w:pPr>
        <w:pStyle w:val="tv213"/>
        <w:shd w:val="clear" w:color="auto" w:fill="FFFFFF"/>
        <w:spacing w:before="120" w:beforeAutospacing="0" w:after="0" w:afterAutospacing="0"/>
        <w:ind w:right="-483" w:firstLine="709"/>
        <w:jc w:val="both"/>
        <w:rPr>
          <w:sz w:val="28"/>
          <w:szCs w:val="28"/>
        </w:rPr>
      </w:pPr>
      <w:r w:rsidRPr="007A7643">
        <w:rPr>
          <w:sz w:val="28"/>
          <w:szCs w:val="28"/>
        </w:rPr>
        <w:t>Kompensējošā teritorij</w:t>
      </w:r>
      <w:r w:rsidR="0056244F" w:rsidRPr="007A7643">
        <w:rPr>
          <w:sz w:val="28"/>
          <w:szCs w:val="28"/>
        </w:rPr>
        <w:t>a</w:t>
      </w:r>
      <w:r w:rsidRPr="007A7643">
        <w:rPr>
          <w:sz w:val="28"/>
          <w:szCs w:val="28"/>
        </w:rPr>
        <w:t xml:space="preserve"> Nr.</w:t>
      </w:r>
      <w:r w:rsidR="00774A18">
        <w:rPr>
          <w:sz w:val="28"/>
          <w:szCs w:val="28"/>
        </w:rPr>
        <w:t> </w:t>
      </w:r>
      <w:r w:rsidRPr="007A7643">
        <w:rPr>
          <w:sz w:val="28"/>
          <w:szCs w:val="28"/>
        </w:rPr>
        <w:t xml:space="preserve">1 </w:t>
      </w:r>
      <w:r w:rsidR="00602516" w:rsidRPr="007A7643">
        <w:rPr>
          <w:sz w:val="28"/>
          <w:szCs w:val="28"/>
        </w:rPr>
        <w:t xml:space="preserve">ir </w:t>
      </w:r>
      <w:r w:rsidR="0056244F" w:rsidRPr="007A7643">
        <w:rPr>
          <w:sz w:val="28"/>
          <w:szCs w:val="28"/>
        </w:rPr>
        <w:t xml:space="preserve">agrākā palieņu pļava, šobrīd </w:t>
      </w:r>
      <w:r w:rsidR="00AD57D5" w:rsidRPr="007A7643">
        <w:rPr>
          <w:sz w:val="28"/>
          <w:szCs w:val="28"/>
        </w:rPr>
        <w:t xml:space="preserve">iedambēta poldera teritorija, </w:t>
      </w:r>
      <w:r w:rsidR="0056244F" w:rsidRPr="007A7643">
        <w:rPr>
          <w:sz w:val="28"/>
          <w:szCs w:val="28"/>
        </w:rPr>
        <w:t>aizaugusi ar krūmiem un k</w:t>
      </w:r>
      <w:r w:rsidR="00602516" w:rsidRPr="007A7643">
        <w:rPr>
          <w:sz w:val="28"/>
          <w:szCs w:val="28"/>
        </w:rPr>
        <w:t>okiem. Tās</w:t>
      </w:r>
      <w:r w:rsidR="0056244F" w:rsidRPr="007A7643">
        <w:rPr>
          <w:sz w:val="28"/>
          <w:szCs w:val="28"/>
        </w:rPr>
        <w:t xml:space="preserve"> izveidei</w:t>
      </w:r>
      <w:r w:rsidRPr="007A7643">
        <w:rPr>
          <w:sz w:val="28"/>
          <w:szCs w:val="28"/>
        </w:rPr>
        <w:t xml:space="preserve"> nepieciešams nojaukt gar </w:t>
      </w:r>
      <w:proofErr w:type="spellStart"/>
      <w:r w:rsidR="00CC370A" w:rsidRPr="007A7643">
        <w:rPr>
          <w:sz w:val="28"/>
          <w:szCs w:val="28"/>
        </w:rPr>
        <w:t>Driksas</w:t>
      </w:r>
      <w:proofErr w:type="spellEnd"/>
      <w:r w:rsidR="00CC370A" w:rsidRPr="007A7643">
        <w:rPr>
          <w:sz w:val="28"/>
          <w:szCs w:val="28"/>
        </w:rPr>
        <w:t xml:space="preserve"> upes</w:t>
      </w:r>
      <w:r w:rsidRPr="007A7643">
        <w:rPr>
          <w:sz w:val="28"/>
          <w:szCs w:val="28"/>
        </w:rPr>
        <w:t xml:space="preserve"> kreiso krastu esošo dambi un uzbūvēt jaunu</w:t>
      </w:r>
      <w:r w:rsidR="00CC370A" w:rsidRPr="007A7643">
        <w:rPr>
          <w:sz w:val="28"/>
          <w:szCs w:val="28"/>
        </w:rPr>
        <w:t xml:space="preserve"> ~ 2 km garumā</w:t>
      </w:r>
      <w:r w:rsidRPr="007A7643">
        <w:rPr>
          <w:sz w:val="28"/>
          <w:szCs w:val="28"/>
        </w:rPr>
        <w:t xml:space="preserve">, to atvirzot no </w:t>
      </w:r>
      <w:r w:rsidR="0004131B" w:rsidRPr="007A7643">
        <w:rPr>
          <w:sz w:val="28"/>
          <w:szCs w:val="28"/>
        </w:rPr>
        <w:t>upes</w:t>
      </w:r>
      <w:r w:rsidRPr="007A7643">
        <w:rPr>
          <w:sz w:val="28"/>
          <w:szCs w:val="28"/>
        </w:rPr>
        <w:t xml:space="preserve"> krasta. </w:t>
      </w:r>
      <w:r w:rsidR="00CC370A" w:rsidRPr="007A7643">
        <w:rPr>
          <w:sz w:val="28"/>
          <w:szCs w:val="28"/>
        </w:rPr>
        <w:t xml:space="preserve">Tā kā šī teritorija savulaik jau bijusi daļa no Lielupes palieņu pļavu kompleksa, atjaunojot palu darbību, šai platībai ir labas perspektīvas izveidoties par bioloģiski vērtīgu zālāju, ar nosacījumu, ka sākotnējā atjaunošanas fāzē tiek veikta koku un krūmu ciršana, </w:t>
      </w:r>
      <w:r w:rsidR="00602516" w:rsidRPr="007A7643">
        <w:rPr>
          <w:sz w:val="28"/>
          <w:szCs w:val="28"/>
        </w:rPr>
        <w:t xml:space="preserve">koku </w:t>
      </w:r>
      <w:r w:rsidR="0056244F" w:rsidRPr="007A7643">
        <w:rPr>
          <w:sz w:val="28"/>
          <w:szCs w:val="28"/>
        </w:rPr>
        <w:t xml:space="preserve">sakņu izfrēzēšana un </w:t>
      </w:r>
      <w:r w:rsidR="00CC370A" w:rsidRPr="007A7643">
        <w:rPr>
          <w:sz w:val="28"/>
          <w:szCs w:val="28"/>
        </w:rPr>
        <w:t>ekspansīv</w:t>
      </w:r>
      <w:r w:rsidR="0056244F" w:rsidRPr="007A7643">
        <w:rPr>
          <w:sz w:val="28"/>
          <w:szCs w:val="28"/>
        </w:rPr>
        <w:t>o</w:t>
      </w:r>
      <w:r w:rsidR="00602516" w:rsidRPr="007A7643">
        <w:rPr>
          <w:sz w:val="28"/>
          <w:szCs w:val="28"/>
        </w:rPr>
        <w:t xml:space="preserve"> un </w:t>
      </w:r>
      <w:proofErr w:type="spellStart"/>
      <w:r w:rsidR="00602516" w:rsidRPr="007A7643">
        <w:rPr>
          <w:sz w:val="28"/>
          <w:szCs w:val="28"/>
        </w:rPr>
        <w:t>invazīvo</w:t>
      </w:r>
      <w:proofErr w:type="spellEnd"/>
      <w:r w:rsidR="00602516" w:rsidRPr="007A7643">
        <w:rPr>
          <w:sz w:val="28"/>
          <w:szCs w:val="28"/>
        </w:rPr>
        <w:t xml:space="preserve"> sugu ierobežošana. Tāpat j</w:t>
      </w:r>
      <w:r w:rsidR="00F42C59" w:rsidRPr="007A7643">
        <w:rPr>
          <w:sz w:val="28"/>
          <w:szCs w:val="28"/>
        </w:rPr>
        <w:t>ānodrošina teritorijas pļaušana un zāles novākšana visu turpmāko tilta ekspluatācijas laiku, lai panāktu kompensējošo darbību mērķi – nepieļaut aizsargājamo zālāju biotopu un putnu dzīvotņu platības un kvalitātes samazināšanos.</w:t>
      </w:r>
      <w:r w:rsidR="00281669" w:rsidRPr="007A7643">
        <w:rPr>
          <w:sz w:val="28"/>
          <w:szCs w:val="28"/>
        </w:rPr>
        <w:t xml:space="preserve"> </w:t>
      </w:r>
    </w:p>
    <w:p w14:paraId="0E273C63" w14:textId="0A4C3460" w:rsidR="006E77AF" w:rsidRPr="009000D1" w:rsidRDefault="006E77AF" w:rsidP="00774A18">
      <w:pPr>
        <w:pStyle w:val="tv213"/>
        <w:shd w:val="clear" w:color="auto" w:fill="FFFFFF"/>
        <w:spacing w:before="120" w:beforeAutospacing="0" w:after="0" w:afterAutospacing="0"/>
        <w:ind w:right="-483" w:firstLine="851"/>
        <w:jc w:val="both"/>
        <w:rPr>
          <w:sz w:val="28"/>
          <w:szCs w:val="28"/>
          <w:u w:val="single"/>
        </w:rPr>
      </w:pPr>
      <w:r w:rsidRPr="007A7643">
        <w:rPr>
          <w:sz w:val="28"/>
          <w:szCs w:val="28"/>
        </w:rPr>
        <w:t>Kompensējošā teritorij</w:t>
      </w:r>
      <w:r w:rsidR="00281669" w:rsidRPr="007A7643">
        <w:rPr>
          <w:sz w:val="28"/>
          <w:szCs w:val="28"/>
        </w:rPr>
        <w:t>a Nr.</w:t>
      </w:r>
      <w:r w:rsidR="007A7643">
        <w:rPr>
          <w:sz w:val="28"/>
          <w:szCs w:val="28"/>
        </w:rPr>
        <w:t> </w:t>
      </w:r>
      <w:r w:rsidR="00281669" w:rsidRPr="007A7643">
        <w:rPr>
          <w:sz w:val="28"/>
          <w:szCs w:val="28"/>
        </w:rPr>
        <w:t>2</w:t>
      </w:r>
      <w:r w:rsidR="0004131B" w:rsidRPr="007A7643">
        <w:rPr>
          <w:sz w:val="28"/>
          <w:szCs w:val="28"/>
        </w:rPr>
        <w:t xml:space="preserve"> </w:t>
      </w:r>
      <w:r w:rsidR="0004131B" w:rsidRPr="009000D1">
        <w:rPr>
          <w:sz w:val="28"/>
          <w:szCs w:val="28"/>
        </w:rPr>
        <w:t xml:space="preserve">ir </w:t>
      </w:r>
      <w:r w:rsidR="00093A22" w:rsidRPr="009000D1">
        <w:rPr>
          <w:sz w:val="28"/>
          <w:szCs w:val="28"/>
        </w:rPr>
        <w:t>aizaugusi ar krūmiem un pašlaik applūšana tajā notiek tikai daļēji (atrodas reljefa paaugstinājumā). Novērtēts, ka izveidot labas kvalitātes dabisko zālāju tajā varētu tikai ilgtermiņā, veicot teritorijas sagatavošanu un intensīvus apsaimniekošanas pasākumus.</w:t>
      </w:r>
    </w:p>
    <w:p w14:paraId="12446554" w14:textId="1D292379" w:rsidR="00093A22" w:rsidRPr="007A7643" w:rsidRDefault="00093A22" w:rsidP="00774A18">
      <w:pPr>
        <w:spacing w:before="120" w:after="0" w:line="240" w:lineRule="auto"/>
        <w:ind w:right="-483" w:firstLine="851"/>
        <w:jc w:val="both"/>
        <w:rPr>
          <w:sz w:val="28"/>
          <w:szCs w:val="28"/>
        </w:rPr>
      </w:pPr>
      <w:r w:rsidRPr="009000D1">
        <w:rPr>
          <w:sz w:val="28"/>
          <w:szCs w:val="28"/>
        </w:rPr>
        <w:t>Kompensējošā teritorija Nr.</w:t>
      </w:r>
      <w:r w:rsidR="007A7643" w:rsidRPr="009000D1">
        <w:rPr>
          <w:sz w:val="28"/>
          <w:szCs w:val="28"/>
        </w:rPr>
        <w:t> </w:t>
      </w:r>
      <w:r w:rsidRPr="009000D1">
        <w:rPr>
          <w:sz w:val="28"/>
          <w:szCs w:val="28"/>
        </w:rPr>
        <w:t xml:space="preserve">3 ir zālāju platības starp Iecavas upi un Dabas liegumu, kur daļa teritorijas jau atbilst ES nozīmes biotopam 6450 </w:t>
      </w:r>
      <w:r w:rsidRPr="009000D1">
        <w:rPr>
          <w:i/>
          <w:sz w:val="28"/>
          <w:szCs w:val="28"/>
        </w:rPr>
        <w:t>Palieņu zālāji</w:t>
      </w:r>
      <w:r w:rsidRPr="009000D1">
        <w:rPr>
          <w:sz w:val="28"/>
          <w:szCs w:val="28"/>
        </w:rPr>
        <w:t xml:space="preserve"> (reljefa pazeminājumos gar Dabas liegu</w:t>
      </w:r>
      <w:r w:rsidRPr="007A7643">
        <w:rPr>
          <w:sz w:val="28"/>
          <w:szCs w:val="28"/>
        </w:rPr>
        <w:t>ma robežu un Iecavas upi), bet pārējā teritorija atbilst putn</w:t>
      </w:r>
      <w:r w:rsidR="00261E96" w:rsidRPr="007A7643">
        <w:rPr>
          <w:sz w:val="28"/>
          <w:szCs w:val="28"/>
        </w:rPr>
        <w:t>iem piemērotam</w:t>
      </w:r>
      <w:r w:rsidRPr="007A7643">
        <w:rPr>
          <w:sz w:val="28"/>
          <w:szCs w:val="28"/>
        </w:rPr>
        <w:t xml:space="preserve"> bioloģiski vērtīgam zālājam. Nodrošinot pēc Dabas lieguma robežu paplašināšanas šai teritorijai piemērotu ekstensīvas apsaimniekošanas režīmu, tā būs integrāla Lielupes palienes zālāju kompleksa daļa.</w:t>
      </w:r>
    </w:p>
    <w:p w14:paraId="64F0064E" w14:textId="0B208CA6" w:rsidR="00785BAB" w:rsidRPr="007A7643" w:rsidRDefault="00785BAB" w:rsidP="00774A18">
      <w:pPr>
        <w:pStyle w:val="tv213"/>
        <w:shd w:val="clear" w:color="auto" w:fill="FFFFFF"/>
        <w:spacing w:before="120" w:beforeAutospacing="0" w:after="0" w:afterAutospacing="0"/>
        <w:ind w:right="-483" w:firstLine="851"/>
        <w:jc w:val="both"/>
        <w:rPr>
          <w:sz w:val="28"/>
          <w:szCs w:val="28"/>
        </w:rPr>
      </w:pPr>
      <w:r w:rsidRPr="007A7643">
        <w:rPr>
          <w:sz w:val="28"/>
          <w:szCs w:val="28"/>
        </w:rPr>
        <w:t xml:space="preserve">Novērtēts, ka kompensējošās </w:t>
      </w:r>
      <w:r w:rsidR="001828AC" w:rsidRPr="007A7643">
        <w:rPr>
          <w:sz w:val="28"/>
          <w:szCs w:val="28"/>
        </w:rPr>
        <w:t>teritorijas Nr.</w:t>
      </w:r>
      <w:r w:rsidR="007A7643">
        <w:rPr>
          <w:sz w:val="28"/>
          <w:szCs w:val="28"/>
        </w:rPr>
        <w:t> </w:t>
      </w:r>
      <w:r w:rsidR="001828AC" w:rsidRPr="007A7643">
        <w:rPr>
          <w:sz w:val="28"/>
          <w:szCs w:val="28"/>
        </w:rPr>
        <w:t>1 un Nr.</w:t>
      </w:r>
      <w:r w:rsidR="005901A5" w:rsidRPr="007A7643">
        <w:rPr>
          <w:sz w:val="28"/>
          <w:szCs w:val="28"/>
        </w:rPr>
        <w:t xml:space="preserve"> </w:t>
      </w:r>
      <w:r w:rsidR="001828AC" w:rsidRPr="007A7643">
        <w:rPr>
          <w:sz w:val="28"/>
          <w:szCs w:val="28"/>
        </w:rPr>
        <w:t xml:space="preserve">2 </w:t>
      </w:r>
      <w:r w:rsidR="007A2536" w:rsidRPr="007A7643">
        <w:rPr>
          <w:sz w:val="28"/>
          <w:szCs w:val="28"/>
        </w:rPr>
        <w:t xml:space="preserve">(kopējā platība 53,89 ha) </w:t>
      </w:r>
      <w:r w:rsidR="005901A5" w:rsidRPr="007A7643">
        <w:rPr>
          <w:sz w:val="28"/>
          <w:szCs w:val="28"/>
        </w:rPr>
        <w:t xml:space="preserve">spēs </w:t>
      </w:r>
      <w:r w:rsidRPr="007A7643">
        <w:rPr>
          <w:sz w:val="28"/>
          <w:szCs w:val="28"/>
        </w:rPr>
        <w:t xml:space="preserve">nodrošināt Paredzētās darbības negatīvās ietekmes </w:t>
      </w:r>
      <w:r w:rsidRPr="007A7643">
        <w:rPr>
          <w:sz w:val="28"/>
          <w:szCs w:val="28"/>
        </w:rPr>
        <w:lastRenderedPageBreak/>
        <w:t>kompensēšanu</w:t>
      </w:r>
      <w:r w:rsidR="00A52F16" w:rsidRPr="007A7643">
        <w:rPr>
          <w:sz w:val="28"/>
          <w:szCs w:val="28"/>
        </w:rPr>
        <w:t>, savukārt kompensējošā teritorijā Nr.</w:t>
      </w:r>
      <w:r w:rsidR="007A7643">
        <w:rPr>
          <w:sz w:val="28"/>
          <w:szCs w:val="28"/>
        </w:rPr>
        <w:t> </w:t>
      </w:r>
      <w:r w:rsidR="00A52F16" w:rsidRPr="007A7643">
        <w:rPr>
          <w:sz w:val="28"/>
          <w:szCs w:val="28"/>
        </w:rPr>
        <w:t>3 labas kvalitātes zālāja biotopa izveidošanās iespējama tikai ilgtermiņā</w:t>
      </w:r>
      <w:r w:rsidR="0011499B" w:rsidRPr="007A7643">
        <w:rPr>
          <w:sz w:val="28"/>
          <w:szCs w:val="28"/>
        </w:rPr>
        <w:t>,</w:t>
      </w:r>
      <w:r w:rsidR="009B3A79" w:rsidRPr="007A7643">
        <w:rPr>
          <w:sz w:val="28"/>
          <w:szCs w:val="28"/>
        </w:rPr>
        <w:t xml:space="preserve"> turklāt tā daļēji ietilpst 500 m joslā no plānotā tilta, kur ietekme uz </w:t>
      </w:r>
      <w:proofErr w:type="spellStart"/>
      <w:r w:rsidR="009B3A79" w:rsidRPr="007A7643">
        <w:rPr>
          <w:sz w:val="28"/>
          <w:szCs w:val="28"/>
        </w:rPr>
        <w:t>ornitofaunu</w:t>
      </w:r>
      <w:proofErr w:type="spellEnd"/>
      <w:r w:rsidR="009B3A79" w:rsidRPr="007A7643">
        <w:rPr>
          <w:sz w:val="28"/>
          <w:szCs w:val="28"/>
        </w:rPr>
        <w:t xml:space="preserve"> novērtēta kā būtiski nelabvēlī</w:t>
      </w:r>
      <w:r w:rsidR="005901A5" w:rsidRPr="007A7643">
        <w:rPr>
          <w:sz w:val="28"/>
          <w:szCs w:val="28"/>
        </w:rPr>
        <w:t>g</w:t>
      </w:r>
      <w:r w:rsidR="009B3A79" w:rsidRPr="007A7643">
        <w:rPr>
          <w:sz w:val="28"/>
          <w:szCs w:val="28"/>
        </w:rPr>
        <w:t xml:space="preserve">a. </w:t>
      </w:r>
      <w:r w:rsidR="00261E96" w:rsidRPr="007A7643">
        <w:rPr>
          <w:sz w:val="28"/>
          <w:szCs w:val="28"/>
        </w:rPr>
        <w:t>Tomēr secināts, ka</w:t>
      </w:r>
      <w:r w:rsidR="0011499B" w:rsidRPr="007A7643">
        <w:rPr>
          <w:sz w:val="28"/>
          <w:szCs w:val="28"/>
        </w:rPr>
        <w:t xml:space="preserve"> </w:t>
      </w:r>
      <w:r w:rsidR="009B3A79" w:rsidRPr="007A7643">
        <w:rPr>
          <w:sz w:val="28"/>
          <w:szCs w:val="28"/>
        </w:rPr>
        <w:t>šī teritorija</w:t>
      </w:r>
      <w:r w:rsidR="0011499B" w:rsidRPr="007A7643">
        <w:rPr>
          <w:sz w:val="28"/>
          <w:szCs w:val="28"/>
        </w:rPr>
        <w:t xml:space="preserve"> </w:t>
      </w:r>
      <w:r w:rsidR="00AF2B7E" w:rsidRPr="007A7643">
        <w:rPr>
          <w:sz w:val="28"/>
          <w:szCs w:val="28"/>
        </w:rPr>
        <w:t xml:space="preserve">var </w:t>
      </w:r>
      <w:r w:rsidR="0011499B" w:rsidRPr="007A7643">
        <w:rPr>
          <w:sz w:val="28"/>
          <w:szCs w:val="28"/>
        </w:rPr>
        <w:t xml:space="preserve">kļūt par </w:t>
      </w:r>
      <w:proofErr w:type="spellStart"/>
      <w:r w:rsidR="0011499B" w:rsidRPr="007A7643">
        <w:rPr>
          <w:sz w:val="28"/>
          <w:szCs w:val="28"/>
        </w:rPr>
        <w:t>buferjoslu</w:t>
      </w:r>
      <w:proofErr w:type="spellEnd"/>
      <w:r w:rsidR="0011499B" w:rsidRPr="007A7643">
        <w:rPr>
          <w:sz w:val="28"/>
          <w:szCs w:val="28"/>
        </w:rPr>
        <w:t xml:space="preserve"> uz </w:t>
      </w:r>
      <w:proofErr w:type="spellStart"/>
      <w:r w:rsidR="0011499B" w:rsidRPr="007A7643">
        <w:rPr>
          <w:sz w:val="28"/>
          <w:szCs w:val="28"/>
        </w:rPr>
        <w:t>Pilssalas</w:t>
      </w:r>
      <w:proofErr w:type="spellEnd"/>
      <w:r w:rsidR="0011499B" w:rsidRPr="007A7643">
        <w:rPr>
          <w:sz w:val="28"/>
          <w:szCs w:val="28"/>
        </w:rPr>
        <w:t xml:space="preserve"> ligzdojošo putnu aizsardzībai no stresu raisošiem traucējumiem </w:t>
      </w:r>
      <w:proofErr w:type="spellStart"/>
      <w:r w:rsidR="0011499B" w:rsidRPr="007A7643">
        <w:rPr>
          <w:sz w:val="28"/>
          <w:szCs w:val="28"/>
        </w:rPr>
        <w:t>Driksas</w:t>
      </w:r>
      <w:proofErr w:type="spellEnd"/>
      <w:r w:rsidR="0011499B" w:rsidRPr="007A7643">
        <w:rPr>
          <w:sz w:val="28"/>
          <w:szCs w:val="28"/>
        </w:rPr>
        <w:t xml:space="preserve"> upes kreisajā krastā</w:t>
      </w:r>
      <w:r w:rsidR="0011499B" w:rsidRPr="007A7643">
        <w:rPr>
          <w:rStyle w:val="FootnoteReference"/>
          <w:sz w:val="28"/>
          <w:szCs w:val="28"/>
        </w:rPr>
        <w:footnoteReference w:id="20"/>
      </w:r>
      <w:r w:rsidRPr="007A7643">
        <w:rPr>
          <w:sz w:val="28"/>
          <w:szCs w:val="28"/>
        </w:rPr>
        <w:t xml:space="preserve">. </w:t>
      </w:r>
      <w:r w:rsidR="0051254D" w:rsidRPr="007A7643">
        <w:rPr>
          <w:sz w:val="28"/>
          <w:szCs w:val="28"/>
        </w:rPr>
        <w:t>Secināts, ka kom</w:t>
      </w:r>
      <w:r w:rsidR="00F77819" w:rsidRPr="007A7643">
        <w:rPr>
          <w:sz w:val="28"/>
          <w:szCs w:val="28"/>
        </w:rPr>
        <w:t>pensējošo platību pievienošana D</w:t>
      </w:r>
      <w:r w:rsidR="0051254D" w:rsidRPr="007A7643">
        <w:rPr>
          <w:sz w:val="28"/>
          <w:szCs w:val="28"/>
        </w:rPr>
        <w:t xml:space="preserve">abas liegumam, putnu dzīvotņu optimāla stāvokļa izveidošana un to uzturēšana esošajās un kompensējošajās platībās spēs nodrošināt par </w:t>
      </w:r>
      <w:proofErr w:type="spellStart"/>
      <w:r w:rsidR="0051254D" w:rsidRPr="007A7643">
        <w:rPr>
          <w:sz w:val="28"/>
          <w:szCs w:val="28"/>
        </w:rPr>
        <w:t>pamatstāvokli</w:t>
      </w:r>
      <w:proofErr w:type="spellEnd"/>
      <w:r w:rsidR="0051254D" w:rsidRPr="007A7643">
        <w:rPr>
          <w:sz w:val="28"/>
          <w:szCs w:val="28"/>
        </w:rPr>
        <w:t xml:space="preserve"> labāku </w:t>
      </w:r>
      <w:r w:rsidR="00F77819" w:rsidRPr="007A7643">
        <w:rPr>
          <w:sz w:val="28"/>
          <w:szCs w:val="28"/>
        </w:rPr>
        <w:t>vai tam līdzvērtīgu līmeni pēc P</w:t>
      </w:r>
      <w:r w:rsidR="0051254D" w:rsidRPr="007A7643">
        <w:rPr>
          <w:sz w:val="28"/>
          <w:szCs w:val="28"/>
        </w:rPr>
        <w:t>aredzētās darbības realizācijas.</w:t>
      </w:r>
    </w:p>
    <w:p w14:paraId="672EC06A" w14:textId="1041A010" w:rsidR="00785BAB" w:rsidRPr="007A7643" w:rsidRDefault="00785BAB" w:rsidP="00774A18">
      <w:pPr>
        <w:pStyle w:val="tv213"/>
        <w:shd w:val="clear" w:color="auto" w:fill="FFFFFF"/>
        <w:spacing w:before="120" w:beforeAutospacing="0" w:after="0" w:afterAutospacing="0"/>
        <w:ind w:right="-483" w:firstLine="851"/>
        <w:jc w:val="both"/>
        <w:rPr>
          <w:sz w:val="28"/>
          <w:szCs w:val="28"/>
        </w:rPr>
      </w:pPr>
      <w:r w:rsidRPr="00AD6A29">
        <w:rPr>
          <w:sz w:val="28"/>
          <w:szCs w:val="28"/>
        </w:rPr>
        <w:t xml:space="preserve">Paredzētās darbības negatīvās ietekmes uz </w:t>
      </w:r>
      <w:proofErr w:type="spellStart"/>
      <w:r w:rsidRPr="00AD6A29">
        <w:rPr>
          <w:sz w:val="28"/>
          <w:szCs w:val="28"/>
        </w:rPr>
        <w:t>Natura</w:t>
      </w:r>
      <w:proofErr w:type="spellEnd"/>
      <w:r w:rsidRPr="00AD6A29">
        <w:rPr>
          <w:sz w:val="28"/>
          <w:szCs w:val="28"/>
        </w:rPr>
        <w:t xml:space="preserve"> 2000 teritoriju un kompensējošo pasākumu </w:t>
      </w:r>
      <w:r w:rsidR="001828AC" w:rsidRPr="00AD6A29">
        <w:rPr>
          <w:sz w:val="28"/>
          <w:szCs w:val="28"/>
        </w:rPr>
        <w:t>efektivitātes monitoring</w:t>
      </w:r>
      <w:r w:rsidR="00E343FC" w:rsidRPr="00AD6A29">
        <w:rPr>
          <w:sz w:val="28"/>
          <w:szCs w:val="28"/>
        </w:rPr>
        <w:t xml:space="preserve">a pasākumus plānots </w:t>
      </w:r>
      <w:r w:rsidRPr="00AD6A29">
        <w:rPr>
          <w:sz w:val="28"/>
          <w:szCs w:val="28"/>
        </w:rPr>
        <w:t xml:space="preserve">uzsākt </w:t>
      </w:r>
      <w:r w:rsidR="001828AC" w:rsidRPr="00AD6A29">
        <w:rPr>
          <w:sz w:val="28"/>
          <w:szCs w:val="28"/>
        </w:rPr>
        <w:t>jau divus gadus pirms Paredzētās darbības īstenošanas un turpināt 10 gadus pēc tās īstenošanas.</w:t>
      </w:r>
      <w:r w:rsidR="004A24E9" w:rsidRPr="00AD6A29">
        <w:rPr>
          <w:sz w:val="28"/>
          <w:szCs w:val="28"/>
        </w:rPr>
        <w:t xml:space="preserve"> To skaitā paredzēts veikt putnu uzskaites ligzdošanas, pavasara un rudens migrāciju laikā </w:t>
      </w:r>
      <w:r w:rsidR="0071626D" w:rsidRPr="00AD6A29">
        <w:rPr>
          <w:sz w:val="28"/>
          <w:szCs w:val="28"/>
        </w:rPr>
        <w:t xml:space="preserve">divus </w:t>
      </w:r>
      <w:r w:rsidR="004A24E9" w:rsidRPr="00AD6A29">
        <w:rPr>
          <w:sz w:val="28"/>
          <w:szCs w:val="28"/>
        </w:rPr>
        <w:t xml:space="preserve">gadus pirms pasākumu ieviešanas, to ieviešanas laikā un 10 gadus pēc to ieviešanas, savukārt informāciju par zālāju biotopu izveidošanos kompensējošās platībās paredzēts reprezentatīvās </w:t>
      </w:r>
      <w:proofErr w:type="spellStart"/>
      <w:r w:rsidR="004A24E9" w:rsidRPr="00AD6A29">
        <w:rPr>
          <w:sz w:val="28"/>
          <w:szCs w:val="28"/>
        </w:rPr>
        <w:t>transektēs</w:t>
      </w:r>
      <w:proofErr w:type="spellEnd"/>
      <w:r w:rsidR="004A24E9" w:rsidRPr="00AD6A29">
        <w:rPr>
          <w:sz w:val="28"/>
          <w:szCs w:val="28"/>
        </w:rPr>
        <w:t xml:space="preserve"> reģistrēt Paredzētās darbības uzsākšanas laikā un atkārtoti pārbaudīt pēc 5 gadu un 10 gadu periodiem. </w:t>
      </w:r>
      <w:r w:rsidR="00E343FC" w:rsidRPr="00AD6A29">
        <w:rPr>
          <w:sz w:val="28"/>
          <w:szCs w:val="28"/>
        </w:rPr>
        <w:t>Zālāju biotopu monitorings paredzēts arī, lai novērtētu biotopu aizsardzības</w:t>
      </w:r>
      <w:r w:rsidR="00E343FC" w:rsidRPr="007A7643">
        <w:rPr>
          <w:sz w:val="28"/>
          <w:szCs w:val="28"/>
        </w:rPr>
        <w:t xml:space="preserve"> stāvokli Dabas liegumā un izvērtētu ietekmi samazinošo pasākumu sekmes, kā arī, lai novērtētu būvniecības darbu un tilta radītā noēnojuma ietekmi uz zālāju biotopiem. </w:t>
      </w:r>
      <w:r w:rsidR="004A24E9" w:rsidRPr="007A7643">
        <w:rPr>
          <w:sz w:val="28"/>
          <w:szCs w:val="28"/>
        </w:rPr>
        <w:t xml:space="preserve">Monitoringa veikšanas </w:t>
      </w:r>
      <w:r w:rsidR="00E343FC" w:rsidRPr="007A7643">
        <w:rPr>
          <w:sz w:val="28"/>
          <w:szCs w:val="28"/>
        </w:rPr>
        <w:t xml:space="preserve">ieteicamo </w:t>
      </w:r>
      <w:r w:rsidR="004A24E9" w:rsidRPr="007A7643">
        <w:rPr>
          <w:sz w:val="28"/>
          <w:szCs w:val="28"/>
        </w:rPr>
        <w:t xml:space="preserve">vietu attēlojums ietverts </w:t>
      </w:r>
      <w:r w:rsidR="00261E96" w:rsidRPr="007A7643">
        <w:rPr>
          <w:sz w:val="28"/>
          <w:szCs w:val="28"/>
        </w:rPr>
        <w:t xml:space="preserve">informatīvā ziņojuma </w:t>
      </w:r>
      <w:r w:rsidR="009C24B9" w:rsidRPr="007A7643">
        <w:rPr>
          <w:sz w:val="28"/>
          <w:szCs w:val="28"/>
        </w:rPr>
        <w:t>7</w:t>
      </w:r>
      <w:r w:rsidR="004A24E9" w:rsidRPr="007A7643">
        <w:rPr>
          <w:sz w:val="28"/>
          <w:szCs w:val="28"/>
        </w:rPr>
        <w:t>.</w:t>
      </w:r>
      <w:r w:rsidR="000E0322" w:rsidRPr="007A7643">
        <w:rPr>
          <w:sz w:val="28"/>
          <w:szCs w:val="28"/>
        </w:rPr>
        <w:t xml:space="preserve"> </w:t>
      </w:r>
      <w:r w:rsidR="004A24E9" w:rsidRPr="007A7643">
        <w:rPr>
          <w:sz w:val="28"/>
          <w:szCs w:val="28"/>
        </w:rPr>
        <w:t xml:space="preserve">pielikumā. </w:t>
      </w:r>
      <w:r w:rsidR="001828AC" w:rsidRPr="007A7643">
        <w:rPr>
          <w:sz w:val="28"/>
          <w:szCs w:val="28"/>
        </w:rPr>
        <w:t xml:space="preserve"> </w:t>
      </w:r>
    </w:p>
    <w:p w14:paraId="079899CC" w14:textId="77777777" w:rsidR="002000AD" w:rsidRPr="007A7643" w:rsidRDefault="002000AD" w:rsidP="007A7643">
      <w:pPr>
        <w:pStyle w:val="tv213"/>
        <w:shd w:val="clear" w:color="auto" w:fill="FFFFFF"/>
        <w:spacing w:before="0" w:beforeAutospacing="0" w:after="0" w:afterAutospacing="0"/>
        <w:ind w:left="600" w:right="-483"/>
        <w:jc w:val="both"/>
        <w:rPr>
          <w:rFonts w:ascii="Arial" w:hAnsi="Arial" w:cs="Arial"/>
          <w:color w:val="414142"/>
          <w:sz w:val="28"/>
          <w:szCs w:val="28"/>
        </w:rPr>
      </w:pPr>
    </w:p>
    <w:p w14:paraId="0450E12F" w14:textId="77777777" w:rsidR="00E336D5" w:rsidRPr="007A7643" w:rsidRDefault="007A0E92" w:rsidP="007A7643">
      <w:pPr>
        <w:pStyle w:val="tv213"/>
        <w:shd w:val="clear" w:color="auto" w:fill="FFFFFF"/>
        <w:spacing w:before="0" w:beforeAutospacing="0" w:after="0" w:afterAutospacing="0"/>
        <w:ind w:left="600" w:right="-483"/>
        <w:jc w:val="center"/>
        <w:rPr>
          <w:b/>
          <w:sz w:val="28"/>
          <w:szCs w:val="28"/>
        </w:rPr>
      </w:pPr>
      <w:r w:rsidRPr="007A7643">
        <w:rPr>
          <w:b/>
          <w:sz w:val="28"/>
          <w:szCs w:val="28"/>
        </w:rPr>
        <w:t>9. K</w:t>
      </w:r>
      <w:r w:rsidR="00E336D5" w:rsidRPr="007A7643">
        <w:rPr>
          <w:b/>
          <w:sz w:val="28"/>
          <w:szCs w:val="28"/>
        </w:rPr>
        <w:t>opsavilkums par novērtējuma ziņojuma sabiedriskās apspriešanas rezultātiem, tai skaitā kopsavilkums par saņemtajiem priekšlikumiem un atsauksmēm.</w:t>
      </w:r>
    </w:p>
    <w:p w14:paraId="2DDB72C9" w14:textId="77777777" w:rsidR="00A2163E" w:rsidRPr="007A7643" w:rsidRDefault="00A2163E" w:rsidP="007A7643">
      <w:pPr>
        <w:spacing w:line="240" w:lineRule="auto"/>
        <w:ind w:right="-483"/>
        <w:rPr>
          <w:sz w:val="28"/>
          <w:szCs w:val="28"/>
        </w:rPr>
      </w:pPr>
    </w:p>
    <w:p w14:paraId="56CF5106" w14:textId="65ADDE9F" w:rsidR="00A2163E" w:rsidRPr="007A7643" w:rsidRDefault="00BA11A9" w:rsidP="0071626D">
      <w:pPr>
        <w:spacing w:line="240" w:lineRule="auto"/>
        <w:ind w:right="-483" w:firstLine="851"/>
        <w:jc w:val="both"/>
        <w:rPr>
          <w:sz w:val="28"/>
          <w:szCs w:val="28"/>
        </w:rPr>
      </w:pPr>
      <w:r w:rsidRPr="007A7643">
        <w:rPr>
          <w:sz w:val="28"/>
          <w:szCs w:val="28"/>
        </w:rPr>
        <w:t>Ietekmes uz vidi novērtējuma sākotnējā sabiedriskā apspriešana norisinājās no 2015.</w:t>
      </w:r>
      <w:r w:rsidR="007A7643">
        <w:rPr>
          <w:sz w:val="28"/>
          <w:szCs w:val="28"/>
        </w:rPr>
        <w:t> </w:t>
      </w:r>
      <w:r w:rsidRPr="007A7643">
        <w:rPr>
          <w:sz w:val="28"/>
          <w:szCs w:val="28"/>
        </w:rPr>
        <w:t xml:space="preserve">gada </w:t>
      </w:r>
      <w:r w:rsidR="009B3A79" w:rsidRPr="007A7643">
        <w:rPr>
          <w:sz w:val="28"/>
          <w:szCs w:val="28"/>
        </w:rPr>
        <w:t>29.</w:t>
      </w:r>
      <w:r w:rsidR="007A7643">
        <w:rPr>
          <w:sz w:val="28"/>
          <w:szCs w:val="28"/>
        </w:rPr>
        <w:t> </w:t>
      </w:r>
      <w:r w:rsidR="009B3A79" w:rsidRPr="007A7643">
        <w:rPr>
          <w:sz w:val="28"/>
          <w:szCs w:val="28"/>
        </w:rPr>
        <w:t>oktobra līdz 7.</w:t>
      </w:r>
      <w:r w:rsidR="007A7643">
        <w:rPr>
          <w:sz w:val="28"/>
          <w:szCs w:val="28"/>
        </w:rPr>
        <w:t> </w:t>
      </w:r>
      <w:r w:rsidR="009B3A79" w:rsidRPr="007A7643">
        <w:rPr>
          <w:sz w:val="28"/>
          <w:szCs w:val="28"/>
        </w:rPr>
        <w:t>decembrim, tās ietvaros rīkotā sabiedriskās apspriešanas sanāksme klātienē notika 2015.</w:t>
      </w:r>
      <w:r w:rsidR="007A7643">
        <w:rPr>
          <w:sz w:val="28"/>
          <w:szCs w:val="28"/>
        </w:rPr>
        <w:t> </w:t>
      </w:r>
      <w:r w:rsidR="009B3A79" w:rsidRPr="007A7643">
        <w:rPr>
          <w:sz w:val="28"/>
          <w:szCs w:val="28"/>
        </w:rPr>
        <w:t>gada 1.</w:t>
      </w:r>
      <w:r w:rsidR="007A7643">
        <w:rPr>
          <w:sz w:val="28"/>
          <w:szCs w:val="28"/>
        </w:rPr>
        <w:t> </w:t>
      </w:r>
      <w:r w:rsidR="009B3A79" w:rsidRPr="007A7643">
        <w:rPr>
          <w:sz w:val="28"/>
          <w:szCs w:val="28"/>
        </w:rPr>
        <w:t>decembrī, Jelgavā. Ziņojuma sabiedriskā apspriešana norisinājās no 201</w:t>
      </w:r>
      <w:r w:rsidR="00370506" w:rsidRPr="007A7643">
        <w:rPr>
          <w:sz w:val="28"/>
          <w:szCs w:val="28"/>
        </w:rPr>
        <w:t>9</w:t>
      </w:r>
      <w:r w:rsidR="009B3A79" w:rsidRPr="007A7643">
        <w:rPr>
          <w:sz w:val="28"/>
          <w:szCs w:val="28"/>
        </w:rPr>
        <w:t>.</w:t>
      </w:r>
      <w:r w:rsidR="007A7643">
        <w:rPr>
          <w:sz w:val="28"/>
          <w:szCs w:val="28"/>
        </w:rPr>
        <w:t> </w:t>
      </w:r>
      <w:r w:rsidR="009B3A79" w:rsidRPr="007A7643">
        <w:rPr>
          <w:sz w:val="28"/>
          <w:szCs w:val="28"/>
        </w:rPr>
        <w:t>gada 28.</w:t>
      </w:r>
      <w:r w:rsidR="007A7643">
        <w:rPr>
          <w:sz w:val="28"/>
          <w:szCs w:val="28"/>
        </w:rPr>
        <w:t> </w:t>
      </w:r>
      <w:r w:rsidR="009B3A79" w:rsidRPr="007A7643">
        <w:rPr>
          <w:sz w:val="28"/>
          <w:szCs w:val="28"/>
        </w:rPr>
        <w:t>marta līdz 27.</w:t>
      </w:r>
      <w:r w:rsidR="007A7643">
        <w:rPr>
          <w:sz w:val="28"/>
          <w:szCs w:val="28"/>
        </w:rPr>
        <w:t> </w:t>
      </w:r>
      <w:r w:rsidR="009B3A79" w:rsidRPr="007A7643">
        <w:rPr>
          <w:sz w:val="28"/>
          <w:szCs w:val="28"/>
        </w:rPr>
        <w:t xml:space="preserve">aprīlim, tās ietvaros rīkotā sabiedriskās apspriešanas sanāksme klātienē notika </w:t>
      </w:r>
      <w:r w:rsidR="00370506" w:rsidRPr="007A7643">
        <w:rPr>
          <w:sz w:val="28"/>
          <w:szCs w:val="28"/>
        </w:rPr>
        <w:t>2019</w:t>
      </w:r>
      <w:r w:rsidR="009B3A79" w:rsidRPr="007A7643">
        <w:rPr>
          <w:sz w:val="28"/>
          <w:szCs w:val="28"/>
        </w:rPr>
        <w:t>.</w:t>
      </w:r>
      <w:r w:rsidR="007A7643">
        <w:rPr>
          <w:sz w:val="28"/>
          <w:szCs w:val="28"/>
        </w:rPr>
        <w:t> </w:t>
      </w:r>
      <w:r w:rsidR="009B3A79" w:rsidRPr="007A7643">
        <w:rPr>
          <w:sz w:val="28"/>
          <w:szCs w:val="28"/>
        </w:rPr>
        <w:t xml:space="preserve">gada </w:t>
      </w:r>
      <w:r w:rsidR="00370506" w:rsidRPr="007A7643">
        <w:rPr>
          <w:sz w:val="28"/>
          <w:szCs w:val="28"/>
        </w:rPr>
        <w:t>10.</w:t>
      </w:r>
      <w:r w:rsidR="007A7643">
        <w:rPr>
          <w:sz w:val="28"/>
          <w:szCs w:val="28"/>
        </w:rPr>
        <w:t> </w:t>
      </w:r>
      <w:r w:rsidR="00370506" w:rsidRPr="007A7643">
        <w:rPr>
          <w:sz w:val="28"/>
          <w:szCs w:val="28"/>
        </w:rPr>
        <w:t>aprīlī</w:t>
      </w:r>
      <w:r w:rsidR="009B3A79" w:rsidRPr="007A7643">
        <w:rPr>
          <w:sz w:val="28"/>
          <w:szCs w:val="28"/>
        </w:rPr>
        <w:t xml:space="preserve">, Jelgavā. Sabiedrisko apspriešanu ietvaros tika saņemti ierosinājumi un priekšlikumi </w:t>
      </w:r>
      <w:r w:rsidR="00AF2B7E" w:rsidRPr="007A7643">
        <w:rPr>
          <w:sz w:val="28"/>
          <w:szCs w:val="28"/>
        </w:rPr>
        <w:t xml:space="preserve">Ziņojuma papildināšanai </w:t>
      </w:r>
      <w:r w:rsidR="009B3A79" w:rsidRPr="007A7643">
        <w:rPr>
          <w:sz w:val="28"/>
          <w:szCs w:val="28"/>
        </w:rPr>
        <w:t>no valsts institūcijām un sabiedrības pārstāvjiem, t</w:t>
      </w:r>
      <w:r w:rsidR="003B2239" w:rsidRPr="007A7643">
        <w:rPr>
          <w:sz w:val="28"/>
          <w:szCs w:val="28"/>
        </w:rPr>
        <w:t>ai skaitā</w:t>
      </w:r>
      <w:r w:rsidR="009B3A79" w:rsidRPr="007A7643">
        <w:rPr>
          <w:sz w:val="28"/>
          <w:szCs w:val="28"/>
        </w:rPr>
        <w:t xml:space="preserve"> nevalstiskajām organizācijām (Latvijas ornitoloģijas biedrība, Latvijas dabas fonds, biedrība “</w:t>
      </w:r>
      <w:r w:rsidR="009B3A79" w:rsidRPr="007A7643">
        <w:rPr>
          <w:i/>
          <w:sz w:val="28"/>
          <w:szCs w:val="28"/>
        </w:rPr>
        <w:t>Jelgavas attīstībai</w:t>
      </w:r>
      <w:r w:rsidR="009B3A79" w:rsidRPr="007A7643">
        <w:rPr>
          <w:sz w:val="28"/>
          <w:szCs w:val="28"/>
        </w:rPr>
        <w:t>”</w:t>
      </w:r>
      <w:r w:rsidR="00AF2B7E" w:rsidRPr="007A7643">
        <w:rPr>
          <w:sz w:val="28"/>
          <w:szCs w:val="28"/>
        </w:rPr>
        <w:t>). Saņemtajās atsauksmēs izteikt</w:t>
      </w:r>
      <w:r w:rsidR="00A07135" w:rsidRPr="007A7643">
        <w:rPr>
          <w:sz w:val="28"/>
          <w:szCs w:val="28"/>
        </w:rPr>
        <w:t xml:space="preserve">i gan viedokļi par Paredzētās darbības nepieciešamību un īstenošanas pamatotību, gan </w:t>
      </w:r>
      <w:r w:rsidR="00AF2B7E" w:rsidRPr="007A7643">
        <w:rPr>
          <w:sz w:val="28"/>
          <w:szCs w:val="28"/>
        </w:rPr>
        <w:t xml:space="preserve">bažas par sagaidāmo ietekmi uz </w:t>
      </w:r>
      <w:proofErr w:type="spellStart"/>
      <w:r w:rsidR="00AF2B7E" w:rsidRPr="007A7643">
        <w:rPr>
          <w:sz w:val="28"/>
          <w:szCs w:val="28"/>
        </w:rPr>
        <w:t>Natura</w:t>
      </w:r>
      <w:proofErr w:type="spellEnd"/>
      <w:r w:rsidR="00AF2B7E" w:rsidRPr="007A7643">
        <w:rPr>
          <w:sz w:val="28"/>
          <w:szCs w:val="28"/>
        </w:rPr>
        <w:t xml:space="preserve"> 2000 teritoriju</w:t>
      </w:r>
      <w:r w:rsidR="00EC10F5" w:rsidRPr="007A7643">
        <w:rPr>
          <w:sz w:val="28"/>
          <w:szCs w:val="28"/>
        </w:rPr>
        <w:t>, kā arī</w:t>
      </w:r>
      <w:r w:rsidR="00AF2B7E" w:rsidRPr="007A7643">
        <w:rPr>
          <w:sz w:val="28"/>
          <w:szCs w:val="28"/>
        </w:rPr>
        <w:t xml:space="preserve"> trokšņa</w:t>
      </w:r>
      <w:r w:rsidR="00EC10F5" w:rsidRPr="007A7643">
        <w:rPr>
          <w:sz w:val="28"/>
          <w:szCs w:val="28"/>
        </w:rPr>
        <w:t xml:space="preserve"> un</w:t>
      </w:r>
      <w:r w:rsidR="00A07135" w:rsidRPr="007A7643">
        <w:rPr>
          <w:sz w:val="28"/>
          <w:szCs w:val="28"/>
        </w:rPr>
        <w:t xml:space="preserve"> </w:t>
      </w:r>
      <w:r w:rsidR="00AF2B7E" w:rsidRPr="007A7643">
        <w:rPr>
          <w:sz w:val="28"/>
          <w:szCs w:val="28"/>
        </w:rPr>
        <w:t>gaisa piesārņojuma palielināšanos teritorijās, uz kurām paredzēts novirzīt daļu pilsētas transporta plūsmas</w:t>
      </w:r>
      <w:r w:rsidR="00A07135" w:rsidRPr="007A7643">
        <w:rPr>
          <w:sz w:val="28"/>
          <w:szCs w:val="28"/>
        </w:rPr>
        <w:t>. Vairākos priekšlikumos</w:t>
      </w:r>
      <w:r w:rsidR="00AF2B7E" w:rsidRPr="007A7643">
        <w:rPr>
          <w:sz w:val="28"/>
          <w:szCs w:val="28"/>
        </w:rPr>
        <w:t xml:space="preserve"> ietverti </w:t>
      </w:r>
      <w:r w:rsidR="00A07135" w:rsidRPr="007A7643">
        <w:rPr>
          <w:sz w:val="28"/>
          <w:szCs w:val="28"/>
        </w:rPr>
        <w:t xml:space="preserve">arī </w:t>
      </w:r>
      <w:r w:rsidR="00AF2B7E" w:rsidRPr="007A7643">
        <w:rPr>
          <w:sz w:val="28"/>
          <w:szCs w:val="28"/>
        </w:rPr>
        <w:t>ierosinājumi kompensējoš</w:t>
      </w:r>
      <w:r w:rsidR="00A07135" w:rsidRPr="007A7643">
        <w:rPr>
          <w:sz w:val="28"/>
          <w:szCs w:val="28"/>
        </w:rPr>
        <w:t>o</w:t>
      </w:r>
      <w:r w:rsidR="00AF2B7E" w:rsidRPr="007A7643">
        <w:rPr>
          <w:sz w:val="28"/>
          <w:szCs w:val="28"/>
        </w:rPr>
        <w:t xml:space="preserve"> </w:t>
      </w:r>
      <w:r w:rsidR="00AF2B7E" w:rsidRPr="007A7643">
        <w:rPr>
          <w:sz w:val="28"/>
          <w:szCs w:val="28"/>
        </w:rPr>
        <w:lastRenderedPageBreak/>
        <w:t>teritoriju izveidei un uzturēšanai</w:t>
      </w:r>
      <w:r w:rsidR="00A07135" w:rsidRPr="007A7643">
        <w:rPr>
          <w:sz w:val="28"/>
          <w:szCs w:val="28"/>
        </w:rPr>
        <w:t>. Pārskats par Ziņojuma sabiedriskās apspriešanas ietvaros saņemtajiem priekšlikumiem un to, kā tie ņemti vērā, papildinot Ziņojumu, ietverts Ziņojuma 27.</w:t>
      </w:r>
      <w:r w:rsidR="001542D9" w:rsidRPr="007A7643">
        <w:rPr>
          <w:sz w:val="28"/>
          <w:szCs w:val="28"/>
        </w:rPr>
        <w:t> </w:t>
      </w:r>
      <w:r w:rsidR="00A07135" w:rsidRPr="007A7643">
        <w:rPr>
          <w:sz w:val="28"/>
          <w:szCs w:val="28"/>
        </w:rPr>
        <w:t>pielikumā.</w:t>
      </w:r>
    </w:p>
    <w:p w14:paraId="6A64425F" w14:textId="04B67986" w:rsidR="00AF2B7E" w:rsidRDefault="00AF2B7E" w:rsidP="007A7643">
      <w:pPr>
        <w:spacing w:line="240" w:lineRule="auto"/>
        <w:ind w:right="-483"/>
        <w:jc w:val="both"/>
        <w:rPr>
          <w:sz w:val="28"/>
          <w:szCs w:val="28"/>
        </w:rPr>
      </w:pPr>
    </w:p>
    <w:p w14:paraId="1A27F08D" w14:textId="77777777" w:rsidR="007A7643" w:rsidRDefault="007A7643" w:rsidP="007A7643">
      <w:pPr>
        <w:spacing w:line="240" w:lineRule="auto"/>
        <w:ind w:right="-483"/>
        <w:jc w:val="both"/>
        <w:rPr>
          <w:sz w:val="28"/>
          <w:szCs w:val="28"/>
        </w:rPr>
      </w:pPr>
    </w:p>
    <w:p w14:paraId="111EDC95" w14:textId="77777777" w:rsidR="007A7643" w:rsidRDefault="007A7643" w:rsidP="007A7643">
      <w:pPr>
        <w:spacing w:after="0" w:line="240" w:lineRule="auto"/>
        <w:ind w:right="-482"/>
        <w:jc w:val="both"/>
        <w:rPr>
          <w:sz w:val="28"/>
          <w:szCs w:val="28"/>
        </w:rPr>
      </w:pPr>
      <w:r w:rsidRPr="007A7643">
        <w:rPr>
          <w:sz w:val="28"/>
          <w:szCs w:val="28"/>
        </w:rPr>
        <w:t xml:space="preserve">Vides aizsardzības un </w:t>
      </w:r>
    </w:p>
    <w:p w14:paraId="7A281310" w14:textId="7FC6ECC3" w:rsidR="007A7643" w:rsidRPr="007A7643" w:rsidRDefault="007A7643" w:rsidP="007A7643">
      <w:pPr>
        <w:spacing w:after="0" w:line="240" w:lineRule="auto"/>
        <w:ind w:right="-482"/>
        <w:jc w:val="both"/>
        <w:rPr>
          <w:sz w:val="28"/>
          <w:szCs w:val="28"/>
        </w:rPr>
      </w:pPr>
      <w:r w:rsidRPr="007A7643">
        <w:rPr>
          <w:sz w:val="28"/>
          <w:szCs w:val="28"/>
        </w:rPr>
        <w:t>reģionālās attīstības ministrs</w:t>
      </w:r>
      <w:r w:rsidRPr="007A7643">
        <w:rPr>
          <w:sz w:val="28"/>
          <w:szCs w:val="28"/>
        </w:rPr>
        <w:tab/>
      </w:r>
      <w:r w:rsidRPr="007A7643">
        <w:rPr>
          <w:sz w:val="28"/>
          <w:szCs w:val="28"/>
        </w:rPr>
        <w:tab/>
      </w:r>
      <w:r w:rsidRPr="007A7643">
        <w:rPr>
          <w:sz w:val="28"/>
          <w:szCs w:val="28"/>
        </w:rPr>
        <w:tab/>
      </w:r>
      <w:r w:rsidRPr="007A7643">
        <w:rPr>
          <w:sz w:val="28"/>
          <w:szCs w:val="28"/>
        </w:rPr>
        <w:tab/>
      </w:r>
      <w:r>
        <w:rPr>
          <w:sz w:val="28"/>
          <w:szCs w:val="28"/>
        </w:rPr>
        <w:tab/>
      </w:r>
      <w:r>
        <w:rPr>
          <w:sz w:val="28"/>
          <w:szCs w:val="28"/>
        </w:rPr>
        <w:tab/>
      </w:r>
      <w:r w:rsidRPr="007A7643">
        <w:rPr>
          <w:sz w:val="28"/>
          <w:szCs w:val="28"/>
        </w:rPr>
        <w:tab/>
        <w:t>J. Pūce</w:t>
      </w:r>
    </w:p>
    <w:p w14:paraId="65EEF7EB" w14:textId="77777777" w:rsidR="007A7643" w:rsidRPr="007A7643" w:rsidRDefault="007A7643" w:rsidP="007A7643">
      <w:pPr>
        <w:spacing w:line="240" w:lineRule="auto"/>
        <w:ind w:right="-483"/>
        <w:jc w:val="both"/>
        <w:rPr>
          <w:sz w:val="28"/>
          <w:szCs w:val="28"/>
        </w:rPr>
      </w:pPr>
    </w:p>
    <w:sectPr w:rsidR="007A7643" w:rsidRPr="007A7643" w:rsidSect="005A44D0">
      <w:headerReference w:type="even" r:id="rId12"/>
      <w:headerReference w:type="default" r:id="rId13"/>
      <w:footerReference w:type="even" r:id="rId14"/>
      <w:footerReference w:type="default" r:id="rId15"/>
      <w:headerReference w:type="first" r:id="rId16"/>
      <w:footerReference w:type="first" r:id="rId17"/>
      <w:pgSz w:w="11906" w:h="16838"/>
      <w:pgMar w:top="1276"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CB48" w14:textId="77777777" w:rsidR="005A44D0" w:rsidRDefault="005A44D0" w:rsidP="00E336D5">
      <w:pPr>
        <w:spacing w:after="0" w:line="240" w:lineRule="auto"/>
      </w:pPr>
      <w:r>
        <w:separator/>
      </w:r>
    </w:p>
  </w:endnote>
  <w:endnote w:type="continuationSeparator" w:id="0">
    <w:p w14:paraId="7B3DCFE2" w14:textId="77777777" w:rsidR="005A44D0" w:rsidRDefault="005A44D0" w:rsidP="00E336D5">
      <w:pPr>
        <w:spacing w:after="0" w:line="240" w:lineRule="auto"/>
      </w:pPr>
      <w:r>
        <w:continuationSeparator/>
      </w:r>
    </w:p>
  </w:endnote>
  <w:endnote w:type="continuationNotice" w:id="1">
    <w:p w14:paraId="75F95AA3" w14:textId="77777777" w:rsidR="008D7DA3" w:rsidRDefault="008D7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5178" w14:textId="77777777" w:rsidR="005A44D0" w:rsidRDefault="005A4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71828"/>
      <w:docPartObj>
        <w:docPartGallery w:val="Page Numbers (Bottom of Page)"/>
        <w:docPartUnique/>
      </w:docPartObj>
    </w:sdtPr>
    <w:sdtEndPr>
      <w:rPr>
        <w:noProof/>
      </w:rPr>
    </w:sdtEndPr>
    <w:sdtContent>
      <w:p w14:paraId="4996BE17" w14:textId="55F65342" w:rsidR="005A44D0" w:rsidRDefault="00AA3C81">
        <w:pPr>
          <w:pStyle w:val="Footer"/>
          <w:jc w:val="right"/>
        </w:pPr>
      </w:p>
    </w:sdtContent>
  </w:sdt>
  <w:p w14:paraId="37074F6C" w14:textId="76E4A533" w:rsidR="005A44D0" w:rsidRDefault="005A44D0">
    <w:pPr>
      <w:pStyle w:val="Footer"/>
    </w:pPr>
    <w:r>
      <w:t>VARAMInf_250919_Lielupestilts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A35D" w14:textId="77777777" w:rsidR="005A44D0" w:rsidRDefault="005A4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8235" w14:textId="77777777" w:rsidR="005A44D0" w:rsidRDefault="005A44D0" w:rsidP="00E336D5">
      <w:pPr>
        <w:spacing w:after="0" w:line="240" w:lineRule="auto"/>
      </w:pPr>
      <w:r>
        <w:separator/>
      </w:r>
    </w:p>
  </w:footnote>
  <w:footnote w:type="continuationSeparator" w:id="0">
    <w:p w14:paraId="75C5003F" w14:textId="77777777" w:rsidR="005A44D0" w:rsidRDefault="005A44D0" w:rsidP="00E336D5">
      <w:pPr>
        <w:spacing w:after="0" w:line="240" w:lineRule="auto"/>
      </w:pPr>
      <w:r>
        <w:continuationSeparator/>
      </w:r>
    </w:p>
  </w:footnote>
  <w:footnote w:type="continuationNotice" w:id="1">
    <w:p w14:paraId="49EF39C5" w14:textId="77777777" w:rsidR="008D7DA3" w:rsidRDefault="008D7DA3">
      <w:pPr>
        <w:spacing w:after="0" w:line="240" w:lineRule="auto"/>
      </w:pPr>
    </w:p>
  </w:footnote>
  <w:footnote w:id="2">
    <w:p w14:paraId="3EB74F13" w14:textId="77777777" w:rsidR="005A44D0" w:rsidRDefault="005A44D0" w:rsidP="00A07135">
      <w:pPr>
        <w:pStyle w:val="FootnoteText"/>
      </w:pPr>
      <w:r>
        <w:rPr>
          <w:rStyle w:val="FootnoteReference"/>
        </w:rPr>
        <w:footnoteRef/>
      </w:r>
      <w:r>
        <w:t xml:space="preserve"> Ziņojums publiski pieejams tīmekļa vietnē: </w:t>
      </w:r>
      <w:hyperlink r:id="rId1" w:history="1">
        <w:r w:rsidRPr="00A07135">
          <w:rPr>
            <w:color w:val="0000FF"/>
            <w:u w:val="single"/>
          </w:rPr>
          <w:t>http://www.environment.lv/lv/jaunumi/aktualie-ietekmes-uz-vidi-novertejumi-ivn-un-sabiedriskas-apspriesanas/transporta-parvada-tilta-izbuve-par-lielupi-un-driksas-upi-jelgavas-pilseta</w:t>
        </w:r>
      </w:hyperlink>
      <w:r>
        <w:t>.</w:t>
      </w:r>
    </w:p>
  </w:footnote>
  <w:footnote w:id="3">
    <w:p w14:paraId="196166DE" w14:textId="77777777" w:rsidR="005A44D0" w:rsidRPr="00275E23" w:rsidRDefault="005A44D0">
      <w:pPr>
        <w:pStyle w:val="FootnoteText"/>
      </w:pPr>
      <w:r w:rsidRPr="003120E2">
        <w:rPr>
          <w:rStyle w:val="FootnoteReference"/>
        </w:rPr>
        <w:footnoteRef/>
      </w:r>
      <w:r w:rsidRPr="003120E2">
        <w:t xml:space="preserve"> </w:t>
      </w:r>
      <w:r w:rsidRPr="003120E2">
        <w:t xml:space="preserve">Atbilst Direktīvas </w:t>
      </w:r>
      <w:hyperlink r:id="rId2" w:tgtFrame="_blank" w:history="1">
        <w:r w:rsidRPr="003120E2">
          <w:t>92/43/EEK</w:t>
        </w:r>
      </w:hyperlink>
      <w:r w:rsidRPr="003120E2">
        <w:t xml:space="preserve"> 6. panta 3. daļas nosacījumiem.</w:t>
      </w:r>
    </w:p>
  </w:footnote>
  <w:footnote w:id="4">
    <w:p w14:paraId="48B419C1" w14:textId="77777777" w:rsidR="005A44D0" w:rsidRDefault="005A44D0">
      <w:pPr>
        <w:pStyle w:val="FootnoteText"/>
      </w:pPr>
      <w:r>
        <w:rPr>
          <w:rStyle w:val="FootnoteReference"/>
        </w:rPr>
        <w:footnoteRef/>
      </w:r>
      <w:r>
        <w:t xml:space="preserve"> </w:t>
      </w:r>
      <w:r w:rsidRPr="00275E23">
        <w:t xml:space="preserve">Atbilst Direktīvas </w:t>
      </w:r>
      <w:hyperlink r:id="rId3" w:tgtFrame="_blank" w:history="1">
        <w:r w:rsidRPr="00275E23">
          <w:t>92/43/EEK</w:t>
        </w:r>
      </w:hyperlink>
      <w:r w:rsidRPr="00275E23">
        <w:t xml:space="preserve"> 6. panta </w:t>
      </w:r>
      <w:r>
        <w:t>4</w:t>
      </w:r>
      <w:r w:rsidRPr="00275E23">
        <w:t>. daļas nosacījumiem</w:t>
      </w:r>
      <w:r>
        <w:t>.</w:t>
      </w:r>
    </w:p>
  </w:footnote>
  <w:footnote w:id="5">
    <w:p w14:paraId="404CE96A" w14:textId="77777777" w:rsidR="005A44D0" w:rsidRPr="00275E23" w:rsidRDefault="005A44D0">
      <w:pPr>
        <w:pStyle w:val="FootnoteText"/>
      </w:pPr>
      <w:r w:rsidRPr="00275E23">
        <w:rPr>
          <w:rStyle w:val="FootnoteReference"/>
        </w:rPr>
        <w:footnoteRef/>
      </w:r>
      <w:r w:rsidRPr="00275E23">
        <w:t xml:space="preserve"> </w:t>
      </w:r>
      <w:r w:rsidRPr="00275E23">
        <w:t>ĪADT likuma 43. panta sestā un septītā daļa.</w:t>
      </w:r>
    </w:p>
  </w:footnote>
  <w:footnote w:id="6">
    <w:p w14:paraId="61A35B5A" w14:textId="77777777" w:rsidR="005A44D0" w:rsidRDefault="005A44D0" w:rsidP="003120E2">
      <w:pPr>
        <w:pStyle w:val="FootnoteText"/>
      </w:pPr>
      <w:r w:rsidRPr="00275E23">
        <w:rPr>
          <w:rStyle w:val="FootnoteReference"/>
        </w:rPr>
        <w:footnoteRef/>
      </w:r>
      <w:r w:rsidRPr="00275E23">
        <w:t xml:space="preserve"> </w:t>
      </w:r>
      <w:r w:rsidRPr="00275E23">
        <w:t xml:space="preserve">ĪADT likuma 43. panta </w:t>
      </w:r>
      <w:r>
        <w:t xml:space="preserve">sestā </w:t>
      </w:r>
      <w:r w:rsidRPr="00275E23">
        <w:t>daļa</w:t>
      </w:r>
      <w:r>
        <w:t>.</w:t>
      </w:r>
    </w:p>
  </w:footnote>
  <w:footnote w:id="7">
    <w:p w14:paraId="52F46F59" w14:textId="77777777" w:rsidR="005A44D0" w:rsidRDefault="005A44D0">
      <w:pPr>
        <w:pStyle w:val="FootnoteText"/>
      </w:pPr>
      <w:r>
        <w:rPr>
          <w:rStyle w:val="FootnoteReference"/>
        </w:rPr>
        <w:footnoteRef/>
      </w:r>
      <w:r>
        <w:t xml:space="preserve"> </w:t>
      </w:r>
      <w:r w:rsidRPr="00275E23">
        <w:t xml:space="preserve">Atbilst Direktīvas </w:t>
      </w:r>
      <w:hyperlink r:id="rId4" w:tgtFrame="_blank" w:history="1">
        <w:r w:rsidRPr="00275E23">
          <w:t>92/43/EEK</w:t>
        </w:r>
      </w:hyperlink>
      <w:r w:rsidRPr="00275E23">
        <w:t xml:space="preserve"> 6. panta </w:t>
      </w:r>
      <w:r>
        <w:t>4</w:t>
      </w:r>
      <w:r w:rsidRPr="00275E23">
        <w:t>. daļas nosacījumiem</w:t>
      </w:r>
      <w:r>
        <w:t>.</w:t>
      </w:r>
    </w:p>
  </w:footnote>
  <w:footnote w:id="8">
    <w:p w14:paraId="06609981" w14:textId="77777777" w:rsidR="005A44D0" w:rsidRDefault="005A44D0" w:rsidP="006E2193">
      <w:pPr>
        <w:pStyle w:val="FootnoteText"/>
      </w:pPr>
      <w:r>
        <w:rPr>
          <w:rStyle w:val="FootnoteReference"/>
        </w:rPr>
        <w:footnoteRef/>
      </w:r>
      <w:r>
        <w:t xml:space="preserve"> </w:t>
      </w:r>
      <w:r>
        <w:t>ĪADT likuma 44. panta pirmā daļa.</w:t>
      </w:r>
    </w:p>
  </w:footnote>
  <w:footnote w:id="9">
    <w:p w14:paraId="42ED9A1E" w14:textId="2DAF645C" w:rsidR="005A44D0" w:rsidRDefault="005A44D0" w:rsidP="00F4365D">
      <w:pPr>
        <w:pStyle w:val="FootnoteText"/>
        <w:jc w:val="both"/>
      </w:pPr>
      <w:r>
        <w:rPr>
          <w:rStyle w:val="FootnoteReference"/>
        </w:rPr>
        <w:footnoteRef/>
      </w:r>
      <w:r>
        <w:t xml:space="preserve"> </w:t>
      </w:r>
      <w:r w:rsidRPr="00164D78">
        <w:rPr>
          <w:szCs w:val="24"/>
        </w:rPr>
        <w:t xml:space="preserve">Eiropas Savienības tiesa </w:t>
      </w:r>
      <w:r w:rsidRPr="00830E88">
        <w:rPr>
          <w:szCs w:val="24"/>
        </w:rPr>
        <w:t xml:space="preserve">2012. gada 16. februāra </w:t>
      </w:r>
      <w:r w:rsidRPr="00164D78">
        <w:rPr>
          <w:szCs w:val="24"/>
        </w:rPr>
        <w:t>spriedumā lietā C-182/10 (75.–78. punkts) atzinusi, ka “</w:t>
      </w:r>
      <w:r w:rsidRPr="00164D78">
        <w:rPr>
          <w:i/>
          <w:szCs w:val="24"/>
        </w:rPr>
        <w:t>Interesēm, kas Dzīvotņu direktīvas 6. panta 4. punkta nozīmē var attaisnot plāna vai projekta īstenošanu, ir jābūt vienlaikus “sabiedrības” un “sevišķi svarīgām” interesēm, kas nozīmē, ka tām ir jābūt tik nozīmīgām, ka tās var izlīdzsvarot ar dabisko dzīvotņu, savvaļas faunas un floras aizsardzības (saglabāšanas) mērķi, kas ir izvirzīts šajā direktīvā</w:t>
      </w:r>
      <w:r w:rsidRPr="00164D78">
        <w:rPr>
          <w:szCs w:val="24"/>
        </w:rPr>
        <w:t>”.</w:t>
      </w:r>
    </w:p>
  </w:footnote>
  <w:footnote w:id="10">
    <w:p w14:paraId="303E49D7" w14:textId="77777777" w:rsidR="005A44D0" w:rsidRDefault="005A44D0">
      <w:pPr>
        <w:pStyle w:val="FootnoteText"/>
      </w:pPr>
      <w:r>
        <w:rPr>
          <w:rStyle w:val="FootnoteReference"/>
        </w:rPr>
        <w:footnoteRef/>
      </w:r>
      <w:r>
        <w:t xml:space="preserve"> </w:t>
      </w:r>
      <w:r>
        <w:t>ĪADT likuma pielikuma 192. punkts</w:t>
      </w:r>
    </w:p>
  </w:footnote>
  <w:footnote w:id="11">
    <w:p w14:paraId="60A387E2" w14:textId="77777777" w:rsidR="005A44D0" w:rsidRDefault="005A44D0" w:rsidP="00B17168">
      <w:pPr>
        <w:pStyle w:val="FootnoteText"/>
      </w:pPr>
      <w:r>
        <w:rPr>
          <w:rStyle w:val="FootnoteReference"/>
        </w:rPr>
        <w:footnoteRef/>
      </w:r>
      <w:r>
        <w:t xml:space="preserve"> </w:t>
      </w:r>
      <w:r>
        <w:t xml:space="preserve">Dabas lieguma standarta datu forma publiski pieejama: </w:t>
      </w:r>
      <w:hyperlink r:id="rId5" w:history="1">
        <w:r w:rsidRPr="00610632">
          <w:rPr>
            <w:color w:val="0000FF"/>
            <w:u w:val="single"/>
          </w:rPr>
          <w:t>http://natura2000.eea.europa.eu/Natura2000/SDF.aspx?site=LV0523100</w:t>
        </w:r>
      </w:hyperlink>
      <w:r>
        <w:t xml:space="preserve">. </w:t>
      </w:r>
    </w:p>
  </w:footnote>
  <w:footnote w:id="12">
    <w:p w14:paraId="7CA0CD94" w14:textId="77777777" w:rsidR="005A44D0" w:rsidRDefault="005A44D0" w:rsidP="005E4E9C">
      <w:pPr>
        <w:pStyle w:val="FootnoteText"/>
        <w:jc w:val="both"/>
      </w:pPr>
      <w:r>
        <w:rPr>
          <w:rStyle w:val="FootnoteReference"/>
        </w:rPr>
        <w:footnoteRef/>
      </w:r>
      <w:r>
        <w:t xml:space="preserve"> </w:t>
      </w:r>
      <w:r>
        <w:t>Atbilst platībai dabas lieguma “</w:t>
      </w:r>
      <w:r w:rsidRPr="00366E0D">
        <w:rPr>
          <w:i/>
        </w:rPr>
        <w:t>Lielupes palienes pļavas</w:t>
      </w:r>
      <w:r>
        <w:t xml:space="preserve">” </w:t>
      </w:r>
      <w:proofErr w:type="spellStart"/>
      <w:r>
        <w:t>Natura</w:t>
      </w:r>
      <w:proofErr w:type="spellEnd"/>
      <w:r>
        <w:t xml:space="preserve"> 2000 teritorijas standarta datu formā.</w:t>
      </w:r>
    </w:p>
  </w:footnote>
  <w:footnote w:id="13">
    <w:p w14:paraId="3FFB96DC" w14:textId="77777777" w:rsidR="005A44D0" w:rsidRDefault="005A44D0" w:rsidP="00F4365D">
      <w:pPr>
        <w:pStyle w:val="FootnoteText"/>
      </w:pPr>
      <w:r>
        <w:rPr>
          <w:rStyle w:val="FootnoteReference"/>
        </w:rPr>
        <w:footnoteRef/>
      </w:r>
      <w:r>
        <w:t xml:space="preserve"> </w:t>
      </w:r>
      <w:r>
        <w:t xml:space="preserve">2017. gada statistikas dati, avots: </w:t>
      </w:r>
      <w:hyperlink r:id="rId6" w:history="1">
        <w:r w:rsidRPr="00F36B8E">
          <w:rPr>
            <w:rStyle w:val="Hyperlink"/>
          </w:rPr>
          <w:t>http://www.jelgava.lv/files/jelgava_skaitlos_par_2017_gadu.pdf</w:t>
        </w:r>
      </w:hyperlink>
      <w:r>
        <w:t>.</w:t>
      </w:r>
    </w:p>
  </w:footnote>
  <w:footnote w:id="14">
    <w:p w14:paraId="31D74592" w14:textId="77777777" w:rsidR="005A44D0" w:rsidRDefault="005A44D0" w:rsidP="00B17168">
      <w:pPr>
        <w:pStyle w:val="FootnoteText"/>
        <w:jc w:val="both"/>
      </w:pPr>
      <w:r>
        <w:rPr>
          <w:rStyle w:val="FootnoteReference"/>
        </w:rPr>
        <w:footnoteRef/>
      </w:r>
      <w:r>
        <w:t xml:space="preserve"> </w:t>
      </w:r>
      <w:r>
        <w:t xml:space="preserve">Ietekmes novērtējums veikts pret aktuālāko pieejamo informāciju par dabas vērtībām Dabas liegumā, balstoties uz jaunākajiem pieejamiem rezultātiem (2015. gada un 2016. gada dati), kas atšķiras no </w:t>
      </w:r>
      <w:proofErr w:type="spellStart"/>
      <w:r>
        <w:t>Natura</w:t>
      </w:r>
      <w:proofErr w:type="spellEnd"/>
      <w:r>
        <w:t xml:space="preserve"> 2000 teritorijas standarta datu formas.</w:t>
      </w:r>
    </w:p>
  </w:footnote>
  <w:footnote w:id="15">
    <w:p w14:paraId="29D9E2DA" w14:textId="77777777" w:rsidR="005A44D0" w:rsidRDefault="005A44D0">
      <w:pPr>
        <w:pStyle w:val="FootnoteText"/>
      </w:pPr>
      <w:r>
        <w:rPr>
          <w:rStyle w:val="FootnoteReference"/>
        </w:rPr>
        <w:footnoteRef/>
      </w:r>
      <w:r>
        <w:t xml:space="preserve"> </w:t>
      </w:r>
      <w:r>
        <w:t>Ziņojuma 3.12.3. tabula, 176. lpp.</w:t>
      </w:r>
    </w:p>
  </w:footnote>
  <w:footnote w:id="16">
    <w:p w14:paraId="26E086D6" w14:textId="77777777" w:rsidR="005A44D0" w:rsidRDefault="005A44D0" w:rsidP="007A0E92">
      <w:pPr>
        <w:pStyle w:val="FootnoteText"/>
        <w:jc w:val="both"/>
      </w:pPr>
      <w:r>
        <w:rPr>
          <w:rStyle w:val="FootnoteReference"/>
        </w:rPr>
        <w:footnoteRef/>
      </w:r>
      <w:r>
        <w:t xml:space="preserve"> </w:t>
      </w:r>
      <w:r w:rsidRPr="00B70257">
        <w:t xml:space="preserve">Dabas </w:t>
      </w:r>
      <w:r>
        <w:rPr>
          <w:bCs/>
          <w:lang w:eastAsia="lv-LV"/>
        </w:rPr>
        <w:t>eksperta sertifikāts Nr. 005 (</w:t>
      </w:r>
      <w:r w:rsidRPr="00B70257">
        <w:rPr>
          <w:bCs/>
          <w:lang w:eastAsia="lv-LV"/>
        </w:rPr>
        <w:t>derīgs līdz 2023. gada 13. maijam</w:t>
      </w:r>
      <w:r>
        <w:rPr>
          <w:bCs/>
          <w:lang w:eastAsia="lv-LV"/>
        </w:rPr>
        <w:t>); s</w:t>
      </w:r>
      <w:r w:rsidRPr="00B70257">
        <w:t>ertifikācija saskaņā ar Ministru kabineta 2010. gada 16. marta noteikumiem Nr. 267 “</w:t>
      </w:r>
      <w:r w:rsidRPr="00B70257">
        <w:rPr>
          <w:i/>
        </w:rPr>
        <w:t>Sugu un biotopu aizsardzības jomas ekspertu sertificēšanas un darbības uzraudzības kārtība</w:t>
      </w:r>
      <w:r w:rsidRPr="00B70257">
        <w:t>”.</w:t>
      </w:r>
      <w:bookmarkStart w:id="8" w:name="_Hlk17209433"/>
      <w:r w:rsidRPr="00B70257">
        <w:rPr>
          <w:bCs/>
          <w:lang w:eastAsia="lv-LV"/>
        </w:rPr>
        <w:t xml:space="preserve"> </w:t>
      </w:r>
      <w:bookmarkEnd w:id="8"/>
    </w:p>
  </w:footnote>
  <w:footnote w:id="17">
    <w:p w14:paraId="0EA177B8" w14:textId="77777777" w:rsidR="005A44D0" w:rsidRDefault="005A44D0" w:rsidP="006A5162">
      <w:pPr>
        <w:pStyle w:val="FootnoteText"/>
      </w:pPr>
      <w:r>
        <w:rPr>
          <w:rStyle w:val="FootnoteReference"/>
        </w:rPr>
        <w:footnoteRef/>
      </w:r>
      <w:r>
        <w:t xml:space="preserve"> </w:t>
      </w:r>
      <w:r>
        <w:t>Ziņojuma 31. pielikums.</w:t>
      </w:r>
    </w:p>
  </w:footnote>
  <w:footnote w:id="18">
    <w:p w14:paraId="0E7BAE3D" w14:textId="32A2F8FC" w:rsidR="005A44D0" w:rsidRDefault="005A44D0">
      <w:pPr>
        <w:pStyle w:val="FootnoteText"/>
      </w:pPr>
      <w:r>
        <w:rPr>
          <w:rStyle w:val="FootnoteReference"/>
        </w:rPr>
        <w:footnoteRef/>
      </w:r>
      <w:r>
        <w:t xml:space="preserve"> </w:t>
      </w:r>
      <w:r>
        <w:t>Ziņojuma 31. pielikums.</w:t>
      </w:r>
    </w:p>
  </w:footnote>
  <w:footnote w:id="19">
    <w:p w14:paraId="637A7541" w14:textId="77777777" w:rsidR="005A44D0" w:rsidRDefault="005A44D0">
      <w:pPr>
        <w:pStyle w:val="FootnoteText"/>
      </w:pPr>
      <w:r w:rsidRPr="00093EDB">
        <w:rPr>
          <w:rStyle w:val="FootnoteReference"/>
        </w:rPr>
        <w:footnoteRef/>
      </w:r>
      <w:r w:rsidRPr="00093EDB">
        <w:t xml:space="preserve"> </w:t>
      </w:r>
      <w:r w:rsidRPr="00093EDB">
        <w:t xml:space="preserve">Atbilstoši </w:t>
      </w:r>
      <w:r w:rsidRPr="00093EDB">
        <w:rPr>
          <w:rFonts w:eastAsia="Calibri" w:cs="Calibri"/>
        </w:rPr>
        <w:t>standartam LVS 190-2:2007 “</w:t>
      </w:r>
      <w:r w:rsidRPr="00093EDB">
        <w:rPr>
          <w:rFonts w:eastAsia="Calibri" w:cs="Calibri"/>
          <w:i/>
        </w:rPr>
        <w:t xml:space="preserve">Ceļu projektēšanas noteikumi. </w:t>
      </w:r>
      <w:proofErr w:type="spellStart"/>
      <w:r w:rsidRPr="00093EDB">
        <w:rPr>
          <w:rFonts w:eastAsia="Calibri" w:cs="Calibri"/>
          <w:i/>
        </w:rPr>
        <w:t>Normālprofili</w:t>
      </w:r>
      <w:proofErr w:type="spellEnd"/>
      <w:r w:rsidRPr="00093EDB">
        <w:rPr>
          <w:rFonts w:eastAsia="Calibri" w:cs="Calibri"/>
        </w:rPr>
        <w:t>”</w:t>
      </w:r>
      <w:r>
        <w:rPr>
          <w:rFonts w:eastAsia="Calibri" w:cs="Calibri"/>
        </w:rPr>
        <w:t>.</w:t>
      </w:r>
    </w:p>
  </w:footnote>
  <w:footnote w:id="20">
    <w:p w14:paraId="6BF12D48" w14:textId="38336BFD" w:rsidR="005A44D0" w:rsidRDefault="005A44D0" w:rsidP="0011499B">
      <w:pPr>
        <w:pStyle w:val="FootnoteText"/>
        <w:jc w:val="both"/>
      </w:pPr>
      <w:r>
        <w:rPr>
          <w:rStyle w:val="FootnoteReference"/>
        </w:rPr>
        <w:footnoteRef/>
      </w:r>
      <w:r>
        <w:t xml:space="preserve"> </w:t>
      </w:r>
      <w:r>
        <w:t>Ziņojuma 24. pielikums, Dabas aizsardzības pārvaldes 2019. gada 1. marta</w:t>
      </w:r>
      <w:r w:rsidRPr="0011499B">
        <w:t xml:space="preserve"> </w:t>
      </w:r>
      <w:r>
        <w:t>atzinums Nr. 4.9/1081/2019-N.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836F" w14:textId="77777777" w:rsidR="005A44D0" w:rsidRDefault="005A4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01036"/>
      <w:docPartObj>
        <w:docPartGallery w:val="Page Numbers (Top of Page)"/>
        <w:docPartUnique/>
      </w:docPartObj>
    </w:sdtPr>
    <w:sdtEndPr>
      <w:rPr>
        <w:noProof/>
      </w:rPr>
    </w:sdtEndPr>
    <w:sdtContent>
      <w:p w14:paraId="6A0ECBFB" w14:textId="212A4E9D" w:rsidR="005A44D0" w:rsidRDefault="005A44D0">
        <w:pPr>
          <w:pStyle w:val="Header"/>
          <w:jc w:val="center"/>
        </w:pPr>
        <w:r>
          <w:fldChar w:fldCharType="begin"/>
        </w:r>
        <w:r>
          <w:instrText xml:space="preserve"> PAGE   \* MERGEFORMAT </w:instrText>
        </w:r>
        <w:r>
          <w:fldChar w:fldCharType="separate"/>
        </w:r>
        <w:r w:rsidR="00AA3C81">
          <w:rPr>
            <w:noProof/>
          </w:rPr>
          <w:t>12</w:t>
        </w:r>
        <w:r>
          <w:rPr>
            <w:noProof/>
          </w:rPr>
          <w:fldChar w:fldCharType="end"/>
        </w:r>
      </w:p>
    </w:sdtContent>
  </w:sdt>
  <w:p w14:paraId="750CBD59" w14:textId="77777777" w:rsidR="005A44D0" w:rsidRDefault="005A4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3EA51" w14:textId="77777777" w:rsidR="005A44D0" w:rsidRDefault="005A4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132"/>
    <w:multiLevelType w:val="hybridMultilevel"/>
    <w:tmpl w:val="EFAC284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6C3130"/>
    <w:multiLevelType w:val="hybridMultilevel"/>
    <w:tmpl w:val="70609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B7E1D91"/>
    <w:multiLevelType w:val="hybridMultilevel"/>
    <w:tmpl w:val="29EE1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DC1B7C"/>
    <w:multiLevelType w:val="hybridMultilevel"/>
    <w:tmpl w:val="1EB68892"/>
    <w:lvl w:ilvl="0" w:tplc="0426000F">
      <w:start w:val="1"/>
      <w:numFmt w:val="decimal"/>
      <w:lvlText w:val="%1."/>
      <w:lvlJc w:val="left"/>
      <w:pPr>
        <w:ind w:left="778" w:hanging="360"/>
      </w:p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4" w15:restartNumberingAfterBreak="0">
    <w:nsid w:val="7F7C089F"/>
    <w:multiLevelType w:val="hybridMultilevel"/>
    <w:tmpl w:val="E56CE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C0"/>
    <w:rsid w:val="0000659F"/>
    <w:rsid w:val="00024B0C"/>
    <w:rsid w:val="00027054"/>
    <w:rsid w:val="0004131B"/>
    <w:rsid w:val="000468FC"/>
    <w:rsid w:val="000560B5"/>
    <w:rsid w:val="00093A22"/>
    <w:rsid w:val="00093EDB"/>
    <w:rsid w:val="00097475"/>
    <w:rsid w:val="000B2403"/>
    <w:rsid w:val="000C327D"/>
    <w:rsid w:val="000D2776"/>
    <w:rsid w:val="000D2BDE"/>
    <w:rsid w:val="000D3099"/>
    <w:rsid w:val="000E0322"/>
    <w:rsid w:val="000E6804"/>
    <w:rsid w:val="000F2294"/>
    <w:rsid w:val="0010466A"/>
    <w:rsid w:val="0011499B"/>
    <w:rsid w:val="00137860"/>
    <w:rsid w:val="001542D9"/>
    <w:rsid w:val="001624B9"/>
    <w:rsid w:val="00164D78"/>
    <w:rsid w:val="001828AC"/>
    <w:rsid w:val="001976FA"/>
    <w:rsid w:val="001D6A74"/>
    <w:rsid w:val="001E0ADC"/>
    <w:rsid w:val="002000AD"/>
    <w:rsid w:val="0020495D"/>
    <w:rsid w:val="00231BD8"/>
    <w:rsid w:val="00235519"/>
    <w:rsid w:val="0024539E"/>
    <w:rsid w:val="00261E96"/>
    <w:rsid w:val="00262F73"/>
    <w:rsid w:val="002650A2"/>
    <w:rsid w:val="00275E23"/>
    <w:rsid w:val="00281669"/>
    <w:rsid w:val="002A6B09"/>
    <w:rsid w:val="002B40A1"/>
    <w:rsid w:val="002E1260"/>
    <w:rsid w:val="002E2258"/>
    <w:rsid w:val="00306F17"/>
    <w:rsid w:val="003120E2"/>
    <w:rsid w:val="00325777"/>
    <w:rsid w:val="003423F7"/>
    <w:rsid w:val="00366E0D"/>
    <w:rsid w:val="00367C94"/>
    <w:rsid w:val="00370506"/>
    <w:rsid w:val="0037189D"/>
    <w:rsid w:val="003802D2"/>
    <w:rsid w:val="00397883"/>
    <w:rsid w:val="003A1B58"/>
    <w:rsid w:val="003B2239"/>
    <w:rsid w:val="004A24E9"/>
    <w:rsid w:val="004C6AC6"/>
    <w:rsid w:val="004D03D2"/>
    <w:rsid w:val="004E062B"/>
    <w:rsid w:val="004F35CD"/>
    <w:rsid w:val="00506F7E"/>
    <w:rsid w:val="0051254D"/>
    <w:rsid w:val="0051419B"/>
    <w:rsid w:val="00515A42"/>
    <w:rsid w:val="00553D32"/>
    <w:rsid w:val="005545CF"/>
    <w:rsid w:val="0056244F"/>
    <w:rsid w:val="005676F7"/>
    <w:rsid w:val="00573A45"/>
    <w:rsid w:val="00574AD0"/>
    <w:rsid w:val="00580653"/>
    <w:rsid w:val="005901A5"/>
    <w:rsid w:val="005A44D0"/>
    <w:rsid w:val="005C2367"/>
    <w:rsid w:val="005D3449"/>
    <w:rsid w:val="005D6940"/>
    <w:rsid w:val="005E4E9C"/>
    <w:rsid w:val="005E6ADE"/>
    <w:rsid w:val="00602516"/>
    <w:rsid w:val="00610632"/>
    <w:rsid w:val="006621CF"/>
    <w:rsid w:val="00671A61"/>
    <w:rsid w:val="00690AF9"/>
    <w:rsid w:val="00692A1A"/>
    <w:rsid w:val="006A5162"/>
    <w:rsid w:val="006B10FE"/>
    <w:rsid w:val="006C151C"/>
    <w:rsid w:val="006E2193"/>
    <w:rsid w:val="006E77AF"/>
    <w:rsid w:val="006F7342"/>
    <w:rsid w:val="007000DD"/>
    <w:rsid w:val="00705549"/>
    <w:rsid w:val="00705C58"/>
    <w:rsid w:val="007071B1"/>
    <w:rsid w:val="0071626D"/>
    <w:rsid w:val="00763D22"/>
    <w:rsid w:val="00773C8B"/>
    <w:rsid w:val="00774A18"/>
    <w:rsid w:val="00781F37"/>
    <w:rsid w:val="00785BAB"/>
    <w:rsid w:val="007A0E92"/>
    <w:rsid w:val="007A1F6C"/>
    <w:rsid w:val="007A2536"/>
    <w:rsid w:val="007A6A11"/>
    <w:rsid w:val="007A7643"/>
    <w:rsid w:val="007C4E7E"/>
    <w:rsid w:val="007F171A"/>
    <w:rsid w:val="007F26E6"/>
    <w:rsid w:val="008037CA"/>
    <w:rsid w:val="00830E88"/>
    <w:rsid w:val="00863BD0"/>
    <w:rsid w:val="0087045D"/>
    <w:rsid w:val="00882A49"/>
    <w:rsid w:val="008C0F24"/>
    <w:rsid w:val="008D7DA3"/>
    <w:rsid w:val="008E4284"/>
    <w:rsid w:val="009000D1"/>
    <w:rsid w:val="00910FEC"/>
    <w:rsid w:val="009118B3"/>
    <w:rsid w:val="00914EA8"/>
    <w:rsid w:val="00916EB7"/>
    <w:rsid w:val="009357E9"/>
    <w:rsid w:val="009414C7"/>
    <w:rsid w:val="00944396"/>
    <w:rsid w:val="00966FA9"/>
    <w:rsid w:val="00984D50"/>
    <w:rsid w:val="009B3A79"/>
    <w:rsid w:val="009C24B9"/>
    <w:rsid w:val="00A07135"/>
    <w:rsid w:val="00A2163E"/>
    <w:rsid w:val="00A52F16"/>
    <w:rsid w:val="00A67314"/>
    <w:rsid w:val="00A7175E"/>
    <w:rsid w:val="00A82F69"/>
    <w:rsid w:val="00A903FA"/>
    <w:rsid w:val="00A93E25"/>
    <w:rsid w:val="00A93F75"/>
    <w:rsid w:val="00AA3C81"/>
    <w:rsid w:val="00AB073E"/>
    <w:rsid w:val="00AB3E05"/>
    <w:rsid w:val="00AB448F"/>
    <w:rsid w:val="00AB7A68"/>
    <w:rsid w:val="00AD57D5"/>
    <w:rsid w:val="00AD6A29"/>
    <w:rsid w:val="00AD6D10"/>
    <w:rsid w:val="00AE33D3"/>
    <w:rsid w:val="00AE40AA"/>
    <w:rsid w:val="00AF2B7E"/>
    <w:rsid w:val="00AF52F4"/>
    <w:rsid w:val="00B00B27"/>
    <w:rsid w:val="00B03EF8"/>
    <w:rsid w:val="00B06FF4"/>
    <w:rsid w:val="00B12086"/>
    <w:rsid w:val="00B17168"/>
    <w:rsid w:val="00B465F7"/>
    <w:rsid w:val="00B478C4"/>
    <w:rsid w:val="00B6448F"/>
    <w:rsid w:val="00BA11A9"/>
    <w:rsid w:val="00BA58E9"/>
    <w:rsid w:val="00BB313D"/>
    <w:rsid w:val="00BC355E"/>
    <w:rsid w:val="00BC4C40"/>
    <w:rsid w:val="00BD2E34"/>
    <w:rsid w:val="00BD367D"/>
    <w:rsid w:val="00BF2FCA"/>
    <w:rsid w:val="00BF569C"/>
    <w:rsid w:val="00C06442"/>
    <w:rsid w:val="00C12DC0"/>
    <w:rsid w:val="00C17FCF"/>
    <w:rsid w:val="00C32F6F"/>
    <w:rsid w:val="00C449E5"/>
    <w:rsid w:val="00C53445"/>
    <w:rsid w:val="00C610A3"/>
    <w:rsid w:val="00C6211B"/>
    <w:rsid w:val="00C82E56"/>
    <w:rsid w:val="00C83477"/>
    <w:rsid w:val="00C83BBE"/>
    <w:rsid w:val="00C85047"/>
    <w:rsid w:val="00C91093"/>
    <w:rsid w:val="00CC370A"/>
    <w:rsid w:val="00CD1ED0"/>
    <w:rsid w:val="00D25A21"/>
    <w:rsid w:val="00D401F3"/>
    <w:rsid w:val="00D410A9"/>
    <w:rsid w:val="00D5606C"/>
    <w:rsid w:val="00DB17E9"/>
    <w:rsid w:val="00DB2711"/>
    <w:rsid w:val="00DD66F7"/>
    <w:rsid w:val="00DE0109"/>
    <w:rsid w:val="00DE09FF"/>
    <w:rsid w:val="00E00746"/>
    <w:rsid w:val="00E21454"/>
    <w:rsid w:val="00E336D5"/>
    <w:rsid w:val="00E343FC"/>
    <w:rsid w:val="00E64695"/>
    <w:rsid w:val="00E84F4E"/>
    <w:rsid w:val="00EB15D5"/>
    <w:rsid w:val="00EB37BB"/>
    <w:rsid w:val="00EC10F5"/>
    <w:rsid w:val="00EE08E3"/>
    <w:rsid w:val="00EF3F54"/>
    <w:rsid w:val="00F0610D"/>
    <w:rsid w:val="00F0711C"/>
    <w:rsid w:val="00F231C2"/>
    <w:rsid w:val="00F42C59"/>
    <w:rsid w:val="00F4365D"/>
    <w:rsid w:val="00F525C8"/>
    <w:rsid w:val="00F57106"/>
    <w:rsid w:val="00F61061"/>
    <w:rsid w:val="00F77819"/>
    <w:rsid w:val="00F84329"/>
    <w:rsid w:val="00FB6730"/>
    <w:rsid w:val="00FD1E24"/>
    <w:rsid w:val="00FE06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86E3B"/>
  <w15:chartTrackingRefBased/>
  <w15:docId w15:val="{70A5D326-C9BA-4FB5-8919-6A00A5D0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5D5"/>
    <w:pPr>
      <w:keepNext/>
      <w:keepLines/>
      <w:spacing w:after="0" w:line="240" w:lineRule="auto"/>
      <w:outlineLvl w:val="0"/>
    </w:pPr>
    <w:rPr>
      <w:rFonts w:asciiTheme="majorHAnsi" w:eastAsiaTheme="majorEastAsia" w:hAnsiTheme="majorHAnsi"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336D5"/>
    <w:pPr>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E336D5"/>
    <w:pPr>
      <w:spacing w:after="0" w:line="240" w:lineRule="auto"/>
    </w:pPr>
  </w:style>
  <w:style w:type="character" w:customStyle="1" w:styleId="FootnoteTextChar">
    <w:name w:val="Footnote Text Char"/>
    <w:basedOn w:val="DefaultParagraphFont"/>
    <w:link w:val="FootnoteText"/>
    <w:uiPriority w:val="99"/>
    <w:semiHidden/>
    <w:rsid w:val="00E336D5"/>
  </w:style>
  <w:style w:type="character" w:styleId="FootnoteReference">
    <w:name w:val="footnote reference"/>
    <w:basedOn w:val="DefaultParagraphFont"/>
    <w:uiPriority w:val="99"/>
    <w:semiHidden/>
    <w:unhideWhenUsed/>
    <w:rsid w:val="00E336D5"/>
    <w:rPr>
      <w:vertAlign w:val="superscript"/>
    </w:rPr>
  </w:style>
  <w:style w:type="character" w:styleId="Hyperlink">
    <w:name w:val="Hyperlink"/>
    <w:basedOn w:val="DefaultParagraphFont"/>
    <w:uiPriority w:val="99"/>
    <w:unhideWhenUsed/>
    <w:rsid w:val="00506F7E"/>
    <w:rPr>
      <w:color w:val="0000FF"/>
      <w:u w:val="single"/>
    </w:rPr>
  </w:style>
  <w:style w:type="paragraph" w:styleId="ListParagraph">
    <w:name w:val="List Paragraph"/>
    <w:aliases w:val="Strip,Párrafo de lista"/>
    <w:basedOn w:val="Normal"/>
    <w:link w:val="ListParagraphChar"/>
    <w:uiPriority w:val="34"/>
    <w:qFormat/>
    <w:rsid w:val="001E0ADC"/>
    <w:pPr>
      <w:spacing w:after="0" w:line="240" w:lineRule="auto"/>
      <w:ind w:left="720"/>
      <w:contextualSpacing/>
    </w:pPr>
    <w:rPr>
      <w:rFonts w:ascii="Calibri" w:hAnsi="Calibri" w:cstheme="minorBidi"/>
      <w:sz w:val="24"/>
      <w:szCs w:val="22"/>
    </w:rPr>
  </w:style>
  <w:style w:type="character" w:customStyle="1" w:styleId="ListParagraphChar">
    <w:name w:val="List Paragraph Char"/>
    <w:aliases w:val="Strip Char,Párrafo de lista Char"/>
    <w:link w:val="ListParagraph"/>
    <w:uiPriority w:val="34"/>
    <w:locked/>
    <w:rsid w:val="001E0ADC"/>
    <w:rPr>
      <w:rFonts w:ascii="Calibri" w:hAnsi="Calibri" w:cstheme="minorBidi"/>
      <w:sz w:val="24"/>
      <w:szCs w:val="22"/>
    </w:rPr>
  </w:style>
  <w:style w:type="character" w:customStyle="1" w:styleId="Heading1Char">
    <w:name w:val="Heading 1 Char"/>
    <w:basedOn w:val="DefaultParagraphFont"/>
    <w:link w:val="Heading1"/>
    <w:uiPriority w:val="9"/>
    <w:rsid w:val="00EB15D5"/>
    <w:rPr>
      <w:rFonts w:asciiTheme="majorHAnsi" w:eastAsiaTheme="majorEastAsia" w:hAnsiTheme="majorHAnsi" w:cstheme="majorBidi"/>
      <w:b/>
      <w:bCs/>
      <w:caps/>
      <w:sz w:val="28"/>
      <w:szCs w:val="28"/>
    </w:rPr>
  </w:style>
  <w:style w:type="paragraph" w:styleId="Header">
    <w:name w:val="header"/>
    <w:basedOn w:val="Normal"/>
    <w:link w:val="HeaderChar"/>
    <w:uiPriority w:val="99"/>
    <w:unhideWhenUsed/>
    <w:rsid w:val="003978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883"/>
  </w:style>
  <w:style w:type="paragraph" w:styleId="Footer">
    <w:name w:val="footer"/>
    <w:basedOn w:val="Normal"/>
    <w:link w:val="FooterChar"/>
    <w:uiPriority w:val="99"/>
    <w:unhideWhenUsed/>
    <w:rsid w:val="003978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883"/>
  </w:style>
  <w:style w:type="character" w:customStyle="1" w:styleId="UnresolvedMention1">
    <w:name w:val="Unresolved Mention1"/>
    <w:basedOn w:val="DefaultParagraphFont"/>
    <w:uiPriority w:val="99"/>
    <w:semiHidden/>
    <w:unhideWhenUsed/>
    <w:rsid w:val="00BC4C40"/>
    <w:rPr>
      <w:color w:val="605E5C"/>
      <w:shd w:val="clear" w:color="auto" w:fill="E1DFDD"/>
    </w:rPr>
  </w:style>
  <w:style w:type="table" w:styleId="TableGrid">
    <w:name w:val="Table Grid"/>
    <w:basedOn w:val="TableNormal"/>
    <w:uiPriority w:val="39"/>
    <w:rsid w:val="0087045D"/>
    <w:pPr>
      <w:spacing w:after="0"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5D"/>
    <w:rPr>
      <w:rFonts w:ascii="Segoe UI" w:hAnsi="Segoe UI" w:cs="Segoe UI"/>
      <w:sz w:val="18"/>
      <w:szCs w:val="18"/>
    </w:rPr>
  </w:style>
  <w:style w:type="character" w:styleId="CommentReference">
    <w:name w:val="annotation reference"/>
    <w:basedOn w:val="DefaultParagraphFont"/>
    <w:uiPriority w:val="99"/>
    <w:semiHidden/>
    <w:unhideWhenUsed/>
    <w:rsid w:val="00966FA9"/>
    <w:rPr>
      <w:sz w:val="16"/>
      <w:szCs w:val="16"/>
    </w:rPr>
  </w:style>
  <w:style w:type="paragraph" w:styleId="CommentText">
    <w:name w:val="annotation text"/>
    <w:basedOn w:val="Normal"/>
    <w:link w:val="CommentTextChar"/>
    <w:uiPriority w:val="99"/>
    <w:semiHidden/>
    <w:unhideWhenUsed/>
    <w:rsid w:val="00966FA9"/>
    <w:pPr>
      <w:spacing w:line="240" w:lineRule="auto"/>
    </w:pPr>
  </w:style>
  <w:style w:type="character" w:customStyle="1" w:styleId="CommentTextChar">
    <w:name w:val="Comment Text Char"/>
    <w:basedOn w:val="DefaultParagraphFont"/>
    <w:link w:val="CommentText"/>
    <w:uiPriority w:val="99"/>
    <w:semiHidden/>
    <w:rsid w:val="00966FA9"/>
  </w:style>
  <w:style w:type="paragraph" w:styleId="CommentSubject">
    <w:name w:val="annotation subject"/>
    <w:basedOn w:val="CommentText"/>
    <w:next w:val="CommentText"/>
    <w:link w:val="CommentSubjectChar"/>
    <w:uiPriority w:val="99"/>
    <w:semiHidden/>
    <w:unhideWhenUsed/>
    <w:rsid w:val="00966FA9"/>
    <w:rPr>
      <w:b/>
      <w:bCs/>
    </w:rPr>
  </w:style>
  <w:style w:type="character" w:customStyle="1" w:styleId="CommentSubjectChar">
    <w:name w:val="Comment Subject Char"/>
    <w:basedOn w:val="CommentTextChar"/>
    <w:link w:val="CommentSubject"/>
    <w:uiPriority w:val="99"/>
    <w:semiHidden/>
    <w:rsid w:val="00966FA9"/>
    <w:rPr>
      <w:b/>
      <w:bCs/>
    </w:rPr>
  </w:style>
  <w:style w:type="character" w:styleId="FollowedHyperlink">
    <w:name w:val="FollowedHyperlink"/>
    <w:basedOn w:val="DefaultParagraphFont"/>
    <w:uiPriority w:val="99"/>
    <w:semiHidden/>
    <w:unhideWhenUsed/>
    <w:rsid w:val="002B4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3039">
      <w:bodyDiv w:val="1"/>
      <w:marLeft w:val="0"/>
      <w:marRight w:val="0"/>
      <w:marTop w:val="0"/>
      <w:marBottom w:val="0"/>
      <w:divBdr>
        <w:top w:val="none" w:sz="0" w:space="0" w:color="auto"/>
        <w:left w:val="none" w:sz="0" w:space="0" w:color="auto"/>
        <w:bottom w:val="none" w:sz="0" w:space="0" w:color="auto"/>
        <w:right w:val="none" w:sz="0" w:space="0" w:color="auto"/>
      </w:divBdr>
    </w:div>
    <w:div w:id="16177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2/43/oj/?locale=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dir/1992/43/oj/?locale=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dir/1992/43/oj/?locale=LV" TargetMode="External"/><Relationship Id="rId2" Type="http://schemas.openxmlformats.org/officeDocument/2006/relationships/hyperlink" Target="http://eur-lex.europa.eu/eli/dir/1992/43/oj/?locale=LV" TargetMode="External"/><Relationship Id="rId1" Type="http://schemas.openxmlformats.org/officeDocument/2006/relationships/hyperlink" Target="http://www.environment.lv/lv/jaunumi/aktualie-ietekmes-uz-vidi-novertejumi-ivn-un-sabiedriskas-apspriesanas/transporta-parvada-tilta-izbuve-par-lielupi-un-driksas-upi-jelgavas-pilseta" TargetMode="External"/><Relationship Id="rId6" Type="http://schemas.openxmlformats.org/officeDocument/2006/relationships/hyperlink" Target="http://www.jelgava.lv/files/jelgava_skaitlos_par_2017_gadu.pdf" TargetMode="External"/><Relationship Id="rId5" Type="http://schemas.openxmlformats.org/officeDocument/2006/relationships/hyperlink" Target="http://natura2000.eea.europa.eu/Natura2000/SDF.aspx?site=LV0523100" TargetMode="External"/><Relationship Id="rId4" Type="http://schemas.openxmlformats.org/officeDocument/2006/relationships/hyperlink" Target="http://eur-lex.europa.eu/eli/dir/1992/4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A80A-C23A-4B93-B337-DBFDFDA1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18847</Words>
  <Characters>10743</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Informatīvais ziņojums “Par Jelgavas pilsētas pašvaldības paredzētās darbības – transporta pārvada (tilta) izbūves pār Lielupi un Driksas upi Jelgavas pilsētā īstenošanu”</vt:lpstr>
    </vt:vector>
  </TitlesOfParts>
  <Company>VARAM</Company>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Jelgavas pilsētas pašvaldības paredzētās darbības – transporta pārvada (tilta) izbūves pār Lielupi un Driksas upi Jelgavas pilsētā īstenošanu”</dc:title>
  <dc:subject/>
  <dc:creator>Inga.Belasova@varam.gov.lv</dc:creator>
  <cp:keywords/>
  <dc:description>67026545, inga.belasova@varam.gov.lv</dc:description>
  <cp:lastModifiedBy>Dmitrijs Dmitrijevs</cp:lastModifiedBy>
  <cp:revision>6</cp:revision>
  <dcterms:created xsi:type="dcterms:W3CDTF">2019-09-26T12:05:00Z</dcterms:created>
  <dcterms:modified xsi:type="dcterms:W3CDTF">2019-09-27T06:02:00Z</dcterms:modified>
</cp:coreProperties>
</file>