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062EA9" w:rsidRPr="0085135D" w:rsidTr="00954108">
        <w:trPr>
          <w:trHeight w:val="345"/>
          <w:jc w:val="center"/>
        </w:trPr>
        <w:tc>
          <w:tcPr>
            <w:tcW w:w="12985" w:type="dxa"/>
            <w:tcBorders>
              <w:bottom w:val="single" w:sz="6" w:space="0" w:color="000000"/>
            </w:tcBorders>
          </w:tcPr>
          <w:p w:rsidR="00062EA9" w:rsidRPr="0085135D" w:rsidRDefault="00062EA9" w:rsidP="00954108">
            <w:pPr>
              <w:pStyle w:val="naisnod"/>
              <w:spacing w:before="0" w:after="0"/>
              <w:ind w:left="57" w:right="57"/>
            </w:pPr>
            <w:bookmarkStart w:id="0" w:name="OLE_LINK1"/>
            <w:bookmarkStart w:id="1" w:name="OLE_LINK2"/>
            <w:r w:rsidRPr="0085135D">
              <w:t>Izziņa par atzinumos sniegtajiem iebildumiem</w:t>
            </w:r>
            <w:bookmarkEnd w:id="0"/>
            <w:bookmarkEnd w:id="1"/>
          </w:p>
          <w:p w:rsidR="00062EA9" w:rsidRPr="0085135D" w:rsidRDefault="00062EA9" w:rsidP="00954108">
            <w:pPr>
              <w:pStyle w:val="naisnod"/>
              <w:spacing w:before="0" w:after="0"/>
              <w:ind w:left="57" w:right="57"/>
            </w:pPr>
            <w:r w:rsidRPr="0085135D">
              <w:t xml:space="preserve">noteikumu projekts </w:t>
            </w:r>
            <w:r>
              <w:t xml:space="preserve">“Grozījumi Ministru kabineta </w:t>
            </w:r>
            <w:r w:rsidRPr="006C1E69">
              <w:t xml:space="preserve">2014. gada </w:t>
            </w:r>
            <w:r>
              <w:t>14</w:t>
            </w:r>
            <w:r w:rsidRPr="0054415C">
              <w:t>.</w:t>
            </w:r>
            <w:r>
              <w:t> okto</w:t>
            </w:r>
            <w:r w:rsidRPr="0054415C">
              <w:t xml:space="preserve">bra </w:t>
            </w:r>
            <w:r w:rsidRPr="004109E4">
              <w:t>noteikumos Nr.631 “Latvijas Republikas iekšējo jūras ūdeņu, teritoriālās jūras un ekskluzīvās ekonomiskās zonas būvju būvnoteikumi”</w:t>
            </w:r>
            <w:r>
              <w:t>”</w:t>
            </w:r>
          </w:p>
        </w:tc>
      </w:tr>
    </w:tbl>
    <w:p w:rsidR="00062EA9" w:rsidRDefault="00062EA9" w:rsidP="00062EA9">
      <w:pPr>
        <w:pStyle w:val="naisc"/>
        <w:spacing w:before="0" w:after="0"/>
        <w:ind w:left="57" w:right="57"/>
      </w:pPr>
      <w:r w:rsidRPr="0085135D">
        <w:t>(dokumenta veids un nosaukums)</w:t>
      </w:r>
    </w:p>
    <w:p w:rsidR="00062EA9" w:rsidRPr="0085135D" w:rsidRDefault="00062EA9" w:rsidP="00062EA9">
      <w:pPr>
        <w:pStyle w:val="naisc"/>
        <w:spacing w:before="0" w:after="0"/>
        <w:ind w:left="57" w:right="57"/>
      </w:pPr>
    </w:p>
    <w:p w:rsidR="00062EA9" w:rsidRPr="00FE7FA0" w:rsidRDefault="00062EA9" w:rsidP="00062EA9">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062EA9" w:rsidRPr="0085135D" w:rsidTr="00954108">
        <w:tc>
          <w:tcPr>
            <w:tcW w:w="675" w:type="dxa"/>
            <w:tcBorders>
              <w:top w:val="single" w:sz="6" w:space="0" w:color="000000"/>
              <w:left w:val="single" w:sz="6" w:space="0" w:color="000000"/>
              <w:bottom w:val="single" w:sz="6" w:space="0" w:color="000000"/>
              <w:right w:val="single" w:sz="6" w:space="0" w:color="000000"/>
            </w:tcBorders>
            <w:vAlign w:val="center"/>
          </w:tcPr>
          <w:p w:rsidR="00062EA9" w:rsidRPr="00C6676A" w:rsidRDefault="00062EA9" w:rsidP="00954108">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062EA9" w:rsidRPr="00C6676A" w:rsidRDefault="00062EA9" w:rsidP="00954108">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062EA9" w:rsidRPr="00C6676A" w:rsidRDefault="00062EA9" w:rsidP="00954108">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062EA9" w:rsidRPr="00C6676A" w:rsidRDefault="00062EA9" w:rsidP="00954108">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rsidR="00062EA9" w:rsidRPr="00C6676A" w:rsidRDefault="00062EA9" w:rsidP="00954108">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rsidR="00062EA9" w:rsidRPr="00C6676A" w:rsidRDefault="00062EA9" w:rsidP="00954108">
            <w:pPr>
              <w:ind w:left="57" w:right="57"/>
              <w:contextualSpacing/>
              <w:jc w:val="center"/>
              <w:rPr>
                <w:sz w:val="22"/>
                <w:szCs w:val="22"/>
              </w:rPr>
            </w:pPr>
            <w:r w:rsidRPr="00C6676A">
              <w:rPr>
                <w:sz w:val="22"/>
                <w:szCs w:val="22"/>
              </w:rPr>
              <w:t>Projekta attiecīgā punkta (panta) galīgā redakcija</w:t>
            </w:r>
          </w:p>
        </w:tc>
      </w:tr>
      <w:tr w:rsidR="00062EA9" w:rsidRPr="0085135D" w:rsidTr="00954108">
        <w:tc>
          <w:tcPr>
            <w:tcW w:w="675" w:type="dxa"/>
            <w:tcBorders>
              <w:top w:val="single" w:sz="6" w:space="0" w:color="000000"/>
              <w:left w:val="single" w:sz="6" w:space="0" w:color="000000"/>
              <w:bottom w:val="single" w:sz="6" w:space="0" w:color="000000"/>
              <w:right w:val="single" w:sz="6" w:space="0" w:color="000000"/>
            </w:tcBorders>
          </w:tcPr>
          <w:p w:rsidR="00062EA9" w:rsidRPr="0085135D" w:rsidRDefault="00062EA9" w:rsidP="00954108">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rsidR="00062EA9" w:rsidRPr="0085135D" w:rsidRDefault="00062EA9" w:rsidP="00954108">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rsidR="00062EA9" w:rsidRPr="0085135D" w:rsidRDefault="00062EA9" w:rsidP="00954108">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rsidR="00062EA9" w:rsidRPr="0085135D" w:rsidRDefault="00062EA9" w:rsidP="00954108">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rsidR="00062EA9" w:rsidRPr="0085135D" w:rsidRDefault="00062EA9" w:rsidP="00954108">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rsidR="00062EA9" w:rsidRPr="0085135D" w:rsidRDefault="00062EA9" w:rsidP="00954108">
            <w:pPr>
              <w:pStyle w:val="naisc"/>
              <w:spacing w:before="0" w:after="0"/>
              <w:ind w:left="57" w:right="57"/>
              <w:contextualSpacing/>
            </w:pPr>
            <w:r w:rsidRPr="0085135D">
              <w:t>6</w:t>
            </w:r>
          </w:p>
        </w:tc>
      </w:tr>
      <w:tr w:rsidR="00062EA9" w:rsidRPr="0085135D" w:rsidTr="00954108">
        <w:tc>
          <w:tcPr>
            <w:tcW w:w="675" w:type="dxa"/>
            <w:tcBorders>
              <w:top w:val="single" w:sz="6" w:space="0" w:color="000000"/>
              <w:left w:val="single" w:sz="6" w:space="0" w:color="000000"/>
              <w:bottom w:val="single" w:sz="6" w:space="0" w:color="000000"/>
              <w:right w:val="single" w:sz="6" w:space="0" w:color="000000"/>
            </w:tcBorders>
          </w:tcPr>
          <w:p w:rsidR="00062EA9" w:rsidRPr="0085135D" w:rsidRDefault="00062EA9" w:rsidP="00954108">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rsidR="00062EA9" w:rsidRPr="0085135D" w:rsidRDefault="00062EA9" w:rsidP="00954108">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062EA9" w:rsidRPr="009878B9" w:rsidRDefault="00062EA9" w:rsidP="00954108">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062EA9" w:rsidRPr="0031644E" w:rsidRDefault="00062EA9" w:rsidP="00954108">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rsidR="00062EA9" w:rsidRPr="0085135D" w:rsidRDefault="00062EA9" w:rsidP="00954108">
            <w:pPr>
              <w:ind w:left="57" w:right="57"/>
              <w:contextualSpacing/>
              <w:jc w:val="both"/>
            </w:pPr>
          </w:p>
        </w:tc>
        <w:tc>
          <w:tcPr>
            <w:tcW w:w="2100" w:type="dxa"/>
            <w:tcBorders>
              <w:top w:val="single" w:sz="4" w:space="0" w:color="auto"/>
              <w:left w:val="single" w:sz="4" w:space="0" w:color="auto"/>
              <w:bottom w:val="single" w:sz="4" w:space="0" w:color="auto"/>
            </w:tcBorders>
          </w:tcPr>
          <w:p w:rsidR="00062EA9" w:rsidRPr="0085135D" w:rsidRDefault="00062EA9" w:rsidP="00954108">
            <w:pPr>
              <w:pStyle w:val="naisc"/>
              <w:spacing w:before="0" w:after="0"/>
              <w:ind w:left="57" w:right="57"/>
              <w:contextualSpacing/>
              <w:jc w:val="both"/>
            </w:pPr>
            <w:r>
              <w:t>-</w:t>
            </w:r>
          </w:p>
        </w:tc>
      </w:tr>
    </w:tbl>
    <w:p w:rsidR="00062EA9" w:rsidRPr="00C6676A" w:rsidRDefault="00062EA9" w:rsidP="00062EA9">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062EA9" w:rsidRPr="00C6676A" w:rsidTr="00954108">
        <w:tc>
          <w:tcPr>
            <w:tcW w:w="3936" w:type="dxa"/>
          </w:tcPr>
          <w:p w:rsidR="00062EA9" w:rsidRPr="00C6676A" w:rsidRDefault="00062EA9" w:rsidP="00954108">
            <w:pPr>
              <w:pStyle w:val="naisf"/>
              <w:spacing w:before="0" w:after="0"/>
              <w:ind w:firstLine="0"/>
            </w:pPr>
            <w:r w:rsidRPr="00C6676A">
              <w:t xml:space="preserve">Datums  </w:t>
            </w:r>
          </w:p>
        </w:tc>
        <w:tc>
          <w:tcPr>
            <w:tcW w:w="10523" w:type="dxa"/>
            <w:gridSpan w:val="2"/>
          </w:tcPr>
          <w:p w:rsidR="00062EA9" w:rsidRPr="00C6676A" w:rsidRDefault="00062EA9" w:rsidP="00954108">
            <w:pPr>
              <w:pStyle w:val="NormalWeb"/>
              <w:spacing w:before="0" w:beforeAutospacing="0" w:after="0" w:afterAutospacing="0"/>
              <w:ind w:left="33"/>
              <w:jc w:val="both"/>
            </w:pPr>
            <w:r>
              <w:t>21.08.2019.</w:t>
            </w:r>
          </w:p>
        </w:tc>
      </w:tr>
      <w:tr w:rsidR="00062EA9" w:rsidRPr="00C6676A" w:rsidTr="00954108">
        <w:trPr>
          <w:trHeight w:val="135"/>
        </w:trPr>
        <w:tc>
          <w:tcPr>
            <w:tcW w:w="3936" w:type="dxa"/>
          </w:tcPr>
          <w:p w:rsidR="00062EA9" w:rsidRPr="00C6676A" w:rsidRDefault="00062EA9" w:rsidP="00954108">
            <w:pPr>
              <w:pStyle w:val="naisf"/>
              <w:spacing w:before="0" w:after="0"/>
              <w:ind w:firstLine="0"/>
            </w:pPr>
          </w:p>
        </w:tc>
        <w:tc>
          <w:tcPr>
            <w:tcW w:w="10523" w:type="dxa"/>
            <w:gridSpan w:val="2"/>
          </w:tcPr>
          <w:p w:rsidR="00062EA9" w:rsidRPr="00C6676A" w:rsidRDefault="00062EA9" w:rsidP="00954108">
            <w:pPr>
              <w:pStyle w:val="NormalWeb"/>
              <w:spacing w:before="0" w:beforeAutospacing="0" w:after="0" w:afterAutospacing="0"/>
            </w:pPr>
          </w:p>
        </w:tc>
      </w:tr>
      <w:tr w:rsidR="00062EA9" w:rsidRPr="00C6676A" w:rsidTr="00954108">
        <w:tc>
          <w:tcPr>
            <w:tcW w:w="3936" w:type="dxa"/>
          </w:tcPr>
          <w:p w:rsidR="00062EA9" w:rsidRPr="00C6676A" w:rsidRDefault="00062EA9" w:rsidP="00954108">
            <w:pPr>
              <w:pStyle w:val="naiskr"/>
              <w:spacing w:before="0" w:after="0"/>
              <w:ind w:right="-108"/>
            </w:pPr>
            <w:r w:rsidRPr="00C6676A">
              <w:t xml:space="preserve">Saskaņošanas dalībnieki   </w:t>
            </w:r>
          </w:p>
        </w:tc>
        <w:tc>
          <w:tcPr>
            <w:tcW w:w="10523" w:type="dxa"/>
            <w:gridSpan w:val="2"/>
          </w:tcPr>
          <w:p w:rsidR="00062EA9" w:rsidRPr="00C6676A" w:rsidRDefault="00062EA9" w:rsidP="00954108">
            <w:pPr>
              <w:pStyle w:val="naiskr"/>
              <w:spacing w:before="0" w:after="0"/>
              <w:jc w:val="both"/>
              <w:rPr>
                <w:b/>
              </w:rPr>
            </w:pPr>
            <w:r w:rsidRPr="00112567">
              <w:t xml:space="preserve">Tieslietu ministrija, Finanšu ministrija, </w:t>
            </w:r>
            <w:r>
              <w:t xml:space="preserve">Satiksmes ministrija, </w:t>
            </w:r>
            <w:r w:rsidRPr="00112567">
              <w:t>Vides aizsardzības un reģionālās attīstības ministrija,</w:t>
            </w:r>
            <w:r>
              <w:t xml:space="preserve"> Zemkopības ministrija,</w:t>
            </w:r>
            <w:r w:rsidRPr="00112567">
              <w:t xml:space="preserve"> Latvijas Brīvo arodbiedrību savienība, Latvijas Pašvaldību savienība</w:t>
            </w:r>
            <w:r>
              <w:t xml:space="preserve">, </w:t>
            </w:r>
            <w:r w:rsidRPr="00F56831">
              <w:t xml:space="preserve">Latvijas </w:t>
            </w:r>
            <w:r>
              <w:t>Tirdzniecības un rūpniecības kamera</w:t>
            </w:r>
          </w:p>
        </w:tc>
      </w:tr>
      <w:tr w:rsidR="00062EA9" w:rsidRPr="00C6676A" w:rsidTr="00954108">
        <w:trPr>
          <w:trHeight w:val="285"/>
        </w:trPr>
        <w:tc>
          <w:tcPr>
            <w:tcW w:w="3936" w:type="dxa"/>
          </w:tcPr>
          <w:p w:rsidR="00062EA9" w:rsidRPr="00C6676A" w:rsidRDefault="00062EA9" w:rsidP="00954108">
            <w:pPr>
              <w:pStyle w:val="naiskr"/>
              <w:spacing w:before="0" w:after="0"/>
              <w:ind w:right="-108"/>
            </w:pPr>
          </w:p>
        </w:tc>
        <w:tc>
          <w:tcPr>
            <w:tcW w:w="10523" w:type="dxa"/>
            <w:gridSpan w:val="2"/>
          </w:tcPr>
          <w:p w:rsidR="00062EA9" w:rsidRPr="00C6676A" w:rsidRDefault="00062EA9" w:rsidP="00954108">
            <w:pPr>
              <w:pStyle w:val="naiskr"/>
              <w:spacing w:before="0" w:after="0"/>
              <w:ind w:left="33" w:right="-108"/>
            </w:pPr>
          </w:p>
        </w:tc>
      </w:tr>
      <w:tr w:rsidR="00062EA9" w:rsidRPr="00C6676A" w:rsidTr="00954108">
        <w:trPr>
          <w:trHeight w:val="285"/>
        </w:trPr>
        <w:tc>
          <w:tcPr>
            <w:tcW w:w="6708" w:type="dxa"/>
            <w:gridSpan w:val="2"/>
          </w:tcPr>
          <w:p w:rsidR="00062EA9" w:rsidRPr="00C6676A" w:rsidRDefault="00062EA9" w:rsidP="00954108">
            <w:pPr>
              <w:pStyle w:val="naiskr"/>
              <w:spacing w:before="0" w:after="0"/>
            </w:pPr>
            <w:r w:rsidRPr="00C6676A">
              <w:t>Saskaņošanas dalībnieki izskatīja šādu ministriju (citu institūciju) iebildumus</w:t>
            </w:r>
          </w:p>
        </w:tc>
        <w:tc>
          <w:tcPr>
            <w:tcW w:w="7751" w:type="dxa"/>
          </w:tcPr>
          <w:p w:rsidR="00062EA9" w:rsidRPr="00C6676A" w:rsidRDefault="00062EA9" w:rsidP="00954108">
            <w:pPr>
              <w:pStyle w:val="naiskr"/>
              <w:spacing w:before="0" w:after="0"/>
              <w:rPr>
                <w:b/>
              </w:rPr>
            </w:pPr>
            <w:r w:rsidRPr="00112567">
              <w:t>Tieslietu ministrijas</w:t>
            </w:r>
            <w:r>
              <w:t>, Finanšu ministrijas</w:t>
            </w:r>
          </w:p>
        </w:tc>
      </w:tr>
      <w:tr w:rsidR="00062EA9" w:rsidRPr="00C6676A" w:rsidTr="00954108">
        <w:trPr>
          <w:trHeight w:val="95"/>
        </w:trPr>
        <w:tc>
          <w:tcPr>
            <w:tcW w:w="6708" w:type="dxa"/>
            <w:gridSpan w:val="2"/>
          </w:tcPr>
          <w:p w:rsidR="00062EA9" w:rsidRPr="00C6676A" w:rsidRDefault="00062EA9" w:rsidP="00954108">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rsidR="00062EA9" w:rsidRDefault="00062EA9" w:rsidP="00954108">
            <w:pPr>
              <w:ind w:right="-108"/>
            </w:pPr>
          </w:p>
          <w:p w:rsidR="00062EA9" w:rsidRPr="00C6676A" w:rsidRDefault="00062EA9" w:rsidP="00954108">
            <w:pPr>
              <w:ind w:right="-108"/>
            </w:pPr>
            <w:r w:rsidRPr="00E45432">
              <w:t>Vides aizsardzības un reģionālās attīstības ministrija, Zemkopības ministrija, Latvijas Brīvo arodbiedrību savienība</w:t>
            </w:r>
            <w:r>
              <w:t>,</w:t>
            </w:r>
            <w:r w:rsidRPr="00E45432">
              <w:t xml:space="preserve"> Latvijas Tirdzniecības un rūpniecības kamera</w:t>
            </w:r>
            <w:r>
              <w:t xml:space="preserve"> </w:t>
            </w:r>
          </w:p>
        </w:tc>
      </w:tr>
    </w:tbl>
    <w:p w:rsidR="00062EA9" w:rsidRDefault="00062EA9" w:rsidP="00062EA9">
      <w:pPr>
        <w:pStyle w:val="naisf"/>
        <w:spacing w:before="60" w:after="60"/>
        <w:ind w:right="57"/>
        <w:rPr>
          <w:b/>
        </w:rPr>
      </w:pPr>
    </w:p>
    <w:p w:rsidR="00062EA9" w:rsidRPr="00C6676A" w:rsidRDefault="00062EA9" w:rsidP="00062EA9">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062EA9" w:rsidRPr="0085135D" w:rsidTr="00954108">
        <w:tc>
          <w:tcPr>
            <w:tcW w:w="709" w:type="dxa"/>
            <w:tcBorders>
              <w:top w:val="single" w:sz="6" w:space="0" w:color="000000"/>
              <w:left w:val="single" w:sz="6" w:space="0" w:color="000000"/>
              <w:bottom w:val="single" w:sz="6" w:space="0" w:color="000000"/>
              <w:right w:val="single" w:sz="6" w:space="0" w:color="000000"/>
            </w:tcBorders>
            <w:vAlign w:val="center"/>
          </w:tcPr>
          <w:p w:rsidR="00062EA9" w:rsidRPr="00C6676A" w:rsidRDefault="00062EA9" w:rsidP="00954108">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rsidR="00062EA9" w:rsidRPr="0092544A" w:rsidRDefault="00062EA9" w:rsidP="00954108">
            <w:pPr>
              <w:pStyle w:val="naisc"/>
              <w:spacing w:before="0" w:after="0"/>
              <w:ind w:left="57" w:right="57"/>
              <w:contextualSpacing/>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rsidR="00062EA9" w:rsidRPr="00C6676A" w:rsidRDefault="00062EA9" w:rsidP="00954108">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rsidR="00062EA9" w:rsidRPr="00C6676A" w:rsidRDefault="00062EA9" w:rsidP="00954108">
            <w:pPr>
              <w:pStyle w:val="naisc"/>
              <w:spacing w:before="0" w:after="0"/>
              <w:ind w:left="57" w:right="57"/>
              <w:contextualSpacing/>
              <w:rPr>
                <w:sz w:val="22"/>
                <w:szCs w:val="22"/>
              </w:rPr>
            </w:pPr>
            <w:r w:rsidRPr="00C6676A">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rsidR="00062EA9" w:rsidRPr="00C6676A" w:rsidRDefault="00062EA9" w:rsidP="00954108">
            <w:pPr>
              <w:ind w:left="57" w:right="57"/>
              <w:contextualSpacing/>
              <w:jc w:val="center"/>
              <w:rPr>
                <w:sz w:val="22"/>
                <w:szCs w:val="22"/>
              </w:rPr>
            </w:pPr>
            <w:r w:rsidRPr="00C6676A">
              <w:rPr>
                <w:sz w:val="22"/>
                <w:szCs w:val="22"/>
              </w:rPr>
              <w:t>Projekta attiecīgā punkta (panta) galīgā redakcija</w:t>
            </w:r>
          </w:p>
        </w:tc>
      </w:tr>
      <w:tr w:rsidR="00062EA9" w:rsidRPr="0085135D" w:rsidTr="00954108">
        <w:trPr>
          <w:trHeight w:val="318"/>
        </w:trPr>
        <w:tc>
          <w:tcPr>
            <w:tcW w:w="709" w:type="dxa"/>
            <w:tcBorders>
              <w:top w:val="single" w:sz="6" w:space="0" w:color="000000"/>
              <w:left w:val="single" w:sz="6" w:space="0" w:color="000000"/>
              <w:bottom w:val="single" w:sz="4" w:space="0" w:color="auto"/>
              <w:right w:val="single" w:sz="6" w:space="0" w:color="000000"/>
            </w:tcBorders>
          </w:tcPr>
          <w:p w:rsidR="00062EA9" w:rsidRPr="0085135D" w:rsidRDefault="00062EA9" w:rsidP="00954108">
            <w:pPr>
              <w:pStyle w:val="naisc"/>
              <w:spacing w:before="0" w:after="0"/>
              <w:ind w:left="57" w:right="57"/>
              <w:contextualSpacing/>
              <w:jc w:val="left"/>
              <w:rPr>
                <w:sz w:val="20"/>
                <w:szCs w:val="20"/>
              </w:rPr>
            </w:pPr>
            <w:r w:rsidRPr="0085135D">
              <w:rPr>
                <w:sz w:val="20"/>
                <w:szCs w:val="20"/>
              </w:rPr>
              <w:lastRenderedPageBreak/>
              <w:t>1</w:t>
            </w:r>
          </w:p>
        </w:tc>
        <w:tc>
          <w:tcPr>
            <w:tcW w:w="3680" w:type="dxa"/>
            <w:gridSpan w:val="2"/>
            <w:tcBorders>
              <w:top w:val="single" w:sz="6" w:space="0" w:color="000000"/>
              <w:left w:val="single" w:sz="6" w:space="0" w:color="000000"/>
              <w:bottom w:val="single" w:sz="4" w:space="0" w:color="auto"/>
              <w:right w:val="single" w:sz="6" w:space="0" w:color="000000"/>
            </w:tcBorders>
          </w:tcPr>
          <w:p w:rsidR="00062EA9" w:rsidRPr="00822AAF" w:rsidRDefault="00062EA9" w:rsidP="00954108">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rsidR="00062EA9" w:rsidRPr="0085135D" w:rsidRDefault="00062EA9" w:rsidP="00954108">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rsidR="00062EA9" w:rsidRPr="0085135D" w:rsidRDefault="00062EA9" w:rsidP="00954108">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rsidR="00062EA9" w:rsidRPr="0085135D" w:rsidRDefault="00062EA9" w:rsidP="00954108">
            <w:pPr>
              <w:ind w:left="57" w:right="57"/>
              <w:contextualSpacing/>
              <w:jc w:val="center"/>
              <w:rPr>
                <w:sz w:val="20"/>
                <w:szCs w:val="20"/>
              </w:rPr>
            </w:pPr>
            <w:r w:rsidRPr="0085135D">
              <w:rPr>
                <w:sz w:val="20"/>
                <w:szCs w:val="20"/>
              </w:rPr>
              <w:t>5</w:t>
            </w:r>
          </w:p>
        </w:tc>
      </w:tr>
      <w:tr w:rsidR="00062EA9" w:rsidRPr="0085135D" w:rsidTr="00954108">
        <w:trPr>
          <w:trHeight w:val="318"/>
        </w:trPr>
        <w:tc>
          <w:tcPr>
            <w:tcW w:w="709" w:type="dxa"/>
            <w:tcBorders>
              <w:top w:val="single" w:sz="6" w:space="0" w:color="000000"/>
              <w:left w:val="single" w:sz="6" w:space="0" w:color="000000"/>
              <w:bottom w:val="single" w:sz="4" w:space="0" w:color="auto"/>
              <w:right w:val="single" w:sz="6" w:space="0" w:color="000000"/>
            </w:tcBorders>
          </w:tcPr>
          <w:p w:rsidR="00062EA9" w:rsidRPr="0085135D" w:rsidRDefault="00062EA9" w:rsidP="00062EA9">
            <w:pPr>
              <w:pStyle w:val="naisc"/>
              <w:spacing w:before="0" w:after="0"/>
              <w:ind w:left="57" w:right="57"/>
              <w:contextualSpacing/>
              <w:jc w:val="left"/>
            </w:pPr>
            <w:r w:rsidRPr="002F7514">
              <w:t>1.</w:t>
            </w:r>
          </w:p>
        </w:tc>
        <w:tc>
          <w:tcPr>
            <w:tcW w:w="3680" w:type="dxa"/>
            <w:gridSpan w:val="2"/>
            <w:tcBorders>
              <w:top w:val="single" w:sz="6" w:space="0" w:color="000000"/>
              <w:left w:val="single" w:sz="6" w:space="0" w:color="000000"/>
              <w:bottom w:val="single" w:sz="4" w:space="0" w:color="auto"/>
              <w:right w:val="single" w:sz="6" w:space="0" w:color="000000"/>
            </w:tcBorders>
          </w:tcPr>
          <w:p w:rsidR="00062EA9" w:rsidRPr="0085135D" w:rsidRDefault="00062EA9" w:rsidP="00062EA9">
            <w:pPr>
              <w:pStyle w:val="naisc"/>
              <w:spacing w:before="0" w:after="0"/>
              <w:ind w:left="57" w:right="57"/>
              <w:contextualSpacing/>
              <w:jc w:val="both"/>
            </w:pPr>
            <w:r>
              <w:rPr>
                <w:iCs/>
              </w:rPr>
              <w:t>-</w:t>
            </w:r>
          </w:p>
        </w:tc>
        <w:tc>
          <w:tcPr>
            <w:tcW w:w="4386" w:type="dxa"/>
            <w:gridSpan w:val="2"/>
            <w:tcBorders>
              <w:top w:val="single" w:sz="6" w:space="0" w:color="000000"/>
              <w:left w:val="single" w:sz="6" w:space="0" w:color="000000"/>
              <w:bottom w:val="single" w:sz="4" w:space="0" w:color="auto"/>
              <w:right w:val="single" w:sz="6" w:space="0" w:color="000000"/>
            </w:tcBorders>
          </w:tcPr>
          <w:p w:rsidR="00062EA9" w:rsidRPr="00761CD5" w:rsidRDefault="00062EA9" w:rsidP="00062EA9">
            <w:pPr>
              <w:jc w:val="both"/>
              <w:rPr>
                <w:b/>
                <w:u w:val="single"/>
              </w:rPr>
            </w:pPr>
            <w:r w:rsidRPr="00761CD5">
              <w:rPr>
                <w:b/>
                <w:u w:val="single"/>
              </w:rPr>
              <w:t>Tieslietu ministrija:</w:t>
            </w:r>
          </w:p>
          <w:p w:rsidR="00062EA9" w:rsidRPr="00761CD5" w:rsidRDefault="00062EA9" w:rsidP="00062EA9">
            <w:pPr>
              <w:pStyle w:val="NormalWeb"/>
              <w:spacing w:before="0" w:beforeAutospacing="0" w:after="0" w:afterAutospacing="0"/>
              <w:jc w:val="both"/>
            </w:pPr>
            <w:r w:rsidRPr="00761CD5">
              <w:t>1. Būvniecības likuma 12. panta septītā un astotā daļa noteic, ka būvvalde būvniecības un ekspluatācijas kontroles ietvaros nepieciešamās procesuālās darbības atspoguļo un lēmumus izdod būvniecības informācijas sistēmā, izņemot likumā konkrēti norādītas darbības. Savukārt Būvniecības likuma 14. panta pirmā daļa noteic, ka būvniecības informācijas sistēmu  persona izmanto būvniecības ierosināšanai. Tāpat būvniecības informācijas sistēma tiek izmantota, lai izdotu tehniskos vai īpašos noteikumus, kā arī saskaņojumus vai atļaujas. Tādējādi no minētajiem un citiem Būvniecības likuma pantiem izriet, ka būvniecības process, tostarp ar to saistītais administratīvais process, pamatā notiek elektroniski, proti, būvniecības informācijas sistēmā.</w:t>
            </w:r>
          </w:p>
          <w:p w:rsidR="00062EA9" w:rsidRPr="00761CD5" w:rsidRDefault="00062EA9" w:rsidP="00062EA9">
            <w:pPr>
              <w:jc w:val="both"/>
            </w:pPr>
            <w:r w:rsidRPr="00761CD5">
              <w:t>Vienlaikus Ministru kabineta 2015. gada 28. jūlija noteikumi Nr. 438 "Būvniecības informācijas sistēmas noteikumi" nosaka dokumentu iesniegšanas kārtību (piemēram, parakstīšanas veidus, noteiktu dokumentu aizpildīšanu tiešsaistes formā).</w:t>
            </w:r>
          </w:p>
          <w:p w:rsidR="00062EA9" w:rsidRPr="00761CD5" w:rsidRDefault="00062EA9" w:rsidP="00062EA9">
            <w:pPr>
              <w:jc w:val="both"/>
            </w:pPr>
            <w:r w:rsidRPr="00761CD5">
              <w:t>Vēršam uzmanību, ka tiesību normu jaunradē jāievēro tehnoloģiskās neitralitātes princips. Proti, tiesību normas nedrīkst rakstīt konkrētai tehnoloģijai, tostarp informācijas sistēmai (</w:t>
            </w:r>
            <w:r w:rsidRPr="00761CD5">
              <w:rPr>
                <w:i/>
                <w:iCs/>
              </w:rPr>
              <w:t xml:space="preserve">sal. Informācijas un komunikāciju tiesības. I </w:t>
            </w:r>
            <w:r w:rsidRPr="00761CD5">
              <w:rPr>
                <w:i/>
                <w:iCs/>
              </w:rPr>
              <w:lastRenderedPageBreak/>
              <w:t>sējums. Rīga: Turība, 2002, 33. lpp.).</w:t>
            </w:r>
            <w:r w:rsidRPr="00761CD5">
              <w:t xml:space="preserve"> Tā vietā izmantojams vispārīgs regulējums, kas raksturo sasniedzamo rezultātu vai citus nepieciešamos raksturlielumus (pazīmes, standartus u. tml.) </w:t>
            </w:r>
            <w:r w:rsidRPr="00761CD5">
              <w:rPr>
                <w:i/>
                <w:iCs/>
              </w:rPr>
              <w:t xml:space="preserve">(sal. Satversmes tiesas 2019. gada 21. februāra sprieduma lietā Nr. 2018-10-0103 18.1. punkts). </w:t>
            </w:r>
            <w:r w:rsidRPr="00761CD5">
              <w:t>Projekta kontekstā tas nozīmē, ka regulējumam jābūt vienlīdz piemērojamam gan tad, ja izmanto būvniecības informācijas sistēmu, gan tad, ja informācijas aprite notiek papīra formā.</w:t>
            </w:r>
          </w:p>
          <w:p w:rsidR="00062EA9" w:rsidRPr="00761CD5" w:rsidRDefault="00062EA9" w:rsidP="00062EA9">
            <w:pPr>
              <w:jc w:val="both"/>
            </w:pPr>
            <w:r w:rsidRPr="00761CD5">
              <w:t>Vienlaikus projektā pamatā tiek norādīta nepieciešamība izmantot būvniecības informācijas sistēmu, lai gan tas ir Būvniecības likumā noteikts pamatprincips. Līdz ar to projektā būtu norādāmi tikai tie izņēmuma gadījumi, kad būvniecības informācijas sistēma nav izmantojama (vienlaikus projekta sākotnējās (</w:t>
            </w:r>
            <w:proofErr w:type="spellStart"/>
            <w:r w:rsidRPr="00761CD5">
              <w:rPr>
                <w:i/>
                <w:iCs/>
              </w:rPr>
              <w:t>ex</w:t>
            </w:r>
            <w:proofErr w:type="spellEnd"/>
            <w:r w:rsidRPr="00761CD5">
              <w:rPr>
                <w:i/>
                <w:iCs/>
              </w:rPr>
              <w:t xml:space="preserve"> – </w:t>
            </w:r>
            <w:proofErr w:type="spellStart"/>
            <w:r w:rsidRPr="00761CD5">
              <w:rPr>
                <w:i/>
                <w:iCs/>
              </w:rPr>
              <w:t>ante</w:t>
            </w:r>
            <w:proofErr w:type="spellEnd"/>
            <w:r w:rsidRPr="00761CD5">
              <w:rPr>
                <w:i/>
                <w:iCs/>
              </w:rPr>
              <w:t xml:space="preserve">) </w:t>
            </w:r>
            <w:r w:rsidRPr="00761CD5">
              <w:t>ietekmes novērtējuma ziņojumā (turpmāk – anotācija) ietverot pamatojumu par šāda izņēmuma atbilstību Būvniecības likumam).</w:t>
            </w:r>
          </w:p>
          <w:p w:rsidR="00062EA9" w:rsidRPr="009878B9" w:rsidRDefault="00062EA9" w:rsidP="00062EA9">
            <w:pPr>
              <w:pStyle w:val="naisc"/>
              <w:spacing w:before="0" w:after="0"/>
              <w:ind w:left="57" w:right="57"/>
              <w:contextualSpacing/>
              <w:jc w:val="both"/>
            </w:pPr>
            <w:r w:rsidRPr="00761CD5">
              <w:t xml:space="preserve">Tāpat norādām, ka normatīvā akta tekstam jābūt lakoniskam, un ir jāizvairās no pārlieku </w:t>
            </w:r>
            <w:proofErr w:type="spellStart"/>
            <w:r w:rsidRPr="00761CD5">
              <w:t>kazuistiska</w:t>
            </w:r>
            <w:proofErr w:type="spellEnd"/>
            <w:r w:rsidRPr="00761CD5">
              <w:t xml:space="preserve"> regulējuma (</w:t>
            </w:r>
            <w:r w:rsidRPr="00761CD5">
              <w:rPr>
                <w:i/>
                <w:iCs/>
              </w:rPr>
              <w:t>Normatīvo aktu projektu izstrādes rokasgrāmata,</w:t>
            </w:r>
            <w:r w:rsidRPr="00761CD5">
              <w:rPr>
                <w:b/>
                <w:bCs/>
                <w:i/>
                <w:iCs/>
              </w:rPr>
              <w:t xml:space="preserve"> </w:t>
            </w:r>
            <w:r w:rsidRPr="00761CD5">
              <w:rPr>
                <w:i/>
                <w:iCs/>
              </w:rPr>
              <w:t>https://tai.mk.gov.lv/book/1/chapter/79</w:t>
            </w:r>
            <w:r w:rsidRPr="00761CD5">
              <w:t xml:space="preserve">). Pretēji tam projekta sākumā šobrīd ir noteikti pamatprincipi, tad iekļauts detalizēts regulējums saistībā ar būvniecības informācijas sistēmas </w:t>
            </w:r>
            <w:r w:rsidRPr="00761CD5">
              <w:lastRenderedPageBreak/>
              <w:t>izmantošanu, visbeidzot tiek regulēts process, neizmantojot būvniecības informācijas sistēmu. Lūdzam izvērtēt iespēju projekta regulējumu veidot vispārīgu, neuzsverot vairumā projekta vienību būvniecības informācijas sistēmas izmantošanu un neatkārtojot vispārīgajos jautājumos iekļauto regulējumu. Ievērojot minēto, lūdzam precizēt projektu, kā arī attiecīgi papildināt anotāciju.</w:t>
            </w:r>
          </w:p>
        </w:tc>
        <w:tc>
          <w:tcPr>
            <w:tcW w:w="3275" w:type="dxa"/>
            <w:gridSpan w:val="2"/>
            <w:tcBorders>
              <w:top w:val="single" w:sz="6" w:space="0" w:color="000000"/>
              <w:left w:val="single" w:sz="6" w:space="0" w:color="000000"/>
              <w:bottom w:val="single" w:sz="4" w:space="0" w:color="auto"/>
              <w:right w:val="single" w:sz="6" w:space="0" w:color="000000"/>
            </w:tcBorders>
          </w:tcPr>
          <w:p w:rsidR="00062EA9" w:rsidRPr="006B0290" w:rsidRDefault="00062EA9" w:rsidP="00062EA9">
            <w:pPr>
              <w:contextualSpacing/>
              <w:jc w:val="center"/>
              <w:rPr>
                <w:b/>
              </w:rPr>
            </w:pPr>
            <w:r>
              <w:rPr>
                <w:b/>
              </w:rPr>
              <w:lastRenderedPageBreak/>
              <w:t>P</w:t>
            </w:r>
            <w:r>
              <w:rPr>
                <w:b/>
              </w:rPr>
              <w:t>anākta vienošanās</w:t>
            </w:r>
          </w:p>
          <w:p w:rsidR="00062EA9" w:rsidRPr="0031644E" w:rsidRDefault="00062EA9" w:rsidP="00062EA9">
            <w:pPr>
              <w:ind w:firstLine="67"/>
              <w:contextualSpacing/>
              <w:jc w:val="both"/>
            </w:pPr>
            <w:r w:rsidRPr="0092544A">
              <w:t>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1.</w:t>
            </w:r>
            <w:r w:rsidRPr="0092544A">
              <w:rPr>
                <w:vertAlign w:val="superscript"/>
              </w:rPr>
              <w:t>1 </w:t>
            </w:r>
            <w:r w:rsidRPr="0092544A">
              <w:t xml:space="preserve">daļu). Ministrijas ieskatā prasība administratīvajā procesā noteiktā veidā izmantot noteiktu valsts informatīvo sistēmu pēc savas būtības nepārkāpj tehnoloģiskās neitralitātes principu. Šis </w:t>
            </w:r>
            <w:r w:rsidRPr="0092544A">
              <w:lastRenderedPageBreak/>
              <w:t>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rsidR="00062EA9" w:rsidRPr="0085135D" w:rsidRDefault="00062EA9" w:rsidP="00062EA9">
            <w:pPr>
              <w:ind w:left="57" w:right="57"/>
              <w:contextualSpacing/>
              <w:jc w:val="center"/>
              <w:rPr>
                <w:sz w:val="20"/>
                <w:szCs w:val="20"/>
              </w:rPr>
            </w:pPr>
          </w:p>
        </w:tc>
      </w:tr>
      <w:tr w:rsidR="00062EA9" w:rsidRPr="0085135D" w:rsidTr="00954108">
        <w:trPr>
          <w:trHeight w:val="318"/>
        </w:trPr>
        <w:tc>
          <w:tcPr>
            <w:tcW w:w="709" w:type="dxa"/>
            <w:tcBorders>
              <w:top w:val="single" w:sz="6" w:space="0" w:color="000000"/>
              <w:left w:val="single" w:sz="6" w:space="0" w:color="000000"/>
              <w:bottom w:val="single" w:sz="4" w:space="0" w:color="auto"/>
              <w:right w:val="single" w:sz="6" w:space="0" w:color="000000"/>
            </w:tcBorders>
          </w:tcPr>
          <w:p w:rsidR="00062EA9" w:rsidRPr="002F7514" w:rsidRDefault="00062EA9" w:rsidP="00954108">
            <w:pPr>
              <w:pStyle w:val="naisc"/>
              <w:spacing w:before="0" w:after="0"/>
              <w:ind w:left="57" w:right="57"/>
              <w:contextualSpacing/>
              <w:jc w:val="left"/>
            </w:pPr>
            <w:r>
              <w:lastRenderedPageBreak/>
              <w:t>2</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062EA9" w:rsidRPr="00A64E2A" w:rsidRDefault="00062EA9" w:rsidP="00954108">
            <w:pPr>
              <w:jc w:val="both"/>
            </w:pPr>
            <w:r w:rsidRPr="00A64E2A">
              <w:t>36. Izteikt 102. punktu šādā redakcijā:</w:t>
            </w:r>
          </w:p>
          <w:p w:rsidR="00062EA9" w:rsidRPr="00A64E2A" w:rsidRDefault="00062EA9" w:rsidP="00954108">
            <w:pPr>
              <w:jc w:val="both"/>
              <w:rPr>
                <w:i/>
              </w:rPr>
            </w:pPr>
            <w:r w:rsidRPr="00A64E2A">
              <w:t>“102. Būvdarbu veicējs, izskatot būvprojektu, pārliecinās, vai nav nepieciešami detalizētāki rasējumi. Ja būvdarbu veicējs nav pieprasījis detalizētāku rasējumu izstrādi vai pats nav tos izstrādājis, būvdarbu veicējs ir atbildīgs par iespējamām sekām. Detalizētākus rasējumus var izstrādāt arī būvdarbu gaitā, un tie pievienojami būvniecības informācijas sistēmā un saskaņojami ar būvprojekta izstrādātāju un būvniecības ierosinātāju.”</w:t>
            </w:r>
          </w:p>
        </w:tc>
        <w:tc>
          <w:tcPr>
            <w:tcW w:w="4386" w:type="dxa"/>
            <w:gridSpan w:val="2"/>
            <w:tcBorders>
              <w:top w:val="single" w:sz="6" w:space="0" w:color="000000"/>
              <w:left w:val="single" w:sz="6" w:space="0" w:color="000000"/>
              <w:bottom w:val="single" w:sz="6" w:space="0" w:color="000000"/>
              <w:right w:val="single" w:sz="6" w:space="0" w:color="000000"/>
            </w:tcBorders>
          </w:tcPr>
          <w:p w:rsidR="00062EA9" w:rsidRPr="00A64E2A" w:rsidRDefault="00062EA9" w:rsidP="00954108">
            <w:pPr>
              <w:jc w:val="both"/>
              <w:rPr>
                <w:b/>
                <w:u w:val="single"/>
              </w:rPr>
            </w:pPr>
            <w:r w:rsidRPr="00A64E2A">
              <w:rPr>
                <w:b/>
                <w:u w:val="single"/>
              </w:rPr>
              <w:t>Tieslietu ministrija:</w:t>
            </w:r>
          </w:p>
          <w:p w:rsidR="00062EA9" w:rsidRPr="00A64E2A" w:rsidRDefault="00062EA9" w:rsidP="00954108">
            <w:pPr>
              <w:pStyle w:val="NormalWeb"/>
              <w:spacing w:before="0" w:beforeAutospacing="0" w:after="0" w:afterAutospacing="0"/>
              <w:jc w:val="both"/>
            </w:pPr>
            <w:r w:rsidRPr="00A64E2A">
              <w:t xml:space="preserve">3. Projekta 36. punktā paredzētais noteikumu 102. punkts noteic, ka, ja būvdarbu veicējs nav pieprasījis detalizētāku rasējumu izstrādi vai pats nav tos izstrādājis, būvdarbu veicējs ir atbildīgs par iespējamām sekām. </w:t>
            </w:r>
          </w:p>
          <w:p w:rsidR="00062EA9" w:rsidRPr="00A64E2A" w:rsidRDefault="00062EA9" w:rsidP="00954108">
            <w:pPr>
              <w:pStyle w:val="NormalWeb"/>
              <w:spacing w:before="0" w:beforeAutospacing="0" w:after="0" w:afterAutospacing="0"/>
              <w:jc w:val="both"/>
            </w:pPr>
            <w:r w:rsidRPr="00A64E2A">
              <w:t xml:space="preserve">Norādām, ka juridiskā atbildība izpaužas kā nevēlamās sekas (sodu piemērošana) personai, kas ir izdarījusi tiesībpārkāpumu, kas paredzēta tiesību normas sankcijā, proti, likumos, kā Latvijas Administratīvo pārkāpumu kodeksā, Krimināllikumā un Civillikumā. Ievērojot minēto, Ministru kabinets ar noteikumiem nevar paredzēt citu kārtību atbildības noteikšanai, kā to nosaka jau minētie likumi. Tāpat vēršam uzmanību, ka Būvniecības likuma 19. panta piektā daļa noteic, ka būvdarbu veicējs ir atbildīgs par normatīvo aktu prasību ievērošanu būvlaukumā un būvdarbu rezultātā tapušās būves vai tās daļas atbilstību būvprojektam un būvniecības </w:t>
            </w:r>
            <w:r w:rsidRPr="00A64E2A">
              <w:lastRenderedPageBreak/>
              <w:t xml:space="preserve">ierosinātāja, šā likuma un citu normatīvo aktu prasībām, kā arī par normatīvu aktu prasībām atbilstošu būvizstrādājumu izvēli un to iestrādes tehnoloģiju. </w:t>
            </w:r>
          </w:p>
          <w:p w:rsidR="00062EA9" w:rsidRPr="00A64E2A" w:rsidRDefault="00062EA9" w:rsidP="00954108">
            <w:pPr>
              <w:pStyle w:val="NormalWeb"/>
              <w:spacing w:before="0" w:beforeAutospacing="0" w:after="0" w:afterAutospacing="0"/>
              <w:jc w:val="both"/>
              <w:rPr>
                <w:bCs/>
                <w:lang w:eastAsia="en-US"/>
              </w:rPr>
            </w:pPr>
            <w:r w:rsidRPr="00A64E2A">
              <w:t>Ievērojot minēto, lūdzam precizēt projekta 36. punktā paredzēto noteikumu 102. punktu.</w:t>
            </w:r>
          </w:p>
        </w:tc>
        <w:tc>
          <w:tcPr>
            <w:tcW w:w="3275" w:type="dxa"/>
            <w:gridSpan w:val="2"/>
            <w:tcBorders>
              <w:top w:val="single" w:sz="6" w:space="0" w:color="000000"/>
              <w:left w:val="single" w:sz="6" w:space="0" w:color="000000"/>
              <w:bottom w:val="single" w:sz="6" w:space="0" w:color="000000"/>
              <w:right w:val="single" w:sz="6" w:space="0" w:color="000000"/>
            </w:tcBorders>
          </w:tcPr>
          <w:p w:rsidR="00062EA9" w:rsidRPr="00DD548D" w:rsidRDefault="00062EA9" w:rsidP="00954108">
            <w:pPr>
              <w:ind w:firstLine="67"/>
              <w:contextualSpacing/>
              <w:jc w:val="center"/>
              <w:rPr>
                <w:b/>
                <w:bCs/>
              </w:rPr>
            </w:pPr>
            <w:r w:rsidRPr="00DD548D">
              <w:rPr>
                <w:b/>
                <w:bCs/>
              </w:rPr>
              <w:lastRenderedPageBreak/>
              <w:t>Ņemts vērā</w:t>
            </w:r>
          </w:p>
        </w:tc>
        <w:tc>
          <w:tcPr>
            <w:tcW w:w="3638" w:type="dxa"/>
            <w:gridSpan w:val="2"/>
            <w:tcBorders>
              <w:top w:val="single" w:sz="4" w:space="0" w:color="auto"/>
              <w:left w:val="single" w:sz="4" w:space="0" w:color="auto"/>
              <w:bottom w:val="single" w:sz="4" w:space="0" w:color="auto"/>
            </w:tcBorders>
          </w:tcPr>
          <w:p w:rsidR="00062EA9" w:rsidRPr="007E7EC7" w:rsidRDefault="00062EA9" w:rsidP="00954108">
            <w:pPr>
              <w:ind w:left="57" w:right="57"/>
              <w:contextualSpacing/>
              <w:jc w:val="both"/>
            </w:pPr>
            <w:r w:rsidRPr="007E7EC7">
              <w:t>29. Izteikt 102. punktu šādā redakcijā:</w:t>
            </w:r>
          </w:p>
          <w:p w:rsidR="00062EA9" w:rsidRPr="007E7EC7" w:rsidRDefault="00062EA9" w:rsidP="00954108">
            <w:pPr>
              <w:ind w:left="57" w:right="57"/>
              <w:contextualSpacing/>
              <w:jc w:val="both"/>
            </w:pPr>
            <w:r w:rsidRPr="007E7EC7">
              <w:t>“102. Būvdarbu veicējs, izskatot būvprojektu, pārliecinās, vai nav nepieciešami detalizētāki rasējumi. Detalizētākus rasējumus var izstrādāt arī būvdarbu gaitā, un tie pievienojami būvniecības informācijas sistēmā, izņemot, ja būvniecības process noris ārpus būvniecības informācijas sistēmas, un saskaņojami ar būvprojekta izstrādātāju un būvniecības ierosinātāju.”</w:t>
            </w:r>
          </w:p>
          <w:p w:rsidR="00062EA9" w:rsidRPr="008B27CF" w:rsidRDefault="00062EA9" w:rsidP="00954108">
            <w:pPr>
              <w:ind w:left="57" w:right="57"/>
              <w:contextualSpacing/>
              <w:jc w:val="both"/>
            </w:pPr>
          </w:p>
        </w:tc>
      </w:tr>
      <w:tr w:rsidR="00062EA9" w:rsidRPr="0085135D" w:rsidTr="00954108">
        <w:trPr>
          <w:trHeight w:val="318"/>
        </w:trPr>
        <w:tc>
          <w:tcPr>
            <w:tcW w:w="709" w:type="dxa"/>
            <w:tcBorders>
              <w:top w:val="single" w:sz="6" w:space="0" w:color="000000"/>
              <w:left w:val="single" w:sz="6" w:space="0" w:color="000000"/>
              <w:bottom w:val="single" w:sz="4" w:space="0" w:color="auto"/>
              <w:right w:val="single" w:sz="6" w:space="0" w:color="000000"/>
            </w:tcBorders>
          </w:tcPr>
          <w:p w:rsidR="00062EA9" w:rsidRPr="002F7514" w:rsidRDefault="00062EA9" w:rsidP="00954108">
            <w:pPr>
              <w:pStyle w:val="naisc"/>
              <w:spacing w:before="0" w:after="0"/>
              <w:ind w:left="57" w:right="57"/>
              <w:contextualSpacing/>
              <w:jc w:val="left"/>
            </w:pPr>
            <w:r>
              <w:t>3</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062EA9" w:rsidRPr="00A64E2A" w:rsidRDefault="00062EA9" w:rsidP="00954108">
            <w:pPr>
              <w:jc w:val="both"/>
            </w:pPr>
            <w:r w:rsidRPr="00A64E2A">
              <w:t>59. Papildināt noteikumus ar 8.</w:t>
            </w:r>
            <w:r w:rsidRPr="00A64E2A">
              <w:rPr>
                <w:vertAlign w:val="superscript"/>
              </w:rPr>
              <w:t>1</w:t>
            </w:r>
            <w:r w:rsidRPr="00A64E2A">
              <w:t> nodaļu šādā redakcijā:</w:t>
            </w:r>
          </w:p>
          <w:p w:rsidR="00062EA9" w:rsidRPr="00A64E2A" w:rsidRDefault="00062EA9" w:rsidP="00954108">
            <w:pPr>
              <w:jc w:val="center"/>
              <w:rPr>
                <w:b/>
                <w:shd w:val="clear" w:color="auto" w:fill="FFFFFF"/>
              </w:rPr>
            </w:pPr>
            <w:r w:rsidRPr="00A64E2A">
              <w:t>“</w:t>
            </w:r>
            <w:r w:rsidRPr="00A64E2A">
              <w:rPr>
                <w:b/>
                <w:shd w:val="clear" w:color="auto" w:fill="FFFFFF"/>
              </w:rPr>
              <w:t>8.</w:t>
            </w:r>
            <w:r w:rsidRPr="00A64E2A">
              <w:rPr>
                <w:b/>
                <w:shd w:val="clear" w:color="auto" w:fill="FFFFFF"/>
                <w:vertAlign w:val="superscript"/>
              </w:rPr>
              <w:t>1</w:t>
            </w:r>
            <w:r w:rsidRPr="00A64E2A">
              <w:rPr>
                <w:b/>
                <w:shd w:val="clear" w:color="auto" w:fill="FFFFFF"/>
              </w:rPr>
              <w:t> Būvniecības administratīvais process neizmantojot būvniecības informācijas sistēmu</w:t>
            </w:r>
          </w:p>
          <w:p w:rsidR="00062EA9" w:rsidRPr="00A64E2A" w:rsidRDefault="00062EA9" w:rsidP="00954108">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062EA9" w:rsidRPr="00A64E2A" w:rsidRDefault="00062EA9" w:rsidP="00954108">
            <w:pPr>
              <w:jc w:val="both"/>
              <w:rPr>
                <w:b/>
                <w:u w:val="single"/>
              </w:rPr>
            </w:pPr>
            <w:r w:rsidRPr="00A64E2A">
              <w:rPr>
                <w:b/>
                <w:u w:val="single"/>
              </w:rPr>
              <w:t>Tieslietu ministrija:</w:t>
            </w:r>
          </w:p>
          <w:p w:rsidR="00062EA9" w:rsidRPr="00A64E2A" w:rsidRDefault="00062EA9" w:rsidP="00954108">
            <w:pPr>
              <w:pStyle w:val="NormalWeb"/>
              <w:spacing w:before="0" w:beforeAutospacing="0" w:after="0" w:afterAutospacing="0"/>
              <w:jc w:val="both"/>
            </w:pPr>
            <w:r w:rsidRPr="00A64E2A">
              <w:t>2. Projekts paredz papildināt Ministru kabineta 2014. gada 14. oktobra noteikumus Nr. 631 "Latvijas Republikas iekšējo jūras ūdeņu, teritoriālās jūras un ekskluzīvās ekonomiskās zonas būvju būvnoteikumi" (turpmāk – noteikumi) ar jaunu nodaļu "Būvniecības administratīvais process, neizmantojot būvniecības informācijas sistēmu". Anotācijā skaidrots, ka "papīra" būvniecības procesa regulējums ietverts tikai, ciktāl tas nepieciešams, lai nodrošinātu Būvniecības likuma pārejas noteikumu 22.–24. punktā noteikto tiesību normu realizāciju. Tādējādi būtībā šī nodaļa nosaka pārejas kārtību no pastāvošā tiesiskā regulējuma uz jauno tiesisko regulējumu.</w:t>
            </w:r>
          </w:p>
          <w:p w:rsidR="00062EA9" w:rsidRPr="00A64E2A" w:rsidRDefault="00062EA9" w:rsidP="00954108">
            <w:pPr>
              <w:pStyle w:val="NormalWeb"/>
              <w:spacing w:before="0" w:beforeAutospacing="0" w:after="0" w:afterAutospacing="0"/>
              <w:jc w:val="both"/>
            </w:pPr>
            <w:r w:rsidRPr="00A64E2A">
              <w:t xml:space="preserve">Izvērtējot šajā nodaļā paredzēto regulējumu, secināms, ka šajā nodaļā iekļautās vienības nereti sastāv no atsaucēm uz citām noteikumu vienībām (nodaļām, apakšnodaļām, punktiem) vai vispārīgām atsaucēm uz Būvniecības likumu. Tas liecina, ka varētu būt iespējams projekta regulējumu vispārīgi attiecināt uz būvniecības procesu neatkarīgi no tā, vai </w:t>
            </w:r>
            <w:r w:rsidRPr="00A64E2A">
              <w:lastRenderedPageBreak/>
              <w:t>tiek izmantota būvniecības informācijas sistēma. Vienlaikus jāievēro, ka atsauce ir 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A64E2A">
              <w:rPr>
                <w:i/>
                <w:iCs/>
              </w:rPr>
              <w:t>sal. Normatīvo aktu projektu izstrādes rokasgrāmata, https://tai.mk.gov.lv/book/1/chapter/98</w:t>
            </w:r>
            <w:r w:rsidRPr="00A64E2A">
              <w:t>).</w:t>
            </w:r>
          </w:p>
          <w:p w:rsidR="00062EA9" w:rsidRPr="00A64E2A" w:rsidRDefault="00062EA9" w:rsidP="00954108">
            <w:pPr>
              <w:pStyle w:val="NormalWeb"/>
              <w:spacing w:before="0" w:beforeAutospacing="0" w:after="0" w:afterAutospacing="0"/>
              <w:jc w:val="both"/>
            </w:pPr>
            <w:r w:rsidRPr="00A64E2A">
              <w:t>Tāpat Būvniecības likuma pārejas noteikumu 22., 23. un 24. punktā jau ir noteikts regulējums saistībā ar t. s. "papīra" būvniecības procesu.</w:t>
            </w:r>
          </w:p>
          <w:p w:rsidR="00062EA9" w:rsidRPr="00A64E2A" w:rsidRDefault="00062EA9" w:rsidP="00954108">
            <w:pPr>
              <w:pStyle w:val="NormalWeb"/>
              <w:spacing w:before="0" w:beforeAutospacing="0" w:after="0" w:afterAutospacing="0"/>
              <w:jc w:val="both"/>
              <w:rPr>
                <w:bCs/>
                <w:lang w:eastAsia="en-US"/>
              </w:rPr>
            </w:pPr>
            <w:r w:rsidRPr="00A64E2A">
              <w:t>Ievērojot minēto, lūdzam izvērtēt projektā paredzētā "būvniecības administratīvā procesa" (neizmantojot būvniecības informācijas sistēmu) regulējumu. Ja tas tomēr ir nepieciešams, ieteicams to veidot iespējami vispārīgu, neatkārtojot Būvniecības likumā ietverto regulējumu un paredzot tikai pamatprincipus, kas nodrošinātu zināmu ekvivalenci būvniecības procesam, izmantojot būvniecības informācijas sistēmu.</w:t>
            </w:r>
          </w:p>
        </w:tc>
        <w:tc>
          <w:tcPr>
            <w:tcW w:w="3275" w:type="dxa"/>
            <w:gridSpan w:val="2"/>
            <w:tcBorders>
              <w:top w:val="single" w:sz="6" w:space="0" w:color="000000"/>
              <w:left w:val="single" w:sz="6" w:space="0" w:color="000000"/>
              <w:bottom w:val="single" w:sz="6" w:space="0" w:color="000000"/>
              <w:right w:val="single" w:sz="6" w:space="0" w:color="000000"/>
            </w:tcBorders>
          </w:tcPr>
          <w:p w:rsidR="00062EA9" w:rsidRDefault="00062EA9" w:rsidP="00954108">
            <w:pPr>
              <w:ind w:firstLine="67"/>
              <w:contextualSpacing/>
              <w:jc w:val="center"/>
              <w:rPr>
                <w:b/>
                <w:bCs/>
              </w:rPr>
            </w:pPr>
            <w:r w:rsidRPr="00DD548D">
              <w:rPr>
                <w:b/>
                <w:bCs/>
              </w:rPr>
              <w:lastRenderedPageBreak/>
              <w:t>Ņemts vērā</w:t>
            </w:r>
          </w:p>
          <w:p w:rsidR="00062EA9" w:rsidRPr="0042621E" w:rsidRDefault="00062EA9" w:rsidP="00954108">
            <w:pPr>
              <w:contextualSpacing/>
              <w:jc w:val="both"/>
            </w:pPr>
          </w:p>
        </w:tc>
        <w:tc>
          <w:tcPr>
            <w:tcW w:w="3638" w:type="dxa"/>
            <w:gridSpan w:val="2"/>
            <w:tcBorders>
              <w:top w:val="single" w:sz="4" w:space="0" w:color="auto"/>
              <w:left w:val="single" w:sz="4" w:space="0" w:color="auto"/>
              <w:bottom w:val="single" w:sz="4" w:space="0" w:color="auto"/>
            </w:tcBorders>
          </w:tcPr>
          <w:p w:rsidR="00062EA9" w:rsidRPr="008B27CF" w:rsidRDefault="00062EA9" w:rsidP="00954108">
            <w:pPr>
              <w:ind w:left="57" w:right="57"/>
              <w:contextualSpacing/>
              <w:jc w:val="both"/>
            </w:pPr>
            <w:r>
              <w:t>8.</w:t>
            </w:r>
            <w:r w:rsidRPr="00E45432">
              <w:rPr>
                <w:vertAlign w:val="superscript"/>
              </w:rPr>
              <w:t>1</w:t>
            </w:r>
            <w:r>
              <w:t> nodaļa svītrota.</w:t>
            </w:r>
          </w:p>
        </w:tc>
      </w:tr>
      <w:tr w:rsidR="00062EA9" w:rsidRPr="0085135D" w:rsidTr="00954108">
        <w:trPr>
          <w:trHeight w:val="318"/>
        </w:trPr>
        <w:tc>
          <w:tcPr>
            <w:tcW w:w="709" w:type="dxa"/>
            <w:tcBorders>
              <w:top w:val="single" w:sz="6" w:space="0" w:color="000000"/>
              <w:left w:val="single" w:sz="6" w:space="0" w:color="000000"/>
              <w:bottom w:val="single" w:sz="4" w:space="0" w:color="auto"/>
              <w:right w:val="single" w:sz="6" w:space="0" w:color="000000"/>
            </w:tcBorders>
          </w:tcPr>
          <w:p w:rsidR="00062EA9" w:rsidRPr="002F7514" w:rsidRDefault="00062EA9" w:rsidP="00954108">
            <w:pPr>
              <w:pStyle w:val="naisc"/>
              <w:spacing w:before="0" w:after="0"/>
              <w:ind w:left="57" w:right="57"/>
              <w:contextualSpacing/>
              <w:jc w:val="left"/>
            </w:pPr>
            <w:r>
              <w:t>4</w:t>
            </w:r>
            <w:r>
              <w:t>.</w:t>
            </w:r>
          </w:p>
        </w:tc>
        <w:tc>
          <w:tcPr>
            <w:tcW w:w="3680" w:type="dxa"/>
            <w:gridSpan w:val="2"/>
            <w:tcBorders>
              <w:top w:val="single" w:sz="6" w:space="0" w:color="000000"/>
              <w:left w:val="single" w:sz="6" w:space="0" w:color="000000"/>
              <w:bottom w:val="single" w:sz="4" w:space="0" w:color="auto"/>
              <w:right w:val="single" w:sz="6" w:space="0" w:color="000000"/>
            </w:tcBorders>
          </w:tcPr>
          <w:p w:rsidR="00062EA9" w:rsidRPr="00560611" w:rsidRDefault="00062EA9" w:rsidP="00954108">
            <w:pPr>
              <w:pStyle w:val="naisc"/>
              <w:spacing w:before="0" w:after="0"/>
              <w:ind w:left="57" w:right="57"/>
              <w:contextualSpacing/>
              <w:jc w:val="both"/>
            </w:pPr>
            <w:r w:rsidRPr="0042621E">
              <w:rPr>
                <w:bCs/>
              </w:rPr>
              <w:t>Anotācijas III sadaļa</w:t>
            </w:r>
          </w:p>
        </w:tc>
        <w:tc>
          <w:tcPr>
            <w:tcW w:w="4386" w:type="dxa"/>
            <w:gridSpan w:val="2"/>
            <w:tcBorders>
              <w:top w:val="single" w:sz="6" w:space="0" w:color="000000"/>
              <w:left w:val="single" w:sz="6" w:space="0" w:color="000000"/>
              <w:bottom w:val="single" w:sz="6" w:space="0" w:color="000000"/>
              <w:right w:val="single" w:sz="6" w:space="0" w:color="000000"/>
            </w:tcBorders>
          </w:tcPr>
          <w:p w:rsidR="00062EA9" w:rsidRPr="00A64E2A" w:rsidRDefault="00062EA9" w:rsidP="00954108">
            <w:pPr>
              <w:jc w:val="both"/>
              <w:rPr>
                <w:b/>
                <w:bCs/>
                <w:u w:val="single"/>
                <w:lang w:eastAsia="en-US"/>
              </w:rPr>
            </w:pPr>
            <w:r w:rsidRPr="00A64E2A">
              <w:rPr>
                <w:b/>
                <w:bCs/>
                <w:u w:val="single"/>
                <w:lang w:eastAsia="en-US"/>
              </w:rPr>
              <w:t>Finanšu ministrija:</w:t>
            </w:r>
          </w:p>
          <w:p w:rsidR="00062EA9" w:rsidRPr="00A64E2A" w:rsidRDefault="00062EA9" w:rsidP="00954108">
            <w:pPr>
              <w:jc w:val="both"/>
              <w:rPr>
                <w:bCs/>
                <w:lang w:eastAsia="en-US"/>
              </w:rPr>
            </w:pPr>
            <w:r w:rsidRPr="00A64E2A">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A64E2A">
              <w:lastRenderedPageBreak/>
              <w:t>atkalizmantošanas</w:t>
            </w:r>
            <w:proofErr w:type="spellEnd"/>
            <w:r w:rsidRPr="00A64E2A">
              <w:t xml:space="preserve"> pieaugumu un efektīvu 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uzturēšanai piešķirtajiem valsts budžeta līdzekļiem 143 209 </w:t>
            </w:r>
            <w:proofErr w:type="spellStart"/>
            <w:r w:rsidRPr="00A64E2A">
              <w:t>euro</w:t>
            </w:r>
            <w:proofErr w:type="spellEnd"/>
            <w:r w:rsidRPr="00A64E2A">
              <w:t xml:space="preserve"> apmērā. Lūdzam precizēt minēto informāciju, norādot Būvniecības informācijas sistēmas pilnveidošanai paredzētā finansējuma apmēru sadalījumā pa finansēšanas avotiem un Ekonomikas ministrijas budžeta programmu/apakšprogrammu, kuras ietvaros plānoti minētie izdevumi.</w:t>
            </w:r>
          </w:p>
        </w:tc>
        <w:tc>
          <w:tcPr>
            <w:tcW w:w="3275" w:type="dxa"/>
            <w:gridSpan w:val="2"/>
            <w:tcBorders>
              <w:top w:val="single" w:sz="6" w:space="0" w:color="000000"/>
              <w:left w:val="single" w:sz="6" w:space="0" w:color="000000"/>
              <w:bottom w:val="single" w:sz="6" w:space="0" w:color="000000"/>
              <w:right w:val="single" w:sz="6" w:space="0" w:color="000000"/>
            </w:tcBorders>
          </w:tcPr>
          <w:p w:rsidR="00062EA9" w:rsidRPr="0042621E" w:rsidRDefault="00062EA9" w:rsidP="00954108">
            <w:pPr>
              <w:ind w:firstLine="67"/>
              <w:contextualSpacing/>
              <w:jc w:val="center"/>
              <w:rPr>
                <w:b/>
                <w:bCs/>
              </w:rPr>
            </w:pPr>
            <w:r w:rsidRPr="0042621E">
              <w:rPr>
                <w:b/>
                <w:bCs/>
              </w:rPr>
              <w:lastRenderedPageBreak/>
              <w:t>Ņemts vērā</w:t>
            </w:r>
          </w:p>
        </w:tc>
        <w:tc>
          <w:tcPr>
            <w:tcW w:w="3638" w:type="dxa"/>
            <w:gridSpan w:val="2"/>
            <w:tcBorders>
              <w:top w:val="single" w:sz="4" w:space="0" w:color="auto"/>
              <w:left w:val="single" w:sz="4" w:space="0" w:color="auto"/>
              <w:bottom w:val="single" w:sz="4" w:space="0" w:color="auto"/>
            </w:tcBorders>
          </w:tcPr>
          <w:p w:rsidR="00062EA9" w:rsidRPr="008B27CF" w:rsidRDefault="00062EA9" w:rsidP="00954108">
            <w:pPr>
              <w:ind w:left="57" w:right="57"/>
              <w:contextualSpacing/>
              <w:jc w:val="both"/>
            </w:pPr>
            <w:r w:rsidRPr="0042621E">
              <w:rPr>
                <w:iCs/>
              </w:rPr>
              <w:t>Skat. precizēto anotācijas III sadaļu</w:t>
            </w:r>
          </w:p>
        </w:tc>
      </w:tr>
      <w:tr w:rsidR="00062EA9" w:rsidRPr="0085135D" w:rsidTr="00954108">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062EA9" w:rsidRDefault="00062EA9" w:rsidP="00954108">
            <w:pPr>
              <w:pStyle w:val="naiskr"/>
              <w:spacing w:before="0" w:after="0"/>
              <w:contextualSpacing/>
            </w:pPr>
            <w:r w:rsidRPr="0085135D">
              <w:t> </w:t>
            </w:r>
          </w:p>
          <w:p w:rsidR="00062EA9" w:rsidRPr="0085135D" w:rsidRDefault="00062EA9" w:rsidP="00954108">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rsidR="00062EA9" w:rsidRPr="0085135D" w:rsidRDefault="00062EA9" w:rsidP="00954108">
            <w:pPr>
              <w:pStyle w:val="naiskr"/>
              <w:spacing w:before="0" w:after="0"/>
              <w:contextualSpacing/>
            </w:pPr>
            <w:r w:rsidRPr="0085135D">
              <w:t>  </w:t>
            </w:r>
          </w:p>
        </w:tc>
        <w:tc>
          <w:tcPr>
            <w:tcW w:w="3549" w:type="dxa"/>
            <w:gridSpan w:val="2"/>
            <w:tcBorders>
              <w:top w:val="nil"/>
              <w:left w:val="nil"/>
              <w:bottom w:val="nil"/>
              <w:right w:val="nil"/>
            </w:tcBorders>
            <w:vAlign w:val="center"/>
          </w:tcPr>
          <w:p w:rsidR="00062EA9" w:rsidRPr="0085135D" w:rsidRDefault="00062EA9" w:rsidP="00954108">
            <w:pPr>
              <w:pStyle w:val="naisf"/>
              <w:spacing w:before="0" w:after="0"/>
              <w:contextualSpacing/>
            </w:pPr>
            <w:r w:rsidRPr="0085135D">
              <w:t> </w:t>
            </w:r>
          </w:p>
        </w:tc>
      </w:tr>
      <w:tr w:rsidR="00062EA9" w:rsidRPr="0085135D" w:rsidTr="00954108">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062EA9" w:rsidRPr="0085135D" w:rsidRDefault="00062EA9" w:rsidP="00954108">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rsidR="00062EA9" w:rsidRPr="0085135D" w:rsidRDefault="00062EA9" w:rsidP="00954108">
            <w:pPr>
              <w:pStyle w:val="naisc"/>
              <w:spacing w:before="0" w:after="0"/>
              <w:contextualSpacing/>
            </w:pPr>
            <w:r w:rsidRPr="0085135D">
              <w:t>(paraksts)</w:t>
            </w:r>
          </w:p>
        </w:tc>
        <w:tc>
          <w:tcPr>
            <w:tcW w:w="3549" w:type="dxa"/>
            <w:gridSpan w:val="2"/>
            <w:tcBorders>
              <w:top w:val="nil"/>
              <w:left w:val="nil"/>
              <w:bottom w:val="nil"/>
              <w:right w:val="nil"/>
            </w:tcBorders>
            <w:vAlign w:val="center"/>
          </w:tcPr>
          <w:p w:rsidR="00062EA9" w:rsidRPr="0085135D" w:rsidRDefault="00062EA9" w:rsidP="00954108">
            <w:pPr>
              <w:pStyle w:val="naisf"/>
              <w:spacing w:before="0" w:after="0"/>
              <w:contextualSpacing/>
            </w:pPr>
            <w:r w:rsidRPr="0085135D">
              <w:t> </w:t>
            </w:r>
          </w:p>
        </w:tc>
      </w:tr>
    </w:tbl>
    <w:p w:rsidR="00062EA9" w:rsidRPr="0085135D" w:rsidRDefault="00062EA9" w:rsidP="00062EA9">
      <w:pPr>
        <w:pStyle w:val="naisf"/>
        <w:spacing w:before="0" w:after="0"/>
        <w:ind w:firstLine="0"/>
        <w:rPr>
          <w:sz w:val="22"/>
          <w:szCs w:val="22"/>
        </w:rPr>
      </w:pPr>
      <w:r w:rsidRPr="0085135D">
        <w:rPr>
          <w:sz w:val="22"/>
          <w:szCs w:val="22"/>
        </w:rPr>
        <w:t>Par projektu atbildīgā amatpersona:</w:t>
      </w:r>
    </w:p>
    <w:p w:rsidR="00062EA9" w:rsidRPr="0085135D" w:rsidRDefault="00062EA9" w:rsidP="00062EA9">
      <w:pPr>
        <w:pStyle w:val="naisf"/>
        <w:spacing w:before="0" w:after="0"/>
        <w:ind w:firstLine="0"/>
        <w:rPr>
          <w:sz w:val="22"/>
          <w:szCs w:val="22"/>
        </w:rPr>
      </w:pPr>
      <w:r>
        <w:rPr>
          <w:sz w:val="22"/>
          <w:szCs w:val="22"/>
        </w:rPr>
        <w:t>Andris Lazarevs</w:t>
      </w:r>
    </w:p>
    <w:p w:rsidR="00062EA9" w:rsidRDefault="00062EA9" w:rsidP="00062EA9">
      <w:pPr>
        <w:pStyle w:val="naisf"/>
        <w:spacing w:before="0" w:after="0"/>
        <w:ind w:firstLine="0"/>
        <w:rPr>
          <w:sz w:val="22"/>
          <w:szCs w:val="22"/>
        </w:rPr>
      </w:pPr>
      <w:r w:rsidRPr="0085135D">
        <w:rPr>
          <w:sz w:val="22"/>
          <w:szCs w:val="22"/>
        </w:rPr>
        <w:t>Ekonomikas ministrijas</w:t>
      </w:r>
    </w:p>
    <w:p w:rsidR="00062EA9" w:rsidRPr="0085135D" w:rsidRDefault="00062EA9" w:rsidP="00062EA9">
      <w:pPr>
        <w:pStyle w:val="naisf"/>
        <w:spacing w:before="0" w:after="0"/>
        <w:ind w:firstLine="0"/>
        <w:rPr>
          <w:sz w:val="22"/>
          <w:szCs w:val="22"/>
        </w:rPr>
      </w:pPr>
      <w:r>
        <w:rPr>
          <w:sz w:val="22"/>
          <w:szCs w:val="22"/>
        </w:rPr>
        <w:t>Būvniecības politikas departamenta direktores vietnieks</w:t>
      </w:r>
    </w:p>
    <w:p w:rsidR="00062EA9" w:rsidRDefault="00062EA9" w:rsidP="00062EA9">
      <w:pPr>
        <w:pStyle w:val="naisf"/>
        <w:spacing w:before="0" w:after="0"/>
        <w:ind w:firstLine="0"/>
        <w:rPr>
          <w:rStyle w:val="Hyperlink"/>
          <w:sz w:val="22"/>
          <w:szCs w:val="22"/>
        </w:rPr>
      </w:pPr>
      <w:r w:rsidRPr="0085135D">
        <w:rPr>
          <w:sz w:val="22"/>
          <w:szCs w:val="22"/>
        </w:rPr>
        <w:t xml:space="preserve">Tālr. </w:t>
      </w:r>
      <w:r>
        <w:rPr>
          <w:sz w:val="22"/>
          <w:szCs w:val="22"/>
        </w:rPr>
        <w:t>67013035</w:t>
      </w:r>
      <w:r w:rsidRPr="0085135D">
        <w:rPr>
          <w:sz w:val="22"/>
          <w:szCs w:val="22"/>
        </w:rPr>
        <w:t>,</w:t>
      </w:r>
      <w:r>
        <w:rPr>
          <w:sz w:val="22"/>
          <w:szCs w:val="22"/>
        </w:rPr>
        <w:t xml:space="preserve"> </w:t>
      </w:r>
      <w:r w:rsidRPr="0085135D">
        <w:rPr>
          <w:sz w:val="22"/>
          <w:szCs w:val="22"/>
        </w:rPr>
        <w:t xml:space="preserve">e-pasts: </w:t>
      </w:r>
      <w:hyperlink r:id="rId7" w:history="1">
        <w:r w:rsidRPr="00CE30A5">
          <w:rPr>
            <w:rStyle w:val="Hyperlink"/>
            <w:sz w:val="22"/>
            <w:szCs w:val="22"/>
          </w:rPr>
          <w:t>Andris.Lazarevs@em.gov.lv</w:t>
        </w:r>
      </w:hyperlink>
    </w:p>
    <w:p w:rsidR="00062EA9" w:rsidRDefault="00062EA9" w:rsidP="00062EA9">
      <w:pPr>
        <w:pStyle w:val="naisf"/>
        <w:tabs>
          <w:tab w:val="left" w:pos="0"/>
        </w:tabs>
        <w:spacing w:before="0" w:after="0"/>
        <w:ind w:right="57" w:firstLine="0"/>
      </w:pPr>
    </w:p>
    <w:p w:rsidR="00062EA9" w:rsidRPr="0085135D" w:rsidRDefault="003458F6" w:rsidP="00062EA9">
      <w:pPr>
        <w:rPr>
          <w:sz w:val="18"/>
          <w:szCs w:val="18"/>
        </w:rPr>
      </w:pPr>
      <w:r>
        <w:rPr>
          <w:sz w:val="18"/>
          <w:szCs w:val="18"/>
        </w:rPr>
        <w:t>02.10.</w:t>
      </w:r>
      <w:r w:rsidR="00062EA9" w:rsidRPr="0085135D">
        <w:rPr>
          <w:sz w:val="18"/>
          <w:szCs w:val="18"/>
        </w:rPr>
        <w:t>201</w:t>
      </w:r>
      <w:r w:rsidR="00062EA9">
        <w:rPr>
          <w:sz w:val="18"/>
          <w:szCs w:val="18"/>
        </w:rPr>
        <w:t>9</w:t>
      </w:r>
      <w:r w:rsidR="00062EA9" w:rsidRPr="0085135D">
        <w:rPr>
          <w:sz w:val="18"/>
          <w:szCs w:val="18"/>
        </w:rPr>
        <w:t>.</w:t>
      </w:r>
    </w:p>
    <w:bookmarkStart w:id="2" w:name="OLE_LINK3"/>
    <w:bookmarkStart w:id="3" w:name="OLE_LINK4"/>
    <w:p w:rsidR="00062EA9" w:rsidRPr="0085135D" w:rsidRDefault="00062EA9" w:rsidP="00062EA9">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3458F6">
        <w:rPr>
          <w:noProof/>
          <w:sz w:val="18"/>
          <w:szCs w:val="18"/>
        </w:rPr>
        <w:t>1367</w:t>
      </w:r>
      <w:r w:rsidRPr="0085135D">
        <w:rPr>
          <w:sz w:val="18"/>
          <w:szCs w:val="18"/>
        </w:rPr>
        <w:fldChar w:fldCharType="end"/>
      </w:r>
    </w:p>
    <w:p w:rsidR="00062EA9" w:rsidRDefault="00062EA9" w:rsidP="00062EA9">
      <w:pPr>
        <w:rPr>
          <w:sz w:val="18"/>
          <w:szCs w:val="18"/>
        </w:rPr>
      </w:pPr>
      <w:proofErr w:type="spellStart"/>
      <w:r>
        <w:rPr>
          <w:sz w:val="18"/>
          <w:szCs w:val="18"/>
        </w:rPr>
        <w:t>E.Bučinska</w:t>
      </w:r>
      <w:proofErr w:type="spellEnd"/>
      <w:r>
        <w:rPr>
          <w:sz w:val="18"/>
          <w:szCs w:val="18"/>
        </w:rPr>
        <w:t>, 67013032</w:t>
      </w:r>
    </w:p>
    <w:p w:rsidR="00062EA9" w:rsidRDefault="00062EA9" w:rsidP="00062EA9">
      <w:pPr>
        <w:rPr>
          <w:sz w:val="18"/>
          <w:szCs w:val="18"/>
        </w:rPr>
      </w:pPr>
      <w:hyperlink r:id="rId8" w:history="1">
        <w:r w:rsidRPr="00CE30A5">
          <w:rPr>
            <w:rStyle w:val="Hyperlink"/>
            <w:sz w:val="18"/>
            <w:szCs w:val="18"/>
          </w:rPr>
          <w:t>Elga.Bucinska@em.gov.lv</w:t>
        </w:r>
      </w:hyperlink>
    </w:p>
    <w:p w:rsidR="00062EA9" w:rsidRDefault="00062EA9" w:rsidP="00062EA9">
      <w:pPr>
        <w:rPr>
          <w:sz w:val="18"/>
          <w:szCs w:val="18"/>
        </w:rPr>
      </w:pPr>
    </w:p>
    <w:p w:rsidR="00062EA9" w:rsidRPr="0085135D" w:rsidRDefault="00062EA9" w:rsidP="00062EA9">
      <w:pPr>
        <w:rPr>
          <w:sz w:val="18"/>
          <w:szCs w:val="18"/>
        </w:rPr>
      </w:pPr>
      <w:proofErr w:type="spellStart"/>
      <w:r w:rsidRPr="0085135D">
        <w:rPr>
          <w:sz w:val="18"/>
          <w:szCs w:val="18"/>
        </w:rPr>
        <w:t>E.Avota</w:t>
      </w:r>
      <w:proofErr w:type="spellEnd"/>
      <w:r w:rsidRPr="0085135D">
        <w:rPr>
          <w:sz w:val="18"/>
          <w:szCs w:val="18"/>
        </w:rPr>
        <w:t xml:space="preserve">, </w:t>
      </w:r>
      <w:bookmarkEnd w:id="2"/>
      <w:bookmarkEnd w:id="3"/>
      <w:r w:rsidRPr="0085135D">
        <w:rPr>
          <w:sz w:val="18"/>
          <w:szCs w:val="18"/>
        </w:rPr>
        <w:t>67013262</w:t>
      </w:r>
      <w:bookmarkStart w:id="4" w:name="_GoBack"/>
      <w:bookmarkEnd w:id="4"/>
    </w:p>
    <w:p w:rsidR="002B6867" w:rsidRDefault="00062EA9">
      <w:hyperlink r:id="rId9" w:history="1">
        <w:r w:rsidRPr="00CC221B">
          <w:rPr>
            <w:rStyle w:val="Hyperlink"/>
            <w:sz w:val="18"/>
            <w:szCs w:val="18"/>
          </w:rPr>
          <w:t>Evija.Avota@em.gov.lv</w:t>
        </w:r>
      </w:hyperlink>
    </w:p>
    <w:sectPr w:rsidR="002B6867" w:rsidSect="00395058">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BB" w:rsidRDefault="00D967BB" w:rsidP="00D967BB">
      <w:r>
        <w:separator/>
      </w:r>
    </w:p>
  </w:endnote>
  <w:endnote w:type="continuationSeparator" w:id="0">
    <w:p w:rsidR="00D967BB" w:rsidRDefault="00D967BB" w:rsidP="00D9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Pr="007E7EC7" w:rsidRDefault="003458F6" w:rsidP="00597EC4">
    <w:pPr>
      <w:jc w:val="both"/>
      <w:rPr>
        <w:sz w:val="20"/>
        <w:szCs w:val="20"/>
      </w:rPr>
    </w:pPr>
    <w:r w:rsidRPr="007E7EC7">
      <w:rPr>
        <w:noProof/>
        <w:sz w:val="20"/>
        <w:szCs w:val="20"/>
      </w:rPr>
      <w:fldChar w:fldCharType="begin"/>
    </w:r>
    <w:r w:rsidRPr="007E7EC7">
      <w:rPr>
        <w:noProof/>
        <w:sz w:val="20"/>
        <w:szCs w:val="20"/>
      </w:rPr>
      <w:instrText xml:space="preserve"> FILENAME   \* MERGEFORMAT </w:instrText>
    </w:r>
    <w:r w:rsidRPr="007E7EC7">
      <w:rPr>
        <w:noProof/>
        <w:sz w:val="20"/>
        <w:szCs w:val="20"/>
      </w:rPr>
      <w:fldChar w:fldCharType="separate"/>
    </w:r>
    <w:r w:rsidR="00D967BB">
      <w:rPr>
        <w:noProof/>
        <w:sz w:val="20"/>
        <w:szCs w:val="20"/>
      </w:rPr>
      <w:t>EMizz_011019_groz631_Jura_VSS-598.docx</w:t>
    </w:r>
    <w:r w:rsidRPr="007E7EC7">
      <w:rPr>
        <w:noProof/>
        <w:sz w:val="20"/>
        <w:szCs w:val="20"/>
      </w:rPr>
      <w:fldChar w:fldCharType="end"/>
    </w:r>
    <w:r w:rsidRPr="007E7EC7">
      <w:rPr>
        <w:noProof/>
        <w:sz w:val="20"/>
        <w:szCs w:val="20"/>
      </w:rPr>
      <w:t xml:space="preserve">; </w:t>
    </w:r>
    <w:r w:rsidRPr="007E7EC7">
      <w:rPr>
        <w:sz w:val="20"/>
        <w:szCs w:val="20"/>
      </w:rPr>
      <w:t xml:space="preserve">Izziņa par atzinumos sniegtajiem iebildumiem noteikumu projektam “Grozījumi </w:t>
    </w:r>
    <w:r w:rsidRPr="007E7EC7">
      <w:rPr>
        <w:sz w:val="20"/>
        <w:szCs w:val="20"/>
      </w:rPr>
      <w:t>Ministru kabineta 2014.gada 14.oktobra noteikumos Nr.631 “Latvijas Republikas iekšējo jūras ūdeņu, teritoriālās jūras un ekskluzīvās ekonomiskās zonas būvju būvnoteikumi”” (VSS-598)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Pr="007E7EC7" w:rsidRDefault="003458F6" w:rsidP="00597EC4">
    <w:pPr>
      <w:jc w:val="both"/>
      <w:rPr>
        <w:sz w:val="20"/>
        <w:szCs w:val="20"/>
      </w:rPr>
    </w:pPr>
    <w:r w:rsidRPr="007E7EC7">
      <w:rPr>
        <w:noProof/>
        <w:sz w:val="20"/>
        <w:szCs w:val="20"/>
      </w:rPr>
      <w:fldChar w:fldCharType="begin"/>
    </w:r>
    <w:r w:rsidRPr="007E7EC7">
      <w:rPr>
        <w:noProof/>
        <w:sz w:val="20"/>
        <w:szCs w:val="20"/>
      </w:rPr>
      <w:instrText xml:space="preserve"> FILENAME   \* MERGEFORMAT </w:instrText>
    </w:r>
    <w:r w:rsidRPr="007E7EC7">
      <w:rPr>
        <w:noProof/>
        <w:sz w:val="20"/>
        <w:szCs w:val="20"/>
      </w:rPr>
      <w:fldChar w:fldCharType="separate"/>
    </w:r>
    <w:r w:rsidR="00D967BB">
      <w:rPr>
        <w:noProof/>
        <w:sz w:val="20"/>
        <w:szCs w:val="20"/>
      </w:rPr>
      <w:t>EMizz_011019_groz631_Jura_VSS-598.docx</w:t>
    </w:r>
    <w:r w:rsidRPr="007E7EC7">
      <w:rPr>
        <w:noProof/>
        <w:sz w:val="20"/>
        <w:szCs w:val="20"/>
      </w:rPr>
      <w:fldChar w:fldCharType="end"/>
    </w:r>
    <w:r w:rsidRPr="007E7EC7">
      <w:rPr>
        <w:noProof/>
        <w:sz w:val="20"/>
        <w:szCs w:val="20"/>
      </w:rPr>
      <w:t xml:space="preserve">; </w:t>
    </w:r>
    <w:r w:rsidRPr="007E7EC7">
      <w:rPr>
        <w:sz w:val="20"/>
        <w:szCs w:val="20"/>
      </w:rPr>
      <w:t>Izzi</w:t>
    </w:r>
    <w:r w:rsidRPr="007E7EC7">
      <w:rPr>
        <w:sz w:val="20"/>
        <w:szCs w:val="20"/>
      </w:rPr>
      <w:t>ņa par atzinumos sniegtajiem iebildumiem noteikumu projektam “Grozījumi Ministru kabineta 2014.gada 14.oktobra noteikumos Nr.631 “Latvijas Republikas iekšējo jūras ūdeņu, teritoriālās jūras un ekskluzīvās ekonomiskās zonas būvju būvnoteikumi”” (VSS-598)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BB" w:rsidRDefault="00D967BB" w:rsidP="00D967BB">
      <w:r>
        <w:separator/>
      </w:r>
    </w:p>
  </w:footnote>
  <w:footnote w:type="continuationSeparator" w:id="0">
    <w:p w:rsidR="00D967BB" w:rsidRDefault="00D967BB" w:rsidP="00D9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Default="003458F6"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2B2" w:rsidRDefault="0034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Default="003458F6"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9302B2" w:rsidRDefault="0034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A9"/>
    <w:rsid w:val="00062EA9"/>
    <w:rsid w:val="002B6867"/>
    <w:rsid w:val="003458F6"/>
    <w:rsid w:val="009B405C"/>
    <w:rsid w:val="00D96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17C9"/>
  <w15:chartTrackingRefBased/>
  <w15:docId w15:val="{DA154352-C702-4663-9F2C-883C6E10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EA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2EA9"/>
    <w:pPr>
      <w:spacing w:before="100" w:beforeAutospacing="1" w:after="100" w:afterAutospacing="1"/>
    </w:pPr>
  </w:style>
  <w:style w:type="paragraph" w:customStyle="1" w:styleId="naisf">
    <w:name w:val="naisf"/>
    <w:basedOn w:val="Normal"/>
    <w:rsid w:val="00062EA9"/>
    <w:pPr>
      <w:spacing w:before="75" w:after="75"/>
      <w:ind w:firstLine="375"/>
      <w:jc w:val="both"/>
    </w:pPr>
  </w:style>
  <w:style w:type="paragraph" w:customStyle="1" w:styleId="naisnod">
    <w:name w:val="naisnod"/>
    <w:basedOn w:val="Normal"/>
    <w:uiPriority w:val="99"/>
    <w:rsid w:val="00062EA9"/>
    <w:pPr>
      <w:spacing w:before="150" w:after="150"/>
      <w:jc w:val="center"/>
    </w:pPr>
    <w:rPr>
      <w:b/>
      <w:bCs/>
    </w:rPr>
  </w:style>
  <w:style w:type="paragraph" w:customStyle="1" w:styleId="naiskr">
    <w:name w:val="naiskr"/>
    <w:basedOn w:val="Normal"/>
    <w:rsid w:val="00062EA9"/>
    <w:pPr>
      <w:spacing w:before="75" w:after="75"/>
    </w:pPr>
  </w:style>
  <w:style w:type="paragraph" w:customStyle="1" w:styleId="naisc">
    <w:name w:val="naisc"/>
    <w:basedOn w:val="Normal"/>
    <w:rsid w:val="00062EA9"/>
    <w:pPr>
      <w:spacing w:before="75" w:after="75"/>
      <w:jc w:val="center"/>
    </w:pPr>
  </w:style>
  <w:style w:type="paragraph" w:styleId="Header">
    <w:name w:val="header"/>
    <w:basedOn w:val="Normal"/>
    <w:link w:val="HeaderChar"/>
    <w:uiPriority w:val="99"/>
    <w:rsid w:val="00062EA9"/>
    <w:pPr>
      <w:tabs>
        <w:tab w:val="center" w:pos="4153"/>
        <w:tab w:val="right" w:pos="8306"/>
      </w:tabs>
    </w:pPr>
  </w:style>
  <w:style w:type="character" w:customStyle="1" w:styleId="HeaderChar">
    <w:name w:val="Header Char"/>
    <w:basedOn w:val="DefaultParagraphFont"/>
    <w:link w:val="Header"/>
    <w:uiPriority w:val="99"/>
    <w:rsid w:val="00062EA9"/>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062EA9"/>
    <w:rPr>
      <w:rFonts w:cs="Times New Roman"/>
    </w:rPr>
  </w:style>
  <w:style w:type="character" w:styleId="Hyperlink">
    <w:name w:val="Hyperlink"/>
    <w:basedOn w:val="DefaultParagraphFont"/>
    <w:uiPriority w:val="99"/>
    <w:unhideWhenUsed/>
    <w:rsid w:val="00062EA9"/>
    <w:rPr>
      <w:color w:val="0563C1" w:themeColor="hyperlink"/>
      <w:u w:val="single"/>
    </w:rPr>
  </w:style>
  <w:style w:type="paragraph" w:styleId="Footer">
    <w:name w:val="footer"/>
    <w:basedOn w:val="Normal"/>
    <w:link w:val="FooterChar"/>
    <w:uiPriority w:val="99"/>
    <w:unhideWhenUsed/>
    <w:rsid w:val="00D967BB"/>
    <w:pPr>
      <w:tabs>
        <w:tab w:val="center" w:pos="4153"/>
        <w:tab w:val="right" w:pos="8306"/>
      </w:tabs>
    </w:pPr>
  </w:style>
  <w:style w:type="character" w:customStyle="1" w:styleId="FooterChar">
    <w:name w:val="Footer Char"/>
    <w:basedOn w:val="DefaultParagraphFont"/>
    <w:link w:val="Footer"/>
    <w:uiPriority w:val="99"/>
    <w:rsid w:val="00D967B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is.Lazarevs@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1394</Words>
  <Characters>10372</Characters>
  <Application>Microsoft Office Word</Application>
  <DocSecurity>0</DocSecurity>
  <Lines>384</Lines>
  <Paragraphs>98</Paragraphs>
  <ScaleCrop>false</ScaleCrop>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5</cp:revision>
  <dcterms:created xsi:type="dcterms:W3CDTF">2019-10-02T07:58:00Z</dcterms:created>
  <dcterms:modified xsi:type="dcterms:W3CDTF">2019-10-02T08:03:00Z</dcterms:modified>
</cp:coreProperties>
</file>