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53069A" w:rsidRDefault="00E63731" w:rsidP="00E63731">
      <w:pPr>
        <w:shd w:val="clear" w:color="auto" w:fill="FFFFFF"/>
        <w:spacing w:after="0" w:line="240" w:lineRule="auto"/>
        <w:jc w:val="center"/>
        <w:rPr>
          <w:rFonts w:ascii="Times New Roman" w:eastAsia="Times New Roman" w:hAnsi="Times New Roman" w:cs="Times New Roman"/>
          <w:b/>
          <w:bCs/>
          <w:sz w:val="28"/>
          <w:szCs w:val="24"/>
          <w:lang w:eastAsia="lv-LV"/>
        </w:rPr>
      </w:pPr>
      <w:r w:rsidRPr="0053069A">
        <w:rPr>
          <w:rFonts w:ascii="Times New Roman" w:eastAsia="Times New Roman" w:hAnsi="Times New Roman" w:cs="Times New Roman"/>
          <w:b/>
          <w:bCs/>
          <w:sz w:val="28"/>
          <w:szCs w:val="24"/>
          <w:lang w:eastAsia="lv-LV"/>
        </w:rPr>
        <w:t>Mini</w:t>
      </w:r>
      <w:r w:rsidR="0012544B" w:rsidRPr="0053069A">
        <w:rPr>
          <w:rFonts w:ascii="Times New Roman" w:eastAsia="Times New Roman" w:hAnsi="Times New Roman" w:cs="Times New Roman"/>
          <w:b/>
          <w:bCs/>
          <w:sz w:val="28"/>
          <w:szCs w:val="24"/>
          <w:lang w:eastAsia="lv-LV"/>
        </w:rPr>
        <w:t>stru kabineta noteikumu projekta</w:t>
      </w:r>
      <w:r w:rsidRPr="0053069A">
        <w:rPr>
          <w:rFonts w:ascii="Times New Roman" w:eastAsia="Times New Roman" w:hAnsi="Times New Roman" w:cs="Times New Roman"/>
          <w:b/>
          <w:bCs/>
          <w:sz w:val="28"/>
          <w:szCs w:val="24"/>
          <w:lang w:eastAsia="lv-LV"/>
        </w:rPr>
        <w:t xml:space="preserve"> </w:t>
      </w:r>
      <w:r w:rsidR="0012544B" w:rsidRPr="0053069A">
        <w:rPr>
          <w:rFonts w:ascii="Times New Roman" w:eastAsia="Times New Roman" w:hAnsi="Times New Roman" w:cs="Times New Roman"/>
          <w:b/>
          <w:bCs/>
          <w:sz w:val="28"/>
          <w:szCs w:val="24"/>
          <w:lang w:eastAsia="lv-LV"/>
        </w:rPr>
        <w:t>„</w:t>
      </w:r>
      <w:r w:rsidRPr="0053069A">
        <w:rPr>
          <w:rFonts w:ascii="Times New Roman" w:eastAsia="Times New Roman" w:hAnsi="Times New Roman" w:cs="Times New Roman"/>
          <w:b/>
          <w:bCs/>
          <w:sz w:val="28"/>
          <w:szCs w:val="24"/>
          <w:lang w:eastAsia="lv-LV"/>
        </w:rPr>
        <w:t>Grozījumi Ministru kabineta 2017.gada 14.novembra noteikumos Nr.676 “Noteikumi par neapliekamā minimuma un nodokļa atvieglojuma apmēru iedzīvotāju ienākuma nodokļa aprēķināšanai”</w:t>
      </w:r>
      <w:r w:rsidR="0012544B" w:rsidRPr="0053069A">
        <w:rPr>
          <w:rFonts w:ascii="Times New Roman" w:eastAsia="Times New Roman" w:hAnsi="Times New Roman" w:cs="Times New Roman"/>
          <w:b/>
          <w:bCs/>
          <w:sz w:val="28"/>
          <w:szCs w:val="24"/>
          <w:lang w:eastAsia="lv-LV"/>
        </w:rPr>
        <w:t>”</w:t>
      </w:r>
      <w:r w:rsidRPr="0053069A">
        <w:rPr>
          <w:rFonts w:ascii="Times New Roman" w:eastAsia="Times New Roman" w:hAnsi="Times New Roman" w:cs="Times New Roman"/>
          <w:b/>
          <w:bCs/>
          <w:sz w:val="28"/>
          <w:szCs w:val="24"/>
          <w:lang w:eastAsia="lv-LV"/>
        </w:rPr>
        <w:t xml:space="preserve"> </w:t>
      </w:r>
      <w:r w:rsidR="00894C55" w:rsidRPr="0053069A">
        <w:rPr>
          <w:rFonts w:ascii="Times New Roman" w:eastAsia="Times New Roman" w:hAnsi="Times New Roman" w:cs="Times New Roman"/>
          <w:b/>
          <w:bCs/>
          <w:sz w:val="28"/>
          <w:szCs w:val="24"/>
          <w:lang w:eastAsia="lv-LV"/>
        </w:rPr>
        <w:t>sākotnējās ietekmes novērtējuma ziņojums (anotācija)</w:t>
      </w:r>
    </w:p>
    <w:p w:rsidR="00E5323B" w:rsidRPr="00E6373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63731" w:rsidRPr="00E6373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Tiesību akta projekta anotācijas kopsavilkums</w:t>
            </w:r>
          </w:p>
        </w:tc>
      </w:tr>
      <w:tr w:rsidR="00E63731" w:rsidRPr="00E63731" w:rsidTr="00881D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rsidR="00046395" w:rsidRDefault="00C569AB" w:rsidP="00C569AB">
            <w:pPr>
              <w:spacing w:after="0" w:line="240" w:lineRule="auto"/>
              <w:jc w:val="both"/>
              <w:rPr>
                <w:rFonts w:ascii="Times New Roman" w:eastAsia="Calibri" w:hAnsi="Times New Roman" w:cs="Times New Roman"/>
                <w:sz w:val="24"/>
                <w:szCs w:val="24"/>
              </w:rPr>
            </w:pPr>
            <w:r w:rsidRPr="00C569AB">
              <w:rPr>
                <w:rFonts w:ascii="Times New Roman" w:eastAsia="Calibri" w:hAnsi="Times New Roman" w:cs="Times New Roman"/>
                <w:sz w:val="24"/>
                <w:szCs w:val="24"/>
              </w:rPr>
              <w:t xml:space="preserve">Ministru kabineta noteikumu projekts </w:t>
            </w:r>
            <w:r w:rsidR="004520C1" w:rsidRPr="004520C1">
              <w:rPr>
                <w:rFonts w:ascii="Times New Roman" w:eastAsia="Calibri" w:hAnsi="Times New Roman" w:cs="Times New Roman"/>
                <w:sz w:val="24"/>
                <w:szCs w:val="24"/>
              </w:rPr>
              <w:t>„</w:t>
            </w:r>
            <w:r w:rsidRPr="00C569AB">
              <w:rPr>
                <w:rFonts w:ascii="Times New Roman" w:eastAsia="Calibri" w:hAnsi="Times New Roman" w:cs="Times New Roman"/>
                <w:sz w:val="24"/>
                <w:szCs w:val="24"/>
              </w:rPr>
              <w:t>Grozījumi Ministru kabineta 2017.gada 14.novembra noteikumos Nr.676 “Noteikumi par neapliekamā minimuma un nodokļa atvieglojuma apmēru iedzīvotāju ienākuma nodokļa aprēķināšanai”</w:t>
            </w:r>
            <w:r w:rsidR="004520C1">
              <w:rPr>
                <w:rFonts w:ascii="Times New Roman" w:eastAsia="Calibri" w:hAnsi="Times New Roman" w:cs="Times New Roman"/>
                <w:sz w:val="24"/>
                <w:szCs w:val="24"/>
              </w:rPr>
              <w:t>”</w:t>
            </w:r>
            <w:r w:rsidR="00984697">
              <w:rPr>
                <w:rFonts w:ascii="Times New Roman" w:eastAsia="Calibri" w:hAnsi="Times New Roman" w:cs="Times New Roman"/>
                <w:sz w:val="24"/>
                <w:szCs w:val="24"/>
              </w:rPr>
              <w:t xml:space="preserve"> (turpmāk – p</w:t>
            </w:r>
            <w:r>
              <w:rPr>
                <w:rFonts w:ascii="Times New Roman" w:eastAsia="Calibri" w:hAnsi="Times New Roman" w:cs="Times New Roman"/>
                <w:sz w:val="24"/>
                <w:szCs w:val="24"/>
              </w:rPr>
              <w:t>rojekts) paredz</w:t>
            </w:r>
            <w:r w:rsidR="00046395">
              <w:rPr>
                <w:rFonts w:ascii="Times New Roman" w:eastAsia="Calibri" w:hAnsi="Times New Roman" w:cs="Times New Roman"/>
                <w:sz w:val="24"/>
                <w:szCs w:val="24"/>
              </w:rPr>
              <w:t>:</w:t>
            </w:r>
          </w:p>
          <w:p w:rsidR="00046395" w:rsidRDefault="00046395" w:rsidP="00C569A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Pr="00062333">
              <w:rPr>
                <w:rFonts w:ascii="Times New Roman" w:eastAsia="Times New Roman" w:hAnsi="Times New Roman"/>
                <w:sz w:val="24"/>
                <w:szCs w:val="24"/>
                <w:lang w:eastAsia="lv-LV"/>
              </w:rPr>
              <w:t xml:space="preserve">paaugstināt maksimālo gada neapliekamo minimumu no </w:t>
            </w:r>
            <w:r>
              <w:rPr>
                <w:rFonts w:ascii="Times New Roman" w:eastAsia="Times New Roman" w:hAnsi="Times New Roman"/>
                <w:sz w:val="24"/>
                <w:szCs w:val="24"/>
                <w:lang w:eastAsia="lv-LV"/>
              </w:rPr>
              <w:t xml:space="preserve">2020.gada līdz </w:t>
            </w:r>
            <w:r w:rsidR="00D70907">
              <w:rPr>
                <w:rFonts w:ascii="Times New Roman" w:eastAsia="Times New Roman" w:hAnsi="Times New Roman"/>
                <w:sz w:val="24"/>
                <w:szCs w:val="24"/>
                <w:lang w:eastAsia="lv-LV"/>
              </w:rPr>
              <w:t xml:space="preserve">3600 </w:t>
            </w:r>
            <w:proofErr w:type="spellStart"/>
            <w:r w:rsidR="00D70907" w:rsidRPr="00076CFC">
              <w:rPr>
                <w:rFonts w:ascii="Times New Roman" w:eastAsia="Times New Roman" w:hAnsi="Times New Roman"/>
                <w:i/>
                <w:sz w:val="24"/>
                <w:szCs w:val="24"/>
                <w:lang w:eastAsia="lv-LV"/>
              </w:rPr>
              <w:t>euro</w:t>
            </w:r>
            <w:proofErr w:type="spellEnd"/>
            <w:r w:rsidR="00D7090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062333">
              <w:rPr>
                <w:rFonts w:ascii="Times New Roman" w:eastAsia="Times New Roman" w:hAnsi="Times New Roman"/>
                <w:sz w:val="24"/>
                <w:szCs w:val="24"/>
                <w:lang w:eastAsia="lv-LV"/>
              </w:rPr>
              <w:t xml:space="preserve"> </w:t>
            </w:r>
          </w:p>
          <w:p w:rsidR="00046395" w:rsidRDefault="00046395" w:rsidP="00C569A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r w:rsidRPr="00062333">
              <w:rPr>
                <w:rFonts w:ascii="Times New Roman" w:eastAsia="Times New Roman" w:hAnsi="Times New Roman"/>
                <w:sz w:val="24"/>
                <w:szCs w:val="24"/>
                <w:lang w:eastAsia="lv-LV"/>
              </w:rPr>
              <w:t xml:space="preserve">paaugstināt līdz </w:t>
            </w:r>
            <w:r w:rsidR="00D70907">
              <w:rPr>
                <w:rFonts w:ascii="Times New Roman" w:eastAsia="Times New Roman" w:hAnsi="Times New Roman"/>
                <w:sz w:val="24"/>
                <w:szCs w:val="24"/>
                <w:lang w:eastAsia="lv-LV"/>
              </w:rPr>
              <w:t xml:space="preserve">6000 </w:t>
            </w:r>
            <w:proofErr w:type="spellStart"/>
            <w:r w:rsidR="00D70907">
              <w:rPr>
                <w:rFonts w:ascii="Times New Roman" w:eastAsia="Times New Roman" w:hAnsi="Times New Roman"/>
                <w:i/>
                <w:sz w:val="24"/>
                <w:szCs w:val="24"/>
                <w:lang w:eastAsia="lv-LV"/>
              </w:rPr>
              <w:t>euro</w:t>
            </w:r>
            <w:proofErr w:type="spellEnd"/>
            <w:r w:rsidR="00D70907" w:rsidRPr="00062333">
              <w:rPr>
                <w:rFonts w:ascii="Times New Roman" w:eastAsia="Times New Roman" w:hAnsi="Times New Roman"/>
                <w:sz w:val="24"/>
                <w:szCs w:val="24"/>
                <w:lang w:eastAsia="lv-LV"/>
              </w:rPr>
              <w:t xml:space="preserve"> </w:t>
            </w:r>
            <w:r w:rsidRPr="00062333">
              <w:rPr>
                <w:rFonts w:ascii="Times New Roman" w:eastAsia="Times New Roman" w:hAnsi="Times New Roman"/>
                <w:sz w:val="24"/>
                <w:szCs w:val="24"/>
                <w:lang w:eastAsia="lv-LV"/>
              </w:rPr>
              <w:t>augstāko robežu, līdz kurai piemēro maksimālo gada neapliekamo minimumu</w:t>
            </w:r>
            <w:r>
              <w:rPr>
                <w:rFonts w:ascii="Times New Roman" w:eastAsia="Times New Roman" w:hAnsi="Times New Roman"/>
                <w:sz w:val="24"/>
                <w:szCs w:val="24"/>
                <w:lang w:eastAsia="lv-LV"/>
              </w:rPr>
              <w:t>;</w:t>
            </w:r>
          </w:p>
          <w:p w:rsidR="00046395" w:rsidRDefault="00046395" w:rsidP="00C569A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4C5E00">
              <w:rPr>
                <w:rFonts w:ascii="Times New Roman" w:eastAsia="Times New Roman" w:hAnsi="Times New Roman"/>
                <w:sz w:val="24"/>
                <w:szCs w:val="24"/>
                <w:lang w:eastAsia="lv-LV"/>
              </w:rPr>
              <w:t xml:space="preserve"> precizēt </w:t>
            </w:r>
            <w:r w:rsidR="00076CFC">
              <w:rPr>
                <w:rFonts w:ascii="Times New Roman" w:eastAsia="Times New Roman" w:hAnsi="Times New Roman"/>
                <w:sz w:val="24"/>
                <w:szCs w:val="24"/>
                <w:lang w:eastAsia="lv-LV"/>
              </w:rPr>
              <w:t xml:space="preserve">no 2020.gada </w:t>
            </w:r>
            <w:r w:rsidR="004C5E00">
              <w:rPr>
                <w:rFonts w:ascii="Times New Roman" w:eastAsia="Times New Roman" w:hAnsi="Times New Roman"/>
                <w:sz w:val="24"/>
                <w:szCs w:val="24"/>
                <w:lang w:eastAsia="lv-LV"/>
              </w:rPr>
              <w:t xml:space="preserve">neapliekamā minimuma aprēķina formulās </w:t>
            </w:r>
            <w:r w:rsidR="00076CFC">
              <w:rPr>
                <w:rFonts w:ascii="Times New Roman" w:eastAsia="Times New Roman" w:hAnsi="Times New Roman"/>
                <w:sz w:val="24"/>
                <w:szCs w:val="24"/>
                <w:lang w:eastAsia="lv-LV"/>
              </w:rPr>
              <w:t xml:space="preserve">piemērojamo </w:t>
            </w:r>
            <w:r w:rsidR="004C5E00">
              <w:rPr>
                <w:rFonts w:ascii="Times New Roman" w:eastAsia="Times New Roman" w:hAnsi="Times New Roman"/>
                <w:sz w:val="24"/>
                <w:szCs w:val="24"/>
                <w:lang w:eastAsia="lv-LV"/>
              </w:rPr>
              <w:t>koeficientu;</w:t>
            </w:r>
          </w:p>
          <w:p w:rsidR="00E5323B" w:rsidRDefault="00046395" w:rsidP="00C569AB">
            <w:pPr>
              <w:spacing w:after="0" w:line="240" w:lineRule="auto"/>
              <w:jc w:val="both"/>
              <w:rPr>
                <w:rFonts w:ascii="Times New Roman" w:eastAsia="Calibri" w:hAnsi="Times New Roman" w:cs="Times New Roman"/>
                <w:sz w:val="24"/>
                <w:szCs w:val="24"/>
              </w:rPr>
            </w:pPr>
            <w:r>
              <w:rPr>
                <w:rFonts w:ascii="Times New Roman" w:eastAsia="Times New Roman" w:hAnsi="Times New Roman"/>
                <w:sz w:val="24"/>
                <w:szCs w:val="24"/>
                <w:lang w:eastAsia="lv-LV"/>
              </w:rPr>
              <w:t>4)</w:t>
            </w:r>
            <w:r w:rsidR="00C569AB">
              <w:rPr>
                <w:rFonts w:ascii="Times New Roman" w:eastAsia="Calibri" w:hAnsi="Times New Roman" w:cs="Times New Roman"/>
                <w:sz w:val="24"/>
                <w:szCs w:val="24"/>
              </w:rPr>
              <w:t xml:space="preserve"> papildināt </w:t>
            </w:r>
            <w:r w:rsidR="00C569AB" w:rsidRPr="00C569AB">
              <w:rPr>
                <w:rFonts w:ascii="Times New Roman" w:eastAsia="Calibri" w:hAnsi="Times New Roman" w:cs="Times New Roman"/>
                <w:sz w:val="24"/>
                <w:szCs w:val="24"/>
              </w:rPr>
              <w:t>Valsts ieņēmumu dienesta prognozētā mēneša neapliekamā minimuma aprēķina formul</w:t>
            </w:r>
            <w:r w:rsidR="00C569AB">
              <w:rPr>
                <w:rFonts w:ascii="Times New Roman" w:eastAsia="Calibri" w:hAnsi="Times New Roman" w:cs="Times New Roman"/>
                <w:sz w:val="24"/>
                <w:szCs w:val="24"/>
              </w:rPr>
              <w:t>u</w:t>
            </w:r>
            <w:r w:rsidR="00C569AB" w:rsidRPr="00C569AB">
              <w:rPr>
                <w:rFonts w:ascii="Times New Roman" w:eastAsia="Calibri" w:hAnsi="Times New Roman" w:cs="Times New Roman"/>
                <w:sz w:val="24"/>
                <w:szCs w:val="24"/>
              </w:rPr>
              <w:t xml:space="preserve"> ar paredzamo ienākumu pieauguma koeficientu, lai iedzīvotāju ienākuma nodokļa maksātājiem, pieaugot  ienākumiem, nerastos iedzīvotāju ienākuma nodokļa piemaksas.</w:t>
            </w:r>
          </w:p>
          <w:p w:rsidR="00C569AB" w:rsidRPr="005A0635" w:rsidRDefault="003B1842" w:rsidP="00076CFC">
            <w:pPr>
              <w:spacing w:after="0" w:line="240" w:lineRule="auto"/>
              <w:jc w:val="both"/>
              <w:rPr>
                <w:rFonts w:ascii="Times New Roman" w:eastAsia="Times New Roman" w:hAnsi="Times New Roman" w:cs="Times New Roman"/>
                <w:iCs/>
                <w:sz w:val="24"/>
                <w:szCs w:val="24"/>
                <w:lang w:eastAsia="lv-LV"/>
              </w:rPr>
            </w:pPr>
            <w:r w:rsidRPr="005A0635">
              <w:rPr>
                <w:rFonts w:ascii="Times New Roman" w:eastAsia="Times New Roman" w:hAnsi="Times New Roman" w:cs="Times New Roman"/>
                <w:iCs/>
                <w:sz w:val="24"/>
                <w:szCs w:val="24"/>
                <w:lang w:eastAsia="lv-LV"/>
              </w:rPr>
              <w:t xml:space="preserve">Projekts stājas spēkā vispārējā kārtībā, </w:t>
            </w:r>
            <w:r w:rsidR="00076CFC">
              <w:rPr>
                <w:rFonts w:ascii="Times New Roman" w:eastAsia="Times New Roman" w:hAnsi="Times New Roman" w:cs="Times New Roman"/>
                <w:iCs/>
                <w:sz w:val="24"/>
                <w:szCs w:val="24"/>
                <w:lang w:eastAsia="lv-LV"/>
              </w:rPr>
              <w:t>n</w:t>
            </w:r>
            <w:r w:rsidR="00076CFC" w:rsidRPr="00076CFC">
              <w:rPr>
                <w:rFonts w:ascii="Times New Roman" w:eastAsia="Times New Roman" w:hAnsi="Times New Roman" w:cs="Times New Roman"/>
                <w:iCs/>
                <w:sz w:val="24"/>
                <w:szCs w:val="24"/>
                <w:lang w:eastAsia="lv-LV"/>
              </w:rPr>
              <w:t>oteikumu 1.1., 1.2. un 1.3. apakšpunkts stājas spēkā 2020.gada 1.janvārī</w:t>
            </w:r>
            <w:r w:rsidR="00076CFC">
              <w:rPr>
                <w:rFonts w:ascii="Times New Roman" w:eastAsia="Times New Roman" w:hAnsi="Times New Roman" w:cs="Times New Roman"/>
                <w:iCs/>
                <w:sz w:val="24"/>
                <w:szCs w:val="24"/>
                <w:lang w:eastAsia="lv-LV"/>
              </w:rPr>
              <w:t xml:space="preserve">, </w:t>
            </w:r>
            <w:r w:rsidRPr="005A0635">
              <w:rPr>
                <w:rFonts w:ascii="Times New Roman" w:eastAsia="Times New Roman" w:hAnsi="Times New Roman" w:cs="Times New Roman"/>
                <w:iCs/>
                <w:sz w:val="24"/>
                <w:szCs w:val="24"/>
                <w:lang w:eastAsia="lv-LV"/>
              </w:rPr>
              <w:t>noteikumu 1.</w:t>
            </w:r>
            <w:r w:rsidR="00076CFC">
              <w:rPr>
                <w:rFonts w:ascii="Times New Roman" w:eastAsia="Times New Roman" w:hAnsi="Times New Roman" w:cs="Times New Roman"/>
                <w:iCs/>
                <w:sz w:val="24"/>
                <w:szCs w:val="24"/>
                <w:lang w:eastAsia="lv-LV"/>
              </w:rPr>
              <w:t>5</w:t>
            </w:r>
            <w:r w:rsidRPr="005A0635">
              <w:rPr>
                <w:rFonts w:ascii="Times New Roman" w:eastAsia="Times New Roman" w:hAnsi="Times New Roman" w:cs="Times New Roman"/>
                <w:iCs/>
                <w:sz w:val="24"/>
                <w:szCs w:val="24"/>
                <w:lang w:eastAsia="lv-LV"/>
              </w:rPr>
              <w:t>. un 1.</w:t>
            </w:r>
            <w:r w:rsidR="00076CFC">
              <w:rPr>
                <w:rFonts w:ascii="Times New Roman" w:eastAsia="Times New Roman" w:hAnsi="Times New Roman" w:cs="Times New Roman"/>
                <w:iCs/>
                <w:sz w:val="24"/>
                <w:szCs w:val="24"/>
                <w:lang w:eastAsia="lv-LV"/>
              </w:rPr>
              <w:t>11</w:t>
            </w:r>
            <w:r w:rsidRPr="005A0635">
              <w:rPr>
                <w:rFonts w:ascii="Times New Roman" w:eastAsia="Times New Roman" w:hAnsi="Times New Roman" w:cs="Times New Roman"/>
                <w:iCs/>
                <w:sz w:val="24"/>
                <w:szCs w:val="24"/>
                <w:lang w:eastAsia="lv-LV"/>
              </w:rPr>
              <w:t>. apakšpunkts ir piemērojams ar 2020.gada 1.janvāri un noteikumu 1.</w:t>
            </w:r>
            <w:r w:rsidR="00076CFC">
              <w:rPr>
                <w:rFonts w:ascii="Times New Roman" w:eastAsia="Times New Roman" w:hAnsi="Times New Roman" w:cs="Times New Roman"/>
                <w:iCs/>
                <w:sz w:val="24"/>
                <w:szCs w:val="24"/>
                <w:lang w:eastAsia="lv-LV"/>
              </w:rPr>
              <w:t>9</w:t>
            </w:r>
            <w:r w:rsidRPr="005A0635">
              <w:rPr>
                <w:rFonts w:ascii="Times New Roman" w:eastAsia="Times New Roman" w:hAnsi="Times New Roman" w:cs="Times New Roman"/>
                <w:iCs/>
                <w:sz w:val="24"/>
                <w:szCs w:val="24"/>
                <w:lang w:eastAsia="lv-LV"/>
              </w:rPr>
              <w:t>. un 1.</w:t>
            </w:r>
            <w:r w:rsidR="00076CFC">
              <w:rPr>
                <w:rFonts w:ascii="Times New Roman" w:eastAsia="Times New Roman" w:hAnsi="Times New Roman" w:cs="Times New Roman"/>
                <w:iCs/>
                <w:sz w:val="24"/>
                <w:szCs w:val="24"/>
                <w:lang w:eastAsia="lv-LV"/>
              </w:rPr>
              <w:t>10</w:t>
            </w:r>
            <w:r w:rsidRPr="005A0635">
              <w:rPr>
                <w:rFonts w:ascii="Times New Roman" w:eastAsia="Times New Roman" w:hAnsi="Times New Roman" w:cs="Times New Roman"/>
                <w:iCs/>
                <w:sz w:val="24"/>
                <w:szCs w:val="24"/>
                <w:lang w:eastAsia="lv-LV"/>
              </w:rPr>
              <w:t>. apakšpunkts ir piemērojams, sākot ar 2019.taksācijas gadu.</w:t>
            </w:r>
          </w:p>
        </w:tc>
      </w:tr>
    </w:tbl>
    <w:p w:rsidR="00E5323B" w:rsidRPr="00E63731" w:rsidRDefault="00E5323B" w:rsidP="00E5323B">
      <w:pPr>
        <w:spacing w:after="0" w:line="240" w:lineRule="auto"/>
        <w:rPr>
          <w:rFonts w:ascii="Times New Roman" w:eastAsia="Times New Roman" w:hAnsi="Times New Roman" w:cs="Times New Roman"/>
          <w:iCs/>
          <w:sz w:val="24"/>
          <w:szCs w:val="24"/>
          <w:lang w:val="sv-SE" w:eastAsia="lv-LV"/>
        </w:rPr>
      </w:pPr>
      <w:r w:rsidRPr="00E6373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 Tiesību akta projekta izstrādes nepieciešamība</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DD7DE5" w:rsidRDefault="00046395" w:rsidP="004C5E0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w:t>
            </w:r>
            <w:r w:rsidR="004C5E00">
              <w:rPr>
                <w:rFonts w:ascii="Times New Roman" w:eastAsia="Times New Roman" w:hAnsi="Times New Roman" w:cs="Times New Roman"/>
                <w:iCs/>
                <w:sz w:val="24"/>
                <w:szCs w:val="24"/>
                <w:lang w:eastAsia="lv-LV"/>
              </w:rPr>
              <w:t xml:space="preserve">2019.gada 13.septembra sēdes protokola Nr.41 </w:t>
            </w:r>
            <w:r w:rsidR="004C5E00" w:rsidRPr="004C5E00">
              <w:rPr>
                <w:rFonts w:ascii="Times New Roman" w:eastAsia="Times New Roman" w:hAnsi="Times New Roman" w:cs="Times New Roman"/>
                <w:iCs/>
                <w:sz w:val="24"/>
                <w:szCs w:val="24"/>
                <w:lang w:eastAsia="lv-LV"/>
              </w:rPr>
              <w:t>1.§</w:t>
            </w:r>
            <w:r w:rsidR="004C5E00">
              <w:rPr>
                <w:rFonts w:ascii="Times New Roman" w:eastAsia="Times New Roman" w:hAnsi="Times New Roman" w:cs="Times New Roman"/>
                <w:iCs/>
                <w:sz w:val="24"/>
                <w:szCs w:val="24"/>
                <w:lang w:eastAsia="lv-LV"/>
              </w:rPr>
              <w:t xml:space="preserve"> </w:t>
            </w:r>
            <w:r w:rsidR="009F24A5">
              <w:rPr>
                <w:rFonts w:ascii="Times New Roman" w:eastAsia="Times New Roman" w:hAnsi="Times New Roman" w:cs="Times New Roman"/>
                <w:iCs/>
                <w:sz w:val="24"/>
                <w:szCs w:val="24"/>
                <w:lang w:eastAsia="lv-LV"/>
              </w:rPr>
              <w:t>“</w:t>
            </w:r>
            <w:r w:rsidR="004C5E00">
              <w:rPr>
                <w:rFonts w:ascii="Times New Roman" w:eastAsia="Times New Roman" w:hAnsi="Times New Roman" w:cs="Times New Roman"/>
                <w:iCs/>
                <w:sz w:val="24"/>
                <w:szCs w:val="24"/>
                <w:lang w:eastAsia="lv-LV"/>
              </w:rPr>
              <w:t>Informatīvais ziņojums “</w:t>
            </w:r>
            <w:r w:rsidR="004C5E00" w:rsidRPr="004C5E00">
              <w:rPr>
                <w:rFonts w:ascii="Times New Roman" w:eastAsia="Times New Roman" w:hAnsi="Times New Roman" w:cs="Times New Roman"/>
                <w:iCs/>
                <w:sz w:val="24"/>
                <w:szCs w:val="24"/>
                <w:lang w:eastAsia="lv-LV"/>
              </w:rPr>
              <w:t>Par fiskālās telpas pasākumiem un izdevumiem prioritārajiem pasākumiem valsts budžetam 2020.gad</w:t>
            </w:r>
            <w:r w:rsidR="004C5E00">
              <w:rPr>
                <w:rFonts w:ascii="Times New Roman" w:eastAsia="Times New Roman" w:hAnsi="Times New Roman" w:cs="Times New Roman"/>
                <w:iCs/>
                <w:sz w:val="24"/>
                <w:szCs w:val="24"/>
                <w:lang w:eastAsia="lv-LV"/>
              </w:rPr>
              <w:t>am un ietvaram 2020.–2022.gadam”</w:t>
            </w:r>
            <w:r w:rsidR="009F24A5">
              <w:rPr>
                <w:rFonts w:ascii="Times New Roman" w:eastAsia="Times New Roman" w:hAnsi="Times New Roman" w:cs="Times New Roman"/>
                <w:iCs/>
                <w:sz w:val="24"/>
                <w:szCs w:val="24"/>
                <w:lang w:eastAsia="lv-LV"/>
              </w:rPr>
              <w:t>”</w:t>
            </w:r>
            <w:r w:rsidR="004C5E00">
              <w:rPr>
                <w:rFonts w:ascii="Times New Roman" w:eastAsia="Times New Roman" w:hAnsi="Times New Roman" w:cs="Times New Roman"/>
                <w:iCs/>
                <w:sz w:val="24"/>
                <w:szCs w:val="24"/>
                <w:lang w:eastAsia="lv-LV"/>
              </w:rPr>
              <w:t xml:space="preserve"> 18.punkts.</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AD04FC"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1F5AC6" w:rsidRPr="00AD04FC" w:rsidRDefault="001F5AC6" w:rsidP="00D70907">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E5323B" w:rsidRPr="001F5AC6" w:rsidRDefault="00E5323B" w:rsidP="001F5AC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DE2E98" w:rsidRDefault="00DE2E98" w:rsidP="00EE6B71">
            <w:pPr>
              <w:spacing w:after="0" w:line="240" w:lineRule="auto"/>
              <w:jc w:val="both"/>
              <w:rPr>
                <w:rFonts w:ascii="Times New Roman" w:eastAsia="Calibri" w:hAnsi="Times New Roman" w:cs="Times New Roman"/>
                <w:i/>
                <w:sz w:val="24"/>
                <w:szCs w:val="24"/>
              </w:rPr>
            </w:pPr>
            <w:r>
              <w:rPr>
                <w:rFonts w:ascii="Times New Roman" w:eastAsia="Times New Roman" w:hAnsi="Times New Roman" w:cs="Times New Roman"/>
                <w:i/>
                <w:iCs/>
                <w:sz w:val="24"/>
                <w:szCs w:val="24"/>
                <w:lang w:eastAsia="lv-LV"/>
              </w:rPr>
              <w:lastRenderedPageBreak/>
              <w:t xml:space="preserve">Grozījumi </w:t>
            </w:r>
            <w:r w:rsidRPr="00E41DE9">
              <w:rPr>
                <w:rFonts w:ascii="Times New Roman" w:eastAsia="Times New Roman" w:hAnsi="Times New Roman" w:cs="Times New Roman"/>
                <w:i/>
                <w:iCs/>
                <w:sz w:val="24"/>
                <w:szCs w:val="24"/>
                <w:lang w:eastAsia="lv-LV"/>
              </w:rPr>
              <w:t>Ministru kabineta 2017.gada 14.novembra noteikum</w:t>
            </w:r>
            <w:r>
              <w:rPr>
                <w:rFonts w:ascii="Times New Roman" w:eastAsia="Times New Roman" w:hAnsi="Times New Roman" w:cs="Times New Roman"/>
                <w:i/>
                <w:iCs/>
                <w:sz w:val="24"/>
                <w:szCs w:val="24"/>
                <w:lang w:eastAsia="lv-LV"/>
              </w:rPr>
              <w:t>u</w:t>
            </w:r>
            <w:r w:rsidRPr="00E41DE9">
              <w:rPr>
                <w:rFonts w:ascii="Times New Roman" w:eastAsia="Times New Roman" w:hAnsi="Times New Roman" w:cs="Times New Roman"/>
                <w:i/>
                <w:iCs/>
                <w:sz w:val="24"/>
                <w:szCs w:val="24"/>
                <w:lang w:eastAsia="lv-LV"/>
              </w:rPr>
              <w:t xml:space="preserve"> Nr.676 “Noteikumi par neapliekamā minimuma un nodokļa atvieglojuma apmēru iedzīvotāju ienākuma nodokļa aprēķināšanai” (turpmāk - </w:t>
            </w:r>
            <w:r w:rsidRPr="00E41DE9">
              <w:rPr>
                <w:rFonts w:ascii="Times New Roman" w:eastAsia="Calibri" w:hAnsi="Times New Roman" w:cs="Times New Roman"/>
                <w:i/>
                <w:sz w:val="24"/>
                <w:szCs w:val="24"/>
              </w:rPr>
              <w:t>Ministru kabineta noteikumi Nr.676)</w:t>
            </w:r>
            <w:r>
              <w:rPr>
                <w:rFonts w:ascii="Times New Roman" w:eastAsia="Calibri" w:hAnsi="Times New Roman" w:cs="Times New Roman"/>
                <w:i/>
                <w:sz w:val="24"/>
                <w:szCs w:val="24"/>
              </w:rPr>
              <w:t xml:space="preserve"> 3.punktā.</w:t>
            </w:r>
            <w:r w:rsidR="00B47251">
              <w:rPr>
                <w:rFonts w:ascii="Times New Roman" w:eastAsia="Calibri" w:hAnsi="Times New Roman" w:cs="Times New Roman"/>
                <w:i/>
                <w:sz w:val="24"/>
                <w:szCs w:val="24"/>
              </w:rPr>
              <w:t xml:space="preserve"> </w:t>
            </w:r>
          </w:p>
          <w:p w:rsidR="00DE2E98" w:rsidRPr="00064397" w:rsidRDefault="00DE2E98" w:rsidP="00EE6B71">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i/>
                <w:sz w:val="24"/>
                <w:szCs w:val="24"/>
              </w:rPr>
              <w:t xml:space="preserve"> </w:t>
            </w:r>
          </w:p>
          <w:p w:rsidR="003F532A" w:rsidRDefault="003F532A" w:rsidP="00DE2E98">
            <w:pPr>
              <w:spacing w:after="0" w:line="240" w:lineRule="auto"/>
              <w:jc w:val="both"/>
              <w:rPr>
                <w:rFonts w:ascii="Times New Roman" w:hAnsi="Times New Roman" w:cs="Times New Roman"/>
                <w:sz w:val="24"/>
                <w:szCs w:val="24"/>
              </w:rPr>
            </w:pPr>
            <w:r w:rsidRPr="000D55FC">
              <w:rPr>
                <w:rFonts w:ascii="Times New Roman" w:hAnsi="Times New Roman" w:cs="Times New Roman"/>
                <w:sz w:val="24"/>
                <w:szCs w:val="24"/>
              </w:rPr>
              <w:t xml:space="preserve">Šobrīd Ministru kabineta noteikumi Nr.676 nosaka, ka no 2020.gada maksimālais gada neapliekamais minimums ir 3000 </w:t>
            </w:r>
            <w:proofErr w:type="spellStart"/>
            <w:r w:rsidRPr="000D55FC">
              <w:rPr>
                <w:rFonts w:ascii="Times New Roman" w:hAnsi="Times New Roman" w:cs="Times New Roman"/>
                <w:i/>
                <w:sz w:val="24"/>
                <w:szCs w:val="24"/>
              </w:rPr>
              <w:t>euro</w:t>
            </w:r>
            <w:proofErr w:type="spellEnd"/>
            <w:r w:rsidR="00076CFC">
              <w:rPr>
                <w:rFonts w:ascii="Times New Roman" w:hAnsi="Times New Roman" w:cs="Times New Roman"/>
                <w:i/>
                <w:sz w:val="24"/>
                <w:szCs w:val="24"/>
              </w:rPr>
              <w:t xml:space="preserve"> </w:t>
            </w:r>
            <w:r w:rsidRPr="000D55FC">
              <w:rPr>
                <w:rFonts w:ascii="Times New Roman" w:hAnsi="Times New Roman" w:cs="Times New Roman"/>
                <w:sz w:val="24"/>
                <w:szCs w:val="24"/>
              </w:rPr>
              <w:t xml:space="preserve">(250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 ko piemēro </w:t>
            </w:r>
            <w:r w:rsidRPr="000D55FC">
              <w:rPr>
                <w:rFonts w:ascii="Times New Roman" w:hAnsi="Times New Roman" w:cs="Times New Roman"/>
                <w:sz w:val="24"/>
                <w:szCs w:val="24"/>
              </w:rPr>
              <w:lastRenderedPageBreak/>
              <w:t xml:space="preserve">taksācijas gada ar iedzīvotāju ienākuma nodokli apliekamajam ienākumam līdz 5280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(440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w:t>
            </w:r>
            <w:r>
              <w:rPr>
                <w:rFonts w:ascii="Times New Roman" w:hAnsi="Times New Roman" w:cs="Times New Roman"/>
                <w:sz w:val="24"/>
                <w:szCs w:val="24"/>
              </w:rPr>
              <w:t>.</w:t>
            </w:r>
          </w:p>
          <w:p w:rsidR="00DE2E98" w:rsidRDefault="0032068B" w:rsidP="00DE2E98">
            <w:pPr>
              <w:spacing w:after="0" w:line="240" w:lineRule="auto"/>
              <w:jc w:val="both"/>
              <w:rPr>
                <w:rFonts w:ascii="Times New Roman" w:hAnsi="Times New Roman" w:cs="Times New Roman"/>
                <w:sz w:val="24"/>
                <w:szCs w:val="24"/>
              </w:rPr>
            </w:pPr>
            <w:r w:rsidRPr="000D55FC">
              <w:rPr>
                <w:rFonts w:ascii="Times New Roman" w:hAnsi="Times New Roman" w:cs="Times New Roman"/>
                <w:sz w:val="24"/>
                <w:szCs w:val="24"/>
              </w:rPr>
              <w:t xml:space="preserve">Ņemot vērā, ka iedzīvotāju ienākuma nodokļa ieņēmumi 2019.gadā tiek iekasēti labāk </w:t>
            </w:r>
            <w:r w:rsidR="00D268C6">
              <w:rPr>
                <w:rFonts w:ascii="Times New Roman" w:hAnsi="Times New Roman" w:cs="Times New Roman"/>
                <w:sz w:val="24"/>
                <w:szCs w:val="24"/>
              </w:rPr>
              <w:t>ne</w:t>
            </w:r>
            <w:r w:rsidRPr="000D55FC">
              <w:rPr>
                <w:rFonts w:ascii="Times New Roman" w:hAnsi="Times New Roman" w:cs="Times New Roman"/>
                <w:sz w:val="24"/>
                <w:szCs w:val="24"/>
              </w:rPr>
              <w:t>kā plānots un lai budžeta iespēju robežās mazinātu nevienlīdzību un radītu mazāku nodokļa slogu personām ar zemiem ienākumiem</w:t>
            </w:r>
            <w:r>
              <w:rPr>
                <w:rFonts w:ascii="Times New Roman" w:hAnsi="Times New Roman" w:cs="Times New Roman"/>
                <w:sz w:val="24"/>
                <w:szCs w:val="24"/>
              </w:rPr>
              <w:t>,</w:t>
            </w:r>
            <w:r>
              <w:rPr>
                <w:rFonts w:ascii="Times New Roman" w:eastAsia="Times New Roman" w:hAnsi="Times New Roman" w:cs="Times New Roman"/>
                <w:sz w:val="24"/>
                <w:szCs w:val="24"/>
                <w:lang w:eastAsia="lv-LV"/>
              </w:rPr>
              <w:t xml:space="preserve"> </w:t>
            </w:r>
            <w:r w:rsidR="00DE2E98">
              <w:rPr>
                <w:rFonts w:ascii="Times New Roman" w:eastAsia="Times New Roman" w:hAnsi="Times New Roman" w:cs="Times New Roman"/>
                <w:sz w:val="24"/>
                <w:szCs w:val="24"/>
                <w:lang w:eastAsia="lv-LV"/>
              </w:rPr>
              <w:t xml:space="preserve">projekts </w:t>
            </w:r>
            <w:r w:rsidR="00DE2E98" w:rsidRPr="00DE2E98">
              <w:rPr>
                <w:rFonts w:ascii="Times New Roman" w:eastAsia="Times New Roman" w:hAnsi="Times New Roman" w:cs="Times New Roman"/>
                <w:sz w:val="24"/>
                <w:szCs w:val="24"/>
                <w:lang w:eastAsia="lv-LV"/>
              </w:rPr>
              <w:t xml:space="preserve">paredz </w:t>
            </w:r>
            <w:r w:rsidR="003F532A" w:rsidRPr="000D55FC">
              <w:rPr>
                <w:rFonts w:ascii="Times New Roman" w:hAnsi="Times New Roman" w:cs="Times New Roman"/>
                <w:sz w:val="24"/>
                <w:szCs w:val="24"/>
              </w:rPr>
              <w:t xml:space="preserve">paaugstināt maksimālo gada neapliekamo minimumu no 2020.gada līdz 3600 </w:t>
            </w:r>
            <w:proofErr w:type="spellStart"/>
            <w:r w:rsidR="003F532A" w:rsidRPr="000D55FC">
              <w:rPr>
                <w:rFonts w:ascii="Times New Roman" w:hAnsi="Times New Roman" w:cs="Times New Roman"/>
                <w:i/>
                <w:sz w:val="24"/>
                <w:szCs w:val="24"/>
              </w:rPr>
              <w:t>euro</w:t>
            </w:r>
            <w:proofErr w:type="spellEnd"/>
            <w:r w:rsidR="003F532A" w:rsidRPr="000D55FC">
              <w:rPr>
                <w:rFonts w:ascii="Times New Roman" w:hAnsi="Times New Roman" w:cs="Times New Roman"/>
                <w:sz w:val="24"/>
                <w:szCs w:val="24"/>
              </w:rPr>
              <w:t xml:space="preserve"> gadā (300 </w:t>
            </w:r>
            <w:proofErr w:type="spellStart"/>
            <w:r w:rsidR="003F532A" w:rsidRPr="000D55FC">
              <w:rPr>
                <w:rFonts w:ascii="Times New Roman" w:hAnsi="Times New Roman" w:cs="Times New Roman"/>
                <w:i/>
                <w:sz w:val="24"/>
                <w:szCs w:val="24"/>
              </w:rPr>
              <w:t>euro</w:t>
            </w:r>
            <w:proofErr w:type="spellEnd"/>
            <w:r w:rsidR="003F532A">
              <w:rPr>
                <w:rFonts w:ascii="Times New Roman" w:hAnsi="Times New Roman" w:cs="Times New Roman"/>
                <w:sz w:val="24"/>
                <w:szCs w:val="24"/>
              </w:rPr>
              <w:t xml:space="preserve"> mēnesī) un</w:t>
            </w:r>
            <w:r w:rsidR="003F532A" w:rsidRPr="000D55FC">
              <w:rPr>
                <w:rFonts w:ascii="Times New Roman" w:hAnsi="Times New Roman" w:cs="Times New Roman"/>
                <w:sz w:val="24"/>
                <w:szCs w:val="24"/>
              </w:rPr>
              <w:t xml:space="preserve"> paaugstināt līdz 6000 </w:t>
            </w:r>
            <w:proofErr w:type="spellStart"/>
            <w:r w:rsidR="003F532A" w:rsidRPr="000D55FC">
              <w:rPr>
                <w:rFonts w:ascii="Times New Roman" w:hAnsi="Times New Roman" w:cs="Times New Roman"/>
                <w:i/>
                <w:sz w:val="24"/>
                <w:szCs w:val="24"/>
              </w:rPr>
              <w:t>euro</w:t>
            </w:r>
            <w:proofErr w:type="spellEnd"/>
            <w:r w:rsidR="003F532A" w:rsidRPr="000D55FC">
              <w:rPr>
                <w:rFonts w:ascii="Times New Roman" w:hAnsi="Times New Roman" w:cs="Times New Roman"/>
                <w:sz w:val="24"/>
                <w:szCs w:val="24"/>
              </w:rPr>
              <w:t xml:space="preserve"> gadā (500 </w:t>
            </w:r>
            <w:proofErr w:type="spellStart"/>
            <w:r w:rsidR="003F532A" w:rsidRPr="000D55FC">
              <w:rPr>
                <w:rFonts w:ascii="Times New Roman" w:hAnsi="Times New Roman" w:cs="Times New Roman"/>
                <w:i/>
                <w:sz w:val="24"/>
                <w:szCs w:val="24"/>
              </w:rPr>
              <w:t>euro</w:t>
            </w:r>
            <w:proofErr w:type="spellEnd"/>
            <w:r w:rsidR="003F532A" w:rsidRPr="000D55FC">
              <w:rPr>
                <w:rFonts w:ascii="Times New Roman" w:hAnsi="Times New Roman" w:cs="Times New Roman"/>
                <w:sz w:val="24"/>
                <w:szCs w:val="24"/>
              </w:rPr>
              <w:t xml:space="preserve"> mēnesī)  augstāko robežu</w:t>
            </w:r>
            <w:r w:rsidR="00E060DA">
              <w:rPr>
                <w:rFonts w:ascii="Times New Roman" w:hAnsi="Times New Roman" w:cs="Times New Roman"/>
                <w:sz w:val="24"/>
                <w:szCs w:val="24"/>
              </w:rPr>
              <w:t>,</w:t>
            </w:r>
            <w:r w:rsidR="003F532A" w:rsidRPr="000D55FC">
              <w:rPr>
                <w:rFonts w:ascii="Times New Roman" w:hAnsi="Times New Roman" w:cs="Times New Roman"/>
                <w:sz w:val="24"/>
                <w:szCs w:val="24"/>
              </w:rPr>
              <w:t xml:space="preserve"> līdz kurai piemēro maksimālo gada neapliekamo minimumu. </w:t>
            </w:r>
          </w:p>
          <w:p w:rsidR="00076CFC" w:rsidRDefault="00076CFC" w:rsidP="00DE2E98">
            <w:pPr>
              <w:spacing w:after="0" w:line="240" w:lineRule="auto"/>
              <w:jc w:val="both"/>
              <w:rPr>
                <w:rFonts w:ascii="Times New Roman" w:hAnsi="Times New Roman" w:cs="Times New Roman"/>
                <w:sz w:val="24"/>
                <w:szCs w:val="24"/>
              </w:rPr>
            </w:pPr>
            <w:r w:rsidRPr="000D55FC">
              <w:rPr>
                <w:rFonts w:ascii="Times New Roman" w:hAnsi="Times New Roman" w:cs="Times New Roman"/>
                <w:sz w:val="24"/>
                <w:szCs w:val="24"/>
              </w:rPr>
              <w:t xml:space="preserve">Tādējādi </w:t>
            </w:r>
            <w:r>
              <w:rPr>
                <w:rFonts w:ascii="Times New Roman" w:hAnsi="Times New Roman" w:cs="Times New Roman"/>
                <w:sz w:val="24"/>
                <w:szCs w:val="24"/>
              </w:rPr>
              <w:t>no 2020.gada</w:t>
            </w:r>
            <w:r w:rsidRPr="000D55FC">
              <w:rPr>
                <w:rFonts w:ascii="Times New Roman" w:hAnsi="Times New Roman" w:cs="Times New Roman"/>
                <w:sz w:val="24"/>
                <w:szCs w:val="24"/>
              </w:rPr>
              <w:t xml:space="preserve"> maksimālais diferencētais neapliekamais minimums 300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 tiks piemērots </w:t>
            </w:r>
            <w:r w:rsidR="001422F8">
              <w:rPr>
                <w:rFonts w:ascii="Times New Roman" w:hAnsi="Times New Roman" w:cs="Times New Roman"/>
                <w:sz w:val="24"/>
                <w:szCs w:val="24"/>
              </w:rPr>
              <w:t xml:space="preserve">iedzīvotāju ienākuma </w:t>
            </w:r>
            <w:r>
              <w:rPr>
                <w:rFonts w:ascii="Times New Roman" w:hAnsi="Times New Roman" w:cs="Times New Roman"/>
                <w:sz w:val="24"/>
                <w:szCs w:val="24"/>
              </w:rPr>
              <w:t>nodokļa maksātāja</w:t>
            </w:r>
            <w:r w:rsidR="001422F8">
              <w:rPr>
                <w:rFonts w:ascii="Times New Roman" w:hAnsi="Times New Roman" w:cs="Times New Roman"/>
                <w:sz w:val="24"/>
                <w:szCs w:val="24"/>
              </w:rPr>
              <w:t xml:space="preserve"> </w:t>
            </w:r>
            <w:r w:rsidR="001422F8" w:rsidRPr="005A0635">
              <w:rPr>
                <w:rFonts w:ascii="Times New Roman" w:eastAsia="Times New Roman" w:hAnsi="Times New Roman" w:cs="Times New Roman"/>
                <w:iCs/>
                <w:sz w:val="24"/>
                <w:szCs w:val="24"/>
                <w:lang w:eastAsia="lv-LV"/>
              </w:rPr>
              <w:t>(turpmāk – nodokļa maksātājs)</w:t>
            </w:r>
            <w:r w:rsidR="001422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55FC">
              <w:rPr>
                <w:rFonts w:ascii="Times New Roman" w:hAnsi="Times New Roman" w:cs="Times New Roman"/>
                <w:sz w:val="24"/>
                <w:szCs w:val="24"/>
              </w:rPr>
              <w:t xml:space="preserve">ienākumiem līdz 500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w:t>
            </w:r>
            <w:r>
              <w:rPr>
                <w:rFonts w:ascii="Times New Roman" w:hAnsi="Times New Roman" w:cs="Times New Roman"/>
                <w:sz w:val="24"/>
                <w:szCs w:val="24"/>
              </w:rPr>
              <w:t>.</w:t>
            </w:r>
          </w:p>
          <w:p w:rsidR="003F532A" w:rsidRPr="00DE2E98" w:rsidRDefault="003E6F8D" w:rsidP="00DE2E9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Ņemot vērā, ka projekts paredz no 2020.gada paaugstinā</w:t>
            </w:r>
            <w:r w:rsidR="003F532A">
              <w:rPr>
                <w:rFonts w:ascii="Times New Roman" w:hAnsi="Times New Roman" w:cs="Times New Roman"/>
                <w:sz w:val="24"/>
                <w:szCs w:val="24"/>
              </w:rPr>
              <w:t xml:space="preserve">t </w:t>
            </w:r>
            <w:r w:rsidR="00076CFC">
              <w:rPr>
                <w:rFonts w:ascii="Times New Roman" w:hAnsi="Times New Roman" w:cs="Times New Roman"/>
                <w:sz w:val="24"/>
                <w:szCs w:val="24"/>
              </w:rPr>
              <w:t>maksimālo gada</w:t>
            </w:r>
            <w:r w:rsidR="003F532A">
              <w:rPr>
                <w:rFonts w:ascii="Times New Roman" w:hAnsi="Times New Roman" w:cs="Times New Roman"/>
                <w:sz w:val="24"/>
                <w:szCs w:val="24"/>
              </w:rPr>
              <w:t xml:space="preserve"> neapliekamo minimumu, </w:t>
            </w:r>
            <w:r>
              <w:rPr>
                <w:rFonts w:ascii="Times New Roman" w:hAnsi="Times New Roman" w:cs="Times New Roman"/>
                <w:sz w:val="24"/>
                <w:szCs w:val="24"/>
              </w:rPr>
              <w:t xml:space="preserve">nepieciešams precizēt </w:t>
            </w:r>
            <w:r w:rsidRPr="003E6F8D">
              <w:rPr>
                <w:rFonts w:ascii="Times New Roman" w:eastAsia="Calibri" w:hAnsi="Times New Roman" w:cs="Times New Roman"/>
                <w:sz w:val="24"/>
                <w:szCs w:val="24"/>
              </w:rPr>
              <w:t>Ministru kabineta noteikum</w:t>
            </w:r>
            <w:r>
              <w:rPr>
                <w:rFonts w:ascii="Times New Roman" w:eastAsia="Calibri" w:hAnsi="Times New Roman" w:cs="Times New Roman"/>
                <w:sz w:val="24"/>
                <w:szCs w:val="24"/>
              </w:rPr>
              <w:t>u</w:t>
            </w:r>
            <w:r w:rsidRPr="003E6F8D">
              <w:rPr>
                <w:rFonts w:ascii="Times New Roman" w:eastAsia="Calibri" w:hAnsi="Times New Roman" w:cs="Times New Roman"/>
                <w:sz w:val="24"/>
                <w:szCs w:val="24"/>
              </w:rPr>
              <w:t xml:space="preserve"> Nr.676</w:t>
            </w:r>
            <w:r>
              <w:rPr>
                <w:rFonts w:ascii="Times New Roman" w:eastAsia="Calibri" w:hAnsi="Times New Roman" w:cs="Times New Roman"/>
                <w:sz w:val="24"/>
                <w:szCs w:val="24"/>
              </w:rPr>
              <w:t xml:space="preserve"> 3.4.3.apakšpunktā noteikto koeficientu no 2020.gada uz</w:t>
            </w:r>
            <w:r>
              <w:rPr>
                <w:color w:val="1F497D"/>
              </w:rPr>
              <w:t xml:space="preserve"> </w:t>
            </w:r>
            <w:r w:rsidRPr="00E13908">
              <w:rPr>
                <w:rFonts w:ascii="Times New Roman" w:hAnsi="Times New Roman" w:cs="Times New Roman"/>
              </w:rPr>
              <w:t>0,42857</w:t>
            </w:r>
            <w:r>
              <w:rPr>
                <w:color w:val="1F497D"/>
              </w:rPr>
              <w:t>.</w:t>
            </w:r>
          </w:p>
          <w:p w:rsidR="00DE2E98" w:rsidRPr="00DE2E98" w:rsidRDefault="00DE2E98" w:rsidP="00EE6B71">
            <w:pPr>
              <w:spacing w:after="0" w:line="240" w:lineRule="auto"/>
              <w:jc w:val="both"/>
              <w:rPr>
                <w:rFonts w:ascii="Times New Roman" w:eastAsia="Times New Roman" w:hAnsi="Times New Roman" w:cs="Times New Roman"/>
                <w:iCs/>
                <w:sz w:val="24"/>
                <w:szCs w:val="24"/>
                <w:lang w:eastAsia="lv-LV"/>
              </w:rPr>
            </w:pPr>
          </w:p>
          <w:p w:rsidR="002943DD" w:rsidRDefault="00E41DE9" w:rsidP="00EE6B71">
            <w:pPr>
              <w:spacing w:after="0" w:line="240" w:lineRule="auto"/>
              <w:jc w:val="both"/>
              <w:rPr>
                <w:rFonts w:ascii="Times New Roman" w:eastAsia="Calibri" w:hAnsi="Times New Roman" w:cs="Times New Roman"/>
                <w:i/>
                <w:sz w:val="24"/>
                <w:szCs w:val="24"/>
              </w:rPr>
            </w:pPr>
            <w:r w:rsidRPr="00E41DE9">
              <w:rPr>
                <w:rFonts w:ascii="Times New Roman" w:eastAsia="Times New Roman" w:hAnsi="Times New Roman" w:cs="Times New Roman"/>
                <w:i/>
                <w:iCs/>
                <w:sz w:val="24"/>
                <w:szCs w:val="24"/>
                <w:lang w:eastAsia="lv-LV"/>
              </w:rPr>
              <w:t xml:space="preserve">Grozījumi </w:t>
            </w:r>
            <w:r w:rsidRPr="00E41DE9">
              <w:rPr>
                <w:rFonts w:ascii="Times New Roman" w:eastAsia="Calibri" w:hAnsi="Times New Roman" w:cs="Times New Roman"/>
                <w:i/>
                <w:sz w:val="24"/>
                <w:szCs w:val="24"/>
              </w:rPr>
              <w:t>Ministru kabineta noteikumi Nr.676</w:t>
            </w:r>
            <w:r>
              <w:rPr>
                <w:rFonts w:ascii="Times New Roman" w:eastAsia="Calibri" w:hAnsi="Times New Roman" w:cs="Times New Roman"/>
                <w:i/>
                <w:sz w:val="24"/>
                <w:szCs w:val="24"/>
              </w:rPr>
              <w:t xml:space="preserve"> </w:t>
            </w:r>
            <w:r w:rsidR="002943DD" w:rsidRPr="005A0635">
              <w:rPr>
                <w:rFonts w:ascii="Times New Roman" w:eastAsia="Calibri" w:hAnsi="Times New Roman" w:cs="Times New Roman"/>
                <w:i/>
                <w:sz w:val="24"/>
                <w:szCs w:val="24"/>
              </w:rPr>
              <w:t>4.2.apakšpunktā.</w:t>
            </w:r>
          </w:p>
          <w:p w:rsidR="002943DD" w:rsidRDefault="002943DD" w:rsidP="00EE6B71">
            <w:pPr>
              <w:spacing w:after="0" w:line="240" w:lineRule="auto"/>
              <w:jc w:val="both"/>
              <w:rPr>
                <w:rFonts w:ascii="Times New Roman" w:eastAsia="Calibri" w:hAnsi="Times New Roman" w:cs="Times New Roman"/>
                <w:i/>
                <w:sz w:val="24"/>
                <w:szCs w:val="24"/>
              </w:rPr>
            </w:pPr>
          </w:p>
          <w:p w:rsidR="00ED68F4" w:rsidRPr="005A0635" w:rsidRDefault="00ED68F4" w:rsidP="00ED68F4">
            <w:pPr>
              <w:spacing w:after="0" w:line="240" w:lineRule="auto"/>
              <w:jc w:val="both"/>
              <w:rPr>
                <w:rFonts w:ascii="Times New Roman" w:eastAsia="Calibri" w:hAnsi="Times New Roman" w:cs="Times New Roman"/>
                <w:sz w:val="24"/>
                <w:szCs w:val="24"/>
              </w:rPr>
            </w:pPr>
            <w:r w:rsidRPr="005A0635">
              <w:rPr>
                <w:rFonts w:ascii="Times New Roman" w:eastAsia="Calibri" w:hAnsi="Times New Roman" w:cs="Times New Roman"/>
                <w:sz w:val="24"/>
                <w:szCs w:val="24"/>
              </w:rPr>
              <w:t xml:space="preserve">Ministru kabineta noteikumu Nr.676 4.punktā ir noteikta gada diferencētā neapliekamā minimuma piemērošanas pamatnorma, kas tiek piemērota, nosakot nodokļa maksātāja gada diferencētā neapliekamā minimuma apmēru. Savukārt Ministru kabineta noteikumu Nr.676 16.punkts tiek piemērots, ja nodokļa maksātājam tiek aprēķināts diferencētais neapliekamais minimums par nepilnu gadu. </w:t>
            </w:r>
          </w:p>
          <w:p w:rsidR="00ED68F4" w:rsidRPr="005A0635" w:rsidRDefault="00ED68F4" w:rsidP="00ED68F4">
            <w:pPr>
              <w:spacing w:after="0" w:line="240" w:lineRule="auto"/>
              <w:jc w:val="both"/>
              <w:rPr>
                <w:rFonts w:ascii="Times New Roman" w:eastAsia="Calibri" w:hAnsi="Times New Roman" w:cs="Times New Roman"/>
                <w:sz w:val="24"/>
                <w:szCs w:val="24"/>
              </w:rPr>
            </w:pPr>
            <w:r w:rsidRPr="005A0635">
              <w:rPr>
                <w:rFonts w:ascii="Times New Roman" w:eastAsia="Calibri" w:hAnsi="Times New Roman" w:cs="Times New Roman"/>
                <w:sz w:val="24"/>
                <w:szCs w:val="24"/>
              </w:rPr>
              <w:t xml:space="preserve">Nodokļa maksātājam tajā taksācijas gada periodā, kurā tas ir bijis </w:t>
            </w:r>
            <w:proofErr w:type="spellStart"/>
            <w:r w:rsidRPr="005A0635">
              <w:rPr>
                <w:rFonts w:ascii="Times New Roman" w:eastAsia="Calibri" w:hAnsi="Times New Roman" w:cs="Times New Roman"/>
                <w:sz w:val="24"/>
                <w:szCs w:val="24"/>
              </w:rPr>
              <w:t>mikrouzņēmumu</w:t>
            </w:r>
            <w:proofErr w:type="spellEnd"/>
            <w:r w:rsidRPr="005A0635">
              <w:rPr>
                <w:rFonts w:ascii="Times New Roman" w:eastAsia="Calibri" w:hAnsi="Times New Roman" w:cs="Times New Roman"/>
                <w:sz w:val="24"/>
                <w:szCs w:val="24"/>
              </w:rPr>
              <w:t xml:space="preserve"> nodokļa maksātāja darbinieks, saņem pensijas ienākumu vai ir citas personas apgādībā, gada diferencēto neapliekamo minimumu nepiemēro. Līdz ar to šādam nodokļa maksātājam diferencētais neapliekamais minimums </w:t>
            </w:r>
            <w:r w:rsidR="002402D2" w:rsidRPr="005A0635">
              <w:rPr>
                <w:rFonts w:ascii="Times New Roman" w:eastAsia="Calibri" w:hAnsi="Times New Roman" w:cs="Times New Roman"/>
                <w:sz w:val="24"/>
                <w:szCs w:val="24"/>
              </w:rPr>
              <w:t xml:space="preserve">par pilnu gadu nevar tikt piemērots. </w:t>
            </w:r>
            <w:r w:rsidRPr="005A0635">
              <w:rPr>
                <w:rFonts w:ascii="Times New Roman" w:eastAsia="Calibri" w:hAnsi="Times New Roman" w:cs="Times New Roman"/>
                <w:sz w:val="24"/>
                <w:szCs w:val="24"/>
              </w:rPr>
              <w:t xml:space="preserve">  </w:t>
            </w:r>
          </w:p>
          <w:p w:rsidR="00ED68F4" w:rsidRPr="005A0635" w:rsidRDefault="00ED68F4" w:rsidP="00ED68F4">
            <w:pPr>
              <w:spacing w:after="0" w:line="240" w:lineRule="auto"/>
              <w:jc w:val="both"/>
              <w:rPr>
                <w:rFonts w:ascii="Times New Roman" w:eastAsia="Calibri" w:hAnsi="Times New Roman" w:cs="Times New Roman"/>
                <w:sz w:val="24"/>
                <w:szCs w:val="24"/>
              </w:rPr>
            </w:pPr>
            <w:r w:rsidRPr="005A0635">
              <w:rPr>
                <w:rFonts w:ascii="Times New Roman" w:eastAsia="Calibri" w:hAnsi="Times New Roman" w:cs="Times New Roman"/>
                <w:sz w:val="24"/>
                <w:szCs w:val="24"/>
              </w:rPr>
              <w:t xml:space="preserve">Tādējādi projekts paredz redakcionāli precizēt Ministru kabineta noteikumu Nr.676 4.2.apakšpunktu. </w:t>
            </w:r>
          </w:p>
          <w:p w:rsidR="002943DD" w:rsidRPr="002943DD" w:rsidRDefault="002943DD" w:rsidP="00EE6B71">
            <w:pPr>
              <w:spacing w:after="0" w:line="240" w:lineRule="auto"/>
              <w:jc w:val="both"/>
              <w:rPr>
                <w:rFonts w:ascii="Times New Roman" w:eastAsia="Calibri" w:hAnsi="Times New Roman" w:cs="Times New Roman"/>
                <w:sz w:val="24"/>
                <w:szCs w:val="24"/>
              </w:rPr>
            </w:pPr>
          </w:p>
          <w:p w:rsidR="00E41DE9" w:rsidRDefault="002943DD" w:rsidP="00EE6B71">
            <w:pPr>
              <w:spacing w:after="0" w:line="240" w:lineRule="auto"/>
              <w:jc w:val="both"/>
              <w:rPr>
                <w:rFonts w:ascii="Times New Roman" w:eastAsia="Calibri" w:hAnsi="Times New Roman" w:cs="Times New Roman"/>
                <w:i/>
                <w:sz w:val="24"/>
                <w:szCs w:val="24"/>
              </w:rPr>
            </w:pPr>
            <w:r w:rsidRPr="00962586">
              <w:rPr>
                <w:rFonts w:ascii="Times New Roman" w:eastAsia="Calibri" w:hAnsi="Times New Roman" w:cs="Times New Roman"/>
                <w:i/>
                <w:sz w:val="24"/>
                <w:szCs w:val="24"/>
              </w:rPr>
              <w:t>Grozījumi Ministru kabineta noteikumu Nr.676</w:t>
            </w:r>
            <w:r>
              <w:rPr>
                <w:rFonts w:ascii="Times New Roman" w:eastAsia="Calibri" w:hAnsi="Times New Roman" w:cs="Times New Roman"/>
                <w:i/>
                <w:sz w:val="24"/>
                <w:szCs w:val="24"/>
              </w:rPr>
              <w:t xml:space="preserve"> </w:t>
            </w:r>
            <w:r w:rsidR="00E41DE9">
              <w:rPr>
                <w:rFonts w:ascii="Times New Roman" w:eastAsia="Calibri" w:hAnsi="Times New Roman" w:cs="Times New Roman"/>
                <w:i/>
                <w:sz w:val="24"/>
                <w:szCs w:val="24"/>
              </w:rPr>
              <w:t>11.punktā un pielikuma 3.piemērā.</w:t>
            </w:r>
          </w:p>
          <w:p w:rsidR="00E41DE9" w:rsidRPr="00E41DE9" w:rsidRDefault="00E41DE9" w:rsidP="00EE6B71">
            <w:pPr>
              <w:spacing w:after="0" w:line="240" w:lineRule="auto"/>
              <w:jc w:val="both"/>
              <w:rPr>
                <w:rFonts w:ascii="Times New Roman" w:eastAsia="Times New Roman" w:hAnsi="Times New Roman" w:cs="Times New Roman"/>
                <w:i/>
                <w:iCs/>
                <w:sz w:val="24"/>
                <w:szCs w:val="24"/>
                <w:lang w:eastAsia="lv-LV"/>
              </w:rPr>
            </w:pPr>
          </w:p>
          <w:p w:rsidR="005A0635" w:rsidRPr="005A0635" w:rsidRDefault="00EE6B71" w:rsidP="00EE6B71">
            <w:pPr>
              <w:spacing w:after="0" w:line="240" w:lineRule="auto"/>
              <w:jc w:val="both"/>
              <w:rPr>
                <w:rFonts w:ascii="Times New Roman" w:eastAsia="Times New Roman" w:hAnsi="Times New Roman" w:cs="Times New Roman"/>
                <w:iCs/>
                <w:sz w:val="24"/>
                <w:szCs w:val="24"/>
                <w:lang w:eastAsia="lv-LV"/>
              </w:rPr>
            </w:pPr>
            <w:r w:rsidRPr="00EE6B71">
              <w:rPr>
                <w:rFonts w:ascii="Times New Roman" w:eastAsia="Times New Roman" w:hAnsi="Times New Roman" w:cs="Times New Roman"/>
                <w:iCs/>
                <w:sz w:val="24"/>
                <w:szCs w:val="24"/>
                <w:lang w:eastAsia="lv-LV"/>
              </w:rPr>
              <w:t xml:space="preserve">Saistībā ar veiktajām izmaiņām likumā “Par iedzīvotāju ienākuma nodokli”, ar 2018.gada 1.janvāri minimālais mēneša neapliekamais minimums tika aizstāts ar Valsts </w:t>
            </w:r>
            <w:r w:rsidRPr="00EE6B71">
              <w:rPr>
                <w:rFonts w:ascii="Times New Roman" w:eastAsia="Times New Roman" w:hAnsi="Times New Roman" w:cs="Times New Roman"/>
                <w:iCs/>
                <w:sz w:val="24"/>
                <w:szCs w:val="24"/>
                <w:lang w:eastAsia="lv-LV"/>
              </w:rPr>
              <w:lastRenderedPageBreak/>
              <w:t>ieņēmumu dienesta (turpmāk – VID) prognozēto mēneša neapliekamo minimumu</w:t>
            </w:r>
            <w:r w:rsidRPr="005A0635">
              <w:rPr>
                <w:rFonts w:ascii="Times New Roman" w:eastAsia="Times New Roman" w:hAnsi="Times New Roman" w:cs="Times New Roman"/>
                <w:iCs/>
                <w:sz w:val="24"/>
                <w:szCs w:val="24"/>
                <w:lang w:eastAsia="lv-LV"/>
              </w:rPr>
              <w:t>.</w:t>
            </w:r>
            <w:r w:rsidR="009B14DD" w:rsidRPr="005A0635">
              <w:rPr>
                <w:rFonts w:ascii="Times New Roman" w:eastAsia="Times New Roman" w:hAnsi="Times New Roman" w:cs="Times New Roman"/>
                <w:iCs/>
                <w:sz w:val="24"/>
                <w:szCs w:val="24"/>
                <w:lang w:eastAsia="lv-LV"/>
              </w:rPr>
              <w:t xml:space="preserve"> VID prognozēto mēneša neapliekamo minimumu piemēro katru mēnesi ienākuma gūšanas vietā, kur iesniegta nodokļa maksātāja  algas nodokļa grāmatiņa, ar iedzīvotāju ienākuma nodokli apliekamajam ienākumam, kuram tiek piemērota likuma “Par iedzīvotāju ienākuma nodokli” </w:t>
            </w:r>
            <w:r w:rsidR="00932A0D" w:rsidRPr="005A0635">
              <w:rPr>
                <w:rFonts w:ascii="Times New Roman" w:eastAsia="Times New Roman" w:hAnsi="Times New Roman" w:cs="Times New Roman"/>
                <w:iCs/>
                <w:sz w:val="24"/>
                <w:szCs w:val="24"/>
                <w:lang w:eastAsia="lv-LV"/>
              </w:rPr>
              <w:t>15. panta</w:t>
            </w:r>
            <w:r w:rsidR="009B14DD" w:rsidRPr="005A0635">
              <w:rPr>
                <w:rFonts w:ascii="Times New Roman" w:eastAsia="Times New Roman" w:hAnsi="Times New Roman" w:cs="Times New Roman"/>
                <w:iCs/>
                <w:sz w:val="24"/>
                <w:szCs w:val="24"/>
                <w:lang w:eastAsia="lv-LV"/>
              </w:rPr>
              <w:t> otrajā vai trešajā daļā noteiktā likme.</w:t>
            </w:r>
          </w:p>
          <w:p w:rsidR="00EE6B71" w:rsidRDefault="00EE6B71" w:rsidP="00EE6B71">
            <w:pPr>
              <w:spacing w:after="0" w:line="240" w:lineRule="auto"/>
              <w:jc w:val="both"/>
              <w:rPr>
                <w:rFonts w:ascii="Times New Roman" w:eastAsia="Times New Roman" w:hAnsi="Times New Roman" w:cs="Times New Roman"/>
                <w:iCs/>
                <w:sz w:val="24"/>
                <w:szCs w:val="24"/>
                <w:lang w:eastAsia="lv-LV"/>
              </w:rPr>
            </w:pPr>
            <w:r w:rsidRPr="00FB62A2">
              <w:rPr>
                <w:rFonts w:ascii="Times New Roman" w:eastAsia="Times New Roman" w:hAnsi="Times New Roman" w:cs="Times New Roman"/>
                <w:iCs/>
                <w:sz w:val="24"/>
                <w:szCs w:val="24"/>
                <w:lang w:eastAsia="lv-LV"/>
              </w:rPr>
              <w:t>Savukārt, gada diferencētais neapliekamais minimums tiek aprēķināts saskaņā ar Ministru kabineta noteiktu formulu un piemērots rezumējošā kārtībā, nodokļa maksātājam</w:t>
            </w:r>
            <w:r w:rsidR="000651D0" w:rsidRPr="00FB62A2">
              <w:rPr>
                <w:rFonts w:ascii="Times New Roman" w:eastAsia="Times New Roman" w:hAnsi="Times New Roman" w:cs="Times New Roman"/>
                <w:iCs/>
                <w:sz w:val="24"/>
                <w:szCs w:val="24"/>
                <w:lang w:eastAsia="lv-LV"/>
              </w:rPr>
              <w:t xml:space="preserve"> </w:t>
            </w:r>
            <w:r w:rsidR="00AD0C80">
              <w:rPr>
                <w:rFonts w:ascii="Times New Roman" w:eastAsia="Times New Roman" w:hAnsi="Times New Roman" w:cs="Times New Roman"/>
                <w:iCs/>
                <w:sz w:val="24"/>
                <w:szCs w:val="24"/>
                <w:lang w:eastAsia="lv-LV"/>
              </w:rPr>
              <w:t xml:space="preserve"> </w:t>
            </w:r>
            <w:r w:rsidRPr="00FB62A2">
              <w:rPr>
                <w:rFonts w:ascii="Times New Roman" w:eastAsia="Times New Roman" w:hAnsi="Times New Roman" w:cs="Times New Roman"/>
                <w:iCs/>
                <w:sz w:val="24"/>
                <w:szCs w:val="24"/>
                <w:lang w:eastAsia="lv-LV"/>
              </w:rPr>
              <w:t>iesniedzot taksācijas gada ienākumu deklarāciju.</w:t>
            </w:r>
          </w:p>
          <w:p w:rsidR="00E12805" w:rsidRPr="00FB62A2" w:rsidRDefault="00E12805" w:rsidP="00EE6B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VID prognozētais mēneša neapliekamais minimums tiek noteikts </w:t>
            </w:r>
            <w:r w:rsidR="00D914EC">
              <w:rPr>
                <w:rFonts w:ascii="Times New Roman" w:eastAsia="Times New Roman" w:hAnsi="Times New Roman" w:cs="Times New Roman"/>
                <w:iCs/>
                <w:sz w:val="24"/>
                <w:szCs w:val="24"/>
                <w:lang w:eastAsia="lv-LV"/>
              </w:rPr>
              <w:t xml:space="preserve">nodokļa </w:t>
            </w:r>
            <w:r>
              <w:rPr>
                <w:rFonts w:ascii="Times New Roman" w:eastAsia="Times New Roman" w:hAnsi="Times New Roman" w:cs="Times New Roman"/>
                <w:iCs/>
                <w:sz w:val="24"/>
                <w:szCs w:val="24"/>
                <w:lang w:eastAsia="lv-LV"/>
              </w:rPr>
              <w:t xml:space="preserve">maksātājam divas reizes gadā – taksācijas </w:t>
            </w:r>
            <w:r w:rsidRPr="00E12805">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 xml:space="preserve">periodam no 1.janvāra </w:t>
            </w:r>
            <w:r w:rsidRPr="00E12805">
              <w:rPr>
                <w:rFonts w:ascii="Times New Roman" w:eastAsia="Times New Roman" w:hAnsi="Times New Roman" w:cs="Times New Roman"/>
                <w:iCs/>
                <w:sz w:val="24"/>
                <w:szCs w:val="24"/>
                <w:lang w:eastAsia="lv-LV"/>
              </w:rPr>
              <w:t>līdz 31. jūlijam</w:t>
            </w:r>
            <w:r>
              <w:rPr>
                <w:rFonts w:ascii="Times New Roman" w:eastAsia="Times New Roman" w:hAnsi="Times New Roman" w:cs="Times New Roman"/>
                <w:iCs/>
                <w:sz w:val="24"/>
                <w:szCs w:val="24"/>
                <w:lang w:eastAsia="lv-LV"/>
              </w:rPr>
              <w:t xml:space="preserve"> un </w:t>
            </w:r>
            <w:r w:rsidRPr="00E12805">
              <w:rPr>
                <w:rFonts w:ascii="Times New Roman" w:eastAsia="Times New Roman" w:hAnsi="Times New Roman" w:cs="Times New Roman"/>
                <w:iCs/>
                <w:sz w:val="24"/>
                <w:szCs w:val="24"/>
                <w:lang w:eastAsia="lv-LV"/>
              </w:rPr>
              <w:t>taksācijas periodam no 1. augusta līdz 31. decembrim</w:t>
            </w:r>
            <w:r>
              <w:rPr>
                <w:rFonts w:ascii="Times New Roman" w:eastAsia="Times New Roman" w:hAnsi="Times New Roman" w:cs="Times New Roman"/>
                <w:iCs/>
                <w:sz w:val="24"/>
                <w:szCs w:val="24"/>
                <w:lang w:eastAsia="lv-LV"/>
              </w:rPr>
              <w:t>.</w:t>
            </w:r>
          </w:p>
          <w:p w:rsidR="00E12805" w:rsidRDefault="00E12805" w:rsidP="008C51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Pr="00E12805">
              <w:rPr>
                <w:rFonts w:ascii="Times New Roman" w:eastAsia="Times New Roman" w:hAnsi="Times New Roman" w:cs="Times New Roman"/>
                <w:iCs/>
                <w:sz w:val="24"/>
                <w:szCs w:val="24"/>
                <w:lang w:eastAsia="lv-LV"/>
              </w:rPr>
              <w:t>likuma “Par iedzīvotāju ienākuma nodokli” 12.</w:t>
            </w:r>
            <w:r w:rsidR="00AD0C80">
              <w:rPr>
                <w:rFonts w:ascii="Times New Roman" w:eastAsia="Times New Roman" w:hAnsi="Times New Roman" w:cs="Times New Roman"/>
                <w:iCs/>
                <w:sz w:val="24"/>
                <w:szCs w:val="24"/>
                <w:lang w:eastAsia="lv-LV"/>
              </w:rPr>
              <w:t xml:space="preserve"> </w:t>
            </w:r>
            <w:r w:rsidRPr="00E12805">
              <w:rPr>
                <w:rFonts w:ascii="Times New Roman" w:eastAsia="Times New Roman" w:hAnsi="Times New Roman" w:cs="Times New Roman"/>
                <w:iCs/>
                <w:sz w:val="24"/>
                <w:szCs w:val="24"/>
                <w:lang w:eastAsia="lv-LV"/>
              </w:rPr>
              <w:t>panta 1.</w:t>
            </w:r>
            <w:r w:rsidRPr="00E12805">
              <w:rPr>
                <w:rFonts w:ascii="Times New Roman" w:eastAsia="Times New Roman" w:hAnsi="Times New Roman" w:cs="Times New Roman"/>
                <w:iCs/>
                <w:sz w:val="24"/>
                <w:szCs w:val="24"/>
                <w:vertAlign w:val="superscript"/>
                <w:lang w:eastAsia="lv-LV"/>
              </w:rPr>
              <w:t>4</w:t>
            </w:r>
            <w:r w:rsidRPr="00E12805">
              <w:rPr>
                <w:rFonts w:ascii="Times New Roman" w:eastAsia="Times New Roman" w:hAnsi="Times New Roman" w:cs="Times New Roman"/>
                <w:iCs/>
                <w:sz w:val="24"/>
                <w:szCs w:val="24"/>
                <w:lang w:eastAsia="lv-LV"/>
              </w:rPr>
              <w:t xml:space="preserve"> daļu</w:t>
            </w:r>
            <w:r>
              <w:rPr>
                <w:rFonts w:ascii="Times New Roman" w:eastAsia="Times New Roman" w:hAnsi="Times New Roman" w:cs="Times New Roman"/>
                <w:iCs/>
                <w:sz w:val="24"/>
                <w:szCs w:val="24"/>
                <w:lang w:eastAsia="lv-LV"/>
              </w:rPr>
              <w:t>, aprēķin</w:t>
            </w:r>
            <w:r w:rsidR="00D914EC">
              <w:rPr>
                <w:rFonts w:ascii="Times New Roman" w:eastAsia="Times New Roman" w:hAnsi="Times New Roman" w:cs="Times New Roman"/>
                <w:iCs/>
                <w:sz w:val="24"/>
                <w:szCs w:val="24"/>
                <w:lang w:eastAsia="lv-LV"/>
              </w:rPr>
              <w:t>ot</w:t>
            </w:r>
            <w:r>
              <w:rPr>
                <w:rFonts w:ascii="Times New Roman" w:eastAsia="Times New Roman" w:hAnsi="Times New Roman" w:cs="Times New Roman"/>
                <w:iCs/>
                <w:sz w:val="24"/>
                <w:szCs w:val="24"/>
                <w:lang w:eastAsia="lv-LV"/>
              </w:rPr>
              <w:t xml:space="preserve"> </w:t>
            </w:r>
            <w:r w:rsidRPr="00E12805">
              <w:rPr>
                <w:rFonts w:ascii="Times New Roman" w:eastAsia="Times New Roman" w:hAnsi="Times New Roman" w:cs="Times New Roman"/>
                <w:iCs/>
                <w:sz w:val="24"/>
                <w:szCs w:val="24"/>
                <w:lang w:eastAsia="lv-LV"/>
              </w:rPr>
              <w:t>VID prognozēt</w:t>
            </w:r>
            <w:r w:rsidR="00D914EC">
              <w:rPr>
                <w:rFonts w:ascii="Times New Roman" w:eastAsia="Times New Roman" w:hAnsi="Times New Roman" w:cs="Times New Roman"/>
                <w:iCs/>
                <w:sz w:val="24"/>
                <w:szCs w:val="24"/>
                <w:lang w:eastAsia="lv-LV"/>
              </w:rPr>
              <w:t>o</w:t>
            </w:r>
            <w:r w:rsidRPr="00E12805">
              <w:rPr>
                <w:rFonts w:ascii="Times New Roman" w:eastAsia="Times New Roman" w:hAnsi="Times New Roman" w:cs="Times New Roman"/>
                <w:iCs/>
                <w:sz w:val="24"/>
                <w:szCs w:val="24"/>
                <w:lang w:eastAsia="lv-LV"/>
              </w:rPr>
              <w:t xml:space="preserve"> mēneša neapliekam</w:t>
            </w:r>
            <w:r>
              <w:rPr>
                <w:rFonts w:ascii="Times New Roman" w:eastAsia="Times New Roman" w:hAnsi="Times New Roman" w:cs="Times New Roman"/>
                <w:iCs/>
                <w:sz w:val="24"/>
                <w:szCs w:val="24"/>
                <w:lang w:eastAsia="lv-LV"/>
              </w:rPr>
              <w:t>o</w:t>
            </w:r>
            <w:r w:rsidRPr="00E12805">
              <w:rPr>
                <w:rFonts w:ascii="Times New Roman" w:eastAsia="Times New Roman" w:hAnsi="Times New Roman" w:cs="Times New Roman"/>
                <w:iCs/>
                <w:sz w:val="24"/>
                <w:szCs w:val="24"/>
                <w:lang w:eastAsia="lv-LV"/>
              </w:rPr>
              <w:t xml:space="preserve"> minimum</w:t>
            </w:r>
            <w:r>
              <w:rPr>
                <w:rFonts w:ascii="Times New Roman" w:eastAsia="Times New Roman" w:hAnsi="Times New Roman" w:cs="Times New Roman"/>
                <w:iCs/>
                <w:sz w:val="24"/>
                <w:szCs w:val="24"/>
                <w:lang w:eastAsia="lv-LV"/>
              </w:rPr>
              <w:t xml:space="preserve">u </w:t>
            </w:r>
            <w:r w:rsidRPr="00E12805">
              <w:rPr>
                <w:rFonts w:ascii="Times New Roman" w:eastAsia="Times New Roman" w:hAnsi="Times New Roman" w:cs="Times New Roman"/>
                <w:iCs/>
                <w:sz w:val="24"/>
                <w:szCs w:val="24"/>
                <w:lang w:eastAsia="lv-LV"/>
              </w:rPr>
              <w:t>taksācijas gada periodam no 1.janvāra līdz 31. jūlijam</w:t>
            </w:r>
            <w:r w:rsidR="00D914EC">
              <w:rPr>
                <w:rFonts w:ascii="Times New Roman" w:eastAsia="Times New Roman" w:hAnsi="Times New Roman" w:cs="Times New Roman"/>
                <w:iCs/>
                <w:sz w:val="24"/>
                <w:szCs w:val="24"/>
                <w:lang w:eastAsia="lv-LV"/>
              </w:rPr>
              <w:t>, tiek</w:t>
            </w:r>
            <w:r w:rsidRPr="00E1280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ņem</w:t>
            </w:r>
            <w:r w:rsidR="00D914EC">
              <w:rPr>
                <w:rFonts w:ascii="Times New Roman" w:eastAsia="Times New Roman" w:hAnsi="Times New Roman" w:cs="Times New Roman"/>
                <w:iCs/>
                <w:sz w:val="24"/>
                <w:szCs w:val="24"/>
                <w:lang w:eastAsia="lv-LV"/>
              </w:rPr>
              <w:t>ts</w:t>
            </w:r>
            <w:r>
              <w:rPr>
                <w:rFonts w:ascii="Times New Roman" w:eastAsia="Times New Roman" w:hAnsi="Times New Roman" w:cs="Times New Roman"/>
                <w:iCs/>
                <w:sz w:val="24"/>
                <w:szCs w:val="24"/>
                <w:lang w:eastAsia="lv-LV"/>
              </w:rPr>
              <w:t xml:space="preserve"> vērā </w:t>
            </w:r>
            <w:r w:rsidR="00D914EC">
              <w:rPr>
                <w:rFonts w:ascii="Times New Roman" w:eastAsia="Times New Roman" w:hAnsi="Times New Roman" w:cs="Times New Roman"/>
                <w:iCs/>
                <w:sz w:val="24"/>
                <w:szCs w:val="24"/>
                <w:lang w:eastAsia="lv-LV"/>
              </w:rPr>
              <w:t xml:space="preserve">nodokļa </w:t>
            </w:r>
            <w:r>
              <w:rPr>
                <w:rFonts w:ascii="Times New Roman" w:eastAsia="Times New Roman" w:hAnsi="Times New Roman" w:cs="Times New Roman"/>
                <w:iCs/>
                <w:sz w:val="24"/>
                <w:szCs w:val="24"/>
                <w:lang w:eastAsia="lv-LV"/>
              </w:rPr>
              <w:t xml:space="preserve">maksātāja ar iedzīvotāju ienākuma nodokli </w:t>
            </w:r>
            <w:r w:rsidR="00D914EC" w:rsidRPr="00D914EC">
              <w:rPr>
                <w:rFonts w:ascii="Times New Roman" w:eastAsia="Times New Roman" w:hAnsi="Times New Roman" w:cs="Times New Roman"/>
                <w:iCs/>
                <w:sz w:val="24"/>
                <w:szCs w:val="24"/>
                <w:lang w:eastAsia="lv-LV"/>
              </w:rPr>
              <w:t>apliekam</w:t>
            </w:r>
            <w:r w:rsidR="00D914EC">
              <w:rPr>
                <w:rFonts w:ascii="Times New Roman" w:eastAsia="Times New Roman" w:hAnsi="Times New Roman" w:cs="Times New Roman"/>
                <w:iCs/>
                <w:sz w:val="24"/>
                <w:szCs w:val="24"/>
                <w:lang w:eastAsia="lv-LV"/>
              </w:rPr>
              <w:t>ais</w:t>
            </w:r>
            <w:r w:rsidR="00D914EC" w:rsidRPr="00D914EC">
              <w:rPr>
                <w:rFonts w:ascii="Times New Roman" w:eastAsia="Times New Roman" w:hAnsi="Times New Roman" w:cs="Times New Roman"/>
                <w:iCs/>
                <w:sz w:val="24"/>
                <w:szCs w:val="24"/>
                <w:lang w:eastAsia="lv-LV"/>
              </w:rPr>
              <w:t xml:space="preserve"> ienākum</w:t>
            </w:r>
            <w:r w:rsidR="00D914EC">
              <w:rPr>
                <w:rFonts w:ascii="Times New Roman" w:eastAsia="Times New Roman" w:hAnsi="Times New Roman" w:cs="Times New Roman"/>
                <w:iCs/>
                <w:sz w:val="24"/>
                <w:szCs w:val="24"/>
                <w:lang w:eastAsia="lv-LV"/>
              </w:rPr>
              <w:t>s</w:t>
            </w:r>
            <w:r w:rsidR="00D914EC" w:rsidRPr="00D914EC">
              <w:rPr>
                <w:rFonts w:ascii="Times New Roman" w:eastAsia="Times New Roman" w:hAnsi="Times New Roman" w:cs="Times New Roman"/>
                <w:iCs/>
                <w:sz w:val="24"/>
                <w:szCs w:val="24"/>
                <w:lang w:eastAsia="lv-LV"/>
              </w:rPr>
              <w:t>, kas gūts no pirms pirmstaksācijas gada 1. oktobra līdz pirmstaksācijas gada 30. septembrim (izņemot i</w:t>
            </w:r>
            <w:r w:rsidR="00D914EC">
              <w:rPr>
                <w:rFonts w:ascii="Times New Roman" w:eastAsia="Times New Roman" w:hAnsi="Times New Roman" w:cs="Times New Roman"/>
                <w:iCs/>
                <w:sz w:val="24"/>
                <w:szCs w:val="24"/>
                <w:lang w:eastAsia="lv-LV"/>
              </w:rPr>
              <w:t>enākumus no kapitāla pieauguma).</w:t>
            </w:r>
          </w:p>
          <w:p w:rsidR="008C5104" w:rsidRDefault="00D914EC" w:rsidP="008C51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E12805">
              <w:rPr>
                <w:rFonts w:ascii="Times New Roman" w:eastAsia="Times New Roman" w:hAnsi="Times New Roman" w:cs="Times New Roman"/>
                <w:iCs/>
                <w:sz w:val="24"/>
                <w:szCs w:val="24"/>
                <w:lang w:eastAsia="lv-LV"/>
              </w:rPr>
              <w:t>avukārt</w:t>
            </w:r>
            <w:r>
              <w:rPr>
                <w:rFonts w:ascii="Times New Roman" w:eastAsia="Times New Roman" w:hAnsi="Times New Roman" w:cs="Times New Roman"/>
                <w:iCs/>
                <w:sz w:val="24"/>
                <w:szCs w:val="24"/>
                <w:lang w:eastAsia="lv-LV"/>
              </w:rPr>
              <w:t xml:space="preserve">, </w:t>
            </w:r>
            <w:r w:rsidRPr="00D914EC">
              <w:rPr>
                <w:rFonts w:ascii="Times New Roman" w:eastAsia="Times New Roman" w:hAnsi="Times New Roman" w:cs="Times New Roman"/>
                <w:iCs/>
                <w:sz w:val="24"/>
                <w:szCs w:val="24"/>
                <w:lang w:eastAsia="lv-LV"/>
              </w:rPr>
              <w:t>aprēķinot VID prognozēto mēneša neapliekamo minimumu taksācijas gada periodam no 1.</w:t>
            </w:r>
            <w:r>
              <w:rPr>
                <w:rFonts w:ascii="Times New Roman" w:eastAsia="Times New Roman" w:hAnsi="Times New Roman" w:cs="Times New Roman"/>
                <w:iCs/>
                <w:sz w:val="24"/>
                <w:szCs w:val="24"/>
                <w:lang w:eastAsia="lv-LV"/>
              </w:rPr>
              <w:t>augusta</w:t>
            </w:r>
            <w:r w:rsidRPr="00D914EC">
              <w:rPr>
                <w:rFonts w:ascii="Times New Roman" w:eastAsia="Times New Roman" w:hAnsi="Times New Roman" w:cs="Times New Roman"/>
                <w:iCs/>
                <w:sz w:val="24"/>
                <w:szCs w:val="24"/>
                <w:lang w:eastAsia="lv-LV"/>
              </w:rPr>
              <w:t xml:space="preserve"> līdz 31. </w:t>
            </w:r>
            <w:r>
              <w:rPr>
                <w:rFonts w:ascii="Times New Roman" w:eastAsia="Times New Roman" w:hAnsi="Times New Roman" w:cs="Times New Roman"/>
                <w:iCs/>
                <w:sz w:val="24"/>
                <w:szCs w:val="24"/>
                <w:lang w:eastAsia="lv-LV"/>
              </w:rPr>
              <w:t>decembrim</w:t>
            </w:r>
            <w:r w:rsidRPr="00D914EC">
              <w:rPr>
                <w:rFonts w:ascii="Times New Roman" w:eastAsia="Times New Roman" w:hAnsi="Times New Roman" w:cs="Times New Roman"/>
                <w:iCs/>
                <w:sz w:val="24"/>
                <w:szCs w:val="24"/>
                <w:lang w:eastAsia="lv-LV"/>
              </w:rPr>
              <w:t xml:space="preserve">, tiek ņemts vērā </w:t>
            </w:r>
            <w:r w:rsidR="000D3813">
              <w:rPr>
                <w:rFonts w:ascii="Times New Roman" w:eastAsia="Times New Roman" w:hAnsi="Times New Roman" w:cs="Times New Roman"/>
                <w:iCs/>
                <w:sz w:val="24"/>
                <w:szCs w:val="24"/>
                <w:lang w:eastAsia="lv-LV"/>
              </w:rPr>
              <w:t xml:space="preserve">nodokļa </w:t>
            </w:r>
            <w:r w:rsidRPr="00D914EC">
              <w:rPr>
                <w:rFonts w:ascii="Times New Roman" w:eastAsia="Times New Roman" w:hAnsi="Times New Roman" w:cs="Times New Roman"/>
                <w:iCs/>
                <w:sz w:val="24"/>
                <w:szCs w:val="24"/>
                <w:lang w:eastAsia="lv-LV"/>
              </w:rPr>
              <w:t>maksātāja ar iedzīvotāju ienākuma nodokli apliekamais ienākums, kas gūts no pirmstaksācijas gada 1. decembra līdz taksācijas gada 31. maijam (izņemot pirmstaksācijas gada decembrī gūtos ienākumus no kapitāla pieauguma)</w:t>
            </w:r>
            <w:r>
              <w:rPr>
                <w:rFonts w:ascii="Times New Roman" w:eastAsia="Times New Roman" w:hAnsi="Times New Roman" w:cs="Times New Roman"/>
                <w:iCs/>
                <w:sz w:val="24"/>
                <w:szCs w:val="24"/>
                <w:lang w:eastAsia="lv-LV"/>
              </w:rPr>
              <w:t xml:space="preserve">. </w:t>
            </w:r>
          </w:p>
          <w:p w:rsidR="00D914EC" w:rsidRDefault="00D914EC" w:rsidP="008C51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Tādējādi VID prognozēt</w:t>
            </w:r>
            <w:r w:rsidR="00AD0C8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mēneša neapliekam</w:t>
            </w:r>
            <w:r w:rsidR="00AD0C8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minimum</w:t>
            </w:r>
            <w:r w:rsidR="000D3813">
              <w:rPr>
                <w:rFonts w:ascii="Times New Roman" w:eastAsia="Times New Roman" w:hAnsi="Times New Roman" w:cs="Times New Roman"/>
                <w:iCs/>
                <w:sz w:val="24"/>
                <w:szCs w:val="24"/>
                <w:lang w:eastAsia="lv-LV"/>
              </w:rPr>
              <w:t xml:space="preserve">a aprēķinā </w:t>
            </w:r>
            <w:r w:rsidR="000D3813" w:rsidRPr="000D3813">
              <w:rPr>
                <w:rFonts w:ascii="Times New Roman" w:eastAsia="Times New Roman" w:hAnsi="Times New Roman" w:cs="Times New Roman"/>
                <w:iCs/>
                <w:sz w:val="24"/>
                <w:szCs w:val="24"/>
                <w:lang w:eastAsia="lv-LV"/>
              </w:rPr>
              <w:t xml:space="preserve">netiek ņemti vērā </w:t>
            </w:r>
            <w:r w:rsidR="00AD0C80">
              <w:rPr>
                <w:rFonts w:ascii="Times New Roman" w:eastAsia="Times New Roman" w:hAnsi="Times New Roman" w:cs="Times New Roman"/>
                <w:iCs/>
                <w:sz w:val="24"/>
                <w:szCs w:val="24"/>
                <w:lang w:eastAsia="lv-LV"/>
              </w:rPr>
              <w:t xml:space="preserve">nodokļa </w:t>
            </w:r>
            <w:r w:rsidR="000D3813" w:rsidRPr="000D3813">
              <w:rPr>
                <w:rFonts w:ascii="Times New Roman" w:eastAsia="Times New Roman" w:hAnsi="Times New Roman" w:cs="Times New Roman"/>
                <w:iCs/>
                <w:sz w:val="24"/>
                <w:szCs w:val="24"/>
                <w:lang w:eastAsia="lv-LV"/>
              </w:rPr>
              <w:t xml:space="preserve">maksātāja aktuālie </w:t>
            </w:r>
            <w:r w:rsidR="00AD0C80">
              <w:rPr>
                <w:rFonts w:ascii="Times New Roman" w:eastAsia="Times New Roman" w:hAnsi="Times New Roman" w:cs="Times New Roman"/>
                <w:iCs/>
                <w:sz w:val="24"/>
                <w:szCs w:val="24"/>
                <w:lang w:eastAsia="lv-LV"/>
              </w:rPr>
              <w:t xml:space="preserve">ar </w:t>
            </w:r>
            <w:r w:rsidR="000D3813" w:rsidRPr="000D3813">
              <w:rPr>
                <w:rFonts w:ascii="Times New Roman" w:eastAsia="Times New Roman" w:hAnsi="Times New Roman" w:cs="Times New Roman"/>
                <w:iCs/>
                <w:sz w:val="24"/>
                <w:szCs w:val="24"/>
                <w:lang w:eastAsia="lv-LV"/>
              </w:rPr>
              <w:t>iedzīvotāju ienākuma nodokli apliekamie ienākumi</w:t>
            </w:r>
            <w:r w:rsidR="000D3813">
              <w:rPr>
                <w:rFonts w:ascii="Times New Roman" w:eastAsia="Times New Roman" w:hAnsi="Times New Roman" w:cs="Times New Roman"/>
                <w:iCs/>
                <w:sz w:val="24"/>
                <w:szCs w:val="24"/>
                <w:lang w:eastAsia="lv-LV"/>
              </w:rPr>
              <w:t>.</w:t>
            </w:r>
          </w:p>
          <w:p w:rsidR="000D3813" w:rsidRPr="00EE6B71" w:rsidRDefault="00E41DE9" w:rsidP="008C51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w:t>
            </w:r>
            <w:r w:rsidR="000D3813">
              <w:rPr>
                <w:rFonts w:ascii="Times New Roman" w:eastAsia="Times New Roman" w:hAnsi="Times New Roman" w:cs="Times New Roman"/>
                <w:iCs/>
                <w:sz w:val="24"/>
                <w:szCs w:val="24"/>
                <w:lang w:eastAsia="lv-LV"/>
              </w:rPr>
              <w:t xml:space="preserve"> ir iespējamas situ</w:t>
            </w:r>
            <w:r w:rsidR="00AD0C80">
              <w:rPr>
                <w:rFonts w:ascii="Times New Roman" w:eastAsia="Times New Roman" w:hAnsi="Times New Roman" w:cs="Times New Roman"/>
                <w:iCs/>
                <w:sz w:val="24"/>
                <w:szCs w:val="24"/>
                <w:lang w:eastAsia="lv-LV"/>
              </w:rPr>
              <w:t>ācijas, ka</w:t>
            </w:r>
            <w:r w:rsidR="000D3813">
              <w:rPr>
                <w:rFonts w:ascii="Times New Roman" w:eastAsia="Times New Roman" w:hAnsi="Times New Roman" w:cs="Times New Roman"/>
                <w:iCs/>
                <w:sz w:val="24"/>
                <w:szCs w:val="24"/>
                <w:lang w:eastAsia="lv-LV"/>
              </w:rPr>
              <w:t xml:space="preserve"> nodokļa maksātājam taksācijas gadā, pieaugot ar iedzīvotāju ienākuma nodokli apliekamo ienākumu apmēram, ir piemērots lielāks VID prognozētais</w:t>
            </w:r>
            <w:r w:rsidR="00AD0C80">
              <w:rPr>
                <w:rFonts w:ascii="Times New Roman" w:eastAsia="Times New Roman" w:hAnsi="Times New Roman" w:cs="Times New Roman"/>
                <w:iCs/>
                <w:sz w:val="24"/>
                <w:szCs w:val="24"/>
                <w:lang w:eastAsia="lv-LV"/>
              </w:rPr>
              <w:t xml:space="preserve"> mēneša</w:t>
            </w:r>
            <w:r>
              <w:rPr>
                <w:rFonts w:ascii="Times New Roman" w:eastAsia="Times New Roman" w:hAnsi="Times New Roman" w:cs="Times New Roman"/>
                <w:iCs/>
                <w:sz w:val="24"/>
                <w:szCs w:val="24"/>
                <w:lang w:eastAsia="lv-LV"/>
              </w:rPr>
              <w:t xml:space="preserve"> neapliekamais minimums</w:t>
            </w:r>
            <w:r w:rsidR="000D3813">
              <w:rPr>
                <w:rFonts w:ascii="Times New Roman" w:eastAsia="Times New Roman" w:hAnsi="Times New Roman" w:cs="Times New Roman"/>
                <w:iCs/>
                <w:sz w:val="24"/>
                <w:szCs w:val="24"/>
                <w:lang w:eastAsia="lv-LV"/>
              </w:rPr>
              <w:t xml:space="preserve"> nekā nodokļa maksātāja</w:t>
            </w:r>
            <w:r>
              <w:rPr>
                <w:rFonts w:ascii="Times New Roman" w:eastAsia="Times New Roman" w:hAnsi="Times New Roman" w:cs="Times New Roman"/>
                <w:iCs/>
                <w:sz w:val="24"/>
                <w:szCs w:val="24"/>
                <w:lang w:eastAsia="lv-LV"/>
              </w:rPr>
              <w:t>m faktiski būtu piemērojams. R</w:t>
            </w:r>
            <w:r w:rsidR="000D3813">
              <w:rPr>
                <w:rFonts w:ascii="Times New Roman" w:eastAsia="Times New Roman" w:hAnsi="Times New Roman" w:cs="Times New Roman"/>
                <w:iCs/>
                <w:sz w:val="24"/>
                <w:szCs w:val="24"/>
                <w:lang w:eastAsia="lv-LV"/>
              </w:rPr>
              <w:t xml:space="preserve">ezultātā nodokļa maksātājam </w:t>
            </w:r>
            <w:r w:rsidR="009800FA">
              <w:rPr>
                <w:rFonts w:ascii="Times New Roman" w:eastAsia="Times New Roman" w:hAnsi="Times New Roman" w:cs="Times New Roman"/>
                <w:iCs/>
                <w:sz w:val="24"/>
                <w:szCs w:val="24"/>
                <w:lang w:eastAsia="lv-LV"/>
              </w:rPr>
              <w:t>rodas</w:t>
            </w:r>
            <w:r w:rsidR="000D3813">
              <w:rPr>
                <w:rFonts w:ascii="Times New Roman" w:eastAsia="Times New Roman" w:hAnsi="Times New Roman" w:cs="Times New Roman"/>
                <w:iCs/>
                <w:sz w:val="24"/>
                <w:szCs w:val="24"/>
                <w:lang w:eastAsia="lv-LV"/>
              </w:rPr>
              <w:t xml:space="preserve"> iedzīvotāju ienākuma nodokļa piemaksa</w:t>
            </w:r>
            <w:r w:rsidR="009800FA">
              <w:rPr>
                <w:rFonts w:ascii="Times New Roman" w:eastAsia="Times New Roman" w:hAnsi="Times New Roman" w:cs="Times New Roman"/>
                <w:iCs/>
                <w:sz w:val="24"/>
                <w:szCs w:val="24"/>
                <w:lang w:eastAsia="lv-LV"/>
              </w:rPr>
              <w:t xml:space="preserve">, kā arī </w:t>
            </w:r>
            <w:r w:rsidR="009800FA" w:rsidRPr="009800FA">
              <w:rPr>
                <w:rFonts w:ascii="Times New Roman" w:eastAsia="Times New Roman" w:hAnsi="Times New Roman" w:cs="Times New Roman"/>
                <w:iCs/>
                <w:sz w:val="24"/>
                <w:szCs w:val="24"/>
                <w:lang w:eastAsia="lv-LV"/>
              </w:rPr>
              <w:t>pienākums iesniegt VID taksācijas gada ienākumu deklarāciju</w:t>
            </w:r>
            <w:r w:rsidR="009800FA">
              <w:rPr>
                <w:rFonts w:ascii="Times New Roman" w:eastAsia="Times New Roman" w:hAnsi="Times New Roman" w:cs="Times New Roman"/>
                <w:iCs/>
                <w:sz w:val="24"/>
                <w:szCs w:val="24"/>
                <w:lang w:eastAsia="lv-LV"/>
              </w:rPr>
              <w:t xml:space="preserve"> un nomaksāt iedzīvotāju ienākuma nodokli</w:t>
            </w:r>
            <w:r w:rsidR="009800FA" w:rsidRPr="009800FA">
              <w:rPr>
                <w:rFonts w:ascii="Times New Roman" w:eastAsia="Times New Roman" w:hAnsi="Times New Roman" w:cs="Times New Roman"/>
                <w:iCs/>
                <w:sz w:val="24"/>
                <w:szCs w:val="24"/>
                <w:lang w:eastAsia="lv-LV"/>
              </w:rPr>
              <w:t>.</w:t>
            </w:r>
          </w:p>
          <w:p w:rsidR="00DE04D4" w:rsidRDefault="00A459A9" w:rsidP="00A4099D">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P</w:t>
            </w:r>
            <w:r w:rsidRPr="008C5104">
              <w:rPr>
                <w:rFonts w:ascii="Times New Roman" w:eastAsia="Calibri" w:hAnsi="Times New Roman" w:cs="Times New Roman"/>
                <w:sz w:val="24"/>
                <w:szCs w:val="24"/>
              </w:rPr>
              <w:t xml:space="preserve">ēdējos </w:t>
            </w:r>
            <w:r w:rsidR="008C5104" w:rsidRPr="008C5104">
              <w:rPr>
                <w:rFonts w:ascii="Times New Roman" w:eastAsia="Calibri" w:hAnsi="Times New Roman" w:cs="Times New Roman"/>
                <w:sz w:val="24"/>
                <w:szCs w:val="24"/>
              </w:rPr>
              <w:t>gados palielinājušās vidēj</w:t>
            </w:r>
            <w:r w:rsidR="00E41DE9">
              <w:rPr>
                <w:rFonts w:ascii="Times New Roman" w:eastAsia="Calibri" w:hAnsi="Times New Roman" w:cs="Times New Roman"/>
                <w:sz w:val="24"/>
                <w:szCs w:val="24"/>
              </w:rPr>
              <w:t>ās bruto darba algas</w:t>
            </w:r>
            <w:r w:rsidR="00A4099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A4099D">
              <w:rPr>
                <w:rFonts w:ascii="Times New Roman" w:eastAsia="Calibri" w:hAnsi="Times New Roman" w:cs="Times New Roman"/>
                <w:sz w:val="24"/>
                <w:szCs w:val="24"/>
              </w:rPr>
              <w:t>2018.ga</w:t>
            </w:r>
            <w:r w:rsidR="008C5104" w:rsidRPr="008C5104">
              <w:rPr>
                <w:rFonts w:ascii="Times New Roman" w:eastAsia="Calibri" w:hAnsi="Times New Roman" w:cs="Times New Roman"/>
                <w:sz w:val="24"/>
                <w:szCs w:val="24"/>
              </w:rPr>
              <w:t xml:space="preserve">dā pieaugums vidēji </w:t>
            </w:r>
            <w:r w:rsidR="00D70FD7">
              <w:rPr>
                <w:rFonts w:ascii="Times New Roman" w:eastAsia="Calibri" w:hAnsi="Times New Roman" w:cs="Times New Roman"/>
                <w:sz w:val="24"/>
                <w:szCs w:val="24"/>
              </w:rPr>
              <w:t>ir</w:t>
            </w:r>
            <w:r w:rsidR="008C5104" w:rsidRPr="008C5104">
              <w:rPr>
                <w:rFonts w:ascii="Times New Roman" w:eastAsia="Calibri" w:hAnsi="Times New Roman" w:cs="Times New Roman"/>
                <w:sz w:val="24"/>
                <w:szCs w:val="24"/>
              </w:rPr>
              <w:t xml:space="preserve"> 9%</w:t>
            </w:r>
            <w:r>
              <w:rPr>
                <w:rFonts w:ascii="Times New Roman" w:eastAsia="Calibri" w:hAnsi="Times New Roman" w:cs="Times New Roman"/>
                <w:sz w:val="24"/>
                <w:szCs w:val="24"/>
              </w:rPr>
              <w:t>)</w:t>
            </w:r>
            <w:r w:rsidR="0098003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70907">
              <w:rPr>
                <w:rFonts w:ascii="Times New Roman" w:eastAsia="Calibri" w:hAnsi="Times New Roman" w:cs="Times New Roman"/>
                <w:sz w:val="24"/>
                <w:szCs w:val="24"/>
              </w:rPr>
              <w:t xml:space="preserve">un arī turpmāk </w:t>
            </w:r>
            <w:r w:rsidRPr="00D70907">
              <w:rPr>
                <w:rFonts w:ascii="Times New Roman" w:eastAsia="Calibri" w:hAnsi="Times New Roman" w:cs="Times New Roman"/>
                <w:sz w:val="24"/>
                <w:szCs w:val="24"/>
              </w:rPr>
              <w:lastRenderedPageBreak/>
              <w:t>ekonomikas izaugsmes ciklā ir sagaidām</w:t>
            </w:r>
            <w:r w:rsidR="00711FDC" w:rsidRPr="00D70907">
              <w:rPr>
                <w:rFonts w:ascii="Times New Roman" w:eastAsia="Calibri" w:hAnsi="Times New Roman" w:cs="Times New Roman"/>
                <w:sz w:val="24"/>
                <w:szCs w:val="24"/>
              </w:rPr>
              <w:t>s</w:t>
            </w:r>
            <w:r w:rsidRPr="00D70907">
              <w:rPr>
                <w:rFonts w:ascii="Times New Roman" w:eastAsia="Calibri" w:hAnsi="Times New Roman" w:cs="Times New Roman"/>
                <w:sz w:val="24"/>
                <w:szCs w:val="24"/>
              </w:rPr>
              <w:t xml:space="preserve"> darba algu un kopējo iedzīvotāju ienākumu pieaugums. Šobrīd VID prognozēt</w:t>
            </w:r>
            <w:r w:rsidR="00E77CCD" w:rsidRPr="00D70907">
              <w:rPr>
                <w:rFonts w:ascii="Times New Roman" w:eastAsia="Calibri" w:hAnsi="Times New Roman" w:cs="Times New Roman"/>
                <w:sz w:val="24"/>
                <w:szCs w:val="24"/>
              </w:rPr>
              <w:t>ā</w:t>
            </w:r>
            <w:r w:rsidRPr="00D70907">
              <w:rPr>
                <w:rFonts w:ascii="Times New Roman" w:eastAsia="Calibri" w:hAnsi="Times New Roman" w:cs="Times New Roman"/>
                <w:sz w:val="24"/>
                <w:szCs w:val="24"/>
              </w:rPr>
              <w:t xml:space="preserve"> mēneša neapliekamā minimuma aprēķina modelis nevar nodrošināt precīzu neapliekamā minimuma prognozēšanu par fiziskās personas gūstamo ienākumu nākamajā gadā. Kā viens no elementiem, kas varētu pietuvināt VID prognozētā mēneša neapliekamā minimuma summas un gada diferencētā neapliekamā minimuma apmērus</w:t>
            </w:r>
            <w:r w:rsidR="00980035" w:rsidRPr="00D70907">
              <w:rPr>
                <w:rFonts w:ascii="Times New Roman" w:eastAsia="Calibri" w:hAnsi="Times New Roman" w:cs="Times New Roman"/>
                <w:sz w:val="24"/>
                <w:szCs w:val="24"/>
              </w:rPr>
              <w:t>,</w:t>
            </w:r>
            <w:r w:rsidRPr="00D70907">
              <w:rPr>
                <w:rFonts w:ascii="Times New Roman" w:eastAsia="Calibri" w:hAnsi="Times New Roman" w:cs="Times New Roman"/>
                <w:sz w:val="24"/>
                <w:szCs w:val="24"/>
              </w:rPr>
              <w:t xml:space="preserve"> ir VID prognozētā mēneša neapliekamā minimuma aprēķina formulā izmantot iespējamo algu pieauguma koeficientu. Šāds modelis nesamazinātu personas neapliekamā minimuma apmēru, bet novērstu neapmierinātības risku ar nodokļu politiku personām, kuras līdz šim nesniedza iedzīvotāju ienākuma </w:t>
            </w:r>
            <w:r w:rsidR="00E77CCD" w:rsidRPr="00D70907">
              <w:rPr>
                <w:rFonts w:ascii="Times New Roman" w:eastAsia="Calibri" w:hAnsi="Times New Roman" w:cs="Times New Roman"/>
                <w:sz w:val="24"/>
                <w:szCs w:val="24"/>
              </w:rPr>
              <w:t xml:space="preserve">nodokļa </w:t>
            </w:r>
            <w:r w:rsidRPr="00D70907">
              <w:rPr>
                <w:rFonts w:ascii="Times New Roman" w:eastAsia="Calibri" w:hAnsi="Times New Roman" w:cs="Times New Roman"/>
                <w:sz w:val="24"/>
                <w:szCs w:val="24"/>
              </w:rPr>
              <w:t xml:space="preserve">deklarācijas, </w:t>
            </w:r>
            <w:r w:rsidR="00980035" w:rsidRPr="00D70907">
              <w:rPr>
                <w:rFonts w:ascii="Times New Roman" w:eastAsia="Calibri" w:hAnsi="Times New Roman" w:cs="Times New Roman"/>
                <w:sz w:val="24"/>
                <w:szCs w:val="24"/>
              </w:rPr>
              <w:t>kā arī</w:t>
            </w:r>
            <w:r w:rsidRPr="00D70907">
              <w:rPr>
                <w:rFonts w:ascii="Times New Roman" w:eastAsia="Calibri" w:hAnsi="Times New Roman" w:cs="Times New Roman"/>
                <w:sz w:val="24"/>
                <w:szCs w:val="24"/>
              </w:rPr>
              <w:t xml:space="preserve"> radītu lielāku pārliecību, ka no darba algas nodok</w:t>
            </w:r>
            <w:r w:rsidR="00E77CCD" w:rsidRPr="00D70907">
              <w:rPr>
                <w:rFonts w:ascii="Times New Roman" w:eastAsia="Calibri" w:hAnsi="Times New Roman" w:cs="Times New Roman"/>
                <w:sz w:val="24"/>
                <w:szCs w:val="24"/>
              </w:rPr>
              <w:t>ļ</w:t>
            </w:r>
            <w:r w:rsidRPr="00D70907">
              <w:rPr>
                <w:rFonts w:ascii="Times New Roman" w:eastAsia="Calibri" w:hAnsi="Times New Roman" w:cs="Times New Roman"/>
                <w:sz w:val="24"/>
                <w:szCs w:val="24"/>
              </w:rPr>
              <w:t xml:space="preserve">i ir samaksāti </w:t>
            </w:r>
            <w:r w:rsidR="00980035" w:rsidRPr="00D70907">
              <w:rPr>
                <w:rFonts w:ascii="Times New Roman" w:eastAsia="Calibri" w:hAnsi="Times New Roman" w:cs="Times New Roman"/>
                <w:sz w:val="24"/>
                <w:szCs w:val="24"/>
              </w:rPr>
              <w:t>(</w:t>
            </w:r>
            <w:r w:rsidRPr="00D70907">
              <w:rPr>
                <w:rFonts w:ascii="Times New Roman" w:eastAsia="Calibri" w:hAnsi="Times New Roman" w:cs="Times New Roman"/>
                <w:sz w:val="24"/>
                <w:szCs w:val="24"/>
              </w:rPr>
              <w:t>ar iespēju personām trīs gadu laikā atgūt pārmaksāto nodokli, ja tomēr personai rodas</w:t>
            </w:r>
            <w:r w:rsidR="00980035" w:rsidRPr="00D70907">
              <w:rPr>
                <w:rFonts w:ascii="Times New Roman" w:eastAsia="Calibri" w:hAnsi="Times New Roman" w:cs="Times New Roman"/>
                <w:sz w:val="24"/>
                <w:szCs w:val="24"/>
              </w:rPr>
              <w:t xml:space="preserve"> nodokļa pārmaksa</w:t>
            </w:r>
            <w:r w:rsidR="005C40BC" w:rsidRPr="00D70907">
              <w:rPr>
                <w:rFonts w:ascii="Times New Roman" w:eastAsia="Calibri" w:hAnsi="Times New Roman" w:cs="Times New Roman"/>
                <w:sz w:val="24"/>
                <w:szCs w:val="24"/>
              </w:rPr>
              <w:t>)</w:t>
            </w:r>
            <w:r w:rsidRPr="00D70907">
              <w:rPr>
                <w:rFonts w:ascii="Times New Roman" w:eastAsia="Calibri" w:hAnsi="Times New Roman" w:cs="Times New Roman"/>
                <w:sz w:val="24"/>
                <w:szCs w:val="24"/>
              </w:rPr>
              <w:t xml:space="preserve">. </w:t>
            </w:r>
          </w:p>
          <w:p w:rsidR="0072748D" w:rsidRPr="005A0635" w:rsidRDefault="00A459A9" w:rsidP="00A4099D">
            <w:pPr>
              <w:spacing w:after="0" w:line="240" w:lineRule="auto"/>
              <w:jc w:val="both"/>
              <w:rPr>
                <w:rFonts w:ascii="Times New Roman" w:eastAsia="Calibri" w:hAnsi="Times New Roman" w:cs="Times New Roman"/>
                <w:sz w:val="24"/>
                <w:szCs w:val="24"/>
              </w:rPr>
            </w:pPr>
            <w:r w:rsidRPr="008C5104">
              <w:rPr>
                <w:rFonts w:ascii="Times New Roman" w:eastAsia="Calibri" w:hAnsi="Times New Roman" w:cs="Times New Roman"/>
                <w:sz w:val="24"/>
                <w:szCs w:val="24"/>
              </w:rPr>
              <w:t xml:space="preserve">Ņemot vērā, ka </w:t>
            </w:r>
            <w:r w:rsidR="008C5104">
              <w:rPr>
                <w:rFonts w:ascii="Times New Roman" w:eastAsia="Calibri" w:hAnsi="Times New Roman" w:cs="Times New Roman"/>
                <w:sz w:val="24"/>
                <w:szCs w:val="24"/>
              </w:rPr>
              <w:t>VID prognozētā mēneša neapliekamā minimuma</w:t>
            </w:r>
            <w:r w:rsidR="008C5104" w:rsidRPr="008C5104">
              <w:rPr>
                <w:rFonts w:ascii="Times New Roman" w:eastAsia="Calibri" w:hAnsi="Times New Roman" w:cs="Times New Roman"/>
                <w:sz w:val="24"/>
                <w:szCs w:val="24"/>
              </w:rPr>
              <w:t xml:space="preserve"> aprēķināšanas formulā</w:t>
            </w:r>
            <w:r w:rsidR="00E41DE9">
              <w:rPr>
                <w:rFonts w:ascii="Times New Roman" w:eastAsia="Calibri" w:hAnsi="Times New Roman" w:cs="Times New Roman"/>
                <w:sz w:val="24"/>
                <w:szCs w:val="24"/>
              </w:rPr>
              <w:t xml:space="preserve"> būtu jāiekļauj</w:t>
            </w:r>
            <w:r w:rsidR="008C5104" w:rsidRPr="008C5104">
              <w:rPr>
                <w:rFonts w:ascii="Times New Roman" w:eastAsia="Calibri" w:hAnsi="Times New Roman" w:cs="Times New Roman"/>
                <w:sz w:val="24"/>
                <w:szCs w:val="24"/>
              </w:rPr>
              <w:t xml:space="preserve"> </w:t>
            </w:r>
            <w:r w:rsidR="00E41DE9">
              <w:rPr>
                <w:rFonts w:ascii="Times New Roman" w:eastAsia="Calibri" w:hAnsi="Times New Roman" w:cs="Times New Roman"/>
                <w:sz w:val="24"/>
                <w:szCs w:val="24"/>
              </w:rPr>
              <w:t>koeficients</w:t>
            </w:r>
            <w:r w:rsidR="008C5104" w:rsidRPr="008C5104">
              <w:rPr>
                <w:rFonts w:ascii="Times New Roman" w:eastAsia="Calibri" w:hAnsi="Times New Roman" w:cs="Times New Roman"/>
                <w:sz w:val="24"/>
                <w:szCs w:val="24"/>
              </w:rPr>
              <w:t xml:space="preserve">, kas palielinātu </w:t>
            </w:r>
            <w:r w:rsidR="004F1F65">
              <w:rPr>
                <w:rFonts w:ascii="Times New Roman" w:eastAsia="Calibri" w:hAnsi="Times New Roman" w:cs="Times New Roman"/>
                <w:sz w:val="24"/>
                <w:szCs w:val="24"/>
              </w:rPr>
              <w:t xml:space="preserve">nodokļa </w:t>
            </w:r>
            <w:r w:rsidR="008C5104" w:rsidRPr="008C5104">
              <w:rPr>
                <w:rFonts w:ascii="Times New Roman" w:eastAsia="Calibri" w:hAnsi="Times New Roman" w:cs="Times New Roman"/>
                <w:sz w:val="24"/>
                <w:szCs w:val="24"/>
              </w:rPr>
              <w:t xml:space="preserve">maksātāja </w:t>
            </w:r>
            <w:r w:rsidR="008C5104">
              <w:rPr>
                <w:rFonts w:ascii="Times New Roman" w:eastAsia="Calibri" w:hAnsi="Times New Roman" w:cs="Times New Roman"/>
                <w:sz w:val="24"/>
                <w:szCs w:val="24"/>
              </w:rPr>
              <w:t>ar iedzīvotāju ienākuma nodokli apliekam</w:t>
            </w:r>
            <w:r w:rsidR="00A4099D">
              <w:rPr>
                <w:rFonts w:ascii="Times New Roman" w:eastAsia="Calibri" w:hAnsi="Times New Roman" w:cs="Times New Roman"/>
                <w:sz w:val="24"/>
                <w:szCs w:val="24"/>
              </w:rPr>
              <w:t>o</w:t>
            </w:r>
            <w:r w:rsidR="008C5104">
              <w:rPr>
                <w:rFonts w:ascii="Times New Roman" w:eastAsia="Calibri" w:hAnsi="Times New Roman" w:cs="Times New Roman"/>
                <w:sz w:val="24"/>
                <w:szCs w:val="24"/>
              </w:rPr>
              <w:t xml:space="preserve"> ienākumu</w:t>
            </w:r>
            <w:r w:rsidR="00711FDC">
              <w:rPr>
                <w:rFonts w:ascii="Times New Roman" w:eastAsia="Times New Roman" w:hAnsi="Times New Roman" w:cs="Times New Roman"/>
                <w:iCs/>
                <w:sz w:val="24"/>
                <w:szCs w:val="24"/>
                <w:lang w:eastAsia="lv-LV"/>
              </w:rPr>
              <w:t>,</w:t>
            </w:r>
            <w:r w:rsidR="00980035">
              <w:rPr>
                <w:rFonts w:ascii="Times New Roman" w:eastAsia="Times New Roman" w:hAnsi="Times New Roman" w:cs="Times New Roman"/>
                <w:iCs/>
                <w:sz w:val="24"/>
                <w:szCs w:val="24"/>
                <w:lang w:eastAsia="lv-LV"/>
              </w:rPr>
              <w:t xml:space="preserve"> </w:t>
            </w:r>
            <w:r w:rsidR="00A4099D">
              <w:rPr>
                <w:rFonts w:ascii="Times New Roman" w:eastAsia="Calibri" w:hAnsi="Times New Roman" w:cs="Times New Roman"/>
                <w:sz w:val="24"/>
              </w:rPr>
              <w:t xml:space="preserve">projekts paredz papildināt VID </w:t>
            </w:r>
            <w:r w:rsidR="00A4099D" w:rsidRPr="00C569AB">
              <w:rPr>
                <w:rFonts w:ascii="Times New Roman" w:eastAsia="Calibri" w:hAnsi="Times New Roman" w:cs="Times New Roman"/>
                <w:sz w:val="24"/>
                <w:szCs w:val="24"/>
              </w:rPr>
              <w:t>prognozētā mēneša neapliekamā minimuma aprēķina formul</w:t>
            </w:r>
            <w:r w:rsidR="00A4099D">
              <w:rPr>
                <w:rFonts w:ascii="Times New Roman" w:eastAsia="Calibri" w:hAnsi="Times New Roman" w:cs="Times New Roman"/>
                <w:sz w:val="24"/>
                <w:szCs w:val="24"/>
              </w:rPr>
              <w:t>u</w:t>
            </w:r>
            <w:r w:rsidR="00A4099D" w:rsidRPr="00C569AB">
              <w:rPr>
                <w:rFonts w:ascii="Times New Roman" w:eastAsia="Calibri" w:hAnsi="Times New Roman" w:cs="Times New Roman"/>
                <w:sz w:val="24"/>
                <w:szCs w:val="24"/>
              </w:rPr>
              <w:t xml:space="preserve"> ar paredzamo ienākumu pieauguma koeficientu</w:t>
            </w:r>
            <w:r w:rsidR="004D5F17">
              <w:rPr>
                <w:rFonts w:ascii="Times New Roman" w:eastAsia="Calibri" w:hAnsi="Times New Roman" w:cs="Times New Roman"/>
                <w:sz w:val="24"/>
                <w:szCs w:val="24"/>
              </w:rPr>
              <w:t xml:space="preserve"> – 1,09</w:t>
            </w:r>
            <w:r w:rsidR="0072748D" w:rsidRPr="005A0635">
              <w:rPr>
                <w:rFonts w:ascii="Times New Roman" w:eastAsia="Calibri" w:hAnsi="Times New Roman" w:cs="Times New Roman"/>
                <w:sz w:val="24"/>
                <w:szCs w:val="24"/>
              </w:rPr>
              <w:t>, kas tiek noteikts atbilstoši minētajam vidējās bruto darba algas pieaugumam 2018.gadā</w:t>
            </w:r>
            <w:r w:rsidR="00A4099D" w:rsidRPr="005A0635">
              <w:rPr>
                <w:rFonts w:ascii="Times New Roman" w:eastAsia="Calibri" w:hAnsi="Times New Roman" w:cs="Times New Roman"/>
                <w:sz w:val="24"/>
                <w:szCs w:val="24"/>
              </w:rPr>
              <w:t xml:space="preserve">. </w:t>
            </w:r>
          </w:p>
          <w:p w:rsidR="00C072C4" w:rsidRPr="005A0635" w:rsidRDefault="008C4CAE" w:rsidP="00A4099D">
            <w:pPr>
              <w:spacing w:after="0" w:line="240" w:lineRule="auto"/>
              <w:jc w:val="both"/>
              <w:rPr>
                <w:rFonts w:ascii="Times New Roman" w:eastAsia="Calibri" w:hAnsi="Times New Roman" w:cs="Times New Roman"/>
                <w:sz w:val="24"/>
                <w:szCs w:val="24"/>
              </w:rPr>
            </w:pPr>
            <w:r w:rsidRPr="005A0635">
              <w:rPr>
                <w:rFonts w:ascii="Times New Roman" w:eastAsia="Calibri" w:hAnsi="Times New Roman" w:cs="Times New Roman"/>
                <w:sz w:val="24"/>
                <w:szCs w:val="24"/>
              </w:rPr>
              <w:t xml:space="preserve">Minētā ienākumu pieauguma koeficienta ieviešanas mērķis – aprēķināt VID prognozēto mēneša neapliekamo minimumu iespējami tuvu nodokļa maksātāja faktiskajiem taksācijas gada ienākumiem un tādējādi </w:t>
            </w:r>
            <w:r w:rsidR="00C072C4" w:rsidRPr="005A0635">
              <w:rPr>
                <w:rFonts w:ascii="Times New Roman" w:eastAsia="Calibri" w:hAnsi="Times New Roman" w:cs="Times New Roman"/>
                <w:sz w:val="24"/>
                <w:szCs w:val="24"/>
              </w:rPr>
              <w:t>samazināt</w:t>
            </w:r>
            <w:r w:rsidRPr="005A0635">
              <w:rPr>
                <w:rFonts w:ascii="Times New Roman" w:eastAsia="Calibri" w:hAnsi="Times New Roman" w:cs="Times New Roman"/>
                <w:sz w:val="24"/>
                <w:szCs w:val="24"/>
              </w:rPr>
              <w:t xml:space="preserve"> iespēju, ka nodokļa maksātājam veidojas iedzīvotāju ienākuma nodokļa piemaksa vai p</w:t>
            </w:r>
            <w:r w:rsidR="00C072C4" w:rsidRPr="005A0635">
              <w:rPr>
                <w:rFonts w:ascii="Times New Roman" w:eastAsia="Calibri" w:hAnsi="Times New Roman" w:cs="Times New Roman"/>
                <w:sz w:val="24"/>
                <w:szCs w:val="24"/>
              </w:rPr>
              <w:t>ārmaksa, pienākums iesniegt gada ienākumu deklarāciju un nomaksāt iedzīvotāju ienākuma nodokli, kas rada administratīvo slogu gan nodokļa maksātājam, gan nodokļu administrācijai</w:t>
            </w:r>
            <w:r w:rsidRPr="005A0635">
              <w:rPr>
                <w:rFonts w:ascii="Times New Roman" w:eastAsia="Calibri" w:hAnsi="Times New Roman" w:cs="Times New Roman"/>
                <w:sz w:val="24"/>
                <w:szCs w:val="24"/>
              </w:rPr>
              <w:t>.</w:t>
            </w:r>
            <w:r w:rsidR="00C072C4" w:rsidRPr="005A0635">
              <w:rPr>
                <w:rFonts w:ascii="Times New Roman" w:eastAsia="Calibri" w:hAnsi="Times New Roman" w:cs="Times New Roman"/>
                <w:sz w:val="24"/>
                <w:szCs w:val="24"/>
              </w:rPr>
              <w:t xml:space="preserve"> </w:t>
            </w:r>
          </w:p>
          <w:p w:rsidR="006A7ED5" w:rsidRPr="005A0635" w:rsidRDefault="006A7ED5" w:rsidP="00A4099D">
            <w:pPr>
              <w:spacing w:after="0" w:line="240" w:lineRule="auto"/>
              <w:jc w:val="both"/>
              <w:rPr>
                <w:rFonts w:ascii="Times New Roman" w:eastAsia="Calibri" w:hAnsi="Times New Roman" w:cs="Times New Roman"/>
                <w:sz w:val="24"/>
                <w:szCs w:val="24"/>
              </w:rPr>
            </w:pPr>
            <w:r w:rsidRPr="005A0635">
              <w:rPr>
                <w:rFonts w:ascii="Times New Roman" w:eastAsia="Calibri" w:hAnsi="Times New Roman" w:cs="Times New Roman"/>
                <w:sz w:val="24"/>
                <w:szCs w:val="24"/>
              </w:rPr>
              <w:t>M</w:t>
            </w:r>
            <w:r w:rsidR="00A70C55" w:rsidRPr="005A0635">
              <w:rPr>
                <w:rFonts w:ascii="Times New Roman" w:eastAsia="Calibri" w:hAnsi="Times New Roman" w:cs="Times New Roman"/>
                <w:sz w:val="24"/>
                <w:szCs w:val="24"/>
              </w:rPr>
              <w:t>inēt</w:t>
            </w:r>
            <w:r w:rsidRPr="005A0635">
              <w:rPr>
                <w:rFonts w:ascii="Times New Roman" w:eastAsia="Calibri" w:hAnsi="Times New Roman" w:cs="Times New Roman"/>
                <w:sz w:val="24"/>
                <w:szCs w:val="24"/>
              </w:rPr>
              <w:t>ais</w:t>
            </w:r>
            <w:r w:rsidR="00A70C55" w:rsidRPr="005A0635">
              <w:rPr>
                <w:rFonts w:ascii="Times New Roman" w:eastAsia="Calibri" w:hAnsi="Times New Roman" w:cs="Times New Roman"/>
                <w:sz w:val="24"/>
                <w:szCs w:val="24"/>
              </w:rPr>
              <w:t xml:space="preserve"> ienākumu pieauguma koeficient</w:t>
            </w:r>
            <w:r w:rsidRPr="005A0635">
              <w:rPr>
                <w:rFonts w:ascii="Times New Roman" w:eastAsia="Calibri" w:hAnsi="Times New Roman" w:cs="Times New Roman"/>
                <w:sz w:val="24"/>
                <w:szCs w:val="24"/>
              </w:rPr>
              <w:t>s tiks piemērots, aprēķinot VID prognozēto mēneša neapliekamo minimumu,</w:t>
            </w:r>
            <w:r w:rsidR="00E03F2B" w:rsidRPr="005A0635">
              <w:rPr>
                <w:rFonts w:ascii="Times New Roman" w:eastAsia="Calibri" w:hAnsi="Times New Roman" w:cs="Times New Roman"/>
                <w:sz w:val="24"/>
                <w:szCs w:val="24"/>
              </w:rPr>
              <w:t xml:space="preserve"> ko piemēro taksācijas gada laikā, bet</w:t>
            </w:r>
            <w:r w:rsidRPr="005A0635">
              <w:rPr>
                <w:rFonts w:ascii="Times New Roman" w:eastAsia="Calibri" w:hAnsi="Times New Roman" w:cs="Times New Roman"/>
                <w:sz w:val="24"/>
                <w:szCs w:val="24"/>
              </w:rPr>
              <w:t xml:space="preserve"> nodokļa maksātājam rezumējošā kārtībā, iesniedzot taksācijas gada ienākumu deklarāciju, tiks aprēķināts </w:t>
            </w:r>
            <w:r w:rsidR="00804518" w:rsidRPr="005A0635">
              <w:rPr>
                <w:rFonts w:ascii="Times New Roman" w:eastAsia="Calibri" w:hAnsi="Times New Roman" w:cs="Times New Roman"/>
                <w:sz w:val="24"/>
                <w:szCs w:val="24"/>
              </w:rPr>
              <w:t xml:space="preserve">taksācijas </w:t>
            </w:r>
            <w:r w:rsidRPr="005A0635">
              <w:rPr>
                <w:rFonts w:ascii="Times New Roman" w:eastAsia="Calibri" w:hAnsi="Times New Roman" w:cs="Times New Roman"/>
                <w:sz w:val="24"/>
                <w:szCs w:val="24"/>
              </w:rPr>
              <w:t xml:space="preserve">gada diferencētais neapliekamais minimums atbilstoši nodokļa maksātāja faktiskajiem </w:t>
            </w:r>
            <w:r w:rsidR="00D103F7">
              <w:rPr>
                <w:rFonts w:ascii="Times New Roman" w:eastAsia="Calibri" w:hAnsi="Times New Roman" w:cs="Times New Roman"/>
                <w:sz w:val="24"/>
                <w:szCs w:val="24"/>
              </w:rPr>
              <w:t xml:space="preserve">taksācijas gada </w:t>
            </w:r>
            <w:r w:rsidRPr="005A0635">
              <w:rPr>
                <w:rFonts w:ascii="Times New Roman" w:eastAsia="Calibri" w:hAnsi="Times New Roman" w:cs="Times New Roman"/>
                <w:sz w:val="24"/>
                <w:szCs w:val="24"/>
              </w:rPr>
              <w:t xml:space="preserve">ienākumiem. </w:t>
            </w:r>
          </w:p>
          <w:p w:rsidR="00980035" w:rsidRPr="00D70907" w:rsidRDefault="00980035" w:rsidP="00980035">
            <w:pPr>
              <w:spacing w:after="0" w:line="240" w:lineRule="auto"/>
              <w:jc w:val="both"/>
              <w:rPr>
                <w:rFonts w:ascii="Times New Roman" w:eastAsia="Times New Roman" w:hAnsi="Times New Roman" w:cs="Times New Roman"/>
                <w:iCs/>
                <w:sz w:val="24"/>
                <w:szCs w:val="24"/>
                <w:lang w:eastAsia="lv-LV"/>
              </w:rPr>
            </w:pPr>
            <w:r w:rsidRPr="00D70907">
              <w:rPr>
                <w:rFonts w:ascii="Times New Roman" w:eastAsia="Calibri" w:hAnsi="Times New Roman" w:cs="Times New Roman"/>
                <w:sz w:val="24"/>
                <w:szCs w:val="24"/>
              </w:rPr>
              <w:t xml:space="preserve">Piedāvātais modelis ar koeficientu neierobežo personas tiesības uz neapliekamā minimuma piemērošanu, jo iedzīvotāju ienākuma nodokli visiem nodokļa maksātajiem VID pārrēķina gada griezumā (piemērojot atvieglojumus, attaisnotos izdevumus un neizmantoto </w:t>
            </w:r>
            <w:r w:rsidRPr="00D70907">
              <w:rPr>
                <w:rFonts w:ascii="Times New Roman" w:eastAsia="Calibri" w:hAnsi="Times New Roman" w:cs="Times New Roman"/>
                <w:sz w:val="24"/>
                <w:szCs w:val="24"/>
              </w:rPr>
              <w:lastRenderedPageBreak/>
              <w:t xml:space="preserve">nepaliekamo minimumu u.c.), rezultātā pati persona nodokli maksā rezumējošā kartībā – veicot nodokļa piemaksu vai saņemot atmaksu, bet gada laikā darba devējs tikai veic maksājumus par noteiktu ienākuma daļu (minētā ienākumu daļa ir tikai viena no ienākumu pozīcijām, kas tiek ņemta diferencētā neapliekamā minimuma aprēķinā).   </w:t>
            </w:r>
          </w:p>
          <w:p w:rsidR="00944D4E" w:rsidRDefault="006A7ED5" w:rsidP="00AE508E">
            <w:pPr>
              <w:spacing w:after="0" w:line="240" w:lineRule="auto"/>
              <w:jc w:val="both"/>
              <w:rPr>
                <w:rFonts w:ascii="Times New Roman" w:eastAsia="Calibri" w:hAnsi="Times New Roman" w:cs="Times New Roman"/>
                <w:sz w:val="24"/>
                <w:szCs w:val="24"/>
              </w:rPr>
            </w:pPr>
            <w:r w:rsidRPr="005A0635">
              <w:rPr>
                <w:rFonts w:ascii="Times New Roman" w:eastAsia="Calibri" w:hAnsi="Times New Roman" w:cs="Times New Roman"/>
                <w:sz w:val="24"/>
                <w:szCs w:val="24"/>
              </w:rPr>
              <w:t xml:space="preserve">Tādējādi ar minēto regulējumu netiek </w:t>
            </w:r>
            <w:r w:rsidR="00E05A4A" w:rsidRPr="005A0635">
              <w:rPr>
                <w:rFonts w:ascii="Times New Roman" w:eastAsia="Calibri" w:hAnsi="Times New Roman" w:cs="Times New Roman"/>
                <w:sz w:val="24"/>
                <w:szCs w:val="24"/>
              </w:rPr>
              <w:t xml:space="preserve">ietekmēts nodokļa maksātāja </w:t>
            </w:r>
            <w:r w:rsidR="00E03F2B" w:rsidRPr="005A0635">
              <w:rPr>
                <w:rFonts w:ascii="Times New Roman" w:eastAsia="Calibri" w:hAnsi="Times New Roman" w:cs="Times New Roman"/>
                <w:sz w:val="24"/>
                <w:szCs w:val="24"/>
              </w:rPr>
              <w:t xml:space="preserve">taksācijas </w:t>
            </w:r>
            <w:r w:rsidR="00E05A4A" w:rsidRPr="005A0635">
              <w:rPr>
                <w:rFonts w:ascii="Times New Roman" w:eastAsia="Calibri" w:hAnsi="Times New Roman" w:cs="Times New Roman"/>
                <w:sz w:val="24"/>
                <w:szCs w:val="24"/>
              </w:rPr>
              <w:t>gada diferenc</w:t>
            </w:r>
            <w:r w:rsidR="00E03F2B" w:rsidRPr="005A0635">
              <w:rPr>
                <w:rFonts w:ascii="Times New Roman" w:eastAsia="Calibri" w:hAnsi="Times New Roman" w:cs="Times New Roman"/>
                <w:sz w:val="24"/>
                <w:szCs w:val="24"/>
              </w:rPr>
              <w:t>ētā</w:t>
            </w:r>
            <w:r w:rsidR="00E05A4A" w:rsidRPr="005A0635">
              <w:rPr>
                <w:rFonts w:ascii="Times New Roman" w:eastAsia="Calibri" w:hAnsi="Times New Roman" w:cs="Times New Roman"/>
                <w:sz w:val="24"/>
                <w:szCs w:val="24"/>
              </w:rPr>
              <w:t xml:space="preserve"> neapl</w:t>
            </w:r>
            <w:r w:rsidR="00E03F2B" w:rsidRPr="005A0635">
              <w:rPr>
                <w:rFonts w:ascii="Times New Roman" w:eastAsia="Calibri" w:hAnsi="Times New Roman" w:cs="Times New Roman"/>
                <w:sz w:val="24"/>
                <w:szCs w:val="24"/>
              </w:rPr>
              <w:t xml:space="preserve">iekamā minimuma apmērs, </w:t>
            </w:r>
            <w:r w:rsidR="00C072C4" w:rsidRPr="005A0635">
              <w:rPr>
                <w:rFonts w:ascii="Times New Roman" w:eastAsia="Calibri" w:hAnsi="Times New Roman" w:cs="Times New Roman"/>
                <w:sz w:val="24"/>
                <w:szCs w:val="24"/>
              </w:rPr>
              <w:t>uz kuru nodokļa maksātājam ir tiesības</w:t>
            </w:r>
            <w:r w:rsidRPr="005A0635">
              <w:rPr>
                <w:rFonts w:ascii="Times New Roman" w:eastAsia="Calibri" w:hAnsi="Times New Roman" w:cs="Times New Roman"/>
                <w:sz w:val="24"/>
                <w:szCs w:val="24"/>
              </w:rPr>
              <w:t xml:space="preserve">. </w:t>
            </w:r>
          </w:p>
          <w:p w:rsidR="004319E6" w:rsidRPr="00D70907" w:rsidRDefault="004319E6" w:rsidP="00AE508E">
            <w:pPr>
              <w:spacing w:after="0" w:line="240" w:lineRule="auto"/>
              <w:jc w:val="both"/>
              <w:rPr>
                <w:rFonts w:ascii="Times New Roman" w:eastAsia="Times New Roman" w:hAnsi="Times New Roman" w:cs="Times New Roman"/>
                <w:iCs/>
                <w:sz w:val="24"/>
                <w:szCs w:val="24"/>
                <w:lang w:eastAsia="lv-LV"/>
              </w:rPr>
            </w:pPr>
            <w:r w:rsidRPr="00D70907">
              <w:rPr>
                <w:rFonts w:ascii="Times New Roman" w:eastAsia="Times New Roman" w:hAnsi="Times New Roman" w:cs="Times New Roman"/>
                <w:color w:val="000000"/>
                <w:sz w:val="24"/>
                <w:szCs w:val="24"/>
                <w:shd w:val="clear" w:color="auto" w:fill="FFFFFF"/>
                <w:lang w:eastAsia="lv-LV"/>
              </w:rPr>
              <w:t>Ņemot vērā, ka VID prognozēto mēneša neapliekamo minimumu aprēķina VID un to, ka VID ienākuma izmaksātājam, pie kura ir iesniegta nodokļa maksātāja algas nodokļa grāmatiņa, nodrošina ierakstu par nodokļa maksātājam piemērojamo VID prognozēto mēneša neapliekamā minimuma apmēru</w:t>
            </w:r>
            <w:r w:rsidRPr="00D70907">
              <w:rPr>
                <w:rFonts w:ascii="Times New Roman" w:eastAsia="Times New Roman" w:hAnsi="Times New Roman" w:cs="Times New Roman"/>
                <w:iCs/>
                <w:sz w:val="24"/>
                <w:szCs w:val="24"/>
                <w:lang w:eastAsia="lv-LV"/>
              </w:rPr>
              <w:t xml:space="preserve">, saistībā ar ienākumu pieauguma koeficienta ieviešanu </w:t>
            </w:r>
            <w:r w:rsidR="00D103F7" w:rsidRPr="00D70907">
              <w:rPr>
                <w:rFonts w:ascii="Times New Roman" w:eastAsia="Times New Roman" w:hAnsi="Times New Roman" w:cs="Times New Roman"/>
                <w:iCs/>
                <w:sz w:val="24"/>
                <w:szCs w:val="24"/>
                <w:lang w:eastAsia="lv-LV"/>
              </w:rPr>
              <w:t>algu grāmatvežiem</w:t>
            </w:r>
            <w:r w:rsidRPr="00D70907">
              <w:rPr>
                <w:rFonts w:ascii="Times New Roman" w:eastAsia="Times New Roman" w:hAnsi="Times New Roman" w:cs="Times New Roman"/>
                <w:iCs/>
                <w:sz w:val="24"/>
                <w:szCs w:val="24"/>
                <w:lang w:eastAsia="lv-LV"/>
              </w:rPr>
              <w:t xml:space="preserve"> neti</w:t>
            </w:r>
            <w:r w:rsidR="00D103F7" w:rsidRPr="00D70907">
              <w:rPr>
                <w:rFonts w:ascii="Times New Roman" w:eastAsia="Times New Roman" w:hAnsi="Times New Roman" w:cs="Times New Roman"/>
                <w:iCs/>
                <w:sz w:val="24"/>
                <w:szCs w:val="24"/>
                <w:lang w:eastAsia="lv-LV"/>
              </w:rPr>
              <w:t>ks</w:t>
            </w:r>
            <w:r w:rsidRPr="00D70907">
              <w:rPr>
                <w:rFonts w:ascii="Times New Roman" w:eastAsia="Times New Roman" w:hAnsi="Times New Roman" w:cs="Times New Roman"/>
                <w:iCs/>
                <w:sz w:val="24"/>
                <w:szCs w:val="24"/>
                <w:lang w:eastAsia="lv-LV"/>
              </w:rPr>
              <w:t xml:space="preserve"> radīts papildu administratīvais slogs</w:t>
            </w:r>
            <w:r w:rsidR="00D103F7" w:rsidRPr="00D70907">
              <w:rPr>
                <w:rFonts w:ascii="Times New Roman" w:eastAsia="Times New Roman" w:hAnsi="Times New Roman" w:cs="Times New Roman"/>
                <w:iCs/>
                <w:sz w:val="24"/>
                <w:szCs w:val="24"/>
                <w:lang w:eastAsia="lv-LV"/>
              </w:rPr>
              <w:t>, jo VID nodokļa maksātājam piemērojamo VID prognozēto mēneša neapliekamo minimumu būs aprēķinājis, ņemot vērā ienākumu pieauguma koeficientu 1,09.</w:t>
            </w:r>
          </w:p>
          <w:p w:rsidR="00F06DBB" w:rsidRPr="004319E6" w:rsidRDefault="00F06DBB" w:rsidP="00AE508E">
            <w:pPr>
              <w:spacing w:after="0" w:line="240" w:lineRule="auto"/>
              <w:jc w:val="both"/>
              <w:rPr>
                <w:rFonts w:ascii="Times New Roman" w:eastAsia="Times New Roman" w:hAnsi="Times New Roman" w:cs="Times New Roman"/>
                <w:iCs/>
                <w:sz w:val="24"/>
                <w:szCs w:val="24"/>
                <w:lang w:eastAsia="lv-LV"/>
              </w:rPr>
            </w:pPr>
          </w:p>
          <w:p w:rsidR="00EE6B71" w:rsidRDefault="00E41DE9" w:rsidP="00AE50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Attiecīgi p</w:t>
            </w:r>
            <w:r w:rsidR="00A4099D">
              <w:rPr>
                <w:rFonts w:ascii="Times New Roman" w:eastAsia="Calibri" w:hAnsi="Times New Roman" w:cs="Times New Roman"/>
                <w:sz w:val="24"/>
                <w:szCs w:val="24"/>
              </w:rPr>
              <w:t xml:space="preserve">rojekts paredz </w:t>
            </w:r>
            <w:r w:rsidR="00AD0C80">
              <w:rPr>
                <w:rFonts w:ascii="Times New Roman" w:eastAsia="Calibri" w:hAnsi="Times New Roman" w:cs="Times New Roman"/>
                <w:sz w:val="24"/>
                <w:szCs w:val="24"/>
              </w:rPr>
              <w:t>precizēt</w:t>
            </w:r>
            <w:r w:rsidR="00A4099D">
              <w:rPr>
                <w:rFonts w:ascii="Times New Roman" w:eastAsia="Calibri" w:hAnsi="Times New Roman" w:cs="Times New Roman"/>
                <w:sz w:val="24"/>
                <w:szCs w:val="24"/>
              </w:rPr>
              <w:t xml:space="preserve"> </w:t>
            </w:r>
            <w:r w:rsidR="00B44E7A">
              <w:rPr>
                <w:rFonts w:ascii="Times New Roman" w:eastAsia="Calibri" w:hAnsi="Times New Roman" w:cs="Times New Roman"/>
                <w:sz w:val="24"/>
                <w:szCs w:val="24"/>
              </w:rPr>
              <w:t>Min</w:t>
            </w:r>
            <w:r>
              <w:rPr>
                <w:rFonts w:ascii="Times New Roman" w:eastAsia="Calibri" w:hAnsi="Times New Roman" w:cs="Times New Roman"/>
                <w:sz w:val="24"/>
                <w:szCs w:val="24"/>
              </w:rPr>
              <w:t>istru kabineta noteikumu Nr.676</w:t>
            </w:r>
            <w:r w:rsidR="00A4099D">
              <w:rPr>
                <w:rFonts w:ascii="Times New Roman" w:eastAsia="Calibri" w:hAnsi="Times New Roman" w:cs="Times New Roman"/>
                <w:sz w:val="24"/>
                <w:szCs w:val="24"/>
              </w:rPr>
              <w:t xml:space="preserve"> </w:t>
            </w:r>
            <w:r w:rsidR="00AD0C80">
              <w:rPr>
                <w:rFonts w:ascii="Times New Roman" w:eastAsia="Calibri" w:hAnsi="Times New Roman" w:cs="Times New Roman"/>
                <w:sz w:val="24"/>
                <w:szCs w:val="24"/>
              </w:rPr>
              <w:t>pielikumā iekļauto</w:t>
            </w:r>
            <w:r w:rsidR="00A4099D">
              <w:rPr>
                <w:rFonts w:ascii="Times New Roman" w:eastAsia="Calibri" w:hAnsi="Times New Roman" w:cs="Times New Roman"/>
                <w:sz w:val="24"/>
                <w:szCs w:val="24"/>
              </w:rPr>
              <w:t xml:space="preserve"> VID prognozētā mēneša neapliekamā minimuma aprēķina piemēru.</w:t>
            </w:r>
            <w:r w:rsidR="00AE508E">
              <w:rPr>
                <w:rFonts w:ascii="Times New Roman" w:eastAsia="Calibri" w:hAnsi="Times New Roman" w:cs="Times New Roman"/>
                <w:sz w:val="24"/>
                <w:szCs w:val="24"/>
              </w:rPr>
              <w:t xml:space="preserve"> </w:t>
            </w:r>
          </w:p>
          <w:p w:rsidR="00E41DE9" w:rsidRDefault="00E41DE9" w:rsidP="00AE508E">
            <w:pPr>
              <w:spacing w:after="0" w:line="240" w:lineRule="auto"/>
              <w:jc w:val="both"/>
              <w:rPr>
                <w:rFonts w:ascii="Times New Roman" w:eastAsia="Calibri" w:hAnsi="Times New Roman" w:cs="Times New Roman"/>
                <w:sz w:val="24"/>
                <w:szCs w:val="24"/>
              </w:rPr>
            </w:pPr>
          </w:p>
          <w:p w:rsidR="00E41DE9" w:rsidRDefault="00E41DE9" w:rsidP="00AE50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Grozījumi </w:t>
            </w:r>
            <w:r w:rsidRPr="00E41DE9">
              <w:rPr>
                <w:rFonts w:ascii="Times New Roman" w:eastAsia="Calibri" w:hAnsi="Times New Roman" w:cs="Times New Roman"/>
                <w:i/>
                <w:sz w:val="24"/>
                <w:szCs w:val="24"/>
              </w:rPr>
              <w:t>Ministru kabineta noteikum</w:t>
            </w:r>
            <w:r>
              <w:rPr>
                <w:rFonts w:ascii="Times New Roman" w:eastAsia="Calibri" w:hAnsi="Times New Roman" w:cs="Times New Roman"/>
                <w:i/>
                <w:sz w:val="24"/>
                <w:szCs w:val="24"/>
              </w:rPr>
              <w:t>u</w:t>
            </w:r>
            <w:r w:rsidRPr="00E41DE9">
              <w:rPr>
                <w:rFonts w:ascii="Times New Roman" w:eastAsia="Calibri" w:hAnsi="Times New Roman" w:cs="Times New Roman"/>
                <w:i/>
                <w:sz w:val="24"/>
                <w:szCs w:val="24"/>
              </w:rPr>
              <w:t xml:space="preserve"> Nr.676</w:t>
            </w:r>
            <w:r>
              <w:rPr>
                <w:rFonts w:ascii="Times New Roman" w:eastAsia="Calibri" w:hAnsi="Times New Roman" w:cs="Times New Roman"/>
                <w:i/>
                <w:sz w:val="24"/>
                <w:szCs w:val="24"/>
              </w:rPr>
              <w:t xml:space="preserve"> 12.1. apakšpunktā.</w:t>
            </w:r>
          </w:p>
          <w:p w:rsidR="00E41DE9" w:rsidRDefault="00E41DE9" w:rsidP="00AE508E">
            <w:pPr>
              <w:spacing w:after="0" w:line="240" w:lineRule="auto"/>
              <w:jc w:val="both"/>
              <w:rPr>
                <w:rFonts w:ascii="Times New Roman" w:eastAsia="Calibri" w:hAnsi="Times New Roman" w:cs="Times New Roman"/>
                <w:sz w:val="24"/>
                <w:szCs w:val="24"/>
              </w:rPr>
            </w:pPr>
          </w:p>
          <w:p w:rsidR="0053069A" w:rsidRPr="00A63E4D" w:rsidRDefault="0053069A" w:rsidP="0053069A">
            <w:pPr>
              <w:spacing w:after="0" w:line="240" w:lineRule="auto"/>
              <w:jc w:val="both"/>
              <w:rPr>
                <w:rFonts w:ascii="Times New Roman" w:eastAsia="Calibri" w:hAnsi="Times New Roman" w:cs="Times New Roman"/>
                <w:iCs/>
                <w:sz w:val="24"/>
                <w:szCs w:val="24"/>
              </w:rPr>
            </w:pPr>
            <w:r w:rsidRPr="00A63E4D">
              <w:rPr>
                <w:rFonts w:ascii="Times New Roman" w:eastAsia="Calibri" w:hAnsi="Times New Roman" w:cs="Times New Roman"/>
                <w:iCs/>
                <w:sz w:val="24"/>
                <w:szCs w:val="24"/>
              </w:rPr>
              <w:t xml:space="preserve">Ministru kabineta noteikumu Nr.676 10.punktā noteikts, ka prognozētā mēneša neapliekamā minimuma aprēķinā tiek ņemta vērā informācija par tiem periodiem, kuros fiziskā persona ir bijusi nodarbināta </w:t>
            </w:r>
            <w:proofErr w:type="spellStart"/>
            <w:r w:rsidRPr="00A63E4D">
              <w:rPr>
                <w:rFonts w:ascii="Times New Roman" w:eastAsia="Calibri" w:hAnsi="Times New Roman" w:cs="Times New Roman"/>
                <w:iCs/>
                <w:sz w:val="24"/>
                <w:szCs w:val="24"/>
              </w:rPr>
              <w:t>mikrouzņēmumā</w:t>
            </w:r>
            <w:proofErr w:type="spellEnd"/>
            <w:r w:rsidRPr="00A63E4D">
              <w:rPr>
                <w:rFonts w:ascii="Times New Roman" w:eastAsia="Calibri" w:hAnsi="Times New Roman" w:cs="Times New Roman"/>
                <w:iCs/>
                <w:sz w:val="24"/>
                <w:szCs w:val="24"/>
              </w:rPr>
              <w:t>, bijusi citas personas apgādībā vai fiziskai personai piešķirta pensija. Informācija par ienākumiem pirms rezidenta statusa iegūšanas netiek izmantota.</w:t>
            </w:r>
          </w:p>
          <w:p w:rsidR="0053069A" w:rsidRPr="00A63E4D" w:rsidRDefault="0053069A" w:rsidP="0053069A">
            <w:pPr>
              <w:spacing w:after="0" w:line="240" w:lineRule="auto"/>
              <w:jc w:val="both"/>
              <w:rPr>
                <w:rFonts w:ascii="Times New Roman" w:eastAsia="Calibri" w:hAnsi="Times New Roman" w:cs="Times New Roman"/>
                <w:iCs/>
                <w:sz w:val="24"/>
                <w:szCs w:val="24"/>
              </w:rPr>
            </w:pPr>
            <w:r w:rsidRPr="00A63E4D">
              <w:rPr>
                <w:rFonts w:ascii="Times New Roman" w:eastAsia="Calibri" w:hAnsi="Times New Roman" w:cs="Times New Roman"/>
                <w:iCs/>
                <w:sz w:val="24"/>
                <w:szCs w:val="24"/>
              </w:rPr>
              <w:t xml:space="preserve">Tādējādi Ministru kabineta noteikumu Nr.676  12.punktā, kurā noteikta kārtība, kādā nosaka prognozēto mēneša neapliekamo minimumu periodam no 1.augusta līdz 31.decembrim, būtu jāietver nosacījums, ka, aprēķinot prognozētā mēneša neapliekamā minimuma kopējo gada apmēru no nodokļa maksātāja ienākumiem par periodu no pirmstaksācijas gada 1. decembra līdz taksācijas gada 31. maijam, ņem vērā periodu, par kuru gan prognozētais mēneša neapliekamais minimumus, gan diferencētais neapliekamais minimums nav piemērojams, t.i., izslēdz periodu, kuros fiziskā persona </w:t>
            </w:r>
            <w:r w:rsidRPr="00A63E4D">
              <w:rPr>
                <w:rFonts w:ascii="Times New Roman" w:eastAsia="Calibri" w:hAnsi="Times New Roman" w:cs="Times New Roman"/>
                <w:iCs/>
                <w:sz w:val="24"/>
                <w:szCs w:val="24"/>
              </w:rPr>
              <w:lastRenderedPageBreak/>
              <w:t xml:space="preserve">ir bijusi nodarbināta </w:t>
            </w:r>
            <w:proofErr w:type="spellStart"/>
            <w:r w:rsidRPr="00A63E4D">
              <w:rPr>
                <w:rFonts w:ascii="Times New Roman" w:eastAsia="Calibri" w:hAnsi="Times New Roman" w:cs="Times New Roman"/>
                <w:iCs/>
                <w:sz w:val="24"/>
                <w:szCs w:val="24"/>
              </w:rPr>
              <w:t>mikrouzņēmumā</w:t>
            </w:r>
            <w:proofErr w:type="spellEnd"/>
            <w:r w:rsidRPr="00A63E4D">
              <w:rPr>
                <w:rFonts w:ascii="Times New Roman" w:eastAsia="Calibri" w:hAnsi="Times New Roman" w:cs="Times New Roman"/>
                <w:iCs/>
                <w:sz w:val="24"/>
                <w:szCs w:val="24"/>
              </w:rPr>
              <w:t>, bijusi citas personas apgādībā vai fiziskai personai piešķirta pensija.</w:t>
            </w:r>
          </w:p>
          <w:p w:rsidR="002D47AA" w:rsidRDefault="0053069A" w:rsidP="002742DF">
            <w:pPr>
              <w:spacing w:after="0" w:line="240" w:lineRule="auto"/>
              <w:jc w:val="both"/>
              <w:rPr>
                <w:rFonts w:ascii="Times New Roman" w:eastAsia="Calibri" w:hAnsi="Times New Roman" w:cs="Times New Roman"/>
                <w:iCs/>
                <w:sz w:val="24"/>
                <w:szCs w:val="24"/>
              </w:rPr>
            </w:pPr>
            <w:r w:rsidRPr="00A63E4D">
              <w:rPr>
                <w:rFonts w:ascii="Times New Roman" w:eastAsia="Calibri" w:hAnsi="Times New Roman" w:cs="Times New Roman"/>
                <w:iCs/>
                <w:sz w:val="24"/>
                <w:szCs w:val="24"/>
              </w:rPr>
              <w:t>Līdz ar to,</w:t>
            </w:r>
            <w:r w:rsidR="0036309A" w:rsidRPr="00A63E4D">
              <w:rPr>
                <w:rFonts w:ascii="Times New Roman" w:eastAsia="Calibri" w:hAnsi="Times New Roman" w:cs="Times New Roman"/>
                <w:iCs/>
                <w:sz w:val="24"/>
                <w:szCs w:val="24"/>
              </w:rPr>
              <w:t xml:space="preserve"> p</w:t>
            </w:r>
            <w:r w:rsidR="002742DF" w:rsidRPr="00A63E4D">
              <w:rPr>
                <w:rFonts w:ascii="Times New Roman" w:eastAsia="Calibri" w:hAnsi="Times New Roman" w:cs="Times New Roman"/>
                <w:iCs/>
                <w:sz w:val="24"/>
                <w:szCs w:val="24"/>
              </w:rPr>
              <w:t xml:space="preserve">rojekts paredz </w:t>
            </w:r>
            <w:r w:rsidR="00E12952" w:rsidRPr="00A63E4D">
              <w:rPr>
                <w:rFonts w:ascii="Times New Roman" w:eastAsia="Calibri" w:hAnsi="Times New Roman" w:cs="Times New Roman"/>
                <w:iCs/>
                <w:sz w:val="24"/>
                <w:szCs w:val="24"/>
              </w:rPr>
              <w:t>aizstāt 12.1. apakšpunktā skaitli “12” ar vārdiem “mēnešu skaitu, par kuru piemēro diferencēto neapliekamo minimumu</w:t>
            </w:r>
            <w:r w:rsidR="0036309A" w:rsidRPr="00A63E4D">
              <w:rPr>
                <w:rFonts w:ascii="Times New Roman" w:eastAsia="Calibri" w:hAnsi="Times New Roman" w:cs="Times New Roman"/>
                <w:iCs/>
                <w:sz w:val="24"/>
                <w:szCs w:val="24"/>
              </w:rPr>
              <w:t xml:space="preserve">. </w:t>
            </w:r>
          </w:p>
          <w:p w:rsidR="00E41DE9" w:rsidRDefault="00E41DE9" w:rsidP="002742DF">
            <w:pPr>
              <w:spacing w:after="0" w:line="240" w:lineRule="auto"/>
              <w:jc w:val="both"/>
              <w:rPr>
                <w:rFonts w:ascii="Times New Roman" w:eastAsia="Calibri" w:hAnsi="Times New Roman" w:cs="Times New Roman"/>
                <w:iCs/>
                <w:sz w:val="24"/>
                <w:szCs w:val="24"/>
              </w:rPr>
            </w:pPr>
          </w:p>
          <w:p w:rsidR="00E41DE9" w:rsidRPr="00E41DE9" w:rsidRDefault="00E41DE9" w:rsidP="002742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Grozījumi </w:t>
            </w:r>
            <w:r w:rsidRPr="00E41DE9">
              <w:rPr>
                <w:rFonts w:ascii="Times New Roman" w:eastAsia="Calibri" w:hAnsi="Times New Roman" w:cs="Times New Roman"/>
                <w:i/>
                <w:sz w:val="24"/>
                <w:szCs w:val="24"/>
              </w:rPr>
              <w:t>Ministru kabineta noteikum</w:t>
            </w:r>
            <w:r>
              <w:rPr>
                <w:rFonts w:ascii="Times New Roman" w:eastAsia="Calibri" w:hAnsi="Times New Roman" w:cs="Times New Roman"/>
                <w:i/>
                <w:sz w:val="24"/>
                <w:szCs w:val="24"/>
              </w:rPr>
              <w:t>u</w:t>
            </w:r>
            <w:r w:rsidRPr="00E41DE9">
              <w:rPr>
                <w:rFonts w:ascii="Times New Roman" w:eastAsia="Calibri" w:hAnsi="Times New Roman" w:cs="Times New Roman"/>
                <w:i/>
                <w:sz w:val="24"/>
                <w:szCs w:val="24"/>
              </w:rPr>
              <w:t xml:space="preserve"> Nr.676</w:t>
            </w:r>
            <w:r>
              <w:rPr>
                <w:rFonts w:ascii="Times New Roman" w:eastAsia="Calibri" w:hAnsi="Times New Roman" w:cs="Times New Roman"/>
                <w:i/>
                <w:sz w:val="24"/>
                <w:szCs w:val="24"/>
              </w:rPr>
              <w:t xml:space="preserve"> 1</w:t>
            </w:r>
            <w:r w:rsidR="00AB6197">
              <w:rPr>
                <w:rFonts w:ascii="Times New Roman" w:eastAsia="Calibri" w:hAnsi="Times New Roman" w:cs="Times New Roman"/>
                <w:i/>
                <w:sz w:val="24"/>
                <w:szCs w:val="24"/>
              </w:rPr>
              <w:t>6</w:t>
            </w:r>
            <w:r>
              <w:rPr>
                <w:rFonts w:ascii="Times New Roman" w:eastAsia="Calibri" w:hAnsi="Times New Roman" w:cs="Times New Roman"/>
                <w:i/>
                <w:sz w:val="24"/>
                <w:szCs w:val="24"/>
              </w:rPr>
              <w:t>.1. apakšpunkt</w:t>
            </w:r>
            <w:r w:rsidR="00E6696C">
              <w:rPr>
                <w:rFonts w:ascii="Times New Roman" w:eastAsia="Calibri" w:hAnsi="Times New Roman" w:cs="Times New Roman"/>
                <w:i/>
                <w:sz w:val="24"/>
                <w:szCs w:val="24"/>
              </w:rPr>
              <w:t>ā un pielikuma 6.piemērā, kā arī jauns 7.piemērs.</w:t>
            </w:r>
          </w:p>
          <w:p w:rsidR="00E41DE9" w:rsidRPr="00A63E4D" w:rsidRDefault="00E41DE9" w:rsidP="002742DF">
            <w:pPr>
              <w:spacing w:after="0" w:line="240" w:lineRule="auto"/>
              <w:jc w:val="both"/>
              <w:rPr>
                <w:rFonts w:ascii="Times New Roman" w:eastAsia="Calibri" w:hAnsi="Times New Roman" w:cs="Times New Roman"/>
                <w:iCs/>
                <w:sz w:val="24"/>
                <w:szCs w:val="24"/>
              </w:rPr>
            </w:pPr>
          </w:p>
          <w:p w:rsidR="002D47AA" w:rsidRPr="00A63E4D" w:rsidRDefault="002D47AA" w:rsidP="002D47AA">
            <w:pPr>
              <w:spacing w:after="0" w:line="240" w:lineRule="auto"/>
              <w:jc w:val="both"/>
              <w:rPr>
                <w:rFonts w:ascii="Times New Roman" w:eastAsia="Calibri" w:hAnsi="Times New Roman" w:cs="Times New Roman"/>
                <w:sz w:val="24"/>
                <w:szCs w:val="24"/>
              </w:rPr>
            </w:pPr>
            <w:r w:rsidRPr="00A63E4D">
              <w:rPr>
                <w:rFonts w:ascii="Times New Roman" w:eastAsia="Calibri" w:hAnsi="Times New Roman" w:cs="Times New Roman"/>
                <w:iCs/>
                <w:sz w:val="24"/>
                <w:szCs w:val="24"/>
              </w:rPr>
              <w:t xml:space="preserve">Ministru kabineta noteikumu Nr.676 </w:t>
            </w:r>
            <w:r w:rsidRPr="00A63E4D">
              <w:rPr>
                <w:rFonts w:ascii="Times New Roman" w:eastAsia="Calibri" w:hAnsi="Times New Roman" w:cs="Times New Roman"/>
                <w:sz w:val="24"/>
                <w:szCs w:val="24"/>
              </w:rPr>
              <w:t xml:space="preserve">3.3.apakšpunktā ir noteikts gada apliekamā ienākuma apmērs, virs kura nepiemēro gada diferencēto neapliekamo minimumu. Savukārt </w:t>
            </w:r>
            <w:r w:rsidRPr="00A63E4D">
              <w:rPr>
                <w:rFonts w:ascii="Times New Roman" w:eastAsia="Calibri" w:hAnsi="Times New Roman" w:cs="Times New Roman"/>
                <w:iCs/>
                <w:sz w:val="24"/>
                <w:szCs w:val="24"/>
              </w:rPr>
              <w:t xml:space="preserve">Ministru kabineta noteikumu </w:t>
            </w:r>
            <w:r w:rsidRPr="00A63E4D">
              <w:rPr>
                <w:rFonts w:ascii="Times New Roman" w:eastAsia="Calibri" w:hAnsi="Times New Roman" w:cs="Times New Roman"/>
                <w:sz w:val="24"/>
                <w:szCs w:val="24"/>
              </w:rPr>
              <w:t>Nr.676 16.punktā ir noteikts, kā nosaka nodokļa maksātāja kopējos ienākumus, aprēķinot diferencēto neapliekamo minimumu par nepilnu gadu.</w:t>
            </w:r>
          </w:p>
          <w:p w:rsidR="00862AB5" w:rsidRPr="00A63E4D" w:rsidRDefault="00A23038" w:rsidP="002D47AA">
            <w:pPr>
              <w:spacing w:after="0" w:line="240" w:lineRule="auto"/>
              <w:jc w:val="both"/>
              <w:rPr>
                <w:rFonts w:ascii="Times New Roman" w:eastAsia="Calibri" w:hAnsi="Times New Roman" w:cs="Times New Roman"/>
                <w:sz w:val="24"/>
                <w:szCs w:val="24"/>
              </w:rPr>
            </w:pPr>
            <w:r w:rsidRPr="00A63E4D">
              <w:rPr>
                <w:rFonts w:ascii="Times New Roman" w:eastAsia="Calibri" w:hAnsi="Times New Roman" w:cs="Times New Roman"/>
                <w:iCs/>
                <w:sz w:val="24"/>
                <w:szCs w:val="24"/>
              </w:rPr>
              <w:t xml:space="preserve">Ministru kabineta noteikumu </w:t>
            </w:r>
            <w:r w:rsidRPr="00A63E4D">
              <w:rPr>
                <w:rFonts w:ascii="Times New Roman" w:eastAsia="Calibri" w:hAnsi="Times New Roman" w:cs="Times New Roman"/>
                <w:sz w:val="24"/>
                <w:szCs w:val="24"/>
              </w:rPr>
              <w:t xml:space="preserve">Nr.676 </w:t>
            </w:r>
            <w:r w:rsidR="002D47AA" w:rsidRPr="00A63E4D">
              <w:rPr>
                <w:rFonts w:ascii="Times New Roman" w:eastAsia="Calibri" w:hAnsi="Times New Roman" w:cs="Times New Roman"/>
                <w:sz w:val="24"/>
                <w:szCs w:val="24"/>
              </w:rPr>
              <w:t xml:space="preserve"> 16.1.apakšpunkt</w:t>
            </w:r>
            <w:r w:rsidRPr="00A63E4D">
              <w:rPr>
                <w:rFonts w:ascii="Times New Roman" w:eastAsia="Calibri" w:hAnsi="Times New Roman" w:cs="Times New Roman"/>
                <w:sz w:val="24"/>
                <w:szCs w:val="24"/>
              </w:rPr>
              <w:t>s</w:t>
            </w:r>
            <w:r w:rsidR="002D47AA" w:rsidRPr="00A63E4D">
              <w:rPr>
                <w:rFonts w:ascii="Times New Roman" w:eastAsia="Calibri" w:hAnsi="Times New Roman" w:cs="Times New Roman"/>
                <w:sz w:val="24"/>
                <w:szCs w:val="24"/>
              </w:rPr>
              <w:t xml:space="preserve"> </w:t>
            </w:r>
            <w:r w:rsidRPr="00A63E4D">
              <w:rPr>
                <w:rFonts w:ascii="Times New Roman" w:eastAsia="Calibri" w:hAnsi="Times New Roman" w:cs="Times New Roman"/>
                <w:sz w:val="24"/>
                <w:szCs w:val="24"/>
              </w:rPr>
              <w:t>nosaka</w:t>
            </w:r>
            <w:r w:rsidR="002D47AA" w:rsidRPr="00A63E4D">
              <w:rPr>
                <w:rFonts w:ascii="Times New Roman" w:eastAsia="Calibri" w:hAnsi="Times New Roman" w:cs="Times New Roman"/>
                <w:sz w:val="24"/>
                <w:szCs w:val="24"/>
              </w:rPr>
              <w:t>, ka ienākumus, par kuriem maksā algas nodokli, ņem vērā par to taksācijas gada periodu, par kuru aprēķina diferencēto neapliekamo minimumu.</w:t>
            </w:r>
          </w:p>
          <w:p w:rsidR="00C64AD8" w:rsidRPr="005A0635" w:rsidRDefault="00C64AD8" w:rsidP="00C64AD8">
            <w:pPr>
              <w:spacing w:after="0" w:line="240" w:lineRule="auto"/>
              <w:jc w:val="both"/>
              <w:rPr>
                <w:rFonts w:ascii="Times New Roman" w:eastAsia="Calibri" w:hAnsi="Times New Roman" w:cs="Times New Roman"/>
                <w:iCs/>
                <w:sz w:val="24"/>
                <w:szCs w:val="24"/>
              </w:rPr>
            </w:pPr>
            <w:r w:rsidRPr="005A0635">
              <w:rPr>
                <w:rFonts w:ascii="Times New Roman" w:eastAsia="Calibri" w:hAnsi="Times New Roman" w:cs="Times New Roman"/>
                <w:iCs/>
                <w:sz w:val="24"/>
                <w:szCs w:val="24"/>
              </w:rPr>
              <w:t xml:space="preserve">Nodokļa maksātājam tajā taksācijas gada periodā, kurā tas ir bijis </w:t>
            </w:r>
            <w:proofErr w:type="spellStart"/>
            <w:r w:rsidRPr="005A0635">
              <w:rPr>
                <w:rFonts w:ascii="Times New Roman" w:eastAsia="Calibri" w:hAnsi="Times New Roman" w:cs="Times New Roman"/>
                <w:iCs/>
                <w:sz w:val="24"/>
                <w:szCs w:val="24"/>
              </w:rPr>
              <w:t>mikrouzņēmumu</w:t>
            </w:r>
            <w:proofErr w:type="spellEnd"/>
            <w:r w:rsidRPr="005A0635">
              <w:rPr>
                <w:rFonts w:ascii="Times New Roman" w:eastAsia="Calibri" w:hAnsi="Times New Roman" w:cs="Times New Roman"/>
                <w:iCs/>
                <w:sz w:val="24"/>
                <w:szCs w:val="24"/>
              </w:rPr>
              <w:t xml:space="preserve"> nodokļa maksātāja darbinieks, nepiemēro diferencēto neapliekamo minimumu. </w:t>
            </w:r>
          </w:p>
          <w:p w:rsidR="00C64AD8" w:rsidRPr="005A0635" w:rsidRDefault="008C6B6D" w:rsidP="00C64AD8">
            <w:pPr>
              <w:spacing w:after="0" w:line="240" w:lineRule="auto"/>
              <w:jc w:val="both"/>
              <w:rPr>
                <w:rFonts w:ascii="Times New Roman" w:eastAsia="Calibri" w:hAnsi="Times New Roman" w:cs="Times New Roman"/>
                <w:sz w:val="24"/>
                <w:szCs w:val="24"/>
              </w:rPr>
            </w:pPr>
            <w:r w:rsidRPr="005A0635">
              <w:rPr>
                <w:rFonts w:ascii="Times New Roman" w:eastAsia="Calibri" w:hAnsi="Times New Roman" w:cs="Times New Roman"/>
                <w:sz w:val="24"/>
                <w:szCs w:val="24"/>
              </w:rPr>
              <w:t>Ir</w:t>
            </w:r>
            <w:r w:rsidR="00C64AD8" w:rsidRPr="005A0635">
              <w:rPr>
                <w:rFonts w:ascii="Times New Roman" w:eastAsia="Calibri" w:hAnsi="Times New Roman" w:cs="Times New Roman"/>
                <w:sz w:val="24"/>
                <w:szCs w:val="24"/>
              </w:rPr>
              <w:t xml:space="preserve"> gadījumi, ka nodokļa maksātājam tajā taksācijas gada periodā, kurā nodokļa maksātājs ir nodarbināts gan </w:t>
            </w:r>
            <w:proofErr w:type="spellStart"/>
            <w:r w:rsidR="00C64AD8" w:rsidRPr="005A0635">
              <w:rPr>
                <w:rFonts w:ascii="Times New Roman" w:eastAsia="Calibri" w:hAnsi="Times New Roman" w:cs="Times New Roman"/>
                <w:sz w:val="24"/>
                <w:szCs w:val="24"/>
              </w:rPr>
              <w:t>mikrouzņēmumā</w:t>
            </w:r>
            <w:proofErr w:type="spellEnd"/>
            <w:r w:rsidR="00C64AD8" w:rsidRPr="005A0635">
              <w:rPr>
                <w:rFonts w:ascii="Times New Roman" w:eastAsia="Calibri" w:hAnsi="Times New Roman" w:cs="Times New Roman"/>
                <w:sz w:val="24"/>
                <w:szCs w:val="24"/>
              </w:rPr>
              <w:t xml:space="preserve">, gan uzņēmumā, </w:t>
            </w:r>
            <w:r w:rsidR="00C64AD8" w:rsidRPr="005A0635">
              <w:rPr>
                <w:rFonts w:ascii="Times New Roman" w:eastAsia="Calibri" w:hAnsi="Times New Roman" w:cs="Times New Roman"/>
                <w:iCs/>
                <w:sz w:val="24"/>
                <w:szCs w:val="24"/>
              </w:rPr>
              <w:t>kas algas nodokli maksā vispārējā kārtībā,</w:t>
            </w:r>
            <w:r w:rsidR="00C64AD8" w:rsidRPr="005A0635">
              <w:rPr>
                <w:rFonts w:ascii="Times New Roman" w:eastAsia="Calibri" w:hAnsi="Times New Roman" w:cs="Times New Roman"/>
                <w:sz w:val="24"/>
                <w:szCs w:val="24"/>
              </w:rPr>
              <w:t xml:space="preserve"> ar iedzīvotāju ienākuma nodokli apliekamais ienākums pārsniedz gada apliekamā ienākuma apmēru, virs kura nepiemēro gada diferencēto neapliekamo minimumu. Savukārt ar iedzīvotāju ienākuma nodokli apliekamā ienākuma apmērs periodā, par kuru aprēķina diferencēto neapliekamo minimumu, ir mazāks par gada apliekamā ienākuma apmēru, virs kura nepiemēro gada diferencēto neapliekamo minimumu.  </w:t>
            </w:r>
          </w:p>
          <w:p w:rsidR="00C64AD8" w:rsidRDefault="00C64AD8" w:rsidP="002D47AA">
            <w:pPr>
              <w:spacing w:after="0" w:line="240" w:lineRule="auto"/>
              <w:jc w:val="both"/>
              <w:rPr>
                <w:rFonts w:ascii="Times New Roman" w:eastAsia="Calibri" w:hAnsi="Times New Roman" w:cs="Times New Roman"/>
                <w:sz w:val="24"/>
                <w:szCs w:val="24"/>
              </w:rPr>
            </w:pPr>
            <w:r w:rsidRPr="00A63E4D">
              <w:rPr>
                <w:rFonts w:ascii="Times New Roman" w:eastAsia="Calibri" w:hAnsi="Times New Roman" w:cs="Times New Roman"/>
                <w:sz w:val="24"/>
                <w:szCs w:val="24"/>
              </w:rPr>
              <w:t>Attiecīgi</w:t>
            </w:r>
            <w:r w:rsidR="002D47AA" w:rsidRPr="00A63E4D">
              <w:rPr>
                <w:rFonts w:ascii="Times New Roman" w:eastAsia="Calibri" w:hAnsi="Times New Roman" w:cs="Times New Roman"/>
                <w:sz w:val="24"/>
                <w:szCs w:val="24"/>
              </w:rPr>
              <w:t xml:space="preserve"> </w:t>
            </w:r>
            <w:r w:rsidR="00D568FD" w:rsidRPr="00A63E4D">
              <w:rPr>
                <w:rFonts w:ascii="Times New Roman" w:eastAsia="Calibri" w:hAnsi="Times New Roman" w:cs="Times New Roman"/>
                <w:sz w:val="24"/>
                <w:szCs w:val="24"/>
              </w:rPr>
              <w:t>var izveidoties</w:t>
            </w:r>
            <w:r w:rsidR="00AB6197">
              <w:rPr>
                <w:rFonts w:ascii="Times New Roman" w:eastAsia="Calibri" w:hAnsi="Times New Roman" w:cs="Times New Roman"/>
                <w:sz w:val="24"/>
                <w:szCs w:val="24"/>
              </w:rPr>
              <w:t xml:space="preserve"> situācija, ka</w:t>
            </w:r>
            <w:r w:rsidR="002D47AA" w:rsidRPr="00A63E4D">
              <w:rPr>
                <w:rFonts w:ascii="Times New Roman" w:eastAsia="Calibri" w:hAnsi="Times New Roman" w:cs="Times New Roman"/>
                <w:sz w:val="24"/>
                <w:szCs w:val="24"/>
              </w:rPr>
              <w:t xml:space="preserve"> nodokļa maksātājam, kura kopējie gada ienākumi, kas ir apliekami ar iedzīvotāju ienākuma nodokli vispārējā kārtībā, pārsniedz to gada apliekamā ienākuma apmēru, virs kura nepiemēro gada diferencēto neapliekamo minimumu, bet piemērojot </w:t>
            </w:r>
            <w:r w:rsidR="002D47AA" w:rsidRPr="00A63E4D">
              <w:rPr>
                <w:rFonts w:ascii="Times New Roman" w:eastAsia="Calibri" w:hAnsi="Times New Roman" w:cs="Times New Roman"/>
                <w:iCs/>
                <w:sz w:val="24"/>
                <w:szCs w:val="24"/>
              </w:rPr>
              <w:t xml:space="preserve">Ministru kabineta noteikumu Nr.676 </w:t>
            </w:r>
            <w:r w:rsidR="002D47AA" w:rsidRPr="00A63E4D">
              <w:rPr>
                <w:rFonts w:ascii="Times New Roman" w:eastAsia="Calibri" w:hAnsi="Times New Roman" w:cs="Times New Roman"/>
                <w:sz w:val="24"/>
                <w:szCs w:val="24"/>
              </w:rPr>
              <w:t xml:space="preserve">16.punktā noteikto kārtību, nodokļa maksātājam tiek aprēķināts gada diferencētais neapliekamais minimums. </w:t>
            </w:r>
          </w:p>
          <w:p w:rsidR="00F832EA" w:rsidRPr="005A0635" w:rsidRDefault="00F832EA" w:rsidP="00F832EA">
            <w:pPr>
              <w:spacing w:after="0" w:line="240" w:lineRule="auto"/>
              <w:jc w:val="both"/>
              <w:rPr>
                <w:rFonts w:ascii="Times New Roman" w:eastAsia="Calibri" w:hAnsi="Times New Roman" w:cs="Times New Roman"/>
                <w:sz w:val="24"/>
                <w:szCs w:val="24"/>
              </w:rPr>
            </w:pPr>
            <w:r w:rsidRPr="005A0635">
              <w:rPr>
                <w:rFonts w:ascii="Times New Roman" w:eastAsia="Calibri" w:hAnsi="Times New Roman" w:cs="Times New Roman"/>
                <w:sz w:val="24"/>
                <w:szCs w:val="24"/>
              </w:rPr>
              <w:t xml:space="preserve">Lai novērstu minēto situāciju, būtu jāparedz, ka, aprēķinot diferencēto neapliekamo minimumu par nepilnu taksācijas gadu, </w:t>
            </w:r>
            <w:r w:rsidR="00915930" w:rsidRPr="005A0635">
              <w:rPr>
                <w:rFonts w:ascii="Times New Roman" w:eastAsia="Calibri" w:hAnsi="Times New Roman" w:cs="Times New Roman"/>
                <w:sz w:val="24"/>
                <w:szCs w:val="24"/>
              </w:rPr>
              <w:t xml:space="preserve"> ienākumus, par kuriem maksā algas nodokli, </w:t>
            </w:r>
            <w:r w:rsidRPr="005A0635">
              <w:rPr>
                <w:rFonts w:ascii="Times New Roman" w:eastAsia="Calibri" w:hAnsi="Times New Roman" w:cs="Times New Roman"/>
                <w:sz w:val="24"/>
                <w:szCs w:val="24"/>
              </w:rPr>
              <w:t xml:space="preserve">ņem vērā arī </w:t>
            </w:r>
            <w:r w:rsidR="00915930" w:rsidRPr="005A0635">
              <w:rPr>
                <w:rFonts w:ascii="Times New Roman" w:eastAsia="Calibri" w:hAnsi="Times New Roman" w:cs="Times New Roman"/>
                <w:sz w:val="24"/>
                <w:szCs w:val="24"/>
              </w:rPr>
              <w:t>p</w:t>
            </w:r>
            <w:r w:rsidR="00A12201" w:rsidRPr="005A0635">
              <w:rPr>
                <w:rFonts w:ascii="Times New Roman" w:eastAsia="Calibri" w:hAnsi="Times New Roman" w:cs="Times New Roman"/>
                <w:sz w:val="24"/>
                <w:szCs w:val="24"/>
              </w:rPr>
              <w:t xml:space="preserve">ar </w:t>
            </w:r>
            <w:r w:rsidR="00915930" w:rsidRPr="005A0635">
              <w:rPr>
                <w:rFonts w:ascii="Times New Roman" w:eastAsia="Calibri" w:hAnsi="Times New Roman" w:cs="Times New Roman"/>
                <w:sz w:val="24"/>
                <w:szCs w:val="24"/>
              </w:rPr>
              <w:t xml:space="preserve">to </w:t>
            </w:r>
            <w:r w:rsidRPr="005A0635">
              <w:rPr>
                <w:rFonts w:ascii="Times New Roman" w:eastAsia="Calibri" w:hAnsi="Times New Roman" w:cs="Times New Roman"/>
                <w:sz w:val="24"/>
                <w:szCs w:val="24"/>
              </w:rPr>
              <w:t>period</w:t>
            </w:r>
            <w:r w:rsidR="00915930" w:rsidRPr="005A0635">
              <w:rPr>
                <w:rFonts w:ascii="Times New Roman" w:eastAsia="Calibri" w:hAnsi="Times New Roman" w:cs="Times New Roman"/>
                <w:sz w:val="24"/>
                <w:szCs w:val="24"/>
              </w:rPr>
              <w:t>u</w:t>
            </w:r>
            <w:r w:rsidRPr="005A0635">
              <w:rPr>
                <w:rFonts w:ascii="Times New Roman" w:eastAsia="Calibri" w:hAnsi="Times New Roman" w:cs="Times New Roman"/>
                <w:sz w:val="24"/>
                <w:szCs w:val="24"/>
              </w:rPr>
              <w:t xml:space="preserve">, kurā nodokļa </w:t>
            </w:r>
            <w:r w:rsidRPr="005A0635">
              <w:rPr>
                <w:rFonts w:ascii="Times New Roman" w:eastAsia="Calibri" w:hAnsi="Times New Roman" w:cs="Times New Roman"/>
                <w:sz w:val="24"/>
                <w:szCs w:val="24"/>
              </w:rPr>
              <w:lastRenderedPageBreak/>
              <w:t xml:space="preserve">maksātājs ir </w:t>
            </w:r>
            <w:r w:rsidR="00915930" w:rsidRPr="005A0635">
              <w:rPr>
                <w:rFonts w:ascii="Times New Roman" w:eastAsia="Calibri" w:hAnsi="Times New Roman" w:cs="Times New Roman"/>
                <w:sz w:val="24"/>
                <w:szCs w:val="24"/>
              </w:rPr>
              <w:t xml:space="preserve">bijis </w:t>
            </w:r>
            <w:proofErr w:type="spellStart"/>
            <w:r w:rsidRPr="005A0635">
              <w:rPr>
                <w:rFonts w:ascii="Times New Roman" w:eastAsia="Calibri" w:hAnsi="Times New Roman" w:cs="Times New Roman"/>
                <w:sz w:val="24"/>
                <w:szCs w:val="24"/>
              </w:rPr>
              <w:t>mikrouzņēmumu</w:t>
            </w:r>
            <w:proofErr w:type="spellEnd"/>
            <w:r w:rsidRPr="005A0635">
              <w:rPr>
                <w:rFonts w:ascii="Times New Roman" w:eastAsia="Calibri" w:hAnsi="Times New Roman" w:cs="Times New Roman"/>
                <w:sz w:val="24"/>
                <w:szCs w:val="24"/>
              </w:rPr>
              <w:t xml:space="preserve"> nodokļa maksātāja darbinieks. </w:t>
            </w:r>
          </w:p>
          <w:p w:rsidR="00F832EA" w:rsidRPr="005A0635" w:rsidRDefault="00F832EA" w:rsidP="00F832EA">
            <w:pPr>
              <w:spacing w:after="0" w:line="240" w:lineRule="auto"/>
              <w:jc w:val="both"/>
              <w:rPr>
                <w:rFonts w:ascii="Times New Roman" w:eastAsia="Calibri" w:hAnsi="Times New Roman" w:cs="Times New Roman"/>
                <w:sz w:val="24"/>
                <w:szCs w:val="24"/>
              </w:rPr>
            </w:pPr>
            <w:r w:rsidRPr="005A0635">
              <w:rPr>
                <w:rFonts w:ascii="Times New Roman" w:eastAsia="Calibri" w:hAnsi="Times New Roman" w:cs="Times New Roman"/>
                <w:sz w:val="24"/>
                <w:szCs w:val="24"/>
              </w:rPr>
              <w:t>Saskaņā ar likuma “Par iedzīvotāju ienākuma nodokli” 12. panta piektajā daļā noteikto, personām, kurām piešķirta pensija, tiek piemērots pensionāra neapliekamais minimums (nevis gada diferencētais neapliekamais minimums).</w:t>
            </w:r>
          </w:p>
          <w:p w:rsidR="00D568FD" w:rsidRDefault="002D47AA" w:rsidP="002D47AA">
            <w:pPr>
              <w:spacing w:after="0" w:line="240" w:lineRule="auto"/>
              <w:jc w:val="both"/>
              <w:rPr>
                <w:rFonts w:ascii="Times New Roman" w:eastAsia="Calibri" w:hAnsi="Times New Roman" w:cs="Times New Roman"/>
                <w:iCs/>
                <w:sz w:val="24"/>
                <w:szCs w:val="24"/>
              </w:rPr>
            </w:pPr>
            <w:r w:rsidRPr="00A63E4D">
              <w:rPr>
                <w:rFonts w:ascii="Times New Roman" w:eastAsia="Calibri" w:hAnsi="Times New Roman" w:cs="Times New Roman"/>
                <w:sz w:val="24"/>
                <w:szCs w:val="24"/>
              </w:rPr>
              <w:t xml:space="preserve">Tādējādi projekts paredz </w:t>
            </w:r>
            <w:r w:rsidR="00D568FD" w:rsidRPr="00A63E4D">
              <w:rPr>
                <w:rFonts w:ascii="Times New Roman" w:eastAsia="Calibri" w:hAnsi="Times New Roman" w:cs="Times New Roman"/>
                <w:sz w:val="24"/>
                <w:szCs w:val="24"/>
              </w:rPr>
              <w:t xml:space="preserve">precizēt </w:t>
            </w:r>
            <w:r w:rsidR="00D568FD" w:rsidRPr="00A63E4D">
              <w:rPr>
                <w:rFonts w:ascii="Times New Roman" w:eastAsia="Calibri" w:hAnsi="Times New Roman" w:cs="Times New Roman"/>
                <w:iCs/>
                <w:sz w:val="24"/>
                <w:szCs w:val="24"/>
              </w:rPr>
              <w:t>Ministru kabineta noteikumu</w:t>
            </w:r>
            <w:r w:rsidRPr="00A63E4D">
              <w:rPr>
                <w:rFonts w:ascii="Times New Roman" w:eastAsia="Calibri" w:hAnsi="Times New Roman" w:cs="Times New Roman"/>
                <w:iCs/>
                <w:sz w:val="24"/>
                <w:szCs w:val="24"/>
              </w:rPr>
              <w:t xml:space="preserve"> Nr.676 </w:t>
            </w:r>
            <w:r w:rsidR="00D568FD" w:rsidRPr="00A63E4D">
              <w:rPr>
                <w:rFonts w:ascii="Times New Roman" w:eastAsia="Calibri" w:hAnsi="Times New Roman" w:cs="Times New Roman"/>
                <w:iCs/>
                <w:sz w:val="24"/>
                <w:szCs w:val="24"/>
              </w:rPr>
              <w:t xml:space="preserve"> 16.1. apakšpunktu, nosakot, ka</w:t>
            </w:r>
            <w:r w:rsidR="00721586" w:rsidRPr="00A63E4D">
              <w:rPr>
                <w:rFonts w:ascii="Times New Roman" w:eastAsia="Calibri" w:hAnsi="Times New Roman" w:cs="Times New Roman"/>
                <w:iCs/>
                <w:sz w:val="24"/>
                <w:szCs w:val="24"/>
              </w:rPr>
              <w:t>,</w:t>
            </w:r>
            <w:r w:rsidR="00D568FD" w:rsidRPr="00A63E4D">
              <w:rPr>
                <w:rFonts w:ascii="Times New Roman" w:eastAsia="Calibri" w:hAnsi="Times New Roman" w:cs="Times New Roman"/>
                <w:iCs/>
                <w:sz w:val="24"/>
                <w:szCs w:val="24"/>
              </w:rPr>
              <w:t xml:space="preserve"> aprēķinot diferencēto neapliekamo minimumu par nepilnu taksācijas gadu, ienākumus, par kuriem maksā algas nodokli, ņem vērā par to taksācijas gada periodu, par kuru nodokļa maksātājam nav tiesības piemērot likuma “Par iedzīvotāju ienākuma nodokli” </w:t>
            </w:r>
            <w:hyperlink r:id="rId10" w:anchor="p12" w:history="1">
              <w:r w:rsidR="00D568FD" w:rsidRPr="00A63E4D">
                <w:rPr>
                  <w:rFonts w:ascii="Times New Roman" w:eastAsia="Calibri" w:hAnsi="Times New Roman" w:cs="Times New Roman"/>
                  <w:iCs/>
                  <w:sz w:val="24"/>
                  <w:szCs w:val="24"/>
                </w:rPr>
                <w:t>12.</w:t>
              </w:r>
            </w:hyperlink>
            <w:r w:rsidR="00D568FD" w:rsidRPr="00A63E4D">
              <w:rPr>
                <w:rFonts w:ascii="Times New Roman" w:eastAsia="Calibri" w:hAnsi="Times New Roman" w:cs="Times New Roman"/>
                <w:iCs/>
                <w:sz w:val="24"/>
                <w:szCs w:val="24"/>
              </w:rPr>
              <w:t> panta piektajā daļā noteikto neapliekamo minimumu.</w:t>
            </w:r>
          </w:p>
          <w:p w:rsidR="00A63E4D" w:rsidRPr="006809DD" w:rsidRDefault="00A63E4D" w:rsidP="002D47AA">
            <w:pPr>
              <w:spacing w:after="0" w:line="240" w:lineRule="auto"/>
              <w:jc w:val="both"/>
              <w:rPr>
                <w:rFonts w:ascii="Times New Roman" w:eastAsia="Calibri" w:hAnsi="Times New Roman" w:cs="Times New Roman"/>
                <w:iCs/>
                <w:sz w:val="24"/>
                <w:szCs w:val="24"/>
              </w:rPr>
            </w:pPr>
            <w:r w:rsidRPr="006809DD">
              <w:rPr>
                <w:rFonts w:ascii="Times New Roman" w:eastAsia="Calibri" w:hAnsi="Times New Roman" w:cs="Times New Roman"/>
                <w:iCs/>
                <w:sz w:val="24"/>
                <w:szCs w:val="24"/>
              </w:rPr>
              <w:t>Ņemot vērā, ka diferencētais neapliekamais minimums</w:t>
            </w:r>
            <w:r w:rsidR="006932C2" w:rsidRPr="006809DD">
              <w:rPr>
                <w:rFonts w:ascii="Times New Roman" w:eastAsia="Calibri" w:hAnsi="Times New Roman" w:cs="Times New Roman"/>
                <w:iCs/>
                <w:sz w:val="24"/>
                <w:szCs w:val="24"/>
              </w:rPr>
              <w:t xml:space="preserve"> par nepilnu gadu</w:t>
            </w:r>
            <w:r w:rsidRPr="006809DD">
              <w:rPr>
                <w:rFonts w:ascii="Times New Roman" w:eastAsia="Calibri" w:hAnsi="Times New Roman" w:cs="Times New Roman"/>
                <w:iCs/>
                <w:sz w:val="24"/>
                <w:szCs w:val="24"/>
              </w:rPr>
              <w:t xml:space="preserve"> tiek </w:t>
            </w:r>
            <w:r w:rsidR="006932C2" w:rsidRPr="006809DD">
              <w:rPr>
                <w:rFonts w:ascii="Times New Roman" w:eastAsia="Calibri" w:hAnsi="Times New Roman" w:cs="Times New Roman"/>
                <w:iCs/>
                <w:sz w:val="24"/>
                <w:szCs w:val="24"/>
              </w:rPr>
              <w:t>piemērots</w:t>
            </w:r>
            <w:r w:rsidRPr="006809DD">
              <w:rPr>
                <w:rFonts w:ascii="Times New Roman" w:eastAsia="Calibri" w:hAnsi="Times New Roman" w:cs="Times New Roman"/>
                <w:iCs/>
                <w:sz w:val="24"/>
                <w:szCs w:val="24"/>
              </w:rPr>
              <w:t xml:space="preserve"> </w:t>
            </w:r>
            <w:r w:rsidR="006932C2" w:rsidRPr="006809DD">
              <w:rPr>
                <w:rFonts w:ascii="Times New Roman" w:eastAsia="Calibri" w:hAnsi="Times New Roman" w:cs="Times New Roman"/>
                <w:iCs/>
                <w:sz w:val="24"/>
                <w:szCs w:val="24"/>
              </w:rPr>
              <w:t>reizi gadā</w:t>
            </w:r>
            <w:r w:rsidR="00AB6197" w:rsidRPr="006809DD">
              <w:rPr>
                <w:rFonts w:ascii="Times New Roman" w:eastAsia="Calibri" w:hAnsi="Times New Roman" w:cs="Times New Roman"/>
                <w:iCs/>
                <w:sz w:val="24"/>
                <w:szCs w:val="24"/>
              </w:rPr>
              <w:t>,</w:t>
            </w:r>
            <w:r w:rsidR="006932C2" w:rsidRPr="006809DD">
              <w:rPr>
                <w:rFonts w:ascii="Times New Roman" w:eastAsia="Calibri" w:hAnsi="Times New Roman" w:cs="Times New Roman"/>
                <w:iCs/>
                <w:sz w:val="24"/>
                <w:szCs w:val="24"/>
              </w:rPr>
              <w:t xml:space="preserve"> rezumējošā kārtībā, iesniedzot gada ienākumu deklarāciju</w:t>
            </w:r>
            <w:r w:rsidRPr="006809DD">
              <w:rPr>
                <w:rFonts w:ascii="Times New Roman" w:eastAsia="Calibri" w:hAnsi="Times New Roman" w:cs="Times New Roman"/>
                <w:iCs/>
                <w:sz w:val="24"/>
                <w:szCs w:val="24"/>
              </w:rPr>
              <w:t xml:space="preserve">, </w:t>
            </w:r>
            <w:r w:rsidR="006932C2" w:rsidRPr="006809DD">
              <w:rPr>
                <w:rFonts w:ascii="Times New Roman" w:eastAsia="Calibri" w:hAnsi="Times New Roman" w:cs="Times New Roman"/>
                <w:iCs/>
                <w:sz w:val="24"/>
                <w:szCs w:val="24"/>
              </w:rPr>
              <w:t>grozījumi Minist</w:t>
            </w:r>
            <w:r w:rsidR="006D2F39" w:rsidRPr="006809DD">
              <w:rPr>
                <w:rFonts w:ascii="Times New Roman" w:eastAsia="Calibri" w:hAnsi="Times New Roman" w:cs="Times New Roman"/>
                <w:iCs/>
                <w:sz w:val="24"/>
                <w:szCs w:val="24"/>
              </w:rPr>
              <w:t>ru kabineta noteikumu Nr.676 16</w:t>
            </w:r>
            <w:r w:rsidR="006932C2" w:rsidRPr="006809DD">
              <w:rPr>
                <w:rFonts w:ascii="Times New Roman" w:eastAsia="Calibri" w:hAnsi="Times New Roman" w:cs="Times New Roman"/>
                <w:iCs/>
                <w:sz w:val="24"/>
                <w:szCs w:val="24"/>
              </w:rPr>
              <w:t>. apakšpu</w:t>
            </w:r>
            <w:r w:rsidR="00CA57B5" w:rsidRPr="006809DD">
              <w:rPr>
                <w:rFonts w:ascii="Times New Roman" w:eastAsia="Calibri" w:hAnsi="Times New Roman" w:cs="Times New Roman"/>
                <w:iCs/>
                <w:sz w:val="24"/>
                <w:szCs w:val="24"/>
              </w:rPr>
              <w:t>nktā ir piemērojami</w:t>
            </w:r>
            <w:r w:rsidR="006D2F39" w:rsidRPr="006809DD">
              <w:rPr>
                <w:rFonts w:ascii="Times New Roman" w:eastAsia="Calibri" w:hAnsi="Times New Roman" w:cs="Times New Roman"/>
                <w:iCs/>
                <w:sz w:val="24"/>
                <w:szCs w:val="24"/>
              </w:rPr>
              <w:t xml:space="preserve">, sākot ar </w:t>
            </w:r>
            <w:r w:rsidR="00CA57B5" w:rsidRPr="006809DD">
              <w:rPr>
                <w:rFonts w:ascii="Times New Roman" w:eastAsia="Calibri" w:hAnsi="Times New Roman" w:cs="Times New Roman"/>
                <w:iCs/>
                <w:sz w:val="24"/>
                <w:szCs w:val="24"/>
              </w:rPr>
              <w:t>2019.</w:t>
            </w:r>
            <w:r w:rsidR="006D2F39" w:rsidRPr="006809DD">
              <w:rPr>
                <w:rFonts w:ascii="Times New Roman" w:eastAsia="Calibri" w:hAnsi="Times New Roman" w:cs="Times New Roman"/>
                <w:iCs/>
                <w:sz w:val="24"/>
                <w:szCs w:val="24"/>
              </w:rPr>
              <w:t xml:space="preserve"> taksācijas </w:t>
            </w:r>
            <w:r w:rsidR="00CA57B5" w:rsidRPr="006809DD">
              <w:rPr>
                <w:rFonts w:ascii="Times New Roman" w:eastAsia="Calibri" w:hAnsi="Times New Roman" w:cs="Times New Roman"/>
                <w:iCs/>
                <w:sz w:val="24"/>
                <w:szCs w:val="24"/>
              </w:rPr>
              <w:t>gad</w:t>
            </w:r>
            <w:r w:rsidR="006D2F39" w:rsidRPr="006809DD">
              <w:rPr>
                <w:rFonts w:ascii="Times New Roman" w:eastAsia="Calibri" w:hAnsi="Times New Roman" w:cs="Times New Roman"/>
                <w:iCs/>
                <w:sz w:val="24"/>
                <w:szCs w:val="24"/>
              </w:rPr>
              <w:t>u</w:t>
            </w:r>
            <w:r w:rsidR="006932C2" w:rsidRPr="006809DD">
              <w:rPr>
                <w:rFonts w:ascii="Times New Roman" w:eastAsia="Calibri" w:hAnsi="Times New Roman" w:cs="Times New Roman"/>
                <w:iCs/>
                <w:sz w:val="24"/>
                <w:szCs w:val="24"/>
              </w:rPr>
              <w:t xml:space="preserve">, lai nodokļa maksātājiem </w:t>
            </w:r>
            <w:r w:rsidR="006D2F39" w:rsidRPr="006809DD">
              <w:rPr>
                <w:rFonts w:ascii="Times New Roman" w:eastAsia="Calibri" w:hAnsi="Times New Roman" w:cs="Times New Roman"/>
                <w:iCs/>
                <w:sz w:val="24"/>
                <w:szCs w:val="24"/>
              </w:rPr>
              <w:t xml:space="preserve">jau </w:t>
            </w:r>
            <w:r w:rsidR="006932C2" w:rsidRPr="006809DD">
              <w:rPr>
                <w:rFonts w:ascii="Times New Roman" w:eastAsia="Calibri" w:hAnsi="Times New Roman" w:cs="Times New Roman"/>
                <w:iCs/>
                <w:sz w:val="24"/>
                <w:szCs w:val="24"/>
              </w:rPr>
              <w:t xml:space="preserve">2020.gadā, iesniedzot gada ienākumu deklarāciju par 2019. taksācijas gadu, tiktu piemērots </w:t>
            </w:r>
            <w:r w:rsidR="00075946" w:rsidRPr="006809DD">
              <w:rPr>
                <w:rFonts w:ascii="Times New Roman" w:eastAsia="Calibri" w:hAnsi="Times New Roman" w:cs="Times New Roman"/>
                <w:iCs/>
                <w:sz w:val="24"/>
                <w:szCs w:val="24"/>
              </w:rPr>
              <w:t>korekts</w:t>
            </w:r>
            <w:r w:rsidR="006932C2" w:rsidRPr="006809DD">
              <w:rPr>
                <w:rFonts w:ascii="Times New Roman" w:eastAsia="Calibri" w:hAnsi="Times New Roman" w:cs="Times New Roman"/>
                <w:iCs/>
                <w:sz w:val="24"/>
                <w:szCs w:val="24"/>
              </w:rPr>
              <w:t xml:space="preserve"> diferencētais neapliekamais minimums. Minētie grozījumi </w:t>
            </w:r>
            <w:r w:rsidR="00E714FC" w:rsidRPr="006809DD">
              <w:rPr>
                <w:rFonts w:ascii="Times New Roman" w:eastAsia="Calibri" w:hAnsi="Times New Roman" w:cs="Times New Roman"/>
                <w:iCs/>
                <w:sz w:val="24"/>
                <w:szCs w:val="24"/>
              </w:rPr>
              <w:t>neietekmēs nodokļa maksātāju administratīvo slogu</w:t>
            </w:r>
            <w:r w:rsidR="006932C2" w:rsidRPr="006809DD">
              <w:rPr>
                <w:rFonts w:ascii="Times New Roman" w:eastAsia="Calibri" w:hAnsi="Times New Roman" w:cs="Times New Roman"/>
                <w:iCs/>
                <w:sz w:val="24"/>
                <w:szCs w:val="24"/>
              </w:rPr>
              <w:t>, jo diferencētā neapliekamā minimuma aprēķinu nepilnam gadam veic Valsts ieņēmumu dienests.</w:t>
            </w:r>
          </w:p>
          <w:p w:rsidR="00BC201D" w:rsidRDefault="00A23038" w:rsidP="002D47AA">
            <w:pPr>
              <w:spacing w:after="0" w:line="240" w:lineRule="auto"/>
              <w:jc w:val="both"/>
              <w:rPr>
                <w:rFonts w:ascii="Times New Roman" w:eastAsia="Calibri" w:hAnsi="Times New Roman" w:cs="Times New Roman"/>
                <w:iCs/>
                <w:sz w:val="24"/>
                <w:szCs w:val="24"/>
              </w:rPr>
            </w:pPr>
            <w:r w:rsidRPr="00A63E4D">
              <w:rPr>
                <w:rFonts w:ascii="Times New Roman" w:eastAsia="Calibri" w:hAnsi="Times New Roman" w:cs="Times New Roman"/>
                <w:iCs/>
                <w:sz w:val="24"/>
                <w:szCs w:val="24"/>
              </w:rPr>
              <w:t>Ņemot vērā minēto, vienlaicīgi</w:t>
            </w:r>
            <w:r w:rsidR="00721586" w:rsidRPr="00A63E4D">
              <w:rPr>
                <w:rFonts w:ascii="Times New Roman" w:eastAsia="Calibri" w:hAnsi="Times New Roman" w:cs="Times New Roman"/>
                <w:iCs/>
                <w:sz w:val="24"/>
                <w:szCs w:val="24"/>
              </w:rPr>
              <w:t xml:space="preserve"> p</w:t>
            </w:r>
            <w:r w:rsidR="006840D9" w:rsidRPr="00A63E4D">
              <w:rPr>
                <w:rFonts w:ascii="Times New Roman" w:eastAsia="Calibri" w:hAnsi="Times New Roman" w:cs="Times New Roman"/>
                <w:iCs/>
                <w:sz w:val="24"/>
                <w:szCs w:val="24"/>
              </w:rPr>
              <w:t>rojekt</w:t>
            </w:r>
            <w:r w:rsidRPr="00A63E4D">
              <w:rPr>
                <w:rFonts w:ascii="Times New Roman" w:eastAsia="Calibri" w:hAnsi="Times New Roman" w:cs="Times New Roman"/>
                <w:iCs/>
                <w:sz w:val="24"/>
                <w:szCs w:val="24"/>
              </w:rPr>
              <w:t>ā</w:t>
            </w:r>
            <w:r w:rsidR="006840D9" w:rsidRPr="00A63E4D">
              <w:rPr>
                <w:rFonts w:ascii="Times New Roman" w:eastAsia="Calibri" w:hAnsi="Times New Roman" w:cs="Times New Roman"/>
                <w:iCs/>
                <w:sz w:val="24"/>
                <w:szCs w:val="24"/>
              </w:rPr>
              <w:t xml:space="preserve"> </w:t>
            </w:r>
            <w:r w:rsidRPr="00A63E4D">
              <w:rPr>
                <w:rFonts w:ascii="Times New Roman" w:eastAsia="Calibri" w:hAnsi="Times New Roman" w:cs="Times New Roman"/>
                <w:iCs/>
                <w:sz w:val="24"/>
                <w:szCs w:val="24"/>
              </w:rPr>
              <w:t xml:space="preserve">tiek </w:t>
            </w:r>
            <w:r w:rsidR="006840D9" w:rsidRPr="00A63E4D">
              <w:rPr>
                <w:rFonts w:ascii="Times New Roman" w:eastAsia="Calibri" w:hAnsi="Times New Roman" w:cs="Times New Roman"/>
                <w:iCs/>
                <w:sz w:val="24"/>
                <w:szCs w:val="24"/>
              </w:rPr>
              <w:t>precizēt</w:t>
            </w:r>
            <w:r w:rsidRPr="00A63E4D">
              <w:rPr>
                <w:rFonts w:ascii="Times New Roman" w:eastAsia="Calibri" w:hAnsi="Times New Roman" w:cs="Times New Roman"/>
                <w:iCs/>
                <w:sz w:val="24"/>
                <w:szCs w:val="24"/>
              </w:rPr>
              <w:t>s</w:t>
            </w:r>
            <w:r w:rsidR="006840D9" w:rsidRPr="00A63E4D">
              <w:rPr>
                <w:rFonts w:ascii="Times New Roman" w:eastAsia="Calibri" w:hAnsi="Times New Roman" w:cs="Times New Roman"/>
                <w:iCs/>
                <w:sz w:val="24"/>
                <w:szCs w:val="24"/>
              </w:rPr>
              <w:t xml:space="preserve"> Ministru kabineta noteikumu Nr.676 </w:t>
            </w:r>
            <w:r w:rsidR="000070A8" w:rsidRPr="00A63E4D">
              <w:rPr>
                <w:rFonts w:ascii="Times New Roman" w:eastAsia="Calibri" w:hAnsi="Times New Roman" w:cs="Times New Roman"/>
                <w:iCs/>
                <w:sz w:val="24"/>
                <w:szCs w:val="24"/>
              </w:rPr>
              <w:t>pielikuma</w:t>
            </w:r>
            <w:r w:rsidR="006840D9" w:rsidRPr="00A63E4D">
              <w:rPr>
                <w:rFonts w:ascii="Times New Roman" w:eastAsia="Calibri" w:hAnsi="Times New Roman" w:cs="Times New Roman"/>
                <w:iCs/>
                <w:sz w:val="24"/>
                <w:szCs w:val="24"/>
              </w:rPr>
              <w:t xml:space="preserve"> 6.piemēr</w:t>
            </w:r>
            <w:r w:rsidR="009B3220" w:rsidRPr="00A63E4D">
              <w:rPr>
                <w:rFonts w:ascii="Times New Roman" w:eastAsia="Calibri" w:hAnsi="Times New Roman" w:cs="Times New Roman"/>
                <w:iCs/>
                <w:sz w:val="24"/>
                <w:szCs w:val="24"/>
              </w:rPr>
              <w:t>s</w:t>
            </w:r>
            <w:r w:rsidRPr="00A63E4D">
              <w:rPr>
                <w:rFonts w:ascii="Times New Roman" w:eastAsia="Calibri" w:hAnsi="Times New Roman" w:cs="Times New Roman"/>
                <w:iCs/>
                <w:sz w:val="24"/>
                <w:szCs w:val="24"/>
              </w:rPr>
              <w:t>, kā arī tiek</w:t>
            </w:r>
            <w:r w:rsidR="006840D9" w:rsidRPr="00A63E4D">
              <w:rPr>
                <w:rFonts w:ascii="Times New Roman" w:eastAsia="Calibri" w:hAnsi="Times New Roman" w:cs="Times New Roman"/>
                <w:iCs/>
                <w:sz w:val="24"/>
                <w:szCs w:val="24"/>
              </w:rPr>
              <w:t xml:space="preserve"> papildināt</w:t>
            </w:r>
            <w:r w:rsidRPr="00A63E4D">
              <w:rPr>
                <w:rFonts w:ascii="Times New Roman" w:eastAsia="Calibri" w:hAnsi="Times New Roman" w:cs="Times New Roman"/>
                <w:iCs/>
                <w:sz w:val="24"/>
                <w:szCs w:val="24"/>
              </w:rPr>
              <w:t>s</w:t>
            </w:r>
            <w:r w:rsidR="006840D9" w:rsidRPr="00A63E4D">
              <w:rPr>
                <w:rFonts w:ascii="Times New Roman" w:eastAsia="Calibri" w:hAnsi="Times New Roman" w:cs="Times New Roman"/>
                <w:iCs/>
                <w:sz w:val="24"/>
                <w:szCs w:val="24"/>
              </w:rPr>
              <w:t xml:space="preserve"> ar </w:t>
            </w:r>
            <w:r w:rsidRPr="00A63E4D">
              <w:rPr>
                <w:rFonts w:ascii="Times New Roman" w:eastAsia="Calibri" w:hAnsi="Times New Roman" w:cs="Times New Roman"/>
                <w:iCs/>
                <w:sz w:val="24"/>
                <w:szCs w:val="24"/>
              </w:rPr>
              <w:t>jaunu -</w:t>
            </w:r>
            <w:r w:rsidR="009B3220" w:rsidRPr="00A63E4D">
              <w:rPr>
                <w:rFonts w:ascii="Times New Roman" w:eastAsia="Calibri" w:hAnsi="Times New Roman" w:cs="Times New Roman"/>
                <w:iCs/>
                <w:sz w:val="24"/>
                <w:szCs w:val="24"/>
              </w:rPr>
              <w:t xml:space="preserve"> </w:t>
            </w:r>
            <w:r w:rsidR="006840D9" w:rsidRPr="00A63E4D">
              <w:rPr>
                <w:rFonts w:ascii="Times New Roman" w:eastAsia="Calibri" w:hAnsi="Times New Roman" w:cs="Times New Roman"/>
                <w:iCs/>
                <w:sz w:val="24"/>
                <w:szCs w:val="24"/>
              </w:rPr>
              <w:t xml:space="preserve">7.piemēru. </w:t>
            </w:r>
          </w:p>
          <w:p w:rsidR="00AB6197" w:rsidRDefault="00AB6197" w:rsidP="002D47AA">
            <w:pPr>
              <w:spacing w:after="0" w:line="240" w:lineRule="auto"/>
              <w:jc w:val="both"/>
              <w:rPr>
                <w:rFonts w:ascii="Times New Roman" w:eastAsia="Calibri" w:hAnsi="Times New Roman" w:cs="Times New Roman"/>
                <w:iCs/>
                <w:sz w:val="24"/>
                <w:szCs w:val="24"/>
              </w:rPr>
            </w:pPr>
          </w:p>
          <w:p w:rsidR="00AB6197" w:rsidRPr="00E41DE9" w:rsidRDefault="00AB6197" w:rsidP="00AB61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Grozījumi </w:t>
            </w:r>
            <w:r w:rsidRPr="00E41DE9">
              <w:rPr>
                <w:rFonts w:ascii="Times New Roman" w:eastAsia="Calibri" w:hAnsi="Times New Roman" w:cs="Times New Roman"/>
                <w:i/>
                <w:sz w:val="24"/>
                <w:szCs w:val="24"/>
              </w:rPr>
              <w:t>Ministru kabineta noteikum</w:t>
            </w:r>
            <w:r>
              <w:rPr>
                <w:rFonts w:ascii="Times New Roman" w:eastAsia="Calibri" w:hAnsi="Times New Roman" w:cs="Times New Roman"/>
                <w:i/>
                <w:sz w:val="24"/>
                <w:szCs w:val="24"/>
              </w:rPr>
              <w:t>u</w:t>
            </w:r>
            <w:r w:rsidRPr="00E41DE9">
              <w:rPr>
                <w:rFonts w:ascii="Times New Roman" w:eastAsia="Calibri" w:hAnsi="Times New Roman" w:cs="Times New Roman"/>
                <w:i/>
                <w:sz w:val="24"/>
                <w:szCs w:val="24"/>
              </w:rPr>
              <w:t xml:space="preserve"> Nr.676</w:t>
            </w:r>
            <w:r>
              <w:rPr>
                <w:rFonts w:ascii="Times New Roman" w:eastAsia="Calibri" w:hAnsi="Times New Roman" w:cs="Times New Roman"/>
                <w:i/>
                <w:sz w:val="24"/>
                <w:szCs w:val="24"/>
              </w:rPr>
              <w:t xml:space="preserve"> </w:t>
            </w:r>
            <w:r w:rsidR="00C9659B">
              <w:rPr>
                <w:rFonts w:ascii="Times New Roman" w:eastAsia="Calibri" w:hAnsi="Times New Roman" w:cs="Times New Roman"/>
                <w:i/>
                <w:sz w:val="24"/>
                <w:szCs w:val="24"/>
              </w:rPr>
              <w:t>13.punktā un 16.punktā</w:t>
            </w:r>
            <w:r>
              <w:rPr>
                <w:rFonts w:ascii="Times New Roman" w:eastAsia="Calibri" w:hAnsi="Times New Roman" w:cs="Times New Roman"/>
                <w:i/>
                <w:sz w:val="24"/>
                <w:szCs w:val="24"/>
              </w:rPr>
              <w:t>.</w:t>
            </w:r>
          </w:p>
          <w:p w:rsidR="00AB6197" w:rsidRPr="00A63E4D" w:rsidRDefault="00AB6197" w:rsidP="002D47AA">
            <w:pPr>
              <w:spacing w:after="0" w:line="240" w:lineRule="auto"/>
              <w:jc w:val="both"/>
              <w:rPr>
                <w:rFonts w:ascii="Times New Roman" w:eastAsia="Calibri" w:hAnsi="Times New Roman" w:cs="Times New Roman"/>
                <w:iCs/>
                <w:sz w:val="24"/>
                <w:szCs w:val="24"/>
              </w:rPr>
            </w:pPr>
          </w:p>
          <w:p w:rsidR="009800FA" w:rsidRDefault="009800FA" w:rsidP="00B44E7A">
            <w:pPr>
              <w:spacing w:after="0" w:line="240" w:lineRule="auto"/>
              <w:jc w:val="both"/>
              <w:rPr>
                <w:rFonts w:ascii="Times New Roman" w:eastAsia="Calibri" w:hAnsi="Times New Roman" w:cs="Times New Roman"/>
                <w:sz w:val="24"/>
                <w:szCs w:val="24"/>
              </w:rPr>
            </w:pPr>
            <w:r w:rsidRPr="00A63E4D">
              <w:rPr>
                <w:rFonts w:ascii="Times New Roman" w:eastAsia="Calibri" w:hAnsi="Times New Roman" w:cs="Times New Roman"/>
                <w:sz w:val="24"/>
                <w:szCs w:val="24"/>
              </w:rPr>
              <w:t>Likuma “Par iedzīvotāju ienākuma nodokli” 12.</w:t>
            </w:r>
            <w:r w:rsidR="00AD0C80" w:rsidRPr="00A63E4D">
              <w:rPr>
                <w:rFonts w:ascii="Times New Roman" w:eastAsia="Calibri" w:hAnsi="Times New Roman" w:cs="Times New Roman"/>
                <w:sz w:val="24"/>
                <w:szCs w:val="24"/>
              </w:rPr>
              <w:t xml:space="preserve"> </w:t>
            </w:r>
            <w:r w:rsidRPr="00A63E4D">
              <w:rPr>
                <w:rFonts w:ascii="Times New Roman" w:eastAsia="Calibri" w:hAnsi="Times New Roman" w:cs="Times New Roman"/>
                <w:sz w:val="24"/>
                <w:szCs w:val="24"/>
              </w:rPr>
              <w:t>panta 1.</w:t>
            </w:r>
            <w:r w:rsidRPr="00A63E4D">
              <w:rPr>
                <w:rFonts w:ascii="Times New Roman" w:eastAsia="Calibri" w:hAnsi="Times New Roman" w:cs="Times New Roman"/>
                <w:sz w:val="24"/>
                <w:szCs w:val="24"/>
                <w:vertAlign w:val="superscript"/>
              </w:rPr>
              <w:t>4</w:t>
            </w:r>
            <w:r w:rsidRPr="00A63E4D">
              <w:rPr>
                <w:rFonts w:ascii="Times New Roman" w:eastAsia="Calibri" w:hAnsi="Times New Roman" w:cs="Times New Roman"/>
                <w:sz w:val="24"/>
                <w:szCs w:val="24"/>
              </w:rPr>
              <w:t xml:space="preserve"> daļas 2.</w:t>
            </w:r>
            <w:r w:rsidR="00AD0C80" w:rsidRPr="00A63E4D">
              <w:rPr>
                <w:rFonts w:ascii="Times New Roman" w:eastAsia="Calibri" w:hAnsi="Times New Roman" w:cs="Times New Roman"/>
                <w:sz w:val="24"/>
                <w:szCs w:val="24"/>
              </w:rPr>
              <w:t xml:space="preserve"> </w:t>
            </w:r>
            <w:r w:rsidR="00B44E7A" w:rsidRPr="00A63E4D">
              <w:rPr>
                <w:rFonts w:ascii="Times New Roman" w:eastAsia="Calibri" w:hAnsi="Times New Roman" w:cs="Times New Roman"/>
                <w:sz w:val="24"/>
                <w:szCs w:val="24"/>
              </w:rPr>
              <w:t xml:space="preserve">punkts </w:t>
            </w:r>
            <w:r w:rsidRPr="00A63E4D">
              <w:rPr>
                <w:rFonts w:ascii="Times New Roman" w:eastAsia="Calibri" w:hAnsi="Times New Roman" w:cs="Times New Roman"/>
                <w:sz w:val="24"/>
                <w:szCs w:val="24"/>
              </w:rPr>
              <w:t xml:space="preserve">nosaka, ka </w:t>
            </w:r>
            <w:r w:rsidR="00B44E7A" w:rsidRPr="00A63E4D">
              <w:rPr>
                <w:rFonts w:ascii="Times New Roman" w:eastAsia="Calibri" w:hAnsi="Times New Roman" w:cs="Times New Roman"/>
                <w:sz w:val="24"/>
                <w:szCs w:val="24"/>
              </w:rPr>
              <w:t xml:space="preserve">VID prognozētais mēneša neapliekamais minimums nedrīkst pārsniegt vienu divpadsmito daļu no Ministru kabineta noteikumos noteiktā maksimālā gada neapliekamā minimuma. </w:t>
            </w:r>
          </w:p>
          <w:p w:rsidR="006840D9" w:rsidRPr="006809DD" w:rsidRDefault="003D083A" w:rsidP="00721586">
            <w:pPr>
              <w:spacing w:after="0" w:line="240" w:lineRule="auto"/>
              <w:jc w:val="both"/>
              <w:rPr>
                <w:rFonts w:ascii="Times New Roman" w:eastAsia="Calibri" w:hAnsi="Times New Roman" w:cs="Times New Roman"/>
                <w:iCs/>
                <w:sz w:val="24"/>
                <w:szCs w:val="24"/>
              </w:rPr>
            </w:pPr>
            <w:r w:rsidRPr="006809DD">
              <w:rPr>
                <w:rFonts w:ascii="Times New Roman" w:eastAsia="Calibri" w:hAnsi="Times New Roman" w:cs="Times New Roman"/>
                <w:sz w:val="24"/>
                <w:szCs w:val="24"/>
              </w:rPr>
              <w:t xml:space="preserve">Lai tehniski nodrošinātu likumā “Par iedzīvotāju ienākuma nodokli” noteikto, kā arī nodokļa maksātājam netiktu piemērots lielāks neapliekamais minimums nekā nodokļa maksātājam faktiski būtu piemērojams, projekts paredz papildināt Ministru kabineta noteikumu Nr.676 13.punktu ar 13.3. apakšpunktu un 16.punktu ar 16.4. apakšpunktu. </w:t>
            </w:r>
            <w:r w:rsidR="001075CA" w:rsidRPr="006809DD">
              <w:rPr>
                <w:rFonts w:ascii="Times New Roman" w:eastAsia="Calibri" w:hAnsi="Times New Roman" w:cs="Times New Roman"/>
                <w:iCs/>
                <w:sz w:val="24"/>
                <w:szCs w:val="24"/>
              </w:rPr>
              <w:t xml:space="preserve"> </w:t>
            </w:r>
          </w:p>
          <w:p w:rsidR="00E6696C" w:rsidRPr="006809DD" w:rsidRDefault="00E6696C" w:rsidP="00721586">
            <w:pPr>
              <w:spacing w:after="0" w:line="240" w:lineRule="auto"/>
              <w:jc w:val="both"/>
              <w:rPr>
                <w:rFonts w:ascii="Times New Roman" w:eastAsia="Calibri" w:hAnsi="Times New Roman" w:cs="Times New Roman"/>
                <w:iCs/>
                <w:sz w:val="24"/>
                <w:szCs w:val="24"/>
              </w:rPr>
            </w:pPr>
          </w:p>
          <w:p w:rsidR="00E6696C" w:rsidRPr="00E6696C" w:rsidRDefault="00E6696C" w:rsidP="00721586">
            <w:pPr>
              <w:spacing w:after="0" w:line="240" w:lineRule="auto"/>
              <w:jc w:val="both"/>
              <w:rPr>
                <w:rFonts w:ascii="Times New Roman" w:eastAsia="Calibri" w:hAnsi="Times New Roman" w:cs="Times New Roman"/>
                <w:sz w:val="24"/>
                <w:szCs w:val="24"/>
                <w:u w:val="single"/>
              </w:rPr>
            </w:pPr>
            <w:r w:rsidRPr="006809DD">
              <w:rPr>
                <w:rFonts w:ascii="Times New Roman" w:eastAsia="Calibri" w:hAnsi="Times New Roman" w:cs="Times New Roman"/>
                <w:sz w:val="24"/>
                <w:szCs w:val="24"/>
              </w:rPr>
              <w:t>Veikts arī tehniska rakstura precizējums Ministru kabineta noteikumu Nr.676 12.2.apakšpunktā.</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2B77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AE508E" w:rsidRPr="00AE508E">
              <w:rPr>
                <w:rFonts w:ascii="Times New Roman" w:eastAsia="Times New Roman" w:hAnsi="Times New Roman" w:cs="Times New Roman"/>
                <w:iCs/>
                <w:sz w:val="24"/>
                <w:szCs w:val="24"/>
                <w:lang w:eastAsia="lv-LV"/>
              </w:rPr>
              <w:t>Valsts ieņēmumu dienests.</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AE50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59"/>
        <w:gridCol w:w="5424"/>
      </w:tblGrid>
      <w:tr w:rsidR="00E63731" w:rsidRPr="00E63731" w:rsidTr="006E7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2068B"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Sabiedrības </w:t>
            </w:r>
            <w:proofErr w:type="spellStart"/>
            <w:r w:rsidRPr="00E63731">
              <w:rPr>
                <w:rFonts w:ascii="Times New Roman" w:eastAsia="Times New Roman" w:hAnsi="Times New Roman" w:cs="Times New Roman"/>
                <w:iCs/>
                <w:sz w:val="24"/>
                <w:szCs w:val="24"/>
                <w:lang w:eastAsia="lv-LV"/>
              </w:rPr>
              <w:t>mērķgrupas</w:t>
            </w:r>
            <w:proofErr w:type="spellEnd"/>
            <w:r w:rsidRPr="00E63731">
              <w:rPr>
                <w:rFonts w:ascii="Times New Roman" w:eastAsia="Times New Roman" w:hAnsi="Times New Roman" w:cs="Times New Roman"/>
                <w:iCs/>
                <w:sz w:val="24"/>
                <w:szCs w:val="24"/>
                <w:lang w:eastAsia="lv-LV"/>
              </w:rPr>
              <w:t>, kuras tiesiskais regulējums ietekmē vai varētu ietekmēt</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8427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w:t>
            </w:r>
            <w:r w:rsidRPr="00905C68">
              <w:rPr>
                <w:rFonts w:ascii="Times New Roman" w:eastAsia="Times New Roman" w:hAnsi="Times New Roman" w:cs="Times New Roman"/>
                <w:iCs/>
                <w:sz w:val="24"/>
                <w:szCs w:val="24"/>
                <w:lang w:eastAsia="lv-LV"/>
              </w:rPr>
              <w:t xml:space="preserve">iziskās personas </w:t>
            </w:r>
            <w:r>
              <w:rPr>
                <w:rFonts w:ascii="Times New Roman" w:eastAsia="Times New Roman" w:hAnsi="Times New Roman" w:cs="Times New Roman"/>
                <w:iCs/>
                <w:sz w:val="24"/>
                <w:szCs w:val="24"/>
                <w:lang w:eastAsia="lv-LV"/>
              </w:rPr>
              <w:t xml:space="preserve">–  nodokļa </w:t>
            </w:r>
            <w:r w:rsidRPr="00905C68">
              <w:rPr>
                <w:rFonts w:ascii="Times New Roman" w:eastAsia="Times New Roman" w:hAnsi="Times New Roman" w:cs="Times New Roman"/>
                <w:iCs/>
                <w:sz w:val="24"/>
                <w:szCs w:val="24"/>
                <w:lang w:eastAsia="lv-LV"/>
              </w:rPr>
              <w:t>maksātāji, kuriem</w:t>
            </w:r>
            <w:r>
              <w:rPr>
                <w:rFonts w:ascii="Times New Roman" w:eastAsia="Times New Roman" w:hAnsi="Times New Roman" w:cs="Times New Roman"/>
                <w:iCs/>
                <w:sz w:val="24"/>
                <w:szCs w:val="24"/>
                <w:lang w:eastAsia="lv-LV"/>
              </w:rPr>
              <w:t xml:space="preserve"> piemēro VID prognozēto mēneša neapliekamo minimumu</w:t>
            </w:r>
            <w:r w:rsidR="00721586">
              <w:rPr>
                <w:rFonts w:ascii="Times New Roman" w:eastAsia="Times New Roman" w:hAnsi="Times New Roman" w:cs="Times New Roman"/>
                <w:iCs/>
                <w:sz w:val="24"/>
                <w:szCs w:val="24"/>
                <w:lang w:eastAsia="lv-LV"/>
              </w:rPr>
              <w:t xml:space="preserve"> </w:t>
            </w:r>
            <w:r w:rsidR="00721586" w:rsidRPr="00A63E4D">
              <w:rPr>
                <w:rFonts w:ascii="Times New Roman" w:eastAsia="Times New Roman" w:hAnsi="Times New Roman" w:cs="Times New Roman"/>
                <w:iCs/>
                <w:sz w:val="24"/>
                <w:szCs w:val="24"/>
                <w:lang w:eastAsia="lv-LV"/>
              </w:rPr>
              <w:t>un gada diferencēto neapliekamo minimumu</w:t>
            </w:r>
            <w:r w:rsidR="0084278A" w:rsidRPr="00A63E4D">
              <w:rPr>
                <w:rFonts w:ascii="Times New Roman" w:eastAsia="Times New Roman" w:hAnsi="Times New Roman" w:cs="Times New Roman"/>
                <w:iCs/>
                <w:sz w:val="24"/>
                <w:szCs w:val="24"/>
                <w:lang w:eastAsia="lv-LV"/>
              </w:rPr>
              <w:t>.</w:t>
            </w:r>
          </w:p>
        </w:tc>
      </w:tr>
      <w:tr w:rsidR="0032068B"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rsidR="00E5323B" w:rsidRPr="006809DD" w:rsidRDefault="00E5323B" w:rsidP="00E5323B">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Tiesiskā regulējuma ietekme uz tautsaimniecību un administratīvo slogu</w:t>
            </w:r>
          </w:p>
        </w:tc>
        <w:tc>
          <w:tcPr>
            <w:tcW w:w="5474" w:type="dxa"/>
            <w:tcBorders>
              <w:top w:val="outset" w:sz="6" w:space="0" w:color="auto"/>
              <w:left w:val="outset" w:sz="6" w:space="0" w:color="auto"/>
              <w:bottom w:val="outset" w:sz="6" w:space="0" w:color="auto"/>
              <w:right w:val="outset" w:sz="6" w:space="0" w:color="auto"/>
            </w:tcBorders>
            <w:hideMark/>
          </w:tcPr>
          <w:p w:rsidR="00C078E9" w:rsidRPr="00D70907" w:rsidRDefault="009C0C35" w:rsidP="00371131">
            <w:pPr>
              <w:spacing w:after="0" w:line="240" w:lineRule="auto"/>
              <w:jc w:val="both"/>
              <w:rPr>
                <w:rFonts w:ascii="Times New Roman" w:eastAsia="Times New Roman" w:hAnsi="Times New Roman" w:cs="Times New Roman"/>
                <w:iCs/>
                <w:sz w:val="24"/>
                <w:szCs w:val="24"/>
                <w:lang w:eastAsia="lv-LV"/>
              </w:rPr>
            </w:pPr>
            <w:r w:rsidRPr="00D70907">
              <w:rPr>
                <w:rFonts w:ascii="Times New Roman" w:eastAsia="Times New Roman" w:hAnsi="Times New Roman" w:cs="Times New Roman"/>
                <w:iCs/>
                <w:sz w:val="24"/>
                <w:szCs w:val="24"/>
                <w:lang w:eastAsia="lv-LV"/>
              </w:rPr>
              <w:t>Nodokļa maksātājiem</w:t>
            </w:r>
            <w:r w:rsidR="00711FDC" w:rsidRPr="00D70907">
              <w:rPr>
                <w:rFonts w:ascii="Times New Roman" w:eastAsia="Times New Roman" w:hAnsi="Times New Roman" w:cs="Times New Roman"/>
                <w:iCs/>
                <w:sz w:val="24"/>
                <w:szCs w:val="24"/>
                <w:lang w:eastAsia="lv-LV"/>
              </w:rPr>
              <w:t>,</w:t>
            </w:r>
            <w:r w:rsidR="00D77BF3" w:rsidRPr="00D70907">
              <w:rPr>
                <w:rFonts w:ascii="Times New Roman" w:eastAsia="Times New Roman" w:hAnsi="Times New Roman" w:cs="Times New Roman"/>
                <w:iCs/>
                <w:sz w:val="24"/>
                <w:szCs w:val="24"/>
                <w:lang w:eastAsia="lv-LV"/>
              </w:rPr>
              <w:t xml:space="preserve"> kuriem veidojas iedzīvotāju ienākuma nodokļa piemaksa,</w:t>
            </w:r>
            <w:r w:rsidRPr="00D70907">
              <w:rPr>
                <w:rFonts w:ascii="Times New Roman" w:eastAsia="Times New Roman" w:hAnsi="Times New Roman" w:cs="Times New Roman"/>
                <w:iCs/>
                <w:sz w:val="24"/>
                <w:szCs w:val="24"/>
                <w:lang w:eastAsia="lv-LV"/>
              </w:rPr>
              <w:t xml:space="preserve"> </w:t>
            </w:r>
            <w:r w:rsidR="00371131" w:rsidRPr="00D70907">
              <w:rPr>
                <w:rFonts w:ascii="Times New Roman" w:eastAsia="Times New Roman" w:hAnsi="Times New Roman" w:cs="Times New Roman"/>
                <w:iCs/>
                <w:sz w:val="24"/>
                <w:szCs w:val="24"/>
                <w:lang w:eastAsia="lv-LV"/>
              </w:rPr>
              <w:t xml:space="preserve">jau šobrīd ir </w:t>
            </w:r>
            <w:r w:rsidRPr="00D70907">
              <w:rPr>
                <w:rFonts w:ascii="Times New Roman" w:eastAsia="Times New Roman" w:hAnsi="Times New Roman" w:cs="Times New Roman"/>
                <w:iCs/>
                <w:sz w:val="24"/>
                <w:szCs w:val="24"/>
                <w:lang w:eastAsia="lv-LV"/>
              </w:rPr>
              <w:t>jāsniedz gada ienākumu deklarācijas, bet p</w:t>
            </w:r>
            <w:r w:rsidR="00905C68" w:rsidRPr="00D70907">
              <w:rPr>
                <w:rFonts w:ascii="Times New Roman" w:eastAsia="Times New Roman" w:hAnsi="Times New Roman" w:cs="Times New Roman"/>
                <w:iCs/>
                <w:sz w:val="24"/>
                <w:szCs w:val="24"/>
                <w:lang w:eastAsia="lv-LV"/>
              </w:rPr>
              <w:t>rojekta ieviešana</w:t>
            </w:r>
            <w:r w:rsidR="003526C5" w:rsidRPr="00D70907">
              <w:rPr>
                <w:rFonts w:ascii="Times New Roman" w:eastAsia="Times New Roman" w:hAnsi="Times New Roman" w:cs="Times New Roman"/>
                <w:iCs/>
                <w:sz w:val="24"/>
                <w:szCs w:val="24"/>
                <w:lang w:eastAsia="lv-LV"/>
              </w:rPr>
              <w:t xml:space="preserve"> novērsīs nodokļa maksātājiem, kuriem taksācijas gada laikā palielinās ar iedzīvotāju ienākuma nodokli apliekamais ienākums,  nepieciešamību</w:t>
            </w:r>
            <w:r w:rsidR="00905C68" w:rsidRPr="00D70907">
              <w:rPr>
                <w:rFonts w:ascii="Times New Roman" w:eastAsia="Times New Roman" w:hAnsi="Times New Roman" w:cs="Times New Roman"/>
                <w:iCs/>
                <w:sz w:val="24"/>
                <w:szCs w:val="24"/>
                <w:lang w:eastAsia="lv-LV"/>
              </w:rPr>
              <w:t xml:space="preserve"> </w:t>
            </w:r>
            <w:r w:rsidR="003526C5" w:rsidRPr="00D70907">
              <w:rPr>
                <w:rFonts w:ascii="Times New Roman" w:eastAsia="Times New Roman" w:hAnsi="Times New Roman" w:cs="Times New Roman"/>
                <w:iCs/>
                <w:sz w:val="24"/>
                <w:szCs w:val="24"/>
                <w:lang w:eastAsia="lv-LV"/>
              </w:rPr>
              <w:t xml:space="preserve">veikt iedzīvotāju ienākuma nodokļa piemaksu rezumējošā kārtībā. Iespējams, ka pieaugs tādu nodokļa maksātāju skaits, kuri varēs saņemt nodokļa atmaksu. </w:t>
            </w:r>
          </w:p>
        </w:tc>
      </w:tr>
      <w:tr w:rsidR="0032068B"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Administratīvo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32068B"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Atbilstības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32068B"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5.</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2742DF"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B60B3E" w:rsidRPr="006F4392" w:rsidTr="006619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b/>
                <w:bCs/>
                <w:iCs/>
                <w:sz w:val="24"/>
                <w:szCs w:val="24"/>
                <w:lang w:eastAsia="lv-LV"/>
              </w:rPr>
            </w:pPr>
            <w:r w:rsidRPr="006809DD">
              <w:rPr>
                <w:rFonts w:ascii="Times New Roman" w:eastAsia="Times New Roman" w:hAnsi="Times New Roman" w:cs="Times New Roman"/>
                <w:b/>
                <w:bCs/>
                <w:iCs/>
                <w:sz w:val="24"/>
                <w:szCs w:val="24"/>
                <w:lang w:eastAsia="lv-LV"/>
              </w:rPr>
              <w:t>III. Tiesību akta projekta ietekme uz valsts budžetu un pašvaldību budžetiem</w:t>
            </w:r>
          </w:p>
        </w:tc>
      </w:tr>
      <w:tr w:rsidR="00B60B3E" w:rsidRPr="006F4392" w:rsidTr="00DB4D81">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2019</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Turpmākie trīs gadi (</w:t>
            </w:r>
            <w:proofErr w:type="spellStart"/>
            <w:r w:rsidRPr="006809DD">
              <w:rPr>
                <w:rFonts w:ascii="Times New Roman" w:eastAsia="Times New Roman" w:hAnsi="Times New Roman" w:cs="Times New Roman"/>
                <w:i/>
                <w:iCs/>
                <w:sz w:val="24"/>
                <w:szCs w:val="24"/>
                <w:lang w:eastAsia="lv-LV"/>
              </w:rPr>
              <w:t>euro</w:t>
            </w:r>
            <w:proofErr w:type="spellEnd"/>
            <w:r w:rsidRPr="006809DD">
              <w:rPr>
                <w:rFonts w:ascii="Times New Roman" w:eastAsia="Times New Roman" w:hAnsi="Times New Roman" w:cs="Times New Roman"/>
                <w:iCs/>
                <w:sz w:val="24"/>
                <w:szCs w:val="24"/>
                <w:lang w:eastAsia="lv-LV"/>
              </w:rPr>
              <w:t>)</w:t>
            </w:r>
          </w:p>
        </w:tc>
      </w:tr>
      <w:tr w:rsidR="00C53E23" w:rsidRPr="006F4392" w:rsidTr="00CE795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2020</w:t>
            </w:r>
          </w:p>
        </w:tc>
        <w:tc>
          <w:tcPr>
            <w:tcW w:w="1044" w:type="pct"/>
            <w:gridSpan w:val="2"/>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2021</w:t>
            </w:r>
          </w:p>
        </w:tc>
        <w:tc>
          <w:tcPr>
            <w:tcW w:w="843"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2022</w:t>
            </w:r>
          </w:p>
        </w:tc>
      </w:tr>
      <w:tr w:rsidR="00C53E23" w:rsidRPr="006F4392" w:rsidTr="00CE795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C53E23" w:rsidRPr="006809DD">
              <w:rPr>
                <w:rFonts w:ascii="Times New Roman" w:eastAsia="Times New Roman" w:hAnsi="Times New Roman" w:cs="Times New Roman"/>
                <w:iCs/>
                <w:sz w:val="24"/>
                <w:szCs w:val="24"/>
                <w:lang w:eastAsia="lv-LV"/>
              </w:rPr>
              <w:t>2020.</w:t>
            </w:r>
            <w:r w:rsidRPr="006809DD">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C53E23" w:rsidRPr="006809DD">
              <w:rPr>
                <w:rFonts w:ascii="Times New Roman" w:eastAsia="Times New Roman" w:hAnsi="Times New Roman" w:cs="Times New Roman"/>
                <w:iCs/>
                <w:sz w:val="24"/>
                <w:szCs w:val="24"/>
                <w:lang w:eastAsia="lv-LV"/>
              </w:rPr>
              <w:t xml:space="preserve">2021. </w:t>
            </w:r>
            <w:r w:rsidRPr="006809DD">
              <w:rPr>
                <w:rFonts w:ascii="Times New Roman" w:eastAsia="Times New Roman" w:hAnsi="Times New Roman" w:cs="Times New Roman"/>
                <w:iCs/>
                <w:sz w:val="24"/>
                <w:szCs w:val="24"/>
                <w:lang w:eastAsia="lv-LV"/>
              </w:rPr>
              <w:t>gadam</w:t>
            </w:r>
          </w:p>
        </w:tc>
        <w:tc>
          <w:tcPr>
            <w:tcW w:w="843"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C53E23" w:rsidRPr="006809DD">
              <w:rPr>
                <w:rFonts w:ascii="Times New Roman" w:eastAsia="Times New Roman" w:hAnsi="Times New Roman" w:cs="Times New Roman"/>
                <w:iCs/>
                <w:sz w:val="24"/>
                <w:szCs w:val="24"/>
                <w:lang w:eastAsia="lv-LV"/>
              </w:rPr>
              <w:t>2021.</w:t>
            </w:r>
            <w:r w:rsidRPr="006809DD">
              <w:rPr>
                <w:rFonts w:ascii="Times New Roman" w:eastAsia="Times New Roman" w:hAnsi="Times New Roman" w:cs="Times New Roman"/>
                <w:iCs/>
                <w:sz w:val="24"/>
                <w:szCs w:val="24"/>
                <w:lang w:eastAsia="lv-LV"/>
              </w:rPr>
              <w:t xml:space="preserve"> gadam</w:t>
            </w:r>
          </w:p>
        </w:tc>
      </w:tr>
      <w:tr w:rsidR="00C53E23"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w:t>
            </w:r>
          </w:p>
        </w:tc>
      </w:tr>
      <w:tr w:rsidR="003D5A9A"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3D5A9A" w:rsidRPr="006809DD" w:rsidRDefault="003D5A9A" w:rsidP="003D5A9A">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3D5A9A" w:rsidRPr="006809DD" w:rsidRDefault="003D5A9A" w:rsidP="003D5A9A">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3D5A9A" w:rsidRPr="006809DD" w:rsidRDefault="003D5A9A" w:rsidP="003D5A9A">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3D5A9A" w:rsidRPr="006809DD" w:rsidRDefault="003D5A9A" w:rsidP="003D5A9A">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3D5A9A" w:rsidRPr="006809DD" w:rsidRDefault="00A35525"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-32 0</w:t>
            </w:r>
            <w:r w:rsidR="00CE7956">
              <w:rPr>
                <w:rFonts w:ascii="Times New Roman" w:eastAsia="Times New Roman" w:hAnsi="Times New Roman" w:cs="Times New Roman"/>
                <w:color w:val="000000" w:themeColor="text1"/>
                <w:sz w:val="24"/>
                <w:szCs w:val="24"/>
                <w:lang w:eastAsia="lv-LV"/>
              </w:rPr>
              <w:t>00</w:t>
            </w:r>
            <w:r>
              <w:rPr>
                <w:rFonts w:ascii="Times New Roman" w:eastAsia="Times New Roman" w:hAnsi="Times New Roman" w:cs="Times New Roman"/>
                <w:color w:val="000000" w:themeColor="text1"/>
                <w:sz w:val="24"/>
                <w:szCs w:val="24"/>
                <w:lang w:eastAsia="lv-LV"/>
              </w:rPr>
              <w:t xml:space="preserve"> 000</w:t>
            </w:r>
          </w:p>
        </w:tc>
        <w:tc>
          <w:tcPr>
            <w:tcW w:w="462" w:type="pct"/>
            <w:tcBorders>
              <w:top w:val="outset" w:sz="6" w:space="0" w:color="auto"/>
              <w:left w:val="outset" w:sz="6" w:space="0" w:color="auto"/>
              <w:bottom w:val="outset" w:sz="6" w:space="0" w:color="auto"/>
              <w:right w:val="outset" w:sz="6" w:space="0" w:color="auto"/>
            </w:tcBorders>
            <w:vAlign w:val="center"/>
            <w:hideMark/>
          </w:tcPr>
          <w:p w:rsidR="003D5A9A" w:rsidRPr="006809DD" w:rsidRDefault="003D5A9A" w:rsidP="003D5A9A">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3D5A9A" w:rsidRPr="006809DD" w:rsidRDefault="00A35525"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-32 0</w:t>
            </w:r>
            <w:r w:rsidR="00CE7956">
              <w:rPr>
                <w:rFonts w:ascii="Times New Roman" w:eastAsia="Times New Roman" w:hAnsi="Times New Roman" w:cs="Times New Roman"/>
                <w:color w:val="000000" w:themeColor="text1"/>
                <w:sz w:val="24"/>
                <w:szCs w:val="24"/>
                <w:lang w:eastAsia="lv-LV"/>
              </w:rPr>
              <w:t>00</w:t>
            </w:r>
            <w:r>
              <w:rPr>
                <w:rFonts w:ascii="Times New Roman" w:eastAsia="Times New Roman" w:hAnsi="Times New Roman" w:cs="Times New Roman"/>
                <w:color w:val="000000" w:themeColor="text1"/>
                <w:sz w:val="24"/>
                <w:szCs w:val="24"/>
                <w:lang w:eastAsia="lv-LV"/>
              </w:rPr>
              <w:t xml:space="preserve"> 000</w:t>
            </w:r>
          </w:p>
        </w:tc>
        <w:tc>
          <w:tcPr>
            <w:tcW w:w="843" w:type="pct"/>
            <w:tcBorders>
              <w:top w:val="outset" w:sz="6" w:space="0" w:color="auto"/>
              <w:left w:val="outset" w:sz="6" w:space="0" w:color="auto"/>
              <w:bottom w:val="outset" w:sz="6" w:space="0" w:color="auto"/>
              <w:right w:val="outset" w:sz="6" w:space="0" w:color="auto"/>
            </w:tcBorders>
            <w:vAlign w:val="center"/>
            <w:hideMark/>
          </w:tcPr>
          <w:p w:rsidR="003D5A9A" w:rsidRPr="006809DD" w:rsidRDefault="00A35525"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-32 0</w:t>
            </w:r>
            <w:r w:rsidR="00CE7956">
              <w:rPr>
                <w:rFonts w:ascii="Times New Roman" w:eastAsia="Times New Roman" w:hAnsi="Times New Roman" w:cs="Times New Roman"/>
                <w:color w:val="000000" w:themeColor="text1"/>
                <w:sz w:val="24"/>
                <w:szCs w:val="24"/>
                <w:lang w:eastAsia="lv-LV"/>
              </w:rPr>
              <w:t>0</w:t>
            </w:r>
            <w:r w:rsidR="00D15667" w:rsidRPr="00801B6B">
              <w:rPr>
                <w:rFonts w:ascii="Times New Roman" w:eastAsia="Times New Roman" w:hAnsi="Times New Roman" w:cs="Times New Roman"/>
                <w:color w:val="000000" w:themeColor="text1"/>
                <w:sz w:val="24"/>
                <w:szCs w:val="24"/>
                <w:lang w:eastAsia="lv-LV"/>
              </w:rPr>
              <w:t>0</w:t>
            </w:r>
            <w:r>
              <w:rPr>
                <w:rFonts w:ascii="Times New Roman" w:eastAsia="Times New Roman" w:hAnsi="Times New Roman" w:cs="Times New Roman"/>
                <w:color w:val="000000" w:themeColor="text1"/>
                <w:sz w:val="24"/>
                <w:szCs w:val="24"/>
                <w:lang w:eastAsia="lv-LV"/>
              </w:rPr>
              <w:t xml:space="preserve"> 000</w:t>
            </w:r>
          </w:p>
        </w:tc>
      </w:tr>
      <w:tr w:rsidR="00DB4D81"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B4D81" w:rsidRPr="006809DD" w:rsidRDefault="00DB4D81" w:rsidP="00DB4D81">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1.1. valsts pamatbudžets, tai skaitā ieņēmumi no maksas </w:t>
            </w:r>
            <w:r w:rsidRPr="006809DD">
              <w:rPr>
                <w:rFonts w:ascii="Times New Roman" w:eastAsia="Times New Roman" w:hAnsi="Times New Roman" w:cs="Times New Roman"/>
                <w:iCs/>
                <w:sz w:val="24"/>
                <w:szCs w:val="24"/>
                <w:lang w:eastAsia="lv-LV"/>
              </w:rPr>
              <w:lastRenderedPageBreak/>
              <w:t>pakalpojumiem un citi pašu ieņēmumi</w:t>
            </w:r>
            <w:r w:rsidR="003D5A9A">
              <w:rPr>
                <w:rFonts w:ascii="Times New Roman" w:eastAsia="Times New Roman" w:hAnsi="Times New Roman" w:cs="Times New Roman"/>
                <w:iCs/>
                <w:sz w:val="24"/>
                <w:szCs w:val="24"/>
                <w:lang w:eastAsia="lv-LV"/>
              </w:rPr>
              <w:t>, t.sk.</w:t>
            </w:r>
          </w:p>
        </w:tc>
        <w:tc>
          <w:tcPr>
            <w:tcW w:w="514"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lastRenderedPageBreak/>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3D5A9A"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CE7956">
              <w:rPr>
                <w:rFonts w:ascii="Times New Roman" w:eastAsia="Times New Roman" w:hAnsi="Times New Roman" w:cs="Times New Roman"/>
                <w:color w:val="000000" w:themeColor="text1"/>
                <w:sz w:val="24"/>
                <w:szCs w:val="24"/>
                <w:lang w:eastAsia="lv-LV"/>
              </w:rPr>
              <w:t>4 000 000</w:t>
            </w:r>
          </w:p>
        </w:tc>
        <w:tc>
          <w:tcPr>
            <w:tcW w:w="462"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CE7956" w:rsidP="00DB4D81">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-4 000 000</w:t>
            </w:r>
          </w:p>
        </w:tc>
        <w:tc>
          <w:tcPr>
            <w:tcW w:w="843"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CE7956" w:rsidP="00DB4D81">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-4 000 000</w:t>
            </w:r>
          </w:p>
        </w:tc>
      </w:tr>
      <w:tr w:rsidR="003D5A9A"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tcPr>
          <w:p w:rsidR="003D5A9A" w:rsidRPr="006809DD" w:rsidRDefault="003D5A9A" w:rsidP="003D5A9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Iedzīvotāju ienākuma nodoklis</w:t>
            </w:r>
          </w:p>
        </w:tc>
        <w:tc>
          <w:tcPr>
            <w:tcW w:w="514" w:type="pct"/>
            <w:tcBorders>
              <w:top w:val="outset" w:sz="6" w:space="0" w:color="auto"/>
              <w:left w:val="outset" w:sz="6" w:space="0" w:color="auto"/>
              <w:bottom w:val="outset" w:sz="6" w:space="0" w:color="auto"/>
              <w:right w:val="outset" w:sz="6" w:space="0" w:color="auto"/>
            </w:tcBorders>
            <w:vAlign w:val="center"/>
          </w:tcPr>
          <w:p w:rsidR="003D5A9A" w:rsidRPr="006809DD" w:rsidRDefault="003D5A9A" w:rsidP="00DB4D81">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3D5A9A" w:rsidRPr="006809DD" w:rsidRDefault="003D5A9A" w:rsidP="00DB4D81">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rsidR="003D5A9A" w:rsidRPr="006809DD" w:rsidRDefault="003D5A9A" w:rsidP="00DB4D81">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3D5A9A" w:rsidRDefault="00432071"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CE7956">
              <w:rPr>
                <w:rFonts w:ascii="Times New Roman" w:eastAsia="Times New Roman" w:hAnsi="Times New Roman" w:cs="Times New Roman"/>
                <w:color w:val="000000" w:themeColor="text1"/>
                <w:sz w:val="24"/>
                <w:szCs w:val="24"/>
                <w:lang w:eastAsia="lv-LV"/>
              </w:rPr>
              <w:t>7 000 000</w:t>
            </w:r>
          </w:p>
        </w:tc>
        <w:tc>
          <w:tcPr>
            <w:tcW w:w="462" w:type="pct"/>
            <w:tcBorders>
              <w:top w:val="outset" w:sz="6" w:space="0" w:color="auto"/>
              <w:left w:val="outset" w:sz="6" w:space="0" w:color="auto"/>
              <w:bottom w:val="outset" w:sz="6" w:space="0" w:color="auto"/>
              <w:right w:val="outset" w:sz="6" w:space="0" w:color="auto"/>
            </w:tcBorders>
            <w:vAlign w:val="center"/>
          </w:tcPr>
          <w:p w:rsidR="003D5A9A" w:rsidRPr="006809DD" w:rsidRDefault="003D5A9A" w:rsidP="00DB4D81">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3D5A9A" w:rsidRDefault="00CE7956" w:rsidP="00F7116B">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-7 000 000</w:t>
            </w:r>
          </w:p>
        </w:tc>
        <w:tc>
          <w:tcPr>
            <w:tcW w:w="843" w:type="pct"/>
            <w:tcBorders>
              <w:top w:val="outset" w:sz="6" w:space="0" w:color="auto"/>
              <w:left w:val="outset" w:sz="6" w:space="0" w:color="auto"/>
              <w:bottom w:val="outset" w:sz="6" w:space="0" w:color="auto"/>
              <w:right w:val="outset" w:sz="6" w:space="0" w:color="auto"/>
            </w:tcBorders>
            <w:vAlign w:val="center"/>
          </w:tcPr>
          <w:p w:rsidR="003D5A9A" w:rsidRDefault="00CE7956" w:rsidP="00F7116B">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-7 000 000</w:t>
            </w:r>
          </w:p>
        </w:tc>
      </w:tr>
      <w:tr w:rsidR="003D5A9A"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tcPr>
          <w:p w:rsidR="003D5A9A" w:rsidRDefault="003D5A9A" w:rsidP="003D5A9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Pievienotās vērtības nodoklis</w:t>
            </w:r>
          </w:p>
        </w:tc>
        <w:tc>
          <w:tcPr>
            <w:tcW w:w="514" w:type="pct"/>
            <w:tcBorders>
              <w:top w:val="outset" w:sz="6" w:space="0" w:color="auto"/>
              <w:left w:val="outset" w:sz="6" w:space="0" w:color="auto"/>
              <w:bottom w:val="outset" w:sz="6" w:space="0" w:color="auto"/>
              <w:right w:val="outset" w:sz="6" w:space="0" w:color="auto"/>
            </w:tcBorders>
            <w:vAlign w:val="center"/>
          </w:tcPr>
          <w:p w:rsidR="003D5A9A" w:rsidRDefault="003D5A9A" w:rsidP="00DB4D81">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3D5A9A" w:rsidRDefault="003D5A9A" w:rsidP="00DB4D81">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rsidR="003D5A9A" w:rsidRDefault="003D5A9A" w:rsidP="00DB4D81">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3D5A9A" w:rsidRDefault="00F7116B"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CE7956">
              <w:rPr>
                <w:rFonts w:ascii="Times New Roman" w:eastAsia="Times New Roman" w:hAnsi="Times New Roman" w:cs="Times New Roman"/>
                <w:color w:val="000000" w:themeColor="text1"/>
                <w:sz w:val="24"/>
                <w:szCs w:val="24"/>
                <w:lang w:eastAsia="lv-LV"/>
              </w:rPr>
              <w:t>3 000</w:t>
            </w:r>
            <w:r w:rsidR="00A35525">
              <w:rPr>
                <w:rFonts w:ascii="Times New Roman" w:eastAsia="Times New Roman" w:hAnsi="Times New Roman" w:cs="Times New Roman"/>
                <w:color w:val="000000" w:themeColor="text1"/>
                <w:sz w:val="24"/>
                <w:szCs w:val="24"/>
                <w:lang w:eastAsia="lv-LV"/>
              </w:rPr>
              <w:t xml:space="preserve"> 000</w:t>
            </w:r>
          </w:p>
        </w:tc>
        <w:tc>
          <w:tcPr>
            <w:tcW w:w="462" w:type="pct"/>
            <w:tcBorders>
              <w:top w:val="outset" w:sz="6" w:space="0" w:color="auto"/>
              <w:left w:val="outset" w:sz="6" w:space="0" w:color="auto"/>
              <w:bottom w:val="outset" w:sz="6" w:space="0" w:color="auto"/>
              <w:right w:val="outset" w:sz="6" w:space="0" w:color="auto"/>
            </w:tcBorders>
            <w:vAlign w:val="center"/>
          </w:tcPr>
          <w:p w:rsidR="003D5A9A" w:rsidRDefault="00F7116B" w:rsidP="00DB4D81">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3D5A9A" w:rsidRDefault="00CE7956" w:rsidP="00DB4D81">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+3 000 000</w:t>
            </w:r>
          </w:p>
        </w:tc>
        <w:tc>
          <w:tcPr>
            <w:tcW w:w="843" w:type="pct"/>
            <w:tcBorders>
              <w:top w:val="outset" w:sz="6" w:space="0" w:color="auto"/>
              <w:left w:val="outset" w:sz="6" w:space="0" w:color="auto"/>
              <w:bottom w:val="outset" w:sz="6" w:space="0" w:color="auto"/>
              <w:right w:val="outset" w:sz="6" w:space="0" w:color="auto"/>
            </w:tcBorders>
            <w:vAlign w:val="center"/>
          </w:tcPr>
          <w:p w:rsidR="003D5A9A" w:rsidRDefault="00CE7956" w:rsidP="00DB4D81">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+3 000 000</w:t>
            </w:r>
          </w:p>
        </w:tc>
      </w:tr>
      <w:tr w:rsidR="00C53E23"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E7956"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E7956" w:rsidRPr="006809DD" w:rsidRDefault="00CE7956" w:rsidP="00CE7956">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-28 000 000</w:t>
            </w:r>
          </w:p>
        </w:tc>
        <w:tc>
          <w:tcPr>
            <w:tcW w:w="462"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-28 000 000</w:t>
            </w:r>
          </w:p>
        </w:tc>
        <w:tc>
          <w:tcPr>
            <w:tcW w:w="843" w:type="pct"/>
            <w:tcBorders>
              <w:top w:val="outset" w:sz="6" w:space="0" w:color="auto"/>
              <w:left w:val="outset" w:sz="6" w:space="0" w:color="auto"/>
              <w:bottom w:val="outset" w:sz="6" w:space="0" w:color="auto"/>
              <w:right w:val="outset" w:sz="6" w:space="0" w:color="auto"/>
            </w:tcBorders>
            <w:vAlign w:val="center"/>
            <w:hideMark/>
          </w:tcPr>
          <w:p w:rsidR="00CE7956"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-28 000 000</w:t>
            </w:r>
          </w:p>
        </w:tc>
      </w:tr>
      <w:tr w:rsidR="00A35525"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tcPr>
          <w:p w:rsidR="00A35525" w:rsidRPr="006809DD" w:rsidRDefault="00A35525" w:rsidP="00A35525">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Iedzīvotāju ienākuma nodoklis</w:t>
            </w:r>
          </w:p>
        </w:tc>
        <w:tc>
          <w:tcPr>
            <w:tcW w:w="514" w:type="pct"/>
            <w:tcBorders>
              <w:top w:val="outset" w:sz="6" w:space="0" w:color="auto"/>
              <w:left w:val="outset" w:sz="6" w:space="0" w:color="auto"/>
              <w:bottom w:val="outset" w:sz="6" w:space="0" w:color="auto"/>
              <w:right w:val="outset" w:sz="6" w:space="0" w:color="auto"/>
            </w:tcBorders>
            <w:vAlign w:val="center"/>
          </w:tcPr>
          <w:p w:rsidR="00A35525" w:rsidRPr="006809DD" w:rsidRDefault="00A35525" w:rsidP="00A35525">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A35525" w:rsidRPr="006809DD" w:rsidRDefault="00A35525" w:rsidP="00A35525">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rsidR="00A35525" w:rsidRPr="006809DD" w:rsidRDefault="00A35525" w:rsidP="00A3552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A35525" w:rsidRDefault="00A35525"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CE7956">
              <w:rPr>
                <w:rFonts w:ascii="Times New Roman" w:eastAsia="Times New Roman" w:hAnsi="Times New Roman" w:cs="Times New Roman"/>
                <w:color w:val="000000" w:themeColor="text1"/>
                <w:sz w:val="24"/>
                <w:szCs w:val="24"/>
                <w:lang w:eastAsia="lv-LV"/>
              </w:rPr>
              <w:t>28 000 000</w:t>
            </w:r>
          </w:p>
        </w:tc>
        <w:tc>
          <w:tcPr>
            <w:tcW w:w="462" w:type="pct"/>
            <w:tcBorders>
              <w:top w:val="outset" w:sz="6" w:space="0" w:color="auto"/>
              <w:left w:val="outset" w:sz="6" w:space="0" w:color="auto"/>
              <w:bottom w:val="outset" w:sz="6" w:space="0" w:color="auto"/>
              <w:right w:val="outset" w:sz="6" w:space="0" w:color="auto"/>
            </w:tcBorders>
            <w:vAlign w:val="center"/>
          </w:tcPr>
          <w:p w:rsidR="00A35525" w:rsidRPr="006809DD" w:rsidRDefault="00A35525" w:rsidP="00A3552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rsidR="00A35525" w:rsidRDefault="00CE7956" w:rsidP="00A3552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-28 000 000</w:t>
            </w:r>
          </w:p>
        </w:tc>
        <w:tc>
          <w:tcPr>
            <w:tcW w:w="843" w:type="pct"/>
            <w:tcBorders>
              <w:top w:val="outset" w:sz="6" w:space="0" w:color="auto"/>
              <w:left w:val="outset" w:sz="6" w:space="0" w:color="auto"/>
              <w:bottom w:val="outset" w:sz="6" w:space="0" w:color="auto"/>
              <w:right w:val="outset" w:sz="6" w:space="0" w:color="auto"/>
            </w:tcBorders>
            <w:vAlign w:val="center"/>
          </w:tcPr>
          <w:p w:rsidR="00A35525" w:rsidRDefault="00CE7956" w:rsidP="00A3552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-28 000 00</w:t>
            </w:r>
            <w:bookmarkStart w:id="0" w:name="_GoBack"/>
            <w:bookmarkEnd w:id="0"/>
            <w:r>
              <w:rPr>
                <w:rFonts w:ascii="Times New Roman" w:eastAsia="Times New Roman" w:hAnsi="Times New Roman" w:cs="Times New Roman"/>
                <w:color w:val="000000" w:themeColor="text1"/>
                <w:sz w:val="24"/>
                <w:szCs w:val="24"/>
                <w:lang w:eastAsia="lv-LV"/>
              </w:rPr>
              <w:t>0</w:t>
            </w:r>
          </w:p>
        </w:tc>
      </w:tr>
      <w:tr w:rsidR="00DB4D81"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B4D81" w:rsidRPr="006809DD" w:rsidRDefault="00DB4D81" w:rsidP="00DB4D81">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9 302</w:t>
            </w:r>
          </w:p>
        </w:tc>
        <w:tc>
          <w:tcPr>
            <w:tcW w:w="462"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DB4D81"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B4D81" w:rsidRPr="006809DD" w:rsidRDefault="00DB4D81" w:rsidP="00DB4D81">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9 302</w:t>
            </w:r>
          </w:p>
        </w:tc>
        <w:tc>
          <w:tcPr>
            <w:tcW w:w="462"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DB4D81" w:rsidRPr="006809DD" w:rsidRDefault="00DB4D81" w:rsidP="00DB4D81">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E7956"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E7956" w:rsidRPr="006809DD" w:rsidRDefault="00CE7956" w:rsidP="00CE7956">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-9 302</w:t>
            </w:r>
          </w:p>
        </w:tc>
        <w:tc>
          <w:tcPr>
            <w:tcW w:w="462"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-32 000 000</w:t>
            </w:r>
          </w:p>
        </w:tc>
        <w:tc>
          <w:tcPr>
            <w:tcW w:w="462"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-32 000 000</w:t>
            </w:r>
          </w:p>
        </w:tc>
        <w:tc>
          <w:tcPr>
            <w:tcW w:w="843"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-32 00</w:t>
            </w:r>
            <w:r w:rsidR="00D15667" w:rsidRPr="00801B6B">
              <w:rPr>
                <w:rFonts w:ascii="Times New Roman" w:eastAsia="Times New Roman" w:hAnsi="Times New Roman" w:cs="Times New Roman"/>
                <w:color w:val="000000" w:themeColor="text1"/>
                <w:sz w:val="24"/>
                <w:szCs w:val="24"/>
                <w:lang w:eastAsia="lv-LV"/>
              </w:rPr>
              <w:t>0</w:t>
            </w:r>
            <w:r>
              <w:rPr>
                <w:rFonts w:ascii="Times New Roman" w:eastAsia="Times New Roman" w:hAnsi="Times New Roman" w:cs="Times New Roman"/>
                <w:color w:val="000000" w:themeColor="text1"/>
                <w:sz w:val="24"/>
                <w:szCs w:val="24"/>
                <w:lang w:eastAsia="lv-LV"/>
              </w:rPr>
              <w:t xml:space="preserve"> 000</w:t>
            </w:r>
          </w:p>
        </w:tc>
      </w:tr>
      <w:tr w:rsidR="00CE7956"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E7956" w:rsidRPr="006809DD" w:rsidRDefault="00CE7956" w:rsidP="00CE7956">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-9 302</w:t>
            </w:r>
          </w:p>
        </w:tc>
        <w:tc>
          <w:tcPr>
            <w:tcW w:w="462"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-4 000 000</w:t>
            </w:r>
          </w:p>
        </w:tc>
        <w:tc>
          <w:tcPr>
            <w:tcW w:w="462"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-4 000 000</w:t>
            </w:r>
          </w:p>
        </w:tc>
        <w:tc>
          <w:tcPr>
            <w:tcW w:w="843"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-4 000 000</w:t>
            </w:r>
          </w:p>
        </w:tc>
      </w:tr>
      <w:tr w:rsidR="002D6B63"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2D6B63" w:rsidRPr="006809DD" w:rsidRDefault="002D6B63" w:rsidP="002D6B6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2D6B63" w:rsidRPr="006809DD" w:rsidRDefault="002D6B63" w:rsidP="002D6B6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2D6B63" w:rsidRPr="006809DD" w:rsidRDefault="002D6B63" w:rsidP="002D6B6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2D6B63" w:rsidRPr="006809DD" w:rsidRDefault="002D6B63" w:rsidP="002D6B6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2D6B63" w:rsidRPr="006809DD" w:rsidRDefault="002D6B63" w:rsidP="002D6B6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2D6B63" w:rsidRPr="006809DD" w:rsidRDefault="002D6B63" w:rsidP="002D6B6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2D6B63" w:rsidRPr="006809DD" w:rsidRDefault="002D6B63" w:rsidP="002D6B6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2D6B63" w:rsidRPr="006809DD" w:rsidRDefault="002D6B63" w:rsidP="002D6B6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E7956"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E7956" w:rsidRPr="006809DD" w:rsidRDefault="00CE7956" w:rsidP="00CE7956">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-28 000 000</w:t>
            </w:r>
          </w:p>
        </w:tc>
        <w:tc>
          <w:tcPr>
            <w:tcW w:w="462" w:type="pct"/>
            <w:tcBorders>
              <w:top w:val="outset" w:sz="6" w:space="0" w:color="auto"/>
              <w:left w:val="outset" w:sz="6" w:space="0" w:color="auto"/>
              <w:bottom w:val="outset" w:sz="6" w:space="0" w:color="auto"/>
              <w:right w:val="outset" w:sz="6" w:space="0" w:color="auto"/>
            </w:tcBorders>
            <w:vAlign w:val="center"/>
            <w:hideMark/>
          </w:tcPr>
          <w:p w:rsidR="00CE7956" w:rsidRPr="006809DD"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CE7956"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-28 000 000</w:t>
            </w:r>
          </w:p>
        </w:tc>
        <w:tc>
          <w:tcPr>
            <w:tcW w:w="843" w:type="pct"/>
            <w:tcBorders>
              <w:top w:val="outset" w:sz="6" w:space="0" w:color="auto"/>
              <w:left w:val="outset" w:sz="6" w:space="0" w:color="auto"/>
              <w:bottom w:val="outset" w:sz="6" w:space="0" w:color="auto"/>
              <w:right w:val="outset" w:sz="6" w:space="0" w:color="auto"/>
            </w:tcBorders>
            <w:vAlign w:val="center"/>
            <w:hideMark/>
          </w:tcPr>
          <w:p w:rsidR="00CE7956" w:rsidRDefault="00CE7956" w:rsidP="00CE795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-28 000 000</w:t>
            </w:r>
          </w:p>
        </w:tc>
      </w:tr>
      <w:tr w:rsidR="00C53E23"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15667" w:rsidP="00C53E23">
            <w:pPr>
              <w:spacing w:after="0" w:line="240" w:lineRule="auto"/>
              <w:jc w:val="center"/>
              <w:rPr>
                <w:rFonts w:ascii="Times New Roman" w:eastAsia="Times New Roman" w:hAnsi="Times New Roman" w:cs="Times New Roman"/>
                <w:color w:val="000000" w:themeColor="text1"/>
                <w:sz w:val="24"/>
                <w:szCs w:val="24"/>
                <w:lang w:eastAsia="lv-LV"/>
              </w:rPr>
            </w:pPr>
            <w:r w:rsidRPr="005649BE">
              <w:rPr>
                <w:rFonts w:ascii="Times New Roman" w:eastAsia="Times New Roman" w:hAnsi="Times New Roman" w:cs="Times New Roman"/>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A424E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5649BE">
              <w:rPr>
                <w:rFonts w:ascii="Times New Roman" w:eastAsia="Times New Roman" w:hAnsi="Times New Roman" w:cs="Times New Roman"/>
                <w:color w:val="000000" w:themeColor="text1"/>
                <w:sz w:val="24"/>
                <w:szCs w:val="24"/>
                <w:lang w:eastAsia="lv-LV"/>
              </w:rPr>
              <w:t>9</w:t>
            </w:r>
            <w:r w:rsidR="00D27E9A" w:rsidRPr="005649BE">
              <w:rPr>
                <w:rFonts w:ascii="Times New Roman" w:eastAsia="Times New Roman" w:hAnsi="Times New Roman" w:cs="Times New Roman"/>
                <w:color w:val="000000" w:themeColor="text1"/>
                <w:sz w:val="24"/>
                <w:szCs w:val="24"/>
                <w:lang w:eastAsia="lv-LV"/>
              </w:rPr>
              <w:t> </w:t>
            </w:r>
            <w:r w:rsidRPr="005649BE">
              <w:rPr>
                <w:rFonts w:ascii="Times New Roman" w:eastAsia="Times New Roman" w:hAnsi="Times New Roman" w:cs="Times New Roman"/>
                <w:color w:val="000000" w:themeColor="text1"/>
                <w:sz w:val="24"/>
                <w:szCs w:val="24"/>
                <w:lang w:eastAsia="lv-LV"/>
              </w:rPr>
              <w:t>302</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27E9A" w:rsidP="00C53E23">
            <w:pPr>
              <w:spacing w:after="0" w:line="240" w:lineRule="auto"/>
              <w:jc w:val="center"/>
              <w:rPr>
                <w:rFonts w:ascii="Times New Roman" w:eastAsia="Times New Roman" w:hAnsi="Times New Roman" w:cs="Times New Roman"/>
                <w:color w:val="000000" w:themeColor="text1"/>
                <w:sz w:val="24"/>
                <w:szCs w:val="24"/>
                <w:lang w:eastAsia="lv-LV"/>
              </w:rPr>
            </w:pPr>
            <w:r w:rsidRPr="005649BE">
              <w:rPr>
                <w:rFonts w:ascii="Times New Roman" w:eastAsia="Times New Roman" w:hAnsi="Times New Roman" w:cs="Times New Roman"/>
                <w:color w:val="000000" w:themeColor="text1"/>
                <w:sz w:val="24"/>
                <w:szCs w:val="24"/>
                <w:lang w:eastAsia="lv-LV"/>
              </w:rPr>
              <w:t xml:space="preserve">X </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27E9A" w:rsidP="00C53E23">
            <w:pPr>
              <w:spacing w:after="0" w:line="240" w:lineRule="auto"/>
              <w:jc w:val="center"/>
              <w:rPr>
                <w:rFonts w:ascii="Times New Roman" w:eastAsia="Times New Roman" w:hAnsi="Times New Roman" w:cs="Times New Roman"/>
                <w:color w:val="000000" w:themeColor="text1"/>
                <w:sz w:val="24"/>
                <w:szCs w:val="24"/>
                <w:lang w:eastAsia="lv-LV"/>
              </w:rPr>
            </w:pPr>
            <w:r w:rsidRPr="005649BE">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27E9A" w:rsidP="00C53E23">
            <w:pPr>
              <w:spacing w:after="0" w:line="240" w:lineRule="auto"/>
              <w:jc w:val="center"/>
              <w:rPr>
                <w:rFonts w:ascii="Times New Roman" w:eastAsia="Times New Roman" w:hAnsi="Times New Roman" w:cs="Times New Roman"/>
                <w:color w:val="000000" w:themeColor="text1"/>
                <w:sz w:val="24"/>
                <w:szCs w:val="24"/>
                <w:lang w:eastAsia="lv-LV"/>
              </w:rPr>
            </w:pPr>
            <w:r w:rsidRPr="005649BE">
              <w:rPr>
                <w:rFonts w:ascii="Times New Roman" w:eastAsia="Times New Roman" w:hAnsi="Times New Roman" w:cs="Times New Roman"/>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27E9A" w:rsidP="00C53E23">
            <w:pPr>
              <w:spacing w:after="0" w:line="240" w:lineRule="auto"/>
              <w:jc w:val="center"/>
              <w:rPr>
                <w:rFonts w:ascii="Times New Roman" w:eastAsia="Times New Roman" w:hAnsi="Times New Roman" w:cs="Times New Roman"/>
                <w:color w:val="000000" w:themeColor="text1"/>
                <w:sz w:val="24"/>
                <w:szCs w:val="24"/>
                <w:lang w:eastAsia="lv-LV"/>
              </w:rPr>
            </w:pPr>
            <w:r w:rsidRPr="005649BE">
              <w:rPr>
                <w:rFonts w:ascii="Times New Roman" w:eastAsia="Times New Roman" w:hAnsi="Times New Roman" w:cs="Times New Roman"/>
                <w:color w:val="000000" w:themeColor="text1"/>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5649BE">
              <w:rPr>
                <w:rFonts w:ascii="Times New Roman" w:eastAsia="Times New Roman" w:hAnsi="Times New Roman" w:cs="Times New Roman"/>
                <w:color w:val="000000" w:themeColor="text1"/>
                <w:sz w:val="24"/>
                <w:szCs w:val="24"/>
                <w:lang w:eastAsia="lv-LV"/>
              </w:rPr>
              <w:t>0</w:t>
            </w:r>
          </w:p>
        </w:tc>
      </w:tr>
      <w:tr w:rsidR="00C53E23"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5649BE">
              <w:rPr>
                <w:rFonts w:ascii="Times New Roman" w:eastAsia="Times New Roman" w:hAnsi="Times New Roman" w:cs="Times New Roman"/>
                <w:color w:val="000000" w:themeColor="text1"/>
                <w:sz w:val="24"/>
                <w:szCs w:val="28"/>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5649BE">
              <w:rPr>
                <w:rFonts w:ascii="Times New Roman" w:eastAsia="Times New Roman" w:hAnsi="Times New Roman" w:cs="Times New Roman"/>
                <w:color w:val="000000" w:themeColor="text1"/>
                <w:sz w:val="24"/>
                <w:szCs w:val="28"/>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5649BE">
              <w:rPr>
                <w:rFonts w:ascii="Times New Roman" w:eastAsia="Times New Roman" w:hAnsi="Times New Roman" w:cs="Times New Roman"/>
                <w:color w:val="000000" w:themeColor="text1"/>
                <w:sz w:val="24"/>
                <w:szCs w:val="28"/>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15667" w:rsidP="00C53E23">
            <w:pPr>
              <w:spacing w:after="0" w:line="240" w:lineRule="auto"/>
              <w:jc w:val="center"/>
              <w:rPr>
                <w:rFonts w:ascii="Times New Roman" w:eastAsia="Times New Roman" w:hAnsi="Times New Roman" w:cs="Times New Roman"/>
                <w:color w:val="000000" w:themeColor="text1"/>
                <w:sz w:val="24"/>
                <w:szCs w:val="28"/>
                <w:lang w:eastAsia="lv-LV"/>
              </w:rPr>
            </w:pPr>
            <w:r w:rsidRPr="005649BE">
              <w:rPr>
                <w:rFonts w:ascii="Times New Roman" w:eastAsia="Times New Roman" w:hAnsi="Times New Roman" w:cs="Times New Roman"/>
                <w:color w:val="000000" w:themeColor="text1"/>
                <w:sz w:val="24"/>
                <w:szCs w:val="24"/>
                <w:lang w:eastAsia="lv-LV"/>
              </w:rPr>
              <w:t>-32 000 000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5649BE">
              <w:rPr>
                <w:rFonts w:ascii="Times New Roman" w:eastAsia="Times New Roman" w:hAnsi="Times New Roman" w:cs="Times New Roman"/>
                <w:color w:val="000000" w:themeColor="text1"/>
                <w:sz w:val="24"/>
                <w:szCs w:val="28"/>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15667" w:rsidP="00C53E23">
            <w:pPr>
              <w:spacing w:after="0" w:line="240" w:lineRule="auto"/>
              <w:jc w:val="center"/>
              <w:rPr>
                <w:rFonts w:ascii="Times New Roman" w:eastAsia="Times New Roman" w:hAnsi="Times New Roman" w:cs="Times New Roman"/>
                <w:color w:val="000000" w:themeColor="text1"/>
                <w:sz w:val="24"/>
                <w:szCs w:val="28"/>
                <w:lang w:eastAsia="lv-LV"/>
              </w:rPr>
            </w:pPr>
            <w:r w:rsidRPr="005649BE">
              <w:rPr>
                <w:rFonts w:ascii="Times New Roman" w:eastAsia="Times New Roman" w:hAnsi="Times New Roman" w:cs="Times New Roman"/>
                <w:color w:val="000000" w:themeColor="text1"/>
                <w:sz w:val="24"/>
                <w:szCs w:val="24"/>
                <w:lang w:eastAsia="lv-LV"/>
              </w:rPr>
              <w:t>-32 000 000</w:t>
            </w:r>
          </w:p>
        </w:tc>
        <w:tc>
          <w:tcPr>
            <w:tcW w:w="843"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15667" w:rsidP="00C53E23">
            <w:pPr>
              <w:spacing w:after="0" w:line="240" w:lineRule="auto"/>
              <w:jc w:val="center"/>
              <w:rPr>
                <w:rFonts w:ascii="Times New Roman" w:eastAsia="Times New Roman" w:hAnsi="Times New Roman" w:cs="Times New Roman"/>
                <w:color w:val="000000" w:themeColor="text1"/>
                <w:sz w:val="24"/>
                <w:szCs w:val="28"/>
                <w:lang w:eastAsia="lv-LV"/>
              </w:rPr>
            </w:pPr>
            <w:r w:rsidRPr="005649BE">
              <w:rPr>
                <w:rFonts w:ascii="Times New Roman" w:eastAsia="Times New Roman" w:hAnsi="Times New Roman" w:cs="Times New Roman"/>
                <w:color w:val="000000" w:themeColor="text1"/>
                <w:sz w:val="24"/>
                <w:szCs w:val="24"/>
                <w:lang w:eastAsia="lv-LV"/>
              </w:rPr>
              <w:t>-32 000 000</w:t>
            </w:r>
          </w:p>
        </w:tc>
      </w:tr>
      <w:tr w:rsidR="00C53E23"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15667"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4"/>
                <w:lang w:eastAsia="lv-LV"/>
              </w:rPr>
              <w:t>-4 000 000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15667"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4"/>
                <w:lang w:eastAsia="lv-LV"/>
              </w:rPr>
              <w:t>-4 000 000</w:t>
            </w:r>
          </w:p>
        </w:tc>
        <w:tc>
          <w:tcPr>
            <w:tcW w:w="843"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15667"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4"/>
                <w:lang w:eastAsia="lv-LV"/>
              </w:rPr>
              <w:t>-4 000 000</w:t>
            </w:r>
          </w:p>
        </w:tc>
      </w:tr>
      <w:tr w:rsidR="00C53E23"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8"/>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8"/>
                <w:lang w:eastAsia="lv-LV"/>
              </w:rPr>
              <w:t>0</w:t>
            </w:r>
          </w:p>
        </w:tc>
      </w:tr>
      <w:tr w:rsidR="00C53E23" w:rsidRPr="006F4392" w:rsidTr="00CE795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15667"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4"/>
                <w:lang w:eastAsia="lv-LV"/>
              </w:rPr>
              <w:t>-28 000 000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5649BE"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15667"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4"/>
                <w:lang w:eastAsia="lv-LV"/>
              </w:rPr>
              <w:t>-28 000 000</w:t>
            </w:r>
          </w:p>
        </w:tc>
        <w:tc>
          <w:tcPr>
            <w:tcW w:w="843" w:type="pct"/>
            <w:tcBorders>
              <w:top w:val="outset" w:sz="6" w:space="0" w:color="auto"/>
              <w:left w:val="outset" w:sz="6" w:space="0" w:color="auto"/>
              <w:bottom w:val="outset" w:sz="6" w:space="0" w:color="auto"/>
              <w:right w:val="outset" w:sz="6" w:space="0" w:color="auto"/>
            </w:tcBorders>
            <w:vAlign w:val="center"/>
            <w:hideMark/>
          </w:tcPr>
          <w:p w:rsidR="00C53E23" w:rsidRPr="005649BE" w:rsidRDefault="00D15667" w:rsidP="00C53E23">
            <w:pPr>
              <w:spacing w:after="0" w:line="240" w:lineRule="auto"/>
              <w:jc w:val="center"/>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color w:val="000000" w:themeColor="text1"/>
                <w:sz w:val="24"/>
                <w:szCs w:val="24"/>
                <w:lang w:eastAsia="lv-LV"/>
              </w:rPr>
              <w:t>-28 000 000</w:t>
            </w:r>
          </w:p>
        </w:tc>
      </w:tr>
      <w:tr w:rsidR="00B60B3E" w:rsidRPr="006F4392" w:rsidTr="00DB4D81">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8F7620" w:rsidRDefault="00E764A0" w:rsidP="00CD21E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Pr="000D55FC">
              <w:rPr>
                <w:rFonts w:ascii="Times New Roman" w:hAnsi="Times New Roman" w:cs="Times New Roman"/>
                <w:sz w:val="24"/>
                <w:szCs w:val="24"/>
              </w:rPr>
              <w:t xml:space="preserve">ai budžeta iespēju robežās mazinātu nevienlīdzību un radītu mazāku nodokļa slogu personām ar zemiem ienākumiem, </w:t>
            </w:r>
            <w:r>
              <w:rPr>
                <w:rFonts w:ascii="Times New Roman" w:hAnsi="Times New Roman" w:cs="Times New Roman"/>
                <w:sz w:val="24"/>
                <w:szCs w:val="24"/>
              </w:rPr>
              <w:t>no 2020.gada paaugstinās</w:t>
            </w:r>
            <w:r w:rsidRPr="000D55FC">
              <w:rPr>
                <w:rFonts w:ascii="Times New Roman" w:hAnsi="Times New Roman" w:cs="Times New Roman"/>
                <w:sz w:val="24"/>
                <w:szCs w:val="24"/>
              </w:rPr>
              <w:t xml:space="preserve"> maksimālo gada diferencēto neapliekamo minimumu līdz 3</w:t>
            </w:r>
            <w:r w:rsidR="00CD21E9">
              <w:rPr>
                <w:rFonts w:ascii="Times New Roman" w:hAnsi="Times New Roman" w:cs="Times New Roman"/>
                <w:sz w:val="24"/>
                <w:szCs w:val="24"/>
              </w:rPr>
              <w:t xml:space="preserve"> </w:t>
            </w:r>
            <w:r w:rsidRPr="000D55FC">
              <w:rPr>
                <w:rFonts w:ascii="Times New Roman" w:hAnsi="Times New Roman" w:cs="Times New Roman"/>
                <w:sz w:val="24"/>
                <w:szCs w:val="24"/>
              </w:rPr>
              <w:t xml:space="preserve">600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gadā (300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 un paaugstinā</w:t>
            </w:r>
            <w:r w:rsidR="00CD21E9">
              <w:rPr>
                <w:rFonts w:ascii="Times New Roman" w:hAnsi="Times New Roman" w:cs="Times New Roman"/>
                <w:sz w:val="24"/>
                <w:szCs w:val="24"/>
              </w:rPr>
              <w:t>s</w:t>
            </w:r>
            <w:r w:rsidRPr="000D55FC">
              <w:rPr>
                <w:rFonts w:ascii="Times New Roman" w:hAnsi="Times New Roman" w:cs="Times New Roman"/>
                <w:sz w:val="24"/>
                <w:szCs w:val="24"/>
              </w:rPr>
              <w:t xml:space="preserve"> līdz 6</w:t>
            </w:r>
            <w:r w:rsidR="00CD21E9">
              <w:rPr>
                <w:rFonts w:ascii="Times New Roman" w:hAnsi="Times New Roman" w:cs="Times New Roman"/>
                <w:sz w:val="24"/>
                <w:szCs w:val="24"/>
              </w:rPr>
              <w:t xml:space="preserve"> </w:t>
            </w:r>
            <w:r w:rsidRPr="000D55FC">
              <w:rPr>
                <w:rFonts w:ascii="Times New Roman" w:hAnsi="Times New Roman" w:cs="Times New Roman"/>
                <w:sz w:val="24"/>
                <w:szCs w:val="24"/>
              </w:rPr>
              <w:t xml:space="preserve">000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gadā (500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  augstāko robežu</w:t>
            </w:r>
            <w:r w:rsidR="00E060DA">
              <w:rPr>
                <w:rFonts w:ascii="Times New Roman" w:hAnsi="Times New Roman" w:cs="Times New Roman"/>
                <w:sz w:val="24"/>
                <w:szCs w:val="24"/>
              </w:rPr>
              <w:t>,</w:t>
            </w:r>
            <w:r w:rsidRPr="000D55FC">
              <w:rPr>
                <w:rFonts w:ascii="Times New Roman" w:hAnsi="Times New Roman" w:cs="Times New Roman"/>
                <w:sz w:val="24"/>
                <w:szCs w:val="24"/>
              </w:rPr>
              <w:t xml:space="preserve"> līdz kurai piemēro maksimālo gada diferencēto neapliekamo minimumu. Tādējādi 2020.gadā un turpmāk maksimālais diferencētais neapliekamais minimums 300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 tiks piemērots ienākumiem līdz 500 </w:t>
            </w:r>
            <w:proofErr w:type="spellStart"/>
            <w:r w:rsidRPr="000D55FC">
              <w:rPr>
                <w:rFonts w:ascii="Times New Roman" w:hAnsi="Times New Roman" w:cs="Times New Roman"/>
                <w:i/>
                <w:sz w:val="24"/>
                <w:szCs w:val="24"/>
              </w:rPr>
              <w:t>euro</w:t>
            </w:r>
            <w:proofErr w:type="spellEnd"/>
            <w:r w:rsidRPr="000D55FC">
              <w:rPr>
                <w:rFonts w:ascii="Times New Roman" w:hAnsi="Times New Roman" w:cs="Times New Roman"/>
                <w:sz w:val="24"/>
                <w:szCs w:val="24"/>
              </w:rPr>
              <w:t xml:space="preserve"> mēnesī.</w:t>
            </w:r>
            <w:r w:rsidR="00CD21E9">
              <w:rPr>
                <w:rFonts w:ascii="Times New Roman" w:hAnsi="Times New Roman" w:cs="Times New Roman"/>
                <w:sz w:val="24"/>
                <w:szCs w:val="24"/>
              </w:rPr>
              <w:t xml:space="preserve"> </w:t>
            </w:r>
          </w:p>
          <w:p w:rsidR="00460F4E" w:rsidRPr="00CD21E9" w:rsidRDefault="00460F4E" w:rsidP="00CD21E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Minētās izmaiņas 2020.gadā ietekmēs līdz 5</w:t>
            </w:r>
            <w:r w:rsidR="00CC53A7">
              <w:rPr>
                <w:rFonts w:ascii="Times New Roman" w:hAnsi="Times New Roman" w:cs="Times New Roman"/>
                <w:sz w:val="24"/>
                <w:szCs w:val="24"/>
              </w:rPr>
              <w:t>2</w:t>
            </w:r>
            <w:r>
              <w:rPr>
                <w:rFonts w:ascii="Times New Roman" w:hAnsi="Times New Roman" w:cs="Times New Roman"/>
                <w:sz w:val="24"/>
                <w:szCs w:val="24"/>
              </w:rPr>
              <w:t>% nodarbināto, bet liel</w:t>
            </w:r>
            <w:r w:rsidR="00891473">
              <w:rPr>
                <w:rFonts w:ascii="Times New Roman" w:hAnsi="Times New Roman" w:cs="Times New Roman"/>
                <w:sz w:val="24"/>
                <w:szCs w:val="24"/>
              </w:rPr>
              <w:t>ākie ieguvumi</w:t>
            </w:r>
            <w:r>
              <w:rPr>
                <w:rFonts w:ascii="Times New Roman" w:hAnsi="Times New Roman" w:cs="Times New Roman"/>
                <w:sz w:val="24"/>
                <w:szCs w:val="24"/>
              </w:rPr>
              <w:t xml:space="preserve"> prognozēti nodarbinātajiem līdz darba algai </w:t>
            </w:r>
            <w:r w:rsidR="00891473">
              <w:rPr>
                <w:rFonts w:ascii="Times New Roman" w:hAnsi="Times New Roman" w:cs="Times New Roman"/>
                <w:sz w:val="24"/>
                <w:szCs w:val="24"/>
              </w:rPr>
              <w:t>600</w:t>
            </w:r>
            <w:r>
              <w:rPr>
                <w:rFonts w:ascii="Times New Roman" w:hAnsi="Times New Roman" w:cs="Times New Roman"/>
                <w:sz w:val="24"/>
                <w:szCs w:val="24"/>
              </w:rPr>
              <w:t xml:space="preserve"> </w:t>
            </w:r>
            <w:proofErr w:type="spellStart"/>
            <w:r w:rsidRPr="00460F4E">
              <w:rPr>
                <w:rFonts w:ascii="Times New Roman" w:hAnsi="Times New Roman" w:cs="Times New Roman"/>
                <w:i/>
                <w:sz w:val="24"/>
                <w:szCs w:val="24"/>
              </w:rPr>
              <w:t>euro</w:t>
            </w:r>
            <w:proofErr w:type="spellEnd"/>
            <w:r>
              <w:rPr>
                <w:rFonts w:ascii="Times New Roman" w:hAnsi="Times New Roman" w:cs="Times New Roman"/>
                <w:sz w:val="24"/>
                <w:szCs w:val="24"/>
              </w:rPr>
              <w:t xml:space="preserve"> mēnesī. </w:t>
            </w:r>
            <w:r w:rsidR="00891473">
              <w:rPr>
                <w:rFonts w:ascii="Times New Roman" w:hAnsi="Times New Roman" w:cs="Times New Roman"/>
                <w:sz w:val="24"/>
                <w:szCs w:val="24"/>
              </w:rPr>
              <w:t xml:space="preserve">Jāatzīmē, ka pēc CSP datiem 2018.gadā līdz 1 000 </w:t>
            </w:r>
            <w:proofErr w:type="spellStart"/>
            <w:r w:rsidR="00891473" w:rsidRPr="00891473">
              <w:rPr>
                <w:rFonts w:ascii="Times New Roman" w:hAnsi="Times New Roman" w:cs="Times New Roman"/>
                <w:i/>
                <w:sz w:val="24"/>
                <w:szCs w:val="24"/>
              </w:rPr>
              <w:t>euro</w:t>
            </w:r>
            <w:proofErr w:type="spellEnd"/>
            <w:r w:rsidR="00891473">
              <w:rPr>
                <w:rFonts w:ascii="Times New Roman" w:hAnsi="Times New Roman" w:cs="Times New Roman"/>
                <w:sz w:val="24"/>
                <w:szCs w:val="24"/>
              </w:rPr>
              <w:t xml:space="preserve"> mēnesī saņēma 59% nodarbināto no k</w:t>
            </w:r>
            <w:r w:rsidR="00891473" w:rsidRPr="00891473">
              <w:rPr>
                <w:rFonts w:ascii="Times New Roman" w:hAnsi="Times New Roman" w:cs="Times New Roman"/>
                <w:sz w:val="24"/>
                <w:szCs w:val="24"/>
              </w:rPr>
              <w:t>opēj</w:t>
            </w:r>
            <w:r w:rsidR="00891473">
              <w:rPr>
                <w:rFonts w:ascii="Times New Roman" w:hAnsi="Times New Roman" w:cs="Times New Roman"/>
                <w:sz w:val="24"/>
                <w:szCs w:val="24"/>
              </w:rPr>
              <w:t>ā darba ņēmēju skaita.</w:t>
            </w:r>
          </w:p>
          <w:p w:rsidR="00E764A0" w:rsidRPr="00E764A0" w:rsidRDefault="00E764A0" w:rsidP="00E764A0">
            <w:pPr>
              <w:spacing w:after="0" w:line="240" w:lineRule="auto"/>
              <w:jc w:val="center"/>
              <w:rPr>
                <w:rFonts w:ascii="Times New Roman" w:eastAsia="Times New Roman" w:hAnsi="Times New Roman" w:cs="Times New Roman"/>
                <w:iCs/>
                <w:sz w:val="24"/>
                <w:szCs w:val="24"/>
                <w:lang w:eastAsia="lv-LV"/>
              </w:rPr>
            </w:pPr>
            <w:r w:rsidRPr="00E764A0">
              <w:rPr>
                <w:rFonts w:ascii="Times New Roman" w:eastAsia="Times New Roman" w:hAnsi="Times New Roman" w:cs="Times New Roman"/>
                <w:iCs/>
                <w:sz w:val="24"/>
                <w:szCs w:val="24"/>
                <w:lang w:eastAsia="lv-LV"/>
              </w:rPr>
              <w:t>Diferencētā neapliekamā minimuma palielināšanas ietekme uz nodarbinātā, bez apgādībā esošam personām, neto</w:t>
            </w:r>
            <w:r w:rsidR="00B33131">
              <w:rPr>
                <w:rFonts w:ascii="Times New Roman" w:eastAsia="Times New Roman" w:hAnsi="Times New Roman" w:cs="Times New Roman"/>
                <w:iCs/>
                <w:sz w:val="24"/>
                <w:szCs w:val="24"/>
                <w:lang w:eastAsia="lv-LV"/>
              </w:rPr>
              <w:t xml:space="preserve"> darba</w:t>
            </w:r>
            <w:r w:rsidRPr="00E764A0">
              <w:rPr>
                <w:rFonts w:ascii="Times New Roman" w:eastAsia="Times New Roman" w:hAnsi="Times New Roman" w:cs="Times New Roman"/>
                <w:iCs/>
                <w:sz w:val="24"/>
                <w:szCs w:val="24"/>
                <w:lang w:eastAsia="lv-LV"/>
              </w:rPr>
              <w:t xml:space="preserve"> algu, EUR</w:t>
            </w:r>
          </w:p>
          <w:tbl>
            <w:tblPr>
              <w:tblW w:w="4892" w:type="pct"/>
              <w:jc w:val="center"/>
              <w:tblLook w:val="04A0" w:firstRow="1" w:lastRow="0" w:firstColumn="1" w:lastColumn="0" w:noHBand="0" w:noVBand="1"/>
            </w:tblPr>
            <w:tblGrid>
              <w:gridCol w:w="1203"/>
              <w:gridCol w:w="1907"/>
              <w:gridCol w:w="1925"/>
              <w:gridCol w:w="2095"/>
            </w:tblGrid>
            <w:tr w:rsidR="00E764A0" w:rsidRPr="00E764A0" w:rsidTr="00E764A0">
              <w:trPr>
                <w:trHeight w:val="256"/>
                <w:jc w:val="center"/>
              </w:trPr>
              <w:tc>
                <w:tcPr>
                  <w:tcW w:w="2181" w:type="pct"/>
                  <w:gridSpan w:val="2"/>
                  <w:tcBorders>
                    <w:top w:val="nil"/>
                    <w:left w:val="nil"/>
                    <w:bottom w:val="nil"/>
                    <w:right w:val="nil"/>
                  </w:tcBorders>
                  <w:shd w:val="clear" w:color="000000" w:fill="FFFFFF"/>
                  <w:noWrap/>
                  <w:vAlign w:val="bottom"/>
                  <w:hideMark/>
                </w:tcPr>
                <w:p w:rsidR="00E764A0" w:rsidRPr="00E764A0" w:rsidRDefault="00E764A0" w:rsidP="00E764A0">
                  <w:pPr>
                    <w:spacing w:after="0" w:line="240" w:lineRule="auto"/>
                    <w:jc w:val="both"/>
                    <w:rPr>
                      <w:rFonts w:ascii="Times New Roman" w:eastAsia="Times New Roman" w:hAnsi="Times New Roman" w:cs="Times New Roman"/>
                      <w:b/>
                      <w:bCs/>
                      <w:iCs/>
                      <w:sz w:val="24"/>
                      <w:szCs w:val="24"/>
                      <w:lang w:eastAsia="lv-LV"/>
                    </w:rPr>
                  </w:pPr>
                </w:p>
              </w:tc>
              <w:tc>
                <w:tcPr>
                  <w:tcW w:w="2819" w:type="pct"/>
                  <w:gridSpan w:val="2"/>
                  <w:tcBorders>
                    <w:top w:val="single" w:sz="8" w:space="0" w:color="808080"/>
                    <w:left w:val="single" w:sz="8" w:space="0" w:color="808080"/>
                    <w:bottom w:val="single" w:sz="4" w:space="0" w:color="7F7F7F" w:themeColor="text1" w:themeTint="80"/>
                    <w:right w:val="single" w:sz="4" w:space="0" w:color="808080"/>
                  </w:tcBorders>
                  <w:shd w:val="clear" w:color="000000" w:fill="FFFFFF"/>
                  <w:noWrap/>
                  <w:vAlign w:val="bottom"/>
                  <w:hideMark/>
                </w:tcPr>
                <w:p w:rsidR="00E764A0" w:rsidRPr="00E764A0" w:rsidRDefault="00E764A0" w:rsidP="00E764A0">
                  <w:pPr>
                    <w:spacing w:after="0" w:line="240" w:lineRule="auto"/>
                    <w:jc w:val="center"/>
                    <w:rPr>
                      <w:rFonts w:ascii="Times New Roman" w:eastAsia="Times New Roman" w:hAnsi="Times New Roman" w:cs="Times New Roman"/>
                      <w:b/>
                      <w:iCs/>
                      <w:sz w:val="24"/>
                      <w:szCs w:val="24"/>
                      <w:lang w:eastAsia="lv-LV"/>
                    </w:rPr>
                  </w:pPr>
                  <w:r w:rsidRPr="00E764A0">
                    <w:rPr>
                      <w:rFonts w:ascii="Times New Roman" w:eastAsia="Times New Roman" w:hAnsi="Times New Roman" w:cs="Times New Roman"/>
                      <w:b/>
                      <w:iCs/>
                      <w:sz w:val="24"/>
                      <w:szCs w:val="24"/>
                      <w:lang w:eastAsia="lv-LV"/>
                    </w:rPr>
                    <w:t>DNM 0-300</w:t>
                  </w:r>
                </w:p>
              </w:tc>
            </w:tr>
            <w:tr w:rsidR="00E764A0" w:rsidRPr="00E764A0" w:rsidTr="00E764A0">
              <w:trPr>
                <w:trHeight w:val="594"/>
                <w:jc w:val="center"/>
              </w:trPr>
              <w:tc>
                <w:tcPr>
                  <w:tcW w:w="844" w:type="pct"/>
                  <w:tcBorders>
                    <w:top w:val="single" w:sz="8" w:space="0" w:color="auto"/>
                    <w:left w:val="single" w:sz="8" w:space="0" w:color="auto"/>
                    <w:bottom w:val="single" w:sz="8" w:space="0" w:color="000000"/>
                    <w:right w:val="single" w:sz="4" w:space="0" w:color="auto"/>
                  </w:tcBorders>
                  <w:shd w:val="clear" w:color="auto" w:fill="auto"/>
                  <w:vAlign w:val="center"/>
                  <w:hideMark/>
                </w:tcPr>
                <w:p w:rsidR="00E764A0" w:rsidRPr="00E764A0" w:rsidRDefault="00E764A0" w:rsidP="00E764A0">
                  <w:pPr>
                    <w:spacing w:after="0" w:line="240" w:lineRule="auto"/>
                    <w:jc w:val="center"/>
                    <w:rPr>
                      <w:rFonts w:ascii="Times New Roman" w:eastAsia="Times New Roman" w:hAnsi="Times New Roman" w:cs="Times New Roman"/>
                      <w:b/>
                      <w:bCs/>
                      <w:iCs/>
                      <w:sz w:val="24"/>
                      <w:szCs w:val="24"/>
                      <w:lang w:eastAsia="lv-LV"/>
                    </w:rPr>
                  </w:pPr>
                  <w:r w:rsidRPr="00E764A0">
                    <w:rPr>
                      <w:rFonts w:ascii="Times New Roman" w:eastAsia="Times New Roman" w:hAnsi="Times New Roman" w:cs="Times New Roman"/>
                      <w:b/>
                      <w:bCs/>
                      <w:iCs/>
                      <w:sz w:val="24"/>
                      <w:szCs w:val="24"/>
                      <w:lang w:eastAsia="lv-LV"/>
                    </w:rPr>
                    <w:t>Bruto alga</w:t>
                  </w:r>
                </w:p>
              </w:tc>
              <w:tc>
                <w:tcPr>
                  <w:tcW w:w="1337" w:type="pct"/>
                  <w:tcBorders>
                    <w:top w:val="single" w:sz="8" w:space="0" w:color="auto"/>
                    <w:left w:val="single" w:sz="4" w:space="0" w:color="auto"/>
                    <w:bottom w:val="single" w:sz="8" w:space="0" w:color="000000"/>
                    <w:right w:val="nil"/>
                  </w:tcBorders>
                  <w:shd w:val="clear" w:color="000000" w:fill="FDE9D9"/>
                  <w:vAlign w:val="center"/>
                  <w:hideMark/>
                </w:tcPr>
                <w:p w:rsidR="00E764A0" w:rsidRPr="00B33131" w:rsidRDefault="00E764A0" w:rsidP="00E764A0">
                  <w:pPr>
                    <w:spacing w:after="0" w:line="240" w:lineRule="auto"/>
                    <w:jc w:val="center"/>
                    <w:rPr>
                      <w:rFonts w:ascii="Times New Roman" w:eastAsia="Times New Roman" w:hAnsi="Times New Roman" w:cs="Times New Roman"/>
                      <w:b/>
                      <w:bCs/>
                      <w:iCs/>
                      <w:sz w:val="24"/>
                      <w:szCs w:val="24"/>
                      <w:lang w:eastAsia="lv-LV"/>
                    </w:rPr>
                  </w:pPr>
                  <w:r w:rsidRPr="00B33131">
                    <w:rPr>
                      <w:rFonts w:ascii="Times New Roman" w:eastAsia="Times New Roman" w:hAnsi="Times New Roman" w:cs="Times New Roman"/>
                      <w:b/>
                      <w:bCs/>
                      <w:iCs/>
                      <w:sz w:val="24"/>
                      <w:szCs w:val="24"/>
                      <w:lang w:eastAsia="lv-LV"/>
                    </w:rPr>
                    <w:t xml:space="preserve">Esošā situācija </w:t>
                  </w:r>
                  <w:r w:rsidR="00E060DA">
                    <w:rPr>
                      <w:rFonts w:ascii="Times New Roman" w:eastAsia="Times New Roman" w:hAnsi="Times New Roman" w:cs="Times New Roman"/>
                      <w:b/>
                      <w:bCs/>
                      <w:iCs/>
                      <w:sz w:val="24"/>
                      <w:szCs w:val="24"/>
                      <w:lang w:eastAsia="lv-LV"/>
                    </w:rPr>
                    <w:t xml:space="preserve">(ES) </w:t>
                  </w:r>
                  <w:r w:rsidRPr="00B33131">
                    <w:rPr>
                      <w:rFonts w:ascii="Times New Roman" w:eastAsia="Times New Roman" w:hAnsi="Times New Roman" w:cs="Times New Roman"/>
                      <w:b/>
                      <w:bCs/>
                      <w:iCs/>
                      <w:sz w:val="24"/>
                      <w:szCs w:val="24"/>
                      <w:lang w:eastAsia="lv-LV"/>
                    </w:rPr>
                    <w:t>2020</w:t>
                  </w:r>
                  <w:r w:rsidR="00E060DA">
                    <w:rPr>
                      <w:rFonts w:ascii="Times New Roman" w:eastAsia="Times New Roman" w:hAnsi="Times New Roman" w:cs="Times New Roman"/>
                      <w:b/>
                      <w:bCs/>
                      <w:iCs/>
                      <w:sz w:val="24"/>
                      <w:szCs w:val="24"/>
                      <w:lang w:eastAsia="lv-LV"/>
                    </w:rPr>
                    <w:t>. gadā</w:t>
                  </w:r>
                  <w:r w:rsidRPr="00B33131">
                    <w:rPr>
                      <w:rFonts w:ascii="Times New Roman" w:eastAsia="Times New Roman" w:hAnsi="Times New Roman" w:cs="Times New Roman"/>
                      <w:b/>
                      <w:bCs/>
                      <w:iCs/>
                      <w:sz w:val="24"/>
                      <w:szCs w:val="24"/>
                      <w:lang w:eastAsia="lv-LV"/>
                    </w:rPr>
                    <w:t xml:space="preserve">  neto alga</w:t>
                  </w:r>
                </w:p>
              </w:tc>
              <w:tc>
                <w:tcPr>
                  <w:tcW w:w="1350" w:type="pct"/>
                  <w:tcBorders>
                    <w:top w:val="single" w:sz="4" w:space="0" w:color="7F7F7F" w:themeColor="text1" w:themeTint="80"/>
                    <w:left w:val="single" w:sz="8" w:space="0" w:color="808080"/>
                    <w:bottom w:val="single" w:sz="4" w:space="0" w:color="7F7F7F" w:themeColor="text1" w:themeTint="80"/>
                    <w:right w:val="single" w:sz="4" w:space="0" w:color="808080"/>
                  </w:tcBorders>
                  <w:shd w:val="clear" w:color="000000" w:fill="D8E3F0"/>
                  <w:vAlign w:val="center"/>
                  <w:hideMark/>
                </w:tcPr>
                <w:p w:rsidR="00E764A0" w:rsidRPr="00B33131" w:rsidRDefault="00E764A0" w:rsidP="00E764A0">
                  <w:pPr>
                    <w:spacing w:after="0" w:line="240" w:lineRule="auto"/>
                    <w:jc w:val="center"/>
                    <w:rPr>
                      <w:rFonts w:ascii="Times New Roman" w:eastAsia="Times New Roman" w:hAnsi="Times New Roman" w:cs="Times New Roman"/>
                      <w:b/>
                      <w:bCs/>
                      <w:iCs/>
                      <w:sz w:val="24"/>
                      <w:szCs w:val="24"/>
                      <w:lang w:eastAsia="lv-LV"/>
                    </w:rPr>
                  </w:pPr>
                  <w:r w:rsidRPr="00B33131">
                    <w:rPr>
                      <w:rFonts w:ascii="Times New Roman" w:eastAsia="Times New Roman" w:hAnsi="Times New Roman" w:cs="Times New Roman"/>
                      <w:b/>
                      <w:bCs/>
                      <w:iCs/>
                      <w:sz w:val="24"/>
                      <w:szCs w:val="24"/>
                      <w:lang w:eastAsia="lv-LV"/>
                    </w:rPr>
                    <w:t>Jaunais scenārijs (JS)</w:t>
                  </w:r>
                  <w:r w:rsidRPr="00B33131">
                    <w:rPr>
                      <w:rFonts w:ascii="Times New Roman" w:eastAsia="Times New Roman" w:hAnsi="Times New Roman" w:cs="Times New Roman"/>
                      <w:b/>
                      <w:bCs/>
                      <w:iCs/>
                      <w:sz w:val="24"/>
                      <w:szCs w:val="24"/>
                      <w:lang w:eastAsia="lv-LV"/>
                    </w:rPr>
                    <w:br/>
                    <w:t>Neto alga</w:t>
                  </w:r>
                </w:p>
              </w:tc>
              <w:tc>
                <w:tcPr>
                  <w:tcW w:w="1469" w:type="pct"/>
                  <w:tcBorders>
                    <w:top w:val="single" w:sz="4" w:space="0" w:color="7F7F7F" w:themeColor="text1" w:themeTint="80"/>
                    <w:left w:val="nil"/>
                    <w:bottom w:val="single" w:sz="4" w:space="0" w:color="7F7F7F" w:themeColor="text1" w:themeTint="80"/>
                    <w:right w:val="single" w:sz="4" w:space="0" w:color="808080"/>
                  </w:tcBorders>
                  <w:shd w:val="clear" w:color="000000" w:fill="D8E3F0"/>
                  <w:vAlign w:val="center"/>
                  <w:hideMark/>
                </w:tcPr>
                <w:p w:rsidR="00E764A0" w:rsidRPr="00B33131" w:rsidRDefault="00E764A0" w:rsidP="00E764A0">
                  <w:pPr>
                    <w:spacing w:after="0" w:line="240" w:lineRule="auto"/>
                    <w:jc w:val="center"/>
                    <w:rPr>
                      <w:rFonts w:ascii="Times New Roman" w:eastAsia="Times New Roman" w:hAnsi="Times New Roman" w:cs="Times New Roman"/>
                      <w:b/>
                      <w:bCs/>
                      <w:iCs/>
                      <w:sz w:val="24"/>
                      <w:szCs w:val="24"/>
                      <w:lang w:eastAsia="lv-LV"/>
                    </w:rPr>
                  </w:pPr>
                  <w:r w:rsidRPr="00B33131">
                    <w:rPr>
                      <w:rFonts w:ascii="Times New Roman" w:eastAsia="Times New Roman" w:hAnsi="Times New Roman" w:cs="Times New Roman"/>
                      <w:b/>
                      <w:bCs/>
                      <w:iCs/>
                      <w:sz w:val="24"/>
                      <w:szCs w:val="24"/>
                      <w:lang w:eastAsia="lv-LV"/>
                    </w:rPr>
                    <w:t>Ieguvums (JS-ES)</w:t>
                  </w:r>
                </w:p>
              </w:tc>
            </w:tr>
            <w:tr w:rsidR="00E764A0" w:rsidRPr="00E764A0" w:rsidTr="00E764A0">
              <w:trPr>
                <w:trHeight w:val="256"/>
                <w:jc w:val="center"/>
              </w:trPr>
              <w:tc>
                <w:tcPr>
                  <w:tcW w:w="84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764A0" w:rsidRPr="00E764A0" w:rsidRDefault="00E764A0" w:rsidP="00E764A0">
                  <w:pPr>
                    <w:spacing w:after="0" w:line="240" w:lineRule="auto"/>
                    <w:jc w:val="center"/>
                    <w:rPr>
                      <w:rFonts w:ascii="Times New Roman" w:eastAsia="Times New Roman" w:hAnsi="Times New Roman" w:cs="Times New Roman"/>
                      <w:bCs/>
                      <w:iCs/>
                      <w:sz w:val="24"/>
                      <w:szCs w:val="24"/>
                      <w:lang w:eastAsia="lv-LV"/>
                    </w:rPr>
                  </w:pPr>
                  <w:r w:rsidRPr="00E764A0">
                    <w:rPr>
                      <w:rFonts w:ascii="Times New Roman" w:eastAsia="Times New Roman" w:hAnsi="Times New Roman" w:cs="Times New Roman"/>
                      <w:bCs/>
                      <w:iCs/>
                      <w:sz w:val="24"/>
                      <w:szCs w:val="24"/>
                      <w:lang w:eastAsia="lv-LV"/>
                    </w:rPr>
                    <w:t>400</w:t>
                  </w:r>
                </w:p>
              </w:tc>
              <w:tc>
                <w:tcPr>
                  <w:tcW w:w="1337" w:type="pct"/>
                  <w:tcBorders>
                    <w:top w:val="single" w:sz="4" w:space="0" w:color="7F7F7F" w:themeColor="text1" w:themeTint="80"/>
                    <w:left w:val="nil"/>
                    <w:bottom w:val="single" w:sz="4" w:space="0" w:color="auto"/>
                    <w:right w:val="nil"/>
                  </w:tcBorders>
                  <w:shd w:val="clear" w:color="000000" w:fill="FDE9D9"/>
                  <w:noWrap/>
                  <w:vAlign w:val="bottom"/>
                  <w:hideMark/>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335</w:t>
                  </w:r>
                </w:p>
              </w:tc>
              <w:tc>
                <w:tcPr>
                  <w:tcW w:w="1350" w:type="pct"/>
                  <w:tcBorders>
                    <w:top w:val="single" w:sz="4" w:space="0" w:color="7F7F7F" w:themeColor="text1" w:themeTint="80"/>
                    <w:left w:val="single" w:sz="8" w:space="0" w:color="808080"/>
                    <w:bottom w:val="single" w:sz="4" w:space="0" w:color="808080"/>
                    <w:right w:val="single" w:sz="4" w:space="0" w:color="808080"/>
                  </w:tcBorders>
                  <w:shd w:val="clear" w:color="000000" w:fill="D8E3F0"/>
                  <w:noWrap/>
                  <w:vAlign w:val="bottom"/>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345</w:t>
                  </w:r>
                </w:p>
              </w:tc>
              <w:tc>
                <w:tcPr>
                  <w:tcW w:w="1469" w:type="pct"/>
                  <w:tcBorders>
                    <w:top w:val="single" w:sz="4" w:space="0" w:color="7F7F7F" w:themeColor="text1" w:themeTint="80"/>
                    <w:left w:val="single" w:sz="4" w:space="0" w:color="7F7F7F" w:themeColor="text1" w:themeTint="80"/>
                    <w:bottom w:val="single" w:sz="4" w:space="0" w:color="808080"/>
                    <w:right w:val="single" w:sz="4" w:space="0" w:color="808080"/>
                  </w:tcBorders>
                  <w:shd w:val="clear" w:color="000000" w:fill="D8E3F0"/>
                  <w:noWrap/>
                  <w:vAlign w:val="bottom"/>
                </w:tcPr>
                <w:p w:rsidR="00E764A0" w:rsidRPr="00B33131" w:rsidRDefault="00B33131" w:rsidP="00E764A0">
                  <w:pPr>
                    <w:spacing w:after="0" w:line="240" w:lineRule="auto"/>
                    <w:jc w:val="center"/>
                    <w:rPr>
                      <w:rFonts w:ascii="Times New Roman" w:eastAsia="Times New Roman" w:hAnsi="Times New Roman" w:cs="Times New Roman"/>
                      <w:b/>
                      <w:bCs/>
                      <w:iCs/>
                      <w:sz w:val="24"/>
                      <w:szCs w:val="24"/>
                      <w:lang w:eastAsia="lv-LV"/>
                    </w:rPr>
                  </w:pPr>
                  <w:r w:rsidRPr="00B33131">
                    <w:rPr>
                      <w:rFonts w:ascii="Times New Roman" w:eastAsia="Times New Roman" w:hAnsi="Times New Roman" w:cs="Times New Roman"/>
                      <w:b/>
                      <w:bCs/>
                      <w:iCs/>
                      <w:sz w:val="24"/>
                      <w:szCs w:val="24"/>
                      <w:lang w:eastAsia="lv-LV"/>
                    </w:rPr>
                    <w:t>+</w:t>
                  </w:r>
                  <w:r w:rsidR="00E764A0" w:rsidRPr="00B33131">
                    <w:rPr>
                      <w:rFonts w:ascii="Times New Roman" w:eastAsia="Times New Roman" w:hAnsi="Times New Roman" w:cs="Times New Roman"/>
                      <w:b/>
                      <w:bCs/>
                      <w:iCs/>
                      <w:sz w:val="24"/>
                      <w:szCs w:val="24"/>
                      <w:lang w:eastAsia="lv-LV"/>
                    </w:rPr>
                    <w:t>10</w:t>
                  </w:r>
                </w:p>
              </w:tc>
            </w:tr>
            <w:tr w:rsidR="00E764A0" w:rsidRPr="00E764A0" w:rsidTr="00E764A0">
              <w:trPr>
                <w:trHeight w:val="256"/>
                <w:jc w:val="center"/>
              </w:trPr>
              <w:tc>
                <w:tcPr>
                  <w:tcW w:w="844" w:type="pct"/>
                  <w:tcBorders>
                    <w:top w:val="single" w:sz="8" w:space="0" w:color="auto"/>
                    <w:left w:val="single" w:sz="8" w:space="0" w:color="auto"/>
                    <w:bottom w:val="single" w:sz="4" w:space="0" w:color="auto"/>
                    <w:right w:val="single" w:sz="4" w:space="0" w:color="auto"/>
                  </w:tcBorders>
                  <w:shd w:val="clear" w:color="auto" w:fill="auto"/>
                  <w:noWrap/>
                  <w:vAlign w:val="bottom"/>
                </w:tcPr>
                <w:p w:rsidR="00E764A0" w:rsidRPr="00E764A0" w:rsidRDefault="00E764A0" w:rsidP="00E764A0">
                  <w:pPr>
                    <w:spacing w:after="0" w:line="240" w:lineRule="auto"/>
                    <w:jc w:val="center"/>
                    <w:rPr>
                      <w:rFonts w:ascii="Times New Roman" w:eastAsia="Times New Roman" w:hAnsi="Times New Roman" w:cs="Times New Roman"/>
                      <w:bCs/>
                      <w:iCs/>
                      <w:sz w:val="24"/>
                      <w:szCs w:val="24"/>
                      <w:lang w:eastAsia="lv-LV"/>
                    </w:rPr>
                  </w:pPr>
                  <w:r w:rsidRPr="00E764A0">
                    <w:rPr>
                      <w:rFonts w:ascii="Times New Roman" w:eastAsia="Times New Roman" w:hAnsi="Times New Roman" w:cs="Times New Roman"/>
                      <w:bCs/>
                      <w:iCs/>
                      <w:sz w:val="24"/>
                      <w:szCs w:val="24"/>
                      <w:lang w:eastAsia="lv-LV"/>
                    </w:rPr>
                    <w:t>430</w:t>
                  </w:r>
                </w:p>
              </w:tc>
              <w:tc>
                <w:tcPr>
                  <w:tcW w:w="1337" w:type="pct"/>
                  <w:tcBorders>
                    <w:top w:val="single" w:sz="4" w:space="0" w:color="7F7F7F" w:themeColor="text1" w:themeTint="80"/>
                    <w:left w:val="nil"/>
                    <w:bottom w:val="single" w:sz="4" w:space="0" w:color="auto"/>
                    <w:right w:val="nil"/>
                  </w:tcBorders>
                  <w:shd w:val="clear" w:color="000000" w:fill="FDE9D9"/>
                  <w:noWrap/>
                  <w:vAlign w:val="bottom"/>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356</w:t>
                  </w:r>
                </w:p>
              </w:tc>
              <w:tc>
                <w:tcPr>
                  <w:tcW w:w="1350" w:type="pct"/>
                  <w:tcBorders>
                    <w:top w:val="single" w:sz="4" w:space="0" w:color="7F7F7F" w:themeColor="text1" w:themeTint="80"/>
                    <w:left w:val="single" w:sz="8" w:space="0" w:color="808080"/>
                    <w:bottom w:val="single" w:sz="4" w:space="0" w:color="808080"/>
                    <w:right w:val="single" w:sz="4" w:space="0" w:color="808080"/>
                  </w:tcBorders>
                  <w:shd w:val="clear" w:color="000000" w:fill="D8E3F0"/>
                  <w:noWrap/>
                  <w:vAlign w:val="bottom"/>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366</w:t>
                  </w:r>
                </w:p>
              </w:tc>
              <w:tc>
                <w:tcPr>
                  <w:tcW w:w="1469" w:type="pct"/>
                  <w:tcBorders>
                    <w:top w:val="single" w:sz="4" w:space="0" w:color="7F7F7F" w:themeColor="text1" w:themeTint="80"/>
                    <w:left w:val="single" w:sz="4" w:space="0" w:color="7F7F7F" w:themeColor="text1" w:themeTint="80"/>
                    <w:bottom w:val="single" w:sz="4" w:space="0" w:color="808080"/>
                    <w:right w:val="single" w:sz="4" w:space="0" w:color="808080"/>
                  </w:tcBorders>
                  <w:shd w:val="clear" w:color="000000" w:fill="D8E3F0"/>
                  <w:noWrap/>
                  <w:vAlign w:val="bottom"/>
                </w:tcPr>
                <w:p w:rsidR="00E764A0" w:rsidRPr="00B33131" w:rsidRDefault="00B33131" w:rsidP="00E764A0">
                  <w:pPr>
                    <w:spacing w:after="0" w:line="240" w:lineRule="auto"/>
                    <w:jc w:val="center"/>
                    <w:rPr>
                      <w:rFonts w:ascii="Times New Roman" w:eastAsia="Times New Roman" w:hAnsi="Times New Roman" w:cs="Times New Roman"/>
                      <w:b/>
                      <w:bCs/>
                      <w:iCs/>
                      <w:sz w:val="24"/>
                      <w:szCs w:val="24"/>
                      <w:lang w:eastAsia="lv-LV"/>
                    </w:rPr>
                  </w:pPr>
                  <w:r w:rsidRPr="00B33131">
                    <w:rPr>
                      <w:rFonts w:ascii="Times New Roman" w:eastAsia="Times New Roman" w:hAnsi="Times New Roman" w:cs="Times New Roman"/>
                      <w:b/>
                      <w:bCs/>
                      <w:iCs/>
                      <w:sz w:val="24"/>
                      <w:szCs w:val="24"/>
                      <w:lang w:eastAsia="lv-LV"/>
                    </w:rPr>
                    <w:t>+</w:t>
                  </w:r>
                  <w:r w:rsidR="00E764A0" w:rsidRPr="00B33131">
                    <w:rPr>
                      <w:rFonts w:ascii="Times New Roman" w:eastAsia="Times New Roman" w:hAnsi="Times New Roman" w:cs="Times New Roman"/>
                      <w:b/>
                      <w:bCs/>
                      <w:iCs/>
                      <w:sz w:val="24"/>
                      <w:szCs w:val="24"/>
                      <w:lang w:eastAsia="lv-LV"/>
                    </w:rPr>
                    <w:t>10</w:t>
                  </w:r>
                </w:p>
              </w:tc>
            </w:tr>
            <w:tr w:rsidR="00E764A0" w:rsidRPr="00E764A0" w:rsidTr="00E764A0">
              <w:trPr>
                <w:trHeight w:val="256"/>
                <w:jc w:val="center"/>
              </w:trPr>
              <w:tc>
                <w:tcPr>
                  <w:tcW w:w="844" w:type="pct"/>
                  <w:tcBorders>
                    <w:top w:val="single" w:sz="8" w:space="0" w:color="auto"/>
                    <w:left w:val="single" w:sz="8" w:space="0" w:color="auto"/>
                    <w:bottom w:val="single" w:sz="4" w:space="0" w:color="auto"/>
                    <w:right w:val="single" w:sz="4" w:space="0" w:color="auto"/>
                  </w:tcBorders>
                  <w:shd w:val="clear" w:color="auto" w:fill="auto"/>
                  <w:noWrap/>
                  <w:vAlign w:val="bottom"/>
                </w:tcPr>
                <w:p w:rsidR="00E764A0" w:rsidRPr="00E764A0" w:rsidRDefault="00E764A0" w:rsidP="00E764A0">
                  <w:pPr>
                    <w:spacing w:after="0" w:line="240" w:lineRule="auto"/>
                    <w:jc w:val="center"/>
                    <w:rPr>
                      <w:rFonts w:ascii="Times New Roman" w:eastAsia="Times New Roman" w:hAnsi="Times New Roman" w:cs="Times New Roman"/>
                      <w:bCs/>
                      <w:iCs/>
                      <w:sz w:val="24"/>
                      <w:szCs w:val="24"/>
                      <w:lang w:eastAsia="lv-LV"/>
                    </w:rPr>
                  </w:pPr>
                  <w:r w:rsidRPr="00E764A0">
                    <w:rPr>
                      <w:rFonts w:ascii="Times New Roman" w:eastAsia="Times New Roman" w:hAnsi="Times New Roman" w:cs="Times New Roman"/>
                      <w:bCs/>
                      <w:iCs/>
                      <w:sz w:val="24"/>
                      <w:szCs w:val="24"/>
                      <w:lang w:eastAsia="lv-LV"/>
                    </w:rPr>
                    <w:t>500</w:t>
                  </w:r>
                </w:p>
              </w:tc>
              <w:tc>
                <w:tcPr>
                  <w:tcW w:w="1337" w:type="pct"/>
                  <w:tcBorders>
                    <w:top w:val="single" w:sz="4" w:space="0" w:color="7F7F7F" w:themeColor="text1" w:themeTint="80"/>
                    <w:left w:val="nil"/>
                    <w:bottom w:val="single" w:sz="4" w:space="0" w:color="auto"/>
                    <w:right w:val="nil"/>
                  </w:tcBorders>
                  <w:shd w:val="clear" w:color="000000" w:fill="FDE9D9"/>
                  <w:noWrap/>
                  <w:vAlign w:val="bottom"/>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402</w:t>
                  </w:r>
                </w:p>
              </w:tc>
              <w:tc>
                <w:tcPr>
                  <w:tcW w:w="1350" w:type="pct"/>
                  <w:tcBorders>
                    <w:top w:val="single" w:sz="4" w:space="0" w:color="7F7F7F" w:themeColor="text1" w:themeTint="80"/>
                    <w:left w:val="single" w:sz="8" w:space="0" w:color="808080"/>
                    <w:bottom w:val="single" w:sz="4" w:space="0" w:color="808080"/>
                    <w:right w:val="single" w:sz="4" w:space="0" w:color="808080"/>
                  </w:tcBorders>
                  <w:shd w:val="clear" w:color="000000" w:fill="D8E3F0"/>
                  <w:noWrap/>
                  <w:vAlign w:val="bottom"/>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416</w:t>
                  </w:r>
                </w:p>
              </w:tc>
              <w:tc>
                <w:tcPr>
                  <w:tcW w:w="1469" w:type="pct"/>
                  <w:tcBorders>
                    <w:top w:val="single" w:sz="4" w:space="0" w:color="7F7F7F" w:themeColor="text1" w:themeTint="80"/>
                    <w:left w:val="single" w:sz="4" w:space="0" w:color="7F7F7F" w:themeColor="text1" w:themeTint="80"/>
                    <w:bottom w:val="single" w:sz="4" w:space="0" w:color="808080"/>
                    <w:right w:val="single" w:sz="4" w:space="0" w:color="808080"/>
                  </w:tcBorders>
                  <w:shd w:val="clear" w:color="000000" w:fill="D8E3F0"/>
                  <w:noWrap/>
                  <w:vAlign w:val="bottom"/>
                </w:tcPr>
                <w:p w:rsidR="00E764A0" w:rsidRPr="00B33131" w:rsidRDefault="00B33131" w:rsidP="00E764A0">
                  <w:pPr>
                    <w:spacing w:after="0" w:line="240" w:lineRule="auto"/>
                    <w:jc w:val="center"/>
                    <w:rPr>
                      <w:rFonts w:ascii="Times New Roman" w:eastAsia="Times New Roman" w:hAnsi="Times New Roman" w:cs="Times New Roman"/>
                      <w:b/>
                      <w:bCs/>
                      <w:iCs/>
                      <w:sz w:val="24"/>
                      <w:szCs w:val="24"/>
                      <w:lang w:eastAsia="lv-LV"/>
                    </w:rPr>
                  </w:pPr>
                  <w:r w:rsidRPr="00B33131">
                    <w:rPr>
                      <w:rFonts w:ascii="Times New Roman" w:eastAsia="Times New Roman" w:hAnsi="Times New Roman" w:cs="Times New Roman"/>
                      <w:b/>
                      <w:bCs/>
                      <w:iCs/>
                      <w:sz w:val="24"/>
                      <w:szCs w:val="24"/>
                      <w:lang w:eastAsia="lv-LV"/>
                    </w:rPr>
                    <w:t>+</w:t>
                  </w:r>
                  <w:r w:rsidR="00E764A0" w:rsidRPr="00B33131">
                    <w:rPr>
                      <w:rFonts w:ascii="Times New Roman" w:eastAsia="Times New Roman" w:hAnsi="Times New Roman" w:cs="Times New Roman"/>
                      <w:b/>
                      <w:bCs/>
                      <w:iCs/>
                      <w:sz w:val="24"/>
                      <w:szCs w:val="24"/>
                      <w:lang w:eastAsia="lv-LV"/>
                    </w:rPr>
                    <w:t>14</w:t>
                  </w:r>
                </w:p>
              </w:tc>
            </w:tr>
            <w:tr w:rsidR="00E764A0" w:rsidRPr="00E764A0" w:rsidTr="00E764A0">
              <w:trPr>
                <w:trHeight w:val="256"/>
                <w:jc w:val="center"/>
              </w:trPr>
              <w:tc>
                <w:tcPr>
                  <w:tcW w:w="844" w:type="pct"/>
                  <w:tcBorders>
                    <w:top w:val="nil"/>
                    <w:left w:val="single" w:sz="8" w:space="0" w:color="auto"/>
                    <w:bottom w:val="single" w:sz="4" w:space="0" w:color="auto"/>
                    <w:right w:val="single" w:sz="4" w:space="0" w:color="auto"/>
                  </w:tcBorders>
                  <w:shd w:val="clear" w:color="auto" w:fill="auto"/>
                  <w:noWrap/>
                  <w:vAlign w:val="bottom"/>
                  <w:hideMark/>
                </w:tcPr>
                <w:p w:rsidR="00E764A0" w:rsidRPr="00E764A0" w:rsidRDefault="00E764A0" w:rsidP="00E764A0">
                  <w:pPr>
                    <w:spacing w:after="0" w:line="240" w:lineRule="auto"/>
                    <w:jc w:val="center"/>
                    <w:rPr>
                      <w:rFonts w:ascii="Times New Roman" w:eastAsia="Times New Roman" w:hAnsi="Times New Roman" w:cs="Times New Roman"/>
                      <w:bCs/>
                      <w:iCs/>
                      <w:sz w:val="24"/>
                      <w:szCs w:val="24"/>
                      <w:lang w:eastAsia="lv-LV"/>
                    </w:rPr>
                  </w:pPr>
                  <w:r w:rsidRPr="00E764A0">
                    <w:rPr>
                      <w:rFonts w:ascii="Times New Roman" w:eastAsia="Times New Roman" w:hAnsi="Times New Roman" w:cs="Times New Roman"/>
                      <w:bCs/>
                      <w:iCs/>
                      <w:sz w:val="24"/>
                      <w:szCs w:val="24"/>
                      <w:lang w:eastAsia="lv-LV"/>
                    </w:rPr>
                    <w:t>600</w:t>
                  </w:r>
                </w:p>
              </w:tc>
              <w:tc>
                <w:tcPr>
                  <w:tcW w:w="1337" w:type="pct"/>
                  <w:tcBorders>
                    <w:top w:val="single" w:sz="4" w:space="0" w:color="auto"/>
                    <w:left w:val="single" w:sz="4" w:space="0" w:color="auto"/>
                    <w:bottom w:val="single" w:sz="4" w:space="0" w:color="auto"/>
                    <w:right w:val="nil"/>
                  </w:tcBorders>
                  <w:shd w:val="clear" w:color="000000" w:fill="FDE9D9"/>
                  <w:noWrap/>
                  <w:vAlign w:val="bottom"/>
                  <w:hideMark/>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467</w:t>
                  </w:r>
                </w:p>
              </w:tc>
              <w:tc>
                <w:tcPr>
                  <w:tcW w:w="1350" w:type="pct"/>
                  <w:tcBorders>
                    <w:top w:val="nil"/>
                    <w:left w:val="single" w:sz="8" w:space="0" w:color="808080"/>
                    <w:bottom w:val="single" w:sz="4" w:space="0" w:color="808080"/>
                    <w:right w:val="single" w:sz="4" w:space="0" w:color="808080"/>
                  </w:tcBorders>
                  <w:shd w:val="clear" w:color="000000" w:fill="D8E3F0"/>
                  <w:noWrap/>
                  <w:vAlign w:val="bottom"/>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479</w:t>
                  </w:r>
                </w:p>
              </w:tc>
              <w:tc>
                <w:tcPr>
                  <w:tcW w:w="1469" w:type="pct"/>
                  <w:tcBorders>
                    <w:top w:val="nil"/>
                    <w:left w:val="single" w:sz="4" w:space="0" w:color="7F7F7F" w:themeColor="text1" w:themeTint="80"/>
                    <w:bottom w:val="single" w:sz="4" w:space="0" w:color="808080"/>
                    <w:right w:val="single" w:sz="4" w:space="0" w:color="808080"/>
                  </w:tcBorders>
                  <w:shd w:val="clear" w:color="000000" w:fill="D8E3F0"/>
                  <w:noWrap/>
                  <w:vAlign w:val="bottom"/>
                </w:tcPr>
                <w:p w:rsidR="00E764A0" w:rsidRPr="00B33131" w:rsidRDefault="00B33131" w:rsidP="00E764A0">
                  <w:pPr>
                    <w:spacing w:after="0" w:line="240" w:lineRule="auto"/>
                    <w:jc w:val="center"/>
                    <w:rPr>
                      <w:rFonts w:ascii="Times New Roman" w:eastAsia="Times New Roman" w:hAnsi="Times New Roman" w:cs="Times New Roman"/>
                      <w:b/>
                      <w:bCs/>
                      <w:iCs/>
                      <w:sz w:val="24"/>
                      <w:szCs w:val="24"/>
                      <w:lang w:eastAsia="lv-LV"/>
                    </w:rPr>
                  </w:pPr>
                  <w:r w:rsidRPr="00B33131">
                    <w:rPr>
                      <w:rFonts w:ascii="Times New Roman" w:eastAsia="Times New Roman" w:hAnsi="Times New Roman" w:cs="Times New Roman"/>
                      <w:b/>
                      <w:bCs/>
                      <w:iCs/>
                      <w:sz w:val="24"/>
                      <w:szCs w:val="24"/>
                      <w:lang w:eastAsia="lv-LV"/>
                    </w:rPr>
                    <w:t>+</w:t>
                  </w:r>
                  <w:r w:rsidR="00E764A0" w:rsidRPr="00B33131">
                    <w:rPr>
                      <w:rFonts w:ascii="Times New Roman" w:eastAsia="Times New Roman" w:hAnsi="Times New Roman" w:cs="Times New Roman"/>
                      <w:b/>
                      <w:bCs/>
                      <w:iCs/>
                      <w:sz w:val="24"/>
                      <w:szCs w:val="24"/>
                      <w:lang w:eastAsia="lv-LV"/>
                    </w:rPr>
                    <w:t>12</w:t>
                  </w:r>
                </w:p>
              </w:tc>
            </w:tr>
            <w:tr w:rsidR="00E764A0" w:rsidRPr="00E764A0" w:rsidTr="00E764A0">
              <w:trPr>
                <w:trHeight w:val="256"/>
                <w:jc w:val="center"/>
              </w:trPr>
              <w:tc>
                <w:tcPr>
                  <w:tcW w:w="844" w:type="pct"/>
                  <w:tcBorders>
                    <w:top w:val="nil"/>
                    <w:left w:val="single" w:sz="8" w:space="0" w:color="auto"/>
                    <w:bottom w:val="single" w:sz="4" w:space="0" w:color="auto"/>
                    <w:right w:val="single" w:sz="4" w:space="0" w:color="auto"/>
                  </w:tcBorders>
                  <w:shd w:val="clear" w:color="auto" w:fill="auto"/>
                  <w:noWrap/>
                  <w:vAlign w:val="bottom"/>
                  <w:hideMark/>
                </w:tcPr>
                <w:p w:rsidR="00E764A0" w:rsidRPr="00E764A0" w:rsidRDefault="00E764A0" w:rsidP="00E764A0">
                  <w:pPr>
                    <w:spacing w:after="0" w:line="240" w:lineRule="auto"/>
                    <w:jc w:val="center"/>
                    <w:rPr>
                      <w:rFonts w:ascii="Times New Roman" w:eastAsia="Times New Roman" w:hAnsi="Times New Roman" w:cs="Times New Roman"/>
                      <w:bCs/>
                      <w:iCs/>
                      <w:sz w:val="24"/>
                      <w:szCs w:val="24"/>
                      <w:lang w:eastAsia="lv-LV"/>
                    </w:rPr>
                  </w:pPr>
                  <w:r w:rsidRPr="00E764A0">
                    <w:rPr>
                      <w:rFonts w:ascii="Times New Roman" w:eastAsia="Times New Roman" w:hAnsi="Times New Roman" w:cs="Times New Roman"/>
                      <w:bCs/>
                      <w:iCs/>
                      <w:sz w:val="24"/>
                      <w:szCs w:val="24"/>
                      <w:lang w:eastAsia="lv-LV"/>
                    </w:rPr>
                    <w:t>800</w:t>
                  </w:r>
                </w:p>
              </w:tc>
              <w:tc>
                <w:tcPr>
                  <w:tcW w:w="1337" w:type="pct"/>
                  <w:tcBorders>
                    <w:top w:val="nil"/>
                    <w:left w:val="single" w:sz="4" w:space="0" w:color="auto"/>
                    <w:bottom w:val="single" w:sz="4" w:space="0" w:color="auto"/>
                    <w:right w:val="nil"/>
                  </w:tcBorders>
                  <w:shd w:val="clear" w:color="000000" w:fill="FDE9D9"/>
                  <w:noWrap/>
                  <w:vAlign w:val="bottom"/>
                  <w:hideMark/>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596</w:t>
                  </w:r>
                </w:p>
              </w:tc>
              <w:tc>
                <w:tcPr>
                  <w:tcW w:w="1350" w:type="pct"/>
                  <w:tcBorders>
                    <w:top w:val="nil"/>
                    <w:left w:val="single" w:sz="8" w:space="0" w:color="808080"/>
                    <w:bottom w:val="single" w:sz="4" w:space="0" w:color="808080"/>
                    <w:right w:val="single" w:sz="4" w:space="0" w:color="808080"/>
                  </w:tcBorders>
                  <w:shd w:val="clear" w:color="000000" w:fill="D8E3F0"/>
                  <w:noWrap/>
                  <w:vAlign w:val="bottom"/>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604</w:t>
                  </w:r>
                </w:p>
              </w:tc>
              <w:tc>
                <w:tcPr>
                  <w:tcW w:w="1469" w:type="pct"/>
                  <w:tcBorders>
                    <w:top w:val="nil"/>
                    <w:left w:val="single" w:sz="4" w:space="0" w:color="7F7F7F" w:themeColor="text1" w:themeTint="80"/>
                    <w:bottom w:val="single" w:sz="4" w:space="0" w:color="808080"/>
                    <w:right w:val="single" w:sz="4" w:space="0" w:color="808080"/>
                  </w:tcBorders>
                  <w:shd w:val="clear" w:color="000000" w:fill="D8E3F0"/>
                  <w:noWrap/>
                  <w:vAlign w:val="bottom"/>
                </w:tcPr>
                <w:p w:rsidR="00E764A0" w:rsidRPr="00B33131" w:rsidRDefault="00B33131" w:rsidP="00E764A0">
                  <w:pPr>
                    <w:spacing w:after="0" w:line="240" w:lineRule="auto"/>
                    <w:jc w:val="center"/>
                    <w:rPr>
                      <w:rFonts w:ascii="Times New Roman" w:eastAsia="Times New Roman" w:hAnsi="Times New Roman" w:cs="Times New Roman"/>
                      <w:b/>
                      <w:bCs/>
                      <w:iCs/>
                      <w:sz w:val="24"/>
                      <w:szCs w:val="24"/>
                      <w:lang w:eastAsia="lv-LV"/>
                    </w:rPr>
                  </w:pPr>
                  <w:r w:rsidRPr="00B33131">
                    <w:rPr>
                      <w:rFonts w:ascii="Times New Roman" w:eastAsia="Times New Roman" w:hAnsi="Times New Roman" w:cs="Times New Roman"/>
                      <w:b/>
                      <w:bCs/>
                      <w:iCs/>
                      <w:sz w:val="24"/>
                      <w:szCs w:val="24"/>
                      <w:lang w:eastAsia="lv-LV"/>
                    </w:rPr>
                    <w:t>+</w:t>
                  </w:r>
                  <w:r w:rsidR="00E764A0" w:rsidRPr="00B33131">
                    <w:rPr>
                      <w:rFonts w:ascii="Times New Roman" w:eastAsia="Times New Roman" w:hAnsi="Times New Roman" w:cs="Times New Roman"/>
                      <w:b/>
                      <w:bCs/>
                      <w:iCs/>
                      <w:sz w:val="24"/>
                      <w:szCs w:val="24"/>
                      <w:lang w:eastAsia="lv-LV"/>
                    </w:rPr>
                    <w:t>8</w:t>
                  </w:r>
                </w:p>
              </w:tc>
            </w:tr>
            <w:tr w:rsidR="00E764A0" w:rsidRPr="00E764A0" w:rsidTr="00E764A0">
              <w:trPr>
                <w:trHeight w:val="256"/>
                <w:jc w:val="center"/>
              </w:trPr>
              <w:tc>
                <w:tcPr>
                  <w:tcW w:w="844" w:type="pct"/>
                  <w:tcBorders>
                    <w:top w:val="nil"/>
                    <w:left w:val="single" w:sz="8" w:space="0" w:color="auto"/>
                    <w:bottom w:val="single" w:sz="4" w:space="0" w:color="auto"/>
                    <w:right w:val="single" w:sz="4" w:space="0" w:color="auto"/>
                  </w:tcBorders>
                  <w:shd w:val="clear" w:color="auto" w:fill="auto"/>
                  <w:noWrap/>
                  <w:vAlign w:val="bottom"/>
                  <w:hideMark/>
                </w:tcPr>
                <w:p w:rsidR="00E764A0" w:rsidRPr="00E764A0" w:rsidRDefault="00E764A0" w:rsidP="00E764A0">
                  <w:pPr>
                    <w:spacing w:after="0" w:line="240" w:lineRule="auto"/>
                    <w:jc w:val="center"/>
                    <w:rPr>
                      <w:rFonts w:ascii="Times New Roman" w:eastAsia="Times New Roman" w:hAnsi="Times New Roman" w:cs="Times New Roman"/>
                      <w:bCs/>
                      <w:iCs/>
                      <w:sz w:val="24"/>
                      <w:szCs w:val="24"/>
                      <w:lang w:eastAsia="lv-LV"/>
                    </w:rPr>
                  </w:pPr>
                  <w:r w:rsidRPr="00E764A0">
                    <w:rPr>
                      <w:rFonts w:ascii="Times New Roman" w:eastAsia="Times New Roman" w:hAnsi="Times New Roman" w:cs="Times New Roman"/>
                      <w:bCs/>
                      <w:iCs/>
                      <w:sz w:val="24"/>
                      <w:szCs w:val="24"/>
                      <w:lang w:eastAsia="lv-LV"/>
                    </w:rPr>
                    <w:t>1 000</w:t>
                  </w:r>
                </w:p>
              </w:tc>
              <w:tc>
                <w:tcPr>
                  <w:tcW w:w="1337" w:type="pct"/>
                  <w:tcBorders>
                    <w:top w:val="nil"/>
                    <w:left w:val="single" w:sz="4" w:space="0" w:color="auto"/>
                    <w:bottom w:val="single" w:sz="4" w:space="0" w:color="auto"/>
                    <w:right w:val="nil"/>
                  </w:tcBorders>
                  <w:shd w:val="clear" w:color="000000" w:fill="FDE9D9"/>
                  <w:noWrap/>
                  <w:vAlign w:val="bottom"/>
                  <w:hideMark/>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725</w:t>
                  </w:r>
                </w:p>
              </w:tc>
              <w:tc>
                <w:tcPr>
                  <w:tcW w:w="1350" w:type="pct"/>
                  <w:tcBorders>
                    <w:top w:val="nil"/>
                    <w:left w:val="single" w:sz="8" w:space="0" w:color="808080"/>
                    <w:bottom w:val="single" w:sz="4" w:space="0" w:color="808080"/>
                    <w:right w:val="single" w:sz="4" w:space="0" w:color="808080"/>
                  </w:tcBorders>
                  <w:shd w:val="clear" w:color="000000" w:fill="D8E3F0"/>
                  <w:noWrap/>
                  <w:vAlign w:val="bottom"/>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729</w:t>
                  </w:r>
                </w:p>
              </w:tc>
              <w:tc>
                <w:tcPr>
                  <w:tcW w:w="1469" w:type="pct"/>
                  <w:tcBorders>
                    <w:top w:val="nil"/>
                    <w:left w:val="single" w:sz="4" w:space="0" w:color="7F7F7F" w:themeColor="text1" w:themeTint="80"/>
                    <w:bottom w:val="single" w:sz="4" w:space="0" w:color="808080"/>
                    <w:right w:val="single" w:sz="4" w:space="0" w:color="808080"/>
                  </w:tcBorders>
                  <w:shd w:val="clear" w:color="000000" w:fill="D8E3F0"/>
                  <w:noWrap/>
                  <w:vAlign w:val="bottom"/>
                </w:tcPr>
                <w:p w:rsidR="00E764A0" w:rsidRPr="00B33131" w:rsidRDefault="00B33131" w:rsidP="00E764A0">
                  <w:pPr>
                    <w:spacing w:after="0" w:line="240" w:lineRule="auto"/>
                    <w:jc w:val="center"/>
                    <w:rPr>
                      <w:rFonts w:ascii="Times New Roman" w:eastAsia="Times New Roman" w:hAnsi="Times New Roman" w:cs="Times New Roman"/>
                      <w:b/>
                      <w:bCs/>
                      <w:iCs/>
                      <w:sz w:val="24"/>
                      <w:szCs w:val="24"/>
                      <w:lang w:eastAsia="lv-LV"/>
                    </w:rPr>
                  </w:pPr>
                  <w:r w:rsidRPr="00B33131">
                    <w:rPr>
                      <w:rFonts w:ascii="Times New Roman" w:eastAsia="Times New Roman" w:hAnsi="Times New Roman" w:cs="Times New Roman"/>
                      <w:b/>
                      <w:bCs/>
                      <w:iCs/>
                      <w:sz w:val="24"/>
                      <w:szCs w:val="24"/>
                      <w:lang w:eastAsia="lv-LV"/>
                    </w:rPr>
                    <w:t>+</w:t>
                  </w:r>
                  <w:r w:rsidR="00E764A0" w:rsidRPr="00B33131">
                    <w:rPr>
                      <w:rFonts w:ascii="Times New Roman" w:eastAsia="Times New Roman" w:hAnsi="Times New Roman" w:cs="Times New Roman"/>
                      <w:b/>
                      <w:bCs/>
                      <w:iCs/>
                      <w:sz w:val="24"/>
                      <w:szCs w:val="24"/>
                      <w:lang w:eastAsia="lv-LV"/>
                    </w:rPr>
                    <w:t>4</w:t>
                  </w:r>
                </w:p>
              </w:tc>
            </w:tr>
            <w:tr w:rsidR="00E764A0" w:rsidRPr="00E764A0" w:rsidTr="00E764A0">
              <w:trPr>
                <w:trHeight w:val="256"/>
                <w:jc w:val="center"/>
              </w:trPr>
              <w:tc>
                <w:tcPr>
                  <w:tcW w:w="844" w:type="pct"/>
                  <w:tcBorders>
                    <w:top w:val="nil"/>
                    <w:left w:val="single" w:sz="8" w:space="0" w:color="auto"/>
                    <w:bottom w:val="single" w:sz="4" w:space="0" w:color="auto"/>
                    <w:right w:val="single" w:sz="4" w:space="0" w:color="auto"/>
                  </w:tcBorders>
                  <w:shd w:val="clear" w:color="auto" w:fill="auto"/>
                  <w:noWrap/>
                  <w:vAlign w:val="bottom"/>
                </w:tcPr>
                <w:p w:rsidR="00E764A0" w:rsidRPr="00E764A0" w:rsidRDefault="00E764A0" w:rsidP="00E764A0">
                  <w:pPr>
                    <w:spacing w:after="0" w:line="240" w:lineRule="auto"/>
                    <w:jc w:val="center"/>
                    <w:rPr>
                      <w:rFonts w:ascii="Times New Roman" w:eastAsia="Times New Roman" w:hAnsi="Times New Roman" w:cs="Times New Roman"/>
                      <w:bCs/>
                      <w:iCs/>
                      <w:sz w:val="24"/>
                      <w:szCs w:val="24"/>
                      <w:lang w:eastAsia="lv-LV"/>
                    </w:rPr>
                  </w:pPr>
                  <w:r w:rsidRPr="00E764A0">
                    <w:rPr>
                      <w:rFonts w:ascii="Times New Roman" w:eastAsia="Times New Roman" w:hAnsi="Times New Roman" w:cs="Times New Roman"/>
                      <w:bCs/>
                      <w:iCs/>
                      <w:sz w:val="24"/>
                      <w:szCs w:val="24"/>
                      <w:lang w:eastAsia="lv-LV"/>
                    </w:rPr>
                    <w:t>1 100</w:t>
                  </w:r>
                </w:p>
              </w:tc>
              <w:tc>
                <w:tcPr>
                  <w:tcW w:w="1337" w:type="pct"/>
                  <w:tcBorders>
                    <w:top w:val="nil"/>
                    <w:left w:val="single" w:sz="4" w:space="0" w:color="auto"/>
                    <w:bottom w:val="single" w:sz="4" w:space="0" w:color="auto"/>
                    <w:right w:val="nil"/>
                  </w:tcBorders>
                  <w:shd w:val="clear" w:color="000000" w:fill="FDE9D9"/>
                  <w:noWrap/>
                  <w:vAlign w:val="bottom"/>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790</w:t>
                  </w:r>
                </w:p>
              </w:tc>
              <w:tc>
                <w:tcPr>
                  <w:tcW w:w="1350" w:type="pct"/>
                  <w:tcBorders>
                    <w:top w:val="nil"/>
                    <w:left w:val="single" w:sz="8" w:space="0" w:color="808080"/>
                    <w:bottom w:val="single" w:sz="4" w:space="0" w:color="808080"/>
                    <w:right w:val="single" w:sz="4" w:space="0" w:color="808080"/>
                  </w:tcBorders>
                  <w:shd w:val="clear" w:color="000000" w:fill="D8E3F0"/>
                  <w:noWrap/>
                  <w:vAlign w:val="bottom"/>
                </w:tcPr>
                <w:p w:rsidR="00E764A0" w:rsidRPr="00B33131" w:rsidRDefault="00E764A0" w:rsidP="00E764A0">
                  <w:pPr>
                    <w:spacing w:after="0" w:line="240" w:lineRule="auto"/>
                    <w:jc w:val="center"/>
                    <w:rPr>
                      <w:rFonts w:ascii="Times New Roman" w:eastAsia="Times New Roman" w:hAnsi="Times New Roman" w:cs="Times New Roman"/>
                      <w:iCs/>
                      <w:sz w:val="24"/>
                      <w:szCs w:val="24"/>
                      <w:lang w:eastAsia="lv-LV"/>
                    </w:rPr>
                  </w:pPr>
                  <w:r w:rsidRPr="00B33131">
                    <w:rPr>
                      <w:rFonts w:ascii="Times New Roman" w:eastAsia="Times New Roman" w:hAnsi="Times New Roman" w:cs="Times New Roman"/>
                      <w:iCs/>
                      <w:sz w:val="24"/>
                      <w:szCs w:val="24"/>
                      <w:lang w:eastAsia="lv-LV"/>
                    </w:rPr>
                    <w:t>792</w:t>
                  </w:r>
                </w:p>
              </w:tc>
              <w:tc>
                <w:tcPr>
                  <w:tcW w:w="1469" w:type="pct"/>
                  <w:tcBorders>
                    <w:top w:val="nil"/>
                    <w:left w:val="single" w:sz="4" w:space="0" w:color="7F7F7F" w:themeColor="text1" w:themeTint="80"/>
                    <w:bottom w:val="single" w:sz="4" w:space="0" w:color="808080"/>
                    <w:right w:val="single" w:sz="4" w:space="0" w:color="808080"/>
                  </w:tcBorders>
                  <w:shd w:val="clear" w:color="000000" w:fill="D8E3F0"/>
                  <w:noWrap/>
                  <w:vAlign w:val="bottom"/>
                </w:tcPr>
                <w:p w:rsidR="00E764A0" w:rsidRPr="00B33131" w:rsidRDefault="00B33131" w:rsidP="00E764A0">
                  <w:pPr>
                    <w:spacing w:after="0" w:line="240" w:lineRule="auto"/>
                    <w:jc w:val="center"/>
                    <w:rPr>
                      <w:rFonts w:ascii="Times New Roman" w:eastAsia="Times New Roman" w:hAnsi="Times New Roman" w:cs="Times New Roman"/>
                      <w:b/>
                      <w:bCs/>
                      <w:iCs/>
                      <w:sz w:val="24"/>
                      <w:szCs w:val="24"/>
                      <w:lang w:eastAsia="lv-LV"/>
                    </w:rPr>
                  </w:pPr>
                  <w:r w:rsidRPr="00B33131">
                    <w:rPr>
                      <w:rFonts w:ascii="Times New Roman" w:eastAsia="Times New Roman" w:hAnsi="Times New Roman" w:cs="Times New Roman"/>
                      <w:b/>
                      <w:bCs/>
                      <w:iCs/>
                      <w:sz w:val="24"/>
                      <w:szCs w:val="24"/>
                      <w:lang w:eastAsia="lv-LV"/>
                    </w:rPr>
                    <w:t>+</w:t>
                  </w:r>
                  <w:r w:rsidR="00E764A0" w:rsidRPr="00B33131">
                    <w:rPr>
                      <w:rFonts w:ascii="Times New Roman" w:eastAsia="Times New Roman" w:hAnsi="Times New Roman" w:cs="Times New Roman"/>
                      <w:b/>
                      <w:bCs/>
                      <w:iCs/>
                      <w:sz w:val="24"/>
                      <w:szCs w:val="24"/>
                      <w:lang w:eastAsia="lv-LV"/>
                    </w:rPr>
                    <w:t>2</w:t>
                  </w:r>
                </w:p>
              </w:tc>
            </w:tr>
          </w:tbl>
          <w:p w:rsidR="00E764A0" w:rsidRDefault="00E764A0" w:rsidP="00432071">
            <w:pPr>
              <w:spacing w:after="0" w:line="240" w:lineRule="auto"/>
              <w:jc w:val="both"/>
              <w:rPr>
                <w:rFonts w:ascii="Times New Roman" w:eastAsia="Times New Roman" w:hAnsi="Times New Roman" w:cs="Times New Roman"/>
                <w:iCs/>
                <w:sz w:val="24"/>
                <w:szCs w:val="24"/>
                <w:lang w:eastAsia="lv-LV"/>
              </w:rPr>
            </w:pPr>
          </w:p>
          <w:p w:rsidR="00DC2351" w:rsidRDefault="00CD21E9" w:rsidP="00CD21E9">
            <w:pPr>
              <w:spacing w:after="0" w:line="240" w:lineRule="auto"/>
              <w:jc w:val="both"/>
              <w:rPr>
                <w:rFonts w:ascii="Times New Roman" w:eastAsia="Times New Roman" w:hAnsi="Times New Roman" w:cs="Times New Roman"/>
                <w:iCs/>
                <w:sz w:val="24"/>
                <w:szCs w:val="24"/>
                <w:lang w:eastAsia="lv-LV"/>
              </w:rPr>
            </w:pPr>
            <w:r w:rsidRPr="00DB4D81">
              <w:rPr>
                <w:rFonts w:ascii="Times New Roman" w:eastAsia="Times New Roman" w:hAnsi="Times New Roman" w:cs="Times New Roman"/>
                <w:iCs/>
                <w:sz w:val="24"/>
                <w:szCs w:val="24"/>
                <w:lang w:eastAsia="lv-LV"/>
              </w:rPr>
              <w:t xml:space="preserve">Fiskālā ietekme uz </w:t>
            </w:r>
            <w:r w:rsidRPr="00CD21E9">
              <w:rPr>
                <w:rFonts w:ascii="Times New Roman" w:eastAsia="Times New Roman" w:hAnsi="Times New Roman" w:cs="Times New Roman"/>
                <w:iCs/>
                <w:sz w:val="24"/>
                <w:szCs w:val="24"/>
                <w:u w:val="single"/>
                <w:lang w:eastAsia="lv-LV"/>
              </w:rPr>
              <w:t>iedzīvotāju ienākuma nodokļa ieņēmumiem</w:t>
            </w:r>
            <w:r w:rsidRPr="00DB4D81">
              <w:rPr>
                <w:rFonts w:ascii="Times New Roman" w:eastAsia="Times New Roman" w:hAnsi="Times New Roman" w:cs="Times New Roman"/>
                <w:iCs/>
                <w:sz w:val="24"/>
                <w:szCs w:val="24"/>
                <w:lang w:eastAsia="lv-LV"/>
              </w:rPr>
              <w:t xml:space="preserve"> no</w:t>
            </w:r>
            <w:r>
              <w:rPr>
                <w:rFonts w:ascii="Times New Roman" w:eastAsia="Times New Roman" w:hAnsi="Times New Roman" w:cs="Times New Roman"/>
                <w:iCs/>
                <w:sz w:val="24"/>
                <w:szCs w:val="24"/>
                <w:lang w:eastAsia="lv-LV"/>
              </w:rPr>
              <w:t xml:space="preserve"> maksimālā gada </w:t>
            </w:r>
            <w:r w:rsidRPr="00DB4D81">
              <w:rPr>
                <w:rFonts w:ascii="Times New Roman" w:eastAsia="Times New Roman" w:hAnsi="Times New Roman" w:cs="Times New Roman"/>
                <w:iCs/>
                <w:sz w:val="24"/>
                <w:szCs w:val="24"/>
                <w:lang w:eastAsia="lv-LV"/>
              </w:rPr>
              <w:t>diferencētā neapliekamā minimuma</w:t>
            </w:r>
            <w:r>
              <w:rPr>
                <w:rFonts w:ascii="Times New Roman" w:eastAsia="Times New Roman" w:hAnsi="Times New Roman" w:cs="Times New Roman"/>
                <w:iCs/>
                <w:sz w:val="24"/>
                <w:szCs w:val="24"/>
                <w:lang w:eastAsia="lv-LV"/>
              </w:rPr>
              <w:t xml:space="preserve"> un gada apliekamā ienākuma apmēra, līdz kuram piemēro maksimālo gada neapliekamo minimumu, paaugstināšanas </w:t>
            </w:r>
            <w:r w:rsidRPr="00DB4D81">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DB4D8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2021. un 2022.</w:t>
            </w:r>
            <w:r w:rsidRPr="00DB4D81">
              <w:rPr>
                <w:rFonts w:ascii="Times New Roman" w:eastAsia="Times New Roman" w:hAnsi="Times New Roman" w:cs="Times New Roman"/>
                <w:iCs/>
                <w:sz w:val="24"/>
                <w:szCs w:val="24"/>
                <w:lang w:eastAsia="lv-LV"/>
              </w:rPr>
              <w:t xml:space="preserve">gadā </w:t>
            </w:r>
            <w:r w:rsidR="00DC2351">
              <w:rPr>
                <w:rFonts w:ascii="Times New Roman" w:eastAsia="Times New Roman" w:hAnsi="Times New Roman" w:cs="Times New Roman"/>
                <w:iCs/>
                <w:sz w:val="24"/>
                <w:szCs w:val="24"/>
                <w:lang w:eastAsia="lv-LV"/>
              </w:rPr>
              <w:t xml:space="preserve">būtu </w:t>
            </w:r>
          </w:p>
          <w:p w:rsidR="00CD21E9" w:rsidRDefault="00CD21E9" w:rsidP="00CD21E9">
            <w:pPr>
              <w:spacing w:after="0" w:line="240" w:lineRule="auto"/>
              <w:jc w:val="both"/>
              <w:rPr>
                <w:rFonts w:ascii="Times New Roman" w:eastAsia="Times New Roman" w:hAnsi="Times New Roman" w:cs="Times New Roman"/>
                <w:iCs/>
                <w:sz w:val="24"/>
                <w:szCs w:val="24"/>
                <w:lang w:eastAsia="lv-LV"/>
              </w:rPr>
            </w:pPr>
            <w:r w:rsidRPr="00F515E2">
              <w:rPr>
                <w:rFonts w:ascii="Times New Roman" w:eastAsia="Times New Roman" w:hAnsi="Times New Roman" w:cs="Times New Roman"/>
                <w:b/>
                <w:iCs/>
                <w:sz w:val="24"/>
                <w:szCs w:val="24"/>
                <w:lang w:eastAsia="lv-LV"/>
              </w:rPr>
              <w:t>-35 milj. </w:t>
            </w:r>
            <w:proofErr w:type="spellStart"/>
            <w:r w:rsidRPr="00F515E2">
              <w:rPr>
                <w:rFonts w:ascii="Times New Roman" w:eastAsia="Times New Roman" w:hAnsi="Times New Roman" w:cs="Times New Roman"/>
                <w:b/>
                <w:i/>
                <w:iCs/>
                <w:sz w:val="24"/>
                <w:szCs w:val="24"/>
                <w:lang w:eastAsia="lv-LV"/>
              </w:rPr>
              <w:t>euro</w:t>
            </w:r>
            <w:proofErr w:type="spellEnd"/>
            <w:r>
              <w:rPr>
                <w:rFonts w:ascii="Times New Roman" w:eastAsia="Times New Roman" w:hAnsi="Times New Roman" w:cs="Times New Roman"/>
                <w:iCs/>
                <w:sz w:val="24"/>
                <w:szCs w:val="24"/>
                <w:lang w:eastAsia="lv-LV"/>
              </w:rPr>
              <w:t> (t.sk., valsts pamatbudžetā -7</w:t>
            </w:r>
            <w:r w:rsidRPr="00DB4D81">
              <w:rPr>
                <w:rFonts w:ascii="Times New Roman" w:eastAsia="Times New Roman" w:hAnsi="Times New Roman" w:cs="Times New Roman"/>
                <w:iCs/>
                <w:sz w:val="24"/>
                <w:szCs w:val="24"/>
                <w:lang w:eastAsia="lv-LV"/>
              </w:rPr>
              <w:t> milj. </w:t>
            </w:r>
            <w:proofErr w:type="spellStart"/>
            <w:r w:rsidRPr="00DB4D81">
              <w:rPr>
                <w:rFonts w:ascii="Times New Roman" w:eastAsia="Times New Roman" w:hAnsi="Times New Roman" w:cs="Times New Roman"/>
                <w:i/>
                <w:iCs/>
                <w:sz w:val="24"/>
                <w:szCs w:val="24"/>
                <w:lang w:eastAsia="lv-LV"/>
              </w:rPr>
              <w:t>euro</w:t>
            </w:r>
            <w:proofErr w:type="spellEnd"/>
            <w:r w:rsidRPr="00DB4D81">
              <w:rPr>
                <w:rFonts w:ascii="Times New Roman" w:eastAsia="Times New Roman" w:hAnsi="Times New Roman" w:cs="Times New Roman"/>
                <w:iCs/>
                <w:sz w:val="24"/>
                <w:szCs w:val="24"/>
                <w:lang w:eastAsia="lv-LV"/>
              </w:rPr>
              <w:t> un pašvaldību budžetā -</w:t>
            </w:r>
            <w:r>
              <w:rPr>
                <w:rFonts w:ascii="Times New Roman" w:eastAsia="Times New Roman" w:hAnsi="Times New Roman" w:cs="Times New Roman"/>
                <w:iCs/>
                <w:sz w:val="24"/>
                <w:szCs w:val="24"/>
                <w:lang w:eastAsia="lv-LV"/>
              </w:rPr>
              <w:t>28</w:t>
            </w:r>
            <w:r w:rsidRPr="00DB4D81">
              <w:rPr>
                <w:rFonts w:ascii="Times New Roman" w:eastAsia="Times New Roman" w:hAnsi="Times New Roman" w:cs="Times New Roman"/>
                <w:iCs/>
                <w:sz w:val="24"/>
                <w:szCs w:val="24"/>
                <w:lang w:eastAsia="lv-LV"/>
              </w:rPr>
              <w:t> milj. </w:t>
            </w:r>
            <w:proofErr w:type="spellStart"/>
            <w:r w:rsidRPr="00DB4D81">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r w:rsidRPr="00DB4D81">
              <w:rPr>
                <w:rFonts w:ascii="Times New Roman" w:eastAsia="Times New Roman" w:hAnsi="Times New Roman" w:cs="Times New Roman"/>
                <w:iCs/>
                <w:sz w:val="24"/>
                <w:szCs w:val="24"/>
                <w:lang w:eastAsia="lv-LV"/>
              </w:rPr>
              <w:t>.</w:t>
            </w:r>
          </w:p>
          <w:p w:rsidR="00F515E2" w:rsidRDefault="00F515E2" w:rsidP="00CD21E9">
            <w:pPr>
              <w:spacing w:after="0" w:line="240" w:lineRule="auto"/>
              <w:jc w:val="both"/>
              <w:rPr>
                <w:rFonts w:ascii="Times New Roman" w:eastAsia="Times New Roman" w:hAnsi="Times New Roman" w:cs="Times New Roman"/>
                <w:iCs/>
                <w:sz w:val="24"/>
                <w:szCs w:val="24"/>
                <w:lang w:eastAsia="lv-LV"/>
              </w:rPr>
            </w:pPr>
          </w:p>
          <w:p w:rsidR="00F515E2" w:rsidRDefault="00F515E2" w:rsidP="00F515E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Iepriekš minēto izmaiņu </w:t>
            </w:r>
            <w:r w:rsidRPr="00D4392D">
              <w:rPr>
                <w:rFonts w:ascii="Times New Roman" w:eastAsia="Times New Roman" w:hAnsi="Times New Roman" w:cs="Times New Roman"/>
                <w:iCs/>
                <w:sz w:val="24"/>
                <w:szCs w:val="24"/>
                <w:lang w:eastAsia="lv-LV"/>
              </w:rPr>
              <w:t>fiskālās ietekmes novērtējumam izmantoti dati par nodarbināto gada ienākumu un izmantoto gada atvieglojumu apmēru, kas iegūti no paziņojumiem par fiziskajām personām izmaksātajām summām 2018. </w:t>
            </w:r>
            <w:r>
              <w:rPr>
                <w:rFonts w:ascii="Times New Roman" w:eastAsia="Times New Roman" w:hAnsi="Times New Roman" w:cs="Times New Roman"/>
                <w:iCs/>
                <w:sz w:val="24"/>
                <w:szCs w:val="24"/>
                <w:lang w:eastAsia="lv-LV"/>
              </w:rPr>
              <w:t>un 2019.</w:t>
            </w:r>
            <w:r w:rsidRPr="00D4392D">
              <w:rPr>
                <w:rFonts w:ascii="Times New Roman" w:eastAsia="Times New Roman" w:hAnsi="Times New Roman" w:cs="Times New Roman"/>
                <w:iCs/>
                <w:sz w:val="24"/>
                <w:szCs w:val="24"/>
                <w:lang w:eastAsia="lv-LV"/>
              </w:rPr>
              <w:t xml:space="preserve">gadā. No iegūtajiem datiem nodarbinātās personas (neiekļaujot </w:t>
            </w:r>
            <w:proofErr w:type="spellStart"/>
            <w:r w:rsidRPr="00D4392D">
              <w:rPr>
                <w:rFonts w:ascii="Times New Roman" w:eastAsia="Times New Roman" w:hAnsi="Times New Roman" w:cs="Times New Roman"/>
                <w:iCs/>
                <w:sz w:val="24"/>
                <w:szCs w:val="24"/>
                <w:lang w:eastAsia="lv-LV"/>
              </w:rPr>
              <w:t>mikrouzņēmumos</w:t>
            </w:r>
            <w:proofErr w:type="spellEnd"/>
            <w:r w:rsidRPr="00D4392D">
              <w:rPr>
                <w:rFonts w:ascii="Times New Roman" w:eastAsia="Times New Roman" w:hAnsi="Times New Roman" w:cs="Times New Roman"/>
                <w:iCs/>
                <w:sz w:val="24"/>
                <w:szCs w:val="24"/>
                <w:lang w:eastAsia="lv-LV"/>
              </w:rPr>
              <w:t xml:space="preserve"> strādājošos) atbilstoši ienākumiem tika sadalītas pa algu intervāliem. Piemērojot nodarbinātības pieaugumu par </w:t>
            </w:r>
            <w:r w:rsidRPr="00D4392D">
              <w:rPr>
                <w:rFonts w:ascii="Times New Roman" w:eastAsia="Times New Roman" w:hAnsi="Times New Roman" w:cs="Times New Roman"/>
                <w:iCs/>
                <w:sz w:val="24"/>
                <w:szCs w:val="24"/>
                <w:lang w:eastAsia="lv-LV"/>
              </w:rPr>
              <w:lastRenderedPageBreak/>
              <w:t>0,1% un darba samaksas pieaugumu vidēji par 6,0%, tika izveidota 2020. gada iedzīvotāju ienākuma nodokļa bāze, no kuras tika aprēķināta fiskālā ietekme. </w:t>
            </w:r>
          </w:p>
          <w:p w:rsidR="00F515E2" w:rsidRDefault="00F515E2" w:rsidP="00CD21E9">
            <w:pPr>
              <w:spacing w:after="0" w:line="240" w:lineRule="auto"/>
              <w:jc w:val="both"/>
              <w:rPr>
                <w:rFonts w:ascii="Times New Roman" w:eastAsia="Times New Roman" w:hAnsi="Times New Roman" w:cs="Times New Roman"/>
                <w:iCs/>
                <w:sz w:val="24"/>
                <w:szCs w:val="24"/>
                <w:lang w:eastAsia="lv-LV"/>
              </w:rPr>
            </w:pPr>
          </w:p>
          <w:p w:rsidR="00CD21E9" w:rsidRDefault="00CD21E9" w:rsidP="00CD21E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00B33131">
              <w:rPr>
                <w:rFonts w:ascii="Times New Roman" w:eastAsia="Times New Roman" w:hAnsi="Times New Roman" w:cs="Times New Roman"/>
                <w:iCs/>
                <w:sz w:val="24"/>
                <w:szCs w:val="24"/>
                <w:lang w:eastAsia="lv-LV"/>
              </w:rPr>
              <w:t xml:space="preserve">vairumam </w:t>
            </w:r>
            <w:r>
              <w:rPr>
                <w:rFonts w:ascii="Times New Roman" w:eastAsia="Times New Roman" w:hAnsi="Times New Roman" w:cs="Times New Roman"/>
                <w:iCs/>
                <w:sz w:val="24"/>
                <w:szCs w:val="24"/>
                <w:lang w:eastAsia="lv-LV"/>
              </w:rPr>
              <w:t>nodarbināt</w:t>
            </w:r>
            <w:r w:rsidR="00B33131">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person</w:t>
            </w:r>
            <w:r w:rsidR="00B33131">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palielināsies neto ienākumi, kurus varēs papildus</w:t>
            </w:r>
            <w:r w:rsidR="00F515E2">
              <w:rPr>
                <w:rFonts w:ascii="Times New Roman" w:eastAsia="Times New Roman" w:hAnsi="Times New Roman" w:cs="Times New Roman"/>
                <w:iCs/>
                <w:sz w:val="24"/>
                <w:szCs w:val="24"/>
                <w:lang w:eastAsia="lv-LV"/>
              </w:rPr>
              <w:t xml:space="preserve">  tērēt patēriņa precēm,</w:t>
            </w:r>
            <w:r>
              <w:rPr>
                <w:rFonts w:ascii="Times New Roman" w:eastAsia="Times New Roman" w:hAnsi="Times New Roman" w:cs="Times New Roman"/>
                <w:iCs/>
                <w:sz w:val="24"/>
                <w:szCs w:val="24"/>
                <w:lang w:eastAsia="lv-LV"/>
              </w:rPr>
              <w:t xml:space="preserve">  </w:t>
            </w:r>
            <w:r w:rsidRPr="00CD21E9">
              <w:rPr>
                <w:rFonts w:ascii="Times New Roman" w:eastAsia="Times New Roman" w:hAnsi="Times New Roman" w:cs="Times New Roman"/>
                <w:iCs/>
                <w:sz w:val="24"/>
                <w:szCs w:val="24"/>
                <w:lang w:eastAsia="lv-LV"/>
              </w:rPr>
              <w:t xml:space="preserve">tiek prognozēts, ka iepriekš minētās </w:t>
            </w:r>
            <w:r>
              <w:rPr>
                <w:rFonts w:ascii="Times New Roman" w:eastAsia="Times New Roman" w:hAnsi="Times New Roman" w:cs="Times New Roman"/>
                <w:iCs/>
                <w:sz w:val="24"/>
                <w:szCs w:val="24"/>
                <w:lang w:eastAsia="lv-LV"/>
              </w:rPr>
              <w:t>izmaiņas</w:t>
            </w:r>
            <w:r w:rsidRPr="00CD21E9">
              <w:rPr>
                <w:rFonts w:ascii="Times New Roman" w:eastAsia="Times New Roman" w:hAnsi="Times New Roman" w:cs="Times New Roman"/>
                <w:iCs/>
                <w:sz w:val="24"/>
                <w:szCs w:val="24"/>
                <w:lang w:eastAsia="lv-LV"/>
              </w:rPr>
              <w:t xml:space="preserve"> radīs atgriezenisko efektu</w:t>
            </w:r>
            <w:r w:rsidR="00F515E2">
              <w:rPr>
                <w:rFonts w:ascii="Times New Roman" w:eastAsia="Times New Roman" w:hAnsi="Times New Roman" w:cs="Times New Roman"/>
                <w:iCs/>
                <w:sz w:val="24"/>
                <w:szCs w:val="24"/>
                <w:lang w:eastAsia="lv-LV"/>
              </w:rPr>
              <w:t>. Pieņemot, ka 40% no iegūtās summas nodarbinātās person</w:t>
            </w:r>
            <w:r w:rsidR="00460F4E">
              <w:rPr>
                <w:rFonts w:ascii="Times New Roman" w:eastAsia="Times New Roman" w:hAnsi="Times New Roman" w:cs="Times New Roman"/>
                <w:iCs/>
                <w:sz w:val="24"/>
                <w:szCs w:val="24"/>
                <w:lang w:eastAsia="lv-LV"/>
              </w:rPr>
              <w:t>a</w:t>
            </w:r>
            <w:r w:rsidR="00F515E2">
              <w:rPr>
                <w:rFonts w:ascii="Times New Roman" w:eastAsia="Times New Roman" w:hAnsi="Times New Roman" w:cs="Times New Roman"/>
                <w:iCs/>
                <w:sz w:val="24"/>
                <w:szCs w:val="24"/>
                <w:lang w:eastAsia="lv-LV"/>
              </w:rPr>
              <w:t>s tērētu patēri</w:t>
            </w:r>
            <w:r w:rsidR="00E060DA">
              <w:rPr>
                <w:rFonts w:ascii="Times New Roman" w:eastAsia="Times New Roman" w:hAnsi="Times New Roman" w:cs="Times New Roman"/>
                <w:iCs/>
                <w:sz w:val="24"/>
                <w:szCs w:val="24"/>
                <w:lang w:eastAsia="lv-LV"/>
              </w:rPr>
              <w:t>ņa precēm, kas apliekamas ar pievienotās vērtības nodokli</w:t>
            </w:r>
            <w:r w:rsidR="00460F4E">
              <w:rPr>
                <w:rFonts w:ascii="Times New Roman" w:eastAsia="Times New Roman" w:hAnsi="Times New Roman" w:cs="Times New Roman"/>
                <w:iCs/>
                <w:sz w:val="24"/>
                <w:szCs w:val="24"/>
                <w:lang w:eastAsia="lv-LV"/>
              </w:rPr>
              <w:t xml:space="preserve">, </w:t>
            </w:r>
            <w:r w:rsidR="00F515E2">
              <w:rPr>
                <w:rFonts w:ascii="Times New Roman" w:eastAsia="Times New Roman" w:hAnsi="Times New Roman" w:cs="Times New Roman"/>
                <w:iCs/>
                <w:sz w:val="24"/>
                <w:szCs w:val="24"/>
                <w:lang w:eastAsia="lv-LV"/>
              </w:rPr>
              <w:t xml:space="preserve">un </w:t>
            </w:r>
            <w:r w:rsidR="00460F4E">
              <w:rPr>
                <w:rFonts w:ascii="Times New Roman" w:eastAsia="Times New Roman" w:hAnsi="Times New Roman" w:cs="Times New Roman"/>
                <w:iCs/>
                <w:sz w:val="24"/>
                <w:szCs w:val="24"/>
                <w:lang w:eastAsia="lv-LV"/>
              </w:rPr>
              <w:t>piemērojot vidējo</w:t>
            </w:r>
            <w:r w:rsidR="00E060DA">
              <w:rPr>
                <w:rFonts w:ascii="Times New Roman" w:eastAsia="Times New Roman" w:hAnsi="Times New Roman" w:cs="Times New Roman"/>
                <w:iCs/>
                <w:sz w:val="24"/>
                <w:szCs w:val="24"/>
                <w:lang w:eastAsia="lv-LV"/>
              </w:rPr>
              <w:t xml:space="preserve"> svērto pievienotās vērtības nodokļa</w:t>
            </w:r>
            <w:r w:rsidR="00460F4E">
              <w:rPr>
                <w:rFonts w:ascii="Times New Roman" w:eastAsia="Times New Roman" w:hAnsi="Times New Roman" w:cs="Times New Roman"/>
                <w:iCs/>
                <w:sz w:val="24"/>
                <w:szCs w:val="24"/>
                <w:lang w:eastAsia="lv-LV"/>
              </w:rPr>
              <w:t xml:space="preserve"> likmi </w:t>
            </w:r>
            <w:r w:rsidR="00DC2351">
              <w:rPr>
                <w:rFonts w:ascii="Times New Roman" w:eastAsia="Times New Roman" w:hAnsi="Times New Roman" w:cs="Times New Roman"/>
                <w:iCs/>
                <w:sz w:val="24"/>
                <w:szCs w:val="24"/>
                <w:lang w:eastAsia="lv-LV"/>
              </w:rPr>
              <w:t>1</w:t>
            </w:r>
            <w:r w:rsidR="00C80E9A">
              <w:rPr>
                <w:rFonts w:ascii="Times New Roman" w:eastAsia="Times New Roman" w:hAnsi="Times New Roman" w:cs="Times New Roman"/>
                <w:iCs/>
                <w:sz w:val="24"/>
                <w:szCs w:val="24"/>
                <w:lang w:eastAsia="lv-LV"/>
              </w:rPr>
              <w:t>7</w:t>
            </w:r>
            <w:r w:rsidR="00DC23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w:t>
            </w:r>
            <w:r w:rsidRPr="00DB4D81">
              <w:rPr>
                <w:rFonts w:ascii="Times New Roman" w:eastAsia="Times New Roman" w:hAnsi="Times New Roman" w:cs="Times New Roman"/>
                <w:iCs/>
                <w:sz w:val="24"/>
                <w:szCs w:val="24"/>
                <w:lang w:eastAsia="lv-LV"/>
              </w:rPr>
              <w:t xml:space="preserve">iskālā ietekme uz </w:t>
            </w:r>
            <w:r w:rsidRPr="00CD21E9">
              <w:rPr>
                <w:rFonts w:ascii="Times New Roman" w:eastAsia="Times New Roman" w:hAnsi="Times New Roman" w:cs="Times New Roman"/>
                <w:iCs/>
                <w:sz w:val="24"/>
                <w:szCs w:val="24"/>
                <w:u w:val="single"/>
                <w:lang w:eastAsia="lv-LV"/>
              </w:rPr>
              <w:t>pievienotās vērtības nodokļa ieņēmumiem</w:t>
            </w:r>
            <w:r w:rsidRPr="00DB4D81">
              <w:rPr>
                <w:rFonts w:ascii="Times New Roman" w:eastAsia="Times New Roman" w:hAnsi="Times New Roman" w:cs="Times New Roman"/>
                <w:iCs/>
                <w:sz w:val="24"/>
                <w:szCs w:val="24"/>
                <w:lang w:eastAsia="lv-LV"/>
              </w:rPr>
              <w:t xml:space="preserve"> 20</w:t>
            </w:r>
            <w:r>
              <w:rPr>
                <w:rFonts w:ascii="Times New Roman" w:eastAsia="Times New Roman" w:hAnsi="Times New Roman" w:cs="Times New Roman"/>
                <w:iCs/>
                <w:sz w:val="24"/>
                <w:szCs w:val="24"/>
                <w:lang w:eastAsia="lv-LV"/>
              </w:rPr>
              <w:t>20</w:t>
            </w:r>
            <w:r w:rsidRPr="00DB4D8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2021. un 2022.</w:t>
            </w:r>
            <w:r w:rsidRPr="00DB4D81">
              <w:rPr>
                <w:rFonts w:ascii="Times New Roman" w:eastAsia="Times New Roman" w:hAnsi="Times New Roman" w:cs="Times New Roman"/>
                <w:iCs/>
                <w:sz w:val="24"/>
                <w:szCs w:val="24"/>
                <w:lang w:eastAsia="lv-LV"/>
              </w:rPr>
              <w:t>gadā</w:t>
            </w:r>
            <w:r w:rsidR="00DC2351">
              <w:rPr>
                <w:rFonts w:ascii="Times New Roman" w:eastAsia="Times New Roman" w:hAnsi="Times New Roman" w:cs="Times New Roman"/>
                <w:iCs/>
                <w:sz w:val="24"/>
                <w:szCs w:val="24"/>
                <w:lang w:eastAsia="lv-LV"/>
              </w:rPr>
              <w:t xml:space="preserve"> būtu</w:t>
            </w:r>
            <w:r>
              <w:rPr>
                <w:rFonts w:ascii="Times New Roman" w:eastAsia="Times New Roman" w:hAnsi="Times New Roman" w:cs="Times New Roman"/>
                <w:iCs/>
                <w:sz w:val="24"/>
                <w:szCs w:val="24"/>
                <w:lang w:eastAsia="lv-LV"/>
              </w:rPr>
              <w:t xml:space="preserve"> </w:t>
            </w:r>
            <w:r w:rsidRPr="00F515E2">
              <w:rPr>
                <w:rFonts w:ascii="Times New Roman" w:eastAsia="Times New Roman" w:hAnsi="Times New Roman" w:cs="Times New Roman"/>
                <w:b/>
                <w:iCs/>
                <w:sz w:val="24"/>
                <w:szCs w:val="24"/>
                <w:lang w:eastAsia="lv-LV"/>
              </w:rPr>
              <w:t>+3 milj. </w:t>
            </w:r>
            <w:proofErr w:type="spellStart"/>
            <w:r w:rsidRPr="00F515E2">
              <w:rPr>
                <w:rFonts w:ascii="Times New Roman" w:eastAsia="Times New Roman" w:hAnsi="Times New Roman" w:cs="Times New Roman"/>
                <w:b/>
                <w:i/>
                <w:iCs/>
                <w:sz w:val="24"/>
                <w:szCs w:val="24"/>
                <w:lang w:eastAsia="lv-LV"/>
              </w:rPr>
              <w:t>euro</w:t>
            </w:r>
            <w:proofErr w:type="spellEnd"/>
            <w:r w:rsidRPr="00DB4D81">
              <w:rPr>
                <w:rFonts w:ascii="Times New Roman" w:eastAsia="Times New Roman" w:hAnsi="Times New Roman" w:cs="Times New Roman"/>
                <w:iCs/>
                <w:sz w:val="24"/>
                <w:szCs w:val="24"/>
                <w:lang w:eastAsia="lv-LV"/>
              </w:rPr>
              <w:t>.</w:t>
            </w:r>
          </w:p>
          <w:p w:rsidR="00CD21E9" w:rsidRDefault="00CD21E9" w:rsidP="00432071">
            <w:pPr>
              <w:spacing w:after="0" w:line="240" w:lineRule="auto"/>
              <w:jc w:val="both"/>
              <w:rPr>
                <w:rFonts w:ascii="Times New Roman" w:eastAsia="Times New Roman" w:hAnsi="Times New Roman" w:cs="Times New Roman"/>
                <w:iCs/>
                <w:sz w:val="24"/>
                <w:szCs w:val="24"/>
                <w:lang w:eastAsia="lv-LV"/>
              </w:rPr>
            </w:pPr>
          </w:p>
          <w:p w:rsidR="00B60B3E" w:rsidRPr="006809DD" w:rsidRDefault="00C53E23" w:rsidP="00C53E23">
            <w:pPr>
              <w:spacing w:after="0" w:line="240" w:lineRule="auto"/>
              <w:jc w:val="both"/>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Nepieciešamo izmaiņu iestrādei Valsts ieņēmumu dienesta Nodokļu informācijas sistēmā 2019.gadā nepieciešams finansējums Finanšu ministrijas budžeta programmā 33.00.00 “Valsts ieņēmumu un muitas politikas nodrošināšana” </w:t>
            </w:r>
            <w:r w:rsidR="00A424E3" w:rsidRPr="006809DD">
              <w:rPr>
                <w:rFonts w:ascii="Times New Roman" w:eastAsia="Times New Roman" w:hAnsi="Times New Roman" w:cs="Times New Roman"/>
                <w:b/>
                <w:iCs/>
                <w:sz w:val="24"/>
                <w:szCs w:val="24"/>
                <w:lang w:eastAsia="lv-LV"/>
              </w:rPr>
              <w:t xml:space="preserve">9 302 </w:t>
            </w:r>
            <w:proofErr w:type="spellStart"/>
            <w:r w:rsidRPr="006809DD">
              <w:rPr>
                <w:rFonts w:ascii="Times New Roman" w:eastAsia="Times New Roman" w:hAnsi="Times New Roman" w:cs="Times New Roman"/>
                <w:b/>
                <w:i/>
                <w:iCs/>
                <w:sz w:val="24"/>
                <w:szCs w:val="24"/>
                <w:lang w:eastAsia="lv-LV"/>
              </w:rPr>
              <w:t>euro</w:t>
            </w:r>
            <w:proofErr w:type="spellEnd"/>
            <w:r w:rsidRPr="006809DD">
              <w:rPr>
                <w:rFonts w:ascii="Times New Roman" w:eastAsia="Times New Roman" w:hAnsi="Times New Roman" w:cs="Times New Roman"/>
                <w:iCs/>
                <w:sz w:val="24"/>
                <w:szCs w:val="24"/>
                <w:lang w:eastAsia="lv-LV"/>
              </w:rPr>
              <w:t xml:space="preserve"> apmērā.</w:t>
            </w:r>
          </w:p>
        </w:tc>
      </w:tr>
      <w:tr w:rsidR="00B60B3E" w:rsidRPr="006F4392" w:rsidTr="00DB4D81">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r>
      <w:tr w:rsidR="00B60B3E" w:rsidRPr="006F4392" w:rsidTr="00DB4D81">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r>
      <w:tr w:rsidR="00B60B3E" w:rsidRPr="006F4392" w:rsidTr="00DB4D81">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rsidR="00B60B3E" w:rsidRPr="006809DD" w:rsidRDefault="00C53E23"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Nav attiecināms.</w:t>
            </w:r>
          </w:p>
        </w:tc>
      </w:tr>
      <w:tr w:rsidR="00B60B3E" w:rsidRPr="006F4392" w:rsidTr="00DB4D81">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rsidR="00D15667" w:rsidRPr="005649BE" w:rsidRDefault="00D15667" w:rsidP="00C53E23">
            <w:pPr>
              <w:spacing w:after="0" w:line="240" w:lineRule="auto"/>
              <w:jc w:val="both"/>
              <w:rPr>
                <w:rFonts w:ascii="Times New Roman" w:eastAsia="Times New Roman" w:hAnsi="Times New Roman" w:cs="Times New Roman"/>
                <w:iCs/>
                <w:sz w:val="24"/>
                <w:szCs w:val="24"/>
                <w:lang w:eastAsia="lv-LV"/>
              </w:rPr>
            </w:pPr>
            <w:r w:rsidRPr="005649BE">
              <w:rPr>
                <w:rFonts w:ascii="Times New Roman" w:eastAsia="Times New Roman" w:hAnsi="Times New Roman" w:cs="Times New Roman"/>
                <w:iCs/>
                <w:sz w:val="24"/>
                <w:szCs w:val="24"/>
                <w:lang w:eastAsia="lv-LV"/>
              </w:rPr>
              <w:t>Fiskālās ietekmes ir iekļautas nodokļu ieņēmumu prognozēs, sagatavojot likumprojektu “Par vidēja termiņa budžeta ietvaru 2020., 2021. un 2022. gadam” un likumprojektu “Par valsts budžetu 2020.gadam”.</w:t>
            </w:r>
          </w:p>
          <w:p w:rsidR="00D15667" w:rsidRDefault="00D15667" w:rsidP="00C53E23">
            <w:pPr>
              <w:spacing w:after="0" w:line="240" w:lineRule="auto"/>
              <w:jc w:val="both"/>
              <w:rPr>
                <w:rFonts w:ascii="Times New Roman" w:eastAsia="Times New Roman" w:hAnsi="Times New Roman" w:cs="Times New Roman"/>
                <w:iCs/>
                <w:sz w:val="24"/>
                <w:szCs w:val="24"/>
                <w:lang w:eastAsia="lv-LV"/>
              </w:rPr>
            </w:pPr>
          </w:p>
          <w:p w:rsidR="0070467B" w:rsidRPr="006809DD" w:rsidRDefault="00C53E23" w:rsidP="00C53E23">
            <w:pPr>
              <w:spacing w:after="0" w:line="240" w:lineRule="auto"/>
              <w:jc w:val="both"/>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2019.gadā nepieciešamo izmaiņu iestrādei Valsts ieņēmumu dienesta informācijas sistēmās nepieciešamais finansējums </w:t>
            </w:r>
            <w:r w:rsidR="00A424E3" w:rsidRPr="006809DD">
              <w:rPr>
                <w:rFonts w:ascii="Times New Roman" w:eastAsia="Times New Roman" w:hAnsi="Times New Roman" w:cs="Times New Roman"/>
                <w:b/>
                <w:i/>
                <w:iCs/>
                <w:sz w:val="24"/>
                <w:szCs w:val="24"/>
                <w:lang w:eastAsia="lv-LV"/>
              </w:rPr>
              <w:t>9 302</w:t>
            </w:r>
            <w:r w:rsidR="00A424E3" w:rsidRPr="006809DD">
              <w:rPr>
                <w:rFonts w:ascii="Times New Roman" w:eastAsia="Times New Roman" w:hAnsi="Times New Roman" w:cs="Times New Roman"/>
                <w:iCs/>
                <w:sz w:val="24"/>
                <w:szCs w:val="24"/>
                <w:lang w:eastAsia="lv-LV"/>
              </w:rPr>
              <w:t xml:space="preserve"> </w:t>
            </w:r>
            <w:proofErr w:type="spellStart"/>
            <w:r w:rsidRPr="006809DD">
              <w:rPr>
                <w:rFonts w:ascii="Times New Roman" w:eastAsia="Times New Roman" w:hAnsi="Times New Roman" w:cs="Times New Roman"/>
                <w:b/>
                <w:i/>
                <w:iCs/>
                <w:sz w:val="24"/>
                <w:szCs w:val="24"/>
                <w:lang w:eastAsia="lv-LV"/>
              </w:rPr>
              <w:t>euro</w:t>
            </w:r>
            <w:proofErr w:type="spellEnd"/>
            <w:r w:rsidRPr="006809DD">
              <w:rPr>
                <w:rFonts w:ascii="Times New Roman" w:eastAsia="Times New Roman" w:hAnsi="Times New Roman" w:cs="Times New Roman"/>
                <w:iCs/>
                <w:sz w:val="24"/>
                <w:szCs w:val="24"/>
                <w:lang w:eastAsia="lv-LV"/>
              </w:rPr>
              <w:t xml:space="preserve"> apmērā tiks nodrošināts Finanšu ministrijas budžeta programmas 33.00.00 “Valsts ieņēmumu un muitas politikas nodrošināšana” piešķirtā finansējuma ietvaros.</w:t>
            </w:r>
          </w:p>
        </w:tc>
      </w:tr>
    </w:tbl>
    <w:p w:rsidR="00C53E23" w:rsidRDefault="00C53E23" w:rsidP="00E5323B">
      <w:pPr>
        <w:spacing w:after="0" w:line="240" w:lineRule="auto"/>
        <w:rPr>
          <w:rFonts w:ascii="Times New Roman" w:eastAsia="Times New Roman" w:hAnsi="Times New Roman" w:cs="Times New Roman"/>
          <w:iCs/>
          <w:sz w:val="24"/>
          <w:szCs w:val="24"/>
          <w:lang w:eastAsia="lv-LV"/>
        </w:rPr>
      </w:pPr>
    </w:p>
    <w:p w:rsidR="00645294" w:rsidRDefault="0064529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IV. Tiesību akta projekta ietekme uz spēkā esošo tiesību normu sistēmu</w:t>
            </w:r>
          </w:p>
        </w:tc>
      </w:tr>
      <w:tr w:rsidR="00C36909"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36909" w:rsidRPr="00C36909" w:rsidRDefault="00C36909" w:rsidP="00C36909">
            <w:pPr>
              <w:spacing w:after="0" w:line="240" w:lineRule="auto"/>
              <w:jc w:val="center"/>
              <w:rPr>
                <w:rFonts w:ascii="Times New Roman" w:eastAsia="Times New Roman" w:hAnsi="Times New Roman" w:cs="Times New Roman"/>
                <w:bCs/>
                <w:iCs/>
                <w:sz w:val="24"/>
                <w:szCs w:val="24"/>
                <w:lang w:eastAsia="lv-LV"/>
              </w:rPr>
            </w:pPr>
            <w:r w:rsidRPr="00C36909">
              <w:rPr>
                <w:rFonts w:ascii="Times New Roman" w:eastAsia="Times New Roman" w:hAnsi="Times New Roman" w:cs="Times New Roman"/>
                <w:bCs/>
                <w:iCs/>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p w:rsidR="00645294" w:rsidRPr="00E63731" w:rsidRDefault="0064529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63731" w:rsidRPr="00E63731" w:rsidRDefault="00E63731" w:rsidP="00E63731">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Cs/>
                <w:iCs/>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 Sabiedrības līdzdalība un komunikācijas aktivitātes</w:t>
            </w:r>
          </w:p>
        </w:tc>
      </w:tr>
      <w:tr w:rsidR="00E63731" w:rsidRPr="00E63731" w:rsidTr="008C3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E63731" w:rsidRDefault="00984697" w:rsidP="00033849">
            <w:pPr>
              <w:spacing w:after="0" w:line="240" w:lineRule="auto"/>
              <w:jc w:val="both"/>
              <w:rPr>
                <w:rFonts w:ascii="Times New Roman" w:eastAsia="Times New Roman" w:hAnsi="Times New Roman" w:cs="Times New Roman"/>
                <w:iCs/>
                <w:sz w:val="24"/>
                <w:szCs w:val="24"/>
                <w:lang w:eastAsia="lv-LV"/>
              </w:rPr>
            </w:pPr>
            <w:r w:rsidRPr="00984697">
              <w:rPr>
                <w:rFonts w:ascii="Times New Roman" w:eastAsia="Times New Roman" w:hAnsi="Times New Roman" w:cs="Times New Roman"/>
                <w:iCs/>
                <w:sz w:val="24"/>
                <w:szCs w:val="24"/>
                <w:lang w:eastAsia="lv-LV"/>
              </w:rPr>
              <w:t>Informācija p</w:t>
            </w:r>
            <w:r w:rsidR="00761DD7">
              <w:rPr>
                <w:rFonts w:ascii="Times New Roman" w:eastAsia="Times New Roman" w:hAnsi="Times New Roman" w:cs="Times New Roman"/>
                <w:iCs/>
                <w:sz w:val="24"/>
                <w:szCs w:val="24"/>
                <w:lang w:eastAsia="lv-LV"/>
              </w:rPr>
              <w:t>ar p</w:t>
            </w:r>
            <w:r w:rsidRPr="00984697">
              <w:rPr>
                <w:rFonts w:ascii="Times New Roman" w:eastAsia="Times New Roman" w:hAnsi="Times New Roman" w:cs="Times New Roman"/>
                <w:iCs/>
                <w:sz w:val="24"/>
                <w:szCs w:val="24"/>
                <w:lang w:eastAsia="lv-LV"/>
              </w:rPr>
              <w:t xml:space="preserve">rojekta izstrādi ir publicēta Finanšu ministrijas tīmekļvietnē sadaļā “Sabiedrības līdzdalība” – “Tiesību aktu projekti” – “Nodokļu politika”. Līdz ar to sabiedrības pārstāvji varēja līdzdarboties projekta izstrādē, </w:t>
            </w:r>
            <w:proofErr w:type="spellStart"/>
            <w:r w:rsidRPr="00984697">
              <w:rPr>
                <w:rFonts w:ascii="Times New Roman" w:eastAsia="Times New Roman" w:hAnsi="Times New Roman" w:cs="Times New Roman"/>
                <w:iCs/>
                <w:sz w:val="24"/>
                <w:szCs w:val="24"/>
                <w:lang w:eastAsia="lv-LV"/>
              </w:rPr>
              <w:t>rakstveidā</w:t>
            </w:r>
            <w:proofErr w:type="spellEnd"/>
            <w:r w:rsidRPr="00984697">
              <w:rPr>
                <w:rFonts w:ascii="Times New Roman" w:eastAsia="Times New Roman" w:hAnsi="Times New Roman" w:cs="Times New Roman"/>
                <w:iCs/>
                <w:sz w:val="24"/>
                <w:szCs w:val="24"/>
                <w:lang w:eastAsia="lv-LV"/>
              </w:rPr>
              <w:t xml:space="preserve"> sniedzot viedokļus par projektu. </w:t>
            </w:r>
            <w:r w:rsidRPr="00A96F1F">
              <w:rPr>
                <w:rFonts w:ascii="Times New Roman" w:eastAsia="Times New Roman" w:hAnsi="Times New Roman" w:cs="Times New Roman"/>
                <w:iCs/>
                <w:sz w:val="24"/>
                <w:szCs w:val="24"/>
                <w:lang w:eastAsia="lv-LV"/>
              </w:rPr>
              <w:t xml:space="preserve">Tāpat sabiedrības pārstāvji </w:t>
            </w:r>
            <w:r w:rsidR="00033849" w:rsidRPr="00A96F1F">
              <w:rPr>
                <w:rFonts w:ascii="Times New Roman" w:eastAsia="Times New Roman" w:hAnsi="Times New Roman" w:cs="Times New Roman"/>
                <w:iCs/>
                <w:sz w:val="24"/>
                <w:szCs w:val="24"/>
                <w:lang w:eastAsia="lv-LV"/>
              </w:rPr>
              <w:t xml:space="preserve">varēja </w:t>
            </w:r>
            <w:r w:rsidRPr="00A96F1F">
              <w:rPr>
                <w:rFonts w:ascii="Times New Roman" w:eastAsia="Times New Roman" w:hAnsi="Times New Roman" w:cs="Times New Roman"/>
                <w:iCs/>
                <w:sz w:val="24"/>
                <w:szCs w:val="24"/>
                <w:lang w:eastAsia="lv-LV"/>
              </w:rPr>
              <w:t xml:space="preserve">sniegt viedokļus par projektu pēc tā izsludināšanas Valsts sekretāru </w:t>
            </w:r>
            <w:r w:rsidR="00033849" w:rsidRPr="00A96F1F">
              <w:rPr>
                <w:rFonts w:ascii="Times New Roman" w:eastAsia="Times New Roman" w:hAnsi="Times New Roman" w:cs="Times New Roman"/>
                <w:iCs/>
                <w:sz w:val="24"/>
                <w:szCs w:val="24"/>
                <w:lang w:eastAsia="lv-LV"/>
              </w:rPr>
              <w:t xml:space="preserve">2019.gada 11.jūlija </w:t>
            </w:r>
            <w:r w:rsidRPr="00A96F1F">
              <w:rPr>
                <w:rFonts w:ascii="Times New Roman" w:eastAsia="Times New Roman" w:hAnsi="Times New Roman" w:cs="Times New Roman"/>
                <w:iCs/>
                <w:sz w:val="24"/>
                <w:szCs w:val="24"/>
                <w:lang w:eastAsia="lv-LV"/>
              </w:rPr>
              <w:t>sanāksmē</w:t>
            </w:r>
            <w:r w:rsidR="00033849" w:rsidRPr="00A96F1F">
              <w:rPr>
                <w:rFonts w:ascii="Times New Roman" w:eastAsia="Times New Roman" w:hAnsi="Times New Roman" w:cs="Times New Roman"/>
                <w:iCs/>
                <w:sz w:val="24"/>
                <w:szCs w:val="24"/>
                <w:lang w:eastAsia="lv-LV"/>
              </w:rPr>
              <w:t xml:space="preserve"> (prot.Nr.27 4.§, VSS-659)</w:t>
            </w:r>
            <w:r w:rsidRPr="00A96F1F">
              <w:rPr>
                <w:rFonts w:ascii="Times New Roman" w:eastAsia="Times New Roman" w:hAnsi="Times New Roman" w:cs="Times New Roman"/>
                <w:iCs/>
                <w:sz w:val="24"/>
                <w:szCs w:val="24"/>
                <w:lang w:eastAsia="lv-LV"/>
              </w:rPr>
              <w:t>.</w:t>
            </w:r>
          </w:p>
        </w:tc>
      </w:tr>
      <w:tr w:rsidR="00E63731" w:rsidRPr="00E63731" w:rsidTr="008C3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984697" w:rsidRPr="00984697" w:rsidRDefault="00984697" w:rsidP="008D4CEC">
            <w:pPr>
              <w:spacing w:after="0" w:line="240" w:lineRule="auto"/>
              <w:jc w:val="both"/>
              <w:rPr>
                <w:rFonts w:ascii="Times New Roman" w:eastAsia="Times New Roman" w:hAnsi="Times New Roman" w:cs="Times New Roman"/>
                <w:iCs/>
                <w:sz w:val="24"/>
                <w:szCs w:val="24"/>
                <w:lang w:eastAsia="lv-LV"/>
              </w:rPr>
            </w:pPr>
            <w:r w:rsidRPr="00984697">
              <w:rPr>
                <w:rFonts w:ascii="Times New Roman" w:eastAsia="Times New Roman" w:hAnsi="Times New Roman" w:cs="Times New Roman"/>
                <w:iCs/>
                <w:sz w:val="24"/>
                <w:szCs w:val="24"/>
                <w:lang w:eastAsia="lv-LV"/>
              </w:rPr>
              <w:t>Sabiedrības pārstāvji varēja līdzdarboties projekta izstrādē</w:t>
            </w:r>
            <w:r w:rsidR="00531D5B">
              <w:rPr>
                <w:rFonts w:ascii="Times New Roman" w:eastAsia="Times New Roman" w:hAnsi="Times New Roman" w:cs="Times New Roman"/>
                <w:iCs/>
                <w:sz w:val="24"/>
                <w:szCs w:val="24"/>
                <w:lang w:eastAsia="lv-LV"/>
              </w:rPr>
              <w:t xml:space="preserve"> līdz </w:t>
            </w:r>
            <w:r w:rsidR="00531D5B" w:rsidRPr="00531D5B">
              <w:rPr>
                <w:rFonts w:ascii="Times New Roman" w:hAnsi="Times New Roman" w:cs="Times New Roman"/>
                <w:sz w:val="24"/>
                <w:szCs w:val="24"/>
              </w:rPr>
              <w:t>2019.gada 30. maijam</w:t>
            </w:r>
            <w:r w:rsidRPr="00984697">
              <w:rPr>
                <w:rFonts w:ascii="Times New Roman" w:eastAsia="Times New Roman" w:hAnsi="Times New Roman" w:cs="Times New Roman"/>
                <w:iCs/>
                <w:sz w:val="24"/>
                <w:szCs w:val="24"/>
                <w:lang w:eastAsia="lv-LV"/>
              </w:rPr>
              <w:t xml:space="preserve">, </w:t>
            </w:r>
            <w:proofErr w:type="spellStart"/>
            <w:r w:rsidRPr="00984697">
              <w:rPr>
                <w:rFonts w:ascii="Times New Roman" w:eastAsia="Times New Roman" w:hAnsi="Times New Roman" w:cs="Times New Roman"/>
                <w:iCs/>
                <w:sz w:val="24"/>
                <w:szCs w:val="24"/>
                <w:lang w:eastAsia="lv-LV"/>
              </w:rPr>
              <w:t>rakstveidā</w:t>
            </w:r>
            <w:proofErr w:type="spellEnd"/>
            <w:r w:rsidRPr="00984697">
              <w:rPr>
                <w:rFonts w:ascii="Times New Roman" w:eastAsia="Times New Roman" w:hAnsi="Times New Roman" w:cs="Times New Roman"/>
                <w:iCs/>
                <w:sz w:val="24"/>
                <w:szCs w:val="24"/>
                <w:lang w:eastAsia="lv-LV"/>
              </w:rPr>
              <w:t xml:space="preserve"> sniedzot viedokļus par projektu, kas 201</w:t>
            </w:r>
            <w:r w:rsidR="00761DD7">
              <w:rPr>
                <w:rFonts w:ascii="Times New Roman" w:eastAsia="Times New Roman" w:hAnsi="Times New Roman" w:cs="Times New Roman"/>
                <w:iCs/>
                <w:sz w:val="24"/>
                <w:szCs w:val="24"/>
                <w:lang w:eastAsia="lv-LV"/>
              </w:rPr>
              <w:t>9.gada 29</w:t>
            </w:r>
            <w:r w:rsidRPr="00984697">
              <w:rPr>
                <w:rFonts w:ascii="Times New Roman" w:eastAsia="Times New Roman" w:hAnsi="Times New Roman" w:cs="Times New Roman"/>
                <w:iCs/>
                <w:sz w:val="24"/>
                <w:szCs w:val="24"/>
                <w:lang w:eastAsia="lv-LV"/>
              </w:rPr>
              <w:t>.</w:t>
            </w:r>
            <w:r w:rsidR="00761DD7">
              <w:rPr>
                <w:rFonts w:ascii="Times New Roman" w:eastAsia="Times New Roman" w:hAnsi="Times New Roman" w:cs="Times New Roman"/>
                <w:iCs/>
                <w:sz w:val="24"/>
                <w:szCs w:val="24"/>
                <w:lang w:eastAsia="lv-LV"/>
              </w:rPr>
              <w:t>aprīlī</w:t>
            </w:r>
            <w:r w:rsidRPr="00984697">
              <w:rPr>
                <w:rFonts w:ascii="Times New Roman" w:eastAsia="Times New Roman" w:hAnsi="Times New Roman" w:cs="Times New Roman"/>
                <w:iCs/>
                <w:sz w:val="24"/>
                <w:szCs w:val="24"/>
                <w:lang w:eastAsia="lv-LV"/>
              </w:rPr>
              <w:t xml:space="preserve"> publicēts Finanšu ministrijas tīmekļvietnē sadaļā “Sabiedrības līdzdalība” – “Tiesību aktu projekti” – “Nodokļu politika”, adrese:</w:t>
            </w:r>
          </w:p>
          <w:p w:rsidR="00761DD7" w:rsidRPr="00761DD7" w:rsidRDefault="00761DD7" w:rsidP="008D4CEC">
            <w:pPr>
              <w:spacing w:after="0" w:line="240" w:lineRule="auto"/>
              <w:jc w:val="both"/>
              <w:rPr>
                <w:rStyle w:val="Hyperlink"/>
                <w:rFonts w:ascii="Times New Roman" w:eastAsia="Calibri" w:hAnsi="Times New Roman" w:cs="Times New Roman"/>
                <w:sz w:val="24"/>
              </w:rPr>
            </w:pPr>
            <w:r>
              <w:rPr>
                <w:rFonts w:ascii="Times New Roman" w:eastAsia="Calibri" w:hAnsi="Times New Roman" w:cs="Times New Roman"/>
                <w:sz w:val="24"/>
              </w:rPr>
              <w:fldChar w:fldCharType="begin"/>
            </w:r>
            <w:r>
              <w:rPr>
                <w:rFonts w:ascii="Times New Roman" w:eastAsia="Calibri" w:hAnsi="Times New Roman" w:cs="Times New Roman"/>
                <w:sz w:val="24"/>
              </w:rPr>
              <w:instrText xml:space="preserve"> HYPERLINK "http://www.fm.gov.lv/lv/sabiedribas_lidzdaliba/tiesibu_aktu_projekti/nodoklu_politika/" \l "project561" </w:instrText>
            </w:r>
            <w:r>
              <w:rPr>
                <w:rFonts w:ascii="Times New Roman" w:eastAsia="Calibri" w:hAnsi="Times New Roman" w:cs="Times New Roman"/>
                <w:sz w:val="24"/>
              </w:rPr>
              <w:fldChar w:fldCharType="separate"/>
            </w:r>
            <w:r w:rsidRPr="00761DD7">
              <w:rPr>
                <w:rStyle w:val="Hyperlink"/>
                <w:rFonts w:ascii="Times New Roman" w:eastAsia="Calibri" w:hAnsi="Times New Roman" w:cs="Times New Roman"/>
                <w:sz w:val="24"/>
              </w:rPr>
              <w:t>http://www.fm.gov.lv/lv/sabiedribas_lidzdaliba</w:t>
            </w:r>
          </w:p>
          <w:p w:rsidR="00761DD7" w:rsidRPr="00761DD7" w:rsidRDefault="00761DD7" w:rsidP="008D4CEC">
            <w:pPr>
              <w:spacing w:after="0" w:line="240" w:lineRule="auto"/>
              <w:jc w:val="both"/>
              <w:rPr>
                <w:rFonts w:ascii="Times New Roman" w:eastAsia="Calibri" w:hAnsi="Times New Roman" w:cs="Times New Roman"/>
                <w:sz w:val="24"/>
              </w:rPr>
            </w:pPr>
            <w:r w:rsidRPr="00761DD7">
              <w:rPr>
                <w:rStyle w:val="Hyperlink"/>
                <w:rFonts w:ascii="Times New Roman" w:eastAsia="Calibri" w:hAnsi="Times New Roman" w:cs="Times New Roman"/>
                <w:sz w:val="24"/>
              </w:rPr>
              <w:t>/</w:t>
            </w:r>
            <w:proofErr w:type="spellStart"/>
            <w:r w:rsidRPr="00761DD7">
              <w:rPr>
                <w:rStyle w:val="Hyperlink"/>
                <w:rFonts w:ascii="Times New Roman" w:eastAsia="Calibri" w:hAnsi="Times New Roman" w:cs="Times New Roman"/>
                <w:sz w:val="24"/>
              </w:rPr>
              <w:t>tiesibu_aktu_projekti</w:t>
            </w:r>
            <w:proofErr w:type="spellEnd"/>
            <w:r w:rsidRPr="00761DD7">
              <w:rPr>
                <w:rStyle w:val="Hyperlink"/>
                <w:rFonts w:ascii="Times New Roman" w:eastAsia="Calibri" w:hAnsi="Times New Roman" w:cs="Times New Roman"/>
                <w:sz w:val="24"/>
              </w:rPr>
              <w:t>/</w:t>
            </w:r>
            <w:proofErr w:type="spellStart"/>
            <w:r w:rsidRPr="00761DD7">
              <w:rPr>
                <w:rStyle w:val="Hyperlink"/>
                <w:rFonts w:ascii="Times New Roman" w:eastAsia="Calibri" w:hAnsi="Times New Roman" w:cs="Times New Roman"/>
                <w:sz w:val="24"/>
              </w:rPr>
              <w:t>nodoklu_politika</w:t>
            </w:r>
            <w:proofErr w:type="spellEnd"/>
            <w:r w:rsidRPr="00761DD7">
              <w:rPr>
                <w:rStyle w:val="Hyperlink"/>
                <w:rFonts w:ascii="Times New Roman" w:eastAsia="Calibri" w:hAnsi="Times New Roman" w:cs="Times New Roman"/>
                <w:sz w:val="24"/>
              </w:rPr>
              <w:t>/#project561</w:t>
            </w:r>
            <w:r>
              <w:rPr>
                <w:rFonts w:ascii="Times New Roman" w:eastAsia="Calibri" w:hAnsi="Times New Roman" w:cs="Times New Roman"/>
                <w:sz w:val="24"/>
              </w:rPr>
              <w:fldChar w:fldCharType="end"/>
            </w:r>
          </w:p>
          <w:p w:rsidR="00E5323B" w:rsidRDefault="00984697" w:rsidP="008D4CEC">
            <w:pPr>
              <w:spacing w:after="0" w:line="240" w:lineRule="auto"/>
              <w:jc w:val="both"/>
              <w:rPr>
                <w:rFonts w:ascii="Times New Roman" w:eastAsia="Times New Roman" w:hAnsi="Times New Roman" w:cs="Times New Roman"/>
                <w:iCs/>
                <w:sz w:val="24"/>
                <w:szCs w:val="24"/>
                <w:lang w:eastAsia="lv-LV"/>
              </w:rPr>
            </w:pPr>
            <w:r w:rsidRPr="00984697">
              <w:rPr>
                <w:rFonts w:ascii="Times New Roman" w:eastAsia="Times New Roman" w:hAnsi="Times New Roman" w:cs="Times New Roman"/>
                <w:iCs/>
                <w:sz w:val="24"/>
                <w:szCs w:val="24"/>
                <w:lang w:eastAsia="lv-LV"/>
              </w:rPr>
              <w:t xml:space="preserve">un Ministru kabineta tīmekļvietnē sadaļā “Valsts kanceleja” – “Sabiedrības līdzdalība”, adrese: </w:t>
            </w:r>
            <w:hyperlink r:id="rId11" w:history="1">
              <w:r w:rsidRPr="00881DD7">
                <w:rPr>
                  <w:rStyle w:val="Hyperlink"/>
                  <w:rFonts w:ascii="Times New Roman" w:eastAsia="Times New Roman" w:hAnsi="Times New Roman" w:cs="Times New Roman"/>
                  <w:iCs/>
                  <w:sz w:val="24"/>
                  <w:szCs w:val="24"/>
                  <w:lang w:eastAsia="lv-LV"/>
                </w:rPr>
                <w:t>https://mk.gov.lv/content/ministru-kabineta-diskusiju-dokumenti</w:t>
              </w:r>
            </w:hyperlink>
            <w:r w:rsidR="00881DD7">
              <w:rPr>
                <w:rFonts w:ascii="Times New Roman" w:eastAsia="Times New Roman" w:hAnsi="Times New Roman" w:cs="Times New Roman"/>
                <w:iCs/>
                <w:sz w:val="24"/>
                <w:szCs w:val="24"/>
                <w:lang w:eastAsia="lv-LV"/>
              </w:rPr>
              <w:t>.</w:t>
            </w:r>
          </w:p>
          <w:p w:rsidR="00033849" w:rsidRPr="00A96F1F" w:rsidRDefault="00033849" w:rsidP="00310B55">
            <w:pPr>
              <w:spacing w:after="0" w:line="240" w:lineRule="auto"/>
              <w:jc w:val="both"/>
              <w:rPr>
                <w:rFonts w:ascii="Times New Roman" w:eastAsia="Times New Roman" w:hAnsi="Times New Roman" w:cs="Times New Roman"/>
                <w:iCs/>
                <w:sz w:val="24"/>
                <w:szCs w:val="24"/>
                <w:lang w:eastAsia="lv-LV"/>
              </w:rPr>
            </w:pPr>
            <w:r w:rsidRPr="00A96F1F">
              <w:rPr>
                <w:rFonts w:ascii="Times New Roman" w:eastAsia="Times New Roman" w:hAnsi="Times New Roman" w:cs="Times New Roman"/>
                <w:iCs/>
                <w:sz w:val="24"/>
                <w:szCs w:val="24"/>
                <w:lang w:eastAsia="lv-LV"/>
              </w:rPr>
              <w:t xml:space="preserve">Pēc projekta </w:t>
            </w:r>
            <w:r w:rsidR="00310B55" w:rsidRPr="00A96F1F">
              <w:rPr>
                <w:rFonts w:ascii="Times New Roman" w:eastAsia="Times New Roman" w:hAnsi="Times New Roman" w:cs="Times New Roman"/>
                <w:iCs/>
                <w:sz w:val="24"/>
                <w:szCs w:val="24"/>
                <w:lang w:eastAsia="lv-LV"/>
              </w:rPr>
              <w:t>izsludināšanas</w:t>
            </w:r>
            <w:r w:rsidRPr="00A96F1F">
              <w:rPr>
                <w:rFonts w:ascii="Times New Roman" w:eastAsia="Times New Roman" w:hAnsi="Times New Roman" w:cs="Times New Roman"/>
                <w:iCs/>
                <w:sz w:val="24"/>
                <w:szCs w:val="24"/>
                <w:lang w:eastAsia="lv-LV"/>
              </w:rPr>
              <w:t xml:space="preserve"> Valsts sekretāru 2019.gada 11.jūlija sanāksmē, sabiedrības pārstāvji varēja sniegt atzinumus par projektu līdz 2019.gada 26.jūlijam. </w:t>
            </w:r>
          </w:p>
        </w:tc>
      </w:tr>
      <w:tr w:rsidR="00E63731" w:rsidRPr="00E63731" w:rsidTr="008C3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A96F1F" w:rsidRDefault="00D77BF3" w:rsidP="00BC63E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pārstāvji viedokļus </w:t>
            </w:r>
            <w:r w:rsidR="00BC63E8">
              <w:rPr>
                <w:rFonts w:ascii="Times New Roman" w:eastAsia="Times New Roman" w:hAnsi="Times New Roman" w:cs="Times New Roman"/>
                <w:iCs/>
                <w:sz w:val="24"/>
                <w:szCs w:val="24"/>
                <w:lang w:eastAsia="lv-LV"/>
              </w:rPr>
              <w:t xml:space="preserve">par projektu </w:t>
            </w:r>
            <w:r>
              <w:rPr>
                <w:rFonts w:ascii="Times New Roman" w:eastAsia="Times New Roman" w:hAnsi="Times New Roman" w:cs="Times New Roman"/>
                <w:iCs/>
                <w:sz w:val="24"/>
                <w:szCs w:val="24"/>
                <w:lang w:eastAsia="lv-LV"/>
              </w:rPr>
              <w:t>nav snieguši.</w:t>
            </w:r>
          </w:p>
        </w:tc>
      </w:tr>
      <w:tr w:rsidR="00E63731" w:rsidRPr="00E63731" w:rsidTr="008C3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367794" w:rsidRDefault="00881DD7" w:rsidP="00367794">
            <w:pPr>
              <w:pStyle w:val="NormalWeb"/>
            </w:pPr>
            <w:r w:rsidRPr="00881DD7">
              <w:t xml:space="preserve">Nav. </w:t>
            </w:r>
            <w:r w:rsidR="00367794" w:rsidRPr="00881DD7">
              <w:t xml:space="preserve"> </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sidRPr="00367794">
              <w:rPr>
                <w:rFonts w:ascii="Times New Roman" w:eastAsia="Times New Roman" w:hAnsi="Times New Roman" w:cs="Times New Roman"/>
                <w:sz w:val="24"/>
                <w:szCs w:val="26"/>
                <w:lang w:eastAsia="lv-LV"/>
              </w:rPr>
              <w:t>Valsts ieņēmumu dienests.</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izpildes ietekme uz pārvaldes funkcijām un institucionālo struktūru.</w:t>
            </w:r>
            <w:r w:rsidRPr="00E6373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67794" w:rsidRPr="00367794" w:rsidRDefault="00367794" w:rsidP="008D4CEC">
            <w:pPr>
              <w:spacing w:after="0" w:line="240" w:lineRule="auto"/>
              <w:jc w:val="both"/>
              <w:rPr>
                <w:rFonts w:ascii="Times New Roman" w:eastAsia="Times New Roman" w:hAnsi="Times New Roman" w:cs="Times New Roman"/>
                <w:iCs/>
                <w:sz w:val="24"/>
                <w:szCs w:val="24"/>
                <w:lang w:eastAsia="lv-LV"/>
              </w:rPr>
            </w:pPr>
            <w:r w:rsidRPr="00367794">
              <w:rPr>
                <w:rFonts w:ascii="Times New Roman" w:eastAsia="Times New Roman" w:hAnsi="Times New Roman" w:cs="Times New Roman"/>
                <w:iCs/>
                <w:sz w:val="24"/>
                <w:szCs w:val="24"/>
                <w:lang w:eastAsia="lv-LV"/>
              </w:rPr>
              <w:t>Funkcijas un uzdevumi netiek grozīti. Jaunu institūciju izveide, esošo institūciju likvidācija vai reorganizācija netiek paredzēta.</w:t>
            </w:r>
          </w:p>
          <w:p w:rsidR="00E5323B" w:rsidRPr="00E63731" w:rsidRDefault="00367794" w:rsidP="008744E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367794">
              <w:rPr>
                <w:rFonts w:ascii="Times New Roman" w:eastAsia="Times New Roman" w:hAnsi="Times New Roman" w:cs="Times New Roman"/>
                <w:iCs/>
                <w:sz w:val="24"/>
                <w:szCs w:val="24"/>
                <w:lang w:eastAsia="lv-LV"/>
              </w:rPr>
              <w:t xml:space="preserve">rojekts tiks </w:t>
            </w:r>
            <w:r w:rsidR="008744EF">
              <w:rPr>
                <w:rFonts w:ascii="Times New Roman" w:eastAsia="Times New Roman" w:hAnsi="Times New Roman" w:cs="Times New Roman"/>
                <w:iCs/>
                <w:sz w:val="24"/>
                <w:szCs w:val="24"/>
                <w:lang w:eastAsia="lv-LV"/>
              </w:rPr>
              <w:t>īstenots</w:t>
            </w:r>
            <w:r w:rsidRPr="00367794">
              <w:rPr>
                <w:rFonts w:ascii="Times New Roman" w:eastAsia="Times New Roman" w:hAnsi="Times New Roman" w:cs="Times New Roman"/>
                <w:iCs/>
                <w:sz w:val="24"/>
                <w:szCs w:val="24"/>
                <w:lang w:eastAsia="lv-LV"/>
              </w:rPr>
              <w:t xml:space="preserve"> esošo cilvēkresursu </w:t>
            </w:r>
            <w:r w:rsidR="00E60253">
              <w:rPr>
                <w:rFonts w:ascii="Times New Roman" w:eastAsia="Times New Roman" w:hAnsi="Times New Roman" w:cs="Times New Roman"/>
                <w:iCs/>
                <w:sz w:val="24"/>
                <w:szCs w:val="24"/>
                <w:lang w:eastAsia="lv-LV"/>
              </w:rPr>
              <w:t>un finanšu līdzekļu</w:t>
            </w:r>
            <w:r w:rsidR="00E60253" w:rsidRPr="00367794">
              <w:rPr>
                <w:rFonts w:ascii="Times New Roman" w:eastAsia="Times New Roman" w:hAnsi="Times New Roman" w:cs="Times New Roman"/>
                <w:iCs/>
                <w:sz w:val="24"/>
                <w:szCs w:val="24"/>
                <w:lang w:eastAsia="lv-LV"/>
              </w:rPr>
              <w:t xml:space="preserve"> </w:t>
            </w:r>
            <w:r w:rsidRPr="00367794">
              <w:rPr>
                <w:rFonts w:ascii="Times New Roman" w:eastAsia="Times New Roman" w:hAnsi="Times New Roman" w:cs="Times New Roman"/>
                <w:iCs/>
                <w:sz w:val="24"/>
                <w:szCs w:val="24"/>
                <w:lang w:eastAsia="lv-LV"/>
              </w:rPr>
              <w:t>ietvaros.</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645294" w:rsidRDefault="00645294" w:rsidP="009B3220">
      <w:pPr>
        <w:pStyle w:val="NormalWeb"/>
        <w:rPr>
          <w:sz w:val="28"/>
        </w:rPr>
      </w:pPr>
    </w:p>
    <w:p w:rsidR="00894C55" w:rsidRPr="009B3220" w:rsidRDefault="00881DD7" w:rsidP="009B3220">
      <w:pPr>
        <w:pStyle w:val="NormalWeb"/>
        <w:rPr>
          <w:sz w:val="28"/>
        </w:rPr>
      </w:pPr>
      <w:r w:rsidRPr="0053069A">
        <w:rPr>
          <w:sz w:val="28"/>
        </w:rPr>
        <w:t>Finanšu ministrs  </w:t>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t xml:space="preserve"> </w:t>
      </w:r>
      <w:proofErr w:type="spellStart"/>
      <w:r w:rsidRPr="0053069A">
        <w:rPr>
          <w:sz w:val="28"/>
        </w:rPr>
        <w:t>J.Reirs</w:t>
      </w:r>
      <w:proofErr w:type="spellEnd"/>
      <w:r w:rsidRPr="0053069A">
        <w:rPr>
          <w:sz w:val="28"/>
        </w:rPr>
        <w:t xml:space="preserve"> </w:t>
      </w:r>
    </w:p>
    <w:p w:rsidR="00B47251" w:rsidRDefault="00B47251" w:rsidP="00894C55">
      <w:pPr>
        <w:tabs>
          <w:tab w:val="left" w:pos="6237"/>
        </w:tabs>
        <w:spacing w:after="0" w:line="240" w:lineRule="auto"/>
        <w:rPr>
          <w:rFonts w:ascii="Times New Roman" w:hAnsi="Times New Roman" w:cs="Times New Roman"/>
          <w:sz w:val="20"/>
          <w:szCs w:val="28"/>
        </w:rPr>
      </w:pPr>
    </w:p>
    <w:p w:rsidR="00B47251" w:rsidRDefault="00B47251" w:rsidP="00894C55">
      <w:pPr>
        <w:tabs>
          <w:tab w:val="left" w:pos="6237"/>
        </w:tabs>
        <w:spacing w:after="0" w:line="240" w:lineRule="auto"/>
        <w:rPr>
          <w:rFonts w:ascii="Times New Roman" w:hAnsi="Times New Roman" w:cs="Times New Roman"/>
          <w:sz w:val="20"/>
          <w:szCs w:val="28"/>
        </w:rPr>
      </w:pPr>
    </w:p>
    <w:p w:rsidR="00B47251" w:rsidRDefault="00B47251" w:rsidP="00894C55">
      <w:pPr>
        <w:tabs>
          <w:tab w:val="left" w:pos="6237"/>
        </w:tabs>
        <w:spacing w:after="0" w:line="240" w:lineRule="auto"/>
        <w:rPr>
          <w:rFonts w:ascii="Times New Roman" w:hAnsi="Times New Roman" w:cs="Times New Roman"/>
          <w:sz w:val="20"/>
          <w:szCs w:val="28"/>
        </w:rPr>
      </w:pPr>
    </w:p>
    <w:p w:rsidR="00B47251" w:rsidRDefault="00B47251" w:rsidP="00894C55">
      <w:pPr>
        <w:tabs>
          <w:tab w:val="left" w:pos="6237"/>
        </w:tabs>
        <w:spacing w:after="0" w:line="240" w:lineRule="auto"/>
        <w:rPr>
          <w:rFonts w:ascii="Times New Roman" w:hAnsi="Times New Roman" w:cs="Times New Roman"/>
          <w:sz w:val="20"/>
          <w:szCs w:val="28"/>
        </w:rPr>
      </w:pPr>
    </w:p>
    <w:p w:rsidR="00B47251" w:rsidRDefault="00B47251" w:rsidP="00894C55">
      <w:pPr>
        <w:tabs>
          <w:tab w:val="left" w:pos="6237"/>
        </w:tabs>
        <w:spacing w:after="0" w:line="240" w:lineRule="auto"/>
        <w:rPr>
          <w:rFonts w:ascii="Times New Roman" w:hAnsi="Times New Roman" w:cs="Times New Roman"/>
          <w:sz w:val="20"/>
          <w:szCs w:val="28"/>
        </w:rPr>
      </w:pPr>
    </w:p>
    <w:p w:rsidR="00B47251" w:rsidRDefault="00B47251" w:rsidP="00894C55">
      <w:pPr>
        <w:tabs>
          <w:tab w:val="left" w:pos="6237"/>
        </w:tabs>
        <w:spacing w:after="0" w:line="240" w:lineRule="auto"/>
        <w:rPr>
          <w:rFonts w:ascii="Times New Roman" w:hAnsi="Times New Roman" w:cs="Times New Roman"/>
          <w:sz w:val="20"/>
          <w:szCs w:val="28"/>
        </w:rPr>
      </w:pPr>
    </w:p>
    <w:p w:rsidR="00B47251" w:rsidRDefault="00B47251" w:rsidP="00894C55">
      <w:pPr>
        <w:tabs>
          <w:tab w:val="left" w:pos="6237"/>
        </w:tabs>
        <w:spacing w:after="0" w:line="240" w:lineRule="auto"/>
        <w:rPr>
          <w:rFonts w:ascii="Times New Roman" w:hAnsi="Times New Roman" w:cs="Times New Roman"/>
          <w:sz w:val="20"/>
          <w:szCs w:val="28"/>
        </w:rPr>
      </w:pPr>
    </w:p>
    <w:p w:rsidR="00B47251" w:rsidRDefault="00B47251" w:rsidP="00894C55">
      <w:pPr>
        <w:tabs>
          <w:tab w:val="left" w:pos="6237"/>
        </w:tabs>
        <w:spacing w:after="0" w:line="240" w:lineRule="auto"/>
        <w:rPr>
          <w:rFonts w:ascii="Times New Roman" w:hAnsi="Times New Roman" w:cs="Times New Roman"/>
          <w:sz w:val="20"/>
          <w:szCs w:val="28"/>
        </w:rPr>
      </w:pPr>
    </w:p>
    <w:p w:rsidR="00B47251" w:rsidRDefault="00B47251" w:rsidP="00894C55">
      <w:pPr>
        <w:tabs>
          <w:tab w:val="left" w:pos="6237"/>
        </w:tabs>
        <w:spacing w:after="0" w:line="240" w:lineRule="auto"/>
        <w:rPr>
          <w:rFonts w:ascii="Times New Roman" w:hAnsi="Times New Roman" w:cs="Times New Roman"/>
          <w:sz w:val="20"/>
          <w:szCs w:val="28"/>
        </w:rPr>
      </w:pPr>
    </w:p>
    <w:p w:rsidR="00894C55" w:rsidRPr="00881DD7" w:rsidRDefault="00881DD7" w:rsidP="00894C55">
      <w:pPr>
        <w:tabs>
          <w:tab w:val="left" w:pos="6237"/>
        </w:tabs>
        <w:spacing w:after="0" w:line="240" w:lineRule="auto"/>
        <w:rPr>
          <w:rFonts w:ascii="Times New Roman" w:hAnsi="Times New Roman" w:cs="Times New Roman"/>
          <w:sz w:val="20"/>
          <w:szCs w:val="28"/>
        </w:rPr>
      </w:pPr>
      <w:r w:rsidRPr="00881DD7">
        <w:rPr>
          <w:rFonts w:ascii="Times New Roman" w:hAnsi="Times New Roman" w:cs="Times New Roman"/>
          <w:sz w:val="20"/>
          <w:szCs w:val="28"/>
        </w:rPr>
        <w:t>Matveja</w:t>
      </w:r>
      <w:r w:rsidR="00D133F8" w:rsidRPr="00881DD7">
        <w:rPr>
          <w:rFonts w:ascii="Times New Roman" w:hAnsi="Times New Roman" w:cs="Times New Roman"/>
          <w:sz w:val="20"/>
          <w:szCs w:val="28"/>
        </w:rPr>
        <w:t xml:space="preserve"> 670</w:t>
      </w:r>
      <w:r w:rsidRPr="00881DD7">
        <w:rPr>
          <w:rFonts w:ascii="Times New Roman" w:hAnsi="Times New Roman" w:cs="Times New Roman"/>
          <w:sz w:val="20"/>
          <w:szCs w:val="28"/>
        </w:rPr>
        <w:t>95492</w:t>
      </w:r>
    </w:p>
    <w:p w:rsidR="00894C55" w:rsidRPr="00881DD7" w:rsidRDefault="00881DD7" w:rsidP="00894C55">
      <w:pPr>
        <w:tabs>
          <w:tab w:val="left" w:pos="6237"/>
        </w:tabs>
        <w:spacing w:after="0" w:line="240" w:lineRule="auto"/>
        <w:rPr>
          <w:rFonts w:ascii="Times New Roman" w:hAnsi="Times New Roman" w:cs="Times New Roman"/>
          <w:sz w:val="20"/>
          <w:szCs w:val="28"/>
        </w:rPr>
      </w:pPr>
      <w:r w:rsidRPr="00881DD7">
        <w:rPr>
          <w:rFonts w:ascii="Times New Roman" w:hAnsi="Times New Roman" w:cs="Times New Roman"/>
          <w:sz w:val="20"/>
          <w:szCs w:val="28"/>
        </w:rPr>
        <w:t>Liva.Matveja</w:t>
      </w:r>
      <w:r w:rsidR="00894C55" w:rsidRPr="00881DD7">
        <w:rPr>
          <w:rFonts w:ascii="Times New Roman" w:hAnsi="Times New Roman" w:cs="Times New Roman"/>
          <w:sz w:val="20"/>
          <w:szCs w:val="28"/>
        </w:rPr>
        <w:t>@</w:t>
      </w:r>
      <w:r w:rsidRPr="00881DD7">
        <w:rPr>
          <w:rFonts w:ascii="Times New Roman" w:hAnsi="Times New Roman" w:cs="Times New Roman"/>
          <w:sz w:val="20"/>
          <w:szCs w:val="28"/>
        </w:rPr>
        <w:t>fm</w:t>
      </w:r>
      <w:r w:rsidR="00894C55" w:rsidRPr="00881DD7">
        <w:rPr>
          <w:rFonts w:ascii="Times New Roman" w:hAnsi="Times New Roman" w:cs="Times New Roman"/>
          <w:sz w:val="20"/>
          <w:szCs w:val="28"/>
        </w:rPr>
        <w:t>.gov.lv</w:t>
      </w:r>
    </w:p>
    <w:sectPr w:rsidR="00894C55" w:rsidRPr="00881DD7"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C1" w:rsidRDefault="00497CC1" w:rsidP="00894C55">
      <w:pPr>
        <w:spacing w:after="0" w:line="240" w:lineRule="auto"/>
      </w:pPr>
      <w:r>
        <w:separator/>
      </w:r>
    </w:p>
  </w:endnote>
  <w:endnote w:type="continuationSeparator" w:id="0">
    <w:p w:rsidR="00497CC1" w:rsidRDefault="00497CC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E63731" w:rsidRDefault="00A86F8B" w:rsidP="00E63731">
    <w:pPr>
      <w:pStyle w:val="Footer"/>
      <w:rPr>
        <w:rFonts w:ascii="Times New Roman" w:hAnsi="Times New Roman" w:cs="Times New Roman"/>
        <w:sz w:val="20"/>
        <w:szCs w:val="20"/>
      </w:rPr>
    </w:pPr>
    <w:r>
      <w:rPr>
        <w:rFonts w:ascii="Times New Roman" w:hAnsi="Times New Roman" w:cs="Times New Roman"/>
        <w:sz w:val="20"/>
        <w:szCs w:val="20"/>
      </w:rPr>
      <w:t>FMAnot_</w:t>
    </w:r>
    <w:r w:rsidR="00D15667">
      <w:rPr>
        <w:rFonts w:ascii="Times New Roman" w:hAnsi="Times New Roman" w:cs="Times New Roman"/>
        <w:sz w:val="20"/>
        <w:szCs w:val="20"/>
      </w:rPr>
      <w:t>15</w:t>
    </w:r>
    <w:r w:rsidR="009107F7">
      <w:rPr>
        <w:rFonts w:ascii="Times New Roman" w:hAnsi="Times New Roman" w:cs="Times New Roman"/>
        <w:sz w:val="20"/>
        <w:szCs w:val="20"/>
      </w:rPr>
      <w:t>10</w:t>
    </w:r>
    <w:r w:rsidR="0032068B">
      <w:rPr>
        <w:rFonts w:ascii="Times New Roman" w:hAnsi="Times New Roman" w:cs="Times New Roman"/>
        <w:sz w:val="20"/>
        <w:szCs w:val="20"/>
      </w:rPr>
      <w:t>19</w:t>
    </w:r>
    <w:r w:rsidR="00E63731">
      <w:rPr>
        <w:rFonts w:ascii="Times New Roman" w:hAnsi="Times New Roman" w:cs="Times New Roman"/>
        <w:sz w:val="20"/>
        <w:szCs w:val="20"/>
      </w:rPr>
      <w:t>_MK676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E63731">
    <w:pPr>
      <w:pStyle w:val="Footer"/>
      <w:rPr>
        <w:rFonts w:ascii="Times New Roman" w:hAnsi="Times New Roman" w:cs="Times New Roman"/>
        <w:sz w:val="20"/>
        <w:szCs w:val="20"/>
      </w:rPr>
    </w:pPr>
    <w:r>
      <w:rPr>
        <w:rFonts w:ascii="Times New Roman" w:hAnsi="Times New Roman" w:cs="Times New Roman"/>
        <w:sz w:val="20"/>
        <w:szCs w:val="20"/>
      </w:rPr>
      <w:t>FMA</w:t>
    </w:r>
    <w:r w:rsidR="009A2654">
      <w:rPr>
        <w:rFonts w:ascii="Times New Roman" w:hAnsi="Times New Roman" w:cs="Times New Roman"/>
        <w:sz w:val="20"/>
        <w:szCs w:val="20"/>
      </w:rPr>
      <w:t>not_</w:t>
    </w:r>
    <w:r w:rsidR="00D15667">
      <w:rPr>
        <w:rFonts w:ascii="Times New Roman" w:hAnsi="Times New Roman" w:cs="Times New Roman"/>
        <w:sz w:val="20"/>
        <w:szCs w:val="20"/>
      </w:rPr>
      <w:t>15</w:t>
    </w:r>
    <w:r w:rsidR="009107F7">
      <w:rPr>
        <w:rFonts w:ascii="Times New Roman" w:hAnsi="Times New Roman" w:cs="Times New Roman"/>
        <w:sz w:val="20"/>
        <w:szCs w:val="20"/>
      </w:rPr>
      <w:t>10</w:t>
    </w:r>
    <w:r w:rsidR="0032068B">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MK676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C1" w:rsidRDefault="00497CC1" w:rsidP="00894C55">
      <w:pPr>
        <w:spacing w:after="0" w:line="240" w:lineRule="auto"/>
      </w:pPr>
      <w:r>
        <w:separator/>
      </w:r>
    </w:p>
  </w:footnote>
  <w:footnote w:type="continuationSeparator" w:id="0">
    <w:p w:rsidR="00497CC1" w:rsidRDefault="00497CC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1B6B">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0A8"/>
    <w:rsid w:val="000205D4"/>
    <w:rsid w:val="000213CA"/>
    <w:rsid w:val="00033849"/>
    <w:rsid w:val="00046395"/>
    <w:rsid w:val="00064397"/>
    <w:rsid w:val="000651D0"/>
    <w:rsid w:val="00075946"/>
    <w:rsid w:val="00076CFC"/>
    <w:rsid w:val="000C21E0"/>
    <w:rsid w:val="000D07FE"/>
    <w:rsid w:val="000D3813"/>
    <w:rsid w:val="001009A0"/>
    <w:rsid w:val="00103F22"/>
    <w:rsid w:val="001075CA"/>
    <w:rsid w:val="0012544B"/>
    <w:rsid w:val="00127219"/>
    <w:rsid w:val="001422F8"/>
    <w:rsid w:val="001A0275"/>
    <w:rsid w:val="001A5E73"/>
    <w:rsid w:val="001C0998"/>
    <w:rsid w:val="001D5573"/>
    <w:rsid w:val="001F5AC6"/>
    <w:rsid w:val="001F6BB3"/>
    <w:rsid w:val="002402D2"/>
    <w:rsid w:val="00243426"/>
    <w:rsid w:val="002710B0"/>
    <w:rsid w:val="002742DF"/>
    <w:rsid w:val="00277C74"/>
    <w:rsid w:val="00284D25"/>
    <w:rsid w:val="002943DD"/>
    <w:rsid w:val="002B7658"/>
    <w:rsid w:val="002B77D1"/>
    <w:rsid w:val="002D47AA"/>
    <w:rsid w:val="002D6B63"/>
    <w:rsid w:val="002E1C05"/>
    <w:rsid w:val="002E4AEA"/>
    <w:rsid w:val="002F533E"/>
    <w:rsid w:val="00310B55"/>
    <w:rsid w:val="0032068B"/>
    <w:rsid w:val="00331409"/>
    <w:rsid w:val="00341253"/>
    <w:rsid w:val="003526C5"/>
    <w:rsid w:val="0036309A"/>
    <w:rsid w:val="00364F06"/>
    <w:rsid w:val="00367794"/>
    <w:rsid w:val="00371131"/>
    <w:rsid w:val="003B0BF9"/>
    <w:rsid w:val="003B1842"/>
    <w:rsid w:val="003D083A"/>
    <w:rsid w:val="003D5A9A"/>
    <w:rsid w:val="003E0791"/>
    <w:rsid w:val="003E18B0"/>
    <w:rsid w:val="003E6F8D"/>
    <w:rsid w:val="003F28AC"/>
    <w:rsid w:val="003F532A"/>
    <w:rsid w:val="0041518E"/>
    <w:rsid w:val="004155F8"/>
    <w:rsid w:val="00423224"/>
    <w:rsid w:val="00431542"/>
    <w:rsid w:val="004319E6"/>
    <w:rsid w:val="00432071"/>
    <w:rsid w:val="00437890"/>
    <w:rsid w:val="004454FE"/>
    <w:rsid w:val="004520C1"/>
    <w:rsid w:val="00456E40"/>
    <w:rsid w:val="00460F4E"/>
    <w:rsid w:val="00471F27"/>
    <w:rsid w:val="004736B3"/>
    <w:rsid w:val="00497CC1"/>
    <w:rsid w:val="004A6BB4"/>
    <w:rsid w:val="004C5E00"/>
    <w:rsid w:val="004D5F17"/>
    <w:rsid w:val="004F1F65"/>
    <w:rsid w:val="0050178F"/>
    <w:rsid w:val="00506044"/>
    <w:rsid w:val="0053069A"/>
    <w:rsid w:val="00531D5B"/>
    <w:rsid w:val="00544C93"/>
    <w:rsid w:val="00557EF9"/>
    <w:rsid w:val="00561ACE"/>
    <w:rsid w:val="005649BE"/>
    <w:rsid w:val="005714EB"/>
    <w:rsid w:val="00581D3D"/>
    <w:rsid w:val="00583841"/>
    <w:rsid w:val="005845B5"/>
    <w:rsid w:val="00592411"/>
    <w:rsid w:val="005A0635"/>
    <w:rsid w:val="005B515D"/>
    <w:rsid w:val="005B704F"/>
    <w:rsid w:val="005C40BC"/>
    <w:rsid w:val="00625CC7"/>
    <w:rsid w:val="00631584"/>
    <w:rsid w:val="00645294"/>
    <w:rsid w:val="006460D6"/>
    <w:rsid w:val="00655F2C"/>
    <w:rsid w:val="00675AEF"/>
    <w:rsid w:val="006809DD"/>
    <w:rsid w:val="006840D9"/>
    <w:rsid w:val="00692884"/>
    <w:rsid w:val="006932C2"/>
    <w:rsid w:val="006A7ED5"/>
    <w:rsid w:val="006D2F39"/>
    <w:rsid w:val="006E1081"/>
    <w:rsid w:val="006E7019"/>
    <w:rsid w:val="006F1FC4"/>
    <w:rsid w:val="006F4392"/>
    <w:rsid w:val="0070467B"/>
    <w:rsid w:val="00704EBD"/>
    <w:rsid w:val="00711FDC"/>
    <w:rsid w:val="00720585"/>
    <w:rsid w:val="00721586"/>
    <w:rsid w:val="0072748D"/>
    <w:rsid w:val="00750129"/>
    <w:rsid w:val="00761DD7"/>
    <w:rsid w:val="00773AF6"/>
    <w:rsid w:val="00784540"/>
    <w:rsid w:val="00795F71"/>
    <w:rsid w:val="007D3C50"/>
    <w:rsid w:val="007E5F7A"/>
    <w:rsid w:val="007E73AB"/>
    <w:rsid w:val="00801B6B"/>
    <w:rsid w:val="00804518"/>
    <w:rsid w:val="0080523A"/>
    <w:rsid w:val="00816C11"/>
    <w:rsid w:val="008242E9"/>
    <w:rsid w:val="0084278A"/>
    <w:rsid w:val="00843211"/>
    <w:rsid w:val="00862AB5"/>
    <w:rsid w:val="00862F66"/>
    <w:rsid w:val="00870DDD"/>
    <w:rsid w:val="008744EF"/>
    <w:rsid w:val="008804D9"/>
    <w:rsid w:val="00881210"/>
    <w:rsid w:val="00881DD7"/>
    <w:rsid w:val="00891473"/>
    <w:rsid w:val="00894C55"/>
    <w:rsid w:val="008B3DF0"/>
    <w:rsid w:val="008C35DC"/>
    <w:rsid w:val="008C4CAE"/>
    <w:rsid w:val="008C5104"/>
    <w:rsid w:val="008C6B6D"/>
    <w:rsid w:val="008D4CEC"/>
    <w:rsid w:val="008D78BD"/>
    <w:rsid w:val="008E5D87"/>
    <w:rsid w:val="008F7620"/>
    <w:rsid w:val="00905C68"/>
    <w:rsid w:val="009107F7"/>
    <w:rsid w:val="00915930"/>
    <w:rsid w:val="00932A0D"/>
    <w:rsid w:val="00944D4E"/>
    <w:rsid w:val="00945A9C"/>
    <w:rsid w:val="00962586"/>
    <w:rsid w:val="00964354"/>
    <w:rsid w:val="00980035"/>
    <w:rsid w:val="009800FA"/>
    <w:rsid w:val="00984697"/>
    <w:rsid w:val="009A2654"/>
    <w:rsid w:val="009B14DD"/>
    <w:rsid w:val="009B3220"/>
    <w:rsid w:val="009C0C35"/>
    <w:rsid w:val="009D57A9"/>
    <w:rsid w:val="009E022B"/>
    <w:rsid w:val="009F24A5"/>
    <w:rsid w:val="00A10FC3"/>
    <w:rsid w:val="00A12201"/>
    <w:rsid w:val="00A23038"/>
    <w:rsid w:val="00A35525"/>
    <w:rsid w:val="00A4099D"/>
    <w:rsid w:val="00A424E3"/>
    <w:rsid w:val="00A459A9"/>
    <w:rsid w:val="00A461FD"/>
    <w:rsid w:val="00A6073E"/>
    <w:rsid w:val="00A63E4D"/>
    <w:rsid w:val="00A70C55"/>
    <w:rsid w:val="00A736D0"/>
    <w:rsid w:val="00A75CA3"/>
    <w:rsid w:val="00A86F8B"/>
    <w:rsid w:val="00A96F1F"/>
    <w:rsid w:val="00AA7BD1"/>
    <w:rsid w:val="00AB6197"/>
    <w:rsid w:val="00AC04D1"/>
    <w:rsid w:val="00AC42F5"/>
    <w:rsid w:val="00AD04FC"/>
    <w:rsid w:val="00AD0C80"/>
    <w:rsid w:val="00AE508E"/>
    <w:rsid w:val="00AE5567"/>
    <w:rsid w:val="00AF1239"/>
    <w:rsid w:val="00B00944"/>
    <w:rsid w:val="00B05BC5"/>
    <w:rsid w:val="00B16480"/>
    <w:rsid w:val="00B2165C"/>
    <w:rsid w:val="00B33131"/>
    <w:rsid w:val="00B44E7A"/>
    <w:rsid w:val="00B47251"/>
    <w:rsid w:val="00B60B3E"/>
    <w:rsid w:val="00B7337C"/>
    <w:rsid w:val="00BA20AA"/>
    <w:rsid w:val="00BC201D"/>
    <w:rsid w:val="00BC63E8"/>
    <w:rsid w:val="00BD2256"/>
    <w:rsid w:val="00BD4425"/>
    <w:rsid w:val="00BE1C25"/>
    <w:rsid w:val="00BF315F"/>
    <w:rsid w:val="00C072C4"/>
    <w:rsid w:val="00C078E9"/>
    <w:rsid w:val="00C11896"/>
    <w:rsid w:val="00C25B49"/>
    <w:rsid w:val="00C36909"/>
    <w:rsid w:val="00C53E23"/>
    <w:rsid w:val="00C569AB"/>
    <w:rsid w:val="00C64AD8"/>
    <w:rsid w:val="00C80E9A"/>
    <w:rsid w:val="00C9659B"/>
    <w:rsid w:val="00CA57B5"/>
    <w:rsid w:val="00CB0B30"/>
    <w:rsid w:val="00CC0D2D"/>
    <w:rsid w:val="00CC53A7"/>
    <w:rsid w:val="00CD21E9"/>
    <w:rsid w:val="00CE5657"/>
    <w:rsid w:val="00CE7956"/>
    <w:rsid w:val="00CF607B"/>
    <w:rsid w:val="00CF7C70"/>
    <w:rsid w:val="00D103F7"/>
    <w:rsid w:val="00D133F8"/>
    <w:rsid w:val="00D14A3E"/>
    <w:rsid w:val="00D15667"/>
    <w:rsid w:val="00D268C6"/>
    <w:rsid w:val="00D27E9A"/>
    <w:rsid w:val="00D309A8"/>
    <w:rsid w:val="00D4392D"/>
    <w:rsid w:val="00D45A9B"/>
    <w:rsid w:val="00D46CE8"/>
    <w:rsid w:val="00D568FD"/>
    <w:rsid w:val="00D6455A"/>
    <w:rsid w:val="00D70907"/>
    <w:rsid w:val="00D70FD7"/>
    <w:rsid w:val="00D77BF3"/>
    <w:rsid w:val="00D861D1"/>
    <w:rsid w:val="00D9043E"/>
    <w:rsid w:val="00D914EC"/>
    <w:rsid w:val="00DB4D81"/>
    <w:rsid w:val="00DB5728"/>
    <w:rsid w:val="00DC2351"/>
    <w:rsid w:val="00DD0F86"/>
    <w:rsid w:val="00DD5F56"/>
    <w:rsid w:val="00DD7DE5"/>
    <w:rsid w:val="00DE04D4"/>
    <w:rsid w:val="00DE2E98"/>
    <w:rsid w:val="00DE320A"/>
    <w:rsid w:val="00DE3F20"/>
    <w:rsid w:val="00E03F2B"/>
    <w:rsid w:val="00E05A4A"/>
    <w:rsid w:val="00E05F53"/>
    <w:rsid w:val="00E060DA"/>
    <w:rsid w:val="00E12805"/>
    <w:rsid w:val="00E12952"/>
    <w:rsid w:val="00E13908"/>
    <w:rsid w:val="00E240CF"/>
    <w:rsid w:val="00E3716B"/>
    <w:rsid w:val="00E41DE9"/>
    <w:rsid w:val="00E443AC"/>
    <w:rsid w:val="00E5323B"/>
    <w:rsid w:val="00E60253"/>
    <w:rsid w:val="00E63731"/>
    <w:rsid w:val="00E6696C"/>
    <w:rsid w:val="00E714FC"/>
    <w:rsid w:val="00E75958"/>
    <w:rsid w:val="00E764A0"/>
    <w:rsid w:val="00E77CCD"/>
    <w:rsid w:val="00E801E3"/>
    <w:rsid w:val="00E86D1E"/>
    <w:rsid w:val="00E8749E"/>
    <w:rsid w:val="00E90C01"/>
    <w:rsid w:val="00EA486E"/>
    <w:rsid w:val="00EA69FF"/>
    <w:rsid w:val="00EA7031"/>
    <w:rsid w:val="00ED68F4"/>
    <w:rsid w:val="00EE6B71"/>
    <w:rsid w:val="00F06DBB"/>
    <w:rsid w:val="00F11C03"/>
    <w:rsid w:val="00F27759"/>
    <w:rsid w:val="00F515E2"/>
    <w:rsid w:val="00F57B0C"/>
    <w:rsid w:val="00F7116B"/>
    <w:rsid w:val="00F832EA"/>
    <w:rsid w:val="00F85EC7"/>
    <w:rsid w:val="00FB02A8"/>
    <w:rsid w:val="00FB62A2"/>
    <w:rsid w:val="00FB6FEF"/>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4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1267873">
      <w:bodyDiv w:val="1"/>
      <w:marLeft w:val="0"/>
      <w:marRight w:val="0"/>
      <w:marTop w:val="0"/>
      <w:marBottom w:val="0"/>
      <w:divBdr>
        <w:top w:val="none" w:sz="0" w:space="0" w:color="auto"/>
        <w:left w:val="none" w:sz="0" w:space="0" w:color="auto"/>
        <w:bottom w:val="none" w:sz="0" w:space="0" w:color="auto"/>
        <w:right w:val="none" w:sz="0" w:space="0" w:color="auto"/>
      </w:divBdr>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1645743482">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k.gov.lv/content/ministru-kabineta-diskusiju-dokument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kumi.lv/ta/id/29550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49b0bb89-35b3-4114-9b1c-a376ef2ba045">75</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568E-3D52-463D-87AA-97E991D09C12}">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3.xml><?xml version="1.0" encoding="utf-8"?>
<ds:datastoreItem xmlns:ds="http://schemas.openxmlformats.org/officeDocument/2006/customXml" ds:itemID="{2F30AAD7-0008-4F91-9933-A0553F78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CFB4F-A9A4-438A-B3F4-B9FF5466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15864</Words>
  <Characters>9044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14.novembra noteikumos Nr.676 “Noteikumi par neapliekamā minimuma un nodokļa atvieglojuma apmēru iedzīvotāju ienākuma nodokļa aprēķināšanai”" sākotnējās ietekmes novērtējuma ziņojums (anotācija)</vt:lpstr>
    </vt:vector>
  </TitlesOfParts>
  <Company>Finanšu ministrija</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14.novembra noteikumos Nr.676 “Noteikumi par neapliekamā minimuma un nodokļa atvieglojuma apmēru iedzīvotāju ienākuma nodokļa aprēķināšanai”" sākotnējās ietekmes novērtējuma ziņojums (anotācija)</dc:title>
  <dc:subject>Anotācija</dc:subject>
  <dc:creator>L. Matveja (TND)</dc:creator>
  <dc:description>67095492, Liva.Matveja@fm.gov.lv</dc:description>
  <cp:lastModifiedBy>Līva Matveja</cp:lastModifiedBy>
  <cp:revision>7</cp:revision>
  <cp:lastPrinted>2019-09-25T10:51:00Z</cp:lastPrinted>
  <dcterms:created xsi:type="dcterms:W3CDTF">2019-10-15T09:58:00Z</dcterms:created>
  <dcterms:modified xsi:type="dcterms:W3CDTF">2019-10-18T07:10:00Z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