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A4C2" w14:textId="77777777" w:rsidR="00F93DBB" w:rsidRPr="003350F2" w:rsidRDefault="007F717E" w:rsidP="009E29B8">
      <w:pPr>
        <w:ind w:left="-284" w:right="-257"/>
        <w:jc w:val="center"/>
        <w:rPr>
          <w:b/>
          <w:sz w:val="26"/>
          <w:szCs w:val="26"/>
        </w:rPr>
      </w:pPr>
      <w:bookmarkStart w:id="0" w:name="OLE_LINK3"/>
      <w:bookmarkStart w:id="1" w:name="OLE_LINK4"/>
      <w:bookmarkStart w:id="2" w:name="OLE_LINK1"/>
      <w:r>
        <w:rPr>
          <w:b/>
          <w:sz w:val="26"/>
          <w:szCs w:val="26"/>
        </w:rPr>
        <w:t>Ministru</w:t>
      </w:r>
      <w:r w:rsidR="00F93DBB" w:rsidRPr="003350F2">
        <w:rPr>
          <w:b/>
          <w:sz w:val="26"/>
          <w:szCs w:val="26"/>
        </w:rPr>
        <w:t xml:space="preserve"> kabineta rīkojuma projekta</w:t>
      </w:r>
    </w:p>
    <w:p w14:paraId="51CB8CE7" w14:textId="77777777" w:rsidR="00761B03" w:rsidRDefault="00A95AA2" w:rsidP="009E29B8">
      <w:pPr>
        <w:ind w:left="-284" w:right="-257"/>
        <w:jc w:val="center"/>
        <w:rPr>
          <w:b/>
          <w:sz w:val="26"/>
          <w:szCs w:val="26"/>
        </w:rPr>
      </w:pPr>
      <w:r w:rsidRPr="003350F2">
        <w:rPr>
          <w:b/>
          <w:sz w:val="26"/>
          <w:szCs w:val="26"/>
        </w:rPr>
        <w:t>„</w:t>
      </w:r>
      <w:r w:rsidR="00F93DBB" w:rsidRPr="003350F2">
        <w:rPr>
          <w:b/>
          <w:sz w:val="26"/>
          <w:szCs w:val="26"/>
        </w:rPr>
        <w:t>Par finanšu līdzekļu piešķiršan</w:t>
      </w:r>
      <w:r w:rsidRPr="003350F2">
        <w:rPr>
          <w:b/>
          <w:sz w:val="26"/>
          <w:szCs w:val="26"/>
        </w:rPr>
        <w:t>u no valsts budžeta programmas „</w:t>
      </w:r>
      <w:r w:rsidR="00F93DBB" w:rsidRPr="003350F2">
        <w:rPr>
          <w:b/>
          <w:sz w:val="26"/>
          <w:szCs w:val="26"/>
        </w:rPr>
        <w:t>Līdzekļi neparedzētiem gadījumiem”” sākotnējās ietekmes novērtējuma ziņojums (anotācija)</w:t>
      </w:r>
    </w:p>
    <w:p w14:paraId="08E95F60" w14:textId="77777777"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14:paraId="243DA740" w14:textId="77777777" w:rsidTr="00AF3BA2">
        <w:tc>
          <w:tcPr>
            <w:tcW w:w="9918" w:type="dxa"/>
            <w:gridSpan w:val="2"/>
            <w:vAlign w:val="center"/>
          </w:tcPr>
          <w:p w14:paraId="7BFC9719" w14:textId="77777777" w:rsidR="00717D4B" w:rsidRPr="003350F2" w:rsidRDefault="00717D4B" w:rsidP="00AF3BA2">
            <w:pPr>
              <w:pStyle w:val="naisnod"/>
              <w:spacing w:before="0" w:after="0"/>
            </w:pPr>
            <w:r w:rsidRPr="003350F2">
              <w:t>Tiesību akta projekta anotācijas kopsavilkums</w:t>
            </w:r>
          </w:p>
        </w:tc>
      </w:tr>
      <w:tr w:rsidR="00667437" w:rsidRPr="003350F2" w14:paraId="7CA77A40" w14:textId="77777777" w:rsidTr="00AF3BA2">
        <w:trPr>
          <w:trHeight w:val="476"/>
        </w:trPr>
        <w:tc>
          <w:tcPr>
            <w:tcW w:w="3256" w:type="dxa"/>
            <w:tcBorders>
              <w:bottom w:val="single" w:sz="4" w:space="0" w:color="auto"/>
            </w:tcBorders>
          </w:tcPr>
          <w:p w14:paraId="6C45FDD1" w14:textId="77777777"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14:paraId="54272446" w14:textId="77777777" w:rsidR="00377A82" w:rsidRPr="003350F2" w:rsidRDefault="002F1581" w:rsidP="006E49B0">
            <w:pPr>
              <w:ind w:left="82" w:right="141"/>
              <w:jc w:val="both"/>
            </w:pPr>
            <w:r w:rsidRPr="003350F2">
              <w:t xml:space="preserve">Projekta mērķis ir rast risinājumu pašreizējai problemātikai saistībā ar </w:t>
            </w:r>
            <w:r w:rsidR="00EB1538">
              <w:t xml:space="preserve"> nepietiekamo finansējumu, lai </w:t>
            </w:r>
            <w:r w:rsidR="00EB1538" w:rsidRPr="00EB1538">
              <w:t>segtu izdevumus, kas saistīti ar Latvijas vīriešu handbola izlases sagatavošanos un dalību 2020. gada Eiropas čempionātā handbolā</w:t>
            </w:r>
            <w:r w:rsidR="00A32F13">
              <w:t xml:space="preserve"> (92`000 EUR)</w:t>
            </w:r>
            <w:r w:rsidR="00B61364">
              <w:t xml:space="preserve">, kā arī olimpisko ziemas sporta veidu sporta federāciju izlašu </w:t>
            </w:r>
            <w:r w:rsidR="00B61364" w:rsidRPr="00B61364">
              <w:t>sagatavošan</w:t>
            </w:r>
            <w:r w:rsidR="00B61364">
              <w:t>os</w:t>
            </w:r>
            <w:r w:rsidR="00B61364" w:rsidRPr="00B61364">
              <w:t xml:space="preserve"> un dalīb</w:t>
            </w:r>
            <w:r w:rsidR="00B61364">
              <w:t>u</w:t>
            </w:r>
            <w:r w:rsidR="00B61364" w:rsidRPr="00B61364">
              <w:t xml:space="preserve"> sporta sacensībās 2019./2020. gada sezonā</w:t>
            </w:r>
            <w:r w:rsidR="00A32F13">
              <w:t xml:space="preserve"> (270`000 EUR)</w:t>
            </w:r>
            <w:r w:rsidR="00B61364">
              <w:t xml:space="preserve">, </w:t>
            </w:r>
            <w:r w:rsidR="00A32F13">
              <w:t xml:space="preserve">kopā </w:t>
            </w:r>
            <w:r w:rsidR="006B329C" w:rsidRPr="003350F2">
              <w:t xml:space="preserve">piešķirot </w:t>
            </w:r>
            <w:r w:rsidR="00EB1538">
              <w:t>ši</w:t>
            </w:r>
            <w:r w:rsidR="00A32F13">
              <w:t>e</w:t>
            </w:r>
            <w:r w:rsidR="00EB1538">
              <w:t>m</w:t>
            </w:r>
            <w:r w:rsidR="000167C6" w:rsidRPr="003350F2">
              <w:t xml:space="preserve"> </w:t>
            </w:r>
            <w:r w:rsidR="00EB1538">
              <w:t>mērķi</w:t>
            </w:r>
            <w:r w:rsidR="00A32F13">
              <w:t>e</w:t>
            </w:r>
            <w:r w:rsidR="00EB1538">
              <w:t>m</w:t>
            </w:r>
            <w:r w:rsidRPr="003350F2">
              <w:t xml:space="preserve"> valsts budžeta līdzekļus</w:t>
            </w:r>
            <w:r w:rsidR="00072492">
              <w:t xml:space="preserve"> </w:t>
            </w:r>
            <w:r w:rsidR="00B61364">
              <w:t>362</w:t>
            </w:r>
            <w:r w:rsidR="00072492" w:rsidRPr="005913FF">
              <w:t>`</w:t>
            </w:r>
            <w:r w:rsidR="006E49B0">
              <w:t>0</w:t>
            </w:r>
            <w:r w:rsidR="00EB1538">
              <w:t>00</w:t>
            </w:r>
            <w:r w:rsidR="00072492" w:rsidRPr="005913FF">
              <w:t xml:space="preserve"> </w:t>
            </w:r>
            <w:r w:rsidR="005F5E32" w:rsidRPr="005913FF">
              <w:t>EUR</w:t>
            </w:r>
            <w:r w:rsidR="00A32F13">
              <w:t xml:space="preserve"> apmērā</w:t>
            </w:r>
            <w:r w:rsidR="00EB1538">
              <w:t>.</w:t>
            </w:r>
          </w:p>
        </w:tc>
      </w:tr>
    </w:tbl>
    <w:p w14:paraId="4009EDE0" w14:textId="77777777"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350F2" w14:paraId="4AC3A43E" w14:textId="77777777" w:rsidTr="006B561A">
        <w:tc>
          <w:tcPr>
            <w:tcW w:w="9918" w:type="dxa"/>
            <w:gridSpan w:val="3"/>
            <w:vAlign w:val="center"/>
          </w:tcPr>
          <w:bookmarkEnd w:id="0"/>
          <w:bookmarkEnd w:id="1"/>
          <w:bookmarkEnd w:id="2"/>
          <w:p w14:paraId="57F77155" w14:textId="77777777" w:rsidR="00585B7B" w:rsidRPr="003350F2" w:rsidRDefault="00585B7B" w:rsidP="00194A0F">
            <w:pPr>
              <w:pStyle w:val="naisnod"/>
              <w:spacing w:before="0" w:after="0"/>
            </w:pPr>
            <w:r w:rsidRPr="003350F2">
              <w:t>I. Tiesību akta projekta izstrādes nepieciešamība</w:t>
            </w:r>
          </w:p>
        </w:tc>
      </w:tr>
      <w:tr w:rsidR="00585B7B" w:rsidRPr="003350F2" w14:paraId="62BA43CD" w14:textId="77777777" w:rsidTr="006B561A">
        <w:trPr>
          <w:trHeight w:val="630"/>
        </w:trPr>
        <w:tc>
          <w:tcPr>
            <w:tcW w:w="709" w:type="dxa"/>
          </w:tcPr>
          <w:p w14:paraId="4E80BA9C" w14:textId="77777777" w:rsidR="00585B7B" w:rsidRPr="003350F2" w:rsidRDefault="00585B7B" w:rsidP="00BD696A">
            <w:pPr>
              <w:pStyle w:val="naiskr"/>
              <w:spacing w:before="0" w:after="0"/>
              <w:jc w:val="center"/>
            </w:pPr>
            <w:r w:rsidRPr="003350F2">
              <w:t>1.</w:t>
            </w:r>
          </w:p>
        </w:tc>
        <w:tc>
          <w:tcPr>
            <w:tcW w:w="2547" w:type="dxa"/>
          </w:tcPr>
          <w:p w14:paraId="3B83D594" w14:textId="77777777"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6662" w:type="dxa"/>
          </w:tcPr>
          <w:p w14:paraId="4BA55F9D" w14:textId="77777777" w:rsidR="00EB1538" w:rsidRDefault="00200DA4" w:rsidP="00EB1538">
            <w:pPr>
              <w:pStyle w:val="Sarakstarindkopa"/>
              <w:numPr>
                <w:ilvl w:val="0"/>
                <w:numId w:val="26"/>
              </w:numPr>
              <w:ind w:right="142"/>
              <w:jc w:val="both"/>
            </w:pPr>
            <w:r w:rsidRPr="003350F2">
              <w:t xml:space="preserve">Nepieciešamība piešķirt papildu valsts budžeta līdzekļus   biedrībai „Latvijas </w:t>
            </w:r>
            <w:r w:rsidR="00072492">
              <w:t>Handbola federācija</w:t>
            </w:r>
            <w:r w:rsidRPr="003350F2">
              <w:t xml:space="preserve">” (turpmāk </w:t>
            </w:r>
            <w:r w:rsidR="00EB1538">
              <w:t xml:space="preserve">– </w:t>
            </w:r>
            <w:proofErr w:type="spellStart"/>
            <w:r w:rsidR="00EB1538" w:rsidRPr="00B61364">
              <w:t>LH</w:t>
            </w:r>
            <w:r w:rsidR="00B61364" w:rsidRPr="00B61364">
              <w:t>a</w:t>
            </w:r>
            <w:r w:rsidR="00EB1538" w:rsidRPr="00B61364">
              <w:t>F</w:t>
            </w:r>
            <w:proofErr w:type="spellEnd"/>
            <w:r w:rsidR="00EB1538">
              <w:t>)</w:t>
            </w:r>
            <w:r w:rsidRPr="003350F2">
              <w:t>, lai seg</w:t>
            </w:r>
            <w:r w:rsidR="00072492">
              <w:t xml:space="preserve">tu izdevumus,  kas saistīti </w:t>
            </w:r>
            <w:r w:rsidR="00EB1538" w:rsidRPr="00EB1538">
              <w:t xml:space="preserve"> ar Latvijas vīriešu handbola izlases </w:t>
            </w:r>
            <w:r w:rsidR="00F24D15">
              <w:t xml:space="preserve">(turpmāk </w:t>
            </w:r>
            <w:r w:rsidR="00D047CB">
              <w:t xml:space="preserve">arī </w:t>
            </w:r>
            <w:r w:rsidR="00F24D15">
              <w:t xml:space="preserve">– handbola izlase) </w:t>
            </w:r>
            <w:r w:rsidR="00EB1538" w:rsidRPr="00EB1538">
              <w:t>sagatavošanos un dalību 2020. gada Eiropas čempionātā handbolā</w:t>
            </w:r>
            <w:r w:rsidR="00F24D15">
              <w:t xml:space="preserve"> (turpmāk </w:t>
            </w:r>
            <w:r w:rsidR="00D047CB">
              <w:t xml:space="preserve">arī </w:t>
            </w:r>
            <w:r w:rsidR="00F24D15">
              <w:t>– EČ handbolā)</w:t>
            </w:r>
            <w:r w:rsidR="00EB1538">
              <w:t>.</w:t>
            </w:r>
          </w:p>
          <w:p w14:paraId="2251E380" w14:textId="77777777" w:rsidR="00B61364" w:rsidRDefault="00B61364" w:rsidP="00524940">
            <w:pPr>
              <w:pStyle w:val="Sarakstarindkopa"/>
              <w:numPr>
                <w:ilvl w:val="0"/>
                <w:numId w:val="26"/>
              </w:numPr>
              <w:ind w:right="142"/>
              <w:jc w:val="both"/>
            </w:pPr>
            <w:r w:rsidRPr="003350F2">
              <w:t>Nepieciešamība piešķirt papildu valsts budžeta līdzekļus</w:t>
            </w:r>
            <w:r>
              <w:t xml:space="preserve"> </w:t>
            </w:r>
            <w:r w:rsidRPr="003350F2">
              <w:t xml:space="preserve">biedrībai „Latvijas </w:t>
            </w:r>
            <w:r>
              <w:t>Hokeja federācija” (turpmāk – LHF), biedrībai „</w:t>
            </w:r>
            <w:r w:rsidRPr="00B61364">
              <w:t>Latvijas Biatlona federācija</w:t>
            </w:r>
            <w:r>
              <w:t>” (turpmāk – LBF), biedrībai „</w:t>
            </w:r>
            <w:r w:rsidRPr="00B61364">
              <w:t>Latvijas Bobsleja un skeletona federācija</w:t>
            </w:r>
            <w:r>
              <w:t>” (turpmāk – LBSF), biedrībai „</w:t>
            </w:r>
            <w:r w:rsidRPr="00B61364">
              <w:t>Latvijas Kamaniņu sporta federācija</w:t>
            </w:r>
            <w:r>
              <w:t>” (turpmāk – LKSF) un biedrībai „</w:t>
            </w:r>
            <w:r w:rsidRPr="00B61364">
              <w:t>Latvijas Slidošanas asociācija</w:t>
            </w:r>
            <w:r>
              <w:t>” (turpmāk – LSA), l</w:t>
            </w:r>
            <w:r w:rsidRPr="003350F2">
              <w:t>ai seg</w:t>
            </w:r>
            <w:r>
              <w:t xml:space="preserve">tu izdevumus,  kas saistīti </w:t>
            </w:r>
            <w:r w:rsidRPr="00EB1538">
              <w:t>ar</w:t>
            </w:r>
            <w:r>
              <w:t xml:space="preserve"> minēto olimpisko ziemas sporta veidu sporta federāciju izlašu </w:t>
            </w:r>
            <w:r w:rsidRPr="00B61364">
              <w:t>sagatavošan</w:t>
            </w:r>
            <w:r>
              <w:t>os</w:t>
            </w:r>
            <w:r w:rsidRPr="00B61364">
              <w:t xml:space="preserve"> un dalīb</w:t>
            </w:r>
            <w:r>
              <w:t>u</w:t>
            </w:r>
            <w:r w:rsidRPr="00B61364">
              <w:t xml:space="preserve"> sporta sacensībās 2019./2020. gada sezonā</w:t>
            </w:r>
            <w:r>
              <w:t>.</w:t>
            </w:r>
          </w:p>
          <w:p w14:paraId="3A917AB2" w14:textId="77777777" w:rsidR="007E150B" w:rsidRDefault="007E150B" w:rsidP="007E150B">
            <w:pPr>
              <w:pStyle w:val="Sarakstarindkopa"/>
              <w:numPr>
                <w:ilvl w:val="0"/>
                <w:numId w:val="26"/>
              </w:numPr>
              <w:ind w:right="142"/>
              <w:jc w:val="both"/>
            </w:pPr>
            <w:r w:rsidRPr="007E150B">
              <w:t>Ministru prezidenta 2019. gada 5. septembra rezolūcij</w:t>
            </w:r>
            <w:r>
              <w:t>a</w:t>
            </w:r>
            <w:r w:rsidRPr="007E150B">
              <w:t xml:space="preserve"> Nr. 7.8.5./2019-DOC-1819-1482</w:t>
            </w:r>
            <w:r>
              <w:t xml:space="preserve"> (saistībā ar </w:t>
            </w:r>
            <w:proofErr w:type="spellStart"/>
            <w:r>
              <w:t>LHaF</w:t>
            </w:r>
            <w:proofErr w:type="spellEnd"/>
            <w:r>
              <w:t xml:space="preserve"> pieprasījumu).</w:t>
            </w:r>
          </w:p>
          <w:p w14:paraId="7A1CC64B" w14:textId="77777777" w:rsidR="007E150B" w:rsidRDefault="007E150B" w:rsidP="00524940">
            <w:pPr>
              <w:pStyle w:val="Sarakstarindkopa"/>
              <w:numPr>
                <w:ilvl w:val="0"/>
                <w:numId w:val="26"/>
              </w:numPr>
              <w:ind w:right="142"/>
              <w:jc w:val="both"/>
            </w:pPr>
            <w:r w:rsidRPr="007E150B">
              <w:t xml:space="preserve">Ministru prezidenta 2019. gada </w:t>
            </w:r>
            <w:r>
              <w:t>10</w:t>
            </w:r>
            <w:r w:rsidRPr="007E150B">
              <w:t xml:space="preserve">. </w:t>
            </w:r>
            <w:r>
              <w:t xml:space="preserve">oktobra </w:t>
            </w:r>
            <w:r w:rsidRPr="007E150B">
              <w:t>rezolūcij</w:t>
            </w:r>
            <w:r>
              <w:t>a</w:t>
            </w:r>
            <w:r w:rsidRPr="007E150B">
              <w:t xml:space="preserve"> Nr. </w:t>
            </w:r>
            <w:r>
              <w:t xml:space="preserve">7.8.5./2019-DOC-2029-1685 (saistībā ar </w:t>
            </w:r>
            <w:r w:rsidR="006F7333">
              <w:t>olimpisko ziemas sporta veidu sporta federāciju pieprasījumu).</w:t>
            </w:r>
          </w:p>
          <w:p w14:paraId="3CF01DF6" w14:textId="77777777" w:rsidR="000E6280" w:rsidRPr="003350F2" w:rsidRDefault="005F5E32" w:rsidP="00200DA4">
            <w:pPr>
              <w:pStyle w:val="Sarakstarindkopa"/>
              <w:numPr>
                <w:ilvl w:val="0"/>
                <w:numId w:val="26"/>
              </w:numPr>
              <w:ind w:right="142"/>
              <w:jc w:val="both"/>
            </w:pPr>
            <w:r w:rsidRPr="003350F2">
              <w:t>Ministru kabineta 2018.</w:t>
            </w:r>
            <w:r w:rsidR="005F2399">
              <w:t xml:space="preserve"> </w:t>
            </w:r>
            <w:r w:rsidRPr="003350F2">
              <w:t>gada 17.</w:t>
            </w:r>
            <w:r w:rsidR="005F2399">
              <w:t xml:space="preserve"> </w:t>
            </w:r>
            <w:r w:rsidRPr="003350F2">
              <w:t>jūlija noteikumu Nr.</w:t>
            </w:r>
            <w:r w:rsidR="005F2399">
              <w:t xml:space="preserve"> </w:t>
            </w:r>
            <w:r w:rsidRPr="003350F2">
              <w:t>421 „Kārtība, kādā veic gadskārtējā valsts budžeta likumā noteiktās apropriācijas izmaiņas” 41. un 43.punkts.</w:t>
            </w:r>
          </w:p>
        </w:tc>
      </w:tr>
      <w:tr w:rsidR="00585B7B" w:rsidRPr="003350F2" w14:paraId="4FA5A50D" w14:textId="77777777" w:rsidTr="006B561A">
        <w:trPr>
          <w:trHeight w:val="562"/>
        </w:trPr>
        <w:tc>
          <w:tcPr>
            <w:tcW w:w="709" w:type="dxa"/>
          </w:tcPr>
          <w:p w14:paraId="1EC7FCB8" w14:textId="77777777" w:rsidR="00585B7B" w:rsidRPr="003350F2" w:rsidRDefault="00585B7B" w:rsidP="00BD696A">
            <w:pPr>
              <w:pStyle w:val="naiskr"/>
              <w:spacing w:before="0" w:after="0"/>
              <w:jc w:val="center"/>
            </w:pPr>
            <w:r w:rsidRPr="003350F2">
              <w:t>2.</w:t>
            </w:r>
          </w:p>
        </w:tc>
        <w:tc>
          <w:tcPr>
            <w:tcW w:w="2547" w:type="dxa"/>
          </w:tcPr>
          <w:p w14:paraId="7936F23C" w14:textId="77777777"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14:paraId="4BF7EE5E" w14:textId="77777777" w:rsidR="00955825" w:rsidRPr="003350F2" w:rsidRDefault="00955825" w:rsidP="00955825"/>
          <w:p w14:paraId="01806EAF" w14:textId="77777777" w:rsidR="00585B7B" w:rsidRPr="003350F2" w:rsidRDefault="00585B7B" w:rsidP="00955825">
            <w:pPr>
              <w:ind w:firstLine="720"/>
            </w:pPr>
          </w:p>
        </w:tc>
        <w:tc>
          <w:tcPr>
            <w:tcW w:w="6662" w:type="dxa"/>
          </w:tcPr>
          <w:p w14:paraId="3722DD95" w14:textId="77777777" w:rsidR="00D169D5" w:rsidRDefault="004C320D" w:rsidP="00D169D5">
            <w:pPr>
              <w:ind w:left="141" w:right="142" w:firstLine="567"/>
              <w:jc w:val="both"/>
            </w:pPr>
            <w:r w:rsidRPr="003350F2">
              <w:t>Izglītības un zinātnes ministrija (turpmāk – Ministrija) ir saņēmusi</w:t>
            </w:r>
            <w:r w:rsidR="00EB1538">
              <w:t xml:space="preserve"> </w:t>
            </w:r>
            <w:proofErr w:type="spellStart"/>
            <w:r w:rsidR="00B61364">
              <w:t>LHaF</w:t>
            </w:r>
            <w:proofErr w:type="spellEnd"/>
            <w:r w:rsidR="00EB1538">
              <w:t xml:space="preserve"> 2019. gada 2. septembra vēstuli Nr. 19/48</w:t>
            </w:r>
            <w:r w:rsidR="004350A7">
              <w:t xml:space="preserve">, kas precizēta ar </w:t>
            </w:r>
            <w:proofErr w:type="spellStart"/>
            <w:r w:rsidR="004350A7">
              <w:t>LHaF</w:t>
            </w:r>
            <w:proofErr w:type="spellEnd"/>
            <w:r w:rsidR="004350A7">
              <w:t xml:space="preserve"> 2019. gada 17. oktobra vēstuli Nr. </w:t>
            </w:r>
            <w:r w:rsidR="004350A7" w:rsidRPr="004350A7">
              <w:t xml:space="preserve">19/54 </w:t>
            </w:r>
            <w:r w:rsidR="00EB1538">
              <w:t xml:space="preserve">(turpmāk </w:t>
            </w:r>
            <w:r w:rsidR="004350A7">
              <w:t xml:space="preserve">kopā </w:t>
            </w:r>
            <w:r w:rsidR="00EB1538">
              <w:t xml:space="preserve">– vēstule), kurā </w:t>
            </w:r>
            <w:proofErr w:type="spellStart"/>
            <w:r w:rsidR="00EB1538">
              <w:t>LH</w:t>
            </w:r>
            <w:r w:rsidR="00B61364">
              <w:t>a</w:t>
            </w:r>
            <w:r w:rsidR="00EB1538">
              <w:t>F</w:t>
            </w:r>
            <w:proofErr w:type="spellEnd"/>
            <w:r w:rsidR="00EB1538">
              <w:t xml:space="preserve"> informē, ka pirmo reizi neatkarīgās Latvijas sporta vēsturē </w:t>
            </w:r>
            <w:r w:rsidR="00F24D15">
              <w:t xml:space="preserve">handbola </w:t>
            </w:r>
            <w:r w:rsidR="00AD539B">
              <w:t>izlase</w:t>
            </w:r>
            <w:r w:rsidR="00EB1538">
              <w:t xml:space="preserve"> ir sasniegusi</w:t>
            </w:r>
            <w:r w:rsidR="00AD539B">
              <w:t xml:space="preserve"> 2020. gada </w:t>
            </w:r>
            <w:r w:rsidR="00EB1538">
              <w:t>Eiropas čempionāta</w:t>
            </w:r>
            <w:r w:rsidR="00AD539B">
              <w:t xml:space="preserve"> handbolā</w:t>
            </w:r>
            <w:r w:rsidR="00EB1538">
              <w:t xml:space="preserve"> finālturnīru, kuram ir kvalificējušās 24 spēcīgākās Eiropas handbola komandas un kas laika posma no 20</w:t>
            </w:r>
            <w:r w:rsidR="00AD539B">
              <w:t>20</w:t>
            </w:r>
            <w:r w:rsidR="00EB1538">
              <w:t>.</w:t>
            </w:r>
            <w:r w:rsidR="00AD539B">
              <w:t xml:space="preserve"> </w:t>
            </w:r>
            <w:r w:rsidR="00EB1538">
              <w:t>gada 9. janvāra līdz 20</w:t>
            </w:r>
            <w:r w:rsidR="00AD539B">
              <w:t>20</w:t>
            </w:r>
            <w:r w:rsidR="00EB1538">
              <w:t xml:space="preserve">. gada 26. janvārim norisināsies Norvēģijā, Zviedrijā un Austrijā. Latvija ir ielozēta vienā grupā ar Vācijas, Nīderlandes un Spānijas nacionālajam handbola izlasēm un grupas spēles </w:t>
            </w:r>
            <w:r w:rsidR="00AD539B">
              <w:t xml:space="preserve">no </w:t>
            </w:r>
            <w:r w:rsidR="00087882">
              <w:t>2020. gada 9. janvāra līdz 2020. gada 14. janvārim</w:t>
            </w:r>
            <w:r w:rsidR="00AD539B">
              <w:t xml:space="preserve"> </w:t>
            </w:r>
            <w:r w:rsidR="00EB1538">
              <w:t xml:space="preserve">aizvadīs </w:t>
            </w:r>
            <w:r w:rsidR="00AD539B">
              <w:t>Tronheimā (</w:t>
            </w:r>
            <w:r w:rsidR="00EB1538">
              <w:t>Norvēģijā</w:t>
            </w:r>
            <w:r w:rsidR="00AD539B">
              <w:t>)</w:t>
            </w:r>
            <w:r w:rsidR="00EB1538">
              <w:t xml:space="preserve">. </w:t>
            </w:r>
            <w:proofErr w:type="spellStart"/>
            <w:r w:rsidR="00EB1538">
              <w:t>LH</w:t>
            </w:r>
            <w:r w:rsidR="00B61364">
              <w:t>a</w:t>
            </w:r>
            <w:r w:rsidR="00EB1538">
              <w:t>F</w:t>
            </w:r>
            <w:proofErr w:type="spellEnd"/>
            <w:r w:rsidR="00EB1538">
              <w:t xml:space="preserve"> vēstulē norāda, ka nacionālajai vīriešu handbola izlasei šī ir unikāla iespēja pārstāvēt un reprezentēt Latviju</w:t>
            </w:r>
            <w:r w:rsidR="00707391">
              <w:t xml:space="preserve"> starptautiskajā arēnā</w:t>
            </w:r>
            <w:r w:rsidR="00EB1538">
              <w:t>.</w:t>
            </w:r>
            <w:r w:rsidR="00D169D5">
              <w:t xml:space="preserve"> Lai nodrošinātu atbilstošu rezultātu un optimālu izlases sastāvu, </w:t>
            </w:r>
            <w:proofErr w:type="spellStart"/>
            <w:r w:rsidR="00D169D5">
              <w:t>LH</w:t>
            </w:r>
            <w:r w:rsidR="004350A7">
              <w:t>a</w:t>
            </w:r>
            <w:r w:rsidR="00D169D5">
              <w:t>F</w:t>
            </w:r>
            <w:proofErr w:type="spellEnd"/>
            <w:r w:rsidR="00D169D5">
              <w:t xml:space="preserve"> norāda, ka nepieciešams kvalitatīvs sagatavošanās process, kas ietver vairākas treniņprocesa posmus (tai skaitā treniņnometnes) un pārbaudes spēles gan Latvijā, gan Luksemburgā, gan izlases sagatavošanās procesā un treniņprocesa periodā. </w:t>
            </w:r>
            <w:r w:rsidR="004350A7">
              <w:t xml:space="preserve">Tāpat </w:t>
            </w:r>
            <w:proofErr w:type="spellStart"/>
            <w:r w:rsidR="004350A7">
              <w:t>LHaF</w:t>
            </w:r>
            <w:proofErr w:type="spellEnd"/>
            <w:r w:rsidR="004350A7">
              <w:t xml:space="preserve"> nepieciešams segt ar izlases dalību EČ handbolā saistītos tiešos izdevumus, kas ietver ceļa izdevumus, uzturēšanās izmaksas, kā arī </w:t>
            </w:r>
            <w:proofErr w:type="spellStart"/>
            <w:r w:rsidR="004350A7">
              <w:t>solidaritāres</w:t>
            </w:r>
            <w:proofErr w:type="spellEnd"/>
            <w:r w:rsidR="004350A7">
              <w:t xml:space="preserve"> jeb dalības maksu Eiropas Handbola federācijai. </w:t>
            </w:r>
            <w:proofErr w:type="spellStart"/>
            <w:r w:rsidR="00D169D5">
              <w:t>LH</w:t>
            </w:r>
            <w:r w:rsidR="00215A69">
              <w:t>a</w:t>
            </w:r>
            <w:r w:rsidR="00D169D5">
              <w:t>F</w:t>
            </w:r>
            <w:proofErr w:type="spellEnd"/>
            <w:r w:rsidR="00D169D5">
              <w:t xml:space="preserve"> norāda, ka izdevumus, kas saistīti ar izlases sagatavošanos un dalību </w:t>
            </w:r>
            <w:r w:rsidR="004350A7">
              <w:t>EČ handbolā</w:t>
            </w:r>
            <w:r w:rsidR="00D169D5">
              <w:t xml:space="preserve">, nebija iespējams iepriekš prognozēt un attiecīgi arī iekļaut tos </w:t>
            </w:r>
            <w:r w:rsidR="004350A7">
              <w:t>Ministrijas</w:t>
            </w:r>
            <w:r w:rsidR="00D169D5">
              <w:t xml:space="preserve"> iesniegtajā </w:t>
            </w:r>
            <w:proofErr w:type="spellStart"/>
            <w:r w:rsidR="00D169D5">
              <w:t>LH</w:t>
            </w:r>
            <w:r w:rsidR="004350A7">
              <w:t>a</w:t>
            </w:r>
            <w:r w:rsidR="00D169D5">
              <w:t>F</w:t>
            </w:r>
            <w:proofErr w:type="spellEnd"/>
            <w:r w:rsidR="00D169D5">
              <w:t xml:space="preserve"> finanšu pieprasījumā 2019. gadam (finanšu pieprasījumā tika iekļautas izmaksas, kas saistītas ar izlases dalību kvalifikācijas turnīrā </w:t>
            </w:r>
            <w:r w:rsidR="004350A7">
              <w:t xml:space="preserve">EČ handbolā). Kopējie ar </w:t>
            </w:r>
            <w:r w:rsidR="00F24D15">
              <w:t xml:space="preserve">handbola </w:t>
            </w:r>
            <w:r w:rsidR="004350A7">
              <w:t xml:space="preserve">izlases sagatavošanos un dalību EČ handbolā saistītie izdevumi ir 184 500 EUR un </w:t>
            </w:r>
            <w:proofErr w:type="spellStart"/>
            <w:r w:rsidR="004350A7">
              <w:t>LHaF</w:t>
            </w:r>
            <w:proofErr w:type="spellEnd"/>
            <w:r w:rsidR="004350A7">
              <w:t xml:space="preserve"> lūdz piešķirt valsts līdzfinansējumu 92 000 EUR apmērā.</w:t>
            </w:r>
            <w:r w:rsidR="00F24D15">
              <w:t xml:space="preserve"> </w:t>
            </w:r>
            <w:r w:rsidR="00D169D5">
              <w:t xml:space="preserve">Ar Ministru prezidenta </w:t>
            </w:r>
            <w:proofErr w:type="spellStart"/>
            <w:r w:rsidR="00D169D5">
              <w:t>A.K.Kariņa</w:t>
            </w:r>
            <w:proofErr w:type="spellEnd"/>
            <w:r w:rsidR="00D169D5">
              <w:t xml:space="preserve"> 2019. gada 5. septembra rezolūciju Nr. 7.8.5./2019-DOC-</w:t>
            </w:r>
            <w:r w:rsidR="00F12ED8">
              <w:t xml:space="preserve"> </w:t>
            </w:r>
            <w:r w:rsidR="00D169D5">
              <w:t xml:space="preserve">1819-1482 </w:t>
            </w:r>
            <w:proofErr w:type="spellStart"/>
            <w:r w:rsidR="00D169D5">
              <w:t>LH</w:t>
            </w:r>
            <w:r w:rsidR="00215A69">
              <w:t>a</w:t>
            </w:r>
            <w:r w:rsidR="00D169D5">
              <w:t>F</w:t>
            </w:r>
            <w:proofErr w:type="spellEnd"/>
            <w:r w:rsidR="00D169D5">
              <w:t xml:space="preserve"> vēstule nodota izvērtēšanai Ministrijai.</w:t>
            </w:r>
          </w:p>
          <w:p w14:paraId="4F9B64D6" w14:textId="77777777" w:rsidR="00EB1538" w:rsidRDefault="00F12ED8" w:rsidP="0032052C">
            <w:pPr>
              <w:ind w:left="141" w:right="142" w:firstLine="567"/>
              <w:jc w:val="both"/>
            </w:pPr>
            <w:proofErr w:type="spellStart"/>
            <w:r>
              <w:t>LHaF</w:t>
            </w:r>
            <w:proofErr w:type="spellEnd"/>
            <w:r>
              <w:t xml:space="preserve"> saskaņā ar Ministrijas 2019. gada 22. janvāra lēmumu Nr. 1-4/19/10 „Par finanšu līdzekļu piešķiršanu” no Ministrijas 2019. gada valsts budžeta programmas 09.00.00 „Sports” apakšprogrammas 09.17.00 „Dotācija komandu sporta spēļu izlašu nodrošināšanai”  </w:t>
            </w:r>
            <w:r w:rsidRPr="0032052C">
              <w:t xml:space="preserve">jauniešu, junioru un pieaugušo </w:t>
            </w:r>
            <w:r>
              <w:t xml:space="preserve">handbola izlašu darbības nodrošināšanai piešķirti valsts budžeta līdzekļi 105`977 EUR. Papildus minētam, pamatojoties uz </w:t>
            </w:r>
            <w:r w:rsidRPr="0032052C">
              <w:t>Ministru kabineta 2019.</w:t>
            </w:r>
            <w:r>
              <w:t xml:space="preserve"> gada 19. jūnija rīkojuma Nr.298 „</w:t>
            </w:r>
            <w:r w:rsidRPr="0032052C">
              <w:t>Par finanšu līdzekļu piešķiršan</w:t>
            </w:r>
            <w:r>
              <w:t>u no valsts budžeta programmas „</w:t>
            </w:r>
            <w:r w:rsidRPr="0032052C">
              <w:t>Līdzekļi neparedzētiem gadījumiem”” 4.</w:t>
            </w:r>
            <w:r>
              <w:t xml:space="preserve"> </w:t>
            </w:r>
            <w:r w:rsidRPr="0032052C">
              <w:t xml:space="preserve">punktā un uz </w:t>
            </w:r>
            <w:r w:rsidR="003F7474">
              <w:t>šā</w:t>
            </w:r>
            <w:r w:rsidRPr="0032052C">
              <w:t xml:space="preserve"> rīkojuma pamata izdotā Finanšu ministrijas 2019.</w:t>
            </w:r>
            <w:r>
              <w:t xml:space="preserve"> gada 27. jūnija rīkojuma Nr. 216 „</w:t>
            </w:r>
            <w:r w:rsidRPr="0032052C">
              <w:t>Par līdzekļu piešķiršanu” 1.4.</w:t>
            </w:r>
            <w:r>
              <w:t xml:space="preserve"> </w:t>
            </w:r>
            <w:r w:rsidRPr="0032052C">
              <w:t xml:space="preserve">apakšpunktā noteikto, </w:t>
            </w:r>
            <w:proofErr w:type="spellStart"/>
            <w:r>
              <w:t>LHaF</w:t>
            </w:r>
            <w:proofErr w:type="spellEnd"/>
            <w:r>
              <w:t xml:space="preserve"> papildus </w:t>
            </w:r>
            <w:r w:rsidRPr="0032052C">
              <w:t>piešķirti valsts budžeta līdzekļi 39`025 EUR</w:t>
            </w:r>
            <w:r>
              <w:t xml:space="preserve">, kas paredzēti handbola izlases dalībai EČ handbolā </w:t>
            </w:r>
            <w:r w:rsidRPr="0032052C">
              <w:t>kvalifikācijas ciklā</w:t>
            </w:r>
            <w:r>
              <w:t xml:space="preserve">. Tādejādi kopā no Ministrijas 2019. gadā </w:t>
            </w:r>
            <w:r w:rsidR="008C79AE">
              <w:t xml:space="preserve"> </w:t>
            </w:r>
            <w:proofErr w:type="spellStart"/>
            <w:r w:rsidR="008C79AE">
              <w:t>LHaF</w:t>
            </w:r>
            <w:proofErr w:type="spellEnd"/>
            <w:r w:rsidR="008C79AE">
              <w:t xml:space="preserve"> </w:t>
            </w:r>
            <w:r>
              <w:t xml:space="preserve">piešķirti 145`002 EUR. </w:t>
            </w:r>
            <w:r w:rsidR="000122AA">
              <w:t>Saskaņā ar Sporta likuma 13. panta piekto daļu valsts finansiāli nodrošina valsts izlases komandu sporta spēlēs sagatavošanos un piedalīšanos Eiropas un pasaules čempionātu un Olimpisko spēļu atlases turnīros un finālsacensībās Ministru kabineta noteiktajā kārtībā. Ministru kabineta 2009. gada 28. jūlija noteikumi Nr.819 „Kārtība, kādā valsts finansiāli nodrošina valsts izlases komandu sporta spēlēs sagatavošanu un piedalīšanos Eiropas un pasaules čempionātu un olimpisko spēļu atlases turnīros un finālsacensībās” paredz procedūru likumā</w:t>
            </w:r>
            <w:r w:rsidR="000122AA" w:rsidRPr="00A05798">
              <w:t xml:space="preserve"> par valsts budžetu kārtējam gadam</w:t>
            </w:r>
            <w:r w:rsidR="000122AA">
              <w:t xml:space="preserve"> komandu sporta spēļu sporta federācijām paredzētā finansējuma sadalei, bet nenosaka procedūru kārtēja gada laikā saņemto papildus finansējuma pieprasījumu (par dalību sacensībās, kurās tiesības startēt izcīnītas pēc ikgadējā finanšu pieprasījuma iesniegšanas, kā rezultātā attiecīgās izmaksas iepriekš nebija zināmas) izvērtēšanai, tāpēc </w:t>
            </w:r>
            <w:proofErr w:type="spellStart"/>
            <w:r w:rsidR="000122AA">
              <w:t>LHaF</w:t>
            </w:r>
            <w:proofErr w:type="spellEnd"/>
            <w:r w:rsidR="000122AA">
              <w:t xml:space="preserve"> iesniegtais papildus finanšu pieprasījums vērtējams individuāli.</w:t>
            </w:r>
            <w:r>
              <w:t xml:space="preserve"> Izvērtējot  </w:t>
            </w:r>
            <w:proofErr w:type="spellStart"/>
            <w:r>
              <w:t>LHaF</w:t>
            </w:r>
            <w:proofErr w:type="spellEnd"/>
            <w:r>
              <w:t xml:space="preserve"> finanšu pieprasījumu, Ministrija to atzīst par pamatotu, turklāt valstij tiek lūgts segt tikai pusi no faktiskajiem ar handbola izlases sagatavošanos un dalību EČ handbolā saistītajiem izdevumiem.</w:t>
            </w:r>
          </w:p>
          <w:p w14:paraId="17784487" w14:textId="77777777" w:rsidR="00F12ED8" w:rsidRDefault="008351F9" w:rsidP="00F12ED8">
            <w:pPr>
              <w:ind w:left="141" w:right="142" w:firstLine="567"/>
              <w:jc w:val="both"/>
            </w:pPr>
            <w:r>
              <w:t xml:space="preserve">Tāpat Ministrija ir </w:t>
            </w:r>
            <w:r w:rsidRPr="003350F2">
              <w:t>saņēmusi</w:t>
            </w:r>
            <w:r>
              <w:t xml:space="preserve"> </w:t>
            </w:r>
            <w:proofErr w:type="spellStart"/>
            <w:r w:rsidRPr="00F24D15">
              <w:t>LHoF</w:t>
            </w:r>
            <w:proofErr w:type="spellEnd"/>
            <w:r w:rsidRPr="00F24D15">
              <w:t>, LBF, LBSF, LKSF</w:t>
            </w:r>
            <w:r>
              <w:t xml:space="preserve">, LSA, biedrības „Latvijas Slēpošanas federācija” (turpmāk – LSF) un biedrības „Latvijas Olimpiskā komiteja” (turpmāk – LOK) vadības parakstīto 2019. gada 2. oktobra vēstuli (reģistrēta LOK ar Nr. 171) (turpmāk – ziemas </w:t>
            </w:r>
            <w:r w:rsidR="00F12ED8">
              <w:t xml:space="preserve">sporta </w:t>
            </w:r>
            <w:r>
              <w:t xml:space="preserve">federāciju vēstule)  par kritisko situāciju sportistu treniņu un sacensību procesa nodrošināšanai 2019./2020.gada ziemas sezonā, norādot, ka pilnvērtīgai darba nodrošināšanai trūkst 1`173`829 MEUR, tai skaitā līdz 2019. gada 31. decembrim </w:t>
            </w:r>
            <w:r w:rsidR="008C79AE">
              <w:t xml:space="preserve">trūkst </w:t>
            </w:r>
            <w:r>
              <w:t>594`429 EUR.</w:t>
            </w:r>
            <w:r w:rsidR="004270A0">
              <w:t xml:space="preserve"> Ziemas </w:t>
            </w:r>
            <w:r w:rsidR="00F12ED8">
              <w:t xml:space="preserve">sporta </w:t>
            </w:r>
            <w:r w:rsidR="004270A0">
              <w:t xml:space="preserve">federāciju vēstulē aktualizētā </w:t>
            </w:r>
            <w:proofErr w:type="spellStart"/>
            <w:r w:rsidR="004270A0">
              <w:t>problēmsituācija</w:t>
            </w:r>
            <w:proofErr w:type="spellEnd"/>
            <w:r w:rsidR="004270A0">
              <w:t xml:space="preserve"> klātienē pārrunāta 2019. gada 22. oktobra tikšanās laikā ar ziemas sporta federāciju, Latvijas Olimpiskās vienības </w:t>
            </w:r>
            <w:r w:rsidR="00524940">
              <w:t xml:space="preserve">(turpmāk – LOV) </w:t>
            </w:r>
            <w:r w:rsidR="004270A0">
              <w:t>un LOK vadību. Kā galveno iemeslu būtiskam finanšu iztrūkumam ziemas sporta federācijas uzsvēra ziedojumu apjoma kritumu, ko ietekmējusi nodokļu reforma, kas samazinājusi uzņēmumu motivāciju ziedot sportam un citām sabiedriskā labuma nozarēm. Tikšanās laikā</w:t>
            </w:r>
            <w:r w:rsidR="00F10A2D">
              <w:t xml:space="preserve"> tika akcentēts fakts, ka ziemas </w:t>
            </w:r>
            <w:r w:rsidR="004270A0">
              <w:t xml:space="preserve">sporta veidos </w:t>
            </w:r>
            <w:r w:rsidR="00F10A2D">
              <w:t xml:space="preserve">ir </w:t>
            </w:r>
            <w:r w:rsidR="004270A0">
              <w:t>uzsākts gatavošanās posms 2022.</w:t>
            </w:r>
            <w:r w:rsidR="00E52881">
              <w:t xml:space="preserve"> </w:t>
            </w:r>
            <w:r w:rsidR="004270A0">
              <w:t xml:space="preserve">gada Ziemas Olimpiskajām spēlēm Pekinā (Ķīna), tādēļ iespējamās negatīvās sekas </w:t>
            </w:r>
            <w:r w:rsidR="00F10A2D">
              <w:t xml:space="preserve">2019./2020.gada ziemas sezonā </w:t>
            </w:r>
            <w:r w:rsidR="004270A0">
              <w:t>vērtējamas ar ietekmi arī nākotnē.</w:t>
            </w:r>
            <w:r w:rsidR="00F10A2D">
              <w:t xml:space="preserve"> Tāpat tika uzsvērts, ka vairākās no ziemas sporta federācijām pastāv risks neuzsākt sezonu vai </w:t>
            </w:r>
            <w:r w:rsidR="00E52881">
              <w:t xml:space="preserve">arī risks </w:t>
            </w:r>
            <w:r w:rsidR="00F10A2D">
              <w:t>komandas daļēj</w:t>
            </w:r>
            <w:r w:rsidR="00E52881">
              <w:t>ai</w:t>
            </w:r>
            <w:r w:rsidR="00F10A2D">
              <w:t xml:space="preserve"> vai pilnīg</w:t>
            </w:r>
            <w:r w:rsidR="00E52881">
              <w:t>ai</w:t>
            </w:r>
            <w:r w:rsidR="00F10A2D">
              <w:t xml:space="preserve"> atsaukšan</w:t>
            </w:r>
            <w:r w:rsidR="00E52881">
              <w:t>ai</w:t>
            </w:r>
            <w:r w:rsidR="00F10A2D">
              <w:t xml:space="preserve"> no dalības sporta sacensībās.</w:t>
            </w:r>
            <w:r w:rsidR="00765D84">
              <w:t xml:space="preserve"> Detalizētu esošās situācijas analīzi un katras ziemas </w:t>
            </w:r>
            <w:r w:rsidR="00F12ED8">
              <w:t xml:space="preserve">sporta </w:t>
            </w:r>
            <w:r w:rsidR="00765D84">
              <w:t>federācij</w:t>
            </w:r>
            <w:r w:rsidR="008C79AE">
              <w:t>as</w:t>
            </w:r>
            <w:r w:rsidR="00765D84">
              <w:t xml:space="preserve"> papildus finansējuma pieprasījum</w:t>
            </w:r>
            <w:r w:rsidR="008C79AE">
              <w:t>u</w:t>
            </w:r>
            <w:r w:rsidR="00765D84">
              <w:t xml:space="preserve"> (ar izvērstu kopējo finansiālo situāciju un budžetu</w:t>
            </w:r>
            <w:r w:rsidR="00F10A2D">
              <w:t xml:space="preserve"> </w:t>
            </w:r>
            <w:r w:rsidR="00765D84">
              <w:t>2019./2020.gada ziemas sezonai) skatīt ziemas federāciju vēstules pielikum</w:t>
            </w:r>
            <w:r w:rsidR="008C79AE">
              <w:t>os</w:t>
            </w:r>
            <w:r w:rsidR="00765D84">
              <w:t>.</w:t>
            </w:r>
            <w:r w:rsidR="00F12ED8">
              <w:t xml:space="preserve"> Ar Ministru prezidenta </w:t>
            </w:r>
            <w:proofErr w:type="spellStart"/>
            <w:r w:rsidR="00F12ED8">
              <w:t>A.K.Kariņa</w:t>
            </w:r>
            <w:proofErr w:type="spellEnd"/>
            <w:r w:rsidR="00F12ED8">
              <w:t xml:space="preserve"> </w:t>
            </w:r>
            <w:r w:rsidR="00F12ED8" w:rsidRPr="007E150B">
              <w:t xml:space="preserve">2019. gada </w:t>
            </w:r>
            <w:r w:rsidR="00F12ED8">
              <w:t>10</w:t>
            </w:r>
            <w:r w:rsidR="00F12ED8" w:rsidRPr="007E150B">
              <w:t xml:space="preserve">. </w:t>
            </w:r>
            <w:r w:rsidR="00F12ED8">
              <w:t xml:space="preserve">oktobra </w:t>
            </w:r>
            <w:r w:rsidR="00F12ED8" w:rsidRPr="007E150B">
              <w:t>rezolūcij</w:t>
            </w:r>
            <w:r w:rsidR="00F12ED8">
              <w:t>a</w:t>
            </w:r>
            <w:r w:rsidR="00F12ED8" w:rsidRPr="007E150B">
              <w:t xml:space="preserve"> Nr. </w:t>
            </w:r>
            <w:r w:rsidR="00F12ED8">
              <w:t>7.8.5./2019-DOC-2029-1685 ziemas sporta federāciju vēstule nodota izvērtēšanai Ministrijai.</w:t>
            </w:r>
          </w:p>
          <w:p w14:paraId="7BE9C043" w14:textId="77777777" w:rsidR="00F12ED8" w:rsidRDefault="00F12ED8" w:rsidP="004270A0">
            <w:pPr>
              <w:ind w:left="141" w:right="142" w:firstLine="567"/>
              <w:jc w:val="both"/>
            </w:pPr>
            <w:r>
              <w:t xml:space="preserve">Izvērtējot ziemas sporta federāciju finanšu pieprasījumu, </w:t>
            </w:r>
            <w:r w:rsidR="009B4D2F">
              <w:t xml:space="preserve">finansiālā atbalsta apmēra </w:t>
            </w:r>
            <w:r w:rsidR="000A77DA">
              <w:t xml:space="preserve">individuālajos sporta veidos </w:t>
            </w:r>
            <w:r w:rsidR="009B4D2F">
              <w:t xml:space="preserve">noteikšanai </w:t>
            </w:r>
            <w:r w:rsidR="00554067">
              <w:t xml:space="preserve">Ministrija </w:t>
            </w:r>
            <w:r w:rsidR="009B4D2F">
              <w:t>ņēma vērā</w:t>
            </w:r>
            <w:r w:rsidR="00C31357">
              <w:t xml:space="preserve"> </w:t>
            </w:r>
            <w:r w:rsidR="00D67174">
              <w:t>sportistu skait</w:t>
            </w:r>
            <w:r w:rsidR="00524940">
              <w:t>u</w:t>
            </w:r>
            <w:r w:rsidR="00B47E6F">
              <w:rPr>
                <w:rStyle w:val="Vresatsauce"/>
              </w:rPr>
              <w:footnoteReference w:id="2"/>
            </w:r>
            <w:r w:rsidR="00D67174">
              <w:t xml:space="preserve">, kuriem </w:t>
            </w:r>
            <w:r w:rsidR="00404B2C">
              <w:t xml:space="preserve"> līdz 2019. gada 31. decembrim </w:t>
            </w:r>
            <w:r w:rsidR="00D67174">
              <w:t>paredzēts starts attiecīgā sporta veida augstākā līmeņa sporta sacensībās (pamatā Pasaules kausa posmos</w:t>
            </w:r>
            <w:r w:rsidR="00554067">
              <w:t>, neieskaitot jauniešus un juniorus</w:t>
            </w:r>
            <w:r w:rsidR="00D67174">
              <w:t>)</w:t>
            </w:r>
            <w:r w:rsidR="00524940">
              <w:t>, kā arī to, vai sportists i</w:t>
            </w:r>
            <w:r w:rsidR="008F1718">
              <w:t>r iekļauts LOV A vai B sastāvā.</w:t>
            </w:r>
          </w:p>
          <w:p w14:paraId="5181C6A5" w14:textId="77777777" w:rsidR="00F12ED8" w:rsidRDefault="00F12ED8" w:rsidP="004270A0">
            <w:pPr>
              <w:ind w:left="141" w:right="142" w:firstLine="567"/>
              <w:jc w:val="both"/>
            </w:pPr>
          </w:p>
          <w:tbl>
            <w:tblPr>
              <w:tblpPr w:leftFromText="180" w:rightFromText="180" w:vertAnchor="text" w:horzAnchor="margin" w:tblpXSpec="center" w:tblpY="-117"/>
              <w:tblOverlap w:val="never"/>
              <w:tblW w:w="5670" w:type="dxa"/>
              <w:tblLook w:val="04A0" w:firstRow="1" w:lastRow="0" w:firstColumn="1" w:lastColumn="0" w:noHBand="0" w:noVBand="1"/>
            </w:tblPr>
            <w:tblGrid>
              <w:gridCol w:w="1418"/>
              <w:gridCol w:w="1198"/>
              <w:gridCol w:w="960"/>
              <w:gridCol w:w="960"/>
              <w:gridCol w:w="1134"/>
            </w:tblGrid>
            <w:tr w:rsidR="009B4D2F" w:rsidRPr="00F12ED8" w14:paraId="68BDFEB2" w14:textId="77777777" w:rsidTr="000D2CA4">
              <w:trPr>
                <w:trHeight w:val="274"/>
              </w:trPr>
              <w:tc>
                <w:tcPr>
                  <w:tcW w:w="1418" w:type="dxa"/>
                  <w:shd w:val="clear" w:color="auto" w:fill="auto"/>
                  <w:noWrap/>
                  <w:vAlign w:val="center"/>
                  <w:hideMark/>
                </w:tcPr>
                <w:p w14:paraId="7AAE8EF7" w14:textId="77777777" w:rsidR="00F12ED8" w:rsidRPr="000D2CA4" w:rsidRDefault="000D2CA4" w:rsidP="00516B42">
                  <w:pPr>
                    <w:jc w:val="center"/>
                    <w:rPr>
                      <w:rFonts w:eastAsia="Times New Roman"/>
                      <w:b/>
                      <w:sz w:val="20"/>
                      <w:szCs w:val="20"/>
                    </w:rPr>
                  </w:pPr>
                  <w:r w:rsidRPr="000D2CA4">
                    <w:rPr>
                      <w:rFonts w:eastAsia="Times New Roman"/>
                      <w:b/>
                      <w:sz w:val="20"/>
                      <w:szCs w:val="20"/>
                    </w:rPr>
                    <w:t>Sporta veids</w:t>
                  </w:r>
                </w:p>
              </w:tc>
              <w:tc>
                <w:tcPr>
                  <w:tcW w:w="1198" w:type="dxa"/>
                  <w:shd w:val="clear" w:color="auto" w:fill="auto"/>
                  <w:vAlign w:val="center"/>
                  <w:hideMark/>
                </w:tcPr>
                <w:p w14:paraId="15AF9092" w14:textId="77777777" w:rsidR="00F12ED8" w:rsidRPr="000D2CA4" w:rsidRDefault="00F12ED8" w:rsidP="00516B42">
                  <w:pPr>
                    <w:jc w:val="center"/>
                    <w:rPr>
                      <w:rFonts w:eastAsia="Times New Roman"/>
                      <w:b/>
                      <w:bCs/>
                      <w:color w:val="000000"/>
                      <w:sz w:val="20"/>
                      <w:szCs w:val="20"/>
                    </w:rPr>
                  </w:pPr>
                  <w:r w:rsidRPr="000D2CA4">
                    <w:rPr>
                      <w:rFonts w:eastAsia="Times New Roman"/>
                      <w:b/>
                      <w:bCs/>
                      <w:color w:val="000000"/>
                      <w:sz w:val="20"/>
                      <w:szCs w:val="20"/>
                    </w:rPr>
                    <w:t>Sportistu skaits</w:t>
                  </w:r>
                </w:p>
              </w:tc>
              <w:tc>
                <w:tcPr>
                  <w:tcW w:w="960" w:type="dxa"/>
                  <w:shd w:val="clear" w:color="auto" w:fill="auto"/>
                  <w:vAlign w:val="center"/>
                  <w:hideMark/>
                </w:tcPr>
                <w:p w14:paraId="0B49E7D1" w14:textId="77777777" w:rsidR="00F12ED8" w:rsidRPr="000D2CA4" w:rsidRDefault="00F12ED8" w:rsidP="00516B42">
                  <w:pPr>
                    <w:jc w:val="center"/>
                    <w:rPr>
                      <w:rFonts w:eastAsia="Times New Roman"/>
                      <w:b/>
                      <w:bCs/>
                      <w:color w:val="000000"/>
                      <w:sz w:val="20"/>
                      <w:szCs w:val="20"/>
                    </w:rPr>
                  </w:pPr>
                  <w:r w:rsidRPr="000D2CA4">
                    <w:rPr>
                      <w:rFonts w:eastAsia="Times New Roman"/>
                      <w:b/>
                      <w:bCs/>
                      <w:color w:val="000000"/>
                      <w:sz w:val="20"/>
                      <w:szCs w:val="20"/>
                    </w:rPr>
                    <w:t>LOV A</w:t>
                  </w:r>
                </w:p>
              </w:tc>
              <w:tc>
                <w:tcPr>
                  <w:tcW w:w="960" w:type="dxa"/>
                  <w:shd w:val="clear" w:color="auto" w:fill="auto"/>
                  <w:vAlign w:val="center"/>
                  <w:hideMark/>
                </w:tcPr>
                <w:p w14:paraId="2D4EE7F0" w14:textId="77777777" w:rsidR="00F12ED8" w:rsidRPr="000D2CA4" w:rsidRDefault="00F12ED8" w:rsidP="00516B42">
                  <w:pPr>
                    <w:jc w:val="center"/>
                    <w:rPr>
                      <w:rFonts w:eastAsia="Times New Roman"/>
                      <w:b/>
                      <w:bCs/>
                      <w:color w:val="000000"/>
                      <w:sz w:val="20"/>
                      <w:szCs w:val="20"/>
                    </w:rPr>
                  </w:pPr>
                  <w:r w:rsidRPr="000D2CA4">
                    <w:rPr>
                      <w:rFonts w:eastAsia="Times New Roman"/>
                      <w:b/>
                      <w:bCs/>
                      <w:color w:val="000000"/>
                      <w:sz w:val="20"/>
                      <w:szCs w:val="20"/>
                    </w:rPr>
                    <w:t>LOV B</w:t>
                  </w:r>
                </w:p>
              </w:tc>
              <w:tc>
                <w:tcPr>
                  <w:tcW w:w="1134" w:type="dxa"/>
                  <w:shd w:val="clear" w:color="auto" w:fill="auto"/>
                  <w:vAlign w:val="center"/>
                  <w:hideMark/>
                </w:tcPr>
                <w:p w14:paraId="47249FB4" w14:textId="77777777" w:rsidR="00524940" w:rsidRPr="000D2CA4" w:rsidRDefault="00F12ED8" w:rsidP="00516B42">
                  <w:pPr>
                    <w:jc w:val="center"/>
                    <w:rPr>
                      <w:rFonts w:eastAsia="Times New Roman"/>
                      <w:b/>
                      <w:bCs/>
                      <w:color w:val="000000"/>
                      <w:sz w:val="20"/>
                      <w:szCs w:val="20"/>
                    </w:rPr>
                  </w:pPr>
                  <w:r w:rsidRPr="000D2CA4">
                    <w:rPr>
                      <w:rFonts w:eastAsia="Times New Roman"/>
                      <w:b/>
                      <w:bCs/>
                      <w:color w:val="000000"/>
                      <w:sz w:val="20"/>
                      <w:szCs w:val="20"/>
                    </w:rPr>
                    <w:t xml:space="preserve">Nav </w:t>
                  </w:r>
                </w:p>
                <w:p w14:paraId="630F9B19" w14:textId="77777777" w:rsidR="00F12ED8" w:rsidRPr="000D2CA4" w:rsidRDefault="00F12ED8" w:rsidP="00516B42">
                  <w:pPr>
                    <w:jc w:val="center"/>
                    <w:rPr>
                      <w:rFonts w:eastAsia="Times New Roman"/>
                      <w:b/>
                      <w:bCs/>
                      <w:color w:val="000000"/>
                      <w:sz w:val="20"/>
                      <w:szCs w:val="20"/>
                    </w:rPr>
                  </w:pPr>
                  <w:r w:rsidRPr="000D2CA4">
                    <w:rPr>
                      <w:rFonts w:eastAsia="Times New Roman"/>
                      <w:b/>
                      <w:bCs/>
                      <w:color w:val="000000"/>
                      <w:sz w:val="20"/>
                      <w:szCs w:val="20"/>
                    </w:rPr>
                    <w:t>LOV</w:t>
                  </w:r>
                  <w:r w:rsidR="00524940" w:rsidRPr="000D2CA4">
                    <w:rPr>
                      <w:rFonts w:eastAsia="Times New Roman"/>
                      <w:b/>
                      <w:bCs/>
                      <w:color w:val="000000"/>
                      <w:sz w:val="20"/>
                      <w:szCs w:val="20"/>
                    </w:rPr>
                    <w:t xml:space="preserve"> A/B</w:t>
                  </w:r>
                </w:p>
              </w:tc>
            </w:tr>
            <w:tr w:rsidR="00554067" w:rsidRPr="00F12ED8" w14:paraId="690E9D65" w14:textId="77777777" w:rsidTr="00524940">
              <w:trPr>
                <w:trHeight w:val="88"/>
              </w:trPr>
              <w:tc>
                <w:tcPr>
                  <w:tcW w:w="1418" w:type="dxa"/>
                  <w:shd w:val="clear" w:color="auto" w:fill="auto"/>
                  <w:noWrap/>
                  <w:vAlign w:val="bottom"/>
                  <w:hideMark/>
                </w:tcPr>
                <w:p w14:paraId="5BE0F317" w14:textId="77777777" w:rsidR="00F12ED8" w:rsidRPr="00F12ED8" w:rsidRDefault="00F12ED8" w:rsidP="00516B42">
                  <w:pPr>
                    <w:rPr>
                      <w:rFonts w:eastAsia="Times New Roman"/>
                      <w:bCs/>
                      <w:color w:val="000000"/>
                      <w:sz w:val="20"/>
                      <w:szCs w:val="20"/>
                    </w:rPr>
                  </w:pPr>
                  <w:r w:rsidRPr="00F12ED8">
                    <w:rPr>
                      <w:rFonts w:eastAsia="Times New Roman"/>
                      <w:bCs/>
                      <w:color w:val="000000"/>
                      <w:sz w:val="20"/>
                      <w:szCs w:val="20"/>
                    </w:rPr>
                    <w:t>Biatlons</w:t>
                  </w:r>
                </w:p>
              </w:tc>
              <w:tc>
                <w:tcPr>
                  <w:tcW w:w="1198" w:type="dxa"/>
                  <w:shd w:val="clear" w:color="auto" w:fill="auto"/>
                  <w:noWrap/>
                  <w:vAlign w:val="center"/>
                  <w:hideMark/>
                </w:tcPr>
                <w:p w14:paraId="5FDA9FEE"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7</w:t>
                  </w:r>
                </w:p>
              </w:tc>
              <w:tc>
                <w:tcPr>
                  <w:tcW w:w="960" w:type="dxa"/>
                  <w:shd w:val="clear" w:color="auto" w:fill="auto"/>
                  <w:noWrap/>
                  <w:vAlign w:val="center"/>
                  <w:hideMark/>
                </w:tcPr>
                <w:p w14:paraId="613660D9"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1</w:t>
                  </w:r>
                </w:p>
              </w:tc>
              <w:tc>
                <w:tcPr>
                  <w:tcW w:w="960" w:type="dxa"/>
                  <w:shd w:val="clear" w:color="auto" w:fill="auto"/>
                  <w:noWrap/>
                  <w:vAlign w:val="center"/>
                  <w:hideMark/>
                </w:tcPr>
                <w:p w14:paraId="7E2E5A8A"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1</w:t>
                  </w:r>
                </w:p>
              </w:tc>
              <w:tc>
                <w:tcPr>
                  <w:tcW w:w="1134" w:type="dxa"/>
                  <w:shd w:val="clear" w:color="auto" w:fill="auto"/>
                  <w:noWrap/>
                  <w:vAlign w:val="center"/>
                  <w:hideMark/>
                </w:tcPr>
                <w:p w14:paraId="53546E0C"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5</w:t>
                  </w:r>
                </w:p>
              </w:tc>
            </w:tr>
            <w:tr w:rsidR="00554067" w:rsidRPr="00F12ED8" w14:paraId="4C410BE6" w14:textId="77777777" w:rsidTr="00524940">
              <w:trPr>
                <w:trHeight w:val="134"/>
              </w:trPr>
              <w:tc>
                <w:tcPr>
                  <w:tcW w:w="1418" w:type="dxa"/>
                  <w:shd w:val="clear" w:color="auto" w:fill="auto"/>
                  <w:noWrap/>
                  <w:vAlign w:val="bottom"/>
                  <w:hideMark/>
                </w:tcPr>
                <w:p w14:paraId="70B92021" w14:textId="77777777" w:rsidR="00F12ED8" w:rsidRPr="00F12ED8" w:rsidRDefault="00F12ED8" w:rsidP="00516B42">
                  <w:pPr>
                    <w:rPr>
                      <w:rFonts w:eastAsia="Times New Roman"/>
                      <w:bCs/>
                      <w:color w:val="000000"/>
                      <w:sz w:val="20"/>
                      <w:szCs w:val="20"/>
                    </w:rPr>
                  </w:pPr>
                  <w:r w:rsidRPr="00F12ED8">
                    <w:rPr>
                      <w:rFonts w:eastAsia="Times New Roman"/>
                      <w:bCs/>
                      <w:color w:val="000000"/>
                      <w:sz w:val="20"/>
                      <w:szCs w:val="20"/>
                    </w:rPr>
                    <w:t>Bobslejs</w:t>
                  </w:r>
                </w:p>
              </w:tc>
              <w:tc>
                <w:tcPr>
                  <w:tcW w:w="1198" w:type="dxa"/>
                  <w:shd w:val="clear" w:color="auto" w:fill="auto"/>
                  <w:noWrap/>
                  <w:vAlign w:val="center"/>
                  <w:hideMark/>
                </w:tcPr>
                <w:p w14:paraId="0912762C"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10</w:t>
                  </w:r>
                </w:p>
              </w:tc>
              <w:tc>
                <w:tcPr>
                  <w:tcW w:w="960" w:type="dxa"/>
                  <w:shd w:val="clear" w:color="auto" w:fill="auto"/>
                  <w:noWrap/>
                  <w:vAlign w:val="center"/>
                  <w:hideMark/>
                </w:tcPr>
                <w:p w14:paraId="244C23EB"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7</w:t>
                  </w:r>
                </w:p>
              </w:tc>
              <w:tc>
                <w:tcPr>
                  <w:tcW w:w="960" w:type="dxa"/>
                  <w:shd w:val="clear" w:color="auto" w:fill="auto"/>
                  <w:noWrap/>
                  <w:vAlign w:val="center"/>
                  <w:hideMark/>
                </w:tcPr>
                <w:p w14:paraId="180AAF1D"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3</w:t>
                  </w:r>
                </w:p>
              </w:tc>
              <w:tc>
                <w:tcPr>
                  <w:tcW w:w="1134" w:type="dxa"/>
                  <w:shd w:val="clear" w:color="auto" w:fill="auto"/>
                  <w:noWrap/>
                  <w:vAlign w:val="center"/>
                  <w:hideMark/>
                </w:tcPr>
                <w:p w14:paraId="6CEC9C9C"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0</w:t>
                  </w:r>
                </w:p>
              </w:tc>
            </w:tr>
            <w:tr w:rsidR="00554067" w:rsidRPr="00F12ED8" w14:paraId="00606E14" w14:textId="77777777" w:rsidTr="00524940">
              <w:trPr>
                <w:trHeight w:val="179"/>
              </w:trPr>
              <w:tc>
                <w:tcPr>
                  <w:tcW w:w="1418" w:type="dxa"/>
                  <w:shd w:val="clear" w:color="auto" w:fill="auto"/>
                  <w:noWrap/>
                  <w:vAlign w:val="bottom"/>
                  <w:hideMark/>
                </w:tcPr>
                <w:p w14:paraId="767260E0" w14:textId="77777777" w:rsidR="00F12ED8" w:rsidRPr="00F12ED8" w:rsidRDefault="00F12ED8" w:rsidP="00516B42">
                  <w:pPr>
                    <w:rPr>
                      <w:rFonts w:eastAsia="Times New Roman"/>
                      <w:bCs/>
                      <w:color w:val="000000"/>
                      <w:sz w:val="20"/>
                      <w:szCs w:val="20"/>
                    </w:rPr>
                  </w:pPr>
                  <w:r w:rsidRPr="00F12ED8">
                    <w:rPr>
                      <w:rFonts w:eastAsia="Times New Roman"/>
                      <w:bCs/>
                      <w:color w:val="000000"/>
                      <w:sz w:val="20"/>
                      <w:szCs w:val="20"/>
                    </w:rPr>
                    <w:t>Skeletons</w:t>
                  </w:r>
                </w:p>
              </w:tc>
              <w:tc>
                <w:tcPr>
                  <w:tcW w:w="1198" w:type="dxa"/>
                  <w:shd w:val="clear" w:color="auto" w:fill="auto"/>
                  <w:noWrap/>
                  <w:vAlign w:val="center"/>
                  <w:hideMark/>
                </w:tcPr>
                <w:p w14:paraId="1CFB67EA"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2</w:t>
                  </w:r>
                </w:p>
              </w:tc>
              <w:tc>
                <w:tcPr>
                  <w:tcW w:w="960" w:type="dxa"/>
                  <w:shd w:val="clear" w:color="auto" w:fill="auto"/>
                  <w:noWrap/>
                  <w:vAlign w:val="center"/>
                  <w:hideMark/>
                </w:tcPr>
                <w:p w14:paraId="73CE3D44"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2</w:t>
                  </w:r>
                </w:p>
              </w:tc>
              <w:tc>
                <w:tcPr>
                  <w:tcW w:w="960" w:type="dxa"/>
                  <w:shd w:val="clear" w:color="auto" w:fill="auto"/>
                  <w:noWrap/>
                  <w:vAlign w:val="center"/>
                  <w:hideMark/>
                </w:tcPr>
                <w:p w14:paraId="4A1161EC"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0</w:t>
                  </w:r>
                </w:p>
              </w:tc>
              <w:tc>
                <w:tcPr>
                  <w:tcW w:w="1134" w:type="dxa"/>
                  <w:shd w:val="clear" w:color="auto" w:fill="auto"/>
                  <w:noWrap/>
                  <w:vAlign w:val="center"/>
                  <w:hideMark/>
                </w:tcPr>
                <w:p w14:paraId="17E67D45"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0</w:t>
                  </w:r>
                </w:p>
              </w:tc>
            </w:tr>
            <w:tr w:rsidR="00554067" w:rsidRPr="00F12ED8" w14:paraId="39662E66" w14:textId="77777777" w:rsidTr="00524940">
              <w:trPr>
                <w:trHeight w:val="212"/>
              </w:trPr>
              <w:tc>
                <w:tcPr>
                  <w:tcW w:w="1418" w:type="dxa"/>
                  <w:shd w:val="clear" w:color="auto" w:fill="auto"/>
                  <w:noWrap/>
                  <w:vAlign w:val="bottom"/>
                  <w:hideMark/>
                </w:tcPr>
                <w:p w14:paraId="0E6B969D" w14:textId="77777777" w:rsidR="00F12ED8" w:rsidRPr="00F12ED8" w:rsidRDefault="00F12ED8" w:rsidP="00516B42">
                  <w:pPr>
                    <w:rPr>
                      <w:rFonts w:eastAsia="Times New Roman"/>
                      <w:bCs/>
                      <w:color w:val="000000"/>
                      <w:sz w:val="20"/>
                      <w:szCs w:val="20"/>
                    </w:rPr>
                  </w:pPr>
                  <w:r w:rsidRPr="00F12ED8">
                    <w:rPr>
                      <w:rFonts w:eastAsia="Times New Roman"/>
                      <w:bCs/>
                      <w:color w:val="000000"/>
                      <w:sz w:val="20"/>
                      <w:szCs w:val="20"/>
                    </w:rPr>
                    <w:t>Kamaniņas</w:t>
                  </w:r>
                </w:p>
              </w:tc>
              <w:tc>
                <w:tcPr>
                  <w:tcW w:w="1198" w:type="dxa"/>
                  <w:shd w:val="clear" w:color="auto" w:fill="auto"/>
                  <w:noWrap/>
                  <w:vAlign w:val="center"/>
                  <w:hideMark/>
                </w:tcPr>
                <w:p w14:paraId="507DB1FE"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10</w:t>
                  </w:r>
                </w:p>
              </w:tc>
              <w:tc>
                <w:tcPr>
                  <w:tcW w:w="960" w:type="dxa"/>
                  <w:shd w:val="clear" w:color="auto" w:fill="auto"/>
                  <w:noWrap/>
                  <w:vAlign w:val="center"/>
                  <w:hideMark/>
                </w:tcPr>
                <w:p w14:paraId="012244E2"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9</w:t>
                  </w:r>
                </w:p>
              </w:tc>
              <w:tc>
                <w:tcPr>
                  <w:tcW w:w="960" w:type="dxa"/>
                  <w:shd w:val="clear" w:color="auto" w:fill="auto"/>
                  <w:noWrap/>
                  <w:vAlign w:val="center"/>
                  <w:hideMark/>
                </w:tcPr>
                <w:p w14:paraId="1AB95577"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1</w:t>
                  </w:r>
                </w:p>
              </w:tc>
              <w:tc>
                <w:tcPr>
                  <w:tcW w:w="1134" w:type="dxa"/>
                  <w:shd w:val="clear" w:color="auto" w:fill="auto"/>
                  <w:noWrap/>
                  <w:vAlign w:val="center"/>
                  <w:hideMark/>
                </w:tcPr>
                <w:p w14:paraId="53107505"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0</w:t>
                  </w:r>
                </w:p>
              </w:tc>
            </w:tr>
            <w:tr w:rsidR="00554067" w:rsidRPr="00F12ED8" w14:paraId="265AC075" w14:textId="77777777" w:rsidTr="00524940">
              <w:trPr>
                <w:trHeight w:val="116"/>
              </w:trPr>
              <w:tc>
                <w:tcPr>
                  <w:tcW w:w="1418" w:type="dxa"/>
                  <w:shd w:val="clear" w:color="auto" w:fill="auto"/>
                  <w:noWrap/>
                  <w:vAlign w:val="bottom"/>
                  <w:hideMark/>
                </w:tcPr>
                <w:p w14:paraId="200EDEAA" w14:textId="77777777" w:rsidR="00F12ED8" w:rsidRPr="00F12ED8" w:rsidRDefault="00F12ED8" w:rsidP="00516B42">
                  <w:pPr>
                    <w:rPr>
                      <w:rFonts w:eastAsia="Times New Roman"/>
                      <w:bCs/>
                      <w:color w:val="000000"/>
                      <w:sz w:val="20"/>
                      <w:szCs w:val="20"/>
                    </w:rPr>
                  </w:pPr>
                  <w:r w:rsidRPr="00F12ED8">
                    <w:rPr>
                      <w:rFonts w:eastAsia="Times New Roman"/>
                      <w:bCs/>
                      <w:color w:val="000000"/>
                      <w:sz w:val="20"/>
                      <w:szCs w:val="20"/>
                    </w:rPr>
                    <w:t>Daiļslidošana</w:t>
                  </w:r>
                </w:p>
              </w:tc>
              <w:tc>
                <w:tcPr>
                  <w:tcW w:w="1198" w:type="dxa"/>
                  <w:shd w:val="clear" w:color="auto" w:fill="auto"/>
                  <w:noWrap/>
                  <w:vAlign w:val="center"/>
                  <w:hideMark/>
                </w:tcPr>
                <w:p w14:paraId="7580F0E7"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2</w:t>
                  </w:r>
                </w:p>
              </w:tc>
              <w:tc>
                <w:tcPr>
                  <w:tcW w:w="960" w:type="dxa"/>
                  <w:shd w:val="clear" w:color="auto" w:fill="auto"/>
                  <w:noWrap/>
                  <w:vAlign w:val="center"/>
                  <w:hideMark/>
                </w:tcPr>
                <w:p w14:paraId="6EA6C341"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1</w:t>
                  </w:r>
                </w:p>
              </w:tc>
              <w:tc>
                <w:tcPr>
                  <w:tcW w:w="960" w:type="dxa"/>
                  <w:shd w:val="clear" w:color="auto" w:fill="auto"/>
                  <w:noWrap/>
                  <w:vAlign w:val="center"/>
                  <w:hideMark/>
                </w:tcPr>
                <w:p w14:paraId="0E9D7FD7"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1</w:t>
                  </w:r>
                </w:p>
              </w:tc>
              <w:tc>
                <w:tcPr>
                  <w:tcW w:w="1134" w:type="dxa"/>
                  <w:shd w:val="clear" w:color="auto" w:fill="auto"/>
                  <w:noWrap/>
                  <w:vAlign w:val="center"/>
                  <w:hideMark/>
                </w:tcPr>
                <w:p w14:paraId="4B3E0BE2" w14:textId="77777777" w:rsidR="00F12ED8" w:rsidRPr="00F12ED8" w:rsidRDefault="00F12ED8" w:rsidP="00516B42">
                  <w:pPr>
                    <w:jc w:val="center"/>
                    <w:rPr>
                      <w:rFonts w:eastAsia="Times New Roman"/>
                      <w:color w:val="000000"/>
                      <w:sz w:val="20"/>
                      <w:szCs w:val="20"/>
                    </w:rPr>
                  </w:pPr>
                  <w:r w:rsidRPr="00F12ED8">
                    <w:rPr>
                      <w:rFonts w:eastAsia="Times New Roman"/>
                      <w:color w:val="000000"/>
                      <w:sz w:val="20"/>
                      <w:szCs w:val="20"/>
                    </w:rPr>
                    <w:t>0</w:t>
                  </w:r>
                </w:p>
              </w:tc>
            </w:tr>
          </w:tbl>
          <w:p w14:paraId="02961CCD" w14:textId="77777777" w:rsidR="006F31EF" w:rsidRDefault="006F31EF" w:rsidP="00524940">
            <w:pPr>
              <w:ind w:left="141" w:right="142" w:firstLine="567"/>
              <w:jc w:val="both"/>
            </w:pPr>
          </w:p>
          <w:p w14:paraId="53DBA536" w14:textId="77777777" w:rsidR="00524940" w:rsidRDefault="00B0232F" w:rsidP="00524940">
            <w:pPr>
              <w:ind w:left="141" w:right="142" w:firstLine="567"/>
              <w:jc w:val="both"/>
            </w:pPr>
            <w:r>
              <w:t>A</w:t>
            </w:r>
            <w:r w:rsidR="00524940">
              <w:t xml:space="preserve">tkarībā no sportista esamības LOV A vai B sastāvā </w:t>
            </w:r>
            <w:r>
              <w:t xml:space="preserve">Ministrija rosina </w:t>
            </w:r>
            <w:r w:rsidR="00524940">
              <w:t>noteikt atbalsta apmērs vienam sportistam</w:t>
            </w:r>
            <w:r w:rsidR="00B47E6F">
              <w:t>, t.i., LOV A sastāva sportistam atbalsta apmērs 4`000 EUR, LOV B sastāva sportistam 8`000 EUR, savukārt sportistam, kurš nav LOV A vai B sastāvā 12`000 EUR</w:t>
            </w:r>
            <w:r w:rsidR="00524940">
              <w:t>. Minētais pamatojams ar faktu, ka sportistiem, kuri ir iekļauti LOV A vai B sastāvā, jau šobrīd no valsts tiek sniegts at</w:t>
            </w:r>
            <w:r>
              <w:t xml:space="preserve">balsts </w:t>
            </w:r>
            <w:proofErr w:type="spellStart"/>
            <w:r>
              <w:t>treniņdarbam</w:t>
            </w:r>
            <w:proofErr w:type="spellEnd"/>
            <w:r>
              <w:t xml:space="preserve"> un dalībai sacensībās </w:t>
            </w:r>
            <w:r w:rsidR="00524940">
              <w:t xml:space="preserve"> (tai skaitā a</w:t>
            </w:r>
            <w:r w:rsidR="0086484B">
              <w:t>rī 2019./2020.gada ziemas sezonā</w:t>
            </w:r>
            <w:r w:rsidR="00524940">
              <w:t>), kā arī pabalstu (algas) nodrošināšanai sportistiem un viņu treneriem, turklāt, LOV A sastāva sportistiem atbalsta apmērs ir būtiski lielāks kā LOV B sastāva sportistiem.</w:t>
            </w:r>
            <w:r w:rsidR="00B47E6F">
              <w:t xml:space="preserve"> LOV saskaņā ar Sporta likuma 10. panta 11. daļu nodrošina v</w:t>
            </w:r>
            <w:r w:rsidR="00B47E6F" w:rsidRPr="00B47E6F">
              <w:t xml:space="preserve">alsts labāko sportistu individuālajos olimpiskajos sporta veidos sagatavošanos dalībai </w:t>
            </w:r>
            <w:r w:rsidR="00B47E6F">
              <w:t>O</w:t>
            </w:r>
            <w:r w:rsidR="00B47E6F" w:rsidRPr="00B47E6F">
              <w:t>limpiskajās spēlēs, jaunatnes olimpiādēs un citās starptautiskajās sporta sacensībās.</w:t>
            </w:r>
            <w:r w:rsidR="00863DF0">
              <w:t xml:space="preserve"> Ievērojot minēto, </w:t>
            </w:r>
            <w:r w:rsidR="0086484B">
              <w:t xml:space="preserve">kā arī, ņemot vērā sportistu skaitu, </w:t>
            </w:r>
            <w:r w:rsidR="00863DF0">
              <w:t>atbalsta apmērs katram no sporta veidiem ir šāds:</w:t>
            </w:r>
          </w:p>
          <w:p w14:paraId="2C5DE010" w14:textId="77777777" w:rsidR="00524940" w:rsidRDefault="00524940" w:rsidP="00524940">
            <w:pPr>
              <w:ind w:left="141" w:right="142" w:firstLine="567"/>
              <w:jc w:val="both"/>
            </w:pPr>
          </w:p>
          <w:tbl>
            <w:tblPr>
              <w:tblW w:w="5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0"/>
              <w:gridCol w:w="819"/>
              <w:gridCol w:w="1082"/>
              <w:gridCol w:w="1701"/>
            </w:tblGrid>
            <w:tr w:rsidR="00B47E6F" w:rsidRPr="00B47E6F" w14:paraId="293EFE16" w14:textId="77777777" w:rsidTr="000D2CA4">
              <w:trPr>
                <w:trHeight w:val="373"/>
                <w:jc w:val="center"/>
              </w:trPr>
              <w:tc>
                <w:tcPr>
                  <w:tcW w:w="1413" w:type="dxa"/>
                  <w:shd w:val="clear" w:color="000000" w:fill="FFFFFF"/>
                  <w:noWrap/>
                  <w:vAlign w:val="center"/>
                  <w:hideMark/>
                </w:tcPr>
                <w:p w14:paraId="28698F52" w14:textId="77777777" w:rsidR="00B47E6F" w:rsidRPr="000D2CA4" w:rsidRDefault="000D2CA4" w:rsidP="00516B42">
                  <w:pPr>
                    <w:framePr w:hSpace="180" w:wrap="around" w:vAnchor="text" w:hAnchor="margin" w:xAlign="center" w:y="149"/>
                    <w:jc w:val="center"/>
                    <w:rPr>
                      <w:rFonts w:eastAsia="Times New Roman"/>
                      <w:b/>
                      <w:color w:val="000000"/>
                      <w:sz w:val="20"/>
                      <w:szCs w:val="20"/>
                    </w:rPr>
                  </w:pPr>
                  <w:r w:rsidRPr="000D2CA4">
                    <w:rPr>
                      <w:rFonts w:eastAsia="Times New Roman"/>
                      <w:b/>
                      <w:color w:val="000000"/>
                      <w:sz w:val="20"/>
                      <w:szCs w:val="20"/>
                    </w:rPr>
                    <w:t>Sporta veids</w:t>
                  </w:r>
                </w:p>
              </w:tc>
              <w:tc>
                <w:tcPr>
                  <w:tcW w:w="900" w:type="dxa"/>
                  <w:shd w:val="clear" w:color="000000" w:fill="FFFFFF"/>
                  <w:vAlign w:val="center"/>
                </w:tcPr>
                <w:p w14:paraId="74ABF788" w14:textId="77777777" w:rsidR="00B47E6F" w:rsidRPr="000D2CA4" w:rsidRDefault="00B47E6F" w:rsidP="00516B42">
                  <w:pPr>
                    <w:framePr w:hSpace="180" w:wrap="around" w:vAnchor="text" w:hAnchor="margin" w:xAlign="center" w:y="149"/>
                    <w:jc w:val="center"/>
                    <w:rPr>
                      <w:rFonts w:eastAsia="Times New Roman"/>
                      <w:b/>
                      <w:iCs/>
                      <w:color w:val="000000"/>
                      <w:sz w:val="20"/>
                      <w:szCs w:val="20"/>
                    </w:rPr>
                  </w:pPr>
                  <w:r w:rsidRPr="000D2CA4">
                    <w:rPr>
                      <w:rFonts w:eastAsia="Times New Roman"/>
                      <w:b/>
                      <w:iCs/>
                      <w:color w:val="000000"/>
                      <w:sz w:val="20"/>
                      <w:szCs w:val="20"/>
                    </w:rPr>
                    <w:t>LOV A</w:t>
                  </w:r>
                </w:p>
              </w:tc>
              <w:tc>
                <w:tcPr>
                  <w:tcW w:w="819" w:type="dxa"/>
                  <w:shd w:val="clear" w:color="000000" w:fill="FFFFFF"/>
                  <w:vAlign w:val="center"/>
                </w:tcPr>
                <w:p w14:paraId="044405D6" w14:textId="77777777" w:rsidR="00B47E6F" w:rsidRPr="000D2CA4" w:rsidRDefault="00B47E6F" w:rsidP="00516B42">
                  <w:pPr>
                    <w:framePr w:hSpace="180" w:wrap="around" w:vAnchor="text" w:hAnchor="margin" w:xAlign="center" w:y="149"/>
                    <w:jc w:val="center"/>
                    <w:rPr>
                      <w:rFonts w:eastAsia="Times New Roman"/>
                      <w:b/>
                      <w:iCs/>
                      <w:color w:val="000000"/>
                      <w:sz w:val="20"/>
                      <w:szCs w:val="20"/>
                    </w:rPr>
                  </w:pPr>
                  <w:r w:rsidRPr="000D2CA4">
                    <w:rPr>
                      <w:rFonts w:eastAsia="Times New Roman"/>
                      <w:b/>
                      <w:iCs/>
                      <w:color w:val="000000"/>
                      <w:sz w:val="20"/>
                      <w:szCs w:val="20"/>
                    </w:rPr>
                    <w:t>LOV B</w:t>
                  </w:r>
                </w:p>
              </w:tc>
              <w:tc>
                <w:tcPr>
                  <w:tcW w:w="1082" w:type="dxa"/>
                  <w:shd w:val="clear" w:color="000000" w:fill="FFFFFF"/>
                  <w:vAlign w:val="center"/>
                </w:tcPr>
                <w:p w14:paraId="40A085BC" w14:textId="77777777" w:rsidR="00B47E6F" w:rsidRPr="000D2CA4" w:rsidRDefault="00B47E6F" w:rsidP="00516B42">
                  <w:pPr>
                    <w:framePr w:hSpace="180" w:wrap="around" w:vAnchor="text" w:hAnchor="margin" w:xAlign="center" w:y="149"/>
                    <w:jc w:val="center"/>
                    <w:rPr>
                      <w:rFonts w:eastAsia="Times New Roman"/>
                      <w:b/>
                      <w:iCs/>
                      <w:color w:val="000000"/>
                      <w:sz w:val="20"/>
                      <w:szCs w:val="20"/>
                    </w:rPr>
                  </w:pPr>
                  <w:r w:rsidRPr="000D2CA4">
                    <w:rPr>
                      <w:rFonts w:eastAsia="Times New Roman"/>
                      <w:b/>
                      <w:iCs/>
                      <w:color w:val="000000"/>
                      <w:sz w:val="20"/>
                      <w:szCs w:val="20"/>
                    </w:rPr>
                    <w:t>Nav LOV</w:t>
                  </w:r>
                </w:p>
                <w:p w14:paraId="69375077" w14:textId="77777777" w:rsidR="00B47E6F" w:rsidRPr="000D2CA4" w:rsidRDefault="00B47E6F" w:rsidP="00516B42">
                  <w:pPr>
                    <w:framePr w:hSpace="180" w:wrap="around" w:vAnchor="text" w:hAnchor="margin" w:xAlign="center" w:y="149"/>
                    <w:jc w:val="center"/>
                    <w:rPr>
                      <w:rFonts w:eastAsia="Times New Roman"/>
                      <w:b/>
                      <w:iCs/>
                      <w:color w:val="000000"/>
                      <w:sz w:val="20"/>
                      <w:szCs w:val="20"/>
                    </w:rPr>
                  </w:pPr>
                  <w:r w:rsidRPr="000D2CA4">
                    <w:rPr>
                      <w:rFonts w:eastAsia="Times New Roman"/>
                      <w:b/>
                      <w:iCs/>
                      <w:color w:val="000000"/>
                      <w:sz w:val="20"/>
                      <w:szCs w:val="20"/>
                    </w:rPr>
                    <w:t>A/B</w:t>
                  </w:r>
                </w:p>
              </w:tc>
              <w:tc>
                <w:tcPr>
                  <w:tcW w:w="1701" w:type="dxa"/>
                  <w:shd w:val="clear" w:color="000000" w:fill="FFFFFF"/>
                  <w:noWrap/>
                  <w:vAlign w:val="center"/>
                  <w:hideMark/>
                </w:tcPr>
                <w:p w14:paraId="0A16D6E6" w14:textId="77777777" w:rsidR="00B47E6F" w:rsidRPr="000D2CA4" w:rsidRDefault="00B47E6F" w:rsidP="00516B42">
                  <w:pPr>
                    <w:framePr w:hSpace="180" w:wrap="around" w:vAnchor="text" w:hAnchor="margin" w:xAlign="center" w:y="149"/>
                    <w:jc w:val="center"/>
                    <w:rPr>
                      <w:rFonts w:eastAsia="Times New Roman"/>
                      <w:b/>
                      <w:color w:val="000000"/>
                      <w:sz w:val="20"/>
                      <w:szCs w:val="20"/>
                    </w:rPr>
                  </w:pPr>
                  <w:r w:rsidRPr="000D2CA4">
                    <w:rPr>
                      <w:rFonts w:eastAsia="Times New Roman"/>
                      <w:b/>
                      <w:color w:val="000000"/>
                      <w:sz w:val="20"/>
                      <w:szCs w:val="20"/>
                    </w:rPr>
                    <w:t xml:space="preserve">Atbalsts </w:t>
                  </w:r>
                  <w:r w:rsidR="00863DF0" w:rsidRPr="000D2CA4">
                    <w:rPr>
                      <w:rFonts w:eastAsia="Times New Roman"/>
                      <w:b/>
                      <w:color w:val="000000"/>
                      <w:sz w:val="20"/>
                      <w:szCs w:val="20"/>
                    </w:rPr>
                    <w:t xml:space="preserve">sporta veidam </w:t>
                  </w:r>
                  <w:r w:rsidRPr="000D2CA4">
                    <w:rPr>
                      <w:rFonts w:eastAsia="Times New Roman"/>
                      <w:b/>
                      <w:color w:val="000000"/>
                      <w:sz w:val="20"/>
                      <w:szCs w:val="20"/>
                    </w:rPr>
                    <w:t>kopā</w:t>
                  </w:r>
                </w:p>
              </w:tc>
            </w:tr>
            <w:tr w:rsidR="00B47E6F" w:rsidRPr="00B47E6F" w14:paraId="61D5D5D5" w14:textId="77777777" w:rsidTr="000D2CA4">
              <w:trPr>
                <w:trHeight w:val="252"/>
                <w:jc w:val="center"/>
              </w:trPr>
              <w:tc>
                <w:tcPr>
                  <w:tcW w:w="1413" w:type="dxa"/>
                  <w:shd w:val="clear" w:color="000000" w:fill="FFFFFF"/>
                  <w:noWrap/>
                  <w:vAlign w:val="bottom"/>
                  <w:hideMark/>
                </w:tcPr>
                <w:p w14:paraId="70A6653C" w14:textId="77777777" w:rsidR="00B47E6F" w:rsidRPr="00B47E6F" w:rsidRDefault="00B47E6F" w:rsidP="00516B42">
                  <w:pPr>
                    <w:framePr w:hSpace="180" w:wrap="around" w:vAnchor="text" w:hAnchor="margin" w:xAlign="center" w:y="149"/>
                    <w:rPr>
                      <w:rFonts w:eastAsia="Times New Roman"/>
                      <w:color w:val="000000"/>
                      <w:sz w:val="20"/>
                      <w:szCs w:val="20"/>
                    </w:rPr>
                  </w:pPr>
                  <w:r w:rsidRPr="00B47E6F">
                    <w:rPr>
                      <w:rFonts w:eastAsia="Times New Roman"/>
                      <w:color w:val="000000"/>
                      <w:sz w:val="20"/>
                      <w:szCs w:val="20"/>
                    </w:rPr>
                    <w:t>Biatlons</w:t>
                  </w:r>
                </w:p>
              </w:tc>
              <w:tc>
                <w:tcPr>
                  <w:tcW w:w="900" w:type="dxa"/>
                  <w:shd w:val="clear" w:color="000000" w:fill="FFFFFF"/>
                  <w:vAlign w:val="center"/>
                </w:tcPr>
                <w:p w14:paraId="3A86A76F"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4 000</w:t>
                  </w:r>
                </w:p>
              </w:tc>
              <w:tc>
                <w:tcPr>
                  <w:tcW w:w="819" w:type="dxa"/>
                  <w:shd w:val="clear" w:color="000000" w:fill="FFFFFF"/>
                  <w:vAlign w:val="center"/>
                </w:tcPr>
                <w:p w14:paraId="5AD211E2"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8 000</w:t>
                  </w:r>
                </w:p>
              </w:tc>
              <w:tc>
                <w:tcPr>
                  <w:tcW w:w="1082" w:type="dxa"/>
                  <w:shd w:val="clear" w:color="000000" w:fill="FFFFFF"/>
                  <w:vAlign w:val="center"/>
                </w:tcPr>
                <w:p w14:paraId="4804ECA8"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60 000</w:t>
                  </w:r>
                </w:p>
              </w:tc>
              <w:tc>
                <w:tcPr>
                  <w:tcW w:w="1701" w:type="dxa"/>
                  <w:shd w:val="clear" w:color="000000" w:fill="FFFFFF"/>
                  <w:noWrap/>
                  <w:vAlign w:val="center"/>
                  <w:hideMark/>
                </w:tcPr>
                <w:p w14:paraId="7FF7D5E6" w14:textId="77777777" w:rsidR="00B47E6F" w:rsidRPr="00B47E6F" w:rsidRDefault="00B47E6F" w:rsidP="00516B42">
                  <w:pPr>
                    <w:framePr w:hSpace="180" w:wrap="around" w:vAnchor="text" w:hAnchor="margin" w:xAlign="center" w:y="149"/>
                    <w:jc w:val="center"/>
                    <w:rPr>
                      <w:rFonts w:eastAsia="Times New Roman"/>
                      <w:color w:val="000000"/>
                      <w:sz w:val="20"/>
                      <w:szCs w:val="20"/>
                    </w:rPr>
                  </w:pPr>
                  <w:r w:rsidRPr="00B47E6F">
                    <w:rPr>
                      <w:rFonts w:eastAsia="Times New Roman"/>
                      <w:color w:val="000000"/>
                      <w:sz w:val="20"/>
                      <w:szCs w:val="20"/>
                    </w:rPr>
                    <w:t>72 000</w:t>
                  </w:r>
                </w:p>
              </w:tc>
            </w:tr>
            <w:tr w:rsidR="00B47E6F" w:rsidRPr="00B47E6F" w14:paraId="6E738D2A" w14:textId="77777777" w:rsidTr="000D2CA4">
              <w:trPr>
                <w:trHeight w:val="141"/>
                <w:jc w:val="center"/>
              </w:trPr>
              <w:tc>
                <w:tcPr>
                  <w:tcW w:w="1413" w:type="dxa"/>
                  <w:shd w:val="clear" w:color="000000" w:fill="FFFFFF"/>
                  <w:noWrap/>
                  <w:vAlign w:val="bottom"/>
                  <w:hideMark/>
                </w:tcPr>
                <w:p w14:paraId="63794131" w14:textId="77777777" w:rsidR="00B47E6F" w:rsidRPr="00B47E6F" w:rsidRDefault="00B47E6F" w:rsidP="00516B42">
                  <w:pPr>
                    <w:framePr w:hSpace="180" w:wrap="around" w:vAnchor="text" w:hAnchor="margin" w:xAlign="center" w:y="149"/>
                    <w:rPr>
                      <w:rFonts w:eastAsia="Times New Roman"/>
                      <w:color w:val="000000"/>
                      <w:sz w:val="20"/>
                      <w:szCs w:val="20"/>
                    </w:rPr>
                  </w:pPr>
                  <w:r w:rsidRPr="00B47E6F">
                    <w:rPr>
                      <w:rFonts w:eastAsia="Times New Roman"/>
                      <w:color w:val="000000"/>
                      <w:sz w:val="20"/>
                      <w:szCs w:val="20"/>
                    </w:rPr>
                    <w:t>Bobslejs</w:t>
                  </w:r>
                </w:p>
              </w:tc>
              <w:tc>
                <w:tcPr>
                  <w:tcW w:w="900" w:type="dxa"/>
                  <w:shd w:val="clear" w:color="000000" w:fill="FFFFFF"/>
                  <w:vAlign w:val="center"/>
                </w:tcPr>
                <w:p w14:paraId="3DC6D575"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28 000</w:t>
                  </w:r>
                </w:p>
              </w:tc>
              <w:tc>
                <w:tcPr>
                  <w:tcW w:w="819" w:type="dxa"/>
                  <w:shd w:val="clear" w:color="000000" w:fill="FFFFFF"/>
                  <w:vAlign w:val="center"/>
                </w:tcPr>
                <w:p w14:paraId="0FF7CF7C"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24 000</w:t>
                  </w:r>
                </w:p>
              </w:tc>
              <w:tc>
                <w:tcPr>
                  <w:tcW w:w="1082" w:type="dxa"/>
                  <w:shd w:val="clear" w:color="000000" w:fill="FFFFFF"/>
                  <w:vAlign w:val="center"/>
                </w:tcPr>
                <w:p w14:paraId="30DF83B1"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0</w:t>
                  </w:r>
                </w:p>
              </w:tc>
              <w:tc>
                <w:tcPr>
                  <w:tcW w:w="1701" w:type="dxa"/>
                  <w:shd w:val="clear" w:color="000000" w:fill="FFFFFF"/>
                  <w:noWrap/>
                  <w:vAlign w:val="center"/>
                  <w:hideMark/>
                </w:tcPr>
                <w:p w14:paraId="09CBE742" w14:textId="77777777" w:rsidR="00B47E6F" w:rsidRPr="00B47E6F" w:rsidRDefault="00B47E6F" w:rsidP="00516B42">
                  <w:pPr>
                    <w:framePr w:hSpace="180" w:wrap="around" w:vAnchor="text" w:hAnchor="margin" w:xAlign="center" w:y="149"/>
                    <w:jc w:val="center"/>
                    <w:rPr>
                      <w:rFonts w:eastAsia="Times New Roman"/>
                      <w:color w:val="000000"/>
                      <w:sz w:val="20"/>
                      <w:szCs w:val="20"/>
                    </w:rPr>
                  </w:pPr>
                  <w:r w:rsidRPr="00B47E6F">
                    <w:rPr>
                      <w:rFonts w:eastAsia="Times New Roman"/>
                      <w:color w:val="000000"/>
                      <w:sz w:val="20"/>
                      <w:szCs w:val="20"/>
                    </w:rPr>
                    <w:t>52 000</w:t>
                  </w:r>
                </w:p>
              </w:tc>
            </w:tr>
            <w:tr w:rsidR="00B47E6F" w:rsidRPr="00B47E6F" w14:paraId="4C953308" w14:textId="77777777" w:rsidTr="000D2CA4">
              <w:trPr>
                <w:trHeight w:val="188"/>
                <w:jc w:val="center"/>
              </w:trPr>
              <w:tc>
                <w:tcPr>
                  <w:tcW w:w="1413" w:type="dxa"/>
                  <w:shd w:val="clear" w:color="000000" w:fill="FFFFFF"/>
                  <w:noWrap/>
                  <w:vAlign w:val="bottom"/>
                  <w:hideMark/>
                </w:tcPr>
                <w:p w14:paraId="61FB7B51" w14:textId="77777777" w:rsidR="00B47E6F" w:rsidRPr="00B47E6F" w:rsidRDefault="00B47E6F" w:rsidP="00516B42">
                  <w:pPr>
                    <w:framePr w:hSpace="180" w:wrap="around" w:vAnchor="text" w:hAnchor="margin" w:xAlign="center" w:y="149"/>
                    <w:rPr>
                      <w:rFonts w:eastAsia="Times New Roman"/>
                      <w:color w:val="000000"/>
                      <w:sz w:val="20"/>
                      <w:szCs w:val="20"/>
                    </w:rPr>
                  </w:pPr>
                  <w:r w:rsidRPr="00B47E6F">
                    <w:rPr>
                      <w:rFonts w:eastAsia="Times New Roman"/>
                      <w:color w:val="000000"/>
                      <w:sz w:val="20"/>
                      <w:szCs w:val="20"/>
                    </w:rPr>
                    <w:t>Skeletons</w:t>
                  </w:r>
                </w:p>
              </w:tc>
              <w:tc>
                <w:tcPr>
                  <w:tcW w:w="900" w:type="dxa"/>
                  <w:shd w:val="clear" w:color="000000" w:fill="FFFFFF"/>
                  <w:vAlign w:val="center"/>
                </w:tcPr>
                <w:p w14:paraId="07B6C465"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8 000</w:t>
                  </w:r>
                </w:p>
              </w:tc>
              <w:tc>
                <w:tcPr>
                  <w:tcW w:w="819" w:type="dxa"/>
                  <w:shd w:val="clear" w:color="000000" w:fill="FFFFFF"/>
                  <w:vAlign w:val="center"/>
                </w:tcPr>
                <w:p w14:paraId="099914BC"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0</w:t>
                  </w:r>
                </w:p>
              </w:tc>
              <w:tc>
                <w:tcPr>
                  <w:tcW w:w="1082" w:type="dxa"/>
                  <w:shd w:val="clear" w:color="000000" w:fill="FFFFFF"/>
                  <w:vAlign w:val="center"/>
                </w:tcPr>
                <w:p w14:paraId="50BD330F"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0</w:t>
                  </w:r>
                </w:p>
              </w:tc>
              <w:tc>
                <w:tcPr>
                  <w:tcW w:w="1701" w:type="dxa"/>
                  <w:shd w:val="clear" w:color="000000" w:fill="FFFFFF"/>
                  <w:noWrap/>
                  <w:vAlign w:val="center"/>
                  <w:hideMark/>
                </w:tcPr>
                <w:p w14:paraId="055C9A39" w14:textId="77777777" w:rsidR="00B47E6F" w:rsidRPr="00B47E6F" w:rsidRDefault="00B47E6F" w:rsidP="00516B42">
                  <w:pPr>
                    <w:framePr w:hSpace="180" w:wrap="around" w:vAnchor="text" w:hAnchor="margin" w:xAlign="center" w:y="149"/>
                    <w:jc w:val="center"/>
                    <w:rPr>
                      <w:rFonts w:eastAsia="Times New Roman"/>
                      <w:color w:val="000000"/>
                      <w:sz w:val="20"/>
                      <w:szCs w:val="20"/>
                    </w:rPr>
                  </w:pPr>
                  <w:r w:rsidRPr="00B47E6F">
                    <w:rPr>
                      <w:rFonts w:eastAsia="Times New Roman"/>
                      <w:color w:val="000000"/>
                      <w:sz w:val="20"/>
                      <w:szCs w:val="20"/>
                    </w:rPr>
                    <w:t>8 000</w:t>
                  </w:r>
                </w:p>
              </w:tc>
            </w:tr>
            <w:tr w:rsidR="00B47E6F" w:rsidRPr="00B47E6F" w14:paraId="1F0A72B5" w14:textId="77777777" w:rsidTr="000D2CA4">
              <w:trPr>
                <w:trHeight w:val="105"/>
                <w:jc w:val="center"/>
              </w:trPr>
              <w:tc>
                <w:tcPr>
                  <w:tcW w:w="1413" w:type="dxa"/>
                  <w:shd w:val="clear" w:color="000000" w:fill="FFFFFF"/>
                  <w:noWrap/>
                  <w:vAlign w:val="bottom"/>
                  <w:hideMark/>
                </w:tcPr>
                <w:p w14:paraId="12D387D6" w14:textId="77777777" w:rsidR="00B47E6F" w:rsidRPr="00B47E6F" w:rsidRDefault="00B47E6F" w:rsidP="00516B42">
                  <w:pPr>
                    <w:framePr w:hSpace="180" w:wrap="around" w:vAnchor="text" w:hAnchor="margin" w:xAlign="center" w:y="149"/>
                    <w:rPr>
                      <w:rFonts w:eastAsia="Times New Roman"/>
                      <w:color w:val="000000"/>
                      <w:sz w:val="20"/>
                      <w:szCs w:val="20"/>
                    </w:rPr>
                  </w:pPr>
                  <w:r w:rsidRPr="00B47E6F">
                    <w:rPr>
                      <w:rFonts w:eastAsia="Times New Roman"/>
                      <w:color w:val="000000"/>
                      <w:sz w:val="20"/>
                      <w:szCs w:val="20"/>
                    </w:rPr>
                    <w:t>Kamaniņas</w:t>
                  </w:r>
                </w:p>
              </w:tc>
              <w:tc>
                <w:tcPr>
                  <w:tcW w:w="900" w:type="dxa"/>
                  <w:shd w:val="clear" w:color="000000" w:fill="FFFFFF"/>
                  <w:vAlign w:val="center"/>
                </w:tcPr>
                <w:p w14:paraId="580ECC9F"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36 000</w:t>
                  </w:r>
                </w:p>
              </w:tc>
              <w:tc>
                <w:tcPr>
                  <w:tcW w:w="819" w:type="dxa"/>
                  <w:shd w:val="clear" w:color="000000" w:fill="FFFFFF"/>
                  <w:vAlign w:val="center"/>
                </w:tcPr>
                <w:p w14:paraId="4ACCCC39"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8 000</w:t>
                  </w:r>
                </w:p>
              </w:tc>
              <w:tc>
                <w:tcPr>
                  <w:tcW w:w="1082" w:type="dxa"/>
                  <w:shd w:val="clear" w:color="000000" w:fill="FFFFFF"/>
                  <w:vAlign w:val="center"/>
                </w:tcPr>
                <w:p w14:paraId="2DC38618"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0</w:t>
                  </w:r>
                </w:p>
              </w:tc>
              <w:tc>
                <w:tcPr>
                  <w:tcW w:w="1701" w:type="dxa"/>
                  <w:shd w:val="clear" w:color="000000" w:fill="FFFFFF"/>
                  <w:noWrap/>
                  <w:vAlign w:val="center"/>
                  <w:hideMark/>
                </w:tcPr>
                <w:p w14:paraId="40FC02F6" w14:textId="77777777" w:rsidR="00B47E6F" w:rsidRPr="00B47E6F" w:rsidRDefault="00B47E6F" w:rsidP="00516B42">
                  <w:pPr>
                    <w:framePr w:hSpace="180" w:wrap="around" w:vAnchor="text" w:hAnchor="margin" w:xAlign="center" w:y="149"/>
                    <w:jc w:val="center"/>
                    <w:rPr>
                      <w:rFonts w:eastAsia="Times New Roman"/>
                      <w:color w:val="000000"/>
                      <w:sz w:val="20"/>
                      <w:szCs w:val="20"/>
                    </w:rPr>
                  </w:pPr>
                  <w:r w:rsidRPr="00B47E6F">
                    <w:rPr>
                      <w:rFonts w:eastAsia="Times New Roman"/>
                      <w:color w:val="000000"/>
                      <w:sz w:val="20"/>
                      <w:szCs w:val="20"/>
                    </w:rPr>
                    <w:t>44 000</w:t>
                  </w:r>
                </w:p>
              </w:tc>
            </w:tr>
            <w:tr w:rsidR="00B47E6F" w:rsidRPr="00B47E6F" w14:paraId="5D4779B6" w14:textId="77777777" w:rsidTr="000D2CA4">
              <w:trPr>
                <w:trHeight w:val="152"/>
                <w:jc w:val="center"/>
              </w:trPr>
              <w:tc>
                <w:tcPr>
                  <w:tcW w:w="1413" w:type="dxa"/>
                  <w:shd w:val="clear" w:color="000000" w:fill="FFFFFF"/>
                  <w:noWrap/>
                  <w:vAlign w:val="bottom"/>
                  <w:hideMark/>
                </w:tcPr>
                <w:p w14:paraId="6EDF4D56" w14:textId="77777777" w:rsidR="00B47E6F" w:rsidRPr="00B47E6F" w:rsidRDefault="00B47E6F" w:rsidP="00516B42">
                  <w:pPr>
                    <w:framePr w:hSpace="180" w:wrap="around" w:vAnchor="text" w:hAnchor="margin" w:xAlign="center" w:y="149"/>
                    <w:rPr>
                      <w:rFonts w:eastAsia="Times New Roman"/>
                      <w:color w:val="000000"/>
                      <w:sz w:val="20"/>
                      <w:szCs w:val="20"/>
                    </w:rPr>
                  </w:pPr>
                  <w:r w:rsidRPr="00B47E6F">
                    <w:rPr>
                      <w:rFonts w:eastAsia="Times New Roman"/>
                      <w:color w:val="000000"/>
                      <w:sz w:val="20"/>
                      <w:szCs w:val="20"/>
                    </w:rPr>
                    <w:t>Daiļslidošana</w:t>
                  </w:r>
                </w:p>
              </w:tc>
              <w:tc>
                <w:tcPr>
                  <w:tcW w:w="900" w:type="dxa"/>
                  <w:shd w:val="clear" w:color="000000" w:fill="FFFFFF"/>
                  <w:vAlign w:val="center"/>
                </w:tcPr>
                <w:p w14:paraId="07A6D64E"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4 000</w:t>
                  </w:r>
                </w:p>
              </w:tc>
              <w:tc>
                <w:tcPr>
                  <w:tcW w:w="819" w:type="dxa"/>
                  <w:shd w:val="clear" w:color="000000" w:fill="FFFFFF"/>
                  <w:vAlign w:val="center"/>
                </w:tcPr>
                <w:p w14:paraId="26781DC4"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8 000</w:t>
                  </w:r>
                </w:p>
              </w:tc>
              <w:tc>
                <w:tcPr>
                  <w:tcW w:w="1082" w:type="dxa"/>
                  <w:shd w:val="clear" w:color="000000" w:fill="FFFFFF"/>
                  <w:vAlign w:val="center"/>
                </w:tcPr>
                <w:p w14:paraId="691AC137" w14:textId="77777777" w:rsidR="00B47E6F" w:rsidRPr="00B47E6F" w:rsidRDefault="00B47E6F" w:rsidP="00516B42">
                  <w:pPr>
                    <w:framePr w:hSpace="180" w:wrap="around" w:vAnchor="text" w:hAnchor="margin" w:xAlign="center" w:y="149"/>
                    <w:jc w:val="center"/>
                    <w:rPr>
                      <w:rFonts w:eastAsia="Times New Roman"/>
                      <w:iCs/>
                      <w:color w:val="000000"/>
                      <w:sz w:val="20"/>
                      <w:szCs w:val="20"/>
                    </w:rPr>
                  </w:pPr>
                  <w:r w:rsidRPr="00B47E6F">
                    <w:rPr>
                      <w:rFonts w:eastAsia="Times New Roman"/>
                      <w:iCs/>
                      <w:color w:val="000000"/>
                      <w:sz w:val="20"/>
                      <w:szCs w:val="20"/>
                    </w:rPr>
                    <w:t>0</w:t>
                  </w:r>
                </w:p>
              </w:tc>
              <w:tc>
                <w:tcPr>
                  <w:tcW w:w="1701" w:type="dxa"/>
                  <w:shd w:val="clear" w:color="000000" w:fill="FFFFFF"/>
                  <w:noWrap/>
                  <w:vAlign w:val="center"/>
                  <w:hideMark/>
                </w:tcPr>
                <w:p w14:paraId="42735317" w14:textId="77777777" w:rsidR="00B47E6F" w:rsidRPr="00B47E6F" w:rsidRDefault="00B47E6F" w:rsidP="00516B42">
                  <w:pPr>
                    <w:framePr w:hSpace="180" w:wrap="around" w:vAnchor="text" w:hAnchor="margin" w:xAlign="center" w:y="149"/>
                    <w:jc w:val="center"/>
                    <w:rPr>
                      <w:rFonts w:eastAsia="Times New Roman"/>
                      <w:color w:val="000000"/>
                      <w:sz w:val="20"/>
                      <w:szCs w:val="20"/>
                    </w:rPr>
                  </w:pPr>
                  <w:r w:rsidRPr="00B47E6F">
                    <w:rPr>
                      <w:rFonts w:eastAsia="Times New Roman"/>
                      <w:color w:val="000000"/>
                      <w:sz w:val="20"/>
                      <w:szCs w:val="20"/>
                    </w:rPr>
                    <w:t>12 000</w:t>
                  </w:r>
                </w:p>
              </w:tc>
            </w:tr>
            <w:tr w:rsidR="003D0D5D" w:rsidRPr="00B47E6F" w14:paraId="76EBA99E" w14:textId="77777777" w:rsidTr="000D2CA4">
              <w:trPr>
                <w:trHeight w:val="212"/>
                <w:jc w:val="center"/>
              </w:trPr>
              <w:tc>
                <w:tcPr>
                  <w:tcW w:w="1413" w:type="dxa"/>
                  <w:shd w:val="clear" w:color="000000" w:fill="FFFFFF"/>
                  <w:noWrap/>
                  <w:vAlign w:val="bottom"/>
                  <w:hideMark/>
                </w:tcPr>
                <w:p w14:paraId="1A152B96" w14:textId="77777777" w:rsidR="003D0D5D" w:rsidRPr="00B47E6F" w:rsidRDefault="003D0D5D" w:rsidP="00516B42">
                  <w:pPr>
                    <w:framePr w:hSpace="180" w:wrap="around" w:vAnchor="text" w:hAnchor="margin" w:xAlign="center" w:y="149"/>
                    <w:rPr>
                      <w:rFonts w:eastAsia="Times New Roman"/>
                      <w:color w:val="000000"/>
                      <w:sz w:val="20"/>
                      <w:szCs w:val="20"/>
                    </w:rPr>
                  </w:pPr>
                  <w:proofErr w:type="spellStart"/>
                  <w:r w:rsidRPr="00B47E6F">
                    <w:rPr>
                      <w:rFonts w:eastAsia="Times New Roman"/>
                      <w:color w:val="000000"/>
                      <w:sz w:val="20"/>
                      <w:szCs w:val="20"/>
                    </w:rPr>
                    <w:t>Šortreks</w:t>
                  </w:r>
                  <w:proofErr w:type="spellEnd"/>
                </w:p>
              </w:tc>
              <w:tc>
                <w:tcPr>
                  <w:tcW w:w="2801" w:type="dxa"/>
                  <w:gridSpan w:val="3"/>
                  <w:shd w:val="clear" w:color="000000" w:fill="FFFFFF"/>
                  <w:vAlign w:val="center"/>
                </w:tcPr>
                <w:p w14:paraId="3935E59F" w14:textId="77777777" w:rsidR="003D0D5D" w:rsidRPr="00B47E6F" w:rsidRDefault="003D0D5D" w:rsidP="00516B42">
                  <w:pPr>
                    <w:framePr w:hSpace="180" w:wrap="around" w:vAnchor="text" w:hAnchor="margin" w:xAlign="center" w:y="149"/>
                    <w:jc w:val="center"/>
                    <w:rPr>
                      <w:rFonts w:eastAsia="Times New Roman"/>
                      <w:color w:val="000000"/>
                      <w:sz w:val="20"/>
                      <w:szCs w:val="20"/>
                    </w:rPr>
                  </w:pPr>
                  <w:r>
                    <w:rPr>
                      <w:rFonts w:eastAsia="Times New Roman"/>
                      <w:color w:val="000000"/>
                      <w:sz w:val="20"/>
                      <w:szCs w:val="20"/>
                    </w:rPr>
                    <w:t>Individuāla pieeja</w:t>
                  </w:r>
                  <w:r>
                    <w:rPr>
                      <w:rStyle w:val="Vresatsauce"/>
                      <w:rFonts w:eastAsia="Times New Roman"/>
                      <w:color w:val="000000"/>
                      <w:sz w:val="20"/>
                      <w:szCs w:val="20"/>
                    </w:rPr>
                    <w:footnoteReference w:id="3"/>
                  </w:r>
                </w:p>
              </w:tc>
              <w:tc>
                <w:tcPr>
                  <w:tcW w:w="1701" w:type="dxa"/>
                  <w:shd w:val="clear" w:color="000000" w:fill="FFFFFF"/>
                  <w:noWrap/>
                  <w:vAlign w:val="center"/>
                  <w:hideMark/>
                </w:tcPr>
                <w:p w14:paraId="63B6CD37" w14:textId="77777777" w:rsidR="003D0D5D" w:rsidRPr="00B47E6F" w:rsidRDefault="003D0D5D" w:rsidP="00516B42">
                  <w:pPr>
                    <w:framePr w:hSpace="180" w:wrap="around" w:vAnchor="text" w:hAnchor="margin" w:xAlign="center" w:y="149"/>
                    <w:jc w:val="center"/>
                    <w:rPr>
                      <w:rFonts w:eastAsia="Times New Roman"/>
                      <w:color w:val="000000"/>
                      <w:sz w:val="20"/>
                      <w:szCs w:val="20"/>
                    </w:rPr>
                  </w:pPr>
                  <w:r w:rsidRPr="00B47E6F">
                    <w:rPr>
                      <w:rFonts w:eastAsia="Times New Roman"/>
                      <w:color w:val="000000"/>
                      <w:sz w:val="20"/>
                      <w:szCs w:val="20"/>
                    </w:rPr>
                    <w:t>4 000</w:t>
                  </w:r>
                </w:p>
              </w:tc>
            </w:tr>
            <w:tr w:rsidR="00B47E6F" w:rsidRPr="00B47E6F" w14:paraId="2AAFB2B1" w14:textId="77777777" w:rsidTr="000D2CA4">
              <w:trPr>
                <w:trHeight w:val="330"/>
                <w:jc w:val="center"/>
              </w:trPr>
              <w:tc>
                <w:tcPr>
                  <w:tcW w:w="4214" w:type="dxa"/>
                  <w:gridSpan w:val="4"/>
                  <w:shd w:val="clear" w:color="000000" w:fill="FFFFFF"/>
                  <w:noWrap/>
                  <w:vAlign w:val="center"/>
                  <w:hideMark/>
                </w:tcPr>
                <w:p w14:paraId="49D70F27" w14:textId="77777777" w:rsidR="00B47E6F" w:rsidRPr="00B47E6F" w:rsidRDefault="00B47E6F" w:rsidP="00516B42">
                  <w:pPr>
                    <w:framePr w:hSpace="180" w:wrap="around" w:vAnchor="text" w:hAnchor="margin" w:xAlign="center" w:y="149"/>
                    <w:jc w:val="right"/>
                    <w:rPr>
                      <w:rFonts w:eastAsia="Times New Roman"/>
                      <w:bCs/>
                      <w:color w:val="000000"/>
                      <w:sz w:val="20"/>
                      <w:szCs w:val="20"/>
                    </w:rPr>
                  </w:pPr>
                  <w:r w:rsidRPr="00B47E6F">
                    <w:rPr>
                      <w:rFonts w:eastAsia="Times New Roman"/>
                      <w:bCs/>
                      <w:color w:val="000000"/>
                      <w:sz w:val="20"/>
                      <w:szCs w:val="20"/>
                    </w:rPr>
                    <w:t>Kopā:</w:t>
                  </w:r>
                </w:p>
              </w:tc>
              <w:tc>
                <w:tcPr>
                  <w:tcW w:w="1701" w:type="dxa"/>
                  <w:shd w:val="clear" w:color="000000" w:fill="FFFFFF"/>
                  <w:noWrap/>
                  <w:vAlign w:val="center"/>
                  <w:hideMark/>
                </w:tcPr>
                <w:p w14:paraId="5A6D35A4" w14:textId="77777777" w:rsidR="00B47E6F" w:rsidRPr="00B47E6F" w:rsidRDefault="00B47E6F" w:rsidP="00516B42">
                  <w:pPr>
                    <w:framePr w:hSpace="180" w:wrap="around" w:vAnchor="text" w:hAnchor="margin" w:xAlign="center" w:y="149"/>
                    <w:jc w:val="center"/>
                    <w:rPr>
                      <w:rFonts w:eastAsia="Times New Roman"/>
                      <w:bCs/>
                      <w:color w:val="000000"/>
                      <w:sz w:val="20"/>
                      <w:szCs w:val="20"/>
                    </w:rPr>
                  </w:pPr>
                  <w:r w:rsidRPr="00B47E6F">
                    <w:rPr>
                      <w:rFonts w:eastAsia="Times New Roman"/>
                      <w:bCs/>
                      <w:color w:val="000000"/>
                      <w:sz w:val="20"/>
                      <w:szCs w:val="20"/>
                    </w:rPr>
                    <w:t>192 000</w:t>
                  </w:r>
                </w:p>
              </w:tc>
            </w:tr>
          </w:tbl>
          <w:p w14:paraId="3166E92C" w14:textId="77777777" w:rsidR="00524940" w:rsidRDefault="00524940" w:rsidP="00524940">
            <w:pPr>
              <w:ind w:left="141" w:right="142" w:firstLine="567"/>
              <w:jc w:val="both"/>
            </w:pPr>
          </w:p>
          <w:p w14:paraId="540C11A7" w14:textId="77777777" w:rsidR="00B47E6F" w:rsidRDefault="00B47E6F" w:rsidP="000A77DA">
            <w:pPr>
              <w:ind w:left="141" w:right="142" w:firstLine="567"/>
              <w:jc w:val="both"/>
            </w:pPr>
            <w:r>
              <w:t xml:space="preserve">Ņemot vērā faktu, ka LSF </w:t>
            </w:r>
            <w:r w:rsidR="000A77DA">
              <w:t>finanšu pieprasījumā (kalnu slēpošana, distanču slēpošana un ziemeļu divcīņa), kā arī LSA finanšu pieprasījumā attiecībā uz ātrslido</w:t>
            </w:r>
            <w:r w:rsidR="008F1718">
              <w:t>šanu</w:t>
            </w:r>
            <w:r>
              <w:t xml:space="preserve"> </w:t>
            </w:r>
            <w:r w:rsidR="000A77DA">
              <w:t>līdz 2019. gada 31. decembrim</w:t>
            </w:r>
            <w:r w:rsidR="008F1718">
              <w:t xml:space="preserve"> papildus finansējums </w:t>
            </w:r>
            <w:r w:rsidR="006B10B1">
              <w:t>netiek</w:t>
            </w:r>
            <w:r w:rsidR="008F1718">
              <w:t xml:space="preserve"> </w:t>
            </w:r>
            <w:r w:rsidR="006B10B1">
              <w:t>lūgts</w:t>
            </w:r>
            <w:r w:rsidR="000A77DA">
              <w:t>, kā arī LSA</w:t>
            </w:r>
            <w:r w:rsidR="00394CFD">
              <w:t xml:space="preserve"> finanšu pieprasījumā iekļautajā</w:t>
            </w:r>
            <w:r w:rsidR="000A77DA">
              <w:t xml:space="preserve"> sinhronās slidošanas finanšu pieprasījumā minētās sporta sacensības norisinās 2020. gadā</w:t>
            </w:r>
            <w:r w:rsidR="00394CFD">
              <w:t xml:space="preserve"> (turklāt šajā sporta veidā Latvijas sportistiem līdz šim nav bijuši augsti sasniegumi)</w:t>
            </w:r>
            <w:r w:rsidR="000A77DA">
              <w:t>, tad minētajiem sporta veidiem atbalsts nav paredzēts.</w:t>
            </w:r>
          </w:p>
          <w:p w14:paraId="6E0E173F" w14:textId="77777777" w:rsidR="00196BF3" w:rsidRDefault="000A77DA" w:rsidP="000A77DA">
            <w:pPr>
              <w:ind w:left="141" w:right="142" w:firstLine="567"/>
              <w:jc w:val="both"/>
            </w:pPr>
            <w:r>
              <w:t xml:space="preserve">Savukārt izvērtējot LHF </w:t>
            </w:r>
            <w:r w:rsidR="00196BF3">
              <w:t>finanšu pieprasījumu un, ņemot vērā Latvijas hokeja izlašu treniņu un sacensību grafiku (līdz 2019. gada 31. decembrim, tai skaitā faktu, ka U20 junior</w:t>
            </w:r>
            <w:r w:rsidR="006E49B0">
              <w:t>u</w:t>
            </w:r>
            <w:r w:rsidR="00196BF3">
              <w:t xml:space="preserve"> izlasei </w:t>
            </w:r>
            <w:r w:rsidR="006E49B0">
              <w:t xml:space="preserve">2019. gada decembrī </w:t>
            </w:r>
            <w:r w:rsidR="00196BF3">
              <w:t>paredzēta dal</w:t>
            </w:r>
            <w:r w:rsidR="006E49B0">
              <w:t>ība p</w:t>
            </w:r>
            <w:r w:rsidR="00196BF3">
              <w:t>asaules čempionātā</w:t>
            </w:r>
            <w:r w:rsidR="00394CFD">
              <w:t>)</w:t>
            </w:r>
            <w:r w:rsidR="00196BF3">
              <w:t>, Ministrijas vērtējumā atbalsta apmērs LHF būtu nosakāms 78`000 EUR, tai skaitā prioritāri atbalstot tieši U20 junior</w:t>
            </w:r>
            <w:r w:rsidR="006E49B0">
              <w:t>u</w:t>
            </w:r>
            <w:r w:rsidR="00196BF3">
              <w:t xml:space="preserve"> izlasi.</w:t>
            </w:r>
          </w:p>
          <w:p w14:paraId="2D9EB516" w14:textId="77777777" w:rsidR="000A77DA" w:rsidRDefault="006E49B0" w:rsidP="006E49B0">
            <w:pPr>
              <w:ind w:left="141" w:right="142" w:firstLine="567"/>
              <w:jc w:val="both"/>
            </w:pPr>
            <w:r>
              <w:t xml:space="preserve">Iepriekšminētā izvērtējuma rezultātā kopējais ziemas sporta federācijām papildus nepieciešamais finansējums ir 270`000 EUR, savukārt, ņemot vērā </w:t>
            </w:r>
            <w:r w:rsidR="00863DF0">
              <w:t xml:space="preserve">arī </w:t>
            </w:r>
            <w:r>
              <w:t xml:space="preserve">nepieciešamo finansējumu </w:t>
            </w:r>
            <w:r w:rsidR="00755DA8">
              <w:t xml:space="preserve">handbola izlases sagatavošanai un dalības nodrošināšanai </w:t>
            </w:r>
            <w:r>
              <w:t xml:space="preserve">EČ handbolā, kopējais nepieciešamais finansējums </w:t>
            </w:r>
            <w:r w:rsidR="00863DF0">
              <w:t xml:space="preserve">visām sporta federācijām kopā </w:t>
            </w:r>
            <w:r>
              <w:t>ir 362</w:t>
            </w:r>
            <w:r w:rsidRPr="003350F2">
              <w:t>`</w:t>
            </w:r>
            <w:r>
              <w:t>000</w:t>
            </w:r>
            <w:r w:rsidRPr="003350F2">
              <w:t xml:space="preserve"> EUR</w:t>
            </w:r>
            <w:r>
              <w:t xml:space="preserve">. </w:t>
            </w:r>
          </w:p>
          <w:p w14:paraId="3C95E7BB" w14:textId="77777777" w:rsidR="006F77B3" w:rsidRPr="003350F2" w:rsidRDefault="00871B9E" w:rsidP="0086774C">
            <w:pPr>
              <w:ind w:left="141" w:right="142" w:firstLine="567"/>
              <w:jc w:val="both"/>
              <w:rPr>
                <w:rFonts w:eastAsia="Times New Roman"/>
              </w:rPr>
            </w:pPr>
            <w:r w:rsidRPr="003350F2">
              <w:rPr>
                <w:rFonts w:eastAsia="Times New Roman"/>
              </w:rPr>
              <w:t>Ministrijas</w:t>
            </w:r>
            <w:r w:rsidR="00EA26F3" w:rsidRPr="003350F2">
              <w:rPr>
                <w:rFonts w:eastAsia="Times New Roman"/>
              </w:rPr>
              <w:t xml:space="preserve"> rīcībā nav nep</w:t>
            </w:r>
            <w:r w:rsidR="006B7D9B" w:rsidRPr="003350F2">
              <w:rPr>
                <w:rFonts w:eastAsia="Times New Roman"/>
              </w:rPr>
              <w:t xml:space="preserve">ieciešamie līdzekļi </w:t>
            </w:r>
            <w:r w:rsidR="00F24D15">
              <w:t>362</w:t>
            </w:r>
            <w:r w:rsidR="00D47260" w:rsidRPr="003350F2">
              <w:t>`</w:t>
            </w:r>
            <w:r w:rsidR="006E49B0">
              <w:t>0</w:t>
            </w:r>
            <w:r w:rsidR="00F24D15">
              <w:t>00</w:t>
            </w:r>
            <w:r w:rsidR="00BC774D" w:rsidRPr="003350F2">
              <w:t xml:space="preserve"> EUR</w:t>
            </w:r>
            <w:r w:rsidR="00BC774D" w:rsidRPr="003350F2">
              <w:rPr>
                <w:rFonts w:eastAsia="Times New Roman"/>
              </w:rPr>
              <w:t xml:space="preserve"> </w:t>
            </w:r>
            <w:r w:rsidR="006B7D9B" w:rsidRPr="003350F2">
              <w:rPr>
                <w:rFonts w:eastAsia="Times New Roman"/>
              </w:rPr>
              <w:t>apmērā</w:t>
            </w:r>
            <w:r w:rsidR="00EA26F3" w:rsidRPr="003350F2">
              <w:rPr>
                <w:rFonts w:eastAsia="Times New Roman"/>
              </w:rPr>
              <w:t xml:space="preserve">, </w:t>
            </w:r>
            <w:r w:rsidR="00CA1EB4" w:rsidRPr="003350F2">
              <w:rPr>
                <w:rFonts w:eastAsia="Times New Roman"/>
              </w:rPr>
              <w:t xml:space="preserve">kas būtu </w:t>
            </w:r>
            <w:r w:rsidRPr="003350F2">
              <w:rPr>
                <w:rFonts w:eastAsia="Times New Roman"/>
              </w:rPr>
              <w:t>novirzāmi</w:t>
            </w:r>
            <w:r w:rsidR="006E49B0" w:rsidRPr="00EB1538">
              <w:t xml:space="preserve"> ar Latvijas vīriešu handbola izlases sagatavošanos un dalību 2020. gada Eiropas čempionātā handbolā</w:t>
            </w:r>
            <w:r w:rsidR="006E49B0">
              <w:t xml:space="preserve">, kā arī olimpisko ziemas sporta veidu sporta federāciju izlašu </w:t>
            </w:r>
            <w:r w:rsidR="006E49B0" w:rsidRPr="00B61364">
              <w:t>sagatavošan</w:t>
            </w:r>
            <w:r w:rsidR="006E49B0">
              <w:t>os</w:t>
            </w:r>
            <w:r w:rsidR="006E49B0" w:rsidRPr="00B61364">
              <w:t xml:space="preserve"> un dalīb</w:t>
            </w:r>
            <w:r w:rsidR="006E49B0">
              <w:t>u</w:t>
            </w:r>
            <w:r w:rsidR="006E49B0" w:rsidRPr="00B61364">
              <w:t xml:space="preserve"> sporta sacensībās 2019./2020. gada sezonā</w:t>
            </w:r>
            <w:r w:rsidR="006E49B0">
              <w:t xml:space="preserve"> saistīto izdevumu segšanai.</w:t>
            </w:r>
            <w:r w:rsidR="0086774C">
              <w:rPr>
                <w:rFonts w:eastAsia="Times New Roman"/>
              </w:rPr>
              <w:t xml:space="preserve"> </w:t>
            </w:r>
            <w:r w:rsidR="006B7D9B" w:rsidRPr="003350F2">
              <w:rPr>
                <w:rFonts w:eastAsia="Times New Roman"/>
              </w:rPr>
              <w:t>V</w:t>
            </w:r>
            <w:r w:rsidR="00EA26F3" w:rsidRPr="003350F2">
              <w:rPr>
                <w:rFonts w:eastAsia="Times New Roman"/>
              </w:rPr>
              <w:t>isi</w:t>
            </w:r>
            <w:r w:rsidR="00BC774D" w:rsidRPr="003350F2">
              <w:rPr>
                <w:rFonts w:eastAsia="Times New Roman"/>
              </w:rPr>
              <w:t xml:space="preserve"> finanšu līdzekļi 2019</w:t>
            </w:r>
            <w:r w:rsidR="001C7890" w:rsidRPr="003350F2">
              <w:rPr>
                <w:rFonts w:eastAsia="Times New Roman"/>
              </w:rPr>
              <w:t>.gadam valsts budžeta programmas</w:t>
            </w:r>
            <w:r w:rsidR="00EA26F3" w:rsidRPr="003350F2">
              <w:rPr>
                <w:rFonts w:eastAsia="Times New Roman"/>
              </w:rPr>
              <w:t xml:space="preserve"> 09.00.00 </w:t>
            </w:r>
            <w:r w:rsidR="00003C4D" w:rsidRPr="003350F2">
              <w:rPr>
                <w:rFonts w:eastAsia="Times New Roman"/>
              </w:rPr>
              <w:t>„</w:t>
            </w:r>
            <w:r w:rsidR="00EA26F3" w:rsidRPr="003350F2">
              <w:rPr>
                <w:rFonts w:eastAsia="Times New Roman"/>
              </w:rPr>
              <w:t xml:space="preserve">Sports” apakšprogrammā </w:t>
            </w:r>
            <w:r w:rsidR="00003C4D" w:rsidRPr="003350F2">
              <w:t>09.17.00 „</w:t>
            </w:r>
            <w:r w:rsidR="000F3000" w:rsidRPr="003350F2">
              <w:t>Dotācija komandu sporta spēļu izlašu nodrošināšanai”</w:t>
            </w:r>
            <w:r w:rsidR="00003C4D" w:rsidRPr="003350F2">
              <w:t xml:space="preserve"> un 09.21.00 „</w:t>
            </w:r>
            <w:r w:rsidR="004D79CE" w:rsidRPr="003350F2">
              <w:t>Augstas klases sasniegumu s</w:t>
            </w:r>
            <w:r w:rsidR="008D0636" w:rsidRPr="003350F2">
              <w:t>p</w:t>
            </w:r>
            <w:r w:rsidR="004D79CE" w:rsidRPr="003350F2">
              <w:t>orts”,</w:t>
            </w:r>
            <w:r w:rsidR="000F3000" w:rsidRPr="003350F2">
              <w:t xml:space="preserve"> kuru mērķi atbilst </w:t>
            </w:r>
            <w:r w:rsidR="00863DF0">
              <w:t xml:space="preserve">minēto sporta organizāciju </w:t>
            </w:r>
            <w:r w:rsidR="00003C4D" w:rsidRPr="003350F2">
              <w:t xml:space="preserve">iesniegtajiem papildus finansējuma </w:t>
            </w:r>
            <w:r w:rsidR="000F3000" w:rsidRPr="003350F2">
              <w:t xml:space="preserve">pieprasījumiem, </w:t>
            </w:r>
            <w:r w:rsidR="00EA26F3" w:rsidRPr="003350F2">
              <w:rPr>
                <w:rFonts w:eastAsia="Times New Roman"/>
              </w:rPr>
              <w:t xml:space="preserve">ir sadalīti un attiecīgi </w:t>
            </w:r>
            <w:r w:rsidR="006B7D9B" w:rsidRPr="003350F2">
              <w:rPr>
                <w:rFonts w:eastAsia="Times New Roman"/>
              </w:rPr>
              <w:t xml:space="preserve">ir </w:t>
            </w:r>
            <w:r w:rsidRPr="003350F2">
              <w:rPr>
                <w:rFonts w:eastAsia="Times New Roman"/>
              </w:rPr>
              <w:t>noslēgti līgumi</w:t>
            </w:r>
            <w:r w:rsidR="006B7D9B" w:rsidRPr="003350F2">
              <w:rPr>
                <w:rFonts w:eastAsia="Times New Roman"/>
              </w:rPr>
              <w:t xml:space="preserve"> </w:t>
            </w:r>
            <w:r w:rsidR="00EA26F3" w:rsidRPr="003350F2">
              <w:rPr>
                <w:rFonts w:eastAsia="Times New Roman"/>
              </w:rPr>
              <w:t xml:space="preserve">par valsts budžeta finanšu līdzekļu (dotācijas) piešķiršanu. Noslēgtie līgumi neparedz finansējuma piešķīrēja </w:t>
            </w:r>
            <w:r w:rsidR="00EA26F3" w:rsidRPr="006458C5">
              <w:rPr>
                <w:rFonts w:eastAsia="Times New Roman"/>
              </w:rPr>
              <w:t xml:space="preserve">– </w:t>
            </w:r>
            <w:r w:rsidRPr="006458C5">
              <w:rPr>
                <w:rFonts w:eastAsia="Times New Roman"/>
              </w:rPr>
              <w:t>Ministrijas</w:t>
            </w:r>
            <w:r w:rsidR="00EA26F3" w:rsidRPr="006458C5">
              <w:rPr>
                <w:rFonts w:eastAsia="Times New Roman"/>
              </w:rPr>
              <w:t xml:space="preserve"> –</w:t>
            </w:r>
            <w:r w:rsidR="00EA26F3" w:rsidRPr="003350F2">
              <w:rPr>
                <w:rFonts w:eastAsia="Times New Roman"/>
              </w:rPr>
              <w:t xml:space="preserve"> tiesības samazināt piešķirto finanšu līdzekļu apmēru līdzekļu pārdales gadījumā citām sporta federācijām vai sporta organizācijām (līgums paredz </w:t>
            </w:r>
            <w:r w:rsidR="0005193B" w:rsidRPr="003350F2">
              <w:rPr>
                <w:rFonts w:eastAsia="Times New Roman"/>
              </w:rPr>
              <w:t>Ministrijai</w:t>
            </w:r>
            <w:r w:rsidR="00EA26F3" w:rsidRPr="003350F2">
              <w:rPr>
                <w:rFonts w:eastAsia="Times New Roman"/>
              </w:rPr>
              <w:t xml:space="preserve"> tiesības samazināt līguma summu tikai tad, ja tiek izdarīti grozījumi likumā </w:t>
            </w:r>
            <w:r w:rsidR="00863DF0">
              <w:t>„</w:t>
            </w:r>
            <w:r w:rsidR="006B7D9B" w:rsidRPr="003350F2">
              <w:rPr>
                <w:rFonts w:eastAsia="Times New Roman"/>
              </w:rPr>
              <w:t>Par valsts budžetu</w:t>
            </w:r>
            <w:r w:rsidR="000F3000" w:rsidRPr="003350F2">
              <w:rPr>
                <w:rFonts w:eastAsia="Times New Roman"/>
              </w:rPr>
              <w:t xml:space="preserve"> 2019</w:t>
            </w:r>
            <w:r w:rsidR="00EA26F3" w:rsidRPr="003350F2">
              <w:rPr>
                <w:rFonts w:eastAsia="Times New Roman"/>
              </w:rPr>
              <w:t>.gadam”, vai sporta federācijas (organizācijas</w:t>
            </w:r>
            <w:r w:rsidRPr="003350F2">
              <w:rPr>
                <w:rFonts w:eastAsia="Times New Roman"/>
              </w:rPr>
              <w:t>) neievēro pielīgtās saistības)</w:t>
            </w:r>
            <w:r w:rsidR="004763B0" w:rsidRPr="003350F2">
              <w:t>.</w:t>
            </w:r>
            <w:r w:rsidRPr="003350F2">
              <w:t xml:space="preserve"> </w:t>
            </w:r>
          </w:p>
          <w:p w14:paraId="5DE7C97F" w14:textId="77777777" w:rsidR="005F5E32" w:rsidRPr="003350F2" w:rsidRDefault="005F5E32" w:rsidP="000F3000">
            <w:pPr>
              <w:ind w:left="141" w:right="142" w:firstLine="567"/>
              <w:jc w:val="both"/>
            </w:pPr>
            <w:r w:rsidRPr="003350F2">
              <w:t>Saskaņā ar  Ministru kabineta 2018.</w:t>
            </w:r>
            <w:r w:rsidR="00772C7F">
              <w:t xml:space="preserve"> </w:t>
            </w:r>
            <w:r w:rsidRPr="003350F2">
              <w:t>gada 17.</w:t>
            </w:r>
            <w:r w:rsidR="00772C7F">
              <w:t xml:space="preserve"> </w:t>
            </w:r>
            <w:r w:rsidRPr="003350F2">
              <w:t>jūlija noteikumu Nr.</w:t>
            </w:r>
            <w:r w:rsidR="00772C7F">
              <w:t xml:space="preserve"> </w:t>
            </w:r>
            <w:r w:rsidRPr="003350F2">
              <w:t>421 „Kārtība, kādā veic gadskārtējā valsts budžeta likumā noteiktās apropriācijas izmaiņas” 41.</w:t>
            </w:r>
            <w:r w:rsidR="00772C7F">
              <w:t xml:space="preserve"> </w:t>
            </w:r>
            <w:r w:rsidRPr="003350F2">
              <w:t xml:space="preserve">punktu  līdzekļus no programmas „Līdzekļi neparedzētiem gadījumiem” piešķir </w:t>
            </w:r>
            <w:r w:rsidRPr="003350F2">
              <w:rPr>
                <w:u w:val="single"/>
              </w:rPr>
              <w:t>valstiski īpaši nozīmīgiem pasākumiem</w:t>
            </w:r>
            <w:r w:rsidRPr="003350F2">
              <w:t xml:space="preserve">, valsts pamatbudžeta apropriācijās neparedzētiem izdevumiem katastrofu un dabas stihiju seku novēršanai un to radīto zaudējumu kompensēšanai un citiem </w:t>
            </w:r>
            <w:r w:rsidRPr="008F1718">
              <w:rPr>
                <w:u w:val="single"/>
              </w:rPr>
              <w:t>neparedzētiem gadījumiem</w:t>
            </w:r>
            <w:r w:rsidRPr="003350F2">
              <w:t>.  Līdzekļu piešķiršanu valstiski īpaši nozīmīgiem pasākumiem paredz arī Likuma par budžetu un finanšu vadību 12.</w:t>
            </w:r>
            <w:r w:rsidR="00772C7F">
              <w:t xml:space="preserve"> </w:t>
            </w:r>
            <w:r w:rsidRPr="003350F2">
              <w:t>panta pirmā daļa.</w:t>
            </w:r>
          </w:p>
          <w:p w14:paraId="202A01CD" w14:textId="77777777" w:rsidR="00A32F13" w:rsidRDefault="008C2295" w:rsidP="00A32F13">
            <w:pPr>
              <w:ind w:left="132" w:right="127"/>
              <w:jc w:val="both"/>
            </w:pPr>
            <w:r w:rsidRPr="003350F2">
              <w:tab/>
              <w:t xml:space="preserve"> Izvērtējot</w:t>
            </w:r>
            <w:r w:rsidR="00EF0015">
              <w:t xml:space="preserve"> </w:t>
            </w:r>
            <w:r w:rsidR="00087882">
              <w:t xml:space="preserve">minēto sporta federāciju finanšu pieprasījumus, </w:t>
            </w:r>
            <w:r w:rsidR="002061C9" w:rsidRPr="003350F2">
              <w:t>Ministrijas</w:t>
            </w:r>
            <w:r w:rsidR="00B50B55" w:rsidRPr="003350F2">
              <w:t xml:space="preserve"> ieskatā </w:t>
            </w:r>
            <w:r w:rsidR="000F3000" w:rsidRPr="005F117A">
              <w:rPr>
                <w:u w:val="single"/>
              </w:rPr>
              <w:t>kā neparedzētu gadījumu</w:t>
            </w:r>
            <w:r w:rsidR="00553ADF" w:rsidRPr="005F117A">
              <w:rPr>
                <w:u w:val="single"/>
              </w:rPr>
              <w:t xml:space="preserve"> un vienlaikus arī kā valstiski īpaši nozīmīgu pasākumu</w:t>
            </w:r>
            <w:r w:rsidR="00115792" w:rsidRPr="003350F2">
              <w:t xml:space="preserve"> </w:t>
            </w:r>
            <w:r w:rsidRPr="003350F2">
              <w:t xml:space="preserve">var klasificēt </w:t>
            </w:r>
            <w:proofErr w:type="spellStart"/>
            <w:r w:rsidR="00EF0015">
              <w:t>LHaF</w:t>
            </w:r>
            <w:proofErr w:type="spellEnd"/>
            <w:r w:rsidR="000F3000" w:rsidRPr="003350F2">
              <w:t xml:space="preserve"> finanšu pieprasījumu</w:t>
            </w:r>
            <w:r w:rsidR="00772C7F">
              <w:t>. Kā neparedzētu tas atzīstams</w:t>
            </w:r>
            <w:r w:rsidR="000F3000" w:rsidRPr="003350F2">
              <w:t>, jo</w:t>
            </w:r>
            <w:r w:rsidR="001046AD">
              <w:t>,</w:t>
            </w:r>
            <w:r w:rsidR="000F3000" w:rsidRPr="003350F2">
              <w:t xml:space="preserve"> plānojot 2019.</w:t>
            </w:r>
            <w:r w:rsidR="00772C7F">
              <w:t xml:space="preserve"> </w:t>
            </w:r>
            <w:r w:rsidR="000F3000" w:rsidRPr="003350F2">
              <w:t>gada budžeta izdevumus</w:t>
            </w:r>
            <w:r w:rsidR="00087882">
              <w:t xml:space="preserve"> un pieņemot lēmumu par </w:t>
            </w:r>
            <w:r w:rsidR="00772C7F">
              <w:t xml:space="preserve">pieejamo </w:t>
            </w:r>
            <w:r w:rsidR="00087882">
              <w:t>līdzekļu sadali</w:t>
            </w:r>
            <w:r w:rsidR="000F3000" w:rsidRPr="003350F2">
              <w:t>, nebija zināms</w:t>
            </w:r>
            <w:r w:rsidR="00087882">
              <w:t xml:space="preserve"> (un to arī nevarēja paredzēt)</w:t>
            </w:r>
            <w:r w:rsidR="000F3000" w:rsidRPr="003350F2">
              <w:t>, ka</w:t>
            </w:r>
            <w:r w:rsidR="0086774C">
              <w:t xml:space="preserve"> </w:t>
            </w:r>
            <w:r w:rsidR="00087882">
              <w:t xml:space="preserve">pirmo reizi neatkarīgās Latvijas sporta vēsturē handbola izlase sasniegs 2020. gada Eiropas čempionāta handbolā finālturnīru. Turklāt čempionāts norisināsies  no 2020. gada 9. janvāra līdz 2020. gada 14. janvārim, </w:t>
            </w:r>
            <w:r w:rsidR="00772C7F">
              <w:t xml:space="preserve">kā rezultātā </w:t>
            </w:r>
            <w:r w:rsidR="00087882">
              <w:t>visi ar sagatavošanu un dalību saistītie izdevumi sedzami 2019. gada beigās. Savukārt kā valstiski īpaši nozīmīgs pasākums tas atzīstams</w:t>
            </w:r>
            <w:r w:rsidR="00A32F13">
              <w:t xml:space="preserve"> gan sacensību statusa dēļ, gan arī ņemot vērā prognozējamo plašo</w:t>
            </w:r>
            <w:r w:rsidR="005F2399">
              <w:t xml:space="preserve"> čempionāta</w:t>
            </w:r>
            <w:r w:rsidR="00A32F13">
              <w:t xml:space="preserve"> TV auditoriju pasaulē (</w:t>
            </w:r>
            <w:proofErr w:type="spellStart"/>
            <w:r w:rsidR="00A32F13">
              <w:t>LHaF</w:t>
            </w:r>
            <w:proofErr w:type="spellEnd"/>
            <w:r w:rsidR="00A32F13">
              <w:t xml:space="preserve"> norāda, ka 2018. gada Eiropas čempionāta finālturnīrs handbolā tika translēts 177 valstīs un sasniedza 1,65 miljardu lielu TV auditoriju</w:t>
            </w:r>
            <w:r w:rsidR="00B0027E">
              <w:t>)</w:t>
            </w:r>
            <w:r w:rsidR="00A32F13">
              <w:t>.</w:t>
            </w:r>
          </w:p>
          <w:p w14:paraId="0693E833" w14:textId="77777777" w:rsidR="00E52881" w:rsidRDefault="00A32F13" w:rsidP="00E52881">
            <w:pPr>
              <w:ind w:left="132" w:right="127" w:firstLine="718"/>
              <w:jc w:val="both"/>
            </w:pPr>
            <w:r>
              <w:t xml:space="preserve">Savukārt kā </w:t>
            </w:r>
            <w:r w:rsidRPr="00A32F13">
              <w:t xml:space="preserve"> </w:t>
            </w:r>
            <w:r w:rsidRPr="005F117A">
              <w:rPr>
                <w:u w:val="single"/>
              </w:rPr>
              <w:t>valstiski īpaši nozīmīgu pasākumu</w:t>
            </w:r>
            <w:r>
              <w:t xml:space="preserve"> Ministrijas ieskatā var </w:t>
            </w:r>
            <w:r w:rsidRPr="003350F2">
              <w:t xml:space="preserve"> klasificēt</w:t>
            </w:r>
            <w:r>
              <w:t xml:space="preserve"> </w:t>
            </w:r>
            <w:r w:rsidR="00E52881">
              <w:t xml:space="preserve">olimpisko ziemas sporta veidu sporta federāciju pieprasījumu par to pārstāvēto sporta veidu izlašu </w:t>
            </w:r>
            <w:r w:rsidR="00E52881" w:rsidRPr="00B61364">
              <w:t>sagatavošan</w:t>
            </w:r>
            <w:r w:rsidR="00E52881">
              <w:t>os</w:t>
            </w:r>
            <w:r w:rsidR="00E52881" w:rsidRPr="00B61364">
              <w:t xml:space="preserve"> un dalīb</w:t>
            </w:r>
            <w:r w:rsidR="00E52881">
              <w:t>u</w:t>
            </w:r>
            <w:r w:rsidR="00E52881" w:rsidRPr="00B61364">
              <w:t xml:space="preserve"> sporta sacensībās 2019./2020. gada sezonā</w:t>
            </w:r>
            <w:r w:rsidR="00E52881">
              <w:t>, jo ziemas sporta veidos ir uzsākts gatavošanās posms 2022. gada Ziemas Olimpiskajām spēlēm Pekinā (Ķīna), turklāt, nepiešķirot vismaz daļēju atbalstu,  pastāv risks neuzsākt sezonu vai arī risks komandas daļējai vai pilnīgai atsaukšanai no dalības sporta sacensībās, kas negatīvi ietekmētu ne tikai attiecīgā sporta veida attīstību, bet arī Latvijas sporta nozares tēlu starptautiskā sporta kustībā. Turklāt</w:t>
            </w:r>
            <w:r w:rsidR="005F2399">
              <w:t xml:space="preserve"> valsts atbalstu </w:t>
            </w:r>
            <w:r w:rsidR="00E52881">
              <w:t>sportistu olimpiskajos individuālajos sporta veidos</w:t>
            </w:r>
            <w:r w:rsidR="006F31EF">
              <w:t xml:space="preserve">, kā arī </w:t>
            </w:r>
            <w:r w:rsidR="006F31EF" w:rsidRPr="006F31EF">
              <w:t>valsts izlases komandu sporta spēlēs</w:t>
            </w:r>
            <w:r w:rsidR="006F31EF">
              <w:t xml:space="preserve"> </w:t>
            </w:r>
            <w:r w:rsidR="005F2399">
              <w:t>sagatavošanai</w:t>
            </w:r>
            <w:r w:rsidR="00E52881">
              <w:t xml:space="preserve"> un </w:t>
            </w:r>
            <w:r w:rsidR="005F2399">
              <w:t>dalībai</w:t>
            </w:r>
            <w:r w:rsidR="006F31EF">
              <w:t xml:space="preserve"> augstākā līmeņa </w:t>
            </w:r>
            <w:r w:rsidR="00E52881">
              <w:t>sporta sacensībās</w:t>
            </w:r>
            <w:r w:rsidR="006F31EF">
              <w:t xml:space="preserve"> par</w:t>
            </w:r>
            <w:r w:rsidR="007D488D">
              <w:t>edz</w:t>
            </w:r>
            <w:r w:rsidR="006F31EF">
              <w:t xml:space="preserve"> arī Sporta likums.</w:t>
            </w:r>
          </w:p>
          <w:p w14:paraId="733F8E04" w14:textId="77777777" w:rsidR="005F5E32" w:rsidRPr="003350F2" w:rsidRDefault="005F5E32" w:rsidP="00E52881">
            <w:pPr>
              <w:ind w:left="132" w:right="127" w:firstLine="718"/>
              <w:jc w:val="both"/>
            </w:pPr>
            <w:r w:rsidRPr="003350F2">
              <w:t>Saskaņā ar  Ministru kabineta 2018.</w:t>
            </w:r>
            <w:r w:rsidR="005F2399">
              <w:t xml:space="preserve"> </w:t>
            </w:r>
            <w:r w:rsidRPr="003350F2">
              <w:t>gada 17.</w:t>
            </w:r>
            <w:r w:rsidR="005F2399">
              <w:t xml:space="preserve"> </w:t>
            </w:r>
            <w:r w:rsidRPr="003350F2">
              <w:t>jūlija noteikumu Nr.</w:t>
            </w:r>
            <w:r w:rsidR="005F2399">
              <w:t xml:space="preserve"> </w:t>
            </w:r>
            <w:r w:rsidRPr="003350F2">
              <w:t>421 „Kārtība, kādā veic gadskārtējā valsts budžeta likumā noteiktās apropriācijas izmaiņas” 43.</w:t>
            </w:r>
            <w:r w:rsidR="005F2399">
              <w:t xml:space="preserve"> </w:t>
            </w:r>
            <w:r w:rsidRPr="003350F2">
              <w:t>punktu ministrija pieprasījumu apropriācijas pārdalei no programmas “Līdzekļi neparedzētiem gadījumiem” sagatavo kā tiesību akta projektu, ko normatīvajos aktos noteiktajā kārtībā iesniedz izskatīšanai Ministru kabinetā.</w:t>
            </w:r>
          </w:p>
          <w:p w14:paraId="68383712" w14:textId="25859241" w:rsidR="0067265A" w:rsidRPr="003350F2" w:rsidRDefault="00063253" w:rsidP="006F31EF">
            <w:pPr>
              <w:ind w:left="141" w:right="127" w:firstLine="567"/>
              <w:jc w:val="both"/>
              <w:rPr>
                <w:rFonts w:eastAsia="Times New Roman"/>
                <w:color w:val="000000"/>
              </w:rPr>
            </w:pPr>
            <w:r w:rsidRPr="003350F2">
              <w:t>Ievērojot minēto, Ministrija ir izstrādājusi Ministru kabineta rīkojuma projektu „Par finanšu līdzekļu piešķiršanu no valsts budžeta programmas „Līdzekļi neparedzētiem gadījumie</w:t>
            </w:r>
            <w:bookmarkStart w:id="3" w:name="_GoBack"/>
            <w:bookmarkEnd w:id="3"/>
            <w:r w:rsidRPr="003350F2">
              <w:t xml:space="preserve">m”” (turpmāk – Rīkojuma projekts), kurš paredz uzdevumu </w:t>
            </w:r>
            <w:r w:rsidRPr="003350F2">
              <w:rPr>
                <w:rFonts w:eastAsia="Times New Roman"/>
                <w:color w:val="000000"/>
              </w:rPr>
              <w:t xml:space="preserve">Finanšu ministrijai no valsts budžeta programmas 02.00.00 „Līdzekļi neparedzētiem gadījumiem” piešķirt Ministrijai </w:t>
            </w:r>
            <w:r w:rsidR="00AD539B">
              <w:t>9</w:t>
            </w:r>
            <w:r w:rsidR="006F31EF">
              <w:t>2</w:t>
            </w:r>
            <w:r w:rsidR="008121FB" w:rsidRPr="005913FF">
              <w:t>`</w:t>
            </w:r>
            <w:r w:rsidR="00516B42" w:rsidRPr="00516B42">
              <w:t>0</w:t>
            </w:r>
            <w:r w:rsidR="00AD539B" w:rsidRPr="00516B42">
              <w:t>00</w:t>
            </w:r>
            <w:r w:rsidR="008121FB" w:rsidRPr="005913FF">
              <w:t xml:space="preserve"> </w:t>
            </w:r>
            <w:r w:rsidRPr="003350F2">
              <w:rPr>
                <w:rFonts w:eastAsia="Times New Roman"/>
                <w:color w:val="000000"/>
              </w:rPr>
              <w:t xml:space="preserve">EUR pārskaitīšanai </w:t>
            </w:r>
            <w:r w:rsidR="008121FB">
              <w:t xml:space="preserve"> </w:t>
            </w:r>
            <w:proofErr w:type="spellStart"/>
            <w:r w:rsidR="00AD539B">
              <w:t>LH</w:t>
            </w:r>
            <w:r w:rsidR="006F31EF">
              <w:t>a</w:t>
            </w:r>
            <w:r w:rsidR="00AD539B">
              <w:t>F</w:t>
            </w:r>
            <w:proofErr w:type="spellEnd"/>
            <w:r w:rsidRPr="003350F2">
              <w:rPr>
                <w:rFonts w:eastAsia="Times New Roman"/>
                <w:color w:val="000000"/>
              </w:rPr>
              <w:t>, lai segtu izdevumus</w:t>
            </w:r>
            <w:r w:rsidRPr="003350F2">
              <w:t>, kas saistīti ar</w:t>
            </w:r>
            <w:r w:rsidR="00CF0182">
              <w:t xml:space="preserve"> </w:t>
            </w:r>
            <w:r w:rsidR="006F31EF">
              <w:t xml:space="preserve"> </w:t>
            </w:r>
            <w:r w:rsidR="006F31EF" w:rsidRPr="006F31EF">
              <w:t>Latvijas vīriešu handbola izlases sagatavošanos un dalību 2020. gada Eiropas čempionātā handbolā</w:t>
            </w:r>
            <w:r w:rsidR="006F31EF">
              <w:t xml:space="preserve">, kā arī piešķirt Ministrijai </w:t>
            </w:r>
            <w:r w:rsidR="006F31EF" w:rsidRPr="006F31EF">
              <w:t>270`000 EUR</w:t>
            </w:r>
            <w:r w:rsidR="006F31EF">
              <w:t xml:space="preserve"> pārskaitīšanai piecām ziemas sporta veidu sporta federācijām, lai  </w:t>
            </w:r>
            <w:r w:rsidR="006F31EF" w:rsidRPr="006F31EF">
              <w:t xml:space="preserve">segtu izdevumus, kas saistīti ar </w:t>
            </w:r>
            <w:r w:rsidR="006F31EF">
              <w:t xml:space="preserve">attiecīgo sporta veidu </w:t>
            </w:r>
            <w:r w:rsidR="006F31EF" w:rsidRPr="006F31EF">
              <w:t>Latvijas izlases sagatavošanos un dalību sporta sacensībās 2019./2020. gada sezonā.</w:t>
            </w:r>
          </w:p>
        </w:tc>
      </w:tr>
      <w:tr w:rsidR="00585B7B" w:rsidRPr="003350F2" w14:paraId="355D0203" w14:textId="77777777" w:rsidTr="006B561A">
        <w:trPr>
          <w:trHeight w:val="476"/>
        </w:trPr>
        <w:tc>
          <w:tcPr>
            <w:tcW w:w="709" w:type="dxa"/>
            <w:tcBorders>
              <w:bottom w:val="single" w:sz="4" w:space="0" w:color="auto"/>
            </w:tcBorders>
          </w:tcPr>
          <w:p w14:paraId="20B9B2B3" w14:textId="77777777" w:rsidR="00585B7B" w:rsidRPr="003350F2" w:rsidRDefault="00005A9D" w:rsidP="00BD696A">
            <w:pPr>
              <w:pStyle w:val="naiskr"/>
              <w:spacing w:before="0" w:after="0"/>
              <w:jc w:val="center"/>
            </w:pPr>
            <w:r w:rsidRPr="003350F2">
              <w:t>3.</w:t>
            </w:r>
          </w:p>
        </w:tc>
        <w:tc>
          <w:tcPr>
            <w:tcW w:w="2547" w:type="dxa"/>
            <w:tcBorders>
              <w:bottom w:val="single" w:sz="4" w:space="0" w:color="auto"/>
            </w:tcBorders>
          </w:tcPr>
          <w:p w14:paraId="0F0941BD" w14:textId="77777777"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6662" w:type="dxa"/>
            <w:tcBorders>
              <w:bottom w:val="single" w:sz="4" w:space="0" w:color="auto"/>
            </w:tcBorders>
          </w:tcPr>
          <w:p w14:paraId="712BB8CA" w14:textId="77777777" w:rsidR="00643E6C" w:rsidRPr="003350F2" w:rsidRDefault="00BB3C51" w:rsidP="006F31EF">
            <w:pPr>
              <w:ind w:left="82" w:right="141"/>
              <w:jc w:val="both"/>
            </w:pPr>
            <w:r w:rsidRPr="003350F2">
              <w:t xml:space="preserve">Rīkojuma </w:t>
            </w:r>
            <w:r w:rsidR="00B73BB9" w:rsidRPr="003350F2">
              <w:t>projektu</w:t>
            </w:r>
            <w:r w:rsidR="00C23282" w:rsidRPr="003350F2">
              <w:t xml:space="preserve"> </w:t>
            </w:r>
            <w:r w:rsidR="00DC332F" w:rsidRPr="003350F2">
              <w:t xml:space="preserve">izstrādāja </w:t>
            </w:r>
            <w:r w:rsidR="002F1581" w:rsidRPr="003350F2">
              <w:t>Ministrija</w:t>
            </w:r>
            <w:r w:rsidR="00DC332F" w:rsidRPr="003350F2">
              <w:t>.</w:t>
            </w:r>
            <w:r w:rsidR="00790CFC" w:rsidRPr="003350F2">
              <w:t xml:space="preserve"> </w:t>
            </w:r>
            <w:r w:rsidRPr="003350F2">
              <w:t xml:space="preserve">Rīkojuma </w:t>
            </w:r>
            <w:r w:rsidR="00790CFC" w:rsidRPr="003350F2">
              <w:t>projekta izstrādes procesā notikušas konsu</w:t>
            </w:r>
            <w:r w:rsidR="006F31EF">
              <w:t>ltācijas ar papildus finansējuma pieprasījumus iesniegušajām sporta federācijām.</w:t>
            </w:r>
          </w:p>
        </w:tc>
      </w:tr>
      <w:tr w:rsidR="00585B7B" w:rsidRPr="003350F2" w14:paraId="321788A6" w14:textId="77777777" w:rsidTr="006B561A">
        <w:tc>
          <w:tcPr>
            <w:tcW w:w="709" w:type="dxa"/>
            <w:tcBorders>
              <w:top w:val="single" w:sz="4" w:space="0" w:color="auto"/>
              <w:left w:val="single" w:sz="4" w:space="0" w:color="auto"/>
              <w:bottom w:val="single" w:sz="4" w:space="0" w:color="auto"/>
              <w:right w:val="single" w:sz="4" w:space="0" w:color="auto"/>
            </w:tcBorders>
          </w:tcPr>
          <w:p w14:paraId="4C2304D5" w14:textId="77777777" w:rsidR="00585B7B" w:rsidRPr="003350F2" w:rsidRDefault="00005A9D" w:rsidP="00BD696A">
            <w:pPr>
              <w:pStyle w:val="naiskr"/>
              <w:spacing w:before="0" w:after="0"/>
              <w:jc w:val="center"/>
            </w:pPr>
            <w:r w:rsidRPr="003350F2">
              <w:t>4</w:t>
            </w:r>
            <w:r w:rsidR="00585B7B" w:rsidRPr="003350F2">
              <w:t>.</w:t>
            </w:r>
          </w:p>
        </w:tc>
        <w:tc>
          <w:tcPr>
            <w:tcW w:w="2547" w:type="dxa"/>
            <w:tcBorders>
              <w:top w:val="single" w:sz="4" w:space="0" w:color="auto"/>
              <w:left w:val="single" w:sz="4" w:space="0" w:color="auto"/>
              <w:bottom w:val="single" w:sz="4" w:space="0" w:color="auto"/>
              <w:right w:val="single" w:sz="4" w:space="0" w:color="auto"/>
            </w:tcBorders>
          </w:tcPr>
          <w:p w14:paraId="767D2DC0" w14:textId="77777777" w:rsidR="00585B7B" w:rsidRPr="003350F2" w:rsidRDefault="00585B7B" w:rsidP="00916055">
            <w:pPr>
              <w:pStyle w:val="naiskr"/>
              <w:spacing w:before="0" w:after="0"/>
              <w:ind w:left="141"/>
            </w:pPr>
            <w:r w:rsidRPr="003350F2">
              <w:t>Cita informācija</w:t>
            </w:r>
          </w:p>
        </w:tc>
        <w:tc>
          <w:tcPr>
            <w:tcW w:w="6662" w:type="dxa"/>
            <w:tcBorders>
              <w:top w:val="single" w:sz="4" w:space="0" w:color="auto"/>
              <w:left w:val="single" w:sz="4" w:space="0" w:color="auto"/>
              <w:bottom w:val="single" w:sz="4" w:space="0" w:color="auto"/>
              <w:right w:val="single" w:sz="4" w:space="0" w:color="auto"/>
            </w:tcBorders>
          </w:tcPr>
          <w:p w14:paraId="3B511ECE" w14:textId="77777777" w:rsidR="002D5B95" w:rsidRPr="003350F2" w:rsidRDefault="00BB3C51" w:rsidP="005F2399">
            <w:pPr>
              <w:ind w:left="114" w:right="127"/>
              <w:jc w:val="both"/>
            </w:pPr>
            <w:r w:rsidRPr="003350F2">
              <w:t xml:space="preserve">Rīkojuma </w:t>
            </w:r>
            <w:r w:rsidR="0052685D" w:rsidRPr="003350F2">
              <w:t>projekts tiešā veidā attiecas uz</w:t>
            </w:r>
            <w:r w:rsidR="00EC5826" w:rsidRPr="003350F2">
              <w:t xml:space="preserve"> budžeta un finanšu politiku</w:t>
            </w:r>
            <w:r w:rsidR="0052685D" w:rsidRPr="003350F2">
              <w:t>. Pastarpināti</w:t>
            </w:r>
            <w:r w:rsidR="00790CFC" w:rsidRPr="003350F2">
              <w:t xml:space="preserve"> </w:t>
            </w:r>
            <w:r w:rsidRPr="003350F2">
              <w:t xml:space="preserve">Rīkojuma </w:t>
            </w:r>
            <w:r w:rsidR="0052685D" w:rsidRPr="003350F2">
              <w:t xml:space="preserve">projekts attiecas uz </w:t>
            </w:r>
            <w:r w:rsidR="00EC5826" w:rsidRPr="003350F2">
              <w:t xml:space="preserve"> tūrisma, sporta un brīvā laika politiku (sporta politiku)</w:t>
            </w:r>
            <w:r w:rsidR="0052685D" w:rsidRPr="003350F2">
              <w:t>.</w:t>
            </w:r>
          </w:p>
        </w:tc>
      </w:tr>
    </w:tbl>
    <w:p w14:paraId="4BE20A8A" w14:textId="77777777" w:rsidR="004C0D01" w:rsidRDefault="004C0D01"/>
    <w:p w14:paraId="39BB3FDA" w14:textId="77777777" w:rsidR="00E52881" w:rsidRDefault="00E52881"/>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3350F2" w14:paraId="36E610AC" w14:textId="77777777" w:rsidTr="006C7CE5">
        <w:tc>
          <w:tcPr>
            <w:tcW w:w="9918" w:type="dxa"/>
            <w:vAlign w:val="center"/>
          </w:tcPr>
          <w:p w14:paraId="5F8D615D" w14:textId="77777777" w:rsidR="00E52881" w:rsidRPr="003350F2" w:rsidRDefault="00E52881" w:rsidP="006C7CE5">
            <w:pPr>
              <w:pStyle w:val="naisnod"/>
              <w:spacing w:before="0" w:after="0"/>
            </w:pPr>
            <w:r w:rsidRPr="003350F2">
              <w:t xml:space="preserve">II. Tiesību akta projekta ietekme uz sabiedrību, tautsaimniecības attīstību un </w:t>
            </w:r>
          </w:p>
          <w:p w14:paraId="4DDD1E73" w14:textId="77777777" w:rsidR="00E52881" w:rsidRPr="003350F2" w:rsidRDefault="00E52881" w:rsidP="006C7CE5">
            <w:pPr>
              <w:pStyle w:val="naisnod"/>
              <w:spacing w:before="0" w:after="0"/>
            </w:pPr>
            <w:r w:rsidRPr="003350F2">
              <w:t>administratīvo slogu</w:t>
            </w:r>
          </w:p>
        </w:tc>
      </w:tr>
      <w:tr w:rsidR="00E52881" w:rsidRPr="003350F2" w14:paraId="1756FD35" w14:textId="77777777" w:rsidTr="006C7CE5">
        <w:trPr>
          <w:trHeight w:val="273"/>
        </w:trPr>
        <w:tc>
          <w:tcPr>
            <w:tcW w:w="9918" w:type="dxa"/>
          </w:tcPr>
          <w:p w14:paraId="331A69BB" w14:textId="77777777" w:rsidR="00E52881" w:rsidRPr="003350F2" w:rsidRDefault="00E52881" w:rsidP="006C7CE5">
            <w:pPr>
              <w:ind w:right="127"/>
              <w:jc w:val="center"/>
            </w:pPr>
            <w:r w:rsidRPr="003350F2">
              <w:t>Projekts šo jomu neskar</w:t>
            </w:r>
          </w:p>
        </w:tc>
      </w:tr>
    </w:tbl>
    <w:p w14:paraId="7F3C9EA9" w14:textId="77777777" w:rsidR="00E52881" w:rsidRDefault="00E52881"/>
    <w:p w14:paraId="539FB360" w14:textId="77777777" w:rsidR="00E52881" w:rsidRDefault="00E52881"/>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183338" w:rsidRPr="003350F2" w14:paraId="1F95E614" w14:textId="77777777" w:rsidTr="00183338">
        <w:trPr>
          <w:trHeight w:val="361"/>
          <w:jc w:val="center"/>
        </w:trPr>
        <w:tc>
          <w:tcPr>
            <w:tcW w:w="10485" w:type="dxa"/>
            <w:gridSpan w:val="8"/>
            <w:vAlign w:val="center"/>
          </w:tcPr>
          <w:p w14:paraId="30B15EFD" w14:textId="77777777"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14:paraId="0DFB2B5F" w14:textId="77777777" w:rsidTr="00183338">
        <w:trPr>
          <w:jc w:val="center"/>
        </w:trPr>
        <w:tc>
          <w:tcPr>
            <w:tcW w:w="2359" w:type="dxa"/>
            <w:vMerge w:val="restart"/>
            <w:vAlign w:val="center"/>
          </w:tcPr>
          <w:p w14:paraId="54A862C2" w14:textId="77777777" w:rsidR="00183338" w:rsidRPr="003350F2" w:rsidRDefault="00183338" w:rsidP="00AF3BA2">
            <w:pPr>
              <w:jc w:val="center"/>
              <w:rPr>
                <w:b/>
              </w:rPr>
            </w:pPr>
            <w:r w:rsidRPr="003350F2">
              <w:rPr>
                <w:b/>
              </w:rPr>
              <w:t>Rādītāji</w:t>
            </w:r>
          </w:p>
        </w:tc>
        <w:tc>
          <w:tcPr>
            <w:tcW w:w="2364" w:type="dxa"/>
            <w:gridSpan w:val="2"/>
            <w:vMerge w:val="restart"/>
            <w:vAlign w:val="center"/>
          </w:tcPr>
          <w:p w14:paraId="5AE18FFB" w14:textId="77777777" w:rsidR="00183338" w:rsidRPr="003350F2" w:rsidRDefault="00896B42" w:rsidP="00AF3BA2">
            <w:pPr>
              <w:jc w:val="center"/>
              <w:rPr>
                <w:b/>
              </w:rPr>
            </w:pPr>
            <w:r w:rsidRPr="003350F2">
              <w:rPr>
                <w:b/>
              </w:rPr>
              <w:t>2019</w:t>
            </w:r>
          </w:p>
        </w:tc>
        <w:tc>
          <w:tcPr>
            <w:tcW w:w="5762" w:type="dxa"/>
            <w:gridSpan w:val="5"/>
            <w:vAlign w:val="center"/>
          </w:tcPr>
          <w:p w14:paraId="1A5D726B" w14:textId="77777777" w:rsidR="00183338" w:rsidRPr="003350F2" w:rsidRDefault="00183338" w:rsidP="00AF3BA2">
            <w:pPr>
              <w:jc w:val="center"/>
            </w:pPr>
            <w:r w:rsidRPr="003350F2">
              <w:t>Turpmākie trīs gadi (</w:t>
            </w:r>
            <w:r w:rsidRPr="003350F2">
              <w:rPr>
                <w:i/>
              </w:rPr>
              <w:t>euro</w:t>
            </w:r>
            <w:r w:rsidRPr="003350F2">
              <w:t>)</w:t>
            </w:r>
          </w:p>
        </w:tc>
      </w:tr>
      <w:tr w:rsidR="00183338" w:rsidRPr="003350F2" w14:paraId="1576AB0D" w14:textId="77777777" w:rsidTr="00183338">
        <w:trPr>
          <w:jc w:val="center"/>
        </w:trPr>
        <w:tc>
          <w:tcPr>
            <w:tcW w:w="2359" w:type="dxa"/>
            <w:vMerge/>
            <w:vAlign w:val="center"/>
          </w:tcPr>
          <w:p w14:paraId="77BB8D56" w14:textId="77777777" w:rsidR="00183338" w:rsidRPr="003350F2" w:rsidRDefault="00183338" w:rsidP="00AF3BA2">
            <w:pPr>
              <w:jc w:val="center"/>
              <w:rPr>
                <w:b/>
                <w:i/>
              </w:rPr>
            </w:pPr>
          </w:p>
        </w:tc>
        <w:tc>
          <w:tcPr>
            <w:tcW w:w="2364" w:type="dxa"/>
            <w:gridSpan w:val="2"/>
            <w:vMerge/>
            <w:vAlign w:val="center"/>
          </w:tcPr>
          <w:p w14:paraId="712A146D" w14:textId="77777777" w:rsidR="00183338" w:rsidRPr="003350F2" w:rsidRDefault="00183338" w:rsidP="00AF3BA2">
            <w:pPr>
              <w:jc w:val="center"/>
              <w:rPr>
                <w:b/>
                <w:i/>
              </w:rPr>
            </w:pPr>
          </w:p>
        </w:tc>
        <w:tc>
          <w:tcPr>
            <w:tcW w:w="2323" w:type="dxa"/>
            <w:gridSpan w:val="2"/>
            <w:vAlign w:val="center"/>
          </w:tcPr>
          <w:p w14:paraId="765E80EC" w14:textId="77777777" w:rsidR="00183338" w:rsidRPr="003350F2" w:rsidRDefault="00896B42" w:rsidP="00183338">
            <w:pPr>
              <w:jc w:val="center"/>
              <w:rPr>
                <w:b/>
                <w:i/>
              </w:rPr>
            </w:pPr>
            <w:r w:rsidRPr="003350F2">
              <w:rPr>
                <w:b/>
                <w:bCs/>
              </w:rPr>
              <w:t>2020</w:t>
            </w:r>
          </w:p>
        </w:tc>
        <w:tc>
          <w:tcPr>
            <w:tcW w:w="2289" w:type="dxa"/>
            <w:gridSpan w:val="2"/>
            <w:vAlign w:val="center"/>
          </w:tcPr>
          <w:p w14:paraId="2284CA28" w14:textId="77777777" w:rsidR="00183338" w:rsidRPr="003350F2" w:rsidRDefault="00896B42" w:rsidP="00183338">
            <w:pPr>
              <w:jc w:val="center"/>
              <w:rPr>
                <w:b/>
                <w:bCs/>
              </w:rPr>
            </w:pPr>
            <w:r w:rsidRPr="003350F2">
              <w:rPr>
                <w:b/>
                <w:bCs/>
              </w:rPr>
              <w:t>2021</w:t>
            </w:r>
          </w:p>
        </w:tc>
        <w:tc>
          <w:tcPr>
            <w:tcW w:w="1150" w:type="dxa"/>
            <w:vAlign w:val="center"/>
          </w:tcPr>
          <w:p w14:paraId="5B4C3413" w14:textId="77777777" w:rsidR="00183338" w:rsidRPr="003350F2" w:rsidRDefault="00896B42" w:rsidP="00183338">
            <w:pPr>
              <w:jc w:val="center"/>
              <w:rPr>
                <w:b/>
                <w:bCs/>
              </w:rPr>
            </w:pPr>
            <w:r w:rsidRPr="003350F2">
              <w:rPr>
                <w:b/>
                <w:bCs/>
              </w:rPr>
              <w:t>2022</w:t>
            </w:r>
          </w:p>
        </w:tc>
      </w:tr>
      <w:tr w:rsidR="00183338" w:rsidRPr="003350F2" w14:paraId="7162F507" w14:textId="77777777" w:rsidTr="00183338">
        <w:trPr>
          <w:jc w:val="center"/>
        </w:trPr>
        <w:tc>
          <w:tcPr>
            <w:tcW w:w="2359" w:type="dxa"/>
            <w:vMerge/>
            <w:vAlign w:val="center"/>
          </w:tcPr>
          <w:p w14:paraId="048CC5A7" w14:textId="77777777" w:rsidR="00183338" w:rsidRPr="003350F2" w:rsidRDefault="00183338" w:rsidP="00183338">
            <w:pPr>
              <w:jc w:val="center"/>
              <w:rPr>
                <w:b/>
                <w:i/>
              </w:rPr>
            </w:pPr>
          </w:p>
        </w:tc>
        <w:tc>
          <w:tcPr>
            <w:tcW w:w="1116" w:type="dxa"/>
            <w:vAlign w:val="center"/>
          </w:tcPr>
          <w:p w14:paraId="2787466D" w14:textId="77777777" w:rsidR="00183338" w:rsidRPr="003350F2" w:rsidRDefault="00183338" w:rsidP="00183338">
            <w:pPr>
              <w:jc w:val="center"/>
              <w:rPr>
                <w:b/>
                <w:i/>
              </w:rPr>
            </w:pPr>
            <w:r w:rsidRPr="003350F2">
              <w:t>saskaņā ar valsts budžetu kārtējam gadam</w:t>
            </w:r>
          </w:p>
        </w:tc>
        <w:tc>
          <w:tcPr>
            <w:tcW w:w="1248" w:type="dxa"/>
            <w:vAlign w:val="center"/>
          </w:tcPr>
          <w:p w14:paraId="0BA58444" w14:textId="77777777" w:rsidR="00183338" w:rsidRPr="003350F2" w:rsidRDefault="00183338" w:rsidP="00183338">
            <w:pPr>
              <w:jc w:val="center"/>
              <w:rPr>
                <w:b/>
                <w:i/>
              </w:rPr>
            </w:pPr>
            <w:r w:rsidRPr="003350F2">
              <w:t>izmaiņas kārtējā gadā, salīdzinot ar budžetu kārtējam gadam</w:t>
            </w:r>
          </w:p>
        </w:tc>
        <w:tc>
          <w:tcPr>
            <w:tcW w:w="1138" w:type="dxa"/>
            <w:vAlign w:val="center"/>
          </w:tcPr>
          <w:p w14:paraId="67CFCED0" w14:textId="77777777" w:rsidR="00183338" w:rsidRPr="003350F2" w:rsidRDefault="00183338" w:rsidP="00183338">
            <w:pPr>
              <w:jc w:val="center"/>
            </w:pPr>
            <w:r w:rsidRPr="003350F2">
              <w:t>saskaņā ar vidēja termiņa budžeta ietvaru</w:t>
            </w:r>
          </w:p>
        </w:tc>
        <w:tc>
          <w:tcPr>
            <w:tcW w:w="1185" w:type="dxa"/>
            <w:vAlign w:val="center"/>
          </w:tcPr>
          <w:p w14:paraId="2A3DDE8D" w14:textId="77777777" w:rsidR="00183338" w:rsidRPr="003350F2" w:rsidRDefault="00183338" w:rsidP="00183338">
            <w:pPr>
              <w:jc w:val="center"/>
            </w:pPr>
            <w:r w:rsidRPr="003350F2">
              <w:t>izmaiņas, salīdzinot ar vid</w:t>
            </w:r>
            <w:r w:rsidR="00896B42" w:rsidRPr="003350F2">
              <w:t>ēja termiņa budžeta ietvaru 2020</w:t>
            </w:r>
            <w:r w:rsidRPr="003350F2">
              <w:t>.</w:t>
            </w:r>
          </w:p>
          <w:p w14:paraId="228F8AA9" w14:textId="77777777" w:rsidR="00183338" w:rsidRPr="003350F2" w:rsidRDefault="00183338" w:rsidP="00183338">
            <w:pPr>
              <w:jc w:val="center"/>
            </w:pPr>
            <w:r w:rsidRPr="003350F2">
              <w:t>gadam</w:t>
            </w:r>
          </w:p>
        </w:tc>
        <w:tc>
          <w:tcPr>
            <w:tcW w:w="1139" w:type="dxa"/>
            <w:vAlign w:val="center"/>
          </w:tcPr>
          <w:p w14:paraId="77C73B26" w14:textId="77777777" w:rsidR="00183338" w:rsidRPr="003350F2" w:rsidRDefault="00183338" w:rsidP="00183338">
            <w:pPr>
              <w:jc w:val="center"/>
            </w:pPr>
            <w:r w:rsidRPr="003350F2">
              <w:t>saskaņā ar vidēja termiņa budžeta ietvaru</w:t>
            </w:r>
          </w:p>
        </w:tc>
        <w:tc>
          <w:tcPr>
            <w:tcW w:w="1150" w:type="dxa"/>
            <w:vAlign w:val="center"/>
          </w:tcPr>
          <w:p w14:paraId="31352521" w14:textId="77777777" w:rsidR="00183338" w:rsidRPr="003350F2" w:rsidRDefault="00183338" w:rsidP="00183338">
            <w:pPr>
              <w:jc w:val="center"/>
            </w:pPr>
            <w:r w:rsidRPr="003350F2">
              <w:t>izmaiņas, salīdzinot ar vid</w:t>
            </w:r>
            <w:r w:rsidR="00896B42" w:rsidRPr="003350F2">
              <w:t>ēja termiņa budžeta ietvaru 2021</w:t>
            </w:r>
            <w:r w:rsidRPr="003350F2">
              <w:t>.</w:t>
            </w:r>
          </w:p>
          <w:p w14:paraId="5EDE346F" w14:textId="77777777" w:rsidR="00183338" w:rsidRPr="003350F2" w:rsidRDefault="00183338" w:rsidP="00183338">
            <w:pPr>
              <w:jc w:val="center"/>
            </w:pPr>
            <w:r w:rsidRPr="003350F2">
              <w:t>gadam</w:t>
            </w:r>
          </w:p>
        </w:tc>
        <w:tc>
          <w:tcPr>
            <w:tcW w:w="1150" w:type="dxa"/>
            <w:vAlign w:val="center"/>
          </w:tcPr>
          <w:p w14:paraId="0D8E712D" w14:textId="77777777" w:rsidR="00183338" w:rsidRPr="003350F2" w:rsidRDefault="00183338" w:rsidP="00183338">
            <w:pPr>
              <w:jc w:val="center"/>
            </w:pPr>
            <w:r w:rsidRPr="003350F2">
              <w:t>izmaiņas, salīdzinot ar vidēja termiņa budžeta ietvaru 202</w:t>
            </w:r>
            <w:r w:rsidR="00896B42" w:rsidRPr="003350F2">
              <w:t>1</w:t>
            </w:r>
            <w:r w:rsidRPr="003350F2">
              <w:t>.</w:t>
            </w:r>
          </w:p>
          <w:p w14:paraId="2C987F93" w14:textId="77777777" w:rsidR="00183338" w:rsidRPr="003350F2" w:rsidRDefault="00183338" w:rsidP="00183338">
            <w:pPr>
              <w:jc w:val="center"/>
            </w:pPr>
            <w:r w:rsidRPr="003350F2">
              <w:t>gadam</w:t>
            </w:r>
          </w:p>
        </w:tc>
      </w:tr>
      <w:tr w:rsidR="00183338" w:rsidRPr="003350F2" w14:paraId="57FF7F84" w14:textId="77777777" w:rsidTr="00183338">
        <w:trPr>
          <w:jc w:val="center"/>
        </w:trPr>
        <w:tc>
          <w:tcPr>
            <w:tcW w:w="2359" w:type="dxa"/>
            <w:vAlign w:val="center"/>
          </w:tcPr>
          <w:p w14:paraId="7C5F0A72" w14:textId="77777777" w:rsidR="00183338" w:rsidRPr="003350F2" w:rsidRDefault="00183338" w:rsidP="00AF3BA2">
            <w:pPr>
              <w:jc w:val="center"/>
              <w:rPr>
                <w:bCs/>
              </w:rPr>
            </w:pPr>
            <w:r w:rsidRPr="003350F2">
              <w:rPr>
                <w:bCs/>
              </w:rPr>
              <w:t>1</w:t>
            </w:r>
          </w:p>
        </w:tc>
        <w:tc>
          <w:tcPr>
            <w:tcW w:w="1116" w:type="dxa"/>
            <w:vAlign w:val="center"/>
          </w:tcPr>
          <w:p w14:paraId="6520AFD2" w14:textId="77777777" w:rsidR="00183338" w:rsidRPr="003350F2" w:rsidRDefault="00183338" w:rsidP="00AF3BA2">
            <w:pPr>
              <w:jc w:val="center"/>
              <w:rPr>
                <w:bCs/>
              </w:rPr>
            </w:pPr>
            <w:r w:rsidRPr="003350F2">
              <w:rPr>
                <w:bCs/>
              </w:rPr>
              <w:t>2</w:t>
            </w:r>
          </w:p>
        </w:tc>
        <w:tc>
          <w:tcPr>
            <w:tcW w:w="1248" w:type="dxa"/>
            <w:vAlign w:val="center"/>
          </w:tcPr>
          <w:p w14:paraId="32060799" w14:textId="77777777" w:rsidR="00183338" w:rsidRPr="003350F2" w:rsidRDefault="00183338" w:rsidP="00AF3BA2">
            <w:pPr>
              <w:jc w:val="center"/>
              <w:rPr>
                <w:bCs/>
              </w:rPr>
            </w:pPr>
            <w:r w:rsidRPr="003350F2">
              <w:rPr>
                <w:bCs/>
              </w:rPr>
              <w:t>3</w:t>
            </w:r>
          </w:p>
        </w:tc>
        <w:tc>
          <w:tcPr>
            <w:tcW w:w="1138" w:type="dxa"/>
            <w:vAlign w:val="center"/>
          </w:tcPr>
          <w:p w14:paraId="2C5E392C" w14:textId="77777777" w:rsidR="00183338" w:rsidRPr="003350F2" w:rsidRDefault="00183338" w:rsidP="00AF3BA2">
            <w:pPr>
              <w:jc w:val="center"/>
              <w:rPr>
                <w:bCs/>
              </w:rPr>
            </w:pPr>
            <w:r w:rsidRPr="003350F2">
              <w:rPr>
                <w:bCs/>
              </w:rPr>
              <w:t>4</w:t>
            </w:r>
          </w:p>
        </w:tc>
        <w:tc>
          <w:tcPr>
            <w:tcW w:w="1185" w:type="dxa"/>
            <w:vAlign w:val="center"/>
          </w:tcPr>
          <w:p w14:paraId="35C4167D" w14:textId="77777777" w:rsidR="00183338" w:rsidRPr="003350F2" w:rsidRDefault="00183338" w:rsidP="00AF3BA2">
            <w:pPr>
              <w:jc w:val="center"/>
              <w:rPr>
                <w:bCs/>
              </w:rPr>
            </w:pPr>
            <w:r w:rsidRPr="003350F2">
              <w:rPr>
                <w:bCs/>
              </w:rPr>
              <w:t>5</w:t>
            </w:r>
          </w:p>
        </w:tc>
        <w:tc>
          <w:tcPr>
            <w:tcW w:w="1139" w:type="dxa"/>
            <w:vAlign w:val="center"/>
          </w:tcPr>
          <w:p w14:paraId="3E9F9A85" w14:textId="77777777" w:rsidR="00183338" w:rsidRPr="003350F2" w:rsidRDefault="00183338" w:rsidP="00AF3BA2">
            <w:pPr>
              <w:jc w:val="center"/>
              <w:rPr>
                <w:bCs/>
              </w:rPr>
            </w:pPr>
            <w:r w:rsidRPr="003350F2">
              <w:rPr>
                <w:bCs/>
              </w:rPr>
              <w:t>6</w:t>
            </w:r>
          </w:p>
        </w:tc>
        <w:tc>
          <w:tcPr>
            <w:tcW w:w="1150" w:type="dxa"/>
          </w:tcPr>
          <w:p w14:paraId="0BF7A361" w14:textId="77777777" w:rsidR="00183338" w:rsidRPr="003350F2" w:rsidRDefault="00183338" w:rsidP="00AF3BA2">
            <w:pPr>
              <w:jc w:val="center"/>
              <w:rPr>
                <w:bCs/>
              </w:rPr>
            </w:pPr>
            <w:r w:rsidRPr="003350F2">
              <w:rPr>
                <w:bCs/>
              </w:rPr>
              <w:t>7</w:t>
            </w:r>
          </w:p>
        </w:tc>
        <w:tc>
          <w:tcPr>
            <w:tcW w:w="1150" w:type="dxa"/>
          </w:tcPr>
          <w:p w14:paraId="36438985" w14:textId="77777777" w:rsidR="00183338" w:rsidRPr="003350F2" w:rsidRDefault="00183338" w:rsidP="00AF3BA2">
            <w:pPr>
              <w:jc w:val="center"/>
              <w:rPr>
                <w:bCs/>
              </w:rPr>
            </w:pPr>
            <w:r w:rsidRPr="003350F2">
              <w:rPr>
                <w:bCs/>
              </w:rPr>
              <w:t>8</w:t>
            </w:r>
          </w:p>
        </w:tc>
      </w:tr>
      <w:tr w:rsidR="00183338" w:rsidRPr="003350F2" w14:paraId="353F62D6" w14:textId="77777777" w:rsidTr="00183338">
        <w:trPr>
          <w:jc w:val="center"/>
        </w:trPr>
        <w:tc>
          <w:tcPr>
            <w:tcW w:w="2359" w:type="dxa"/>
          </w:tcPr>
          <w:p w14:paraId="7FCBE0BD" w14:textId="77777777" w:rsidR="00183338" w:rsidRPr="003350F2" w:rsidRDefault="00183338" w:rsidP="00AF3BA2">
            <w:pPr>
              <w:rPr>
                <w:i/>
              </w:rPr>
            </w:pPr>
            <w:r w:rsidRPr="003350F2">
              <w:t>1. Budžeta ieņēmumi:</w:t>
            </w:r>
          </w:p>
        </w:tc>
        <w:tc>
          <w:tcPr>
            <w:tcW w:w="1116" w:type="dxa"/>
          </w:tcPr>
          <w:p w14:paraId="4B79A12E" w14:textId="77777777" w:rsidR="00183338" w:rsidRPr="003350F2" w:rsidRDefault="00183338" w:rsidP="00AF3BA2">
            <w:pPr>
              <w:jc w:val="center"/>
              <w:rPr>
                <w:b/>
              </w:rPr>
            </w:pPr>
            <w:r w:rsidRPr="003350F2">
              <w:rPr>
                <w:b/>
              </w:rPr>
              <w:t>0</w:t>
            </w:r>
          </w:p>
        </w:tc>
        <w:tc>
          <w:tcPr>
            <w:tcW w:w="1248" w:type="dxa"/>
          </w:tcPr>
          <w:p w14:paraId="1429388E" w14:textId="77777777" w:rsidR="00183338" w:rsidRPr="003350F2" w:rsidRDefault="00183338" w:rsidP="00AF3BA2">
            <w:pPr>
              <w:jc w:val="center"/>
              <w:rPr>
                <w:b/>
              </w:rPr>
            </w:pPr>
            <w:r w:rsidRPr="003350F2">
              <w:rPr>
                <w:b/>
              </w:rPr>
              <w:t>0</w:t>
            </w:r>
          </w:p>
        </w:tc>
        <w:tc>
          <w:tcPr>
            <w:tcW w:w="1138" w:type="dxa"/>
          </w:tcPr>
          <w:p w14:paraId="0C6B6712" w14:textId="77777777" w:rsidR="00183338" w:rsidRPr="003350F2" w:rsidRDefault="00183338" w:rsidP="00AF3BA2">
            <w:pPr>
              <w:jc w:val="center"/>
              <w:rPr>
                <w:b/>
              </w:rPr>
            </w:pPr>
            <w:r w:rsidRPr="003350F2">
              <w:rPr>
                <w:b/>
              </w:rPr>
              <w:t>0</w:t>
            </w:r>
          </w:p>
        </w:tc>
        <w:tc>
          <w:tcPr>
            <w:tcW w:w="1185" w:type="dxa"/>
          </w:tcPr>
          <w:p w14:paraId="0F5DDBF5" w14:textId="77777777" w:rsidR="00183338" w:rsidRPr="003350F2" w:rsidRDefault="00183338" w:rsidP="00AF3BA2">
            <w:pPr>
              <w:jc w:val="center"/>
              <w:rPr>
                <w:b/>
              </w:rPr>
            </w:pPr>
            <w:r w:rsidRPr="003350F2">
              <w:rPr>
                <w:b/>
              </w:rPr>
              <w:t>0</w:t>
            </w:r>
          </w:p>
        </w:tc>
        <w:tc>
          <w:tcPr>
            <w:tcW w:w="1139" w:type="dxa"/>
          </w:tcPr>
          <w:p w14:paraId="1ECC053F" w14:textId="77777777" w:rsidR="00183338" w:rsidRPr="003350F2" w:rsidRDefault="00183338" w:rsidP="00AF3BA2">
            <w:pPr>
              <w:jc w:val="center"/>
              <w:rPr>
                <w:b/>
              </w:rPr>
            </w:pPr>
            <w:r w:rsidRPr="003350F2">
              <w:rPr>
                <w:b/>
              </w:rPr>
              <w:t>0</w:t>
            </w:r>
          </w:p>
        </w:tc>
        <w:tc>
          <w:tcPr>
            <w:tcW w:w="1150" w:type="dxa"/>
          </w:tcPr>
          <w:p w14:paraId="13F2010E" w14:textId="77777777" w:rsidR="00183338" w:rsidRPr="003350F2" w:rsidRDefault="00183338" w:rsidP="00AF3BA2">
            <w:pPr>
              <w:jc w:val="center"/>
              <w:rPr>
                <w:b/>
              </w:rPr>
            </w:pPr>
            <w:r w:rsidRPr="003350F2">
              <w:rPr>
                <w:b/>
              </w:rPr>
              <w:t>0</w:t>
            </w:r>
          </w:p>
        </w:tc>
        <w:tc>
          <w:tcPr>
            <w:tcW w:w="1150" w:type="dxa"/>
          </w:tcPr>
          <w:p w14:paraId="461F2E48" w14:textId="77777777" w:rsidR="00183338" w:rsidRPr="003350F2" w:rsidRDefault="00183338" w:rsidP="00AF3BA2">
            <w:pPr>
              <w:jc w:val="center"/>
              <w:rPr>
                <w:b/>
              </w:rPr>
            </w:pPr>
            <w:r w:rsidRPr="003350F2">
              <w:rPr>
                <w:b/>
              </w:rPr>
              <w:t>0</w:t>
            </w:r>
          </w:p>
        </w:tc>
      </w:tr>
      <w:tr w:rsidR="00183338" w:rsidRPr="003350F2" w14:paraId="6548582D" w14:textId="77777777" w:rsidTr="00183338">
        <w:trPr>
          <w:jc w:val="center"/>
        </w:trPr>
        <w:tc>
          <w:tcPr>
            <w:tcW w:w="2359" w:type="dxa"/>
          </w:tcPr>
          <w:p w14:paraId="5BBF8E0C" w14:textId="77777777" w:rsidR="00183338" w:rsidRPr="003350F2" w:rsidRDefault="00183338" w:rsidP="00AF3BA2">
            <w:pPr>
              <w:rPr>
                <w:i/>
              </w:rPr>
            </w:pPr>
            <w:r w:rsidRPr="003350F2">
              <w:t>1.1. valsts pamatbudžets, tai skaitā ieņēmumi no maksas pakalpojumiem un citi pašu ieņēmumi</w:t>
            </w:r>
          </w:p>
        </w:tc>
        <w:tc>
          <w:tcPr>
            <w:tcW w:w="1116" w:type="dxa"/>
          </w:tcPr>
          <w:p w14:paraId="5EB9482F" w14:textId="77777777" w:rsidR="00183338" w:rsidRPr="003350F2" w:rsidRDefault="00183338" w:rsidP="00AF3BA2">
            <w:pPr>
              <w:jc w:val="center"/>
              <w:rPr>
                <w:i/>
              </w:rPr>
            </w:pPr>
          </w:p>
        </w:tc>
        <w:tc>
          <w:tcPr>
            <w:tcW w:w="1248" w:type="dxa"/>
          </w:tcPr>
          <w:p w14:paraId="05132D83" w14:textId="77777777" w:rsidR="00183338" w:rsidRPr="003350F2" w:rsidRDefault="00183338" w:rsidP="00AF3BA2">
            <w:pPr>
              <w:jc w:val="center"/>
              <w:rPr>
                <w:i/>
              </w:rPr>
            </w:pPr>
          </w:p>
        </w:tc>
        <w:tc>
          <w:tcPr>
            <w:tcW w:w="1138" w:type="dxa"/>
          </w:tcPr>
          <w:p w14:paraId="4BC5A66C" w14:textId="77777777" w:rsidR="00183338" w:rsidRPr="003350F2" w:rsidRDefault="00183338" w:rsidP="00AF3BA2">
            <w:pPr>
              <w:jc w:val="center"/>
              <w:rPr>
                <w:i/>
              </w:rPr>
            </w:pPr>
          </w:p>
        </w:tc>
        <w:tc>
          <w:tcPr>
            <w:tcW w:w="1185" w:type="dxa"/>
          </w:tcPr>
          <w:p w14:paraId="788E6109" w14:textId="77777777" w:rsidR="00183338" w:rsidRPr="003350F2" w:rsidRDefault="00183338" w:rsidP="00AF3BA2">
            <w:pPr>
              <w:jc w:val="center"/>
              <w:rPr>
                <w:i/>
              </w:rPr>
            </w:pPr>
          </w:p>
        </w:tc>
        <w:tc>
          <w:tcPr>
            <w:tcW w:w="1139" w:type="dxa"/>
          </w:tcPr>
          <w:p w14:paraId="092D9461" w14:textId="77777777" w:rsidR="00183338" w:rsidRPr="003350F2" w:rsidRDefault="00183338" w:rsidP="00AF3BA2">
            <w:pPr>
              <w:jc w:val="center"/>
              <w:rPr>
                <w:i/>
              </w:rPr>
            </w:pPr>
          </w:p>
        </w:tc>
        <w:tc>
          <w:tcPr>
            <w:tcW w:w="1150" w:type="dxa"/>
          </w:tcPr>
          <w:p w14:paraId="34A1F553" w14:textId="77777777" w:rsidR="00183338" w:rsidRPr="003350F2" w:rsidRDefault="00183338" w:rsidP="00AF3BA2">
            <w:pPr>
              <w:jc w:val="center"/>
              <w:rPr>
                <w:i/>
              </w:rPr>
            </w:pPr>
          </w:p>
        </w:tc>
        <w:tc>
          <w:tcPr>
            <w:tcW w:w="1150" w:type="dxa"/>
          </w:tcPr>
          <w:p w14:paraId="444D51CF" w14:textId="77777777" w:rsidR="00183338" w:rsidRPr="003350F2" w:rsidRDefault="00183338" w:rsidP="00AF3BA2">
            <w:pPr>
              <w:jc w:val="center"/>
              <w:rPr>
                <w:i/>
              </w:rPr>
            </w:pPr>
          </w:p>
        </w:tc>
      </w:tr>
      <w:tr w:rsidR="00183338" w:rsidRPr="003350F2" w14:paraId="57635063" w14:textId="77777777" w:rsidTr="00183338">
        <w:trPr>
          <w:jc w:val="center"/>
        </w:trPr>
        <w:tc>
          <w:tcPr>
            <w:tcW w:w="2359" w:type="dxa"/>
          </w:tcPr>
          <w:p w14:paraId="236B985B" w14:textId="77777777" w:rsidR="00183338" w:rsidRPr="003350F2" w:rsidRDefault="00183338" w:rsidP="00AF3BA2">
            <w:pPr>
              <w:rPr>
                <w:i/>
              </w:rPr>
            </w:pPr>
            <w:r w:rsidRPr="003350F2">
              <w:t>1.2. valsts speciālais budžets</w:t>
            </w:r>
          </w:p>
        </w:tc>
        <w:tc>
          <w:tcPr>
            <w:tcW w:w="1116" w:type="dxa"/>
          </w:tcPr>
          <w:p w14:paraId="71C0A503" w14:textId="77777777" w:rsidR="00183338" w:rsidRPr="003350F2" w:rsidRDefault="00183338" w:rsidP="00AF3BA2">
            <w:pPr>
              <w:jc w:val="center"/>
            </w:pPr>
          </w:p>
        </w:tc>
        <w:tc>
          <w:tcPr>
            <w:tcW w:w="1248" w:type="dxa"/>
          </w:tcPr>
          <w:p w14:paraId="068748A6" w14:textId="77777777" w:rsidR="00183338" w:rsidRPr="003350F2" w:rsidRDefault="00183338" w:rsidP="00AF3BA2">
            <w:pPr>
              <w:jc w:val="center"/>
            </w:pPr>
          </w:p>
        </w:tc>
        <w:tc>
          <w:tcPr>
            <w:tcW w:w="1138" w:type="dxa"/>
          </w:tcPr>
          <w:p w14:paraId="0EFAB2CB" w14:textId="77777777" w:rsidR="00183338" w:rsidRPr="003350F2" w:rsidRDefault="00183338" w:rsidP="00AF3BA2">
            <w:pPr>
              <w:jc w:val="center"/>
            </w:pPr>
          </w:p>
        </w:tc>
        <w:tc>
          <w:tcPr>
            <w:tcW w:w="1185" w:type="dxa"/>
          </w:tcPr>
          <w:p w14:paraId="42A9C8D9" w14:textId="77777777" w:rsidR="00183338" w:rsidRPr="003350F2" w:rsidRDefault="00183338" w:rsidP="00AF3BA2">
            <w:pPr>
              <w:jc w:val="center"/>
            </w:pPr>
          </w:p>
        </w:tc>
        <w:tc>
          <w:tcPr>
            <w:tcW w:w="1139" w:type="dxa"/>
          </w:tcPr>
          <w:p w14:paraId="068B0208" w14:textId="77777777" w:rsidR="00183338" w:rsidRPr="003350F2" w:rsidRDefault="00183338" w:rsidP="00AF3BA2">
            <w:pPr>
              <w:jc w:val="center"/>
            </w:pPr>
          </w:p>
        </w:tc>
        <w:tc>
          <w:tcPr>
            <w:tcW w:w="1150" w:type="dxa"/>
          </w:tcPr>
          <w:p w14:paraId="1DD98E2D" w14:textId="77777777" w:rsidR="00183338" w:rsidRPr="003350F2" w:rsidRDefault="00183338" w:rsidP="00AF3BA2">
            <w:pPr>
              <w:jc w:val="center"/>
            </w:pPr>
          </w:p>
        </w:tc>
        <w:tc>
          <w:tcPr>
            <w:tcW w:w="1150" w:type="dxa"/>
          </w:tcPr>
          <w:p w14:paraId="3E3020B3" w14:textId="77777777" w:rsidR="00183338" w:rsidRPr="003350F2" w:rsidRDefault="00183338" w:rsidP="00AF3BA2">
            <w:pPr>
              <w:jc w:val="center"/>
            </w:pPr>
          </w:p>
        </w:tc>
      </w:tr>
      <w:tr w:rsidR="00183338" w:rsidRPr="003350F2" w14:paraId="5731365C" w14:textId="77777777" w:rsidTr="00183338">
        <w:trPr>
          <w:jc w:val="center"/>
        </w:trPr>
        <w:tc>
          <w:tcPr>
            <w:tcW w:w="2359" w:type="dxa"/>
          </w:tcPr>
          <w:p w14:paraId="180FCC3F" w14:textId="77777777" w:rsidR="00183338" w:rsidRPr="003350F2" w:rsidRDefault="00183338" w:rsidP="00AF3BA2">
            <w:pPr>
              <w:rPr>
                <w:i/>
              </w:rPr>
            </w:pPr>
            <w:r w:rsidRPr="003350F2">
              <w:t>1.3. pašvaldību budžets</w:t>
            </w:r>
          </w:p>
        </w:tc>
        <w:tc>
          <w:tcPr>
            <w:tcW w:w="1116" w:type="dxa"/>
          </w:tcPr>
          <w:p w14:paraId="311B3E0A" w14:textId="77777777" w:rsidR="00183338" w:rsidRPr="003350F2" w:rsidRDefault="00183338" w:rsidP="00AF3BA2">
            <w:pPr>
              <w:jc w:val="center"/>
            </w:pPr>
          </w:p>
        </w:tc>
        <w:tc>
          <w:tcPr>
            <w:tcW w:w="1248" w:type="dxa"/>
          </w:tcPr>
          <w:p w14:paraId="7D27E576" w14:textId="77777777" w:rsidR="00183338" w:rsidRPr="003350F2" w:rsidRDefault="00183338" w:rsidP="00AF3BA2">
            <w:pPr>
              <w:jc w:val="center"/>
            </w:pPr>
          </w:p>
        </w:tc>
        <w:tc>
          <w:tcPr>
            <w:tcW w:w="1138" w:type="dxa"/>
          </w:tcPr>
          <w:p w14:paraId="7E9AEC48" w14:textId="77777777" w:rsidR="00183338" w:rsidRPr="003350F2" w:rsidRDefault="00183338" w:rsidP="00AF3BA2">
            <w:pPr>
              <w:jc w:val="center"/>
            </w:pPr>
          </w:p>
        </w:tc>
        <w:tc>
          <w:tcPr>
            <w:tcW w:w="1185" w:type="dxa"/>
          </w:tcPr>
          <w:p w14:paraId="18676F49" w14:textId="77777777" w:rsidR="00183338" w:rsidRPr="003350F2" w:rsidRDefault="00183338" w:rsidP="00AF3BA2">
            <w:pPr>
              <w:jc w:val="center"/>
            </w:pPr>
          </w:p>
        </w:tc>
        <w:tc>
          <w:tcPr>
            <w:tcW w:w="1139" w:type="dxa"/>
          </w:tcPr>
          <w:p w14:paraId="5324F100" w14:textId="77777777" w:rsidR="00183338" w:rsidRPr="003350F2" w:rsidRDefault="00183338" w:rsidP="00AF3BA2">
            <w:pPr>
              <w:jc w:val="center"/>
            </w:pPr>
          </w:p>
        </w:tc>
        <w:tc>
          <w:tcPr>
            <w:tcW w:w="1150" w:type="dxa"/>
          </w:tcPr>
          <w:p w14:paraId="4B3E70A7" w14:textId="77777777" w:rsidR="00183338" w:rsidRPr="003350F2" w:rsidRDefault="00183338" w:rsidP="00AF3BA2">
            <w:pPr>
              <w:jc w:val="center"/>
            </w:pPr>
          </w:p>
        </w:tc>
        <w:tc>
          <w:tcPr>
            <w:tcW w:w="1150" w:type="dxa"/>
          </w:tcPr>
          <w:p w14:paraId="3574A6D6" w14:textId="77777777" w:rsidR="00183338" w:rsidRPr="003350F2" w:rsidRDefault="00183338" w:rsidP="00AF3BA2">
            <w:pPr>
              <w:jc w:val="center"/>
            </w:pPr>
          </w:p>
        </w:tc>
      </w:tr>
      <w:tr w:rsidR="00183338" w:rsidRPr="003350F2" w14:paraId="13F9D4E6" w14:textId="77777777" w:rsidTr="00183338">
        <w:trPr>
          <w:jc w:val="center"/>
        </w:trPr>
        <w:tc>
          <w:tcPr>
            <w:tcW w:w="2359" w:type="dxa"/>
          </w:tcPr>
          <w:p w14:paraId="15FF405D" w14:textId="77777777" w:rsidR="00183338" w:rsidRPr="003350F2" w:rsidRDefault="00183338" w:rsidP="00582BD7">
            <w:r w:rsidRPr="003350F2">
              <w:t>2. Budžeta izdevumi:</w:t>
            </w:r>
          </w:p>
        </w:tc>
        <w:tc>
          <w:tcPr>
            <w:tcW w:w="1116" w:type="dxa"/>
          </w:tcPr>
          <w:p w14:paraId="7C54FA8F" w14:textId="77777777" w:rsidR="00183338" w:rsidRPr="003350F2" w:rsidRDefault="00183338" w:rsidP="00582BD7">
            <w:pPr>
              <w:jc w:val="center"/>
              <w:rPr>
                <w:b/>
              </w:rPr>
            </w:pPr>
            <w:r w:rsidRPr="003350F2">
              <w:rPr>
                <w:b/>
              </w:rPr>
              <w:t>0</w:t>
            </w:r>
          </w:p>
        </w:tc>
        <w:tc>
          <w:tcPr>
            <w:tcW w:w="1248" w:type="dxa"/>
          </w:tcPr>
          <w:p w14:paraId="631D4ACA" w14:textId="77777777" w:rsidR="00183338" w:rsidRPr="003350F2" w:rsidRDefault="00F24D15" w:rsidP="006E49B0">
            <w:pPr>
              <w:jc w:val="center"/>
              <w:rPr>
                <w:b/>
              </w:rPr>
            </w:pPr>
            <w:r>
              <w:rPr>
                <w:b/>
              </w:rPr>
              <w:t>362</w:t>
            </w:r>
            <w:r w:rsidR="0099068A">
              <w:rPr>
                <w:b/>
              </w:rPr>
              <w:t xml:space="preserve"> </w:t>
            </w:r>
            <w:r w:rsidR="006E49B0">
              <w:rPr>
                <w:b/>
              </w:rPr>
              <w:t>0</w:t>
            </w:r>
            <w:r w:rsidR="0099068A">
              <w:rPr>
                <w:b/>
              </w:rPr>
              <w:t>00</w:t>
            </w:r>
          </w:p>
        </w:tc>
        <w:tc>
          <w:tcPr>
            <w:tcW w:w="1138" w:type="dxa"/>
          </w:tcPr>
          <w:p w14:paraId="75CB178C" w14:textId="77777777" w:rsidR="00183338" w:rsidRPr="003350F2" w:rsidRDefault="00183338" w:rsidP="00582BD7">
            <w:pPr>
              <w:jc w:val="center"/>
              <w:rPr>
                <w:b/>
              </w:rPr>
            </w:pPr>
            <w:r w:rsidRPr="003350F2">
              <w:rPr>
                <w:b/>
              </w:rPr>
              <w:t>0</w:t>
            </w:r>
          </w:p>
        </w:tc>
        <w:tc>
          <w:tcPr>
            <w:tcW w:w="1185" w:type="dxa"/>
          </w:tcPr>
          <w:p w14:paraId="0B5352D8" w14:textId="77777777" w:rsidR="00183338" w:rsidRPr="003350F2" w:rsidRDefault="00183338" w:rsidP="00582BD7">
            <w:pPr>
              <w:jc w:val="center"/>
              <w:rPr>
                <w:b/>
              </w:rPr>
            </w:pPr>
            <w:r w:rsidRPr="003350F2">
              <w:rPr>
                <w:b/>
              </w:rPr>
              <w:t>0</w:t>
            </w:r>
          </w:p>
        </w:tc>
        <w:tc>
          <w:tcPr>
            <w:tcW w:w="1139" w:type="dxa"/>
          </w:tcPr>
          <w:p w14:paraId="169DDB0C" w14:textId="77777777" w:rsidR="00183338" w:rsidRPr="003350F2" w:rsidRDefault="00183338" w:rsidP="00582BD7">
            <w:pPr>
              <w:jc w:val="center"/>
              <w:rPr>
                <w:b/>
              </w:rPr>
            </w:pPr>
            <w:r w:rsidRPr="003350F2">
              <w:rPr>
                <w:b/>
              </w:rPr>
              <w:t>0</w:t>
            </w:r>
          </w:p>
        </w:tc>
        <w:tc>
          <w:tcPr>
            <w:tcW w:w="1150" w:type="dxa"/>
          </w:tcPr>
          <w:p w14:paraId="40E92623" w14:textId="77777777" w:rsidR="00183338" w:rsidRPr="003350F2" w:rsidRDefault="00183338" w:rsidP="00582BD7">
            <w:pPr>
              <w:jc w:val="center"/>
              <w:rPr>
                <w:b/>
              </w:rPr>
            </w:pPr>
            <w:r w:rsidRPr="003350F2">
              <w:rPr>
                <w:b/>
              </w:rPr>
              <w:t>0</w:t>
            </w:r>
          </w:p>
        </w:tc>
        <w:tc>
          <w:tcPr>
            <w:tcW w:w="1150" w:type="dxa"/>
          </w:tcPr>
          <w:p w14:paraId="4B68F131" w14:textId="77777777" w:rsidR="00183338" w:rsidRPr="003350F2" w:rsidRDefault="00183338" w:rsidP="00582BD7">
            <w:pPr>
              <w:jc w:val="center"/>
              <w:rPr>
                <w:b/>
              </w:rPr>
            </w:pPr>
            <w:r w:rsidRPr="003350F2">
              <w:rPr>
                <w:b/>
              </w:rPr>
              <w:t>0</w:t>
            </w:r>
          </w:p>
        </w:tc>
      </w:tr>
      <w:tr w:rsidR="00183338" w:rsidRPr="003350F2" w14:paraId="05B93300" w14:textId="77777777" w:rsidTr="00183338">
        <w:trPr>
          <w:jc w:val="center"/>
        </w:trPr>
        <w:tc>
          <w:tcPr>
            <w:tcW w:w="2359" w:type="dxa"/>
          </w:tcPr>
          <w:p w14:paraId="726924D6" w14:textId="77777777" w:rsidR="00183338" w:rsidRPr="003350F2" w:rsidRDefault="00183338" w:rsidP="00582BD7">
            <w:r w:rsidRPr="003350F2">
              <w:t>2.1. valsts pamatbudžets</w:t>
            </w:r>
          </w:p>
        </w:tc>
        <w:tc>
          <w:tcPr>
            <w:tcW w:w="1116" w:type="dxa"/>
          </w:tcPr>
          <w:p w14:paraId="46B7292B" w14:textId="77777777" w:rsidR="00183338" w:rsidRPr="003350F2" w:rsidRDefault="00183338" w:rsidP="00582BD7">
            <w:pPr>
              <w:jc w:val="center"/>
              <w:rPr>
                <w:i/>
              </w:rPr>
            </w:pPr>
            <w:r w:rsidRPr="003350F2">
              <w:rPr>
                <w:i/>
              </w:rPr>
              <w:t>0</w:t>
            </w:r>
          </w:p>
        </w:tc>
        <w:tc>
          <w:tcPr>
            <w:tcW w:w="1248" w:type="dxa"/>
          </w:tcPr>
          <w:p w14:paraId="7BB3212C" w14:textId="77777777" w:rsidR="00183338" w:rsidRPr="003350F2" w:rsidRDefault="00F24D15" w:rsidP="006E49B0">
            <w:pPr>
              <w:jc w:val="center"/>
              <w:rPr>
                <w:i/>
              </w:rPr>
            </w:pPr>
            <w:r>
              <w:rPr>
                <w:i/>
              </w:rPr>
              <w:t>362</w:t>
            </w:r>
            <w:r w:rsidR="0099068A">
              <w:rPr>
                <w:i/>
              </w:rPr>
              <w:t xml:space="preserve"> </w:t>
            </w:r>
            <w:r w:rsidR="006E49B0">
              <w:rPr>
                <w:i/>
              </w:rPr>
              <w:t>0</w:t>
            </w:r>
            <w:r w:rsidR="0099068A">
              <w:rPr>
                <w:i/>
              </w:rPr>
              <w:t>00</w:t>
            </w:r>
          </w:p>
        </w:tc>
        <w:tc>
          <w:tcPr>
            <w:tcW w:w="1138" w:type="dxa"/>
          </w:tcPr>
          <w:p w14:paraId="220C8AEC" w14:textId="77777777" w:rsidR="00183338" w:rsidRPr="003350F2" w:rsidRDefault="00183338" w:rsidP="00582BD7">
            <w:pPr>
              <w:jc w:val="center"/>
              <w:rPr>
                <w:i/>
              </w:rPr>
            </w:pPr>
            <w:r w:rsidRPr="003350F2">
              <w:rPr>
                <w:i/>
              </w:rPr>
              <w:t>0</w:t>
            </w:r>
          </w:p>
        </w:tc>
        <w:tc>
          <w:tcPr>
            <w:tcW w:w="1185" w:type="dxa"/>
          </w:tcPr>
          <w:p w14:paraId="563A55FA" w14:textId="77777777" w:rsidR="00183338" w:rsidRPr="003350F2" w:rsidRDefault="00183338" w:rsidP="00582BD7">
            <w:pPr>
              <w:jc w:val="center"/>
              <w:rPr>
                <w:i/>
              </w:rPr>
            </w:pPr>
            <w:r w:rsidRPr="003350F2">
              <w:rPr>
                <w:i/>
              </w:rPr>
              <w:t>0</w:t>
            </w:r>
          </w:p>
        </w:tc>
        <w:tc>
          <w:tcPr>
            <w:tcW w:w="1139" w:type="dxa"/>
          </w:tcPr>
          <w:p w14:paraId="17013449" w14:textId="77777777" w:rsidR="00183338" w:rsidRPr="003350F2" w:rsidRDefault="00183338" w:rsidP="00582BD7">
            <w:pPr>
              <w:jc w:val="center"/>
              <w:rPr>
                <w:i/>
              </w:rPr>
            </w:pPr>
            <w:r w:rsidRPr="003350F2">
              <w:rPr>
                <w:i/>
              </w:rPr>
              <w:t>0</w:t>
            </w:r>
          </w:p>
        </w:tc>
        <w:tc>
          <w:tcPr>
            <w:tcW w:w="1150" w:type="dxa"/>
          </w:tcPr>
          <w:p w14:paraId="243F8D8B" w14:textId="77777777" w:rsidR="00183338" w:rsidRPr="003350F2" w:rsidRDefault="00183338" w:rsidP="00582BD7">
            <w:pPr>
              <w:jc w:val="center"/>
              <w:rPr>
                <w:i/>
              </w:rPr>
            </w:pPr>
            <w:r w:rsidRPr="003350F2">
              <w:rPr>
                <w:i/>
              </w:rPr>
              <w:t>0</w:t>
            </w:r>
          </w:p>
        </w:tc>
        <w:tc>
          <w:tcPr>
            <w:tcW w:w="1150" w:type="dxa"/>
          </w:tcPr>
          <w:p w14:paraId="3525C9BD" w14:textId="77777777" w:rsidR="00183338" w:rsidRPr="003350F2" w:rsidRDefault="00183338" w:rsidP="00582BD7">
            <w:pPr>
              <w:jc w:val="center"/>
              <w:rPr>
                <w:i/>
              </w:rPr>
            </w:pPr>
            <w:r w:rsidRPr="003350F2">
              <w:rPr>
                <w:i/>
              </w:rPr>
              <w:t>0</w:t>
            </w:r>
          </w:p>
        </w:tc>
      </w:tr>
      <w:tr w:rsidR="00183338" w:rsidRPr="003350F2" w14:paraId="6AE1E393" w14:textId="77777777" w:rsidTr="00183338">
        <w:trPr>
          <w:jc w:val="center"/>
        </w:trPr>
        <w:tc>
          <w:tcPr>
            <w:tcW w:w="2359" w:type="dxa"/>
          </w:tcPr>
          <w:p w14:paraId="2CE64A96" w14:textId="77777777" w:rsidR="00183338" w:rsidRPr="003350F2" w:rsidRDefault="00183338" w:rsidP="00582BD7">
            <w:r w:rsidRPr="003350F2">
              <w:t>2.2. valsts speciālais budžets</w:t>
            </w:r>
          </w:p>
        </w:tc>
        <w:tc>
          <w:tcPr>
            <w:tcW w:w="1116" w:type="dxa"/>
          </w:tcPr>
          <w:p w14:paraId="19C83031" w14:textId="77777777" w:rsidR="00183338" w:rsidRPr="003350F2" w:rsidRDefault="00183338" w:rsidP="00582BD7">
            <w:pPr>
              <w:jc w:val="center"/>
            </w:pPr>
          </w:p>
        </w:tc>
        <w:tc>
          <w:tcPr>
            <w:tcW w:w="1248" w:type="dxa"/>
          </w:tcPr>
          <w:p w14:paraId="2FED7728" w14:textId="77777777" w:rsidR="00183338" w:rsidRPr="003350F2" w:rsidRDefault="00183338" w:rsidP="00582BD7">
            <w:pPr>
              <w:jc w:val="center"/>
            </w:pPr>
          </w:p>
        </w:tc>
        <w:tc>
          <w:tcPr>
            <w:tcW w:w="1138" w:type="dxa"/>
          </w:tcPr>
          <w:p w14:paraId="44010B94" w14:textId="77777777" w:rsidR="00183338" w:rsidRPr="003350F2" w:rsidRDefault="00183338" w:rsidP="00582BD7">
            <w:pPr>
              <w:jc w:val="center"/>
            </w:pPr>
          </w:p>
        </w:tc>
        <w:tc>
          <w:tcPr>
            <w:tcW w:w="1185" w:type="dxa"/>
          </w:tcPr>
          <w:p w14:paraId="772602A1" w14:textId="77777777" w:rsidR="00183338" w:rsidRPr="003350F2" w:rsidRDefault="00183338" w:rsidP="00582BD7">
            <w:pPr>
              <w:jc w:val="center"/>
            </w:pPr>
          </w:p>
        </w:tc>
        <w:tc>
          <w:tcPr>
            <w:tcW w:w="1139" w:type="dxa"/>
          </w:tcPr>
          <w:p w14:paraId="083FE0D7" w14:textId="77777777" w:rsidR="00183338" w:rsidRPr="003350F2" w:rsidRDefault="00183338" w:rsidP="00582BD7">
            <w:pPr>
              <w:jc w:val="center"/>
            </w:pPr>
          </w:p>
        </w:tc>
        <w:tc>
          <w:tcPr>
            <w:tcW w:w="1150" w:type="dxa"/>
          </w:tcPr>
          <w:p w14:paraId="15A13F72" w14:textId="77777777" w:rsidR="00183338" w:rsidRPr="003350F2" w:rsidRDefault="00183338" w:rsidP="00582BD7">
            <w:pPr>
              <w:jc w:val="center"/>
            </w:pPr>
          </w:p>
        </w:tc>
        <w:tc>
          <w:tcPr>
            <w:tcW w:w="1150" w:type="dxa"/>
          </w:tcPr>
          <w:p w14:paraId="660BB9C0" w14:textId="77777777" w:rsidR="00183338" w:rsidRPr="003350F2" w:rsidRDefault="00183338" w:rsidP="00582BD7">
            <w:pPr>
              <w:jc w:val="center"/>
            </w:pPr>
          </w:p>
        </w:tc>
      </w:tr>
      <w:tr w:rsidR="00183338" w:rsidRPr="003350F2" w14:paraId="3FB81BC9" w14:textId="77777777" w:rsidTr="00183338">
        <w:trPr>
          <w:jc w:val="center"/>
        </w:trPr>
        <w:tc>
          <w:tcPr>
            <w:tcW w:w="2359" w:type="dxa"/>
          </w:tcPr>
          <w:p w14:paraId="76E45CA9" w14:textId="77777777" w:rsidR="00183338" w:rsidRPr="003350F2" w:rsidRDefault="00183338" w:rsidP="00582BD7">
            <w:r w:rsidRPr="003350F2">
              <w:t xml:space="preserve">2.3. pašvaldību budžets </w:t>
            </w:r>
          </w:p>
        </w:tc>
        <w:tc>
          <w:tcPr>
            <w:tcW w:w="1116" w:type="dxa"/>
          </w:tcPr>
          <w:p w14:paraId="31C3ACB7" w14:textId="77777777" w:rsidR="00183338" w:rsidRPr="003350F2" w:rsidRDefault="00183338" w:rsidP="00582BD7">
            <w:pPr>
              <w:jc w:val="center"/>
            </w:pPr>
          </w:p>
        </w:tc>
        <w:tc>
          <w:tcPr>
            <w:tcW w:w="1248" w:type="dxa"/>
          </w:tcPr>
          <w:p w14:paraId="3AC5C2EB" w14:textId="77777777" w:rsidR="00183338" w:rsidRPr="003350F2" w:rsidRDefault="00183338" w:rsidP="00582BD7">
            <w:pPr>
              <w:jc w:val="center"/>
            </w:pPr>
          </w:p>
        </w:tc>
        <w:tc>
          <w:tcPr>
            <w:tcW w:w="1138" w:type="dxa"/>
          </w:tcPr>
          <w:p w14:paraId="4FD3946D" w14:textId="77777777" w:rsidR="00183338" w:rsidRPr="003350F2" w:rsidRDefault="00183338" w:rsidP="00582BD7">
            <w:pPr>
              <w:jc w:val="center"/>
            </w:pPr>
          </w:p>
        </w:tc>
        <w:tc>
          <w:tcPr>
            <w:tcW w:w="1185" w:type="dxa"/>
          </w:tcPr>
          <w:p w14:paraId="02F1F863" w14:textId="77777777" w:rsidR="00183338" w:rsidRPr="003350F2" w:rsidRDefault="00183338" w:rsidP="00582BD7">
            <w:pPr>
              <w:jc w:val="center"/>
            </w:pPr>
          </w:p>
        </w:tc>
        <w:tc>
          <w:tcPr>
            <w:tcW w:w="1139" w:type="dxa"/>
          </w:tcPr>
          <w:p w14:paraId="17D298D4" w14:textId="77777777" w:rsidR="00183338" w:rsidRPr="003350F2" w:rsidRDefault="00183338" w:rsidP="00582BD7">
            <w:pPr>
              <w:jc w:val="center"/>
            </w:pPr>
          </w:p>
        </w:tc>
        <w:tc>
          <w:tcPr>
            <w:tcW w:w="1150" w:type="dxa"/>
          </w:tcPr>
          <w:p w14:paraId="053DAC9A" w14:textId="77777777" w:rsidR="00183338" w:rsidRPr="003350F2" w:rsidRDefault="00183338" w:rsidP="00582BD7">
            <w:pPr>
              <w:jc w:val="center"/>
            </w:pPr>
          </w:p>
        </w:tc>
        <w:tc>
          <w:tcPr>
            <w:tcW w:w="1150" w:type="dxa"/>
          </w:tcPr>
          <w:p w14:paraId="2A13412D" w14:textId="77777777" w:rsidR="00183338" w:rsidRPr="003350F2" w:rsidRDefault="00183338" w:rsidP="00582BD7">
            <w:pPr>
              <w:jc w:val="center"/>
            </w:pPr>
          </w:p>
        </w:tc>
      </w:tr>
      <w:tr w:rsidR="00183338" w:rsidRPr="003350F2" w14:paraId="540B4ADB" w14:textId="77777777" w:rsidTr="00183338">
        <w:trPr>
          <w:jc w:val="center"/>
        </w:trPr>
        <w:tc>
          <w:tcPr>
            <w:tcW w:w="2359" w:type="dxa"/>
          </w:tcPr>
          <w:p w14:paraId="150ECFF4" w14:textId="77777777" w:rsidR="00183338" w:rsidRPr="003350F2" w:rsidRDefault="00183338" w:rsidP="00582BD7">
            <w:r w:rsidRPr="003350F2">
              <w:t>3. Finansiālā ietekme:</w:t>
            </w:r>
          </w:p>
        </w:tc>
        <w:tc>
          <w:tcPr>
            <w:tcW w:w="1116" w:type="dxa"/>
            <w:shd w:val="clear" w:color="auto" w:fill="auto"/>
          </w:tcPr>
          <w:p w14:paraId="744C86A0" w14:textId="77777777" w:rsidR="00183338" w:rsidRPr="003350F2" w:rsidRDefault="00183338" w:rsidP="00582BD7">
            <w:pPr>
              <w:jc w:val="center"/>
              <w:rPr>
                <w:b/>
              </w:rPr>
            </w:pPr>
            <w:r w:rsidRPr="003350F2">
              <w:rPr>
                <w:b/>
              </w:rPr>
              <w:t>0</w:t>
            </w:r>
          </w:p>
        </w:tc>
        <w:tc>
          <w:tcPr>
            <w:tcW w:w="1248" w:type="dxa"/>
          </w:tcPr>
          <w:p w14:paraId="36D590CD" w14:textId="77777777" w:rsidR="00183338" w:rsidRPr="003350F2" w:rsidRDefault="00183338" w:rsidP="00F24D15">
            <w:pPr>
              <w:jc w:val="center"/>
              <w:rPr>
                <w:b/>
              </w:rPr>
            </w:pPr>
            <w:r w:rsidRPr="003350F2">
              <w:rPr>
                <w:b/>
              </w:rPr>
              <w:t xml:space="preserve">- </w:t>
            </w:r>
            <w:r w:rsidR="00F24D15">
              <w:rPr>
                <w:b/>
              </w:rPr>
              <w:t>362</w:t>
            </w:r>
            <w:r w:rsidR="006E49B0">
              <w:rPr>
                <w:b/>
              </w:rPr>
              <w:t xml:space="preserve"> 0</w:t>
            </w:r>
            <w:r w:rsidR="0099068A">
              <w:rPr>
                <w:b/>
              </w:rPr>
              <w:t>00</w:t>
            </w:r>
          </w:p>
        </w:tc>
        <w:tc>
          <w:tcPr>
            <w:tcW w:w="1138" w:type="dxa"/>
          </w:tcPr>
          <w:p w14:paraId="3A20D8DF" w14:textId="77777777" w:rsidR="00183338" w:rsidRPr="003350F2" w:rsidRDefault="00183338" w:rsidP="00582BD7">
            <w:pPr>
              <w:jc w:val="center"/>
              <w:rPr>
                <w:b/>
              </w:rPr>
            </w:pPr>
            <w:r w:rsidRPr="003350F2">
              <w:rPr>
                <w:b/>
              </w:rPr>
              <w:t>0</w:t>
            </w:r>
          </w:p>
        </w:tc>
        <w:tc>
          <w:tcPr>
            <w:tcW w:w="1185" w:type="dxa"/>
          </w:tcPr>
          <w:p w14:paraId="192CB908" w14:textId="77777777" w:rsidR="00183338" w:rsidRPr="003350F2" w:rsidRDefault="00183338" w:rsidP="00582BD7">
            <w:pPr>
              <w:jc w:val="center"/>
              <w:rPr>
                <w:b/>
              </w:rPr>
            </w:pPr>
            <w:r w:rsidRPr="003350F2">
              <w:rPr>
                <w:b/>
              </w:rPr>
              <w:t>0</w:t>
            </w:r>
          </w:p>
        </w:tc>
        <w:tc>
          <w:tcPr>
            <w:tcW w:w="1139" w:type="dxa"/>
          </w:tcPr>
          <w:p w14:paraId="63C32F76" w14:textId="77777777" w:rsidR="00183338" w:rsidRPr="003350F2" w:rsidRDefault="00183338" w:rsidP="00582BD7">
            <w:pPr>
              <w:jc w:val="center"/>
              <w:rPr>
                <w:b/>
              </w:rPr>
            </w:pPr>
            <w:r w:rsidRPr="003350F2">
              <w:rPr>
                <w:b/>
              </w:rPr>
              <w:t>0</w:t>
            </w:r>
          </w:p>
        </w:tc>
        <w:tc>
          <w:tcPr>
            <w:tcW w:w="1150" w:type="dxa"/>
          </w:tcPr>
          <w:p w14:paraId="5200AD9D" w14:textId="77777777" w:rsidR="00183338" w:rsidRPr="003350F2" w:rsidRDefault="00183338" w:rsidP="00582BD7">
            <w:pPr>
              <w:jc w:val="center"/>
              <w:rPr>
                <w:b/>
              </w:rPr>
            </w:pPr>
            <w:r w:rsidRPr="003350F2">
              <w:rPr>
                <w:b/>
              </w:rPr>
              <w:t>0</w:t>
            </w:r>
          </w:p>
        </w:tc>
        <w:tc>
          <w:tcPr>
            <w:tcW w:w="1150" w:type="dxa"/>
          </w:tcPr>
          <w:p w14:paraId="7F114183" w14:textId="77777777" w:rsidR="00183338" w:rsidRPr="003350F2" w:rsidRDefault="00183338" w:rsidP="00582BD7">
            <w:pPr>
              <w:jc w:val="center"/>
              <w:rPr>
                <w:b/>
              </w:rPr>
            </w:pPr>
            <w:r w:rsidRPr="003350F2">
              <w:rPr>
                <w:b/>
              </w:rPr>
              <w:t>0</w:t>
            </w:r>
          </w:p>
        </w:tc>
      </w:tr>
      <w:tr w:rsidR="00183338" w:rsidRPr="003350F2" w14:paraId="70191E56" w14:textId="77777777" w:rsidTr="00183338">
        <w:trPr>
          <w:jc w:val="center"/>
        </w:trPr>
        <w:tc>
          <w:tcPr>
            <w:tcW w:w="2359" w:type="dxa"/>
          </w:tcPr>
          <w:p w14:paraId="50438E99" w14:textId="77777777" w:rsidR="00183338" w:rsidRPr="003350F2" w:rsidRDefault="00183338" w:rsidP="00582BD7">
            <w:r w:rsidRPr="003350F2">
              <w:t>3.1. valsts pamatbudžets</w:t>
            </w:r>
          </w:p>
        </w:tc>
        <w:tc>
          <w:tcPr>
            <w:tcW w:w="1116" w:type="dxa"/>
            <w:shd w:val="clear" w:color="auto" w:fill="auto"/>
          </w:tcPr>
          <w:p w14:paraId="4AC251A8" w14:textId="77777777" w:rsidR="00183338" w:rsidRPr="003350F2" w:rsidRDefault="00183338" w:rsidP="00582BD7">
            <w:pPr>
              <w:jc w:val="center"/>
              <w:rPr>
                <w:i/>
              </w:rPr>
            </w:pPr>
            <w:r w:rsidRPr="003350F2">
              <w:rPr>
                <w:i/>
              </w:rPr>
              <w:t>0</w:t>
            </w:r>
          </w:p>
        </w:tc>
        <w:tc>
          <w:tcPr>
            <w:tcW w:w="1248" w:type="dxa"/>
          </w:tcPr>
          <w:p w14:paraId="1BC37E37" w14:textId="77777777" w:rsidR="00183338" w:rsidRPr="003350F2" w:rsidRDefault="00183338" w:rsidP="006E49B0">
            <w:pPr>
              <w:jc w:val="center"/>
              <w:rPr>
                <w:i/>
              </w:rPr>
            </w:pPr>
            <w:r w:rsidRPr="003350F2">
              <w:rPr>
                <w:i/>
              </w:rPr>
              <w:t xml:space="preserve">- </w:t>
            </w:r>
            <w:r w:rsidR="00F24D15">
              <w:rPr>
                <w:i/>
              </w:rPr>
              <w:t>362</w:t>
            </w:r>
            <w:r w:rsidR="0099068A">
              <w:rPr>
                <w:i/>
              </w:rPr>
              <w:t xml:space="preserve"> </w:t>
            </w:r>
            <w:r w:rsidR="006E49B0">
              <w:rPr>
                <w:i/>
              </w:rPr>
              <w:t>0</w:t>
            </w:r>
            <w:r w:rsidR="0099068A">
              <w:rPr>
                <w:i/>
              </w:rPr>
              <w:t>00</w:t>
            </w:r>
          </w:p>
        </w:tc>
        <w:tc>
          <w:tcPr>
            <w:tcW w:w="1138" w:type="dxa"/>
          </w:tcPr>
          <w:p w14:paraId="35CDB1D6" w14:textId="77777777" w:rsidR="00183338" w:rsidRPr="003350F2" w:rsidRDefault="00183338" w:rsidP="00582BD7">
            <w:pPr>
              <w:jc w:val="center"/>
              <w:rPr>
                <w:i/>
              </w:rPr>
            </w:pPr>
            <w:r w:rsidRPr="003350F2">
              <w:rPr>
                <w:i/>
              </w:rPr>
              <w:t>0</w:t>
            </w:r>
          </w:p>
        </w:tc>
        <w:tc>
          <w:tcPr>
            <w:tcW w:w="1185" w:type="dxa"/>
          </w:tcPr>
          <w:p w14:paraId="2F2C3EE0" w14:textId="77777777" w:rsidR="00183338" w:rsidRPr="003350F2" w:rsidRDefault="00183338" w:rsidP="00582BD7">
            <w:pPr>
              <w:jc w:val="center"/>
              <w:rPr>
                <w:i/>
              </w:rPr>
            </w:pPr>
            <w:r w:rsidRPr="003350F2">
              <w:rPr>
                <w:i/>
              </w:rPr>
              <w:t>0</w:t>
            </w:r>
          </w:p>
        </w:tc>
        <w:tc>
          <w:tcPr>
            <w:tcW w:w="1139" w:type="dxa"/>
          </w:tcPr>
          <w:p w14:paraId="4F74F2F0" w14:textId="77777777" w:rsidR="00183338" w:rsidRPr="003350F2" w:rsidRDefault="00183338" w:rsidP="00582BD7">
            <w:pPr>
              <w:jc w:val="center"/>
              <w:rPr>
                <w:i/>
              </w:rPr>
            </w:pPr>
            <w:r w:rsidRPr="003350F2">
              <w:rPr>
                <w:i/>
              </w:rPr>
              <w:t>0</w:t>
            </w:r>
          </w:p>
        </w:tc>
        <w:tc>
          <w:tcPr>
            <w:tcW w:w="1150" w:type="dxa"/>
          </w:tcPr>
          <w:p w14:paraId="5498B9AD" w14:textId="77777777" w:rsidR="00183338" w:rsidRPr="003350F2" w:rsidRDefault="00183338" w:rsidP="00582BD7">
            <w:pPr>
              <w:jc w:val="center"/>
              <w:rPr>
                <w:i/>
              </w:rPr>
            </w:pPr>
            <w:r w:rsidRPr="003350F2">
              <w:rPr>
                <w:i/>
              </w:rPr>
              <w:t>0</w:t>
            </w:r>
          </w:p>
        </w:tc>
        <w:tc>
          <w:tcPr>
            <w:tcW w:w="1150" w:type="dxa"/>
          </w:tcPr>
          <w:p w14:paraId="02180F8C" w14:textId="77777777" w:rsidR="00183338" w:rsidRPr="003350F2" w:rsidRDefault="00183338" w:rsidP="00582BD7">
            <w:pPr>
              <w:jc w:val="center"/>
              <w:rPr>
                <w:i/>
              </w:rPr>
            </w:pPr>
            <w:r w:rsidRPr="003350F2">
              <w:rPr>
                <w:i/>
              </w:rPr>
              <w:t>0</w:t>
            </w:r>
          </w:p>
        </w:tc>
      </w:tr>
      <w:tr w:rsidR="00183338" w:rsidRPr="003350F2" w14:paraId="1FE4C4F8" w14:textId="77777777" w:rsidTr="00183338">
        <w:trPr>
          <w:jc w:val="center"/>
        </w:trPr>
        <w:tc>
          <w:tcPr>
            <w:tcW w:w="2359" w:type="dxa"/>
          </w:tcPr>
          <w:p w14:paraId="0EADB718" w14:textId="77777777" w:rsidR="00183338" w:rsidRPr="003350F2" w:rsidRDefault="00183338" w:rsidP="00582BD7">
            <w:r w:rsidRPr="003350F2">
              <w:t>3.2. speciālais budžets</w:t>
            </w:r>
          </w:p>
        </w:tc>
        <w:tc>
          <w:tcPr>
            <w:tcW w:w="1116" w:type="dxa"/>
            <w:shd w:val="clear" w:color="auto" w:fill="auto"/>
          </w:tcPr>
          <w:p w14:paraId="3955C2D9" w14:textId="77777777" w:rsidR="00183338" w:rsidRPr="003350F2" w:rsidRDefault="00183338" w:rsidP="00582BD7">
            <w:pPr>
              <w:jc w:val="center"/>
            </w:pPr>
          </w:p>
        </w:tc>
        <w:tc>
          <w:tcPr>
            <w:tcW w:w="1248" w:type="dxa"/>
          </w:tcPr>
          <w:p w14:paraId="2A20E257" w14:textId="77777777" w:rsidR="00183338" w:rsidRPr="003350F2" w:rsidRDefault="00183338" w:rsidP="00582BD7">
            <w:pPr>
              <w:jc w:val="center"/>
            </w:pPr>
          </w:p>
        </w:tc>
        <w:tc>
          <w:tcPr>
            <w:tcW w:w="1138" w:type="dxa"/>
          </w:tcPr>
          <w:p w14:paraId="4A97DF79" w14:textId="77777777" w:rsidR="00183338" w:rsidRPr="003350F2" w:rsidRDefault="00183338" w:rsidP="00582BD7">
            <w:pPr>
              <w:jc w:val="center"/>
            </w:pPr>
          </w:p>
        </w:tc>
        <w:tc>
          <w:tcPr>
            <w:tcW w:w="1185" w:type="dxa"/>
          </w:tcPr>
          <w:p w14:paraId="3F6503D1" w14:textId="77777777" w:rsidR="00183338" w:rsidRPr="003350F2" w:rsidRDefault="00183338" w:rsidP="00582BD7">
            <w:pPr>
              <w:jc w:val="center"/>
            </w:pPr>
          </w:p>
        </w:tc>
        <w:tc>
          <w:tcPr>
            <w:tcW w:w="1139" w:type="dxa"/>
          </w:tcPr>
          <w:p w14:paraId="2150411E" w14:textId="77777777" w:rsidR="00183338" w:rsidRPr="003350F2" w:rsidRDefault="00183338" w:rsidP="00582BD7">
            <w:pPr>
              <w:jc w:val="center"/>
            </w:pPr>
          </w:p>
        </w:tc>
        <w:tc>
          <w:tcPr>
            <w:tcW w:w="1150" w:type="dxa"/>
          </w:tcPr>
          <w:p w14:paraId="1EDEEDB9" w14:textId="77777777" w:rsidR="00183338" w:rsidRPr="003350F2" w:rsidRDefault="00183338" w:rsidP="00582BD7">
            <w:pPr>
              <w:jc w:val="center"/>
            </w:pPr>
          </w:p>
        </w:tc>
        <w:tc>
          <w:tcPr>
            <w:tcW w:w="1150" w:type="dxa"/>
          </w:tcPr>
          <w:p w14:paraId="6952932B" w14:textId="77777777" w:rsidR="00183338" w:rsidRPr="003350F2" w:rsidRDefault="00183338" w:rsidP="00582BD7">
            <w:pPr>
              <w:jc w:val="center"/>
            </w:pPr>
          </w:p>
        </w:tc>
      </w:tr>
      <w:tr w:rsidR="00183338" w:rsidRPr="003350F2" w14:paraId="57325463" w14:textId="77777777" w:rsidTr="00183338">
        <w:trPr>
          <w:jc w:val="center"/>
        </w:trPr>
        <w:tc>
          <w:tcPr>
            <w:tcW w:w="2359" w:type="dxa"/>
          </w:tcPr>
          <w:p w14:paraId="26652A99" w14:textId="77777777" w:rsidR="00183338" w:rsidRPr="003350F2" w:rsidRDefault="00183338" w:rsidP="00582BD7">
            <w:r w:rsidRPr="003350F2">
              <w:t xml:space="preserve">3.3. pašvaldību budžets </w:t>
            </w:r>
          </w:p>
        </w:tc>
        <w:tc>
          <w:tcPr>
            <w:tcW w:w="1116" w:type="dxa"/>
            <w:shd w:val="clear" w:color="auto" w:fill="auto"/>
          </w:tcPr>
          <w:p w14:paraId="121FF485" w14:textId="77777777" w:rsidR="00183338" w:rsidRPr="003350F2" w:rsidRDefault="00183338" w:rsidP="00582BD7">
            <w:pPr>
              <w:jc w:val="center"/>
            </w:pPr>
          </w:p>
        </w:tc>
        <w:tc>
          <w:tcPr>
            <w:tcW w:w="1248" w:type="dxa"/>
          </w:tcPr>
          <w:p w14:paraId="6EF449FC" w14:textId="77777777" w:rsidR="00183338" w:rsidRPr="003350F2" w:rsidRDefault="00183338" w:rsidP="00582BD7">
            <w:pPr>
              <w:jc w:val="center"/>
            </w:pPr>
          </w:p>
        </w:tc>
        <w:tc>
          <w:tcPr>
            <w:tcW w:w="1138" w:type="dxa"/>
          </w:tcPr>
          <w:p w14:paraId="2CC7472D" w14:textId="77777777" w:rsidR="00183338" w:rsidRPr="003350F2" w:rsidRDefault="00183338" w:rsidP="00582BD7">
            <w:pPr>
              <w:jc w:val="center"/>
            </w:pPr>
          </w:p>
        </w:tc>
        <w:tc>
          <w:tcPr>
            <w:tcW w:w="1185" w:type="dxa"/>
          </w:tcPr>
          <w:p w14:paraId="74026249" w14:textId="77777777" w:rsidR="00183338" w:rsidRPr="003350F2" w:rsidRDefault="00183338" w:rsidP="00582BD7">
            <w:pPr>
              <w:jc w:val="center"/>
            </w:pPr>
          </w:p>
        </w:tc>
        <w:tc>
          <w:tcPr>
            <w:tcW w:w="1139" w:type="dxa"/>
          </w:tcPr>
          <w:p w14:paraId="1A817BAA" w14:textId="77777777" w:rsidR="00183338" w:rsidRPr="003350F2" w:rsidRDefault="00183338" w:rsidP="00582BD7">
            <w:pPr>
              <w:jc w:val="center"/>
            </w:pPr>
          </w:p>
        </w:tc>
        <w:tc>
          <w:tcPr>
            <w:tcW w:w="1150" w:type="dxa"/>
          </w:tcPr>
          <w:p w14:paraId="7471E705" w14:textId="77777777" w:rsidR="00183338" w:rsidRPr="003350F2" w:rsidRDefault="00183338" w:rsidP="00582BD7">
            <w:pPr>
              <w:jc w:val="center"/>
            </w:pPr>
          </w:p>
        </w:tc>
        <w:tc>
          <w:tcPr>
            <w:tcW w:w="1150" w:type="dxa"/>
          </w:tcPr>
          <w:p w14:paraId="50B8A8D8" w14:textId="77777777" w:rsidR="00183338" w:rsidRPr="003350F2" w:rsidRDefault="00183338" w:rsidP="00582BD7">
            <w:pPr>
              <w:jc w:val="center"/>
            </w:pPr>
          </w:p>
        </w:tc>
      </w:tr>
      <w:tr w:rsidR="00183338" w:rsidRPr="003350F2" w14:paraId="3E368A08" w14:textId="77777777" w:rsidTr="00183338">
        <w:trPr>
          <w:jc w:val="center"/>
        </w:trPr>
        <w:tc>
          <w:tcPr>
            <w:tcW w:w="2359" w:type="dxa"/>
            <w:vMerge w:val="restart"/>
          </w:tcPr>
          <w:p w14:paraId="40DC45B6" w14:textId="77777777" w:rsidR="00183338" w:rsidRPr="003350F2" w:rsidRDefault="00183338" w:rsidP="00582BD7">
            <w:r w:rsidRPr="003350F2">
              <w:t>4. Finanšu līdzekļi papildu izdevumu finansēšanai (kompensējošu izdevumu samazinājumu norāda ar „+” zīmi)</w:t>
            </w:r>
          </w:p>
        </w:tc>
        <w:tc>
          <w:tcPr>
            <w:tcW w:w="1116" w:type="dxa"/>
            <w:vMerge w:val="restart"/>
          </w:tcPr>
          <w:p w14:paraId="5D6B3899" w14:textId="77777777" w:rsidR="00183338" w:rsidRPr="003350F2" w:rsidRDefault="00183338" w:rsidP="00582BD7">
            <w:pPr>
              <w:jc w:val="center"/>
              <w:rPr>
                <w:i/>
              </w:rPr>
            </w:pPr>
            <w:r w:rsidRPr="003350F2">
              <w:t>X</w:t>
            </w:r>
          </w:p>
        </w:tc>
        <w:tc>
          <w:tcPr>
            <w:tcW w:w="1248" w:type="dxa"/>
          </w:tcPr>
          <w:p w14:paraId="75672B7B" w14:textId="77777777" w:rsidR="00183338" w:rsidRPr="003350F2" w:rsidRDefault="00F24D15" w:rsidP="006E49B0">
            <w:pPr>
              <w:jc w:val="center"/>
            </w:pPr>
            <w:r>
              <w:t>362</w:t>
            </w:r>
            <w:r w:rsidR="003350F2" w:rsidRPr="003350F2">
              <w:t xml:space="preserve"> </w:t>
            </w:r>
            <w:r w:rsidR="006E49B0">
              <w:t>0</w:t>
            </w:r>
            <w:r w:rsidR="0099068A">
              <w:t>00</w:t>
            </w:r>
          </w:p>
        </w:tc>
        <w:tc>
          <w:tcPr>
            <w:tcW w:w="1138" w:type="dxa"/>
          </w:tcPr>
          <w:p w14:paraId="11FC0F17" w14:textId="77777777" w:rsidR="00183338" w:rsidRPr="003350F2" w:rsidRDefault="00183338" w:rsidP="00582BD7">
            <w:pPr>
              <w:jc w:val="center"/>
            </w:pPr>
            <w:r w:rsidRPr="003350F2">
              <w:t>0</w:t>
            </w:r>
          </w:p>
        </w:tc>
        <w:tc>
          <w:tcPr>
            <w:tcW w:w="1185" w:type="dxa"/>
          </w:tcPr>
          <w:p w14:paraId="0DDB8D25" w14:textId="77777777" w:rsidR="00183338" w:rsidRPr="003350F2" w:rsidRDefault="00183338" w:rsidP="00582BD7">
            <w:pPr>
              <w:jc w:val="center"/>
            </w:pPr>
            <w:r w:rsidRPr="003350F2">
              <w:t>0</w:t>
            </w:r>
          </w:p>
        </w:tc>
        <w:tc>
          <w:tcPr>
            <w:tcW w:w="1139" w:type="dxa"/>
          </w:tcPr>
          <w:p w14:paraId="3AC2893A" w14:textId="77777777" w:rsidR="00183338" w:rsidRPr="003350F2" w:rsidRDefault="00183338" w:rsidP="00582BD7">
            <w:pPr>
              <w:jc w:val="center"/>
            </w:pPr>
            <w:r w:rsidRPr="003350F2">
              <w:t>0</w:t>
            </w:r>
          </w:p>
        </w:tc>
        <w:tc>
          <w:tcPr>
            <w:tcW w:w="1150" w:type="dxa"/>
          </w:tcPr>
          <w:p w14:paraId="5417462B" w14:textId="77777777" w:rsidR="00183338" w:rsidRPr="003350F2" w:rsidRDefault="00183338" w:rsidP="00582BD7">
            <w:pPr>
              <w:jc w:val="center"/>
            </w:pPr>
            <w:r w:rsidRPr="003350F2">
              <w:t>0</w:t>
            </w:r>
          </w:p>
        </w:tc>
        <w:tc>
          <w:tcPr>
            <w:tcW w:w="1150" w:type="dxa"/>
          </w:tcPr>
          <w:p w14:paraId="1BEBC022" w14:textId="77777777" w:rsidR="00183338" w:rsidRPr="003350F2" w:rsidRDefault="00183338" w:rsidP="00582BD7">
            <w:pPr>
              <w:jc w:val="center"/>
            </w:pPr>
            <w:r w:rsidRPr="003350F2">
              <w:t>0</w:t>
            </w:r>
          </w:p>
        </w:tc>
      </w:tr>
      <w:tr w:rsidR="00183338" w:rsidRPr="003350F2" w14:paraId="68B84C37" w14:textId="77777777" w:rsidTr="00183338">
        <w:trPr>
          <w:jc w:val="center"/>
        </w:trPr>
        <w:tc>
          <w:tcPr>
            <w:tcW w:w="2359" w:type="dxa"/>
            <w:vMerge/>
          </w:tcPr>
          <w:p w14:paraId="4D5A18CA" w14:textId="77777777" w:rsidR="00183338" w:rsidRPr="003350F2" w:rsidRDefault="00183338" w:rsidP="00582BD7"/>
        </w:tc>
        <w:tc>
          <w:tcPr>
            <w:tcW w:w="1116" w:type="dxa"/>
            <w:vMerge/>
          </w:tcPr>
          <w:p w14:paraId="1475ECF4" w14:textId="77777777" w:rsidR="00183338" w:rsidRPr="003350F2" w:rsidRDefault="00183338" w:rsidP="00582BD7">
            <w:pPr>
              <w:jc w:val="center"/>
              <w:rPr>
                <w:i/>
              </w:rPr>
            </w:pPr>
          </w:p>
        </w:tc>
        <w:tc>
          <w:tcPr>
            <w:tcW w:w="1248" w:type="dxa"/>
          </w:tcPr>
          <w:p w14:paraId="0B1011E1" w14:textId="77777777" w:rsidR="00183338" w:rsidRPr="003350F2" w:rsidRDefault="00183338" w:rsidP="00582BD7">
            <w:pPr>
              <w:jc w:val="center"/>
            </w:pPr>
          </w:p>
        </w:tc>
        <w:tc>
          <w:tcPr>
            <w:tcW w:w="1138" w:type="dxa"/>
          </w:tcPr>
          <w:p w14:paraId="028A91ED" w14:textId="77777777" w:rsidR="00183338" w:rsidRPr="003350F2" w:rsidRDefault="00183338" w:rsidP="00582BD7">
            <w:pPr>
              <w:jc w:val="center"/>
            </w:pPr>
          </w:p>
        </w:tc>
        <w:tc>
          <w:tcPr>
            <w:tcW w:w="1185" w:type="dxa"/>
          </w:tcPr>
          <w:p w14:paraId="190CD285" w14:textId="77777777" w:rsidR="00183338" w:rsidRPr="003350F2" w:rsidRDefault="00183338" w:rsidP="00582BD7">
            <w:pPr>
              <w:jc w:val="center"/>
            </w:pPr>
          </w:p>
        </w:tc>
        <w:tc>
          <w:tcPr>
            <w:tcW w:w="1139" w:type="dxa"/>
          </w:tcPr>
          <w:p w14:paraId="1BF4EC3F" w14:textId="77777777" w:rsidR="00183338" w:rsidRPr="003350F2" w:rsidRDefault="00183338" w:rsidP="00582BD7">
            <w:pPr>
              <w:jc w:val="center"/>
            </w:pPr>
          </w:p>
        </w:tc>
        <w:tc>
          <w:tcPr>
            <w:tcW w:w="1150" w:type="dxa"/>
          </w:tcPr>
          <w:p w14:paraId="1E17F2A6" w14:textId="77777777" w:rsidR="00183338" w:rsidRPr="003350F2" w:rsidRDefault="00183338" w:rsidP="00582BD7">
            <w:pPr>
              <w:jc w:val="center"/>
            </w:pPr>
          </w:p>
        </w:tc>
        <w:tc>
          <w:tcPr>
            <w:tcW w:w="1150" w:type="dxa"/>
          </w:tcPr>
          <w:p w14:paraId="17C481E7" w14:textId="77777777" w:rsidR="00183338" w:rsidRPr="003350F2" w:rsidRDefault="00183338" w:rsidP="00582BD7">
            <w:pPr>
              <w:jc w:val="center"/>
            </w:pPr>
          </w:p>
        </w:tc>
      </w:tr>
      <w:tr w:rsidR="00183338" w:rsidRPr="003350F2" w14:paraId="4628EADE" w14:textId="77777777" w:rsidTr="00183338">
        <w:trPr>
          <w:jc w:val="center"/>
        </w:trPr>
        <w:tc>
          <w:tcPr>
            <w:tcW w:w="2359" w:type="dxa"/>
            <w:vMerge/>
          </w:tcPr>
          <w:p w14:paraId="0150B6E5" w14:textId="77777777" w:rsidR="00183338" w:rsidRPr="003350F2" w:rsidRDefault="00183338" w:rsidP="00582BD7"/>
        </w:tc>
        <w:tc>
          <w:tcPr>
            <w:tcW w:w="1116" w:type="dxa"/>
            <w:vMerge/>
          </w:tcPr>
          <w:p w14:paraId="10852BA9" w14:textId="77777777" w:rsidR="00183338" w:rsidRPr="003350F2" w:rsidRDefault="00183338" w:rsidP="00582BD7">
            <w:pPr>
              <w:jc w:val="center"/>
              <w:rPr>
                <w:i/>
              </w:rPr>
            </w:pPr>
          </w:p>
        </w:tc>
        <w:tc>
          <w:tcPr>
            <w:tcW w:w="1248" w:type="dxa"/>
          </w:tcPr>
          <w:p w14:paraId="5FE8BC46" w14:textId="77777777" w:rsidR="00183338" w:rsidRPr="003350F2" w:rsidRDefault="00183338" w:rsidP="00582BD7">
            <w:pPr>
              <w:jc w:val="center"/>
            </w:pPr>
          </w:p>
          <w:p w14:paraId="7E8BB283" w14:textId="77777777" w:rsidR="00183338" w:rsidRPr="003350F2" w:rsidRDefault="00183338" w:rsidP="002643AF">
            <w:pPr>
              <w:jc w:val="center"/>
            </w:pPr>
          </w:p>
        </w:tc>
        <w:tc>
          <w:tcPr>
            <w:tcW w:w="1138" w:type="dxa"/>
          </w:tcPr>
          <w:p w14:paraId="504C5575" w14:textId="77777777" w:rsidR="00183338" w:rsidRPr="003350F2" w:rsidRDefault="00183338" w:rsidP="00582BD7">
            <w:pPr>
              <w:jc w:val="center"/>
            </w:pPr>
          </w:p>
        </w:tc>
        <w:tc>
          <w:tcPr>
            <w:tcW w:w="1185" w:type="dxa"/>
          </w:tcPr>
          <w:p w14:paraId="1B774BBD" w14:textId="77777777" w:rsidR="00183338" w:rsidRPr="003350F2" w:rsidRDefault="00183338" w:rsidP="00582BD7">
            <w:pPr>
              <w:jc w:val="center"/>
            </w:pPr>
          </w:p>
        </w:tc>
        <w:tc>
          <w:tcPr>
            <w:tcW w:w="1139" w:type="dxa"/>
          </w:tcPr>
          <w:p w14:paraId="4AA14A28" w14:textId="77777777" w:rsidR="00183338" w:rsidRPr="003350F2" w:rsidRDefault="00183338" w:rsidP="00582BD7">
            <w:pPr>
              <w:jc w:val="center"/>
            </w:pPr>
          </w:p>
        </w:tc>
        <w:tc>
          <w:tcPr>
            <w:tcW w:w="1150" w:type="dxa"/>
          </w:tcPr>
          <w:p w14:paraId="28A6B8B9" w14:textId="77777777" w:rsidR="00183338" w:rsidRPr="003350F2" w:rsidRDefault="00183338" w:rsidP="00582BD7">
            <w:pPr>
              <w:jc w:val="center"/>
            </w:pPr>
          </w:p>
        </w:tc>
        <w:tc>
          <w:tcPr>
            <w:tcW w:w="1150" w:type="dxa"/>
          </w:tcPr>
          <w:p w14:paraId="1F096308" w14:textId="77777777" w:rsidR="00183338" w:rsidRPr="003350F2" w:rsidRDefault="00183338" w:rsidP="00582BD7">
            <w:pPr>
              <w:jc w:val="center"/>
            </w:pPr>
          </w:p>
        </w:tc>
      </w:tr>
      <w:tr w:rsidR="00183338" w:rsidRPr="003350F2" w14:paraId="7DD4B349" w14:textId="77777777" w:rsidTr="00183338">
        <w:trPr>
          <w:jc w:val="center"/>
        </w:trPr>
        <w:tc>
          <w:tcPr>
            <w:tcW w:w="2359" w:type="dxa"/>
          </w:tcPr>
          <w:p w14:paraId="2AC732FF" w14:textId="77777777" w:rsidR="00183338" w:rsidRPr="003350F2" w:rsidRDefault="00183338" w:rsidP="00582BD7">
            <w:r w:rsidRPr="003350F2">
              <w:t>5. Precizēta finansiālā ietekme:</w:t>
            </w:r>
          </w:p>
        </w:tc>
        <w:tc>
          <w:tcPr>
            <w:tcW w:w="1116" w:type="dxa"/>
            <w:vMerge w:val="restart"/>
          </w:tcPr>
          <w:p w14:paraId="36FC2D24" w14:textId="77777777" w:rsidR="00183338" w:rsidRPr="003350F2" w:rsidRDefault="00183338" w:rsidP="00582BD7">
            <w:pPr>
              <w:jc w:val="center"/>
              <w:rPr>
                <w:i/>
              </w:rPr>
            </w:pPr>
            <w:r w:rsidRPr="003350F2">
              <w:t>X</w:t>
            </w:r>
          </w:p>
          <w:p w14:paraId="035C8304" w14:textId="77777777" w:rsidR="00183338" w:rsidRPr="003350F2" w:rsidRDefault="00183338" w:rsidP="00582BD7">
            <w:pPr>
              <w:jc w:val="center"/>
              <w:rPr>
                <w:i/>
              </w:rPr>
            </w:pPr>
          </w:p>
        </w:tc>
        <w:tc>
          <w:tcPr>
            <w:tcW w:w="1248" w:type="dxa"/>
          </w:tcPr>
          <w:p w14:paraId="0F1AE821" w14:textId="77777777" w:rsidR="00183338" w:rsidRPr="003350F2" w:rsidRDefault="00183338" w:rsidP="00582BD7">
            <w:pPr>
              <w:jc w:val="center"/>
            </w:pPr>
            <w:r w:rsidRPr="003350F2">
              <w:t>0</w:t>
            </w:r>
          </w:p>
        </w:tc>
        <w:tc>
          <w:tcPr>
            <w:tcW w:w="1138" w:type="dxa"/>
          </w:tcPr>
          <w:p w14:paraId="1647EBE5" w14:textId="77777777" w:rsidR="00183338" w:rsidRPr="003350F2" w:rsidRDefault="00183338" w:rsidP="00582BD7">
            <w:pPr>
              <w:jc w:val="center"/>
            </w:pPr>
            <w:r w:rsidRPr="003350F2">
              <w:t>0</w:t>
            </w:r>
          </w:p>
        </w:tc>
        <w:tc>
          <w:tcPr>
            <w:tcW w:w="1185" w:type="dxa"/>
          </w:tcPr>
          <w:p w14:paraId="6031629E" w14:textId="77777777" w:rsidR="00183338" w:rsidRPr="003350F2" w:rsidRDefault="00183338" w:rsidP="00582BD7">
            <w:pPr>
              <w:jc w:val="center"/>
            </w:pPr>
            <w:r w:rsidRPr="003350F2">
              <w:t>0</w:t>
            </w:r>
          </w:p>
        </w:tc>
        <w:tc>
          <w:tcPr>
            <w:tcW w:w="1139" w:type="dxa"/>
          </w:tcPr>
          <w:p w14:paraId="61A12A9A" w14:textId="77777777" w:rsidR="00183338" w:rsidRPr="003350F2" w:rsidRDefault="00183338" w:rsidP="00582BD7">
            <w:pPr>
              <w:jc w:val="center"/>
            </w:pPr>
            <w:r w:rsidRPr="003350F2">
              <w:t>0</w:t>
            </w:r>
          </w:p>
        </w:tc>
        <w:tc>
          <w:tcPr>
            <w:tcW w:w="1150" w:type="dxa"/>
          </w:tcPr>
          <w:p w14:paraId="7EEC42AA" w14:textId="77777777" w:rsidR="00183338" w:rsidRPr="003350F2" w:rsidRDefault="00183338" w:rsidP="00582BD7">
            <w:pPr>
              <w:jc w:val="center"/>
            </w:pPr>
            <w:r w:rsidRPr="003350F2">
              <w:t>0</w:t>
            </w:r>
          </w:p>
        </w:tc>
        <w:tc>
          <w:tcPr>
            <w:tcW w:w="1150" w:type="dxa"/>
          </w:tcPr>
          <w:p w14:paraId="48C6631A" w14:textId="77777777" w:rsidR="00183338" w:rsidRPr="003350F2" w:rsidRDefault="00183338" w:rsidP="00582BD7">
            <w:pPr>
              <w:jc w:val="center"/>
            </w:pPr>
            <w:r w:rsidRPr="003350F2">
              <w:t>0</w:t>
            </w:r>
          </w:p>
        </w:tc>
      </w:tr>
      <w:tr w:rsidR="00183338" w:rsidRPr="003350F2" w14:paraId="33E6D4F8" w14:textId="77777777" w:rsidTr="00183338">
        <w:trPr>
          <w:jc w:val="center"/>
        </w:trPr>
        <w:tc>
          <w:tcPr>
            <w:tcW w:w="2359" w:type="dxa"/>
          </w:tcPr>
          <w:p w14:paraId="63EEE55D" w14:textId="77777777" w:rsidR="00183338" w:rsidRPr="003350F2" w:rsidRDefault="00183338" w:rsidP="00582BD7">
            <w:r w:rsidRPr="003350F2">
              <w:t>5.1. valsts pamatbudžets</w:t>
            </w:r>
          </w:p>
        </w:tc>
        <w:tc>
          <w:tcPr>
            <w:tcW w:w="1116" w:type="dxa"/>
            <w:vMerge/>
            <w:vAlign w:val="center"/>
          </w:tcPr>
          <w:p w14:paraId="5EE205B6" w14:textId="77777777" w:rsidR="00183338" w:rsidRPr="003350F2" w:rsidRDefault="00183338" w:rsidP="00582BD7">
            <w:pPr>
              <w:jc w:val="center"/>
              <w:rPr>
                <w:i/>
              </w:rPr>
            </w:pPr>
          </w:p>
        </w:tc>
        <w:tc>
          <w:tcPr>
            <w:tcW w:w="1248" w:type="dxa"/>
          </w:tcPr>
          <w:p w14:paraId="20020AA9" w14:textId="77777777" w:rsidR="00183338" w:rsidRPr="003350F2" w:rsidRDefault="00183338" w:rsidP="00582BD7">
            <w:pPr>
              <w:jc w:val="center"/>
            </w:pPr>
            <w:r w:rsidRPr="003350F2">
              <w:t>0</w:t>
            </w:r>
          </w:p>
        </w:tc>
        <w:tc>
          <w:tcPr>
            <w:tcW w:w="1138" w:type="dxa"/>
          </w:tcPr>
          <w:p w14:paraId="095FAC52" w14:textId="77777777" w:rsidR="00183338" w:rsidRPr="003350F2" w:rsidRDefault="00183338" w:rsidP="00582BD7">
            <w:pPr>
              <w:jc w:val="center"/>
            </w:pPr>
            <w:r w:rsidRPr="003350F2">
              <w:t>0</w:t>
            </w:r>
          </w:p>
        </w:tc>
        <w:tc>
          <w:tcPr>
            <w:tcW w:w="1185" w:type="dxa"/>
          </w:tcPr>
          <w:p w14:paraId="36627EBC" w14:textId="77777777" w:rsidR="00183338" w:rsidRPr="003350F2" w:rsidRDefault="00183338" w:rsidP="00582BD7">
            <w:pPr>
              <w:jc w:val="center"/>
            </w:pPr>
            <w:r w:rsidRPr="003350F2">
              <w:t>0</w:t>
            </w:r>
          </w:p>
        </w:tc>
        <w:tc>
          <w:tcPr>
            <w:tcW w:w="1139" w:type="dxa"/>
          </w:tcPr>
          <w:p w14:paraId="7BA4CDEE" w14:textId="77777777" w:rsidR="00183338" w:rsidRPr="003350F2" w:rsidRDefault="00183338" w:rsidP="00582BD7">
            <w:pPr>
              <w:jc w:val="center"/>
            </w:pPr>
            <w:r w:rsidRPr="003350F2">
              <w:t>0</w:t>
            </w:r>
          </w:p>
        </w:tc>
        <w:tc>
          <w:tcPr>
            <w:tcW w:w="1150" w:type="dxa"/>
          </w:tcPr>
          <w:p w14:paraId="7C7D2948" w14:textId="77777777" w:rsidR="00183338" w:rsidRPr="003350F2" w:rsidRDefault="00183338" w:rsidP="00582BD7">
            <w:pPr>
              <w:jc w:val="center"/>
            </w:pPr>
          </w:p>
        </w:tc>
        <w:tc>
          <w:tcPr>
            <w:tcW w:w="1150" w:type="dxa"/>
          </w:tcPr>
          <w:p w14:paraId="68A598E1" w14:textId="77777777" w:rsidR="00183338" w:rsidRPr="003350F2" w:rsidRDefault="00183338" w:rsidP="00582BD7">
            <w:pPr>
              <w:jc w:val="center"/>
            </w:pPr>
          </w:p>
        </w:tc>
      </w:tr>
      <w:tr w:rsidR="00183338" w:rsidRPr="003350F2" w14:paraId="12A553F8" w14:textId="77777777" w:rsidTr="00183338">
        <w:trPr>
          <w:jc w:val="center"/>
        </w:trPr>
        <w:tc>
          <w:tcPr>
            <w:tcW w:w="2359" w:type="dxa"/>
          </w:tcPr>
          <w:p w14:paraId="3984F0C8" w14:textId="77777777" w:rsidR="00183338" w:rsidRPr="003350F2" w:rsidRDefault="00183338" w:rsidP="00582BD7">
            <w:r w:rsidRPr="003350F2">
              <w:t>5.2. speciālais budžets</w:t>
            </w:r>
          </w:p>
        </w:tc>
        <w:tc>
          <w:tcPr>
            <w:tcW w:w="1116" w:type="dxa"/>
            <w:vMerge/>
            <w:vAlign w:val="center"/>
          </w:tcPr>
          <w:p w14:paraId="3C15F575" w14:textId="77777777" w:rsidR="00183338" w:rsidRPr="003350F2" w:rsidRDefault="00183338" w:rsidP="00582BD7">
            <w:pPr>
              <w:jc w:val="center"/>
              <w:rPr>
                <w:i/>
              </w:rPr>
            </w:pPr>
          </w:p>
        </w:tc>
        <w:tc>
          <w:tcPr>
            <w:tcW w:w="1248" w:type="dxa"/>
          </w:tcPr>
          <w:p w14:paraId="31766A50" w14:textId="77777777" w:rsidR="00183338" w:rsidRPr="003350F2" w:rsidRDefault="00183338" w:rsidP="00582BD7">
            <w:pPr>
              <w:jc w:val="center"/>
            </w:pPr>
          </w:p>
        </w:tc>
        <w:tc>
          <w:tcPr>
            <w:tcW w:w="1138" w:type="dxa"/>
          </w:tcPr>
          <w:p w14:paraId="26D94C9D" w14:textId="77777777" w:rsidR="00183338" w:rsidRPr="003350F2" w:rsidRDefault="00183338" w:rsidP="00582BD7">
            <w:pPr>
              <w:jc w:val="center"/>
            </w:pPr>
          </w:p>
        </w:tc>
        <w:tc>
          <w:tcPr>
            <w:tcW w:w="1185" w:type="dxa"/>
          </w:tcPr>
          <w:p w14:paraId="795CFCCC" w14:textId="77777777" w:rsidR="00183338" w:rsidRPr="003350F2" w:rsidRDefault="00183338" w:rsidP="00582BD7">
            <w:pPr>
              <w:jc w:val="center"/>
            </w:pPr>
          </w:p>
        </w:tc>
        <w:tc>
          <w:tcPr>
            <w:tcW w:w="1139" w:type="dxa"/>
          </w:tcPr>
          <w:p w14:paraId="7F5B0F2C" w14:textId="77777777" w:rsidR="00183338" w:rsidRPr="003350F2" w:rsidRDefault="00183338" w:rsidP="00582BD7">
            <w:pPr>
              <w:jc w:val="center"/>
            </w:pPr>
          </w:p>
        </w:tc>
        <w:tc>
          <w:tcPr>
            <w:tcW w:w="1150" w:type="dxa"/>
          </w:tcPr>
          <w:p w14:paraId="63620EEE" w14:textId="77777777" w:rsidR="00183338" w:rsidRPr="003350F2" w:rsidRDefault="00183338" w:rsidP="00582BD7">
            <w:pPr>
              <w:jc w:val="center"/>
            </w:pPr>
          </w:p>
        </w:tc>
        <w:tc>
          <w:tcPr>
            <w:tcW w:w="1150" w:type="dxa"/>
          </w:tcPr>
          <w:p w14:paraId="43E3BBB8" w14:textId="77777777" w:rsidR="00183338" w:rsidRPr="003350F2" w:rsidRDefault="00183338" w:rsidP="00582BD7">
            <w:pPr>
              <w:jc w:val="center"/>
            </w:pPr>
          </w:p>
        </w:tc>
      </w:tr>
      <w:tr w:rsidR="00183338" w:rsidRPr="003350F2" w14:paraId="1DB3427E" w14:textId="77777777" w:rsidTr="00183338">
        <w:trPr>
          <w:jc w:val="center"/>
        </w:trPr>
        <w:tc>
          <w:tcPr>
            <w:tcW w:w="2359" w:type="dxa"/>
          </w:tcPr>
          <w:p w14:paraId="6B930790" w14:textId="77777777" w:rsidR="00183338" w:rsidRPr="003350F2" w:rsidRDefault="00183338" w:rsidP="00582BD7">
            <w:r w:rsidRPr="003350F2">
              <w:t xml:space="preserve">5.3. pašvaldību budžets </w:t>
            </w:r>
          </w:p>
        </w:tc>
        <w:tc>
          <w:tcPr>
            <w:tcW w:w="1116" w:type="dxa"/>
            <w:vMerge/>
          </w:tcPr>
          <w:p w14:paraId="0296218B" w14:textId="77777777" w:rsidR="00183338" w:rsidRPr="003350F2" w:rsidRDefault="00183338" w:rsidP="00582BD7">
            <w:pPr>
              <w:jc w:val="center"/>
              <w:rPr>
                <w:i/>
              </w:rPr>
            </w:pPr>
          </w:p>
        </w:tc>
        <w:tc>
          <w:tcPr>
            <w:tcW w:w="1248" w:type="dxa"/>
          </w:tcPr>
          <w:p w14:paraId="54917948" w14:textId="77777777" w:rsidR="00183338" w:rsidRPr="003350F2" w:rsidRDefault="00183338" w:rsidP="00582BD7">
            <w:pPr>
              <w:jc w:val="center"/>
            </w:pPr>
          </w:p>
        </w:tc>
        <w:tc>
          <w:tcPr>
            <w:tcW w:w="1138" w:type="dxa"/>
          </w:tcPr>
          <w:p w14:paraId="6BE6AA4E" w14:textId="77777777" w:rsidR="00183338" w:rsidRPr="003350F2" w:rsidRDefault="00183338" w:rsidP="00582BD7">
            <w:pPr>
              <w:jc w:val="center"/>
            </w:pPr>
          </w:p>
        </w:tc>
        <w:tc>
          <w:tcPr>
            <w:tcW w:w="1185" w:type="dxa"/>
          </w:tcPr>
          <w:p w14:paraId="0B205971" w14:textId="77777777" w:rsidR="00183338" w:rsidRPr="003350F2" w:rsidRDefault="00183338" w:rsidP="00582BD7">
            <w:pPr>
              <w:jc w:val="center"/>
            </w:pPr>
          </w:p>
        </w:tc>
        <w:tc>
          <w:tcPr>
            <w:tcW w:w="1139" w:type="dxa"/>
          </w:tcPr>
          <w:p w14:paraId="7313F520" w14:textId="77777777" w:rsidR="00183338" w:rsidRPr="003350F2" w:rsidRDefault="00183338" w:rsidP="00582BD7">
            <w:pPr>
              <w:jc w:val="center"/>
            </w:pPr>
          </w:p>
        </w:tc>
        <w:tc>
          <w:tcPr>
            <w:tcW w:w="1150" w:type="dxa"/>
          </w:tcPr>
          <w:p w14:paraId="5FAFCBDA" w14:textId="77777777" w:rsidR="00183338" w:rsidRPr="003350F2" w:rsidRDefault="00183338" w:rsidP="00582BD7">
            <w:pPr>
              <w:jc w:val="center"/>
            </w:pPr>
          </w:p>
        </w:tc>
        <w:tc>
          <w:tcPr>
            <w:tcW w:w="1150" w:type="dxa"/>
          </w:tcPr>
          <w:p w14:paraId="762C5484" w14:textId="77777777" w:rsidR="00183338" w:rsidRPr="003350F2" w:rsidRDefault="00183338" w:rsidP="00582BD7">
            <w:pPr>
              <w:jc w:val="center"/>
            </w:pPr>
          </w:p>
        </w:tc>
      </w:tr>
      <w:tr w:rsidR="00183338" w:rsidRPr="003350F2" w14:paraId="4F3594E9" w14:textId="77777777" w:rsidTr="00AF3BA2">
        <w:trPr>
          <w:jc w:val="center"/>
        </w:trPr>
        <w:tc>
          <w:tcPr>
            <w:tcW w:w="2359" w:type="dxa"/>
          </w:tcPr>
          <w:p w14:paraId="010A9D0A" w14:textId="77777777" w:rsidR="00183338" w:rsidRPr="003350F2" w:rsidRDefault="00183338" w:rsidP="00B73689">
            <w:r w:rsidRPr="003350F2">
              <w:t>6. Detalizēts ieņēmumu un izdevumu aprēķins (ja nepie</w:t>
            </w:r>
            <w:r w:rsidRPr="003350F2">
              <w:softHyphen/>
              <w:t>ciešams, detalizētu ieņēmumu un izdevumu aprēķinu var pievienot anotācijas pielikumā):</w:t>
            </w:r>
          </w:p>
        </w:tc>
        <w:tc>
          <w:tcPr>
            <w:tcW w:w="8126" w:type="dxa"/>
            <w:gridSpan w:val="7"/>
            <w:vMerge w:val="restart"/>
            <w:shd w:val="clear" w:color="auto" w:fill="auto"/>
          </w:tcPr>
          <w:p w14:paraId="0F374421" w14:textId="77777777" w:rsidR="002D64E6" w:rsidRDefault="00183338" w:rsidP="0099068A">
            <w:pPr>
              <w:ind w:right="34"/>
              <w:jc w:val="both"/>
            </w:pPr>
            <w:r w:rsidRPr="003350F2">
              <w:t>Detalizētu</w:t>
            </w:r>
            <w:r w:rsidR="00896B42" w:rsidRPr="003350F2">
              <w:t xml:space="preserve"> informāciju skatīt </w:t>
            </w:r>
            <w:r w:rsidR="004F515D">
              <w:t xml:space="preserve">sākotnējās ietekmes novērtējuma ziņojuma (anotācijas) pielikumā „Detalizēts aprēķins pieprasījumam no valsts budžeta programmas „Līdzekļi neparedzētiem gadījumiem””, kā arī </w:t>
            </w:r>
            <w:r w:rsidR="006F31EF">
              <w:t>pievienotajos paskaidrojošajos materiālos.</w:t>
            </w:r>
          </w:p>
          <w:p w14:paraId="563D6202" w14:textId="77777777" w:rsidR="006F31EF" w:rsidRDefault="006F31EF" w:rsidP="0099068A">
            <w:pPr>
              <w:ind w:right="34"/>
              <w:jc w:val="both"/>
            </w:pPr>
          </w:p>
          <w:p w14:paraId="0BE5B8AA" w14:textId="77777777" w:rsidR="006F31EF" w:rsidRDefault="006F31EF" w:rsidP="0099068A">
            <w:pPr>
              <w:ind w:right="34"/>
              <w:jc w:val="both"/>
            </w:pPr>
            <w:r>
              <w:t>Līdzekļu sadalījums pa sporta federācijām (finansējuma saņēmējiem):</w:t>
            </w:r>
          </w:p>
          <w:p w14:paraId="06EA09F5" w14:textId="77777777" w:rsidR="009E29B8" w:rsidRDefault="0019646F" w:rsidP="009E29B8">
            <w:pPr>
              <w:pStyle w:val="Sarakstarindkopa"/>
              <w:numPr>
                <w:ilvl w:val="0"/>
                <w:numId w:val="39"/>
              </w:numPr>
              <w:ind w:left="363" w:right="34"/>
              <w:jc w:val="both"/>
            </w:pPr>
            <w:r>
              <w:t>Latvijas Handbola federācija – 92`000 EUR.</w:t>
            </w:r>
          </w:p>
          <w:p w14:paraId="5B8CB852" w14:textId="77777777" w:rsidR="009E29B8" w:rsidRDefault="0019646F" w:rsidP="009E29B8">
            <w:pPr>
              <w:pStyle w:val="Sarakstarindkopa"/>
              <w:numPr>
                <w:ilvl w:val="0"/>
                <w:numId w:val="39"/>
              </w:numPr>
              <w:ind w:left="363" w:right="34"/>
              <w:jc w:val="both"/>
            </w:pPr>
            <w:r>
              <w:t>Latvijas Hokeja federācija –78`000 EUR.</w:t>
            </w:r>
          </w:p>
          <w:p w14:paraId="40880418" w14:textId="77777777" w:rsidR="009E29B8" w:rsidRDefault="0019646F" w:rsidP="009E29B8">
            <w:pPr>
              <w:pStyle w:val="Sarakstarindkopa"/>
              <w:numPr>
                <w:ilvl w:val="0"/>
                <w:numId w:val="39"/>
              </w:numPr>
              <w:ind w:left="363" w:right="34"/>
              <w:jc w:val="both"/>
            </w:pPr>
            <w:r>
              <w:t>Latvijas Biatlona federācija – 72`000 EUR.</w:t>
            </w:r>
          </w:p>
          <w:p w14:paraId="3D11F28C" w14:textId="77777777" w:rsidR="009E29B8" w:rsidRDefault="0019646F" w:rsidP="009E29B8">
            <w:pPr>
              <w:pStyle w:val="Sarakstarindkopa"/>
              <w:numPr>
                <w:ilvl w:val="0"/>
                <w:numId w:val="39"/>
              </w:numPr>
              <w:ind w:left="363" w:right="34"/>
              <w:jc w:val="both"/>
            </w:pPr>
            <w:r>
              <w:t>Latvijas Bobsleja un skeletona federācija – 60`000 EUR.</w:t>
            </w:r>
          </w:p>
          <w:p w14:paraId="7492B8ED" w14:textId="77777777" w:rsidR="009E29B8" w:rsidRDefault="0019646F" w:rsidP="009E29B8">
            <w:pPr>
              <w:pStyle w:val="Sarakstarindkopa"/>
              <w:numPr>
                <w:ilvl w:val="0"/>
                <w:numId w:val="39"/>
              </w:numPr>
              <w:ind w:left="363" w:right="34"/>
              <w:jc w:val="both"/>
            </w:pPr>
            <w:r>
              <w:t>Latvijas Kamaniņu sporta federācija – 44`000 EUR.</w:t>
            </w:r>
          </w:p>
          <w:p w14:paraId="3BCD54A8" w14:textId="77777777" w:rsidR="00F24D15" w:rsidRPr="003350F2" w:rsidRDefault="0019646F" w:rsidP="009E29B8">
            <w:pPr>
              <w:pStyle w:val="Sarakstarindkopa"/>
              <w:numPr>
                <w:ilvl w:val="0"/>
                <w:numId w:val="39"/>
              </w:numPr>
              <w:ind w:left="363" w:right="34"/>
              <w:jc w:val="both"/>
            </w:pPr>
            <w:r>
              <w:t>Latvijas Slidošanas asociācija – 16</w:t>
            </w:r>
            <w:r w:rsidR="005848B1">
              <w:t>`</w:t>
            </w:r>
            <w:r>
              <w:t>000</w:t>
            </w:r>
            <w:r w:rsidR="005848B1">
              <w:t xml:space="preserve"> EUR.</w:t>
            </w:r>
          </w:p>
        </w:tc>
      </w:tr>
      <w:tr w:rsidR="00183338" w:rsidRPr="003350F2" w14:paraId="5A762520" w14:textId="77777777" w:rsidTr="00AF3BA2">
        <w:trPr>
          <w:jc w:val="center"/>
        </w:trPr>
        <w:tc>
          <w:tcPr>
            <w:tcW w:w="2359" w:type="dxa"/>
          </w:tcPr>
          <w:p w14:paraId="559E8D5A" w14:textId="77777777" w:rsidR="00183338" w:rsidRPr="003350F2" w:rsidRDefault="00183338" w:rsidP="007F671D">
            <w:r w:rsidRPr="003350F2">
              <w:t>6.1. detalizēts ieņēmumu aprēķins</w:t>
            </w:r>
          </w:p>
        </w:tc>
        <w:tc>
          <w:tcPr>
            <w:tcW w:w="8126" w:type="dxa"/>
            <w:gridSpan w:val="7"/>
            <w:vMerge/>
            <w:shd w:val="clear" w:color="auto" w:fill="auto"/>
          </w:tcPr>
          <w:p w14:paraId="3EA1A650" w14:textId="77777777" w:rsidR="00183338" w:rsidRPr="003350F2" w:rsidRDefault="00183338" w:rsidP="007F671D">
            <w:pPr>
              <w:rPr>
                <w:b/>
                <w:i/>
              </w:rPr>
            </w:pPr>
          </w:p>
        </w:tc>
      </w:tr>
      <w:tr w:rsidR="00183338" w:rsidRPr="003350F2" w14:paraId="2F9A5CB9" w14:textId="77777777" w:rsidTr="00AF3BA2">
        <w:trPr>
          <w:jc w:val="center"/>
        </w:trPr>
        <w:tc>
          <w:tcPr>
            <w:tcW w:w="2359" w:type="dxa"/>
          </w:tcPr>
          <w:p w14:paraId="017B2335" w14:textId="77777777" w:rsidR="00183338" w:rsidRPr="003350F2" w:rsidRDefault="00183338" w:rsidP="007F671D">
            <w:r w:rsidRPr="003350F2">
              <w:t>6.2. detalizēts izdevumu aprēķins</w:t>
            </w:r>
          </w:p>
        </w:tc>
        <w:tc>
          <w:tcPr>
            <w:tcW w:w="8126" w:type="dxa"/>
            <w:gridSpan w:val="7"/>
            <w:vMerge/>
            <w:shd w:val="clear" w:color="auto" w:fill="auto"/>
          </w:tcPr>
          <w:p w14:paraId="6C024EEA" w14:textId="77777777" w:rsidR="00183338" w:rsidRPr="003350F2" w:rsidRDefault="00183338" w:rsidP="007F671D">
            <w:pPr>
              <w:rPr>
                <w:b/>
                <w:i/>
              </w:rPr>
            </w:pPr>
          </w:p>
        </w:tc>
      </w:tr>
      <w:tr w:rsidR="00183338" w:rsidRPr="003350F2" w14:paraId="753BB051" w14:textId="77777777" w:rsidTr="00AF3BA2">
        <w:trPr>
          <w:trHeight w:val="399"/>
          <w:jc w:val="center"/>
        </w:trPr>
        <w:tc>
          <w:tcPr>
            <w:tcW w:w="2359" w:type="dxa"/>
          </w:tcPr>
          <w:p w14:paraId="4FE3F202" w14:textId="77777777" w:rsidR="00183338" w:rsidRPr="003350F2" w:rsidRDefault="00183338" w:rsidP="007F671D">
            <w:r w:rsidRPr="003350F2">
              <w:t>7. Amata vietu skaita izmaiņas</w:t>
            </w:r>
          </w:p>
        </w:tc>
        <w:tc>
          <w:tcPr>
            <w:tcW w:w="8126" w:type="dxa"/>
            <w:gridSpan w:val="7"/>
            <w:shd w:val="clear" w:color="auto" w:fill="auto"/>
          </w:tcPr>
          <w:p w14:paraId="76C81788" w14:textId="77777777" w:rsidR="00183338" w:rsidRPr="003350F2" w:rsidRDefault="00183338" w:rsidP="00666BEA">
            <w:pPr>
              <w:ind w:right="34"/>
              <w:jc w:val="both"/>
            </w:pPr>
            <w:r w:rsidRPr="003350F2">
              <w:t>Projektam nav ietekme uz amata vietu skaita izmaiņām.</w:t>
            </w:r>
          </w:p>
        </w:tc>
      </w:tr>
      <w:tr w:rsidR="00183338" w:rsidRPr="003350F2" w14:paraId="3A9E6C58" w14:textId="77777777" w:rsidTr="00AF3BA2">
        <w:trPr>
          <w:trHeight w:val="399"/>
          <w:jc w:val="center"/>
        </w:trPr>
        <w:tc>
          <w:tcPr>
            <w:tcW w:w="2359" w:type="dxa"/>
          </w:tcPr>
          <w:p w14:paraId="0DE813A2" w14:textId="77777777" w:rsidR="00183338" w:rsidRPr="003350F2" w:rsidRDefault="00183338" w:rsidP="00484F6A">
            <w:r w:rsidRPr="003350F2">
              <w:t>8. Cita informācija</w:t>
            </w:r>
          </w:p>
        </w:tc>
        <w:tc>
          <w:tcPr>
            <w:tcW w:w="8126" w:type="dxa"/>
            <w:gridSpan w:val="7"/>
            <w:shd w:val="clear" w:color="auto" w:fill="auto"/>
          </w:tcPr>
          <w:p w14:paraId="1B45D93D" w14:textId="77777777" w:rsidR="006D5AA7" w:rsidRDefault="006D5AA7" w:rsidP="006D5AA7">
            <w:pPr>
              <w:ind w:right="34"/>
              <w:jc w:val="both"/>
            </w:pPr>
            <w:r w:rsidRPr="003350F2">
              <w:t>Izdevumus sedz no valsts budžeta programmas 02.00.00 „Līdzekļi neparedzētiem gadījumiem” atbilstoši Ministru kabineta 2018.</w:t>
            </w:r>
            <w:r w:rsidR="005F2399">
              <w:t xml:space="preserve"> </w:t>
            </w:r>
            <w:r w:rsidRPr="003350F2">
              <w:t>gada 17.</w:t>
            </w:r>
            <w:r w:rsidR="005F2399">
              <w:t xml:space="preserve"> </w:t>
            </w:r>
            <w:r w:rsidRPr="003350F2">
              <w:t>jūlija noteikumiem Nr.</w:t>
            </w:r>
            <w:r w:rsidR="005F2399">
              <w:t xml:space="preserve"> </w:t>
            </w:r>
            <w:r w:rsidRPr="003350F2">
              <w:t>421 „Kārtība, kādā veic gadskārtējā valsts budžeta likumā noteiktās apropriācijas izmaiņas”.</w:t>
            </w:r>
          </w:p>
          <w:p w14:paraId="61ABB327" w14:textId="77777777" w:rsidR="0010206A" w:rsidRDefault="0010206A" w:rsidP="0010206A">
            <w:pPr>
              <w:ind w:right="34"/>
              <w:jc w:val="both"/>
            </w:pPr>
          </w:p>
          <w:p w14:paraId="1304CFA3" w14:textId="77777777" w:rsidR="005F2399" w:rsidRPr="003350F2" w:rsidRDefault="0010206A" w:rsidP="0010206A">
            <w:pPr>
              <w:ind w:right="34"/>
              <w:jc w:val="both"/>
            </w:pPr>
            <w:r>
              <w:t xml:space="preserve">Analizējot esošo sporta nozares finansēšanas modeli, Ministrija ir identificējusi vairākus trūkumus, tai skaitā, nav stabilitāte un prognozējamība ilgtermiņā, regulāri papildus finansējuma pieprasījumi un līdzekļu pārdales, privātā sektora atbalsta neprognozējamība, sporta nozares atbalstam paredzētā publiskā finansējuma sadrumstalotība starp dažādām nozaru ministrijām, sazarota budžeta administrēšanas sistēma nevalstisko sporta organizāciju līmenī, atsevišķu funkciju un uzdevumu pārklāšanās, u.tml. </w:t>
            </w:r>
            <w:r w:rsidRPr="0010206A">
              <w:t xml:space="preserve">Valdības rīcības plāns Deklarācijas par Artura Krišjāņa Kariņa vadītā Ministru kabineta iecerēto darbību īstenošanai (apstiprināts ar Ministru kabineta 2019. gada 7. maija rīkojumu Nr. 210) paredz sporta nozares finansēšanas modeļa pilnveidi. </w:t>
            </w:r>
            <w:r>
              <w:t xml:space="preserve">Lai nodrošinātu </w:t>
            </w:r>
            <w:r w:rsidRPr="0010206A">
              <w:t>Valdības rīcības plānā iekļauto pasākumu sporta nozares attīstības veicināšanai izpildi, kā arī sagatavotu priekšlikumus sporta nozarei stratēģiski svarīgu lēmumu pieņemšanai</w:t>
            </w:r>
            <w:r>
              <w:t xml:space="preserve">, Ministrijā ir izveidota Sporta nozares attīstības darba grupa, kuras ietvaros tiek gatavoti arī priekšlikumi sporta nozares finansēšanas modeļa pilnveidei. </w:t>
            </w:r>
          </w:p>
        </w:tc>
      </w:tr>
    </w:tbl>
    <w:p w14:paraId="6AAF346C" w14:textId="77777777" w:rsidR="007F671D" w:rsidRPr="003350F2"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309D38C5" w14:textId="77777777" w:rsidTr="00D228F9">
        <w:tc>
          <w:tcPr>
            <w:tcW w:w="10060" w:type="dxa"/>
            <w:tcBorders>
              <w:bottom w:val="single" w:sz="4" w:space="0" w:color="auto"/>
            </w:tcBorders>
            <w:vAlign w:val="center"/>
          </w:tcPr>
          <w:p w14:paraId="5E7B05E0" w14:textId="77777777" w:rsidR="00C3572A" w:rsidRPr="003350F2" w:rsidRDefault="00C3572A" w:rsidP="00AF3BA2">
            <w:pPr>
              <w:pStyle w:val="naisnod"/>
              <w:spacing w:before="0" w:after="0"/>
            </w:pPr>
            <w:r w:rsidRPr="003350F2">
              <w:t>IV. Tiesību akta projekta ietekme uz spēkā esošo tiesību normu sistēmu</w:t>
            </w:r>
          </w:p>
        </w:tc>
      </w:tr>
      <w:tr w:rsidR="00C3572A" w:rsidRPr="003350F2" w14:paraId="461F6816"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1A97A19B" w14:textId="77777777" w:rsidR="00C3572A" w:rsidRPr="003350F2" w:rsidRDefault="00C3572A" w:rsidP="00AF3BA2">
            <w:pPr>
              <w:ind w:right="127"/>
              <w:jc w:val="center"/>
            </w:pPr>
            <w:r w:rsidRPr="003350F2">
              <w:t>Projekts šo jomu neskar</w:t>
            </w:r>
          </w:p>
        </w:tc>
      </w:tr>
    </w:tbl>
    <w:p w14:paraId="3DE8F759" w14:textId="77777777"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3927123A" w14:textId="77777777" w:rsidTr="00AF3BA2">
        <w:tc>
          <w:tcPr>
            <w:tcW w:w="10060" w:type="dxa"/>
            <w:vAlign w:val="center"/>
          </w:tcPr>
          <w:p w14:paraId="2D65E5A1" w14:textId="77777777"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14:paraId="4A1A0474" w14:textId="77777777" w:rsidTr="00AF3BA2">
        <w:trPr>
          <w:trHeight w:val="273"/>
        </w:trPr>
        <w:tc>
          <w:tcPr>
            <w:tcW w:w="10060" w:type="dxa"/>
          </w:tcPr>
          <w:p w14:paraId="2AF31283" w14:textId="77777777" w:rsidR="00C3572A" w:rsidRPr="003350F2" w:rsidRDefault="00C3572A" w:rsidP="00AF3BA2">
            <w:pPr>
              <w:ind w:right="127"/>
              <w:jc w:val="center"/>
            </w:pPr>
            <w:r w:rsidRPr="003350F2">
              <w:t>Projekts šo jomu neskar</w:t>
            </w:r>
          </w:p>
        </w:tc>
      </w:tr>
    </w:tbl>
    <w:p w14:paraId="6329C050" w14:textId="77777777"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13B7341E" w14:textId="77777777" w:rsidTr="00555D35">
        <w:tc>
          <w:tcPr>
            <w:tcW w:w="10060" w:type="dxa"/>
            <w:tcBorders>
              <w:bottom w:val="single" w:sz="4" w:space="0" w:color="auto"/>
            </w:tcBorders>
            <w:vAlign w:val="center"/>
          </w:tcPr>
          <w:p w14:paraId="53C3A5A9" w14:textId="77777777" w:rsidR="00C3572A" w:rsidRPr="003350F2" w:rsidRDefault="00C3572A" w:rsidP="00AF3BA2">
            <w:pPr>
              <w:pStyle w:val="naisnod"/>
              <w:spacing w:before="0" w:after="0"/>
            </w:pPr>
            <w:r w:rsidRPr="003350F2">
              <w:t>VI. Sabiedrības līdzdalība un komunikācijas aktivitātes</w:t>
            </w:r>
          </w:p>
        </w:tc>
      </w:tr>
      <w:tr w:rsidR="00C3572A" w:rsidRPr="003350F2" w14:paraId="05025E10" w14:textId="77777777" w:rsidTr="00555D35">
        <w:trPr>
          <w:trHeight w:val="273"/>
        </w:trPr>
        <w:tc>
          <w:tcPr>
            <w:tcW w:w="10060" w:type="dxa"/>
            <w:tcBorders>
              <w:top w:val="single" w:sz="4" w:space="0" w:color="auto"/>
              <w:left w:val="single" w:sz="4" w:space="0" w:color="auto"/>
              <w:bottom w:val="single" w:sz="4" w:space="0" w:color="auto"/>
              <w:right w:val="single" w:sz="4" w:space="0" w:color="auto"/>
            </w:tcBorders>
          </w:tcPr>
          <w:p w14:paraId="76570FB4" w14:textId="77777777" w:rsidR="0099068A" w:rsidRPr="003350F2" w:rsidRDefault="00C3572A" w:rsidP="0099068A">
            <w:pPr>
              <w:ind w:right="127"/>
              <w:jc w:val="center"/>
            </w:pPr>
            <w:r w:rsidRPr="003350F2">
              <w:t>Projekts šo jomu neskar</w:t>
            </w:r>
          </w:p>
        </w:tc>
      </w:tr>
    </w:tbl>
    <w:p w14:paraId="46DF2E0E" w14:textId="77777777" w:rsidR="00554CAC" w:rsidRPr="003350F2"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63C9BD1F" w14:textId="77777777" w:rsidTr="00AF3BA2">
        <w:tc>
          <w:tcPr>
            <w:tcW w:w="10060" w:type="dxa"/>
            <w:vAlign w:val="center"/>
          </w:tcPr>
          <w:p w14:paraId="7AF6A94C" w14:textId="77777777" w:rsidR="00C3572A" w:rsidRPr="003350F2" w:rsidRDefault="00C3572A" w:rsidP="00AF3BA2">
            <w:pPr>
              <w:pStyle w:val="naisnod"/>
              <w:spacing w:before="0" w:after="0"/>
            </w:pPr>
            <w:r w:rsidRPr="003350F2">
              <w:t>VII. Tiesību akta projekta izpildes nodrošināšana un tās ietekme uz institūcijām</w:t>
            </w:r>
          </w:p>
        </w:tc>
      </w:tr>
      <w:tr w:rsidR="00802B1E" w:rsidRPr="003350F2" w14:paraId="58CF211D" w14:textId="77777777" w:rsidTr="00AF3BA2">
        <w:tc>
          <w:tcPr>
            <w:tcW w:w="10060" w:type="dxa"/>
            <w:vAlign w:val="center"/>
          </w:tcPr>
          <w:p w14:paraId="4D69397C" w14:textId="77777777" w:rsidR="00802B1E" w:rsidRPr="003350F2" w:rsidRDefault="00802B1E" w:rsidP="00AF3BA2">
            <w:pPr>
              <w:pStyle w:val="naisnod"/>
              <w:spacing w:before="0" w:after="0"/>
              <w:rPr>
                <w:b w:val="0"/>
              </w:rPr>
            </w:pPr>
            <w:r w:rsidRPr="003350F2">
              <w:rPr>
                <w:b w:val="0"/>
              </w:rPr>
              <w:t>Projekts šo jomu neskar</w:t>
            </w:r>
          </w:p>
        </w:tc>
      </w:tr>
    </w:tbl>
    <w:p w14:paraId="1D3631ED" w14:textId="77777777" w:rsidR="00932A30" w:rsidRPr="003350F2" w:rsidRDefault="00932A30" w:rsidP="00C7220E">
      <w:pPr>
        <w:pStyle w:val="Pamatteksts2"/>
        <w:spacing w:after="0" w:line="240" w:lineRule="auto"/>
        <w:ind w:firstLine="720"/>
        <w:jc w:val="both"/>
      </w:pPr>
    </w:p>
    <w:p w14:paraId="43260326" w14:textId="77777777" w:rsidR="00932A30" w:rsidRPr="003350F2" w:rsidRDefault="00932A30"/>
    <w:p w14:paraId="2453AF89" w14:textId="77777777" w:rsidR="00617D7A" w:rsidRPr="003350F2" w:rsidRDefault="00481F9B" w:rsidP="00C7220E">
      <w:pPr>
        <w:pStyle w:val="Pamatteksts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1F5853">
        <w:t xml:space="preserve">Ilga </w:t>
      </w:r>
      <w:r w:rsidR="00896B42" w:rsidRPr="003350F2">
        <w:t>Šuplinska</w:t>
      </w:r>
    </w:p>
    <w:p w14:paraId="3981CF5F" w14:textId="77777777" w:rsidR="00712CCE" w:rsidRPr="003350F2" w:rsidRDefault="00712CCE" w:rsidP="00E71639">
      <w:pPr>
        <w:rPr>
          <w:sz w:val="22"/>
          <w:szCs w:val="22"/>
        </w:rPr>
      </w:pPr>
    </w:p>
    <w:p w14:paraId="43FD369E" w14:textId="77777777" w:rsidR="005E259D" w:rsidRDefault="005E259D" w:rsidP="00896B42">
      <w:pPr>
        <w:ind w:left="720"/>
        <w:rPr>
          <w:sz w:val="22"/>
          <w:szCs w:val="22"/>
        </w:rPr>
      </w:pPr>
    </w:p>
    <w:p w14:paraId="642533B2" w14:textId="77777777" w:rsidR="00FC59E5" w:rsidRDefault="00FC59E5" w:rsidP="00896B42">
      <w:pPr>
        <w:ind w:left="720"/>
        <w:rPr>
          <w:sz w:val="22"/>
          <w:szCs w:val="22"/>
        </w:rPr>
      </w:pPr>
    </w:p>
    <w:p w14:paraId="023D2DE0" w14:textId="77777777" w:rsidR="00FC59E5" w:rsidRDefault="00FC59E5" w:rsidP="00896B42">
      <w:pPr>
        <w:ind w:left="720"/>
        <w:rPr>
          <w:sz w:val="22"/>
          <w:szCs w:val="22"/>
        </w:rPr>
      </w:pPr>
    </w:p>
    <w:p w14:paraId="0015A7AC" w14:textId="77777777" w:rsidR="00FC59E5" w:rsidRDefault="00FC59E5" w:rsidP="00896B42">
      <w:pPr>
        <w:ind w:left="720"/>
        <w:rPr>
          <w:sz w:val="22"/>
          <w:szCs w:val="22"/>
        </w:rPr>
      </w:pPr>
    </w:p>
    <w:p w14:paraId="59CE14ED" w14:textId="77777777" w:rsidR="00FC59E5" w:rsidRDefault="00FC59E5" w:rsidP="00896B42">
      <w:pPr>
        <w:ind w:left="720"/>
        <w:rPr>
          <w:sz w:val="22"/>
          <w:szCs w:val="22"/>
        </w:rPr>
      </w:pPr>
    </w:p>
    <w:p w14:paraId="5205B5B6" w14:textId="77777777" w:rsidR="00FC59E5" w:rsidRDefault="00FC59E5" w:rsidP="00896B42">
      <w:pPr>
        <w:ind w:left="720"/>
        <w:rPr>
          <w:sz w:val="22"/>
          <w:szCs w:val="22"/>
        </w:rPr>
      </w:pPr>
    </w:p>
    <w:p w14:paraId="4018EC6C" w14:textId="77777777" w:rsidR="00FC59E5" w:rsidRDefault="00FC59E5" w:rsidP="00896B42">
      <w:pPr>
        <w:ind w:left="720"/>
        <w:rPr>
          <w:sz w:val="22"/>
          <w:szCs w:val="22"/>
        </w:rPr>
      </w:pPr>
    </w:p>
    <w:p w14:paraId="1732B4E4" w14:textId="77777777" w:rsidR="00FF014F" w:rsidRPr="003350F2" w:rsidRDefault="00FF014F" w:rsidP="00896B42">
      <w:pPr>
        <w:ind w:left="720"/>
        <w:rPr>
          <w:sz w:val="22"/>
          <w:szCs w:val="22"/>
        </w:rPr>
      </w:pPr>
    </w:p>
    <w:p w14:paraId="0F525783" w14:textId="77777777" w:rsidR="005E259D" w:rsidRPr="003350F2" w:rsidRDefault="005E259D" w:rsidP="00896B42">
      <w:pPr>
        <w:ind w:left="720"/>
        <w:rPr>
          <w:sz w:val="22"/>
          <w:szCs w:val="22"/>
        </w:rPr>
      </w:pPr>
    </w:p>
    <w:p w14:paraId="64F3F768" w14:textId="77777777" w:rsidR="005E259D" w:rsidRPr="003350F2" w:rsidRDefault="005E259D" w:rsidP="005E259D">
      <w:pPr>
        <w:ind w:left="720"/>
        <w:rPr>
          <w:sz w:val="22"/>
          <w:szCs w:val="22"/>
        </w:rPr>
      </w:pPr>
    </w:p>
    <w:p w14:paraId="7E67412C" w14:textId="77777777" w:rsidR="00887F4F" w:rsidRPr="00887F4F" w:rsidRDefault="00887F4F" w:rsidP="00887F4F">
      <w:pPr>
        <w:ind w:left="720"/>
        <w:rPr>
          <w:sz w:val="22"/>
          <w:szCs w:val="22"/>
        </w:rPr>
      </w:pPr>
      <w:r w:rsidRPr="00887F4F">
        <w:rPr>
          <w:sz w:val="22"/>
          <w:szCs w:val="22"/>
        </w:rPr>
        <w:t>Severs 67047935</w:t>
      </w:r>
    </w:p>
    <w:p w14:paraId="5A3C2081" w14:textId="77777777" w:rsidR="00763103" w:rsidRPr="002D62A9" w:rsidRDefault="00887F4F" w:rsidP="00887F4F">
      <w:pPr>
        <w:ind w:left="720"/>
        <w:rPr>
          <w:sz w:val="22"/>
          <w:szCs w:val="22"/>
        </w:rPr>
      </w:pPr>
      <w:r w:rsidRPr="00887F4F">
        <w:rPr>
          <w:sz w:val="22"/>
          <w:szCs w:val="22"/>
        </w:rPr>
        <w:t>edgars.severs@izm.gov.lv</w:t>
      </w:r>
    </w:p>
    <w:sectPr w:rsidR="00763103" w:rsidRPr="002D62A9" w:rsidSect="005E717E">
      <w:headerReference w:type="default" r:id="rId8"/>
      <w:footerReference w:type="default" r:id="rId9"/>
      <w:footerReference w:type="first" r:id="rId10"/>
      <w:pgSz w:w="11906" w:h="16838" w:code="9"/>
      <w:pgMar w:top="1134" w:right="1134" w:bottom="992" w:left="153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4C2C" w14:textId="77777777" w:rsidR="00F009B7" w:rsidRDefault="00F009B7" w:rsidP="00123E9B">
      <w:r>
        <w:separator/>
      </w:r>
    </w:p>
  </w:endnote>
  <w:endnote w:type="continuationSeparator" w:id="0">
    <w:p w14:paraId="18B0F4BF" w14:textId="77777777" w:rsidR="00F009B7" w:rsidRDefault="00F009B7" w:rsidP="00123E9B">
      <w:r>
        <w:continuationSeparator/>
      </w:r>
    </w:p>
  </w:endnote>
  <w:endnote w:type="continuationNotice" w:id="1">
    <w:p w14:paraId="319AE97D" w14:textId="77777777" w:rsidR="00F009B7" w:rsidRDefault="00F00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6F77" w14:textId="77777777" w:rsidR="00524940" w:rsidRPr="00896B42" w:rsidRDefault="00524940" w:rsidP="00AA7D8D">
    <w:pPr>
      <w:pStyle w:val="Kjene"/>
      <w:jc w:val="both"/>
    </w:pPr>
    <w:r>
      <w:rPr>
        <w:sz w:val="22"/>
        <w:szCs w:val="22"/>
      </w:rPr>
      <w:t>IZMAnot_</w:t>
    </w:r>
    <w:r w:rsidR="00DA610D">
      <w:rPr>
        <w:sz w:val="22"/>
        <w:szCs w:val="22"/>
      </w:rPr>
      <w:t>0111</w:t>
    </w:r>
    <w:r>
      <w:rPr>
        <w:sz w:val="22"/>
        <w:szCs w:val="22"/>
      </w:rPr>
      <w:t>19</w:t>
    </w:r>
    <w:r w:rsidRPr="00896B42">
      <w:rPr>
        <w:sz w:val="22"/>
        <w:szCs w:val="22"/>
      </w:rPr>
      <w:t>_</w:t>
    </w:r>
    <w:r>
      <w:rPr>
        <w:sz w:val="22"/>
        <w:szCs w:val="22"/>
      </w:rPr>
      <w:t>LNG-</w:t>
    </w:r>
    <w:r w:rsidRPr="00896B42">
      <w:rPr>
        <w:sz w:val="22"/>
        <w:szCs w:val="22"/>
      </w:rPr>
      <w:t>sports</w:t>
    </w:r>
  </w:p>
  <w:p w14:paraId="113B0FC9" w14:textId="77777777" w:rsidR="00524940" w:rsidRPr="00AA7D8D" w:rsidRDefault="00524940" w:rsidP="00AA7D8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E8BE" w14:textId="77777777" w:rsidR="00524940" w:rsidRPr="00896B42" w:rsidRDefault="00524940" w:rsidP="00062E0E">
    <w:pPr>
      <w:pStyle w:val="Kjene"/>
      <w:jc w:val="both"/>
    </w:pPr>
    <w:r>
      <w:rPr>
        <w:sz w:val="22"/>
        <w:szCs w:val="22"/>
      </w:rPr>
      <w:t>IZMAnot_</w:t>
    </w:r>
    <w:r w:rsidR="00DA610D">
      <w:rPr>
        <w:sz w:val="22"/>
        <w:szCs w:val="22"/>
      </w:rPr>
      <w:t>0111</w:t>
    </w:r>
    <w:r>
      <w:rPr>
        <w:sz w:val="22"/>
        <w:szCs w:val="22"/>
      </w:rPr>
      <w:t>19</w:t>
    </w:r>
    <w:r w:rsidRPr="00896B42">
      <w:rPr>
        <w:sz w:val="22"/>
        <w:szCs w:val="22"/>
      </w:rPr>
      <w:t>_</w:t>
    </w:r>
    <w:r>
      <w:rPr>
        <w:sz w:val="22"/>
        <w:szCs w:val="22"/>
      </w:rPr>
      <w:t>LNG-</w:t>
    </w:r>
    <w:r w:rsidRPr="00896B42">
      <w:rPr>
        <w:sz w:val="22"/>
        <w:szCs w:val="22"/>
      </w:rPr>
      <w:t>sports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EE4C" w14:textId="77777777" w:rsidR="00F009B7" w:rsidRDefault="00F009B7" w:rsidP="00123E9B">
      <w:r>
        <w:separator/>
      </w:r>
    </w:p>
  </w:footnote>
  <w:footnote w:type="continuationSeparator" w:id="0">
    <w:p w14:paraId="7A263E00" w14:textId="77777777" w:rsidR="00F009B7" w:rsidRDefault="00F009B7" w:rsidP="00123E9B">
      <w:r>
        <w:continuationSeparator/>
      </w:r>
    </w:p>
  </w:footnote>
  <w:footnote w:type="continuationNotice" w:id="1">
    <w:p w14:paraId="41415A28" w14:textId="77777777" w:rsidR="00F009B7" w:rsidRDefault="00F009B7"/>
  </w:footnote>
  <w:footnote w:id="2">
    <w:p w14:paraId="6F199A48" w14:textId="77777777" w:rsidR="00B47E6F" w:rsidRDefault="00B47E6F" w:rsidP="003D0D5D">
      <w:pPr>
        <w:pStyle w:val="Vresteksts"/>
        <w:jc w:val="both"/>
      </w:pPr>
      <w:r>
        <w:rPr>
          <w:rStyle w:val="Vresatsauce"/>
        </w:rPr>
        <w:footnoteRef/>
      </w:r>
      <w:r>
        <w:t xml:space="preserve"> Kamaniņu sporta gadījumā papildus ņemts vērā fakts, ka augstākā līmeņa sporta sacensībās </w:t>
      </w:r>
      <w:r w:rsidR="003D0D5D">
        <w:t>(Olimpiskajās spēlēs) no</w:t>
      </w:r>
      <w:r>
        <w:t xml:space="preserve"> vienas valsts vienlaikus var startēt ne vairāk kā 10 sportisti (trīs vīrieši un trīs sievietes individuālajā distancē un divas divnieku ekipāžas vīriešiem).</w:t>
      </w:r>
    </w:p>
  </w:footnote>
  <w:footnote w:id="3">
    <w:p w14:paraId="4440BE15" w14:textId="77777777" w:rsidR="003D0D5D" w:rsidRDefault="003D0D5D" w:rsidP="003D0D5D">
      <w:pPr>
        <w:pStyle w:val="Vresteksts"/>
        <w:jc w:val="both"/>
      </w:pPr>
      <w:r>
        <w:rPr>
          <w:rStyle w:val="Vresatsauce"/>
        </w:rPr>
        <w:footnoteRef/>
      </w:r>
      <w:r>
        <w:t xml:space="preserve"> </w:t>
      </w:r>
      <w:r w:rsidRPr="003D0D5D">
        <w:t xml:space="preserve">LSA finanšu pieprasījumā </w:t>
      </w:r>
      <w:r>
        <w:t xml:space="preserve">norādītais papildus nepieciešamais finansējums </w:t>
      </w:r>
      <w:r>
        <w:t xml:space="preserve">šortreka izlasei līdz 2019. gada 31. decembrim ir 4`308 EUR. Ņemot vērā minēto, kā arī, lai piemērotu vienādu pieeju finansiālā apmēra noteikšanai, </w:t>
      </w:r>
      <w:r w:rsidR="00863DF0">
        <w:t xml:space="preserve">neskatoties uz sportistu skaitu izlasē un to esamību vai neesamību LOV sastāvā, </w:t>
      </w:r>
      <w:r>
        <w:t>atbalsta apmērs šortrekam nosakāms 4`000 EUR apmēr</w:t>
      </w:r>
      <w:r w:rsidR="00863DF0">
        <w:t>ā</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137B" w14:textId="77777777" w:rsidR="00524940" w:rsidRDefault="00524940">
    <w:pPr>
      <w:pStyle w:val="Galvene"/>
      <w:jc w:val="center"/>
    </w:pPr>
    <w:r>
      <w:fldChar w:fldCharType="begin"/>
    </w:r>
    <w:r>
      <w:instrText xml:space="preserve"> PAGE   \* MERGEFORMAT </w:instrText>
    </w:r>
    <w:r>
      <w:fldChar w:fldCharType="separate"/>
    </w:r>
    <w:r w:rsidR="00DA610D">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15:restartNumberingAfterBreak="0">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7"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8"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3"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5"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7"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8"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2"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35"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6"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6"/>
  </w:num>
  <w:num w:numId="2">
    <w:abstractNumId w:val="28"/>
  </w:num>
  <w:num w:numId="3">
    <w:abstractNumId w:val="27"/>
  </w:num>
  <w:num w:numId="4">
    <w:abstractNumId w:val="33"/>
  </w:num>
  <w:num w:numId="5">
    <w:abstractNumId w:val="24"/>
  </w:num>
  <w:num w:numId="6">
    <w:abstractNumId w:val="26"/>
  </w:num>
  <w:num w:numId="7">
    <w:abstractNumId w:val="6"/>
  </w:num>
  <w:num w:numId="8">
    <w:abstractNumId w:val="1"/>
  </w:num>
  <w:num w:numId="9">
    <w:abstractNumId w:val="15"/>
  </w:num>
  <w:num w:numId="10">
    <w:abstractNumId w:val="37"/>
  </w:num>
  <w:num w:numId="11">
    <w:abstractNumId w:val="31"/>
  </w:num>
  <w:num w:numId="12">
    <w:abstractNumId w:val="10"/>
  </w:num>
  <w:num w:numId="13">
    <w:abstractNumId w:val="2"/>
  </w:num>
  <w:num w:numId="14">
    <w:abstractNumId w:val="4"/>
  </w:num>
  <w:num w:numId="15">
    <w:abstractNumId w:val="30"/>
  </w:num>
  <w:num w:numId="16">
    <w:abstractNumId w:val="38"/>
  </w:num>
  <w:num w:numId="17">
    <w:abstractNumId w:val="18"/>
  </w:num>
  <w:num w:numId="18">
    <w:abstractNumId w:val="19"/>
  </w:num>
  <w:num w:numId="19">
    <w:abstractNumId w:val="17"/>
  </w:num>
  <w:num w:numId="20">
    <w:abstractNumId w:val="11"/>
  </w:num>
  <w:num w:numId="21">
    <w:abstractNumId w:val="22"/>
  </w:num>
  <w:num w:numId="22">
    <w:abstractNumId w:val="35"/>
  </w:num>
  <w:num w:numId="23">
    <w:abstractNumId w:val="21"/>
  </w:num>
  <w:num w:numId="24">
    <w:abstractNumId w:val="0"/>
  </w:num>
  <w:num w:numId="25">
    <w:abstractNumId w:val="23"/>
  </w:num>
  <w:num w:numId="26">
    <w:abstractNumId w:val="14"/>
  </w:num>
  <w:num w:numId="27">
    <w:abstractNumId w:val="29"/>
  </w:num>
  <w:num w:numId="28">
    <w:abstractNumId w:val="20"/>
  </w:num>
  <w:num w:numId="29">
    <w:abstractNumId w:val="9"/>
  </w:num>
  <w:num w:numId="30">
    <w:abstractNumId w:val="32"/>
  </w:num>
  <w:num w:numId="31">
    <w:abstractNumId w:val="8"/>
  </w:num>
  <w:num w:numId="32">
    <w:abstractNumId w:val="13"/>
  </w:num>
  <w:num w:numId="33">
    <w:abstractNumId w:val="25"/>
  </w:num>
  <w:num w:numId="34">
    <w:abstractNumId w:val="7"/>
  </w:num>
  <w:num w:numId="35">
    <w:abstractNumId w:val="36"/>
  </w:num>
  <w:num w:numId="36">
    <w:abstractNumId w:val="12"/>
  </w:num>
  <w:num w:numId="37">
    <w:abstractNumId w:val="5"/>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40A0"/>
    <w:rsid w:val="00044C6E"/>
    <w:rsid w:val="000454C3"/>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BFF"/>
    <w:rsid w:val="000912B2"/>
    <w:rsid w:val="0009162F"/>
    <w:rsid w:val="00091E26"/>
    <w:rsid w:val="000934D5"/>
    <w:rsid w:val="00093AA7"/>
    <w:rsid w:val="00094F13"/>
    <w:rsid w:val="00095EBB"/>
    <w:rsid w:val="000962FC"/>
    <w:rsid w:val="00097B46"/>
    <w:rsid w:val="000A0EFA"/>
    <w:rsid w:val="000A152C"/>
    <w:rsid w:val="000A208E"/>
    <w:rsid w:val="000A2237"/>
    <w:rsid w:val="000A2634"/>
    <w:rsid w:val="000A4403"/>
    <w:rsid w:val="000A671B"/>
    <w:rsid w:val="000A77DA"/>
    <w:rsid w:val="000B0834"/>
    <w:rsid w:val="000B0DC4"/>
    <w:rsid w:val="000B1367"/>
    <w:rsid w:val="000B1B4E"/>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2CA4"/>
    <w:rsid w:val="000D2F48"/>
    <w:rsid w:val="000D6486"/>
    <w:rsid w:val="000D6878"/>
    <w:rsid w:val="000D7431"/>
    <w:rsid w:val="000E058D"/>
    <w:rsid w:val="000E0815"/>
    <w:rsid w:val="000E2489"/>
    <w:rsid w:val="000E3B94"/>
    <w:rsid w:val="000E4A2A"/>
    <w:rsid w:val="000E4A57"/>
    <w:rsid w:val="000E5FDF"/>
    <w:rsid w:val="000E6027"/>
    <w:rsid w:val="000E6280"/>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6EBB"/>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5853"/>
    <w:rsid w:val="001F60F4"/>
    <w:rsid w:val="001F6B50"/>
    <w:rsid w:val="001F6BF9"/>
    <w:rsid w:val="001F71B0"/>
    <w:rsid w:val="001F7448"/>
    <w:rsid w:val="002005CA"/>
    <w:rsid w:val="0020083C"/>
    <w:rsid w:val="00200DA4"/>
    <w:rsid w:val="002031BF"/>
    <w:rsid w:val="002040BB"/>
    <w:rsid w:val="00205303"/>
    <w:rsid w:val="002054CB"/>
    <w:rsid w:val="002061C9"/>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1719"/>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1061"/>
    <w:rsid w:val="00241396"/>
    <w:rsid w:val="00241FA4"/>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A7453"/>
    <w:rsid w:val="002B03B2"/>
    <w:rsid w:val="002B084B"/>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1AA0"/>
    <w:rsid w:val="00352F47"/>
    <w:rsid w:val="00353516"/>
    <w:rsid w:val="00354138"/>
    <w:rsid w:val="0035445A"/>
    <w:rsid w:val="0035463A"/>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6CEF"/>
    <w:rsid w:val="003770AC"/>
    <w:rsid w:val="003773F8"/>
    <w:rsid w:val="00377A66"/>
    <w:rsid w:val="00377A82"/>
    <w:rsid w:val="00381A7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F90"/>
    <w:rsid w:val="003B6D50"/>
    <w:rsid w:val="003C0796"/>
    <w:rsid w:val="003C1075"/>
    <w:rsid w:val="003C2496"/>
    <w:rsid w:val="003C691E"/>
    <w:rsid w:val="003D01AF"/>
    <w:rsid w:val="003D089C"/>
    <w:rsid w:val="003D0D5D"/>
    <w:rsid w:val="003D4908"/>
    <w:rsid w:val="003D5EAB"/>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70A0"/>
    <w:rsid w:val="004309AD"/>
    <w:rsid w:val="004310C7"/>
    <w:rsid w:val="004331E9"/>
    <w:rsid w:val="004350A7"/>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1976"/>
    <w:rsid w:val="004A1DA4"/>
    <w:rsid w:val="004A1E2E"/>
    <w:rsid w:val="004A1F56"/>
    <w:rsid w:val="004A2074"/>
    <w:rsid w:val="004A2665"/>
    <w:rsid w:val="004A56AF"/>
    <w:rsid w:val="004A5933"/>
    <w:rsid w:val="004A69F3"/>
    <w:rsid w:val="004A6A93"/>
    <w:rsid w:val="004A6E2E"/>
    <w:rsid w:val="004B0198"/>
    <w:rsid w:val="004B0B66"/>
    <w:rsid w:val="004B0E92"/>
    <w:rsid w:val="004B2DAB"/>
    <w:rsid w:val="004B3D5A"/>
    <w:rsid w:val="004B3DE6"/>
    <w:rsid w:val="004B550F"/>
    <w:rsid w:val="004B617C"/>
    <w:rsid w:val="004B723A"/>
    <w:rsid w:val="004B7C13"/>
    <w:rsid w:val="004C0D01"/>
    <w:rsid w:val="004C164B"/>
    <w:rsid w:val="004C30F4"/>
    <w:rsid w:val="004C320D"/>
    <w:rsid w:val="004C3E95"/>
    <w:rsid w:val="004C4814"/>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2747"/>
    <w:rsid w:val="004E3493"/>
    <w:rsid w:val="004E3F2E"/>
    <w:rsid w:val="004E4B60"/>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26B4"/>
    <w:rsid w:val="00503618"/>
    <w:rsid w:val="00503DC4"/>
    <w:rsid w:val="0050407E"/>
    <w:rsid w:val="00504469"/>
    <w:rsid w:val="00504531"/>
    <w:rsid w:val="00504DBF"/>
    <w:rsid w:val="00505965"/>
    <w:rsid w:val="00506A1E"/>
    <w:rsid w:val="00506F79"/>
    <w:rsid w:val="0051334F"/>
    <w:rsid w:val="005134ED"/>
    <w:rsid w:val="00513D43"/>
    <w:rsid w:val="005141DF"/>
    <w:rsid w:val="00514A59"/>
    <w:rsid w:val="00514C25"/>
    <w:rsid w:val="005161C9"/>
    <w:rsid w:val="00516733"/>
    <w:rsid w:val="00516B42"/>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3EC"/>
    <w:rsid w:val="00535B15"/>
    <w:rsid w:val="005362A9"/>
    <w:rsid w:val="00537637"/>
    <w:rsid w:val="0053795C"/>
    <w:rsid w:val="00540235"/>
    <w:rsid w:val="0054035D"/>
    <w:rsid w:val="00540FA1"/>
    <w:rsid w:val="005418EE"/>
    <w:rsid w:val="0054241F"/>
    <w:rsid w:val="005428CB"/>
    <w:rsid w:val="005431CC"/>
    <w:rsid w:val="0054456F"/>
    <w:rsid w:val="005446EE"/>
    <w:rsid w:val="00545639"/>
    <w:rsid w:val="00545E59"/>
    <w:rsid w:val="005462AF"/>
    <w:rsid w:val="005469FE"/>
    <w:rsid w:val="005511F9"/>
    <w:rsid w:val="00551AA8"/>
    <w:rsid w:val="00552059"/>
    <w:rsid w:val="00553ADF"/>
    <w:rsid w:val="00554067"/>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A02DC"/>
    <w:rsid w:val="005A03DE"/>
    <w:rsid w:val="005A077D"/>
    <w:rsid w:val="005A0EAC"/>
    <w:rsid w:val="005A19BE"/>
    <w:rsid w:val="005A2C74"/>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717E"/>
    <w:rsid w:val="005F117A"/>
    <w:rsid w:val="005F11FC"/>
    <w:rsid w:val="005F22A7"/>
    <w:rsid w:val="005F2399"/>
    <w:rsid w:val="005F2BCF"/>
    <w:rsid w:val="005F3204"/>
    <w:rsid w:val="005F3AA1"/>
    <w:rsid w:val="005F58A9"/>
    <w:rsid w:val="005F5E32"/>
    <w:rsid w:val="005F6A42"/>
    <w:rsid w:val="005F7C0B"/>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8C5"/>
    <w:rsid w:val="0064591A"/>
    <w:rsid w:val="00646682"/>
    <w:rsid w:val="0065105A"/>
    <w:rsid w:val="006533A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65A"/>
    <w:rsid w:val="006727AE"/>
    <w:rsid w:val="00672827"/>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9"/>
    <w:rsid w:val="006B1546"/>
    <w:rsid w:val="006B1E8E"/>
    <w:rsid w:val="006B2095"/>
    <w:rsid w:val="006B232C"/>
    <w:rsid w:val="006B25C7"/>
    <w:rsid w:val="006B329C"/>
    <w:rsid w:val="006B561A"/>
    <w:rsid w:val="006B5639"/>
    <w:rsid w:val="006B5FDC"/>
    <w:rsid w:val="006B746E"/>
    <w:rsid w:val="006B76EE"/>
    <w:rsid w:val="006B7D9B"/>
    <w:rsid w:val="006C1D18"/>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28DA"/>
    <w:rsid w:val="006F31EF"/>
    <w:rsid w:val="006F3DD2"/>
    <w:rsid w:val="006F5778"/>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57F"/>
    <w:rsid w:val="00765AA8"/>
    <w:rsid w:val="00765D84"/>
    <w:rsid w:val="007667AC"/>
    <w:rsid w:val="00767815"/>
    <w:rsid w:val="00767F8A"/>
    <w:rsid w:val="00770316"/>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D7E"/>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6C0C"/>
    <w:rsid w:val="007D7688"/>
    <w:rsid w:val="007E150B"/>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21FB"/>
    <w:rsid w:val="0081654C"/>
    <w:rsid w:val="00816572"/>
    <w:rsid w:val="008166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51F9"/>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3DF0"/>
    <w:rsid w:val="0086484B"/>
    <w:rsid w:val="0086571F"/>
    <w:rsid w:val="00865F4A"/>
    <w:rsid w:val="0086671A"/>
    <w:rsid w:val="0086774C"/>
    <w:rsid w:val="00870F25"/>
    <w:rsid w:val="00870F9F"/>
    <w:rsid w:val="0087128F"/>
    <w:rsid w:val="00871B9E"/>
    <w:rsid w:val="00871CB3"/>
    <w:rsid w:val="008723BF"/>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6B42"/>
    <w:rsid w:val="00897A25"/>
    <w:rsid w:val="008A17E9"/>
    <w:rsid w:val="008A53C4"/>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37D2"/>
    <w:rsid w:val="009754A7"/>
    <w:rsid w:val="0097689E"/>
    <w:rsid w:val="00976CDB"/>
    <w:rsid w:val="00977F8A"/>
    <w:rsid w:val="00984862"/>
    <w:rsid w:val="009848C9"/>
    <w:rsid w:val="009849CF"/>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D7454"/>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5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A7A"/>
    <w:rsid w:val="00A562C5"/>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39B"/>
    <w:rsid w:val="00AD584F"/>
    <w:rsid w:val="00AD5BEC"/>
    <w:rsid w:val="00AE19E3"/>
    <w:rsid w:val="00AE3049"/>
    <w:rsid w:val="00AE38F5"/>
    <w:rsid w:val="00AE4B54"/>
    <w:rsid w:val="00AE4D61"/>
    <w:rsid w:val="00AE5461"/>
    <w:rsid w:val="00AE58E4"/>
    <w:rsid w:val="00AE59B0"/>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6326"/>
    <w:rsid w:val="00B106F1"/>
    <w:rsid w:val="00B109B1"/>
    <w:rsid w:val="00B10B0B"/>
    <w:rsid w:val="00B1173B"/>
    <w:rsid w:val="00B11917"/>
    <w:rsid w:val="00B12FF4"/>
    <w:rsid w:val="00B13442"/>
    <w:rsid w:val="00B1425E"/>
    <w:rsid w:val="00B164F7"/>
    <w:rsid w:val="00B167F8"/>
    <w:rsid w:val="00B17109"/>
    <w:rsid w:val="00B200B2"/>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35B7"/>
    <w:rsid w:val="00B857B3"/>
    <w:rsid w:val="00B862CD"/>
    <w:rsid w:val="00B86487"/>
    <w:rsid w:val="00B87192"/>
    <w:rsid w:val="00B92E1A"/>
    <w:rsid w:val="00B93654"/>
    <w:rsid w:val="00B93D23"/>
    <w:rsid w:val="00B94951"/>
    <w:rsid w:val="00B95D33"/>
    <w:rsid w:val="00B96178"/>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35E7"/>
    <w:rsid w:val="00C6402C"/>
    <w:rsid w:val="00C640E8"/>
    <w:rsid w:val="00C64EA4"/>
    <w:rsid w:val="00C65610"/>
    <w:rsid w:val="00C67AF4"/>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721C"/>
    <w:rsid w:val="00C979E0"/>
    <w:rsid w:val="00CA1169"/>
    <w:rsid w:val="00CA1EB4"/>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51F2"/>
    <w:rsid w:val="00D56352"/>
    <w:rsid w:val="00D5658C"/>
    <w:rsid w:val="00D60813"/>
    <w:rsid w:val="00D61865"/>
    <w:rsid w:val="00D61A7B"/>
    <w:rsid w:val="00D632B6"/>
    <w:rsid w:val="00D6367F"/>
    <w:rsid w:val="00D64A7A"/>
    <w:rsid w:val="00D657C7"/>
    <w:rsid w:val="00D65A62"/>
    <w:rsid w:val="00D66BC1"/>
    <w:rsid w:val="00D67174"/>
    <w:rsid w:val="00D67493"/>
    <w:rsid w:val="00D67A62"/>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BB3"/>
    <w:rsid w:val="00DB7AA7"/>
    <w:rsid w:val="00DC03E0"/>
    <w:rsid w:val="00DC11F3"/>
    <w:rsid w:val="00DC1C3E"/>
    <w:rsid w:val="00DC332F"/>
    <w:rsid w:val="00DC380A"/>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31E6"/>
    <w:rsid w:val="00DF4493"/>
    <w:rsid w:val="00DF44D5"/>
    <w:rsid w:val="00DF4AB3"/>
    <w:rsid w:val="00DF5003"/>
    <w:rsid w:val="00DF5249"/>
    <w:rsid w:val="00DF5932"/>
    <w:rsid w:val="00E000FD"/>
    <w:rsid w:val="00E01AAB"/>
    <w:rsid w:val="00E03E05"/>
    <w:rsid w:val="00E0777F"/>
    <w:rsid w:val="00E07D6D"/>
    <w:rsid w:val="00E1046D"/>
    <w:rsid w:val="00E10EA9"/>
    <w:rsid w:val="00E110EE"/>
    <w:rsid w:val="00E1136E"/>
    <w:rsid w:val="00E1182B"/>
    <w:rsid w:val="00E14286"/>
    <w:rsid w:val="00E14FC8"/>
    <w:rsid w:val="00E157F8"/>
    <w:rsid w:val="00E167E0"/>
    <w:rsid w:val="00E16A35"/>
    <w:rsid w:val="00E16D38"/>
    <w:rsid w:val="00E21455"/>
    <w:rsid w:val="00E216EA"/>
    <w:rsid w:val="00E21B4B"/>
    <w:rsid w:val="00E244D0"/>
    <w:rsid w:val="00E25793"/>
    <w:rsid w:val="00E27C4D"/>
    <w:rsid w:val="00E27F1F"/>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CF6"/>
    <w:rsid w:val="00ED1710"/>
    <w:rsid w:val="00ED29EB"/>
    <w:rsid w:val="00ED2DBD"/>
    <w:rsid w:val="00ED5A68"/>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0015"/>
    <w:rsid w:val="00EF13F3"/>
    <w:rsid w:val="00EF48F6"/>
    <w:rsid w:val="00EF5381"/>
    <w:rsid w:val="00EF58DD"/>
    <w:rsid w:val="00F009B7"/>
    <w:rsid w:val="00F00F9F"/>
    <w:rsid w:val="00F01660"/>
    <w:rsid w:val="00F039D2"/>
    <w:rsid w:val="00F03A50"/>
    <w:rsid w:val="00F04465"/>
    <w:rsid w:val="00F04C75"/>
    <w:rsid w:val="00F05C65"/>
    <w:rsid w:val="00F06077"/>
    <w:rsid w:val="00F06483"/>
    <w:rsid w:val="00F06528"/>
    <w:rsid w:val="00F0730F"/>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0B5"/>
    <w:rsid w:val="00F8736F"/>
    <w:rsid w:val="00F9139E"/>
    <w:rsid w:val="00F93DBB"/>
    <w:rsid w:val="00F951E3"/>
    <w:rsid w:val="00FA0692"/>
    <w:rsid w:val="00FA0D44"/>
    <w:rsid w:val="00FA198A"/>
    <w:rsid w:val="00FA1C8C"/>
    <w:rsid w:val="00FA2563"/>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59E5"/>
    <w:rsid w:val="00FC6855"/>
    <w:rsid w:val="00FC6911"/>
    <w:rsid w:val="00FC73D9"/>
    <w:rsid w:val="00FC7A5E"/>
    <w:rsid w:val="00FD1F87"/>
    <w:rsid w:val="00FD35D0"/>
    <w:rsid w:val="00FD5A80"/>
    <w:rsid w:val="00FD681B"/>
    <w:rsid w:val="00FD7331"/>
    <w:rsid w:val="00FD7FF0"/>
    <w:rsid w:val="00FE0E03"/>
    <w:rsid w:val="00FE3414"/>
    <w:rsid w:val="00FE3673"/>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4D1D7"/>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96FCD"/>
    <w:rPr>
      <w:rFonts w:ascii="Times New Roman" w:hAnsi="Times New Roman"/>
      <w:sz w:val="24"/>
      <w:szCs w:val="24"/>
    </w:rPr>
  </w:style>
  <w:style w:type="paragraph" w:styleId="Virsraksts5">
    <w:name w:val="heading 5"/>
    <w:basedOn w:val="Parasts"/>
    <w:next w:val="Parasts"/>
    <w:link w:val="Virsraksts5Rakstz"/>
    <w:qFormat/>
    <w:rsid w:val="00D96FCD"/>
    <w:pPr>
      <w:keepNext/>
      <w:ind w:firstLine="709"/>
      <w:outlineLvl w:val="4"/>
    </w:pPr>
    <w:rPr>
      <w:sz w:val="28"/>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locked/>
    <w:rsid w:val="00D96FCD"/>
    <w:rPr>
      <w:rFonts w:ascii="Times New Roman" w:hAnsi="Times New Roman" w:cs="Times New Roman"/>
      <w:sz w:val="20"/>
      <w:szCs w:val="20"/>
      <w:lang w:val="en-US"/>
    </w:rPr>
  </w:style>
  <w:style w:type="paragraph" w:customStyle="1" w:styleId="naisf">
    <w:name w:val="naisf"/>
    <w:basedOn w:val="Parasts"/>
    <w:rsid w:val="00D96FCD"/>
    <w:pPr>
      <w:spacing w:before="75" w:after="75"/>
      <w:ind w:firstLine="375"/>
      <w:jc w:val="both"/>
    </w:pPr>
  </w:style>
  <w:style w:type="paragraph" w:customStyle="1" w:styleId="naisnod">
    <w:name w:val="naisnod"/>
    <w:basedOn w:val="Parasts"/>
    <w:rsid w:val="00D96FCD"/>
    <w:pPr>
      <w:spacing w:before="150" w:after="150"/>
      <w:jc w:val="center"/>
    </w:pPr>
    <w:rPr>
      <w:b/>
      <w:bCs/>
    </w:rPr>
  </w:style>
  <w:style w:type="paragraph" w:customStyle="1" w:styleId="naiskr">
    <w:name w:val="naiskr"/>
    <w:basedOn w:val="Parasts"/>
    <w:rsid w:val="00D96FCD"/>
    <w:pPr>
      <w:spacing w:before="75" w:after="75"/>
    </w:pPr>
  </w:style>
  <w:style w:type="table" w:styleId="Reatabula">
    <w:name w:val="Table Grid"/>
    <w:basedOn w:val="Parastatabula"/>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96FCD"/>
    <w:rPr>
      <w:sz w:val="20"/>
      <w:szCs w:val="20"/>
    </w:rPr>
  </w:style>
  <w:style w:type="character" w:customStyle="1" w:styleId="VrestekstsRakstz">
    <w:name w:val="Vēres teksts Rakstz."/>
    <w:basedOn w:val="Noklusjumarindkopasfonts"/>
    <w:link w:val="Vresteksts"/>
    <w:semiHidden/>
    <w:locked/>
    <w:rsid w:val="00D96FCD"/>
    <w:rPr>
      <w:rFonts w:ascii="Times New Roman" w:hAnsi="Times New Roman" w:cs="Times New Roman"/>
      <w:sz w:val="20"/>
      <w:szCs w:val="20"/>
      <w:lang w:eastAsia="lv-LV"/>
    </w:rPr>
  </w:style>
  <w:style w:type="paragraph" w:styleId="Pamattekstaatkpe2">
    <w:name w:val="Body Text Indent 2"/>
    <w:basedOn w:val="Parasts"/>
    <w:link w:val="Pamattekstaatkpe2Rakstz"/>
    <w:semiHidden/>
    <w:rsid w:val="00D96FCD"/>
    <w:pPr>
      <w:spacing w:after="120" w:line="480" w:lineRule="auto"/>
      <w:ind w:left="283"/>
    </w:pPr>
  </w:style>
  <w:style w:type="character" w:customStyle="1" w:styleId="Pamattekstaatkpe2Rakstz">
    <w:name w:val="Pamatteksta atkāpe 2 Rakstz."/>
    <w:basedOn w:val="Noklusjumarindkopasfonts"/>
    <w:link w:val="Pamattekstaatkpe2"/>
    <w:semiHidden/>
    <w:locked/>
    <w:rsid w:val="00D96FCD"/>
    <w:rPr>
      <w:rFonts w:ascii="Times New Roman" w:hAnsi="Times New Roman" w:cs="Times New Roman"/>
      <w:sz w:val="24"/>
      <w:szCs w:val="24"/>
      <w:lang w:eastAsia="lv-LV"/>
    </w:rPr>
  </w:style>
  <w:style w:type="paragraph" w:styleId="Galvene">
    <w:name w:val="header"/>
    <w:basedOn w:val="Parasts"/>
    <w:link w:val="GalveneRakstz"/>
    <w:rsid w:val="00D96FCD"/>
    <w:pPr>
      <w:tabs>
        <w:tab w:val="center" w:pos="4153"/>
        <w:tab w:val="right" w:pos="8306"/>
      </w:tabs>
    </w:pPr>
  </w:style>
  <w:style w:type="character" w:customStyle="1" w:styleId="GalveneRakstz">
    <w:name w:val="Galvene Rakstz."/>
    <w:basedOn w:val="Noklusjumarindkopasfonts"/>
    <w:link w:val="Galvene"/>
    <w:locked/>
    <w:rsid w:val="00D96FCD"/>
    <w:rPr>
      <w:rFonts w:ascii="Times New Roman" w:hAnsi="Times New Roman" w:cs="Times New Roman"/>
      <w:sz w:val="24"/>
      <w:szCs w:val="24"/>
      <w:lang w:eastAsia="lv-LV"/>
    </w:rPr>
  </w:style>
  <w:style w:type="paragraph" w:styleId="Kjene">
    <w:name w:val="footer"/>
    <w:basedOn w:val="Parasts"/>
    <w:link w:val="KjeneRakstz"/>
    <w:rsid w:val="00D96FCD"/>
    <w:pPr>
      <w:tabs>
        <w:tab w:val="center" w:pos="4153"/>
        <w:tab w:val="right" w:pos="8306"/>
      </w:tabs>
    </w:pPr>
  </w:style>
  <w:style w:type="character" w:customStyle="1" w:styleId="KjeneRakstz">
    <w:name w:val="Kājene Rakstz."/>
    <w:basedOn w:val="Noklusjumarindkopasfonts"/>
    <w:link w:val="Kjene"/>
    <w:locked/>
    <w:rsid w:val="00D96FCD"/>
    <w:rPr>
      <w:rFonts w:ascii="Times New Roman" w:hAnsi="Times New Roman" w:cs="Times New Roman"/>
      <w:sz w:val="24"/>
      <w:szCs w:val="24"/>
      <w:lang w:eastAsia="lv-LV"/>
    </w:rPr>
  </w:style>
  <w:style w:type="paragraph" w:styleId="Pamatteksts">
    <w:name w:val="Body Text"/>
    <w:basedOn w:val="Parasts"/>
    <w:link w:val="PamattekstsRakstz"/>
    <w:semiHidden/>
    <w:rsid w:val="00D96FCD"/>
    <w:pPr>
      <w:spacing w:after="120"/>
    </w:pPr>
  </w:style>
  <w:style w:type="character" w:customStyle="1" w:styleId="PamattekstsRakstz">
    <w:name w:val="Pamatteksts Rakstz."/>
    <w:basedOn w:val="Noklusjumarindkopasfonts"/>
    <w:link w:val="Pamatteksts"/>
    <w:semiHidden/>
    <w:locked/>
    <w:rsid w:val="00D96FCD"/>
    <w:rPr>
      <w:rFonts w:ascii="Times New Roman" w:hAnsi="Times New Roman" w:cs="Times New Roman"/>
      <w:sz w:val="24"/>
      <w:szCs w:val="24"/>
      <w:lang w:eastAsia="lv-LV"/>
    </w:rPr>
  </w:style>
  <w:style w:type="character" w:styleId="Hipersaite">
    <w:name w:val="Hyperlink"/>
    <w:basedOn w:val="Noklusjumarindkopasfonts"/>
    <w:rsid w:val="00844660"/>
    <w:rPr>
      <w:color w:val="0000FF"/>
      <w:u w:val="single"/>
    </w:rPr>
  </w:style>
  <w:style w:type="character" w:styleId="Izclums">
    <w:name w:val="Emphasis"/>
    <w:basedOn w:val="Noklusjumarindkopasfonts"/>
    <w:uiPriority w:val="20"/>
    <w:qFormat/>
    <w:locked/>
    <w:rsid w:val="003A193D"/>
    <w:rPr>
      <w:b/>
      <w:bCs/>
      <w:i w:val="0"/>
      <w:iCs w:val="0"/>
    </w:rPr>
  </w:style>
  <w:style w:type="character" w:customStyle="1" w:styleId="std1">
    <w:name w:val="std1"/>
    <w:basedOn w:val="Noklusjumarindkopasfonts"/>
    <w:rsid w:val="003A193D"/>
    <w:rPr>
      <w:rFonts w:ascii="Arial" w:hAnsi="Arial" w:cs="Arial" w:hint="default"/>
      <w:sz w:val="24"/>
      <w:szCs w:val="24"/>
    </w:rPr>
  </w:style>
  <w:style w:type="paragraph" w:styleId="Pamatteksts2">
    <w:name w:val="Body Text 2"/>
    <w:basedOn w:val="Parasts"/>
    <w:link w:val="Pamatteksts2Rakstz"/>
    <w:rsid w:val="00587C74"/>
    <w:pPr>
      <w:spacing w:after="120" w:line="480" w:lineRule="auto"/>
    </w:pPr>
    <w:rPr>
      <w:rFonts w:eastAsia="Times New Roman"/>
      <w:lang w:eastAsia="en-US"/>
    </w:rPr>
  </w:style>
  <w:style w:type="character" w:customStyle="1" w:styleId="Pamatteksts2Rakstz">
    <w:name w:val="Pamatteksts 2 Rakstz."/>
    <w:basedOn w:val="Noklusjumarindkopasfonts"/>
    <w:link w:val="Pamatteksts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Noklusjumarindkopasfonts"/>
    <w:rsid w:val="001B1189"/>
  </w:style>
  <w:style w:type="paragraph" w:styleId="Sarakstarindkopa">
    <w:name w:val="List Paragraph"/>
    <w:basedOn w:val="Parasts"/>
    <w:uiPriority w:val="34"/>
    <w:qFormat/>
    <w:rsid w:val="00BE3D54"/>
    <w:pPr>
      <w:ind w:left="720"/>
      <w:contextualSpacing/>
    </w:pPr>
  </w:style>
  <w:style w:type="paragraph" w:styleId="Bezatstarpm">
    <w:name w:val="No Spacing"/>
    <w:uiPriority w:val="1"/>
    <w:qFormat/>
    <w:rsid w:val="00481F9B"/>
    <w:rPr>
      <w:rFonts w:ascii="Times New Roman" w:eastAsia="Times New Roman" w:hAnsi="Times New Roman"/>
      <w:sz w:val="24"/>
      <w:szCs w:val="24"/>
    </w:rPr>
  </w:style>
  <w:style w:type="paragraph" w:styleId="Balonteksts">
    <w:name w:val="Balloon Text"/>
    <w:basedOn w:val="Parasts"/>
    <w:link w:val="BalontekstsRakstz"/>
    <w:semiHidden/>
    <w:unhideWhenUsed/>
    <w:rsid w:val="001D2466"/>
    <w:rPr>
      <w:rFonts w:ascii="Segoe UI" w:hAnsi="Segoe UI" w:cs="Segoe UI"/>
      <w:sz w:val="18"/>
      <w:szCs w:val="18"/>
    </w:rPr>
  </w:style>
  <w:style w:type="character" w:customStyle="1" w:styleId="BalontekstsRakstz">
    <w:name w:val="Balonteksts Rakstz."/>
    <w:basedOn w:val="Noklusjumarindkopasfonts"/>
    <w:link w:val="Balonteksts"/>
    <w:semiHidden/>
    <w:rsid w:val="001D2466"/>
    <w:rPr>
      <w:rFonts w:ascii="Segoe UI" w:hAnsi="Segoe UI" w:cs="Segoe UI"/>
      <w:sz w:val="18"/>
      <w:szCs w:val="18"/>
    </w:rPr>
  </w:style>
  <w:style w:type="character" w:styleId="Vresatsauce">
    <w:name w:val="footnote reference"/>
    <w:basedOn w:val="Noklusjumarindkopasfonts"/>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8B40-34C4-B04F-A71E-53E06720FF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13173</Words>
  <Characters>7510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Edgars Severs</cp:lastModifiedBy>
  <cp:revision>50</cp:revision>
  <cp:lastPrinted>2018-03-22T14:28:00Z</cp:lastPrinted>
  <dcterms:created xsi:type="dcterms:W3CDTF">2019-09-26T09:42:00Z</dcterms:created>
  <dcterms:modified xsi:type="dcterms:W3CDTF">2019-11-03T10:16:00Z</dcterms:modified>
</cp:coreProperties>
</file>