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723C1" w14:textId="77777777" w:rsidR="005B6DA0" w:rsidRPr="00B83AD3" w:rsidRDefault="005B6DA0" w:rsidP="001302DC">
      <w:pPr>
        <w:jc w:val="center"/>
        <w:rPr>
          <w:rFonts w:cs="Times New Roman"/>
          <w:b/>
        </w:rPr>
      </w:pPr>
    </w:p>
    <w:p w14:paraId="5CC888E0" w14:textId="77777777" w:rsidR="00896903" w:rsidRDefault="00896903" w:rsidP="001302DC">
      <w:pPr>
        <w:jc w:val="center"/>
        <w:rPr>
          <w:rFonts w:cs="Times New Roman"/>
          <w:b/>
        </w:rPr>
      </w:pPr>
    </w:p>
    <w:p w14:paraId="0B6796C6" w14:textId="77777777" w:rsidR="00896903" w:rsidRDefault="00896903" w:rsidP="001302DC">
      <w:pPr>
        <w:jc w:val="center"/>
        <w:rPr>
          <w:rFonts w:cs="Times New Roman"/>
          <w:b/>
        </w:rPr>
      </w:pPr>
    </w:p>
    <w:p w14:paraId="665723C2" w14:textId="77777777" w:rsidR="001302DC" w:rsidRPr="00B83AD3" w:rsidRDefault="001302DC" w:rsidP="001302DC">
      <w:pPr>
        <w:jc w:val="center"/>
        <w:rPr>
          <w:rFonts w:cs="Times New Roman"/>
          <w:b/>
        </w:rPr>
      </w:pPr>
      <w:r w:rsidRPr="00B83AD3">
        <w:rPr>
          <w:rFonts w:cs="Times New Roman"/>
          <w:b/>
        </w:rPr>
        <w:t xml:space="preserve">Informatīvais ziņojums </w:t>
      </w:r>
      <w:r w:rsidR="00F15CD5" w:rsidRPr="00B83AD3">
        <w:rPr>
          <w:rFonts w:cs="Times New Roman"/>
          <w:b/>
        </w:rPr>
        <w:t xml:space="preserve">par Latvijas sadarbību ar Eiropas Kosmosa aģentūru no 2020.gada </w:t>
      </w:r>
    </w:p>
    <w:p w14:paraId="665723C3" w14:textId="77777777" w:rsidR="000F6A3F" w:rsidRPr="00B83AD3" w:rsidRDefault="000F6A3F" w:rsidP="00CB7DEA">
      <w:pPr>
        <w:tabs>
          <w:tab w:val="left" w:pos="1134"/>
        </w:tabs>
        <w:spacing w:after="120"/>
        <w:contextualSpacing/>
        <w:rPr>
          <w:rFonts w:eastAsia="Times New Roman" w:cs="Times New Roman"/>
          <w:bCs/>
          <w:color w:val="000000" w:themeColor="text1"/>
        </w:rPr>
      </w:pPr>
    </w:p>
    <w:p w14:paraId="3CFF72EA" w14:textId="77777777" w:rsidR="00896903" w:rsidRDefault="004A5A0B" w:rsidP="00097393">
      <w:pPr>
        <w:tabs>
          <w:tab w:val="left" w:pos="720"/>
        </w:tabs>
        <w:spacing w:after="120"/>
        <w:contextualSpacing/>
        <w:rPr>
          <w:rFonts w:eastAsia="Times New Roman" w:cs="Times New Roman"/>
          <w:bCs/>
          <w:color w:val="000000" w:themeColor="text1"/>
        </w:rPr>
      </w:pPr>
      <w:r w:rsidRPr="00B83AD3">
        <w:rPr>
          <w:rFonts w:eastAsia="Times New Roman" w:cs="Times New Roman"/>
          <w:bCs/>
          <w:color w:val="000000" w:themeColor="text1"/>
        </w:rPr>
        <w:tab/>
      </w:r>
    </w:p>
    <w:p w14:paraId="200FDAB6" w14:textId="77777777" w:rsidR="00896903" w:rsidRDefault="00896903" w:rsidP="00097393">
      <w:pPr>
        <w:tabs>
          <w:tab w:val="left" w:pos="720"/>
        </w:tabs>
        <w:spacing w:after="120"/>
        <w:contextualSpacing/>
        <w:rPr>
          <w:rFonts w:eastAsia="Times New Roman" w:cs="Times New Roman"/>
          <w:bCs/>
          <w:color w:val="000000" w:themeColor="text1"/>
        </w:rPr>
      </w:pPr>
      <w:r>
        <w:rPr>
          <w:rFonts w:eastAsia="Times New Roman" w:cs="Times New Roman"/>
          <w:bCs/>
          <w:color w:val="000000" w:themeColor="text1"/>
        </w:rPr>
        <w:tab/>
      </w:r>
    </w:p>
    <w:p w14:paraId="665723C4" w14:textId="6F704777" w:rsidR="00097393" w:rsidRPr="00B83AD3" w:rsidRDefault="00896903" w:rsidP="00097393">
      <w:pPr>
        <w:tabs>
          <w:tab w:val="left" w:pos="720"/>
        </w:tabs>
        <w:spacing w:after="120"/>
        <w:contextualSpacing/>
        <w:rPr>
          <w:rFonts w:eastAsia="Times New Roman" w:cs="Times New Roman"/>
          <w:bCs/>
          <w:color w:val="000000" w:themeColor="text1"/>
        </w:rPr>
      </w:pPr>
      <w:r>
        <w:rPr>
          <w:rFonts w:eastAsia="Times New Roman" w:cs="Times New Roman"/>
          <w:bCs/>
          <w:color w:val="000000" w:themeColor="text1"/>
        </w:rPr>
        <w:tab/>
      </w:r>
      <w:r w:rsidR="00097393" w:rsidRPr="00B83AD3">
        <w:rPr>
          <w:rFonts w:eastAsia="Times New Roman" w:cs="Times New Roman"/>
          <w:bCs/>
          <w:color w:val="000000" w:themeColor="text1"/>
        </w:rPr>
        <w:t>Izglītības un zinātnes ministrija (turpmāk</w:t>
      </w:r>
      <w:r w:rsidR="00883DA6" w:rsidRPr="00B83AD3">
        <w:rPr>
          <w:rFonts w:eastAsia="Times New Roman" w:cs="Times New Roman"/>
          <w:bCs/>
          <w:color w:val="000000" w:themeColor="text1"/>
        </w:rPr>
        <w:t xml:space="preserve"> </w:t>
      </w:r>
      <w:r w:rsidR="00097393" w:rsidRPr="00B83AD3">
        <w:rPr>
          <w:rFonts w:eastAsia="Times New Roman" w:cs="Times New Roman"/>
          <w:bCs/>
          <w:color w:val="000000" w:themeColor="text1"/>
        </w:rPr>
        <w:t>- IZM) ir izstrādājusi informatīvo ziņojumu par Latvijas sadarbību ar Eiropas Kosmosa aģentūru no 2020.gada (turpmāk – ziņojums), pamatojoties uz Valdības rīcības plāna Deklarācijas par Artura Krišjāņa Kariņa vadītā Ministru kabineta iecerēto darbību īstenošanai 57.1. punktu</w:t>
      </w:r>
      <w:r w:rsidR="00097393" w:rsidRPr="00B83AD3">
        <w:rPr>
          <w:rFonts w:eastAsia="Times New Roman" w:cs="Times New Roman"/>
          <w:bCs/>
          <w:color w:val="000000" w:themeColor="text1"/>
          <w:vertAlign w:val="superscript"/>
        </w:rPr>
        <w:footnoteReference w:id="1"/>
      </w:r>
      <w:r w:rsidR="00097393" w:rsidRPr="00B83AD3">
        <w:rPr>
          <w:rFonts w:eastAsia="Times New Roman" w:cs="Times New Roman"/>
          <w:bCs/>
          <w:color w:val="000000" w:themeColor="text1"/>
        </w:rPr>
        <w:t xml:space="preserve"> un Latvijas Republikas valdības un Eiropas Kosmosa aģentūras Eiropas sadarbības valsts līguma</w:t>
      </w:r>
      <w:r w:rsidR="00097393" w:rsidRPr="00B83AD3">
        <w:rPr>
          <w:rFonts w:eastAsia="Times New Roman" w:cs="Times New Roman"/>
          <w:bCs/>
          <w:color w:val="000000" w:themeColor="text1"/>
          <w:vertAlign w:val="superscript"/>
        </w:rPr>
        <w:footnoteReference w:id="2"/>
      </w:r>
      <w:r w:rsidR="00097393" w:rsidRPr="00B83AD3">
        <w:rPr>
          <w:rFonts w:eastAsia="Times New Roman" w:cs="Times New Roman"/>
          <w:bCs/>
          <w:color w:val="000000" w:themeColor="text1"/>
        </w:rPr>
        <w:t xml:space="preserve"> (turpmāk – ESV līgums)</w:t>
      </w:r>
      <w:r w:rsidR="00883DA6" w:rsidRPr="00B83AD3">
        <w:rPr>
          <w:rFonts w:eastAsia="Times New Roman" w:cs="Times New Roman"/>
          <w:bCs/>
          <w:color w:val="000000" w:themeColor="text1"/>
        </w:rPr>
        <w:t>,</w:t>
      </w:r>
      <w:r w:rsidR="00097393" w:rsidRPr="00B83AD3">
        <w:rPr>
          <w:rFonts w:eastAsia="Times New Roman" w:cs="Times New Roman"/>
          <w:bCs/>
          <w:color w:val="000000" w:themeColor="text1"/>
        </w:rPr>
        <w:t xml:space="preserve"> kas stājās spēkā 2015.gada 30.janvārī un ir noslēgts uz pieciem gadiem, </w:t>
      </w:r>
      <w:r w:rsidR="00883DA6" w:rsidRPr="00B83AD3">
        <w:rPr>
          <w:rFonts w:eastAsia="Times New Roman" w:cs="Times New Roman"/>
          <w:bCs/>
          <w:color w:val="000000" w:themeColor="text1"/>
        </w:rPr>
        <w:t xml:space="preserve">saskaņā ar ESV līguma </w:t>
      </w:r>
      <w:r w:rsidR="00097393" w:rsidRPr="00B83AD3">
        <w:rPr>
          <w:rFonts w:eastAsia="Times New Roman" w:cs="Times New Roman"/>
          <w:bCs/>
          <w:color w:val="000000" w:themeColor="text1"/>
        </w:rPr>
        <w:t xml:space="preserve">15.1. un 15.2.punktu. ESV līguma darbības termiņš izbeidzas 2020.gada 29.janvārī, un, lai turpinātu sadarbību ar Eiropas Kosmosa aģentūru (turpmāk – EKA), ir jānoslēdz jauns līgums un jāizvēlas nākamais sadarbības modelis Latvijas sadarbībai ar EKA no 2020.gada. </w:t>
      </w:r>
    </w:p>
    <w:p w14:paraId="665723C5" w14:textId="77777777" w:rsidR="00097393" w:rsidRPr="00B83AD3" w:rsidRDefault="00097393" w:rsidP="00097393">
      <w:pPr>
        <w:tabs>
          <w:tab w:val="left" w:pos="720"/>
        </w:tabs>
        <w:spacing w:after="120"/>
        <w:contextualSpacing/>
        <w:rPr>
          <w:rFonts w:eastAsia="Times New Roman" w:cs="Times New Roman"/>
          <w:bCs/>
          <w:color w:val="000000" w:themeColor="text1"/>
        </w:rPr>
      </w:pPr>
      <w:r w:rsidRPr="00B83AD3">
        <w:rPr>
          <w:rFonts w:eastAsia="Times New Roman" w:cs="Times New Roman"/>
          <w:bCs/>
          <w:color w:val="000000" w:themeColor="text1"/>
        </w:rPr>
        <w:tab/>
        <w:t xml:space="preserve">Informatīvajā ziņojumā veiktā Latvijas un EKA līdzšinējā sadarbības analīze, kā arī piedāvātais nākotnes sadarbības modelis balstās uz EKA gala novērtējuma ziņojumu un IZM pasūtīto neatkarīgo izvērtējumu par </w:t>
      </w:r>
      <w:proofErr w:type="spellStart"/>
      <w:r w:rsidRPr="00B83AD3">
        <w:rPr>
          <w:rFonts w:eastAsia="Times New Roman" w:cs="Times New Roman"/>
          <w:bCs/>
          <w:i/>
          <w:color w:val="000000" w:themeColor="text1"/>
        </w:rPr>
        <w:t>ex</w:t>
      </w:r>
      <w:proofErr w:type="spellEnd"/>
      <w:r w:rsidRPr="00B83AD3">
        <w:rPr>
          <w:rFonts w:eastAsia="Times New Roman" w:cs="Times New Roman"/>
          <w:bCs/>
          <w:i/>
          <w:color w:val="000000" w:themeColor="text1"/>
        </w:rPr>
        <w:t>-post</w:t>
      </w:r>
      <w:r w:rsidRPr="00B83AD3">
        <w:rPr>
          <w:rFonts w:eastAsia="Times New Roman" w:cs="Times New Roman"/>
          <w:bCs/>
          <w:color w:val="000000" w:themeColor="text1"/>
        </w:rPr>
        <w:t xml:space="preserve"> (rezultātu un ietekmes vērtējums) novērtējumu un </w:t>
      </w:r>
      <w:proofErr w:type="spellStart"/>
      <w:r w:rsidRPr="00B83AD3">
        <w:rPr>
          <w:rFonts w:eastAsia="Times New Roman" w:cs="Times New Roman"/>
          <w:bCs/>
          <w:i/>
          <w:color w:val="000000" w:themeColor="text1"/>
        </w:rPr>
        <w:t>ex-ante</w:t>
      </w:r>
      <w:proofErr w:type="spellEnd"/>
      <w:r w:rsidRPr="00B83AD3">
        <w:rPr>
          <w:rFonts w:eastAsia="Times New Roman" w:cs="Times New Roman"/>
          <w:bCs/>
          <w:color w:val="000000" w:themeColor="text1"/>
        </w:rPr>
        <w:t xml:space="preserve"> (sākuma) analīzi par Latvijas dalību EKA aktivitātēs.</w:t>
      </w:r>
      <w:r w:rsidRPr="00B83AD3">
        <w:rPr>
          <w:rFonts w:eastAsia="Times New Roman" w:cs="Times New Roman"/>
          <w:bCs/>
          <w:color w:val="000000" w:themeColor="text1"/>
          <w:vertAlign w:val="superscript"/>
        </w:rPr>
        <w:footnoteReference w:id="3"/>
      </w:r>
      <w:r w:rsidRPr="00B83AD3">
        <w:rPr>
          <w:rFonts w:eastAsia="Times New Roman" w:cs="Times New Roman"/>
          <w:bCs/>
          <w:color w:val="000000" w:themeColor="text1"/>
        </w:rPr>
        <w:t xml:space="preserve"> </w:t>
      </w:r>
    </w:p>
    <w:p w14:paraId="665723C6" w14:textId="77777777" w:rsidR="00750A35" w:rsidRPr="00B83AD3" w:rsidRDefault="00750A35" w:rsidP="00097393">
      <w:pPr>
        <w:tabs>
          <w:tab w:val="left" w:pos="720"/>
        </w:tabs>
        <w:spacing w:after="120"/>
        <w:contextualSpacing/>
        <w:rPr>
          <w:rFonts w:eastAsia="Times New Roman" w:cs="Times New Roman"/>
          <w:bCs/>
          <w:color w:val="000000" w:themeColor="text1"/>
        </w:rPr>
      </w:pPr>
    </w:p>
    <w:p w14:paraId="41728755" w14:textId="77777777" w:rsidR="00896903" w:rsidRDefault="00896903" w:rsidP="00750A35">
      <w:pPr>
        <w:tabs>
          <w:tab w:val="left" w:pos="720"/>
        </w:tabs>
        <w:spacing w:after="120"/>
        <w:contextualSpacing/>
        <w:jc w:val="center"/>
        <w:rPr>
          <w:rFonts w:eastAsia="Times New Roman" w:cs="Times New Roman"/>
          <w:b/>
          <w:bCs/>
          <w:color w:val="000000" w:themeColor="text1"/>
        </w:rPr>
      </w:pPr>
    </w:p>
    <w:p w14:paraId="665723C7" w14:textId="77777777" w:rsidR="00750A35" w:rsidRPr="00B83AD3" w:rsidRDefault="00750A35" w:rsidP="00750A35">
      <w:pPr>
        <w:tabs>
          <w:tab w:val="left" w:pos="720"/>
        </w:tabs>
        <w:spacing w:after="120"/>
        <w:contextualSpacing/>
        <w:jc w:val="center"/>
        <w:rPr>
          <w:rFonts w:eastAsia="Times New Roman" w:cs="Times New Roman"/>
          <w:b/>
          <w:bCs/>
          <w:color w:val="000000" w:themeColor="text1"/>
        </w:rPr>
      </w:pPr>
      <w:r w:rsidRPr="00B83AD3">
        <w:rPr>
          <w:rFonts w:eastAsia="Times New Roman" w:cs="Times New Roman"/>
          <w:b/>
          <w:bCs/>
          <w:color w:val="000000" w:themeColor="text1"/>
        </w:rPr>
        <w:t>Ievads</w:t>
      </w:r>
    </w:p>
    <w:p w14:paraId="665723C8" w14:textId="77777777" w:rsidR="00D12FE0" w:rsidRPr="00B83AD3" w:rsidRDefault="00D12FE0" w:rsidP="00750A35">
      <w:pPr>
        <w:tabs>
          <w:tab w:val="left" w:pos="720"/>
        </w:tabs>
        <w:spacing w:after="120"/>
        <w:contextualSpacing/>
        <w:jc w:val="center"/>
        <w:rPr>
          <w:rFonts w:eastAsia="Times New Roman" w:cs="Times New Roman"/>
          <w:b/>
          <w:bCs/>
          <w:color w:val="000000" w:themeColor="text1"/>
        </w:rPr>
      </w:pPr>
    </w:p>
    <w:p w14:paraId="665723C9" w14:textId="77777777" w:rsidR="00F06B0A" w:rsidRPr="00B83AD3" w:rsidRDefault="00D12FE0" w:rsidP="00D12FE0">
      <w:pPr>
        <w:tabs>
          <w:tab w:val="left" w:pos="720"/>
        </w:tabs>
        <w:spacing w:after="120"/>
        <w:contextualSpacing/>
        <w:rPr>
          <w:rFonts w:eastAsia="Times New Roman" w:cs="Times New Roman"/>
          <w:bCs/>
          <w:color w:val="000000" w:themeColor="text1"/>
        </w:rPr>
      </w:pPr>
      <w:r w:rsidRPr="00B83AD3">
        <w:rPr>
          <w:rFonts w:eastAsia="Times New Roman" w:cs="Times New Roman"/>
          <w:bCs/>
          <w:color w:val="000000" w:themeColor="text1"/>
        </w:rPr>
        <w:tab/>
        <w:t>EKA ir starptautiska organizācija, kuras sastāvā ir 22 dalībvalstis. Tās misija ir veidot</w:t>
      </w:r>
      <w:r w:rsidR="00F06B0A" w:rsidRPr="00B83AD3">
        <w:rPr>
          <w:rFonts w:eastAsia="Times New Roman" w:cs="Times New Roman"/>
          <w:bCs/>
          <w:color w:val="000000" w:themeColor="text1"/>
        </w:rPr>
        <w:t xml:space="preserve"> un attīstīt</w:t>
      </w:r>
      <w:r w:rsidRPr="00B83AD3">
        <w:rPr>
          <w:rFonts w:eastAsia="Times New Roman" w:cs="Times New Roman"/>
          <w:bCs/>
          <w:color w:val="000000" w:themeColor="text1"/>
        </w:rPr>
        <w:t xml:space="preserve"> Eiropas kosmosa kapacitātes un nodrošināt, ka investīcijas kosmosa </w:t>
      </w:r>
      <w:r w:rsidR="006D421C" w:rsidRPr="00B83AD3">
        <w:rPr>
          <w:rFonts w:eastAsia="Times New Roman" w:cs="Times New Roman"/>
          <w:bCs/>
          <w:color w:val="000000" w:themeColor="text1"/>
        </w:rPr>
        <w:t xml:space="preserve">nozarē </w:t>
      </w:r>
      <w:r w:rsidR="00F06B0A" w:rsidRPr="00B83AD3">
        <w:rPr>
          <w:rFonts w:eastAsia="Times New Roman" w:cs="Times New Roman"/>
          <w:bCs/>
          <w:color w:val="000000" w:themeColor="text1"/>
        </w:rPr>
        <w:t>nes ieguvumus Eiropas iedzīvotājiem</w:t>
      </w:r>
      <w:r w:rsidR="006D421C" w:rsidRPr="00B83AD3">
        <w:rPr>
          <w:rFonts w:eastAsia="Times New Roman" w:cs="Times New Roman"/>
          <w:bCs/>
          <w:color w:val="000000" w:themeColor="text1"/>
        </w:rPr>
        <w:t xml:space="preserve"> un industrijai</w:t>
      </w:r>
      <w:r w:rsidR="00F06B0A" w:rsidRPr="00B83AD3">
        <w:rPr>
          <w:rFonts w:eastAsia="Times New Roman" w:cs="Times New Roman"/>
          <w:bCs/>
          <w:color w:val="000000" w:themeColor="text1"/>
        </w:rPr>
        <w:t>. EKA ir izveidojusi septiņus tehnolo</w:t>
      </w:r>
      <w:r w:rsidR="001F4331" w:rsidRPr="00B83AD3">
        <w:rPr>
          <w:rFonts w:eastAsia="Times New Roman" w:cs="Times New Roman"/>
          <w:bCs/>
          <w:color w:val="000000" w:themeColor="text1"/>
        </w:rPr>
        <w:t>ģiju centrus</w:t>
      </w:r>
      <w:r w:rsidR="00F06B0A" w:rsidRPr="00B83AD3">
        <w:rPr>
          <w:rFonts w:eastAsia="Times New Roman" w:cs="Times New Roman"/>
          <w:bCs/>
          <w:color w:val="000000" w:themeColor="text1"/>
        </w:rPr>
        <w:t xml:space="preserve"> dažādās EKA dalībvalstīs ar galveno mītni Francijā, Parīzē. EKA nodarbina ap 2200 zinātniekus, inženierus, informāciju tehnoloģiju specialistus un administratīvo personālu no visām EKA dalībvalstīm. EKA budžets 2019.gadā ir 5,72 miljardi euro. </w:t>
      </w:r>
    </w:p>
    <w:p w14:paraId="665723CA" w14:textId="77777777" w:rsidR="00750A35" w:rsidRPr="00B83AD3" w:rsidRDefault="00F06B0A" w:rsidP="00D12FE0">
      <w:pPr>
        <w:tabs>
          <w:tab w:val="left" w:pos="720"/>
        </w:tabs>
        <w:spacing w:after="120"/>
        <w:contextualSpacing/>
        <w:rPr>
          <w:rFonts w:eastAsia="Times New Roman" w:cs="Times New Roman"/>
          <w:bCs/>
          <w:color w:val="000000" w:themeColor="text1"/>
        </w:rPr>
      </w:pPr>
      <w:r w:rsidRPr="00B83AD3">
        <w:rPr>
          <w:rFonts w:eastAsia="Times New Roman" w:cs="Times New Roman"/>
          <w:bCs/>
          <w:color w:val="000000" w:themeColor="text1"/>
        </w:rPr>
        <w:tab/>
        <w:t xml:space="preserve">Kopš EKA izveides </w:t>
      </w:r>
      <w:r w:rsidR="00E325A5" w:rsidRPr="00B83AD3">
        <w:rPr>
          <w:rFonts w:eastAsia="Times New Roman" w:cs="Times New Roman"/>
          <w:bCs/>
          <w:color w:val="000000" w:themeColor="text1"/>
        </w:rPr>
        <w:t>1975.gadā EKA ir nepārtraukti paplašinājusies. EKA konvencijas (EKA pamatdokuments) XIV pants</w:t>
      </w:r>
      <w:r w:rsidR="00E325A5" w:rsidRPr="00B83AD3">
        <w:rPr>
          <w:rStyle w:val="FootnoteReference"/>
          <w:rFonts w:eastAsia="Times New Roman" w:cs="Times New Roman"/>
          <w:bCs/>
          <w:color w:val="000000" w:themeColor="text1"/>
        </w:rPr>
        <w:footnoteReference w:id="4"/>
      </w:r>
      <w:r w:rsidR="00E325A5" w:rsidRPr="00B83AD3">
        <w:rPr>
          <w:rFonts w:eastAsia="Times New Roman" w:cs="Times New Roman"/>
          <w:bCs/>
          <w:color w:val="000000" w:themeColor="text1"/>
        </w:rPr>
        <w:t xml:space="preserve"> definē dažādus sadarbības mehānismus</w:t>
      </w:r>
      <w:r w:rsidR="006D421C" w:rsidRPr="00B83AD3">
        <w:rPr>
          <w:rFonts w:eastAsia="Times New Roman" w:cs="Times New Roman"/>
          <w:bCs/>
          <w:color w:val="000000" w:themeColor="text1"/>
        </w:rPr>
        <w:t xml:space="preserve"> ar valstīm</w:t>
      </w:r>
      <w:r w:rsidR="006D421C" w:rsidRPr="00B83AD3">
        <w:rPr>
          <w:rFonts w:cs="Times New Roman"/>
        </w:rPr>
        <w:t xml:space="preserve">, </w:t>
      </w:r>
      <w:r w:rsidR="006D421C" w:rsidRPr="00B83AD3">
        <w:rPr>
          <w:rFonts w:eastAsia="Times New Roman" w:cs="Times New Roman"/>
          <w:bCs/>
          <w:color w:val="000000" w:themeColor="text1"/>
        </w:rPr>
        <w:t>kas nav EKA dalībvalstis</w:t>
      </w:r>
      <w:r w:rsidR="00E325A5" w:rsidRPr="00B83AD3">
        <w:rPr>
          <w:rFonts w:eastAsia="Times New Roman" w:cs="Times New Roman"/>
          <w:bCs/>
          <w:color w:val="000000" w:themeColor="text1"/>
        </w:rPr>
        <w:t xml:space="preserve"> specifisku līgumu veidā, savukārt EKA konvencijas XIV panta trešā daļa nosaka </w:t>
      </w:r>
      <w:r w:rsidR="006E3FD6" w:rsidRPr="00B83AD3">
        <w:rPr>
          <w:rFonts w:eastAsia="Times New Roman" w:cs="Times New Roman"/>
          <w:bCs/>
          <w:color w:val="000000" w:themeColor="text1"/>
        </w:rPr>
        <w:t>iespēju pievienoties EKA asociētās dalībvalsts status</w:t>
      </w:r>
      <w:r w:rsidR="006D421C" w:rsidRPr="00B83AD3">
        <w:rPr>
          <w:rFonts w:eastAsia="Times New Roman" w:cs="Times New Roman"/>
          <w:bCs/>
          <w:color w:val="000000" w:themeColor="text1"/>
        </w:rPr>
        <w:t xml:space="preserve">ā. </w:t>
      </w:r>
      <w:r w:rsidR="006E3FD6" w:rsidRPr="00B83AD3">
        <w:rPr>
          <w:rFonts w:eastAsia="Times New Roman" w:cs="Times New Roman"/>
          <w:bCs/>
          <w:color w:val="000000" w:themeColor="text1"/>
        </w:rPr>
        <w:t xml:space="preserve">2001.gadā EKA Padome saskaņā ar EKA konvencijas XIV pirmo daļu </w:t>
      </w:r>
      <w:r w:rsidR="006D421C" w:rsidRPr="00B83AD3">
        <w:rPr>
          <w:rFonts w:eastAsia="Times New Roman" w:cs="Times New Roman"/>
          <w:bCs/>
          <w:color w:val="000000" w:themeColor="text1"/>
        </w:rPr>
        <w:t>apstiprināja</w:t>
      </w:r>
      <w:r w:rsidR="006E3FD6" w:rsidRPr="00B83AD3">
        <w:rPr>
          <w:rFonts w:eastAsia="Times New Roman" w:cs="Times New Roman"/>
          <w:bCs/>
          <w:color w:val="000000" w:themeColor="text1"/>
        </w:rPr>
        <w:t xml:space="preserve"> sadarbības mehānismus ar Eiropas valstīm, kas nav EKA dalībvalstis</w:t>
      </w:r>
      <w:r w:rsidR="006D421C" w:rsidRPr="00B83AD3">
        <w:rPr>
          <w:rFonts w:eastAsia="Times New Roman" w:cs="Times New Roman"/>
          <w:bCs/>
          <w:color w:val="000000" w:themeColor="text1"/>
        </w:rPr>
        <w:t xml:space="preserve"> vai asociētās valstis</w:t>
      </w:r>
      <w:r w:rsidR="006E3FD6" w:rsidRPr="00B83AD3">
        <w:rPr>
          <w:rFonts w:eastAsia="Times New Roman" w:cs="Times New Roman"/>
          <w:bCs/>
          <w:color w:val="000000" w:themeColor="text1"/>
        </w:rPr>
        <w:t xml:space="preserve">. Pirmais sadarbības mehānisms ir sadarbības līgums, kas </w:t>
      </w:r>
      <w:r w:rsidR="006D421C" w:rsidRPr="00B83AD3">
        <w:rPr>
          <w:rFonts w:eastAsia="Times New Roman" w:cs="Times New Roman"/>
          <w:bCs/>
          <w:color w:val="000000" w:themeColor="text1"/>
        </w:rPr>
        <w:t xml:space="preserve">paredz piedalīšanos EKA pārvaldības struktūrās novērotāja veidā, bet </w:t>
      </w:r>
      <w:r w:rsidR="000F6A3F" w:rsidRPr="00B83AD3">
        <w:rPr>
          <w:rFonts w:eastAsia="Times New Roman" w:cs="Times New Roman"/>
          <w:bCs/>
          <w:color w:val="000000" w:themeColor="text1"/>
        </w:rPr>
        <w:t xml:space="preserve">neparedz finanšu </w:t>
      </w:r>
      <w:r w:rsidR="000F6A3F" w:rsidRPr="00B83AD3">
        <w:rPr>
          <w:rFonts w:eastAsia="Times New Roman" w:cs="Times New Roman"/>
          <w:bCs/>
          <w:color w:val="000000" w:themeColor="text1"/>
        </w:rPr>
        <w:lastRenderedPageBreak/>
        <w:t>investīcijas no valsts puses.</w:t>
      </w:r>
      <w:r w:rsidR="000F6A3F" w:rsidRPr="00B83AD3">
        <w:rPr>
          <w:rStyle w:val="FootnoteReference"/>
          <w:rFonts w:eastAsia="Times New Roman" w:cs="Times New Roman"/>
          <w:bCs/>
          <w:color w:val="000000" w:themeColor="text1"/>
        </w:rPr>
        <w:footnoteReference w:id="5"/>
      </w:r>
      <w:r w:rsidR="000F6A3F" w:rsidRPr="00B83AD3">
        <w:rPr>
          <w:rFonts w:eastAsia="Times New Roman" w:cs="Times New Roman"/>
          <w:bCs/>
          <w:color w:val="000000" w:themeColor="text1"/>
        </w:rPr>
        <w:t xml:space="preserve"> Savukārt otrs sadarbības mehānisms ir E</w:t>
      </w:r>
      <w:r w:rsidR="006D421C" w:rsidRPr="00B83AD3">
        <w:rPr>
          <w:rFonts w:eastAsia="Times New Roman" w:cs="Times New Roman"/>
          <w:bCs/>
          <w:color w:val="000000" w:themeColor="text1"/>
        </w:rPr>
        <w:t>iropas S</w:t>
      </w:r>
      <w:r w:rsidR="000F6A3F" w:rsidRPr="00B83AD3">
        <w:rPr>
          <w:rFonts w:eastAsia="Times New Roman" w:cs="Times New Roman"/>
          <w:bCs/>
          <w:color w:val="000000" w:themeColor="text1"/>
        </w:rPr>
        <w:t>adarbības valsts līgums</w:t>
      </w:r>
      <w:r w:rsidR="000F6A3F" w:rsidRPr="00B83AD3">
        <w:rPr>
          <w:rStyle w:val="FootnoteReference"/>
          <w:rFonts w:eastAsia="Times New Roman" w:cs="Times New Roman"/>
          <w:bCs/>
          <w:color w:val="000000" w:themeColor="text1"/>
        </w:rPr>
        <w:footnoteReference w:id="6"/>
      </w:r>
      <w:r w:rsidR="000F6A3F" w:rsidRPr="00B83AD3">
        <w:rPr>
          <w:rFonts w:eastAsia="Times New Roman" w:cs="Times New Roman"/>
          <w:bCs/>
          <w:color w:val="000000" w:themeColor="text1"/>
        </w:rPr>
        <w:t>, kas paredz ikgadējas investīcijas 1 milj. euro apmērā 2001.gada ekonomiskajos apstāk</w:t>
      </w:r>
      <w:r w:rsidR="008B3B74" w:rsidRPr="00B83AD3">
        <w:rPr>
          <w:rFonts w:eastAsia="Times New Roman" w:cs="Times New Roman"/>
          <w:bCs/>
          <w:color w:val="000000" w:themeColor="text1"/>
        </w:rPr>
        <w:t xml:space="preserve">ļos un tiek īstenoti </w:t>
      </w:r>
      <w:r w:rsidR="000F6A3F" w:rsidRPr="00B83AD3">
        <w:rPr>
          <w:rFonts w:eastAsia="Times New Roman" w:cs="Times New Roman"/>
          <w:bCs/>
          <w:color w:val="000000" w:themeColor="text1"/>
        </w:rPr>
        <w:t>nacionāl</w:t>
      </w:r>
      <w:r w:rsidR="008B3B74" w:rsidRPr="00B83AD3">
        <w:rPr>
          <w:rFonts w:eastAsia="Times New Roman" w:cs="Times New Roman"/>
          <w:bCs/>
          <w:color w:val="000000" w:themeColor="text1"/>
        </w:rPr>
        <w:t>ā</w:t>
      </w:r>
      <w:r w:rsidR="000F6A3F" w:rsidRPr="00B83AD3">
        <w:rPr>
          <w:rFonts w:eastAsia="Times New Roman" w:cs="Times New Roman"/>
          <w:bCs/>
          <w:color w:val="000000" w:themeColor="text1"/>
        </w:rPr>
        <w:t xml:space="preserve"> kosmosa sektora attīstības pas</w:t>
      </w:r>
      <w:r w:rsidR="008B3B74" w:rsidRPr="00B83AD3">
        <w:rPr>
          <w:rFonts w:eastAsia="Times New Roman" w:cs="Times New Roman"/>
          <w:bCs/>
          <w:color w:val="000000" w:themeColor="text1"/>
        </w:rPr>
        <w:t>ākumi</w:t>
      </w:r>
      <w:r w:rsidR="000F6A3F" w:rsidRPr="00B83AD3">
        <w:rPr>
          <w:rFonts w:eastAsia="Times New Roman" w:cs="Times New Roman"/>
          <w:bCs/>
          <w:color w:val="000000" w:themeColor="text1"/>
        </w:rPr>
        <w:t>.</w:t>
      </w:r>
    </w:p>
    <w:p w14:paraId="665723CB" w14:textId="77777777" w:rsidR="004A5A0B" w:rsidRPr="00B83AD3" w:rsidRDefault="004A5A0B" w:rsidP="00097393">
      <w:pPr>
        <w:tabs>
          <w:tab w:val="left" w:pos="720"/>
        </w:tabs>
        <w:spacing w:after="120"/>
        <w:contextualSpacing/>
        <w:rPr>
          <w:rFonts w:eastAsia="Times New Roman" w:cs="Times New Roman"/>
          <w:bCs/>
          <w:color w:val="000000" w:themeColor="text1"/>
        </w:rPr>
      </w:pPr>
    </w:p>
    <w:p w14:paraId="27C7F49A" w14:textId="77777777" w:rsidR="00896903" w:rsidRDefault="00896903" w:rsidP="005A235B">
      <w:pPr>
        <w:tabs>
          <w:tab w:val="left" w:pos="720"/>
        </w:tabs>
        <w:spacing w:after="120"/>
        <w:contextualSpacing/>
        <w:jc w:val="center"/>
        <w:rPr>
          <w:rFonts w:eastAsia="Times New Roman" w:cs="Times New Roman"/>
          <w:b/>
          <w:bCs/>
          <w:color w:val="000000" w:themeColor="text1"/>
        </w:rPr>
      </w:pPr>
    </w:p>
    <w:p w14:paraId="665723CC" w14:textId="77777777" w:rsidR="004A5A0B" w:rsidRPr="00B83AD3" w:rsidRDefault="004A5A0B" w:rsidP="005A235B">
      <w:pPr>
        <w:tabs>
          <w:tab w:val="left" w:pos="720"/>
        </w:tabs>
        <w:spacing w:after="120"/>
        <w:contextualSpacing/>
        <w:jc w:val="center"/>
        <w:rPr>
          <w:rFonts w:eastAsia="Times New Roman" w:cs="Times New Roman"/>
          <w:b/>
          <w:bCs/>
          <w:color w:val="000000" w:themeColor="text1"/>
        </w:rPr>
      </w:pPr>
      <w:r w:rsidRPr="00B83AD3">
        <w:rPr>
          <w:rFonts w:eastAsia="Times New Roman" w:cs="Times New Roman"/>
          <w:b/>
          <w:bCs/>
          <w:color w:val="000000" w:themeColor="text1"/>
        </w:rPr>
        <w:t xml:space="preserve">Latvijas un EKA sadarbības novērtējums periodā no 2015.gada </w:t>
      </w:r>
      <w:r w:rsidR="006A651D" w:rsidRPr="00B83AD3">
        <w:rPr>
          <w:rFonts w:eastAsia="Times New Roman" w:cs="Times New Roman"/>
          <w:b/>
          <w:bCs/>
          <w:color w:val="000000" w:themeColor="text1"/>
        </w:rPr>
        <w:t>līdz 2019.gadam</w:t>
      </w:r>
    </w:p>
    <w:p w14:paraId="665723CD" w14:textId="77777777" w:rsidR="00F15CD5" w:rsidRPr="00B83AD3" w:rsidRDefault="00F15CD5" w:rsidP="004A5A0B">
      <w:pPr>
        <w:tabs>
          <w:tab w:val="left" w:pos="720"/>
        </w:tabs>
        <w:spacing w:after="120"/>
        <w:contextualSpacing/>
        <w:rPr>
          <w:rFonts w:eastAsia="Times New Roman" w:cs="Times New Roman"/>
          <w:bCs/>
          <w:color w:val="000000" w:themeColor="text1"/>
        </w:rPr>
      </w:pPr>
    </w:p>
    <w:p w14:paraId="665723CE" w14:textId="4FE0375F" w:rsidR="009A74BB" w:rsidRPr="00B83AD3" w:rsidRDefault="0010640B" w:rsidP="004A5A0B">
      <w:pPr>
        <w:tabs>
          <w:tab w:val="left" w:pos="720"/>
        </w:tabs>
        <w:spacing w:after="120"/>
        <w:contextualSpacing/>
        <w:rPr>
          <w:rFonts w:eastAsia="Times New Roman" w:cs="Times New Roman"/>
          <w:bCs/>
          <w:color w:val="000000" w:themeColor="text1"/>
        </w:rPr>
      </w:pPr>
      <w:r w:rsidRPr="00B83AD3">
        <w:rPr>
          <w:rFonts w:eastAsia="Times New Roman" w:cs="Times New Roman"/>
          <w:bCs/>
          <w:color w:val="000000" w:themeColor="text1"/>
        </w:rPr>
        <w:tab/>
      </w:r>
      <w:r w:rsidR="00097393" w:rsidRPr="00B83AD3">
        <w:rPr>
          <w:rFonts w:eastAsia="Times New Roman" w:cs="Times New Roman"/>
          <w:bCs/>
          <w:color w:val="000000" w:themeColor="text1"/>
        </w:rPr>
        <w:t xml:space="preserve">Noslēdzot ESV līgumu, IZM veica ikgadējas iemaksas EKA budžetā atbilstoši  Ministru kabineta 2015.gada 23.februāra rīkojumam Nr. 87 </w:t>
      </w:r>
      <w:r w:rsidR="00F907C0" w:rsidRPr="00B83AD3">
        <w:rPr>
          <w:rFonts w:cs="Times New Roman"/>
          <w:sz w:val="28"/>
          <w:szCs w:val="28"/>
        </w:rPr>
        <w:t>"</w:t>
      </w:r>
      <w:r w:rsidR="00097393" w:rsidRPr="00B83AD3">
        <w:rPr>
          <w:rFonts w:eastAsia="Times New Roman" w:cs="Times New Roman"/>
          <w:bCs/>
          <w:color w:val="000000" w:themeColor="text1"/>
        </w:rPr>
        <w:t>Par atļauju Izglītības un zinātnes ministrijai uzņemties ilgtermiņa saistības, lai nodrošinātu Latvijas dalību Eiropas Kosmosa aģentūrā Eiropas sadarbības valsts statusā</w:t>
      </w:r>
      <w:r w:rsidR="00F907C0" w:rsidRPr="00B83AD3">
        <w:rPr>
          <w:rFonts w:cs="Times New Roman"/>
          <w:sz w:val="28"/>
          <w:szCs w:val="28"/>
        </w:rPr>
        <w:t>"</w:t>
      </w:r>
      <w:r w:rsidR="00097393" w:rsidRPr="00B83AD3">
        <w:rPr>
          <w:rFonts w:eastAsia="Times New Roman" w:cs="Times New Roman"/>
          <w:bCs/>
          <w:color w:val="000000" w:themeColor="text1"/>
          <w:vertAlign w:val="superscript"/>
        </w:rPr>
        <w:footnoteReference w:id="7"/>
      </w:r>
      <w:r w:rsidR="00097393" w:rsidRPr="00B83AD3">
        <w:rPr>
          <w:rFonts w:eastAsia="Times New Roman" w:cs="Times New Roman"/>
          <w:bCs/>
          <w:color w:val="000000" w:themeColor="text1"/>
        </w:rPr>
        <w:t>, kas</w:t>
      </w:r>
      <w:r w:rsidR="008761FF" w:rsidRPr="00B83AD3">
        <w:rPr>
          <w:rFonts w:eastAsia="Times New Roman" w:cs="Times New Roman"/>
          <w:bCs/>
          <w:color w:val="000000" w:themeColor="text1"/>
        </w:rPr>
        <w:t xml:space="preserve"> piecu gadu laikā sastādīja 7,18</w:t>
      </w:r>
      <w:r w:rsidR="00097393" w:rsidRPr="00B83AD3">
        <w:rPr>
          <w:rFonts w:eastAsia="Times New Roman" w:cs="Times New Roman"/>
          <w:bCs/>
          <w:color w:val="000000" w:themeColor="text1"/>
        </w:rPr>
        <w:t xml:space="preserve"> milj. </w:t>
      </w:r>
      <w:r w:rsidR="00097393" w:rsidRPr="00B83AD3">
        <w:rPr>
          <w:rFonts w:eastAsia="Times New Roman" w:cs="Times New Roman"/>
          <w:bCs/>
          <w:i/>
          <w:color w:val="000000" w:themeColor="text1"/>
        </w:rPr>
        <w:t>euro</w:t>
      </w:r>
      <w:r w:rsidR="00097393" w:rsidRPr="00B83AD3">
        <w:rPr>
          <w:rFonts w:eastAsia="Times New Roman" w:cs="Times New Roman"/>
          <w:bCs/>
          <w:color w:val="000000" w:themeColor="text1"/>
        </w:rPr>
        <w:t xml:space="preserve">. </w:t>
      </w:r>
      <w:r w:rsidR="008761FF" w:rsidRPr="00B83AD3">
        <w:rPr>
          <w:rFonts w:eastAsia="Times New Roman" w:cs="Times New Roman"/>
          <w:bCs/>
          <w:color w:val="000000" w:themeColor="text1"/>
        </w:rPr>
        <w:t>Līdz šim 72</w:t>
      </w:r>
      <w:r w:rsidR="00097393" w:rsidRPr="00B83AD3">
        <w:rPr>
          <w:rFonts w:eastAsia="Times New Roman" w:cs="Times New Roman"/>
          <w:bCs/>
          <w:color w:val="000000" w:themeColor="text1"/>
        </w:rPr>
        <w:t>% no minētā ieguldītā valsts budžeta finansējuma ir atgriezti ar EKA organizēto atklāto projektu konkursā uzvarējušo projektu finansējumu Latvijas institūcijām un organizācijām – zinātniskajām institūcijām, augstskolām u</w:t>
      </w:r>
      <w:r w:rsidR="008761FF" w:rsidRPr="00B83AD3">
        <w:rPr>
          <w:rFonts w:eastAsia="Times New Roman" w:cs="Times New Roman"/>
          <w:bCs/>
          <w:color w:val="000000" w:themeColor="text1"/>
        </w:rPr>
        <w:t xml:space="preserve">n komercsabiedrībām. Vēl 800 tūkst. euro ir rezervēti pēdējam ESV līguma projektu konkursam, savukārt atlikušo finansējumu </w:t>
      </w:r>
      <w:r w:rsidR="00097393" w:rsidRPr="00B83AD3">
        <w:rPr>
          <w:rFonts w:eastAsia="Times New Roman" w:cs="Times New Roman"/>
          <w:bCs/>
          <w:color w:val="000000" w:themeColor="text1"/>
        </w:rPr>
        <w:t>EKA izmanto administratīvajām izmaksām, kas saistītas ar projektu konkursu izstrādi, organizēšanu, projektu izvērtēšanu un ieviešanu. Uz 2019.gada septembri 39 (trīsdesmit deviņi) kosmosa tehnoloģiju attīstības projekti dažādās īstenošanas fāzēs tiek realizēti, kurus</w:t>
      </w:r>
      <w:r w:rsidR="008F44BD" w:rsidRPr="00B83AD3">
        <w:rPr>
          <w:rFonts w:eastAsia="Times New Roman" w:cs="Times New Roman"/>
          <w:bCs/>
          <w:color w:val="000000" w:themeColor="text1"/>
        </w:rPr>
        <w:t xml:space="preserve"> </w:t>
      </w:r>
      <w:r w:rsidR="00097393" w:rsidRPr="00B83AD3">
        <w:rPr>
          <w:rFonts w:eastAsia="Times New Roman" w:cs="Times New Roman"/>
          <w:bCs/>
          <w:color w:val="000000" w:themeColor="text1"/>
        </w:rPr>
        <w:t>īsteno piecpadsmit dažādas Latvijas institūcijas un organizācijas. Tabulā Nr. 1 apkopoti galven</w:t>
      </w:r>
      <w:r w:rsidR="001F4331" w:rsidRPr="00B83AD3">
        <w:rPr>
          <w:rFonts w:eastAsia="Times New Roman" w:cs="Times New Roman"/>
          <w:bCs/>
          <w:color w:val="000000" w:themeColor="text1"/>
        </w:rPr>
        <w:t>ie sadarbības rādītāji ar EKA.</w:t>
      </w:r>
    </w:p>
    <w:p w14:paraId="665723CF" w14:textId="77777777" w:rsidR="009A74BB" w:rsidRPr="00B83AD3" w:rsidRDefault="009A74BB" w:rsidP="009A74BB">
      <w:pPr>
        <w:tabs>
          <w:tab w:val="left" w:pos="720"/>
        </w:tabs>
        <w:spacing w:after="120"/>
        <w:contextualSpacing/>
        <w:jc w:val="right"/>
        <w:rPr>
          <w:rFonts w:eastAsia="Times New Roman" w:cs="Times New Roman"/>
          <w:bCs/>
          <w:color w:val="000000" w:themeColor="text1"/>
          <w:sz w:val="24"/>
        </w:rPr>
      </w:pPr>
      <w:r w:rsidRPr="00B83AD3">
        <w:rPr>
          <w:rFonts w:eastAsia="Times New Roman" w:cs="Times New Roman"/>
          <w:bCs/>
          <w:color w:val="000000" w:themeColor="text1"/>
          <w:sz w:val="24"/>
        </w:rPr>
        <w:t xml:space="preserve">Tabula </w:t>
      </w:r>
      <w:r w:rsidR="0074711C" w:rsidRPr="00B83AD3">
        <w:rPr>
          <w:rFonts w:eastAsia="Times New Roman" w:cs="Times New Roman"/>
          <w:bCs/>
          <w:color w:val="000000" w:themeColor="text1"/>
          <w:sz w:val="24"/>
        </w:rPr>
        <w:t xml:space="preserve">Nr. </w:t>
      </w:r>
      <w:r w:rsidRPr="00B83AD3">
        <w:rPr>
          <w:rFonts w:eastAsia="Times New Roman" w:cs="Times New Roman"/>
          <w:bCs/>
          <w:color w:val="000000" w:themeColor="text1"/>
          <w:sz w:val="24"/>
        </w:rPr>
        <w:t xml:space="preserve">1 </w:t>
      </w:r>
    </w:p>
    <w:p w14:paraId="665723D0" w14:textId="77777777" w:rsidR="00F15CD5" w:rsidRPr="00B83AD3" w:rsidRDefault="009A74BB" w:rsidP="006A651D">
      <w:pPr>
        <w:tabs>
          <w:tab w:val="left" w:pos="720"/>
        </w:tabs>
        <w:spacing w:after="120"/>
        <w:contextualSpacing/>
        <w:jc w:val="center"/>
        <w:rPr>
          <w:rFonts w:eastAsia="Times New Roman" w:cs="Times New Roman"/>
          <w:b/>
          <w:bCs/>
          <w:color w:val="000000" w:themeColor="text1"/>
          <w:sz w:val="24"/>
        </w:rPr>
      </w:pPr>
      <w:r w:rsidRPr="00B83AD3">
        <w:rPr>
          <w:rFonts w:eastAsia="Times New Roman" w:cs="Times New Roman"/>
          <w:b/>
          <w:bCs/>
          <w:color w:val="000000" w:themeColor="text1"/>
          <w:sz w:val="24"/>
        </w:rPr>
        <w:t>Galvenie sadarbības rādītāji ar EKA</w:t>
      </w:r>
    </w:p>
    <w:p w14:paraId="665723D1" w14:textId="77777777" w:rsidR="005A235B" w:rsidRPr="00B83AD3" w:rsidRDefault="005A235B" w:rsidP="006A651D">
      <w:pPr>
        <w:tabs>
          <w:tab w:val="left" w:pos="720"/>
        </w:tabs>
        <w:spacing w:after="120"/>
        <w:contextualSpacing/>
        <w:jc w:val="center"/>
        <w:rPr>
          <w:rFonts w:eastAsia="Times New Roman" w:cs="Times New Roman"/>
          <w:b/>
          <w:bCs/>
          <w:color w:val="000000" w:themeColor="text1"/>
          <w:sz w:val="22"/>
        </w:rPr>
      </w:pPr>
    </w:p>
    <w:tbl>
      <w:tblPr>
        <w:tblStyle w:val="GridTable4-Accent4"/>
        <w:tblW w:w="0" w:type="auto"/>
        <w:tblLook w:val="04A0" w:firstRow="1" w:lastRow="0" w:firstColumn="1" w:lastColumn="0" w:noHBand="0" w:noVBand="1"/>
      </w:tblPr>
      <w:tblGrid>
        <w:gridCol w:w="6799"/>
        <w:gridCol w:w="2262"/>
      </w:tblGrid>
      <w:tr w:rsidR="009A74BB" w:rsidRPr="00B83AD3" w14:paraId="665723D4" w14:textId="77777777" w:rsidTr="00DC45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665723D2" w14:textId="77777777" w:rsidR="009A74BB" w:rsidRPr="00B83AD3" w:rsidRDefault="009A74BB" w:rsidP="00CB7DEA">
            <w:pPr>
              <w:tabs>
                <w:tab w:val="left" w:pos="1134"/>
              </w:tabs>
              <w:spacing w:after="120"/>
              <w:contextualSpacing/>
              <w:rPr>
                <w:rFonts w:eastAsia="Times New Roman" w:cs="Times New Roman"/>
                <w:bCs w:val="0"/>
                <w:color w:val="000000" w:themeColor="text1"/>
                <w:sz w:val="22"/>
              </w:rPr>
            </w:pPr>
            <w:r w:rsidRPr="00B83AD3">
              <w:rPr>
                <w:rFonts w:eastAsia="Times New Roman" w:cs="Times New Roman"/>
                <w:bCs w:val="0"/>
                <w:color w:val="000000" w:themeColor="text1"/>
                <w:sz w:val="22"/>
              </w:rPr>
              <w:t>Latvijas ieguldītais finansējuma apjoms</w:t>
            </w:r>
          </w:p>
        </w:tc>
        <w:tc>
          <w:tcPr>
            <w:tcW w:w="2262" w:type="dxa"/>
          </w:tcPr>
          <w:p w14:paraId="665723D3" w14:textId="77777777" w:rsidR="009A74BB" w:rsidRPr="00B83AD3" w:rsidRDefault="008761FF" w:rsidP="00D934D1">
            <w:pPr>
              <w:tabs>
                <w:tab w:val="left" w:pos="1134"/>
              </w:tabs>
              <w:spacing w:after="120"/>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themeColor="text1"/>
                <w:sz w:val="22"/>
              </w:rPr>
            </w:pPr>
            <w:r w:rsidRPr="00B83AD3">
              <w:rPr>
                <w:rFonts w:eastAsia="Times New Roman" w:cs="Times New Roman"/>
                <w:bCs w:val="0"/>
                <w:color w:val="000000" w:themeColor="text1"/>
                <w:sz w:val="22"/>
              </w:rPr>
              <w:t>7,18</w:t>
            </w:r>
            <w:r w:rsidR="00D934D1" w:rsidRPr="00B83AD3">
              <w:rPr>
                <w:rFonts w:eastAsia="Times New Roman" w:cs="Times New Roman"/>
                <w:bCs w:val="0"/>
                <w:color w:val="000000" w:themeColor="text1"/>
                <w:sz w:val="22"/>
              </w:rPr>
              <w:t xml:space="preserve"> milj. </w:t>
            </w:r>
            <w:r w:rsidR="00D934D1" w:rsidRPr="00B83AD3">
              <w:rPr>
                <w:rFonts w:eastAsia="Times New Roman" w:cs="Times New Roman"/>
                <w:bCs w:val="0"/>
                <w:i/>
                <w:color w:val="000000" w:themeColor="text1"/>
                <w:sz w:val="22"/>
              </w:rPr>
              <w:t>euro</w:t>
            </w:r>
          </w:p>
        </w:tc>
      </w:tr>
      <w:tr w:rsidR="00D934D1" w:rsidRPr="00B83AD3" w14:paraId="665723D7" w14:textId="77777777" w:rsidTr="00DC4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665723D5" w14:textId="77777777" w:rsidR="00D934D1" w:rsidRPr="00B83AD3" w:rsidRDefault="00D934D1" w:rsidP="00CB7DEA">
            <w:pPr>
              <w:tabs>
                <w:tab w:val="left" w:pos="1134"/>
              </w:tabs>
              <w:spacing w:after="120"/>
              <w:contextualSpacing/>
              <w:rPr>
                <w:rFonts w:eastAsia="Times New Roman" w:cs="Times New Roman"/>
                <w:bCs w:val="0"/>
                <w:color w:val="000000" w:themeColor="text1"/>
                <w:sz w:val="22"/>
              </w:rPr>
            </w:pPr>
            <w:r w:rsidRPr="00B83AD3">
              <w:rPr>
                <w:rFonts w:eastAsia="Times New Roman" w:cs="Times New Roman"/>
                <w:bCs w:val="0"/>
                <w:color w:val="000000" w:themeColor="text1"/>
                <w:sz w:val="22"/>
              </w:rPr>
              <w:t xml:space="preserve">Uz 2019.gada septembri </w:t>
            </w:r>
            <w:r w:rsidR="00895F93" w:rsidRPr="00B83AD3">
              <w:rPr>
                <w:rFonts w:eastAsia="Times New Roman" w:cs="Times New Roman"/>
                <w:bCs w:val="0"/>
                <w:color w:val="000000" w:themeColor="text1"/>
                <w:sz w:val="22"/>
              </w:rPr>
              <w:t xml:space="preserve">atgūtais </w:t>
            </w:r>
            <w:r w:rsidRPr="00B83AD3">
              <w:rPr>
                <w:rFonts w:eastAsia="Times New Roman" w:cs="Times New Roman"/>
                <w:bCs w:val="0"/>
                <w:color w:val="000000" w:themeColor="text1"/>
                <w:sz w:val="22"/>
              </w:rPr>
              <w:t>finansējums</w:t>
            </w:r>
            <w:r w:rsidR="00947C6C" w:rsidRPr="00B83AD3">
              <w:rPr>
                <w:rFonts w:eastAsia="Times New Roman" w:cs="Times New Roman"/>
                <w:bCs w:val="0"/>
                <w:color w:val="000000" w:themeColor="text1"/>
                <w:sz w:val="22"/>
              </w:rPr>
              <w:t xml:space="preserve"> (apstiprinātās saistības)</w:t>
            </w:r>
          </w:p>
        </w:tc>
        <w:tc>
          <w:tcPr>
            <w:tcW w:w="2262" w:type="dxa"/>
          </w:tcPr>
          <w:p w14:paraId="665723D6" w14:textId="77777777" w:rsidR="00D934D1" w:rsidRPr="00B83AD3" w:rsidRDefault="008C05A3" w:rsidP="00D934D1">
            <w:pPr>
              <w:tabs>
                <w:tab w:val="left" w:pos="1134"/>
              </w:tabs>
              <w:spacing w:after="12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themeColor="text1"/>
                <w:sz w:val="22"/>
              </w:rPr>
            </w:pPr>
            <w:r w:rsidRPr="00B83AD3">
              <w:rPr>
                <w:rFonts w:eastAsia="Times New Roman" w:cs="Times New Roman"/>
                <w:b/>
                <w:bCs/>
                <w:color w:val="000000" w:themeColor="text1"/>
                <w:sz w:val="22"/>
              </w:rPr>
              <w:t>5,15</w:t>
            </w:r>
            <w:r w:rsidR="00D934D1" w:rsidRPr="00B83AD3">
              <w:rPr>
                <w:rFonts w:eastAsia="Times New Roman" w:cs="Times New Roman"/>
                <w:b/>
                <w:bCs/>
                <w:color w:val="000000" w:themeColor="text1"/>
                <w:sz w:val="22"/>
              </w:rPr>
              <w:t xml:space="preserve"> milj. </w:t>
            </w:r>
            <w:r w:rsidR="00D934D1" w:rsidRPr="00B83AD3">
              <w:rPr>
                <w:rFonts w:eastAsia="Times New Roman" w:cs="Times New Roman"/>
                <w:b/>
                <w:bCs/>
                <w:i/>
                <w:color w:val="000000" w:themeColor="text1"/>
                <w:sz w:val="22"/>
              </w:rPr>
              <w:t>euro</w:t>
            </w:r>
          </w:p>
        </w:tc>
      </w:tr>
      <w:tr w:rsidR="009A74BB" w:rsidRPr="00B83AD3" w14:paraId="665723DA" w14:textId="77777777" w:rsidTr="00DC4555">
        <w:tc>
          <w:tcPr>
            <w:cnfStyle w:val="001000000000" w:firstRow="0" w:lastRow="0" w:firstColumn="1" w:lastColumn="0" w:oddVBand="0" w:evenVBand="0" w:oddHBand="0" w:evenHBand="0" w:firstRowFirstColumn="0" w:firstRowLastColumn="0" w:lastRowFirstColumn="0" w:lastRowLastColumn="0"/>
            <w:tcW w:w="6799" w:type="dxa"/>
          </w:tcPr>
          <w:p w14:paraId="665723D8" w14:textId="77777777" w:rsidR="009A74BB" w:rsidRPr="00B83AD3" w:rsidRDefault="00D934D1" w:rsidP="00CB7DEA">
            <w:pPr>
              <w:tabs>
                <w:tab w:val="left" w:pos="1134"/>
              </w:tabs>
              <w:spacing w:after="120"/>
              <w:contextualSpacing/>
              <w:rPr>
                <w:rFonts w:eastAsia="Times New Roman" w:cs="Times New Roman"/>
                <w:bCs w:val="0"/>
                <w:color w:val="000000" w:themeColor="text1"/>
                <w:sz w:val="22"/>
              </w:rPr>
            </w:pPr>
            <w:r w:rsidRPr="00B83AD3">
              <w:rPr>
                <w:rFonts w:eastAsia="Times New Roman" w:cs="Times New Roman"/>
                <w:bCs w:val="0"/>
                <w:color w:val="000000" w:themeColor="text1"/>
                <w:sz w:val="22"/>
              </w:rPr>
              <w:t xml:space="preserve">Iesniegto projektu skaits </w:t>
            </w:r>
          </w:p>
        </w:tc>
        <w:tc>
          <w:tcPr>
            <w:tcW w:w="2262" w:type="dxa"/>
          </w:tcPr>
          <w:p w14:paraId="665723D9" w14:textId="77777777" w:rsidR="009A74BB" w:rsidRPr="00B83AD3" w:rsidRDefault="00D934D1" w:rsidP="00D934D1">
            <w:pPr>
              <w:tabs>
                <w:tab w:val="left" w:pos="1134"/>
              </w:tabs>
              <w:spacing w:after="12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themeColor="text1"/>
                <w:sz w:val="22"/>
              </w:rPr>
            </w:pPr>
            <w:r w:rsidRPr="00B83AD3">
              <w:rPr>
                <w:rFonts w:eastAsia="Times New Roman" w:cs="Times New Roman"/>
                <w:b/>
                <w:bCs/>
                <w:color w:val="000000" w:themeColor="text1"/>
                <w:sz w:val="22"/>
              </w:rPr>
              <w:t>88</w:t>
            </w:r>
          </w:p>
        </w:tc>
      </w:tr>
      <w:tr w:rsidR="009A74BB" w:rsidRPr="00B83AD3" w14:paraId="665723DD" w14:textId="77777777" w:rsidTr="00DC4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665723DB" w14:textId="77777777" w:rsidR="009A74BB" w:rsidRPr="00B83AD3" w:rsidRDefault="00947C6C" w:rsidP="00CB7DEA">
            <w:pPr>
              <w:tabs>
                <w:tab w:val="left" w:pos="1134"/>
              </w:tabs>
              <w:spacing w:after="120"/>
              <w:contextualSpacing/>
              <w:rPr>
                <w:rFonts w:eastAsia="Times New Roman" w:cs="Times New Roman"/>
                <w:bCs w:val="0"/>
                <w:color w:val="000000" w:themeColor="text1"/>
                <w:sz w:val="22"/>
              </w:rPr>
            </w:pPr>
            <w:r w:rsidRPr="00B83AD3">
              <w:rPr>
                <w:rFonts w:eastAsia="Times New Roman" w:cs="Times New Roman"/>
                <w:bCs w:val="0"/>
                <w:color w:val="000000" w:themeColor="text1"/>
                <w:sz w:val="22"/>
              </w:rPr>
              <w:t xml:space="preserve">Finansējamo </w:t>
            </w:r>
            <w:r w:rsidR="00D934D1" w:rsidRPr="00B83AD3">
              <w:rPr>
                <w:rFonts w:eastAsia="Times New Roman" w:cs="Times New Roman"/>
                <w:bCs w:val="0"/>
                <w:color w:val="000000" w:themeColor="text1"/>
                <w:sz w:val="22"/>
              </w:rPr>
              <w:t xml:space="preserve">projektu skaits </w:t>
            </w:r>
          </w:p>
        </w:tc>
        <w:tc>
          <w:tcPr>
            <w:tcW w:w="2262" w:type="dxa"/>
          </w:tcPr>
          <w:p w14:paraId="665723DC" w14:textId="77777777" w:rsidR="009A74BB" w:rsidRPr="00B83AD3" w:rsidRDefault="00D934D1" w:rsidP="00D934D1">
            <w:pPr>
              <w:tabs>
                <w:tab w:val="left" w:pos="1134"/>
              </w:tabs>
              <w:spacing w:after="12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themeColor="text1"/>
                <w:sz w:val="22"/>
              </w:rPr>
            </w:pPr>
            <w:r w:rsidRPr="00B83AD3">
              <w:rPr>
                <w:rFonts w:eastAsia="Times New Roman" w:cs="Times New Roman"/>
                <w:b/>
                <w:bCs/>
                <w:color w:val="000000" w:themeColor="text1"/>
                <w:sz w:val="22"/>
              </w:rPr>
              <w:t>39</w:t>
            </w:r>
          </w:p>
        </w:tc>
      </w:tr>
      <w:tr w:rsidR="009A74BB" w:rsidRPr="00B83AD3" w14:paraId="665723E0" w14:textId="77777777" w:rsidTr="00DC4555">
        <w:tc>
          <w:tcPr>
            <w:cnfStyle w:val="001000000000" w:firstRow="0" w:lastRow="0" w:firstColumn="1" w:lastColumn="0" w:oddVBand="0" w:evenVBand="0" w:oddHBand="0" w:evenHBand="0" w:firstRowFirstColumn="0" w:firstRowLastColumn="0" w:lastRowFirstColumn="0" w:lastRowLastColumn="0"/>
            <w:tcW w:w="6799" w:type="dxa"/>
          </w:tcPr>
          <w:p w14:paraId="665723DE" w14:textId="77777777" w:rsidR="009A74BB" w:rsidRPr="00B83AD3" w:rsidRDefault="00D934D1" w:rsidP="00D934D1">
            <w:pPr>
              <w:tabs>
                <w:tab w:val="left" w:pos="1134"/>
              </w:tabs>
              <w:spacing w:after="120"/>
              <w:contextualSpacing/>
              <w:rPr>
                <w:rFonts w:eastAsia="Times New Roman" w:cs="Times New Roman"/>
                <w:bCs w:val="0"/>
                <w:color w:val="000000" w:themeColor="text1"/>
                <w:sz w:val="22"/>
              </w:rPr>
            </w:pPr>
            <w:r w:rsidRPr="00B83AD3">
              <w:rPr>
                <w:rFonts w:eastAsia="Times New Roman" w:cs="Times New Roman"/>
                <w:bCs w:val="0"/>
                <w:color w:val="000000" w:themeColor="text1"/>
                <w:sz w:val="22"/>
              </w:rPr>
              <w:t xml:space="preserve">Latvijas </w:t>
            </w:r>
            <w:r w:rsidR="00883DA6" w:rsidRPr="00B83AD3">
              <w:rPr>
                <w:rFonts w:eastAsia="Times New Roman" w:cs="Times New Roman"/>
                <w:bCs w:val="0"/>
                <w:color w:val="000000" w:themeColor="text1"/>
                <w:sz w:val="22"/>
              </w:rPr>
              <w:t xml:space="preserve">institūciju un </w:t>
            </w:r>
            <w:r w:rsidRPr="00B83AD3">
              <w:rPr>
                <w:rFonts w:eastAsia="Times New Roman" w:cs="Times New Roman"/>
                <w:bCs w:val="0"/>
                <w:color w:val="000000" w:themeColor="text1"/>
                <w:sz w:val="22"/>
              </w:rPr>
              <w:t>organizāciju skaits, kas īsteno projektus</w:t>
            </w:r>
          </w:p>
        </w:tc>
        <w:tc>
          <w:tcPr>
            <w:tcW w:w="2262" w:type="dxa"/>
          </w:tcPr>
          <w:p w14:paraId="665723DF" w14:textId="77777777" w:rsidR="009A74BB" w:rsidRPr="00B83AD3" w:rsidRDefault="005C269C" w:rsidP="00D934D1">
            <w:pPr>
              <w:tabs>
                <w:tab w:val="left" w:pos="1134"/>
              </w:tabs>
              <w:spacing w:after="12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themeColor="text1"/>
                <w:sz w:val="22"/>
              </w:rPr>
            </w:pPr>
            <w:r w:rsidRPr="00B83AD3">
              <w:rPr>
                <w:rFonts w:eastAsia="Times New Roman" w:cs="Times New Roman"/>
                <w:b/>
                <w:bCs/>
                <w:color w:val="000000" w:themeColor="text1"/>
                <w:sz w:val="22"/>
              </w:rPr>
              <w:t>15</w:t>
            </w:r>
          </w:p>
        </w:tc>
      </w:tr>
      <w:tr w:rsidR="008E0614" w:rsidRPr="00B83AD3" w14:paraId="665723E3" w14:textId="77777777" w:rsidTr="00DC4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665723E1" w14:textId="77777777" w:rsidR="008E0614" w:rsidRPr="00B83AD3" w:rsidRDefault="008E0614" w:rsidP="00D934D1">
            <w:pPr>
              <w:tabs>
                <w:tab w:val="left" w:pos="1134"/>
              </w:tabs>
              <w:spacing w:after="120"/>
              <w:contextualSpacing/>
              <w:rPr>
                <w:rFonts w:eastAsia="Times New Roman" w:cs="Times New Roman"/>
                <w:color w:val="000000" w:themeColor="text1"/>
                <w:sz w:val="22"/>
              </w:rPr>
            </w:pPr>
            <w:r w:rsidRPr="00B83AD3">
              <w:rPr>
                <w:rFonts w:eastAsia="Times New Roman" w:cs="Times New Roman"/>
                <w:color w:val="000000" w:themeColor="text1"/>
                <w:sz w:val="22"/>
              </w:rPr>
              <w:t>Pabeigto projektu skaits</w:t>
            </w:r>
          </w:p>
        </w:tc>
        <w:tc>
          <w:tcPr>
            <w:tcW w:w="2262" w:type="dxa"/>
          </w:tcPr>
          <w:p w14:paraId="665723E2" w14:textId="77777777" w:rsidR="008E0614" w:rsidRPr="00B83AD3" w:rsidRDefault="008E0614" w:rsidP="00D934D1">
            <w:pPr>
              <w:tabs>
                <w:tab w:val="left" w:pos="1134"/>
              </w:tabs>
              <w:spacing w:after="12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themeColor="text1"/>
                <w:sz w:val="22"/>
              </w:rPr>
            </w:pPr>
            <w:r w:rsidRPr="00B83AD3">
              <w:rPr>
                <w:rFonts w:eastAsia="Times New Roman" w:cs="Times New Roman"/>
                <w:b/>
                <w:bCs/>
                <w:color w:val="000000" w:themeColor="text1"/>
                <w:sz w:val="22"/>
              </w:rPr>
              <w:t>10</w:t>
            </w:r>
          </w:p>
        </w:tc>
      </w:tr>
    </w:tbl>
    <w:p w14:paraId="665723E4" w14:textId="77777777" w:rsidR="00F15CD5" w:rsidRPr="00B83AD3" w:rsidRDefault="00F15CD5" w:rsidP="00CB7DEA">
      <w:pPr>
        <w:tabs>
          <w:tab w:val="left" w:pos="1134"/>
        </w:tabs>
        <w:spacing w:after="120"/>
        <w:contextualSpacing/>
        <w:rPr>
          <w:rFonts w:eastAsia="Times New Roman" w:cs="Times New Roman"/>
          <w:bCs/>
          <w:color w:val="000000" w:themeColor="text1"/>
        </w:rPr>
      </w:pPr>
    </w:p>
    <w:p w14:paraId="665723E5" w14:textId="77777777" w:rsidR="00097393" w:rsidRPr="00B83AD3" w:rsidRDefault="004418EF" w:rsidP="00097393">
      <w:pPr>
        <w:tabs>
          <w:tab w:val="left" w:pos="720"/>
        </w:tabs>
        <w:spacing w:after="120"/>
        <w:contextualSpacing/>
        <w:rPr>
          <w:rFonts w:eastAsia="Times New Roman" w:cs="Times New Roman"/>
          <w:bCs/>
          <w:color w:val="000000" w:themeColor="text1"/>
        </w:rPr>
      </w:pPr>
      <w:r w:rsidRPr="00B83AD3">
        <w:rPr>
          <w:rFonts w:eastAsia="Times New Roman" w:cs="Times New Roman"/>
          <w:bCs/>
          <w:color w:val="000000" w:themeColor="text1"/>
        </w:rPr>
        <w:tab/>
      </w:r>
      <w:r w:rsidR="00097393" w:rsidRPr="00B83AD3">
        <w:rPr>
          <w:rFonts w:eastAsia="Times New Roman" w:cs="Times New Roman"/>
          <w:bCs/>
          <w:color w:val="000000" w:themeColor="text1"/>
        </w:rPr>
        <w:t xml:space="preserve">Latvijas institūciju un organizāciju īstenotie 39 (trīsdesmit deviņi) projekti tika iesniegti piecos atvērtajos kosmosa tehnoloģiju projektu konkursos, kurus organizēja EKA sadarbībā ar IZM. Ar projektu iesniegšanas beigu termiņu š.g. 18.septembrī </w:t>
      </w:r>
      <w:r w:rsidR="00DC7F54" w:rsidRPr="00B83AD3">
        <w:rPr>
          <w:rFonts w:eastAsia="Times New Roman" w:cs="Times New Roman"/>
          <w:bCs/>
          <w:color w:val="000000" w:themeColor="text1"/>
        </w:rPr>
        <w:t>bija</w:t>
      </w:r>
      <w:r w:rsidR="00097393" w:rsidRPr="00B83AD3">
        <w:rPr>
          <w:rFonts w:eastAsia="Times New Roman" w:cs="Times New Roman"/>
          <w:bCs/>
          <w:color w:val="000000" w:themeColor="text1"/>
        </w:rPr>
        <w:t xml:space="preserve"> atvērts noslēdzošais – 6.projektu konkurss, kas visticamāk palielinās gan projektu skaitu, gan Latvijas institūciju un organizāciju skaitu, kas īsteno šos projektus. </w:t>
      </w:r>
    </w:p>
    <w:p w14:paraId="665723E6" w14:textId="77777777" w:rsidR="00097393" w:rsidRPr="00B83AD3" w:rsidRDefault="00097393" w:rsidP="00097393">
      <w:pPr>
        <w:tabs>
          <w:tab w:val="left" w:pos="720"/>
        </w:tabs>
        <w:spacing w:after="120"/>
        <w:contextualSpacing/>
        <w:rPr>
          <w:rFonts w:eastAsia="Times New Roman" w:cs="Times New Roman"/>
          <w:bCs/>
          <w:color w:val="000000" w:themeColor="text1"/>
        </w:rPr>
      </w:pPr>
      <w:r w:rsidRPr="00B83AD3">
        <w:rPr>
          <w:rFonts w:eastAsia="Times New Roman" w:cs="Times New Roman"/>
          <w:bCs/>
          <w:color w:val="000000" w:themeColor="text1"/>
        </w:rPr>
        <w:tab/>
        <w:t xml:space="preserve">ESV līguma mērķi ir šādi: </w:t>
      </w:r>
    </w:p>
    <w:p w14:paraId="665723E7" w14:textId="77777777" w:rsidR="00097393" w:rsidRPr="00B83AD3" w:rsidRDefault="00097393" w:rsidP="00097393">
      <w:pPr>
        <w:numPr>
          <w:ilvl w:val="0"/>
          <w:numId w:val="28"/>
        </w:numPr>
        <w:tabs>
          <w:tab w:val="left" w:pos="720"/>
        </w:tabs>
        <w:spacing w:after="120"/>
        <w:contextualSpacing/>
        <w:rPr>
          <w:rFonts w:eastAsia="Times New Roman" w:cs="Times New Roman"/>
          <w:bCs/>
          <w:color w:val="000000" w:themeColor="text1"/>
        </w:rPr>
      </w:pPr>
      <w:r w:rsidRPr="00B83AD3">
        <w:rPr>
          <w:rFonts w:eastAsia="Times New Roman" w:cs="Times New Roman"/>
          <w:bCs/>
          <w:color w:val="000000" w:themeColor="text1"/>
        </w:rPr>
        <w:t xml:space="preserve">veidot un stiprināt Latvijas organizāciju industriālo ekspertīzi  un pētniecības un attīstības kapacitāti, lai nodrošinātu to veiksmīgu dalību EKA programmās; </w:t>
      </w:r>
    </w:p>
    <w:p w14:paraId="665723E8" w14:textId="77777777" w:rsidR="00097393" w:rsidRPr="00B83AD3" w:rsidRDefault="00097393" w:rsidP="00097393">
      <w:pPr>
        <w:numPr>
          <w:ilvl w:val="0"/>
          <w:numId w:val="28"/>
        </w:numPr>
        <w:tabs>
          <w:tab w:val="left" w:pos="720"/>
        </w:tabs>
        <w:spacing w:after="120"/>
        <w:contextualSpacing/>
        <w:rPr>
          <w:rFonts w:eastAsia="Times New Roman" w:cs="Times New Roman"/>
          <w:bCs/>
          <w:color w:val="000000" w:themeColor="text1"/>
        </w:rPr>
      </w:pPr>
      <w:r w:rsidRPr="00B83AD3">
        <w:rPr>
          <w:rFonts w:eastAsia="Times New Roman" w:cs="Times New Roman"/>
          <w:bCs/>
          <w:color w:val="000000" w:themeColor="text1"/>
        </w:rPr>
        <w:t>uzlabot Latvijas organizāciju izpratni par EKA organizāciju, funkcionēšanas principiem, standartiem un procedūrām;</w:t>
      </w:r>
    </w:p>
    <w:p w14:paraId="665723E9" w14:textId="77777777" w:rsidR="00097393" w:rsidRPr="00B83AD3" w:rsidRDefault="00097393" w:rsidP="00097393">
      <w:pPr>
        <w:numPr>
          <w:ilvl w:val="0"/>
          <w:numId w:val="28"/>
        </w:numPr>
        <w:tabs>
          <w:tab w:val="left" w:pos="720"/>
        </w:tabs>
        <w:spacing w:after="120"/>
        <w:contextualSpacing/>
        <w:rPr>
          <w:rFonts w:eastAsia="Times New Roman" w:cs="Times New Roman"/>
          <w:bCs/>
          <w:color w:val="000000" w:themeColor="text1"/>
        </w:rPr>
      </w:pPr>
      <w:r w:rsidRPr="00B83AD3">
        <w:rPr>
          <w:rFonts w:eastAsia="Times New Roman" w:cs="Times New Roman"/>
          <w:bCs/>
          <w:color w:val="000000" w:themeColor="text1"/>
        </w:rPr>
        <w:t xml:space="preserve">izveidot sadarbību ar kosmosa nozares kopienu Latvijā un EKA dalībvalstīs; </w:t>
      </w:r>
    </w:p>
    <w:p w14:paraId="665723EA" w14:textId="77777777" w:rsidR="00097393" w:rsidRPr="00B83AD3" w:rsidRDefault="00097393" w:rsidP="00097393">
      <w:pPr>
        <w:numPr>
          <w:ilvl w:val="0"/>
          <w:numId w:val="28"/>
        </w:numPr>
        <w:tabs>
          <w:tab w:val="left" w:pos="720"/>
        </w:tabs>
        <w:spacing w:after="120"/>
        <w:contextualSpacing/>
        <w:rPr>
          <w:rFonts w:eastAsia="Times New Roman" w:cs="Times New Roman"/>
          <w:bCs/>
          <w:color w:val="000000" w:themeColor="text1"/>
        </w:rPr>
      </w:pPr>
      <w:r w:rsidRPr="00B83AD3">
        <w:rPr>
          <w:rFonts w:eastAsia="Times New Roman" w:cs="Times New Roman"/>
          <w:bCs/>
          <w:color w:val="000000" w:themeColor="text1"/>
        </w:rPr>
        <w:lastRenderedPageBreak/>
        <w:t xml:space="preserve">saskaņot Latvijas kosmosa aktivitātes ar EKA programmās īstenotajām aktivitātēm.  </w:t>
      </w:r>
    </w:p>
    <w:p w14:paraId="665723EB" w14:textId="77777777" w:rsidR="00D036E4" w:rsidRDefault="00097393" w:rsidP="00097393">
      <w:pPr>
        <w:tabs>
          <w:tab w:val="left" w:pos="720"/>
        </w:tabs>
        <w:spacing w:after="120"/>
        <w:contextualSpacing/>
        <w:rPr>
          <w:rFonts w:eastAsia="Times New Roman" w:cs="Times New Roman"/>
          <w:bCs/>
          <w:color w:val="000000" w:themeColor="text1"/>
        </w:rPr>
      </w:pPr>
      <w:r w:rsidRPr="00B83AD3">
        <w:rPr>
          <w:rFonts w:eastAsia="Times New Roman" w:cs="Times New Roman"/>
          <w:bCs/>
          <w:color w:val="000000" w:themeColor="text1"/>
        </w:rPr>
        <w:tab/>
        <w:t>Tabulā Nr. 2 un Nr. 3 ir apkopotas Latvijas institūcijas un organizācijas, kas īstenoja EKA apstiprinātos trīsdesmit deviņus projektus pēc apstiprināto projektu skaita un piesaistītā finansējuma.</w:t>
      </w:r>
    </w:p>
    <w:p w14:paraId="150ED2A3" w14:textId="77777777" w:rsidR="00694232" w:rsidRDefault="00694232" w:rsidP="00097393">
      <w:pPr>
        <w:tabs>
          <w:tab w:val="left" w:pos="720"/>
        </w:tabs>
        <w:spacing w:after="120"/>
        <w:contextualSpacing/>
        <w:rPr>
          <w:rFonts w:eastAsia="Times New Roman" w:cs="Times New Roman"/>
          <w:bCs/>
          <w:color w:val="000000" w:themeColor="text1"/>
        </w:rPr>
      </w:pPr>
    </w:p>
    <w:p w14:paraId="74B377F3" w14:textId="6E30AF78" w:rsidR="00694232" w:rsidRPr="00B83AD3" w:rsidRDefault="00896903" w:rsidP="00097393">
      <w:pPr>
        <w:tabs>
          <w:tab w:val="left" w:pos="720"/>
        </w:tabs>
        <w:spacing w:after="120"/>
        <w:contextualSpacing/>
        <w:rPr>
          <w:rFonts w:eastAsia="Times New Roman" w:cs="Times New Roman"/>
          <w:bCs/>
          <w:color w:val="000000" w:themeColor="text1"/>
        </w:rPr>
      </w:pPr>
      <w:r>
        <w:rPr>
          <w:rFonts w:eastAsia="Times New Roman" w:cs="Times New Roman"/>
          <w:bCs/>
          <w:color w:val="000000" w:themeColor="text1"/>
        </w:rPr>
        <w:tab/>
      </w:r>
      <w:r w:rsidR="00694232" w:rsidRPr="00694232">
        <w:rPr>
          <w:rFonts w:eastAsia="Times New Roman" w:cs="Times New Roman"/>
          <w:bCs/>
          <w:color w:val="000000" w:themeColor="text1"/>
        </w:rPr>
        <w:t>Ministru kabineta rīkojuma projekts „Par apropriācijas pārdali starp Izglītības un zinātnes ministrijas budžeta apakšprogrammām un pasākumiem”</w:t>
      </w:r>
      <w:r w:rsidR="00694232">
        <w:rPr>
          <w:rFonts w:eastAsia="Times New Roman" w:cs="Times New Roman"/>
          <w:bCs/>
          <w:color w:val="000000" w:themeColor="text1"/>
        </w:rPr>
        <w:t>,</w:t>
      </w:r>
      <w:r w:rsidR="00694232" w:rsidRPr="00694232">
        <w:rPr>
          <w:rFonts w:eastAsia="Times New Roman" w:cs="Times New Roman"/>
          <w:bCs/>
          <w:color w:val="000000" w:themeColor="text1"/>
        </w:rPr>
        <w:t xml:space="preserve"> </w:t>
      </w:r>
      <w:r w:rsidR="00694232">
        <w:rPr>
          <w:rFonts w:eastAsia="Times New Roman" w:cs="Times New Roman"/>
          <w:bCs/>
          <w:color w:val="000000" w:themeColor="text1"/>
        </w:rPr>
        <w:t>kas ir</w:t>
      </w:r>
      <w:r w:rsidR="00694232" w:rsidRPr="00694232">
        <w:rPr>
          <w:rFonts w:eastAsia="Times New Roman" w:cs="Times New Roman"/>
          <w:bCs/>
          <w:color w:val="000000" w:themeColor="text1"/>
        </w:rPr>
        <w:t xml:space="preserve"> sagatavots, pamatojoties uz Ministru kabineta 2019.gada 29.oktobra sēdē izskatāmo jautājumu (Rīkojuma projekts " Informatīvais ziņojums "Par valsts pamatbudžeta pamatfunkciju izdevumu prognozēto neapguvi un iespējam</w:t>
      </w:r>
      <w:r w:rsidR="00694232">
        <w:rPr>
          <w:rFonts w:eastAsia="Times New Roman" w:cs="Times New Roman"/>
          <w:bCs/>
          <w:color w:val="000000" w:themeColor="text1"/>
        </w:rPr>
        <w:t xml:space="preserve">o līdzekļu pārdali 2019.gadā"") paredz 2019.gadā papildus finansējumu </w:t>
      </w:r>
      <w:r w:rsidR="00694232" w:rsidRPr="00694232">
        <w:rPr>
          <w:rFonts w:eastAsia="Times New Roman" w:cs="Times New Roman"/>
          <w:bCs/>
          <w:color w:val="000000" w:themeColor="text1"/>
        </w:rPr>
        <w:t xml:space="preserve">1 361 996 </w:t>
      </w:r>
      <w:proofErr w:type="spellStart"/>
      <w:r w:rsidR="00694232" w:rsidRPr="00694232">
        <w:rPr>
          <w:rFonts w:eastAsia="Times New Roman" w:cs="Times New Roman"/>
          <w:bCs/>
          <w:color w:val="000000" w:themeColor="text1"/>
        </w:rPr>
        <w:t>euro</w:t>
      </w:r>
      <w:proofErr w:type="spellEnd"/>
      <w:r w:rsidR="00694232" w:rsidRPr="00694232">
        <w:rPr>
          <w:rFonts w:eastAsia="Times New Roman" w:cs="Times New Roman"/>
          <w:bCs/>
          <w:color w:val="000000" w:themeColor="text1"/>
        </w:rPr>
        <w:t xml:space="preserve"> apmērā, lai nodrošinātu Latvijas pētniecības organizāciju un komersantu pētniecības projektu īstenošanu sadarbībā ar Eiropas Kosmosa aģentūru (turpmāk- EKA).</w:t>
      </w:r>
      <w:r w:rsidR="00694232">
        <w:rPr>
          <w:rFonts w:eastAsia="Times New Roman" w:cs="Times New Roman"/>
          <w:bCs/>
          <w:color w:val="000000" w:themeColor="text1"/>
        </w:rPr>
        <w:t xml:space="preserve"> </w:t>
      </w:r>
      <w:r w:rsidR="00694232" w:rsidRPr="00694232">
        <w:rPr>
          <w:rFonts w:eastAsia="Times New Roman" w:cs="Times New Roman"/>
          <w:bCs/>
          <w:color w:val="000000" w:themeColor="text1"/>
        </w:rPr>
        <w:t xml:space="preserve">Tas nepieciešams, jo pēdējā ESV līguma projektu konkursā, kas noslēdzās 2019.gada 18.septembrī, Latvijas organizācijas (komersanti un pētniecības organizācijas) ir izstrādājušas 17 projektus par kopējo summu 2,3 milj. </w:t>
      </w:r>
      <w:proofErr w:type="spellStart"/>
      <w:r w:rsidR="00694232" w:rsidRPr="00694232">
        <w:rPr>
          <w:rFonts w:eastAsia="Times New Roman" w:cs="Times New Roman"/>
          <w:bCs/>
          <w:color w:val="000000" w:themeColor="text1"/>
        </w:rPr>
        <w:t>euro</w:t>
      </w:r>
      <w:proofErr w:type="spellEnd"/>
      <w:r w:rsidR="00694232" w:rsidRPr="00694232">
        <w:rPr>
          <w:rFonts w:eastAsia="Times New Roman" w:cs="Times New Roman"/>
          <w:bCs/>
          <w:color w:val="000000" w:themeColor="text1"/>
        </w:rPr>
        <w:t xml:space="preserve">, taču pieejamais ESV līguma finanšu atlikums uz pēdējo projektu konkursu sastādīja tikai 800 000 </w:t>
      </w:r>
      <w:proofErr w:type="spellStart"/>
      <w:r w:rsidR="00694232" w:rsidRPr="00694232">
        <w:rPr>
          <w:rFonts w:eastAsia="Times New Roman" w:cs="Times New Roman"/>
          <w:bCs/>
          <w:color w:val="000000" w:themeColor="text1"/>
        </w:rPr>
        <w:t>euro</w:t>
      </w:r>
      <w:proofErr w:type="spellEnd"/>
      <w:r w:rsidR="00694232">
        <w:rPr>
          <w:rFonts w:eastAsia="Times New Roman" w:cs="Times New Roman"/>
          <w:bCs/>
          <w:color w:val="000000" w:themeColor="text1"/>
        </w:rPr>
        <w:t>.</w:t>
      </w:r>
    </w:p>
    <w:p w14:paraId="665723EC" w14:textId="77777777" w:rsidR="00097393" w:rsidRPr="00B83AD3" w:rsidRDefault="00097393" w:rsidP="00097393">
      <w:pPr>
        <w:tabs>
          <w:tab w:val="left" w:pos="720"/>
        </w:tabs>
        <w:spacing w:after="120"/>
        <w:contextualSpacing/>
        <w:rPr>
          <w:rFonts w:eastAsia="Times New Roman" w:cs="Times New Roman"/>
          <w:bCs/>
          <w:color w:val="000000" w:themeColor="text1"/>
        </w:rPr>
      </w:pPr>
    </w:p>
    <w:p w14:paraId="665723ED" w14:textId="77777777" w:rsidR="00D036E4" w:rsidRPr="00B83AD3" w:rsidRDefault="00D036E4" w:rsidP="00D036E4">
      <w:pPr>
        <w:tabs>
          <w:tab w:val="left" w:pos="1134"/>
        </w:tabs>
        <w:spacing w:after="120"/>
        <w:contextualSpacing/>
        <w:jc w:val="right"/>
        <w:rPr>
          <w:rFonts w:eastAsia="Times New Roman" w:cs="Times New Roman"/>
          <w:bCs/>
          <w:color w:val="000000" w:themeColor="text1"/>
          <w:sz w:val="28"/>
        </w:rPr>
      </w:pPr>
      <w:r w:rsidRPr="00B83AD3">
        <w:rPr>
          <w:rFonts w:eastAsia="Times New Roman" w:cs="Times New Roman"/>
          <w:bCs/>
          <w:color w:val="000000" w:themeColor="text1"/>
          <w:sz w:val="22"/>
        </w:rPr>
        <w:tab/>
      </w:r>
      <w:r w:rsidRPr="00B83AD3">
        <w:rPr>
          <w:rFonts w:eastAsia="Times New Roman" w:cs="Times New Roman"/>
          <w:bCs/>
          <w:color w:val="000000" w:themeColor="text1"/>
          <w:sz w:val="24"/>
        </w:rPr>
        <w:t xml:space="preserve">Tabula </w:t>
      </w:r>
      <w:r w:rsidR="0074711C" w:rsidRPr="00B83AD3">
        <w:rPr>
          <w:rFonts w:eastAsia="Times New Roman" w:cs="Times New Roman"/>
          <w:bCs/>
          <w:color w:val="000000" w:themeColor="text1"/>
          <w:sz w:val="24"/>
        </w:rPr>
        <w:t xml:space="preserve">Nr. </w:t>
      </w:r>
      <w:r w:rsidRPr="00B83AD3">
        <w:rPr>
          <w:rFonts w:eastAsia="Times New Roman" w:cs="Times New Roman"/>
          <w:bCs/>
          <w:color w:val="000000" w:themeColor="text1"/>
          <w:sz w:val="24"/>
        </w:rPr>
        <w:t xml:space="preserve">2 </w:t>
      </w:r>
    </w:p>
    <w:p w14:paraId="665723EE" w14:textId="77777777" w:rsidR="00D036E4" w:rsidRPr="00B83AD3" w:rsidRDefault="00D036E4" w:rsidP="006A651D">
      <w:pPr>
        <w:tabs>
          <w:tab w:val="left" w:pos="1134"/>
        </w:tabs>
        <w:spacing w:after="120"/>
        <w:contextualSpacing/>
        <w:jc w:val="center"/>
        <w:rPr>
          <w:rFonts w:eastAsia="Times New Roman" w:cs="Times New Roman"/>
          <w:b/>
          <w:bCs/>
          <w:color w:val="000000" w:themeColor="text1"/>
          <w:sz w:val="24"/>
        </w:rPr>
      </w:pPr>
      <w:r w:rsidRPr="00B83AD3">
        <w:rPr>
          <w:rFonts w:eastAsia="Times New Roman" w:cs="Times New Roman"/>
          <w:b/>
          <w:bCs/>
          <w:color w:val="000000" w:themeColor="text1"/>
          <w:sz w:val="24"/>
        </w:rPr>
        <w:t>Latvijas organizācijas – EKA projektu īstenotājas</w:t>
      </w:r>
    </w:p>
    <w:p w14:paraId="665723EF" w14:textId="77777777" w:rsidR="005A235B" w:rsidRPr="00B83AD3" w:rsidRDefault="005A235B" w:rsidP="006A651D">
      <w:pPr>
        <w:tabs>
          <w:tab w:val="left" w:pos="1134"/>
        </w:tabs>
        <w:spacing w:after="120"/>
        <w:contextualSpacing/>
        <w:jc w:val="center"/>
        <w:rPr>
          <w:rFonts w:eastAsia="Times New Roman" w:cs="Times New Roman"/>
          <w:b/>
          <w:bCs/>
          <w:color w:val="000000" w:themeColor="text1"/>
          <w:sz w:val="22"/>
        </w:rPr>
      </w:pPr>
    </w:p>
    <w:p w14:paraId="665723F0" w14:textId="77777777" w:rsidR="00D036E4" w:rsidRPr="00B83AD3" w:rsidRDefault="00D036E4" w:rsidP="001302DC">
      <w:pPr>
        <w:rPr>
          <w:rFonts w:cs="Times New Roman"/>
        </w:rPr>
      </w:pPr>
      <w:r w:rsidRPr="00B83AD3">
        <w:rPr>
          <w:rFonts w:cs="Times New Roman"/>
          <w:noProof/>
          <w:lang w:eastAsia="lv-LV"/>
        </w:rPr>
        <w:drawing>
          <wp:inline distT="0" distB="0" distL="0" distR="0" wp14:anchorId="66572567" wp14:editId="66572568">
            <wp:extent cx="5705475" cy="29813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65723F1" w14:textId="77777777" w:rsidR="00097393" w:rsidRPr="00B83AD3" w:rsidRDefault="00097393" w:rsidP="00097393">
      <w:pPr>
        <w:rPr>
          <w:rFonts w:cs="Times New Roman"/>
        </w:rPr>
      </w:pPr>
    </w:p>
    <w:p w14:paraId="76EA08FC" w14:textId="77777777" w:rsidR="00896903" w:rsidRDefault="00896903" w:rsidP="00DC7F54">
      <w:pPr>
        <w:rPr>
          <w:rFonts w:cs="Times New Roman"/>
        </w:rPr>
      </w:pPr>
    </w:p>
    <w:p w14:paraId="665723F2" w14:textId="32DD408C" w:rsidR="00F432E9" w:rsidRPr="00B83AD3" w:rsidRDefault="00097393" w:rsidP="00DC7F54">
      <w:pPr>
        <w:rPr>
          <w:rFonts w:cs="Times New Roman"/>
        </w:rPr>
      </w:pPr>
      <w:r w:rsidRPr="00B83AD3">
        <w:rPr>
          <w:rFonts w:cs="Times New Roman"/>
        </w:rPr>
        <w:t xml:space="preserve">Pēc iegūto projektu skaita veiksmīgākās organizācijas ir Zinātnisko institūciju reģistrā reģistrētais privātpersonu dibinātais nodibinājums </w:t>
      </w:r>
      <w:r w:rsidR="00F907C0" w:rsidRPr="00B83AD3">
        <w:rPr>
          <w:rFonts w:cs="Times New Roman"/>
          <w:sz w:val="28"/>
          <w:szCs w:val="28"/>
        </w:rPr>
        <w:t>"</w:t>
      </w:r>
      <w:r w:rsidRPr="00B83AD3">
        <w:rPr>
          <w:rFonts w:cs="Times New Roman"/>
        </w:rPr>
        <w:t>Vides risinājumu institūts</w:t>
      </w:r>
      <w:r w:rsidR="00F907C0" w:rsidRPr="00B83AD3">
        <w:rPr>
          <w:rFonts w:cs="Times New Roman"/>
          <w:sz w:val="28"/>
          <w:szCs w:val="28"/>
        </w:rPr>
        <w:t>"</w:t>
      </w:r>
      <w:r w:rsidRPr="00B83AD3">
        <w:rPr>
          <w:rFonts w:cs="Times New Roman"/>
        </w:rPr>
        <w:t xml:space="preserve">, kas ir specializējies dažādu risinājumu izstrādē, izmantojot zemes novērošanas datus, un A/S </w:t>
      </w:r>
      <w:r w:rsidR="00F907C0" w:rsidRPr="00B83AD3">
        <w:rPr>
          <w:rFonts w:cs="Times New Roman"/>
          <w:sz w:val="28"/>
          <w:szCs w:val="28"/>
        </w:rPr>
        <w:t>"</w:t>
      </w:r>
      <w:r w:rsidRPr="00B83AD3">
        <w:rPr>
          <w:rFonts w:cs="Times New Roman"/>
        </w:rPr>
        <w:t>RD Alfa</w:t>
      </w:r>
      <w:r w:rsidR="00F907C0" w:rsidRPr="00B83AD3">
        <w:rPr>
          <w:rFonts w:cs="Times New Roman"/>
          <w:sz w:val="28"/>
          <w:szCs w:val="28"/>
        </w:rPr>
        <w:t>"</w:t>
      </w:r>
      <w:r w:rsidRPr="00B83AD3">
        <w:rPr>
          <w:rFonts w:cs="Times New Roman"/>
        </w:rPr>
        <w:t xml:space="preserve">, kas ir specializējusies radiācijas izturīgu integrēto mikroshēmu izstrādē dažādām kosmosa komponentēm </w:t>
      </w:r>
      <w:r w:rsidRPr="00B83AD3">
        <w:rPr>
          <w:rFonts w:cs="Times New Roman"/>
          <w:bCs/>
        </w:rPr>
        <w:t>–</w:t>
      </w:r>
      <w:r w:rsidR="00F432E9" w:rsidRPr="00B83AD3">
        <w:rPr>
          <w:rFonts w:cs="Times New Roman"/>
          <w:bCs/>
        </w:rPr>
        <w:t xml:space="preserve"> </w:t>
      </w:r>
      <w:r w:rsidRPr="00B83AD3">
        <w:rPr>
          <w:rFonts w:cs="Times New Roman"/>
        </w:rPr>
        <w:t>katra no šīm organizācijām ir ieguvušas piecus projektus.</w:t>
      </w:r>
      <w:r w:rsidR="008E0614" w:rsidRPr="00B83AD3">
        <w:rPr>
          <w:rFonts w:cs="Times New Roman"/>
        </w:rPr>
        <w:t xml:space="preserve"> </w:t>
      </w:r>
      <w:r w:rsidR="00DC7F54" w:rsidRPr="00B83AD3">
        <w:rPr>
          <w:rFonts w:cs="Times New Roman"/>
        </w:rPr>
        <w:tab/>
      </w:r>
    </w:p>
    <w:p w14:paraId="133EA592" w14:textId="77777777" w:rsidR="00896903" w:rsidRDefault="00896903" w:rsidP="00DC7F54">
      <w:pPr>
        <w:jc w:val="right"/>
        <w:rPr>
          <w:rFonts w:cs="Times New Roman"/>
          <w:sz w:val="24"/>
        </w:rPr>
      </w:pPr>
    </w:p>
    <w:p w14:paraId="665723F3" w14:textId="77777777" w:rsidR="003E58A1" w:rsidRPr="00B83AD3" w:rsidRDefault="0010640B" w:rsidP="00DC7F54">
      <w:pPr>
        <w:jc w:val="right"/>
        <w:rPr>
          <w:rFonts w:cs="Times New Roman"/>
        </w:rPr>
      </w:pPr>
      <w:r w:rsidRPr="00B83AD3">
        <w:rPr>
          <w:rFonts w:cs="Times New Roman"/>
          <w:sz w:val="24"/>
        </w:rPr>
        <w:t xml:space="preserve">Tabula </w:t>
      </w:r>
      <w:r w:rsidR="0074711C" w:rsidRPr="00B83AD3">
        <w:rPr>
          <w:rFonts w:cs="Times New Roman"/>
          <w:sz w:val="24"/>
        </w:rPr>
        <w:t xml:space="preserve"> Nr. </w:t>
      </w:r>
      <w:r w:rsidRPr="00B83AD3">
        <w:rPr>
          <w:rFonts w:cs="Times New Roman"/>
          <w:sz w:val="24"/>
        </w:rPr>
        <w:t>3</w:t>
      </w:r>
    </w:p>
    <w:p w14:paraId="665723F4" w14:textId="77777777" w:rsidR="005B6DA0" w:rsidRPr="00B83AD3" w:rsidRDefault="005B6DA0" w:rsidP="005B6DA0">
      <w:pPr>
        <w:tabs>
          <w:tab w:val="left" w:pos="1134"/>
        </w:tabs>
        <w:spacing w:after="120"/>
        <w:contextualSpacing/>
        <w:jc w:val="center"/>
        <w:rPr>
          <w:rFonts w:eastAsia="Times New Roman" w:cs="Times New Roman"/>
          <w:b/>
          <w:bCs/>
          <w:color w:val="000000" w:themeColor="text1"/>
          <w:sz w:val="24"/>
        </w:rPr>
      </w:pPr>
      <w:r w:rsidRPr="00B83AD3">
        <w:rPr>
          <w:rFonts w:eastAsia="Times New Roman" w:cs="Times New Roman"/>
          <w:b/>
          <w:bCs/>
          <w:color w:val="000000" w:themeColor="text1"/>
          <w:sz w:val="24"/>
        </w:rPr>
        <w:lastRenderedPageBreak/>
        <w:t>Latvijas organizācijas – EKA projektu īstenotājas</w:t>
      </w:r>
    </w:p>
    <w:p w14:paraId="665723F5" w14:textId="77777777" w:rsidR="008F44BD" w:rsidRPr="00B83AD3" w:rsidRDefault="008F44BD" w:rsidP="005B6DA0">
      <w:pPr>
        <w:tabs>
          <w:tab w:val="left" w:pos="1134"/>
        </w:tabs>
        <w:spacing w:after="120"/>
        <w:contextualSpacing/>
        <w:jc w:val="center"/>
        <w:rPr>
          <w:rFonts w:eastAsia="Times New Roman" w:cs="Times New Roman"/>
          <w:b/>
          <w:bCs/>
          <w:color w:val="000000" w:themeColor="text1"/>
          <w:sz w:val="22"/>
        </w:rPr>
      </w:pPr>
    </w:p>
    <w:p w14:paraId="665723F6" w14:textId="77777777" w:rsidR="003E58A1" w:rsidRPr="00B83AD3" w:rsidRDefault="0035010A" w:rsidP="001302DC">
      <w:pPr>
        <w:rPr>
          <w:rFonts w:cs="Times New Roman"/>
        </w:rPr>
      </w:pPr>
      <w:r w:rsidRPr="00B83AD3">
        <w:rPr>
          <w:rFonts w:cs="Times New Roman"/>
          <w:noProof/>
          <w:lang w:eastAsia="lv-LV"/>
        </w:rPr>
        <w:drawing>
          <wp:inline distT="0" distB="0" distL="0" distR="0" wp14:anchorId="66572569" wp14:editId="6657256A">
            <wp:extent cx="5772150" cy="29146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65723F7" w14:textId="77777777" w:rsidR="003E58A1" w:rsidRPr="00B83AD3" w:rsidRDefault="003E58A1" w:rsidP="001302DC">
      <w:pPr>
        <w:rPr>
          <w:rFonts w:cs="Times New Roman"/>
        </w:rPr>
      </w:pPr>
    </w:p>
    <w:p w14:paraId="665723F8" w14:textId="5B554055" w:rsidR="003E58A1" w:rsidRPr="00B83AD3" w:rsidRDefault="00B6543A" w:rsidP="00B6543A">
      <w:pPr>
        <w:rPr>
          <w:rFonts w:cs="Times New Roman"/>
        </w:rPr>
      </w:pPr>
      <w:r w:rsidRPr="00B83AD3">
        <w:rPr>
          <w:rFonts w:cs="Times New Roman"/>
        </w:rPr>
        <w:tab/>
      </w:r>
      <w:r w:rsidR="008C05A3" w:rsidRPr="00B83AD3">
        <w:rPr>
          <w:rFonts w:cs="Times New Roman"/>
        </w:rPr>
        <w:t xml:space="preserve">Līdzīga situācija ir arī pēc piesaistītā finansējuma, kur pirmajā trijniekā ir </w:t>
      </w:r>
      <w:r w:rsidR="0074711C" w:rsidRPr="00B83AD3">
        <w:rPr>
          <w:rFonts w:cs="Times New Roman"/>
        </w:rPr>
        <w:t xml:space="preserve">ierindojusies </w:t>
      </w:r>
      <w:r w:rsidR="008C05A3" w:rsidRPr="00B83AD3">
        <w:rPr>
          <w:rFonts w:cs="Times New Roman"/>
        </w:rPr>
        <w:t xml:space="preserve">SIA </w:t>
      </w:r>
      <w:r w:rsidR="00F907C0" w:rsidRPr="00B83AD3">
        <w:rPr>
          <w:rFonts w:cs="Times New Roman"/>
          <w:sz w:val="28"/>
          <w:szCs w:val="28"/>
        </w:rPr>
        <w:t>"</w:t>
      </w:r>
      <w:proofErr w:type="spellStart"/>
      <w:r w:rsidR="008C05A3" w:rsidRPr="00B83AD3">
        <w:rPr>
          <w:rFonts w:cs="Times New Roman"/>
        </w:rPr>
        <w:t>Eventech</w:t>
      </w:r>
      <w:proofErr w:type="spellEnd"/>
      <w:r w:rsidR="00F907C0" w:rsidRPr="00B83AD3">
        <w:rPr>
          <w:rFonts w:cs="Times New Roman"/>
          <w:sz w:val="28"/>
          <w:szCs w:val="28"/>
        </w:rPr>
        <w:t>"</w:t>
      </w:r>
      <w:r w:rsidR="008C05A3" w:rsidRPr="00B83AD3">
        <w:rPr>
          <w:rFonts w:cs="Times New Roman"/>
        </w:rPr>
        <w:t>, kas izstrādā augstas precizi</w:t>
      </w:r>
      <w:r w:rsidR="00C82E12" w:rsidRPr="00B83AD3">
        <w:rPr>
          <w:rFonts w:cs="Times New Roman"/>
        </w:rPr>
        <w:t xml:space="preserve">tātes laika notikumu mērītājus un </w:t>
      </w:r>
      <w:r w:rsidR="006C4C3E" w:rsidRPr="00B83AD3">
        <w:rPr>
          <w:rFonts w:cs="Times New Roman"/>
        </w:rPr>
        <w:t xml:space="preserve">satelītu </w:t>
      </w:r>
      <w:proofErr w:type="spellStart"/>
      <w:r w:rsidR="006C4C3E" w:rsidRPr="00B83AD3">
        <w:rPr>
          <w:rFonts w:cs="Times New Roman"/>
        </w:rPr>
        <w:t>lāzerlokācijas</w:t>
      </w:r>
      <w:proofErr w:type="spellEnd"/>
      <w:r w:rsidR="00C82E12" w:rsidRPr="00B83AD3">
        <w:rPr>
          <w:rFonts w:cs="Times New Roman"/>
        </w:rPr>
        <w:t xml:space="preserve"> tehnoloģijas. Trīs veiksmīgākās organizācijas pēc piesaistītā finansējuma savu tehnoloģiju attīstībai ir ieguvušas 2,18 milj. </w:t>
      </w:r>
      <w:r w:rsidR="00C82E12" w:rsidRPr="00B83AD3">
        <w:rPr>
          <w:rFonts w:cs="Times New Roman"/>
          <w:i/>
        </w:rPr>
        <w:t>euro</w:t>
      </w:r>
      <w:r w:rsidR="00C82E12" w:rsidRPr="00B83AD3">
        <w:rPr>
          <w:rFonts w:cs="Times New Roman"/>
        </w:rPr>
        <w:t xml:space="preserve">. </w:t>
      </w:r>
    </w:p>
    <w:p w14:paraId="665723F9" w14:textId="77777777" w:rsidR="003E58A1" w:rsidRPr="00B83AD3" w:rsidRDefault="00C82E12" w:rsidP="003A2541">
      <w:pPr>
        <w:rPr>
          <w:rFonts w:cs="Times New Roman"/>
        </w:rPr>
      </w:pPr>
      <w:r w:rsidRPr="00B83AD3">
        <w:rPr>
          <w:rFonts w:cs="Times New Roman"/>
        </w:rPr>
        <w:tab/>
        <w:t>Analizējot ESV</w:t>
      </w:r>
      <w:r w:rsidR="002760D9" w:rsidRPr="00B83AD3">
        <w:rPr>
          <w:rFonts w:cs="Times New Roman"/>
        </w:rPr>
        <w:t xml:space="preserve"> līguma ietvaros izstrādāt</w:t>
      </w:r>
      <w:r w:rsidR="00A957FA" w:rsidRPr="00B83AD3">
        <w:rPr>
          <w:rFonts w:cs="Times New Roman"/>
        </w:rPr>
        <w:t xml:space="preserve">o </w:t>
      </w:r>
      <w:r w:rsidR="002760D9" w:rsidRPr="00B83AD3">
        <w:rPr>
          <w:rFonts w:cs="Times New Roman"/>
        </w:rPr>
        <w:t>tehnolo</w:t>
      </w:r>
      <w:r w:rsidR="00A957FA" w:rsidRPr="00B83AD3">
        <w:rPr>
          <w:rFonts w:cs="Times New Roman"/>
        </w:rPr>
        <w:t>ģiju un pielietojumu iestrādnes</w:t>
      </w:r>
      <w:r w:rsidR="002760D9" w:rsidRPr="00B83AD3">
        <w:rPr>
          <w:rFonts w:cs="Times New Roman"/>
        </w:rPr>
        <w:t xml:space="preserve"> pēc mērķa tehnoloģiju gatavības līmeņa</w:t>
      </w:r>
      <w:r w:rsidR="00A957FA" w:rsidRPr="00B83AD3">
        <w:rPr>
          <w:rStyle w:val="FootnoteReference"/>
          <w:rFonts w:cs="Times New Roman"/>
        </w:rPr>
        <w:footnoteReference w:id="8"/>
      </w:r>
      <w:r w:rsidR="002760D9" w:rsidRPr="00B83AD3">
        <w:rPr>
          <w:rFonts w:cs="Times New Roman"/>
        </w:rPr>
        <w:t xml:space="preserve"> (</w:t>
      </w:r>
      <w:proofErr w:type="spellStart"/>
      <w:r w:rsidR="002760D9" w:rsidRPr="00B83AD3">
        <w:rPr>
          <w:rFonts w:cs="Times New Roman"/>
          <w:i/>
        </w:rPr>
        <w:t>technology</w:t>
      </w:r>
      <w:proofErr w:type="spellEnd"/>
      <w:r w:rsidR="002760D9" w:rsidRPr="00B83AD3">
        <w:rPr>
          <w:rFonts w:cs="Times New Roman"/>
          <w:i/>
        </w:rPr>
        <w:t xml:space="preserve"> </w:t>
      </w:r>
      <w:proofErr w:type="spellStart"/>
      <w:r w:rsidR="002760D9" w:rsidRPr="00B83AD3">
        <w:rPr>
          <w:rFonts w:cs="Times New Roman"/>
          <w:i/>
        </w:rPr>
        <w:t>readiness</w:t>
      </w:r>
      <w:proofErr w:type="spellEnd"/>
      <w:r w:rsidR="002760D9" w:rsidRPr="00B83AD3">
        <w:rPr>
          <w:rFonts w:cs="Times New Roman"/>
          <w:i/>
        </w:rPr>
        <w:t xml:space="preserve"> </w:t>
      </w:r>
      <w:proofErr w:type="spellStart"/>
      <w:r w:rsidR="002760D9" w:rsidRPr="00B83AD3">
        <w:rPr>
          <w:rFonts w:cs="Times New Roman"/>
          <w:i/>
        </w:rPr>
        <w:t>level</w:t>
      </w:r>
      <w:proofErr w:type="spellEnd"/>
      <w:r w:rsidR="00A957FA" w:rsidRPr="00B83AD3">
        <w:rPr>
          <w:rFonts w:cs="Times New Roman"/>
        </w:rPr>
        <w:t xml:space="preserve"> </w:t>
      </w:r>
      <w:r w:rsidR="00097393" w:rsidRPr="00B83AD3">
        <w:rPr>
          <w:rFonts w:cs="Times New Roman"/>
        </w:rPr>
        <w:t xml:space="preserve">(turpmāk </w:t>
      </w:r>
      <w:r w:rsidR="00A957FA" w:rsidRPr="00B83AD3">
        <w:rPr>
          <w:rFonts w:cs="Times New Roman"/>
        </w:rPr>
        <w:t>– TRL</w:t>
      </w:r>
      <w:r w:rsidR="002760D9" w:rsidRPr="00B83AD3">
        <w:rPr>
          <w:rFonts w:cs="Times New Roman"/>
        </w:rPr>
        <w:t>)</w:t>
      </w:r>
      <w:r w:rsidR="008F44BD" w:rsidRPr="00B83AD3">
        <w:rPr>
          <w:rFonts w:cs="Times New Roman"/>
        </w:rPr>
        <w:t>)</w:t>
      </w:r>
      <w:r w:rsidR="00BD3BA7" w:rsidRPr="00B83AD3">
        <w:rPr>
          <w:rFonts w:cs="Times New Roman"/>
        </w:rPr>
        <w:t xml:space="preserve">, </w:t>
      </w:r>
      <w:r w:rsidR="00A957FA" w:rsidRPr="00B83AD3">
        <w:rPr>
          <w:rFonts w:cs="Times New Roman"/>
        </w:rPr>
        <w:t>redzams, ka lielākā daļa aktivitāšu atrodas TRL skalā – 3, kas nozīmē</w:t>
      </w:r>
      <w:r w:rsidR="00624CA8" w:rsidRPr="00B83AD3">
        <w:rPr>
          <w:rFonts w:cs="Times New Roman"/>
        </w:rPr>
        <w:t>, ka</w:t>
      </w:r>
      <w:r w:rsidR="00A957FA" w:rsidRPr="00B83AD3">
        <w:rPr>
          <w:rFonts w:cs="Times New Roman"/>
        </w:rPr>
        <w:t xml:space="preserve"> izstrādātā tehnoloģija atrodas demonstrācijas fāzē</w:t>
      </w:r>
      <w:r w:rsidR="00FD5356" w:rsidRPr="00B83AD3">
        <w:rPr>
          <w:rFonts w:cs="Times New Roman"/>
        </w:rPr>
        <w:t>,</w:t>
      </w:r>
      <w:r w:rsidR="00A957FA" w:rsidRPr="00B83AD3">
        <w:rPr>
          <w:rFonts w:cs="Times New Roman"/>
        </w:rPr>
        <w:t xml:space="preserve"> izmantojot analītiskos modeļus, kuru</w:t>
      </w:r>
      <w:r w:rsidRPr="00B83AD3">
        <w:rPr>
          <w:rFonts w:cs="Times New Roman"/>
        </w:rPr>
        <w:t>s</w:t>
      </w:r>
      <w:r w:rsidR="00A957FA" w:rsidRPr="00B83AD3">
        <w:rPr>
          <w:rFonts w:cs="Times New Roman"/>
        </w:rPr>
        <w:t xml:space="preserve"> atbalsta </w:t>
      </w:r>
      <w:r w:rsidR="001D4872" w:rsidRPr="00B83AD3">
        <w:rPr>
          <w:rFonts w:cs="Times New Roman"/>
        </w:rPr>
        <w:t>eksperimentāli dati. Tikai neliela daļa tehnoloģisko un pielietojumu iestrādņu</w:t>
      </w:r>
      <w:r w:rsidR="00624CA8" w:rsidRPr="00B83AD3">
        <w:rPr>
          <w:rFonts w:cs="Times New Roman"/>
        </w:rPr>
        <w:t xml:space="preserve"> </w:t>
      </w:r>
      <w:r w:rsidR="001D4872" w:rsidRPr="00B83AD3">
        <w:rPr>
          <w:rFonts w:cs="Times New Roman"/>
        </w:rPr>
        <w:t>atrodas daudz nobriedušākos tehnoloģijas gatavības līmeņos</w:t>
      </w:r>
      <w:r w:rsidRPr="00B83AD3">
        <w:rPr>
          <w:rFonts w:cs="Times New Roman"/>
        </w:rPr>
        <w:t xml:space="preserve"> TRL 6 – 7</w:t>
      </w:r>
      <w:r w:rsidR="001D4872" w:rsidRPr="00B83AD3">
        <w:rPr>
          <w:rFonts w:cs="Times New Roman"/>
        </w:rPr>
        <w:t>. Tabula</w:t>
      </w:r>
      <w:r w:rsidR="003A2541" w:rsidRPr="00B83AD3">
        <w:rPr>
          <w:rFonts w:cs="Times New Roman"/>
        </w:rPr>
        <w:t xml:space="preserve"> Nr.</w:t>
      </w:r>
      <w:r w:rsidR="00FD5356" w:rsidRPr="00B83AD3">
        <w:rPr>
          <w:rFonts w:cs="Times New Roman"/>
        </w:rPr>
        <w:t xml:space="preserve"> </w:t>
      </w:r>
      <w:r w:rsidR="003A2541" w:rsidRPr="00B83AD3">
        <w:rPr>
          <w:rFonts w:cs="Times New Roman"/>
        </w:rPr>
        <w:t>3</w:t>
      </w:r>
      <w:r w:rsidR="001D4872" w:rsidRPr="00B83AD3">
        <w:rPr>
          <w:rFonts w:cs="Times New Roman"/>
        </w:rPr>
        <w:t xml:space="preserve"> demonstrē EKA projektu īstenoto aktivitāšu sadalījumu pēc</w:t>
      </w:r>
      <w:r w:rsidRPr="00B83AD3">
        <w:rPr>
          <w:rFonts w:cs="Times New Roman"/>
        </w:rPr>
        <w:t xml:space="preserve"> mērķa</w:t>
      </w:r>
      <w:r w:rsidR="001D4872" w:rsidRPr="00B83AD3">
        <w:rPr>
          <w:rFonts w:cs="Times New Roman"/>
        </w:rPr>
        <w:t xml:space="preserve"> TRL</w:t>
      </w:r>
      <w:r w:rsidR="003A2541" w:rsidRPr="00B83AD3">
        <w:rPr>
          <w:rFonts w:cs="Times New Roman"/>
        </w:rPr>
        <w:t xml:space="preserve"> skalas</w:t>
      </w:r>
      <w:r w:rsidRPr="00B83AD3">
        <w:rPr>
          <w:rFonts w:cs="Times New Roman"/>
        </w:rPr>
        <w:t>.</w:t>
      </w:r>
    </w:p>
    <w:p w14:paraId="665723FA" w14:textId="77777777" w:rsidR="001302DC" w:rsidRPr="00B83AD3" w:rsidRDefault="003E58A1" w:rsidP="001302DC">
      <w:pPr>
        <w:rPr>
          <w:rFonts w:cs="Times New Roman"/>
        </w:rPr>
      </w:pPr>
      <w:r w:rsidRPr="00B83AD3">
        <w:rPr>
          <w:rFonts w:cs="Times New Roman"/>
        </w:rPr>
        <w:t xml:space="preserve"> </w:t>
      </w:r>
      <w:r w:rsidRPr="00B83AD3">
        <w:rPr>
          <w:rFonts w:cs="Times New Roman"/>
        </w:rPr>
        <w:tab/>
      </w:r>
    </w:p>
    <w:p w14:paraId="665723FB" w14:textId="77777777" w:rsidR="001D4872" w:rsidRPr="00B83AD3" w:rsidRDefault="003A2541" w:rsidP="003A2541">
      <w:pPr>
        <w:jc w:val="right"/>
        <w:rPr>
          <w:rFonts w:cs="Times New Roman"/>
          <w:sz w:val="24"/>
          <w:szCs w:val="24"/>
        </w:rPr>
      </w:pPr>
      <w:r w:rsidRPr="00B83AD3">
        <w:rPr>
          <w:rFonts w:cs="Times New Roman"/>
          <w:sz w:val="24"/>
          <w:szCs w:val="24"/>
        </w:rPr>
        <w:t xml:space="preserve">Tabula </w:t>
      </w:r>
      <w:r w:rsidR="00FD5356" w:rsidRPr="00B83AD3">
        <w:rPr>
          <w:rFonts w:cs="Times New Roman"/>
          <w:sz w:val="24"/>
          <w:szCs w:val="24"/>
        </w:rPr>
        <w:t xml:space="preserve">Nr. </w:t>
      </w:r>
      <w:r w:rsidRPr="00B83AD3">
        <w:rPr>
          <w:rFonts w:cs="Times New Roman"/>
          <w:sz w:val="24"/>
          <w:szCs w:val="24"/>
        </w:rPr>
        <w:t xml:space="preserve">3 </w:t>
      </w:r>
    </w:p>
    <w:p w14:paraId="665723FC" w14:textId="77777777" w:rsidR="00193004" w:rsidRPr="00B83AD3" w:rsidRDefault="003A2541" w:rsidP="006C4C3E">
      <w:pPr>
        <w:jc w:val="center"/>
        <w:rPr>
          <w:rFonts w:cs="Times New Roman"/>
          <w:b/>
          <w:sz w:val="24"/>
          <w:szCs w:val="24"/>
        </w:rPr>
      </w:pPr>
      <w:r w:rsidRPr="00B83AD3">
        <w:rPr>
          <w:rFonts w:cs="Times New Roman"/>
          <w:b/>
          <w:sz w:val="24"/>
          <w:szCs w:val="24"/>
        </w:rPr>
        <w:t>Latvijas organizāciju īstenotās aktivitātes pēc TRL skalas</w:t>
      </w:r>
    </w:p>
    <w:p w14:paraId="665723FD" w14:textId="77777777" w:rsidR="005A235B" w:rsidRPr="00B83AD3" w:rsidRDefault="005A235B" w:rsidP="006C4C3E">
      <w:pPr>
        <w:jc w:val="center"/>
        <w:rPr>
          <w:rFonts w:cs="Times New Roman"/>
          <w:b/>
          <w:sz w:val="22"/>
        </w:rPr>
      </w:pPr>
    </w:p>
    <w:p w14:paraId="665723FE" w14:textId="77777777" w:rsidR="00193004" w:rsidRPr="00B83AD3" w:rsidRDefault="00193004" w:rsidP="003A2541">
      <w:pPr>
        <w:jc w:val="center"/>
        <w:rPr>
          <w:rFonts w:cs="Times New Roman"/>
          <w:b/>
        </w:rPr>
      </w:pPr>
      <w:r w:rsidRPr="00B83AD3">
        <w:rPr>
          <w:rFonts w:cs="Times New Roman"/>
          <w:b/>
          <w:noProof/>
          <w:lang w:eastAsia="lv-LV"/>
        </w:rPr>
        <w:drawing>
          <wp:inline distT="0" distB="0" distL="0" distR="0" wp14:anchorId="6657256B" wp14:editId="6657256C">
            <wp:extent cx="5676900" cy="200025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65723FF" w14:textId="77777777" w:rsidR="00B55C29" w:rsidRPr="00B83AD3" w:rsidRDefault="00B55C29" w:rsidP="001302DC">
      <w:pPr>
        <w:rPr>
          <w:rFonts w:cs="Times New Roman"/>
        </w:rPr>
      </w:pPr>
    </w:p>
    <w:p w14:paraId="66572400" w14:textId="77777777" w:rsidR="001D4872" w:rsidRPr="00B83AD3" w:rsidRDefault="006B6C5B" w:rsidP="001302DC">
      <w:pPr>
        <w:rPr>
          <w:rFonts w:cs="Times New Roman"/>
        </w:rPr>
      </w:pPr>
      <w:r w:rsidRPr="00B83AD3">
        <w:rPr>
          <w:rFonts w:cs="Times New Roman"/>
        </w:rPr>
        <w:lastRenderedPageBreak/>
        <w:tab/>
        <w:t>L</w:t>
      </w:r>
      <w:r w:rsidR="00624CA8" w:rsidRPr="00B83AD3">
        <w:rPr>
          <w:rFonts w:cs="Times New Roman"/>
        </w:rPr>
        <w:t>ielākā daļa tehnoloģiju un pielietojumu atrodas agrās tehnoloģiju gatavības fāzēs un tikai neliela daļa tuvojas TRL skalas līmeņiem 8 un 9, kas nozīmē, ka tehnoloģija</w:t>
      </w:r>
      <w:r w:rsidR="00C82E12" w:rsidRPr="00B83AD3">
        <w:rPr>
          <w:rFonts w:cs="Times New Roman"/>
        </w:rPr>
        <w:t xml:space="preserve"> </w:t>
      </w:r>
      <w:r w:rsidR="00624CA8" w:rsidRPr="00B83AD3">
        <w:rPr>
          <w:rFonts w:cs="Times New Roman"/>
        </w:rPr>
        <w:t xml:space="preserve">ir </w:t>
      </w:r>
      <w:r w:rsidR="00C82E12" w:rsidRPr="00B83AD3">
        <w:rPr>
          <w:rFonts w:cs="Times New Roman"/>
        </w:rPr>
        <w:t xml:space="preserve">sasniegusi </w:t>
      </w:r>
      <w:r w:rsidR="00FD5356" w:rsidRPr="00B83AD3">
        <w:rPr>
          <w:rFonts w:cs="Times New Roman"/>
        </w:rPr>
        <w:t xml:space="preserve">pietiekami augstu </w:t>
      </w:r>
      <w:r w:rsidR="00A57E27" w:rsidRPr="00B83AD3">
        <w:rPr>
          <w:rFonts w:cs="Times New Roman"/>
        </w:rPr>
        <w:t>rādītāju</w:t>
      </w:r>
      <w:r w:rsidR="00C82E12" w:rsidRPr="00B83AD3">
        <w:rPr>
          <w:rFonts w:cs="Times New Roman"/>
        </w:rPr>
        <w:t>, lai to</w:t>
      </w:r>
      <w:r w:rsidR="00624CA8" w:rsidRPr="00B83AD3">
        <w:rPr>
          <w:rFonts w:cs="Times New Roman"/>
        </w:rPr>
        <w:t xml:space="preserve"> komercializ</w:t>
      </w:r>
      <w:r w:rsidR="00C82E12" w:rsidRPr="00B83AD3">
        <w:rPr>
          <w:rFonts w:cs="Times New Roman"/>
        </w:rPr>
        <w:t>ētu</w:t>
      </w:r>
      <w:r w:rsidR="00947C6C" w:rsidRPr="00B83AD3">
        <w:rPr>
          <w:rFonts w:cs="Times New Roman"/>
        </w:rPr>
        <w:t xml:space="preserve"> globālā tirgū.</w:t>
      </w:r>
    </w:p>
    <w:p w14:paraId="66572401" w14:textId="13AA05F4" w:rsidR="00235A65" w:rsidRPr="00B83AD3" w:rsidRDefault="00FE05E7" w:rsidP="001302DC">
      <w:pPr>
        <w:rPr>
          <w:rFonts w:cs="Times New Roman"/>
        </w:rPr>
      </w:pPr>
      <w:r w:rsidRPr="00B83AD3">
        <w:rPr>
          <w:rFonts w:cs="Times New Roman"/>
        </w:rPr>
        <w:tab/>
        <w:t xml:space="preserve">Analizējot </w:t>
      </w:r>
      <w:r w:rsidR="007B19F8" w:rsidRPr="00B83AD3">
        <w:rPr>
          <w:rFonts w:cs="Times New Roman"/>
        </w:rPr>
        <w:t>ESV līgumu</w:t>
      </w:r>
      <w:r w:rsidRPr="00B83AD3">
        <w:rPr>
          <w:rFonts w:cs="Times New Roman"/>
        </w:rPr>
        <w:t xml:space="preserve"> ietvaros veiktās aktivit</w:t>
      </w:r>
      <w:r w:rsidR="007B19F8" w:rsidRPr="00B83AD3">
        <w:rPr>
          <w:rFonts w:cs="Times New Roman"/>
        </w:rPr>
        <w:t>ātes</w:t>
      </w:r>
      <w:r w:rsidR="006B6C5B" w:rsidRPr="00B83AD3">
        <w:rPr>
          <w:rFonts w:cs="Times New Roman"/>
        </w:rPr>
        <w:t>, tās</w:t>
      </w:r>
      <w:r w:rsidR="00A06DF9" w:rsidRPr="00B83AD3">
        <w:rPr>
          <w:rFonts w:cs="Times New Roman"/>
        </w:rPr>
        <w:t xml:space="preserve"> </w:t>
      </w:r>
      <w:r w:rsidRPr="00B83AD3">
        <w:rPr>
          <w:rFonts w:cs="Times New Roman"/>
        </w:rPr>
        <w:t>var iedalīt divās lielās grupās</w:t>
      </w:r>
      <w:r w:rsidR="00A06DF9" w:rsidRPr="00B83AD3">
        <w:rPr>
          <w:rFonts w:cs="Times New Roman"/>
        </w:rPr>
        <w:t xml:space="preserve"> – tehnoloģijas un pielietojumi, </w:t>
      </w:r>
      <w:r w:rsidR="006256F8" w:rsidRPr="00B83AD3">
        <w:rPr>
          <w:rFonts w:cs="Times New Roman"/>
        </w:rPr>
        <w:t xml:space="preserve">kas </w:t>
      </w:r>
      <w:r w:rsidR="00A06DF9" w:rsidRPr="00B83AD3">
        <w:rPr>
          <w:rFonts w:cs="Times New Roman"/>
        </w:rPr>
        <w:t xml:space="preserve">vērsti </w:t>
      </w:r>
      <w:r w:rsidR="00C82E12" w:rsidRPr="00B83AD3">
        <w:rPr>
          <w:rFonts w:cs="Times New Roman"/>
        </w:rPr>
        <w:t xml:space="preserve">uz </w:t>
      </w:r>
      <w:r w:rsidR="00A06DF9" w:rsidRPr="00B83AD3">
        <w:rPr>
          <w:rFonts w:cs="Times New Roman"/>
        </w:rPr>
        <w:t>augšupējo tirgu (</w:t>
      </w:r>
      <w:proofErr w:type="spellStart"/>
      <w:r w:rsidR="00A06DF9" w:rsidRPr="00B83AD3">
        <w:rPr>
          <w:rFonts w:cs="Times New Roman"/>
          <w:i/>
        </w:rPr>
        <w:t>upstream</w:t>
      </w:r>
      <w:proofErr w:type="spellEnd"/>
      <w:r w:rsidR="00A06DF9" w:rsidRPr="00B83AD3">
        <w:rPr>
          <w:rFonts w:cs="Times New Roman"/>
          <w:i/>
        </w:rPr>
        <w:t xml:space="preserve"> </w:t>
      </w:r>
      <w:proofErr w:type="spellStart"/>
      <w:r w:rsidR="00A06DF9" w:rsidRPr="00B83AD3">
        <w:rPr>
          <w:rFonts w:cs="Times New Roman"/>
          <w:i/>
        </w:rPr>
        <w:t>sector</w:t>
      </w:r>
      <w:proofErr w:type="spellEnd"/>
      <w:r w:rsidR="00A06DF9" w:rsidRPr="00B83AD3">
        <w:rPr>
          <w:rFonts w:cs="Times New Roman"/>
        </w:rPr>
        <w:t>)</w:t>
      </w:r>
      <w:r w:rsidR="00A06DF9" w:rsidRPr="00B83AD3">
        <w:rPr>
          <w:rStyle w:val="FootnoteReference"/>
          <w:rFonts w:cs="Times New Roman"/>
        </w:rPr>
        <w:footnoteReference w:id="9"/>
      </w:r>
      <w:r w:rsidR="00A06DF9" w:rsidRPr="00B83AD3">
        <w:rPr>
          <w:rFonts w:cs="Times New Roman"/>
        </w:rPr>
        <w:t xml:space="preserve"> un lejupējo</w:t>
      </w:r>
      <w:r w:rsidR="007B19F8" w:rsidRPr="00B83AD3">
        <w:rPr>
          <w:rFonts w:cs="Times New Roman"/>
        </w:rPr>
        <w:t xml:space="preserve"> tirgu</w:t>
      </w:r>
      <w:r w:rsidR="00A06DF9" w:rsidRPr="00B83AD3">
        <w:rPr>
          <w:rFonts w:cs="Times New Roman"/>
        </w:rPr>
        <w:t xml:space="preserve"> (</w:t>
      </w:r>
      <w:proofErr w:type="spellStart"/>
      <w:r w:rsidR="00A06DF9" w:rsidRPr="00B83AD3">
        <w:rPr>
          <w:rFonts w:cs="Times New Roman"/>
          <w:i/>
        </w:rPr>
        <w:t>downstream</w:t>
      </w:r>
      <w:proofErr w:type="spellEnd"/>
      <w:r w:rsidR="00A06DF9" w:rsidRPr="00B83AD3">
        <w:rPr>
          <w:rFonts w:cs="Times New Roman"/>
          <w:i/>
        </w:rPr>
        <w:t xml:space="preserve"> </w:t>
      </w:r>
      <w:proofErr w:type="spellStart"/>
      <w:r w:rsidR="00A06DF9" w:rsidRPr="00B83AD3">
        <w:rPr>
          <w:rFonts w:cs="Times New Roman"/>
          <w:i/>
        </w:rPr>
        <w:t>sector</w:t>
      </w:r>
      <w:proofErr w:type="spellEnd"/>
      <w:r w:rsidR="00A06DF9" w:rsidRPr="00B83AD3">
        <w:rPr>
          <w:rFonts w:cs="Times New Roman"/>
        </w:rPr>
        <w:t>)</w:t>
      </w:r>
      <w:r w:rsidR="00A06DF9" w:rsidRPr="00B83AD3">
        <w:rPr>
          <w:rStyle w:val="FootnoteReference"/>
          <w:rFonts w:cs="Times New Roman"/>
        </w:rPr>
        <w:footnoteReference w:id="10"/>
      </w:r>
      <w:r w:rsidR="00A06DF9" w:rsidRPr="00B83AD3">
        <w:rPr>
          <w:rFonts w:cs="Times New Roman"/>
        </w:rPr>
        <w:t>, savukārt tos iedala detalizētākās kategorijās, kam pamatā ir tehnoloģiju veids vai lejupējā tirgus gadījumā</w:t>
      </w:r>
      <w:r w:rsidR="00FD5356" w:rsidRPr="00B83AD3">
        <w:rPr>
          <w:rFonts w:cs="Times New Roman"/>
        </w:rPr>
        <w:t xml:space="preserve"> </w:t>
      </w:r>
      <w:r w:rsidR="00FD5356" w:rsidRPr="00B83AD3">
        <w:rPr>
          <w:rFonts w:cs="Times New Roman"/>
          <w:color w:val="000000"/>
          <w:shd w:val="clear" w:color="auto" w:fill="F9F9F9"/>
        </w:rPr>
        <w:t>–</w:t>
      </w:r>
      <w:r w:rsidR="00A06DF9" w:rsidRPr="00B83AD3">
        <w:rPr>
          <w:rFonts w:cs="Times New Roman"/>
        </w:rPr>
        <w:t xml:space="preserve"> izmantotās kosmosa infrastruktūras veids. </w:t>
      </w:r>
      <w:r w:rsidR="0030486A" w:rsidRPr="00B83AD3">
        <w:rPr>
          <w:rFonts w:cs="Times New Roman"/>
        </w:rPr>
        <w:t xml:space="preserve">Savukārt izglītības projekti ir vērsti uz sabiedrības izpratnes veicināšanu par kosmosa nozari un tehnoloģijām, kā arī </w:t>
      </w:r>
      <w:r w:rsidR="00BF5CD0" w:rsidRPr="00B83AD3">
        <w:rPr>
          <w:rFonts w:cs="Times New Roman"/>
        </w:rPr>
        <w:t xml:space="preserve">to ietvaros tiek izstrādātas augstskolu studiju </w:t>
      </w:r>
      <w:r w:rsidR="0030486A" w:rsidRPr="00B83AD3">
        <w:rPr>
          <w:rFonts w:cs="Times New Roman"/>
        </w:rPr>
        <w:t>programmas</w:t>
      </w:r>
      <w:r w:rsidR="00BF5CD0" w:rsidRPr="00B83AD3">
        <w:rPr>
          <w:rFonts w:cs="Times New Roman"/>
        </w:rPr>
        <w:t xml:space="preserve">, lai nodrošinātu kvalificētus cilvēkresursus nozarei nākotnē. </w:t>
      </w:r>
      <w:r w:rsidR="007B19F8" w:rsidRPr="00B83AD3">
        <w:rPr>
          <w:rFonts w:cs="Times New Roman"/>
        </w:rPr>
        <w:t>Tabula Nr. 4 piedāvā ESV</w:t>
      </w:r>
      <w:r w:rsidR="007847CF" w:rsidRPr="00B83AD3">
        <w:rPr>
          <w:rFonts w:cs="Times New Roman"/>
        </w:rPr>
        <w:t xml:space="preserve"> līguma ietvaros attīstīto tehnoloģiju un pielietojumu apskatu, ievērojot to TRL skalu un piederību pie noteiktas kosmosa tehnoloģiju un pielietojumu kategorijas. </w:t>
      </w:r>
      <w:r w:rsidR="00C74738" w:rsidRPr="00B83AD3">
        <w:rPr>
          <w:rFonts w:cs="Times New Roman"/>
        </w:rPr>
        <w:t xml:space="preserve">Vairākiem </w:t>
      </w:r>
      <w:r w:rsidR="00DC6116" w:rsidRPr="00B83AD3">
        <w:rPr>
          <w:rFonts w:cs="Times New Roman"/>
        </w:rPr>
        <w:t xml:space="preserve">Latvijas </w:t>
      </w:r>
      <w:r w:rsidR="00C76410" w:rsidRPr="00B83AD3">
        <w:rPr>
          <w:rFonts w:cs="Times New Roman"/>
        </w:rPr>
        <w:t>komersantiem</w:t>
      </w:r>
      <w:r w:rsidR="00C74738" w:rsidRPr="00B83AD3">
        <w:rPr>
          <w:rFonts w:cs="Times New Roman"/>
        </w:rPr>
        <w:t xml:space="preserve"> kā SIA </w:t>
      </w:r>
      <w:r w:rsidR="00F907C0" w:rsidRPr="00B83AD3">
        <w:rPr>
          <w:rFonts w:cs="Times New Roman"/>
          <w:sz w:val="28"/>
          <w:szCs w:val="28"/>
        </w:rPr>
        <w:t>"</w:t>
      </w:r>
      <w:proofErr w:type="spellStart"/>
      <w:r w:rsidR="00C74738" w:rsidRPr="00B83AD3">
        <w:rPr>
          <w:rFonts w:cs="Times New Roman"/>
          <w:i/>
        </w:rPr>
        <w:t>Axon</w:t>
      </w:r>
      <w:proofErr w:type="spellEnd"/>
      <w:r w:rsidR="00C74738" w:rsidRPr="00B83AD3">
        <w:rPr>
          <w:rFonts w:cs="Times New Roman"/>
          <w:i/>
        </w:rPr>
        <w:t xml:space="preserve"> </w:t>
      </w:r>
      <w:proofErr w:type="spellStart"/>
      <w:r w:rsidR="00C74738" w:rsidRPr="00B83AD3">
        <w:rPr>
          <w:rFonts w:cs="Times New Roman"/>
          <w:i/>
        </w:rPr>
        <w:t>cable</w:t>
      </w:r>
      <w:proofErr w:type="spellEnd"/>
      <w:r w:rsidR="00C74738" w:rsidRPr="00B83AD3">
        <w:rPr>
          <w:rFonts w:cs="Times New Roman"/>
          <w:i/>
        </w:rPr>
        <w:t xml:space="preserve"> Latvia</w:t>
      </w:r>
      <w:r w:rsidR="00F907C0" w:rsidRPr="00B83AD3">
        <w:rPr>
          <w:rFonts w:cs="Times New Roman"/>
          <w:sz w:val="28"/>
          <w:szCs w:val="28"/>
        </w:rPr>
        <w:t>"</w:t>
      </w:r>
      <w:r w:rsidR="00C74738" w:rsidRPr="00B83AD3">
        <w:rPr>
          <w:rFonts w:cs="Times New Roman"/>
        </w:rPr>
        <w:t xml:space="preserve"> un SIA </w:t>
      </w:r>
      <w:r w:rsidR="00F907C0" w:rsidRPr="00B83AD3">
        <w:rPr>
          <w:rFonts w:cs="Times New Roman"/>
          <w:sz w:val="28"/>
          <w:szCs w:val="28"/>
        </w:rPr>
        <w:t>"</w:t>
      </w:r>
      <w:proofErr w:type="spellStart"/>
      <w:r w:rsidR="00C74738" w:rsidRPr="00B83AD3">
        <w:rPr>
          <w:rFonts w:cs="Times New Roman"/>
          <w:i/>
        </w:rPr>
        <w:t>Fiber</w:t>
      </w:r>
      <w:proofErr w:type="spellEnd"/>
      <w:r w:rsidR="00C74738" w:rsidRPr="00B83AD3">
        <w:rPr>
          <w:rFonts w:cs="Times New Roman"/>
          <w:i/>
        </w:rPr>
        <w:t xml:space="preserve"> </w:t>
      </w:r>
      <w:proofErr w:type="spellStart"/>
      <w:r w:rsidR="00C74738" w:rsidRPr="00B83AD3">
        <w:rPr>
          <w:rFonts w:cs="Times New Roman"/>
          <w:i/>
        </w:rPr>
        <w:t>Optical</w:t>
      </w:r>
      <w:proofErr w:type="spellEnd"/>
      <w:r w:rsidR="00C74738" w:rsidRPr="00B83AD3">
        <w:rPr>
          <w:rFonts w:cs="Times New Roman"/>
          <w:i/>
        </w:rPr>
        <w:t xml:space="preserve"> Solutions</w:t>
      </w:r>
      <w:r w:rsidR="00F907C0" w:rsidRPr="00B83AD3">
        <w:rPr>
          <w:rFonts w:cs="Times New Roman"/>
          <w:sz w:val="28"/>
          <w:szCs w:val="28"/>
        </w:rPr>
        <w:t>"</w:t>
      </w:r>
      <w:r w:rsidR="00C74738" w:rsidRPr="00B83AD3">
        <w:rPr>
          <w:rFonts w:cs="Times New Roman"/>
        </w:rPr>
        <w:t xml:space="preserve"> ir neapšaubāma augstas kvalitātes kompetence kosmosa nozarē, bet tie līdz piektajam </w:t>
      </w:r>
      <w:r w:rsidR="007B19F8" w:rsidRPr="00B83AD3">
        <w:rPr>
          <w:rFonts w:cs="Times New Roman"/>
        </w:rPr>
        <w:t xml:space="preserve">EKA </w:t>
      </w:r>
      <w:r w:rsidR="00C74738" w:rsidRPr="00B83AD3">
        <w:rPr>
          <w:rFonts w:cs="Times New Roman"/>
        </w:rPr>
        <w:t>projektu konkursam neb</w:t>
      </w:r>
      <w:r w:rsidR="006B6C5B" w:rsidRPr="00B83AD3">
        <w:rPr>
          <w:rFonts w:cs="Times New Roman"/>
        </w:rPr>
        <w:t>ija iesnieguši nevienu projektu, tādēļ nav iekļauti šajā tabulā.</w:t>
      </w:r>
      <w:r w:rsidR="00C74738" w:rsidRPr="00B83AD3">
        <w:rPr>
          <w:rFonts w:cs="Times New Roman"/>
        </w:rPr>
        <w:t xml:space="preserve"> </w:t>
      </w:r>
      <w:r w:rsidR="00097393" w:rsidRPr="00B83AD3">
        <w:rPr>
          <w:rFonts w:cs="Times New Roman"/>
        </w:rPr>
        <w:t>Tāpat diviem</w:t>
      </w:r>
      <w:r w:rsidR="00C76410" w:rsidRPr="00B83AD3">
        <w:rPr>
          <w:rFonts w:cs="Times New Roman"/>
        </w:rPr>
        <w:t xml:space="preserve"> komersantiem</w:t>
      </w:r>
      <w:r w:rsidR="00F907C0" w:rsidRPr="00B83AD3">
        <w:rPr>
          <w:rFonts w:cs="Times New Roman"/>
        </w:rPr>
        <w:t xml:space="preserve"> SIA </w:t>
      </w:r>
      <w:r w:rsidR="00F907C0" w:rsidRPr="00B83AD3">
        <w:rPr>
          <w:rFonts w:cs="Times New Roman"/>
          <w:sz w:val="28"/>
          <w:szCs w:val="28"/>
        </w:rPr>
        <w:t>"</w:t>
      </w:r>
      <w:r w:rsidR="00097393" w:rsidRPr="00B83AD3">
        <w:rPr>
          <w:rFonts w:cs="Times New Roman"/>
        </w:rPr>
        <w:t xml:space="preserve">HEE </w:t>
      </w:r>
      <w:proofErr w:type="spellStart"/>
      <w:r w:rsidR="00097393" w:rsidRPr="00B83AD3">
        <w:rPr>
          <w:rFonts w:cs="Times New Roman"/>
        </w:rPr>
        <w:t>Photnic</w:t>
      </w:r>
      <w:proofErr w:type="spellEnd"/>
      <w:r w:rsidR="00097393" w:rsidRPr="00B83AD3">
        <w:rPr>
          <w:rFonts w:cs="Times New Roman"/>
        </w:rPr>
        <w:t xml:space="preserve"> Labs</w:t>
      </w:r>
      <w:r w:rsidR="00F907C0" w:rsidRPr="00B83AD3">
        <w:rPr>
          <w:rFonts w:cs="Times New Roman"/>
          <w:sz w:val="28"/>
          <w:szCs w:val="28"/>
        </w:rPr>
        <w:t>"</w:t>
      </w:r>
      <w:r w:rsidR="00097393" w:rsidRPr="00B83AD3">
        <w:rPr>
          <w:rFonts w:cs="Times New Roman"/>
        </w:rPr>
        <w:t xml:space="preserve"> un SIA </w:t>
      </w:r>
      <w:r w:rsidR="00F907C0" w:rsidRPr="00B83AD3">
        <w:rPr>
          <w:rFonts w:cs="Times New Roman"/>
          <w:sz w:val="28"/>
          <w:szCs w:val="28"/>
        </w:rPr>
        <w:t>"</w:t>
      </w:r>
      <w:proofErr w:type="spellStart"/>
      <w:r w:rsidR="00097393" w:rsidRPr="00B83AD3">
        <w:rPr>
          <w:rFonts w:cs="Times New Roman"/>
        </w:rPr>
        <w:t>Cryogenic</w:t>
      </w:r>
      <w:proofErr w:type="spellEnd"/>
      <w:r w:rsidR="00097393" w:rsidRPr="00B83AD3">
        <w:rPr>
          <w:rFonts w:cs="Times New Roman"/>
        </w:rPr>
        <w:t xml:space="preserve"> </w:t>
      </w:r>
      <w:proofErr w:type="spellStart"/>
      <w:r w:rsidR="00097393" w:rsidRPr="00B83AD3">
        <w:rPr>
          <w:rFonts w:cs="Times New Roman"/>
        </w:rPr>
        <w:t>Vacuum</w:t>
      </w:r>
      <w:proofErr w:type="spellEnd"/>
      <w:r w:rsidR="00097393" w:rsidRPr="00B83AD3">
        <w:rPr>
          <w:rFonts w:cs="Times New Roman"/>
        </w:rPr>
        <w:t xml:space="preserve"> </w:t>
      </w:r>
      <w:proofErr w:type="spellStart"/>
      <w:r w:rsidR="00097393" w:rsidRPr="00B83AD3">
        <w:rPr>
          <w:rFonts w:cs="Times New Roman"/>
        </w:rPr>
        <w:t>System</w:t>
      </w:r>
      <w:proofErr w:type="spellEnd"/>
      <w:r w:rsidR="00F907C0" w:rsidRPr="00B83AD3">
        <w:rPr>
          <w:rFonts w:cs="Times New Roman"/>
          <w:sz w:val="28"/>
          <w:szCs w:val="28"/>
        </w:rPr>
        <w:t>"</w:t>
      </w:r>
      <w:r w:rsidR="00097393" w:rsidRPr="00B83AD3">
        <w:rPr>
          <w:rFonts w:cs="Times New Roman"/>
        </w:rPr>
        <w:t xml:space="preserve"> ir atzīta kompetence kosmosa nozarē, taču neviens no iesniegtajiem projektiem nav ieguvis </w:t>
      </w:r>
      <w:proofErr w:type="spellStart"/>
      <w:r w:rsidR="00097393" w:rsidRPr="00B83AD3">
        <w:rPr>
          <w:rFonts w:cs="Times New Roman"/>
        </w:rPr>
        <w:t>virssliekšņa</w:t>
      </w:r>
      <w:proofErr w:type="spellEnd"/>
      <w:r w:rsidR="00097393" w:rsidRPr="00B83AD3">
        <w:rPr>
          <w:rFonts w:cs="Times New Roman"/>
        </w:rPr>
        <w:t xml:space="preserve"> novērtējumu, lai gan ir ieguvuši pētniecības un inovāciju pamatprogrammas </w:t>
      </w:r>
      <w:r w:rsidR="00F907C0" w:rsidRPr="00B83AD3">
        <w:rPr>
          <w:rFonts w:cs="Times New Roman"/>
          <w:sz w:val="28"/>
          <w:szCs w:val="28"/>
        </w:rPr>
        <w:t>"</w:t>
      </w:r>
      <w:r w:rsidR="00097393" w:rsidRPr="00B83AD3">
        <w:rPr>
          <w:rFonts w:cs="Times New Roman"/>
        </w:rPr>
        <w:t>Apvārsnis 2020</w:t>
      </w:r>
      <w:r w:rsidR="00F907C0" w:rsidRPr="00B83AD3">
        <w:rPr>
          <w:rFonts w:cs="Times New Roman"/>
          <w:sz w:val="28"/>
          <w:szCs w:val="28"/>
        </w:rPr>
        <w:t>"</w:t>
      </w:r>
      <w:r w:rsidR="00097393" w:rsidRPr="00B83AD3">
        <w:rPr>
          <w:rFonts w:cs="Times New Roman"/>
        </w:rPr>
        <w:t xml:space="preserve"> sīko, mazo un vidējo uzņēmumu (MVU) instrumenta 1.fāzes projektus kosmosa tematikā.</w:t>
      </w:r>
      <w:r w:rsidR="00097393" w:rsidRPr="00B83AD3">
        <w:rPr>
          <w:rFonts w:cs="Times New Roman"/>
          <w:vertAlign w:val="superscript"/>
        </w:rPr>
        <w:footnoteReference w:id="11"/>
      </w:r>
      <w:r w:rsidR="00097393" w:rsidRPr="00B83AD3">
        <w:rPr>
          <w:rFonts w:cs="Times New Roman"/>
        </w:rPr>
        <w:t xml:space="preserve"> Abi šie gadījumi liecina par vēl neizmantotu potenciālu kosmosa nozarē Latvijā, kas var īstenoties turpmākajos gados.</w:t>
      </w:r>
    </w:p>
    <w:p w14:paraId="66572402" w14:textId="77777777" w:rsidR="00235A65" w:rsidRPr="00B83AD3" w:rsidRDefault="00235A65" w:rsidP="00235A65">
      <w:pPr>
        <w:jc w:val="right"/>
        <w:rPr>
          <w:rFonts w:cs="Times New Roman"/>
          <w:sz w:val="24"/>
        </w:rPr>
      </w:pPr>
      <w:r w:rsidRPr="00B83AD3">
        <w:rPr>
          <w:rFonts w:cs="Times New Roman"/>
          <w:sz w:val="24"/>
        </w:rPr>
        <w:t xml:space="preserve">Tabula </w:t>
      </w:r>
      <w:r w:rsidR="00A57E27" w:rsidRPr="00B83AD3">
        <w:rPr>
          <w:rFonts w:cs="Times New Roman"/>
          <w:sz w:val="24"/>
        </w:rPr>
        <w:t xml:space="preserve">Nr. </w:t>
      </w:r>
      <w:r w:rsidRPr="00B83AD3">
        <w:rPr>
          <w:rFonts w:cs="Times New Roman"/>
          <w:sz w:val="24"/>
        </w:rPr>
        <w:t xml:space="preserve">4 </w:t>
      </w:r>
    </w:p>
    <w:p w14:paraId="66572403" w14:textId="77777777" w:rsidR="00235A65" w:rsidRPr="00B83AD3" w:rsidRDefault="0030486A" w:rsidP="00235A65">
      <w:pPr>
        <w:jc w:val="center"/>
        <w:rPr>
          <w:rFonts w:cs="Times New Roman"/>
          <w:b/>
          <w:sz w:val="24"/>
        </w:rPr>
      </w:pPr>
      <w:r w:rsidRPr="00B83AD3">
        <w:rPr>
          <w:rFonts w:cs="Times New Roman"/>
          <w:b/>
          <w:sz w:val="24"/>
        </w:rPr>
        <w:t>ESV</w:t>
      </w:r>
      <w:r w:rsidR="00235A65" w:rsidRPr="00B83AD3">
        <w:rPr>
          <w:rFonts w:cs="Times New Roman"/>
          <w:b/>
          <w:sz w:val="24"/>
        </w:rPr>
        <w:t xml:space="preserve"> līguma ietvaros </w:t>
      </w:r>
      <w:r w:rsidR="00C73225" w:rsidRPr="00B83AD3">
        <w:rPr>
          <w:rFonts w:cs="Times New Roman"/>
          <w:b/>
          <w:sz w:val="24"/>
        </w:rPr>
        <w:t>attīstīto</w:t>
      </w:r>
      <w:r w:rsidR="00235A65" w:rsidRPr="00B83AD3">
        <w:rPr>
          <w:rFonts w:cs="Times New Roman"/>
          <w:b/>
          <w:sz w:val="24"/>
        </w:rPr>
        <w:t xml:space="preserve"> kosmosa tehnoloģiju kopsavilkums</w:t>
      </w:r>
    </w:p>
    <w:p w14:paraId="66572404" w14:textId="77777777" w:rsidR="00C73225" w:rsidRPr="00B83AD3" w:rsidRDefault="00C73225" w:rsidP="001302DC">
      <w:pPr>
        <w:rPr>
          <w:rFonts w:cs="Times New Roman"/>
        </w:rPr>
      </w:pPr>
    </w:p>
    <w:tbl>
      <w:tblPr>
        <w:tblStyle w:val="GridTable4-Accent4"/>
        <w:tblW w:w="0" w:type="auto"/>
        <w:tblLook w:val="04A0" w:firstRow="1" w:lastRow="0" w:firstColumn="1" w:lastColumn="0" w:noHBand="0" w:noVBand="1"/>
      </w:tblPr>
      <w:tblGrid>
        <w:gridCol w:w="1860"/>
        <w:gridCol w:w="2003"/>
        <w:gridCol w:w="852"/>
        <w:gridCol w:w="972"/>
        <w:gridCol w:w="3374"/>
      </w:tblGrid>
      <w:tr w:rsidR="0030486A" w:rsidRPr="00B83AD3" w14:paraId="6657240A" w14:textId="77777777" w:rsidTr="0030486A">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861" w:type="dxa"/>
          </w:tcPr>
          <w:p w14:paraId="66572405" w14:textId="77777777" w:rsidR="00581FA6" w:rsidRPr="00B83AD3" w:rsidRDefault="00581FA6" w:rsidP="003274D0">
            <w:pPr>
              <w:jc w:val="center"/>
              <w:rPr>
                <w:rFonts w:cs="Times New Roman"/>
                <w:bCs w:val="0"/>
                <w:color w:val="000000" w:themeColor="text1"/>
                <w:sz w:val="20"/>
                <w:szCs w:val="20"/>
                <w:u w:val="single"/>
              </w:rPr>
            </w:pPr>
            <w:r w:rsidRPr="00B83AD3">
              <w:rPr>
                <w:rFonts w:cs="Times New Roman"/>
                <w:color w:val="000000" w:themeColor="text1"/>
                <w:sz w:val="20"/>
                <w:szCs w:val="20"/>
                <w:u w:val="single"/>
              </w:rPr>
              <w:t>Tehnoloģiju kategorija</w:t>
            </w:r>
          </w:p>
        </w:tc>
        <w:tc>
          <w:tcPr>
            <w:tcW w:w="2005" w:type="dxa"/>
          </w:tcPr>
          <w:p w14:paraId="66572406" w14:textId="77777777" w:rsidR="00581FA6" w:rsidRPr="00B83AD3" w:rsidRDefault="00581FA6" w:rsidP="003274D0">
            <w:pPr>
              <w:jc w:val="center"/>
              <w:cnfStyle w:val="100000000000" w:firstRow="1" w:lastRow="0" w:firstColumn="0" w:lastColumn="0" w:oddVBand="0" w:evenVBand="0" w:oddHBand="0" w:evenHBand="0" w:firstRowFirstColumn="0" w:firstRowLastColumn="0" w:lastRowFirstColumn="0" w:lastRowLastColumn="0"/>
              <w:rPr>
                <w:rFonts w:cs="Times New Roman"/>
                <w:bCs w:val="0"/>
                <w:color w:val="000000" w:themeColor="text1"/>
                <w:sz w:val="20"/>
                <w:szCs w:val="20"/>
                <w:u w:val="single"/>
              </w:rPr>
            </w:pPr>
            <w:r w:rsidRPr="00B83AD3">
              <w:rPr>
                <w:rFonts w:cs="Times New Roman"/>
                <w:color w:val="000000" w:themeColor="text1"/>
                <w:sz w:val="20"/>
                <w:szCs w:val="20"/>
                <w:u w:val="single"/>
              </w:rPr>
              <w:t>Organizācijas nosaukums</w:t>
            </w:r>
          </w:p>
        </w:tc>
        <w:tc>
          <w:tcPr>
            <w:tcW w:w="852" w:type="dxa"/>
          </w:tcPr>
          <w:p w14:paraId="66572407" w14:textId="77777777" w:rsidR="00581FA6" w:rsidRPr="00B83AD3" w:rsidRDefault="00581FA6" w:rsidP="003274D0">
            <w:pPr>
              <w:jc w:val="center"/>
              <w:cnfStyle w:val="100000000000" w:firstRow="1" w:lastRow="0" w:firstColumn="0" w:lastColumn="0" w:oddVBand="0" w:evenVBand="0" w:oddHBand="0" w:evenHBand="0" w:firstRowFirstColumn="0" w:firstRowLastColumn="0" w:lastRowFirstColumn="0" w:lastRowLastColumn="0"/>
              <w:rPr>
                <w:rFonts w:cs="Times New Roman"/>
                <w:bCs w:val="0"/>
                <w:color w:val="000000" w:themeColor="text1"/>
                <w:sz w:val="20"/>
                <w:szCs w:val="20"/>
                <w:u w:val="single"/>
              </w:rPr>
            </w:pPr>
            <w:r w:rsidRPr="00B83AD3">
              <w:rPr>
                <w:rFonts w:cs="Times New Roman"/>
                <w:color w:val="000000" w:themeColor="text1"/>
                <w:sz w:val="20"/>
                <w:szCs w:val="20"/>
                <w:u w:val="single"/>
              </w:rPr>
              <w:t>Mērķa TRL</w:t>
            </w:r>
          </w:p>
        </w:tc>
        <w:tc>
          <w:tcPr>
            <w:tcW w:w="962" w:type="dxa"/>
          </w:tcPr>
          <w:p w14:paraId="66572408" w14:textId="77777777" w:rsidR="00581FA6" w:rsidRPr="00B83AD3" w:rsidRDefault="00581FA6" w:rsidP="003274D0">
            <w:pPr>
              <w:jc w:val="center"/>
              <w:cnfStyle w:val="100000000000" w:firstRow="1" w:lastRow="0" w:firstColumn="0" w:lastColumn="0" w:oddVBand="0" w:evenVBand="0" w:oddHBand="0" w:evenHBand="0" w:firstRowFirstColumn="0" w:firstRowLastColumn="0" w:lastRowFirstColumn="0" w:lastRowLastColumn="0"/>
              <w:rPr>
                <w:rFonts w:cs="Times New Roman"/>
                <w:bCs w:val="0"/>
                <w:color w:val="000000" w:themeColor="text1"/>
                <w:sz w:val="20"/>
                <w:szCs w:val="20"/>
                <w:u w:val="single"/>
              </w:rPr>
            </w:pPr>
            <w:r w:rsidRPr="00B83AD3">
              <w:rPr>
                <w:rFonts w:cs="Times New Roman"/>
                <w:color w:val="000000" w:themeColor="text1"/>
                <w:sz w:val="20"/>
                <w:szCs w:val="20"/>
                <w:u w:val="single"/>
              </w:rPr>
              <w:t>Projektu skaits</w:t>
            </w:r>
          </w:p>
        </w:tc>
        <w:tc>
          <w:tcPr>
            <w:tcW w:w="3381" w:type="dxa"/>
          </w:tcPr>
          <w:p w14:paraId="66572409" w14:textId="77777777" w:rsidR="00581FA6" w:rsidRPr="00B83AD3" w:rsidRDefault="00581FA6" w:rsidP="003274D0">
            <w:pPr>
              <w:jc w:val="center"/>
              <w:cnfStyle w:val="100000000000" w:firstRow="1" w:lastRow="0" w:firstColumn="0" w:lastColumn="0" w:oddVBand="0" w:evenVBand="0" w:oddHBand="0" w:evenHBand="0" w:firstRowFirstColumn="0" w:firstRowLastColumn="0" w:lastRowFirstColumn="0" w:lastRowLastColumn="0"/>
              <w:rPr>
                <w:rFonts w:cs="Times New Roman"/>
                <w:bCs w:val="0"/>
                <w:color w:val="000000" w:themeColor="text1"/>
                <w:sz w:val="20"/>
                <w:szCs w:val="20"/>
                <w:u w:val="single"/>
              </w:rPr>
            </w:pPr>
            <w:r w:rsidRPr="00B83AD3">
              <w:rPr>
                <w:rFonts w:cs="Times New Roman"/>
                <w:color w:val="000000" w:themeColor="text1"/>
                <w:sz w:val="20"/>
                <w:szCs w:val="20"/>
                <w:u w:val="single"/>
              </w:rPr>
              <w:t>Attīstītās tehnoloģijas, pielietojuma vai kompetences apraksts</w:t>
            </w:r>
          </w:p>
        </w:tc>
      </w:tr>
      <w:tr w:rsidR="00C74738" w:rsidRPr="00B83AD3" w14:paraId="6657240C" w14:textId="77777777" w:rsidTr="0030486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9061" w:type="dxa"/>
            <w:gridSpan w:val="5"/>
          </w:tcPr>
          <w:p w14:paraId="6657240B" w14:textId="77777777" w:rsidR="00C74738" w:rsidRPr="00B83AD3" w:rsidRDefault="00C74738" w:rsidP="00C74738">
            <w:pPr>
              <w:jc w:val="center"/>
              <w:rPr>
                <w:rFonts w:cs="Times New Roman"/>
                <w:sz w:val="20"/>
                <w:szCs w:val="20"/>
                <w:u w:val="single"/>
              </w:rPr>
            </w:pPr>
            <w:r w:rsidRPr="00B83AD3">
              <w:rPr>
                <w:rFonts w:cs="Times New Roman"/>
                <w:sz w:val="20"/>
                <w:szCs w:val="20"/>
              </w:rPr>
              <w:t>Augšupējā tirgus (</w:t>
            </w:r>
            <w:proofErr w:type="spellStart"/>
            <w:r w:rsidRPr="00B83AD3">
              <w:rPr>
                <w:rFonts w:cs="Times New Roman"/>
                <w:i/>
                <w:sz w:val="20"/>
                <w:szCs w:val="20"/>
              </w:rPr>
              <w:t>Upstream</w:t>
            </w:r>
            <w:proofErr w:type="spellEnd"/>
            <w:r w:rsidRPr="00B83AD3">
              <w:rPr>
                <w:rFonts w:cs="Times New Roman"/>
                <w:i/>
                <w:sz w:val="20"/>
                <w:szCs w:val="20"/>
              </w:rPr>
              <w:t xml:space="preserve"> </w:t>
            </w:r>
            <w:proofErr w:type="spellStart"/>
            <w:r w:rsidRPr="00B83AD3">
              <w:rPr>
                <w:rFonts w:cs="Times New Roman"/>
                <w:i/>
                <w:sz w:val="20"/>
                <w:szCs w:val="20"/>
              </w:rPr>
              <w:t>market</w:t>
            </w:r>
            <w:proofErr w:type="spellEnd"/>
            <w:r w:rsidRPr="00B83AD3">
              <w:rPr>
                <w:rFonts w:cs="Times New Roman"/>
                <w:sz w:val="20"/>
                <w:szCs w:val="20"/>
              </w:rPr>
              <w:t>) tehnoloģijas</w:t>
            </w:r>
          </w:p>
        </w:tc>
      </w:tr>
      <w:tr w:rsidR="00C74738" w:rsidRPr="00B83AD3" w14:paraId="66572412" w14:textId="77777777" w:rsidTr="0030486A">
        <w:tc>
          <w:tcPr>
            <w:cnfStyle w:val="001000000000" w:firstRow="0" w:lastRow="0" w:firstColumn="1" w:lastColumn="0" w:oddVBand="0" w:evenVBand="0" w:oddHBand="0" w:evenHBand="0" w:firstRowFirstColumn="0" w:firstRowLastColumn="0" w:lastRowFirstColumn="0" w:lastRowLastColumn="0"/>
            <w:tcW w:w="1861" w:type="dxa"/>
          </w:tcPr>
          <w:p w14:paraId="6657240D" w14:textId="77777777" w:rsidR="00581FA6" w:rsidRPr="00B83AD3" w:rsidRDefault="00581FA6" w:rsidP="00C74738">
            <w:pPr>
              <w:jc w:val="center"/>
              <w:rPr>
                <w:rFonts w:cs="Times New Roman"/>
                <w:sz w:val="20"/>
                <w:szCs w:val="20"/>
              </w:rPr>
            </w:pPr>
            <w:r w:rsidRPr="00B83AD3">
              <w:rPr>
                <w:rFonts w:cs="Times New Roman"/>
                <w:sz w:val="20"/>
                <w:szCs w:val="20"/>
              </w:rPr>
              <w:t>Instrumenti</w:t>
            </w:r>
          </w:p>
        </w:tc>
        <w:tc>
          <w:tcPr>
            <w:tcW w:w="2005" w:type="dxa"/>
          </w:tcPr>
          <w:p w14:paraId="6657240E" w14:textId="77777777" w:rsidR="00581FA6" w:rsidRPr="00B83AD3" w:rsidRDefault="00581FA6" w:rsidP="00DC611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83AD3">
              <w:rPr>
                <w:rFonts w:cs="Times New Roman"/>
                <w:sz w:val="20"/>
                <w:szCs w:val="20"/>
              </w:rPr>
              <w:t xml:space="preserve">SIA </w:t>
            </w:r>
            <w:proofErr w:type="spellStart"/>
            <w:r w:rsidRPr="00B83AD3">
              <w:rPr>
                <w:rFonts w:cs="Times New Roman"/>
                <w:sz w:val="20"/>
                <w:szCs w:val="20"/>
              </w:rPr>
              <w:t>Baltic</w:t>
            </w:r>
            <w:proofErr w:type="spellEnd"/>
            <w:r w:rsidRPr="00B83AD3">
              <w:rPr>
                <w:rFonts w:cs="Times New Roman"/>
                <w:sz w:val="20"/>
                <w:szCs w:val="20"/>
              </w:rPr>
              <w:t xml:space="preserve"> </w:t>
            </w:r>
            <w:proofErr w:type="spellStart"/>
            <w:r w:rsidRPr="00B83AD3">
              <w:rPr>
                <w:rFonts w:cs="Times New Roman"/>
                <w:sz w:val="20"/>
                <w:szCs w:val="20"/>
              </w:rPr>
              <w:t>Scientific</w:t>
            </w:r>
            <w:proofErr w:type="spellEnd"/>
            <w:r w:rsidRPr="00B83AD3">
              <w:rPr>
                <w:rFonts w:cs="Times New Roman"/>
                <w:sz w:val="20"/>
                <w:szCs w:val="20"/>
              </w:rPr>
              <w:t xml:space="preserve"> Instruments</w:t>
            </w:r>
          </w:p>
        </w:tc>
        <w:tc>
          <w:tcPr>
            <w:tcW w:w="852" w:type="dxa"/>
          </w:tcPr>
          <w:p w14:paraId="6657240F" w14:textId="77777777" w:rsidR="00581FA6" w:rsidRPr="00B83AD3" w:rsidRDefault="00581FA6" w:rsidP="00C74738">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83AD3">
              <w:rPr>
                <w:rFonts w:cs="Times New Roman"/>
                <w:sz w:val="20"/>
                <w:szCs w:val="20"/>
              </w:rPr>
              <w:t xml:space="preserve">2 </w:t>
            </w:r>
            <w:r w:rsidR="008A56D2" w:rsidRPr="00B83AD3">
              <w:rPr>
                <w:rFonts w:cs="Times New Roman"/>
                <w:sz w:val="20"/>
                <w:szCs w:val="20"/>
              </w:rPr>
              <w:t>–</w:t>
            </w:r>
            <w:r w:rsidRPr="00B83AD3">
              <w:rPr>
                <w:rFonts w:cs="Times New Roman"/>
                <w:sz w:val="20"/>
                <w:szCs w:val="20"/>
              </w:rPr>
              <w:t xml:space="preserve"> 4</w:t>
            </w:r>
          </w:p>
        </w:tc>
        <w:tc>
          <w:tcPr>
            <w:tcW w:w="962" w:type="dxa"/>
          </w:tcPr>
          <w:p w14:paraId="66572410" w14:textId="77777777" w:rsidR="00581FA6" w:rsidRPr="00B83AD3" w:rsidRDefault="00581FA6" w:rsidP="00C74738">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83AD3">
              <w:rPr>
                <w:rFonts w:cs="Times New Roman"/>
                <w:sz w:val="20"/>
                <w:szCs w:val="20"/>
              </w:rPr>
              <w:t>2</w:t>
            </w:r>
          </w:p>
        </w:tc>
        <w:tc>
          <w:tcPr>
            <w:tcW w:w="3381" w:type="dxa"/>
          </w:tcPr>
          <w:p w14:paraId="66572411" w14:textId="77777777" w:rsidR="00581FA6" w:rsidRPr="00B83AD3" w:rsidRDefault="00581FA6" w:rsidP="00C74738">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83AD3">
              <w:rPr>
                <w:rFonts w:cs="Times New Roman"/>
                <w:sz w:val="20"/>
                <w:szCs w:val="20"/>
              </w:rPr>
              <w:t>Instrumenti un tehnoloģijas radiācijas noteikšanai un mērīšanai kosmosā</w:t>
            </w:r>
          </w:p>
        </w:tc>
      </w:tr>
      <w:tr w:rsidR="0030486A" w:rsidRPr="00B83AD3" w14:paraId="66572418" w14:textId="77777777" w:rsidTr="003048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1" w:type="dxa"/>
          </w:tcPr>
          <w:p w14:paraId="66572413" w14:textId="77777777" w:rsidR="00581FA6" w:rsidRPr="00B83AD3" w:rsidRDefault="00581FA6" w:rsidP="00C74738">
            <w:pPr>
              <w:jc w:val="center"/>
              <w:rPr>
                <w:rFonts w:cs="Times New Roman"/>
                <w:sz w:val="20"/>
                <w:szCs w:val="20"/>
              </w:rPr>
            </w:pPr>
            <w:r w:rsidRPr="00B83AD3">
              <w:rPr>
                <w:rFonts w:cs="Times New Roman"/>
                <w:sz w:val="20"/>
                <w:szCs w:val="20"/>
              </w:rPr>
              <w:t>Instrumenti</w:t>
            </w:r>
          </w:p>
        </w:tc>
        <w:tc>
          <w:tcPr>
            <w:tcW w:w="2005" w:type="dxa"/>
          </w:tcPr>
          <w:p w14:paraId="66572414" w14:textId="77777777" w:rsidR="00581FA6" w:rsidRPr="00B83AD3" w:rsidRDefault="00581FA6" w:rsidP="00DC611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83AD3">
              <w:rPr>
                <w:rFonts w:cs="Times New Roman"/>
                <w:sz w:val="20"/>
                <w:szCs w:val="20"/>
              </w:rPr>
              <w:t>SIA Allatherm</w:t>
            </w:r>
          </w:p>
        </w:tc>
        <w:tc>
          <w:tcPr>
            <w:tcW w:w="852" w:type="dxa"/>
          </w:tcPr>
          <w:p w14:paraId="66572415" w14:textId="77777777" w:rsidR="00581FA6" w:rsidRPr="00B83AD3" w:rsidRDefault="00581FA6" w:rsidP="00C74738">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83AD3">
              <w:rPr>
                <w:rFonts w:cs="Times New Roman"/>
                <w:sz w:val="20"/>
                <w:szCs w:val="20"/>
              </w:rPr>
              <w:t>6</w:t>
            </w:r>
          </w:p>
        </w:tc>
        <w:tc>
          <w:tcPr>
            <w:tcW w:w="962" w:type="dxa"/>
          </w:tcPr>
          <w:p w14:paraId="66572416" w14:textId="77777777" w:rsidR="00581FA6" w:rsidRPr="00B83AD3" w:rsidRDefault="00581FA6" w:rsidP="00C74738">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83AD3">
              <w:rPr>
                <w:rFonts w:cs="Times New Roman"/>
                <w:sz w:val="20"/>
                <w:szCs w:val="20"/>
              </w:rPr>
              <w:t>1</w:t>
            </w:r>
          </w:p>
        </w:tc>
        <w:tc>
          <w:tcPr>
            <w:tcW w:w="3381" w:type="dxa"/>
          </w:tcPr>
          <w:p w14:paraId="66572417" w14:textId="77777777" w:rsidR="00581FA6" w:rsidRPr="00B83AD3" w:rsidRDefault="00581FA6" w:rsidP="00C74738">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83AD3">
              <w:rPr>
                <w:rFonts w:cs="Times New Roman"/>
                <w:sz w:val="20"/>
                <w:szCs w:val="20"/>
              </w:rPr>
              <w:t xml:space="preserve">Termiskās un ksenona </w:t>
            </w:r>
            <w:proofErr w:type="spellStart"/>
            <w:r w:rsidRPr="00B83AD3">
              <w:rPr>
                <w:rFonts w:cs="Times New Roman"/>
                <w:sz w:val="20"/>
                <w:szCs w:val="20"/>
              </w:rPr>
              <w:t>uzpildes</w:t>
            </w:r>
            <w:proofErr w:type="spellEnd"/>
            <w:r w:rsidRPr="00B83AD3">
              <w:rPr>
                <w:rFonts w:cs="Times New Roman"/>
                <w:sz w:val="20"/>
                <w:szCs w:val="20"/>
              </w:rPr>
              <w:t xml:space="preserve"> tehnoloģijas</w:t>
            </w:r>
          </w:p>
        </w:tc>
      </w:tr>
      <w:tr w:rsidR="00C74738" w:rsidRPr="00B83AD3" w14:paraId="6657241E" w14:textId="77777777" w:rsidTr="0030486A">
        <w:tc>
          <w:tcPr>
            <w:cnfStyle w:val="001000000000" w:firstRow="0" w:lastRow="0" w:firstColumn="1" w:lastColumn="0" w:oddVBand="0" w:evenVBand="0" w:oddHBand="0" w:evenHBand="0" w:firstRowFirstColumn="0" w:firstRowLastColumn="0" w:lastRowFirstColumn="0" w:lastRowLastColumn="0"/>
            <w:tcW w:w="1861" w:type="dxa"/>
          </w:tcPr>
          <w:p w14:paraId="66572419" w14:textId="77777777" w:rsidR="00581FA6" w:rsidRPr="00B83AD3" w:rsidRDefault="00581FA6" w:rsidP="00C74738">
            <w:pPr>
              <w:jc w:val="center"/>
              <w:rPr>
                <w:rFonts w:cs="Times New Roman"/>
                <w:sz w:val="20"/>
                <w:szCs w:val="20"/>
              </w:rPr>
            </w:pPr>
            <w:r w:rsidRPr="00B83AD3">
              <w:rPr>
                <w:rFonts w:cs="Times New Roman"/>
                <w:sz w:val="20"/>
                <w:szCs w:val="20"/>
              </w:rPr>
              <w:t>Elektronika</w:t>
            </w:r>
          </w:p>
        </w:tc>
        <w:tc>
          <w:tcPr>
            <w:tcW w:w="2005" w:type="dxa"/>
          </w:tcPr>
          <w:p w14:paraId="6657241A" w14:textId="77777777" w:rsidR="00581FA6" w:rsidRPr="00B83AD3" w:rsidRDefault="00DC4811" w:rsidP="00DC611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83AD3">
              <w:rPr>
                <w:rFonts w:cs="Times New Roman"/>
                <w:sz w:val="20"/>
                <w:szCs w:val="20"/>
              </w:rPr>
              <w:t xml:space="preserve">AS RD Alfa </w:t>
            </w:r>
            <w:proofErr w:type="spellStart"/>
            <w:r w:rsidRPr="00B83AD3">
              <w:rPr>
                <w:rFonts w:cs="Times New Roman"/>
                <w:sz w:val="20"/>
                <w:szCs w:val="20"/>
              </w:rPr>
              <w:t>Mikroelektroniks</w:t>
            </w:r>
            <w:proofErr w:type="spellEnd"/>
          </w:p>
        </w:tc>
        <w:tc>
          <w:tcPr>
            <w:tcW w:w="852" w:type="dxa"/>
          </w:tcPr>
          <w:p w14:paraId="6657241B" w14:textId="77777777" w:rsidR="00581FA6" w:rsidRPr="00B83AD3" w:rsidRDefault="00DC4811" w:rsidP="00C74738">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83AD3">
              <w:rPr>
                <w:rFonts w:cs="Times New Roman"/>
                <w:sz w:val="20"/>
                <w:szCs w:val="20"/>
              </w:rPr>
              <w:t xml:space="preserve">3 </w:t>
            </w:r>
            <w:r w:rsidR="008A56D2" w:rsidRPr="00B83AD3">
              <w:rPr>
                <w:rFonts w:cs="Times New Roman"/>
                <w:sz w:val="20"/>
                <w:szCs w:val="20"/>
              </w:rPr>
              <w:t>–</w:t>
            </w:r>
            <w:r w:rsidRPr="00B83AD3">
              <w:rPr>
                <w:rFonts w:cs="Times New Roman"/>
                <w:sz w:val="20"/>
                <w:szCs w:val="20"/>
              </w:rPr>
              <w:t xml:space="preserve"> 7</w:t>
            </w:r>
          </w:p>
        </w:tc>
        <w:tc>
          <w:tcPr>
            <w:tcW w:w="962" w:type="dxa"/>
          </w:tcPr>
          <w:p w14:paraId="6657241C" w14:textId="77777777" w:rsidR="00581FA6" w:rsidRPr="00B83AD3" w:rsidRDefault="00DC4811" w:rsidP="00C74738">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83AD3">
              <w:rPr>
                <w:rFonts w:cs="Times New Roman"/>
                <w:sz w:val="20"/>
                <w:szCs w:val="20"/>
              </w:rPr>
              <w:t>5</w:t>
            </w:r>
          </w:p>
        </w:tc>
        <w:tc>
          <w:tcPr>
            <w:tcW w:w="3381" w:type="dxa"/>
          </w:tcPr>
          <w:p w14:paraId="6657241D" w14:textId="77777777" w:rsidR="00581FA6" w:rsidRPr="00B83AD3" w:rsidRDefault="00DC4811" w:rsidP="00C74738">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83AD3">
              <w:rPr>
                <w:rFonts w:cs="Times New Roman"/>
                <w:sz w:val="20"/>
                <w:szCs w:val="20"/>
              </w:rPr>
              <w:t>Radiācijas izturīgas integrētās mikroshēmas un elektroniskās komponentes kosmosa programmām</w:t>
            </w:r>
          </w:p>
        </w:tc>
      </w:tr>
      <w:tr w:rsidR="0030486A" w:rsidRPr="00B83AD3" w14:paraId="66572424" w14:textId="77777777" w:rsidTr="003048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1" w:type="dxa"/>
          </w:tcPr>
          <w:p w14:paraId="6657241F" w14:textId="77777777" w:rsidR="00581FA6" w:rsidRPr="00B83AD3" w:rsidRDefault="00DC4811" w:rsidP="00C74738">
            <w:pPr>
              <w:jc w:val="center"/>
              <w:rPr>
                <w:rFonts w:cs="Times New Roman"/>
                <w:sz w:val="20"/>
                <w:szCs w:val="20"/>
              </w:rPr>
            </w:pPr>
            <w:r w:rsidRPr="00B83AD3">
              <w:rPr>
                <w:rFonts w:cs="Times New Roman"/>
                <w:sz w:val="20"/>
                <w:szCs w:val="20"/>
              </w:rPr>
              <w:t>Elektronika</w:t>
            </w:r>
          </w:p>
        </w:tc>
        <w:tc>
          <w:tcPr>
            <w:tcW w:w="2005" w:type="dxa"/>
          </w:tcPr>
          <w:p w14:paraId="66572420" w14:textId="77777777" w:rsidR="00581FA6" w:rsidRPr="00B83AD3" w:rsidRDefault="00AF351D" w:rsidP="00DC611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83AD3">
              <w:rPr>
                <w:rFonts w:cs="Times New Roman"/>
                <w:sz w:val="20"/>
                <w:szCs w:val="20"/>
              </w:rPr>
              <w:t xml:space="preserve">SIA </w:t>
            </w:r>
            <w:proofErr w:type="spellStart"/>
            <w:r w:rsidRPr="00B83AD3">
              <w:rPr>
                <w:rFonts w:cs="Times New Roman"/>
                <w:sz w:val="20"/>
                <w:szCs w:val="20"/>
              </w:rPr>
              <w:t>Eventech</w:t>
            </w:r>
            <w:proofErr w:type="spellEnd"/>
          </w:p>
        </w:tc>
        <w:tc>
          <w:tcPr>
            <w:tcW w:w="852" w:type="dxa"/>
          </w:tcPr>
          <w:p w14:paraId="66572421" w14:textId="77777777" w:rsidR="00581FA6" w:rsidRPr="00B83AD3" w:rsidRDefault="00AF351D" w:rsidP="00C74738">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83AD3">
              <w:rPr>
                <w:rFonts w:cs="Times New Roman"/>
                <w:sz w:val="20"/>
                <w:szCs w:val="20"/>
              </w:rPr>
              <w:t xml:space="preserve">3 </w:t>
            </w:r>
            <w:r w:rsidR="008A56D2" w:rsidRPr="00B83AD3">
              <w:rPr>
                <w:rFonts w:cs="Times New Roman"/>
                <w:sz w:val="20"/>
                <w:szCs w:val="20"/>
              </w:rPr>
              <w:t>–</w:t>
            </w:r>
            <w:r w:rsidRPr="00B83AD3">
              <w:rPr>
                <w:rFonts w:cs="Times New Roman"/>
                <w:sz w:val="20"/>
                <w:szCs w:val="20"/>
              </w:rPr>
              <w:t xml:space="preserve"> 7</w:t>
            </w:r>
          </w:p>
        </w:tc>
        <w:tc>
          <w:tcPr>
            <w:tcW w:w="962" w:type="dxa"/>
          </w:tcPr>
          <w:p w14:paraId="66572422" w14:textId="77777777" w:rsidR="00581FA6" w:rsidRPr="00B83AD3" w:rsidRDefault="00AF351D" w:rsidP="00C74738">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83AD3">
              <w:rPr>
                <w:rFonts w:cs="Times New Roman"/>
                <w:sz w:val="20"/>
                <w:szCs w:val="20"/>
              </w:rPr>
              <w:t>3</w:t>
            </w:r>
          </w:p>
        </w:tc>
        <w:tc>
          <w:tcPr>
            <w:tcW w:w="3381" w:type="dxa"/>
          </w:tcPr>
          <w:p w14:paraId="66572423" w14:textId="77777777" w:rsidR="00581FA6" w:rsidRPr="00B83AD3" w:rsidRDefault="00AF351D" w:rsidP="00C74738">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83AD3">
              <w:rPr>
                <w:rFonts w:cs="Times New Roman"/>
                <w:sz w:val="20"/>
                <w:szCs w:val="20"/>
              </w:rPr>
              <w:t xml:space="preserve">Ļoti augstas precizitātes laika notikumu mērītājs un satelītu </w:t>
            </w:r>
            <w:proofErr w:type="spellStart"/>
            <w:r w:rsidRPr="00B83AD3">
              <w:rPr>
                <w:rFonts w:cs="Times New Roman"/>
                <w:sz w:val="20"/>
                <w:szCs w:val="20"/>
              </w:rPr>
              <w:t>lāzerlokāciju</w:t>
            </w:r>
            <w:proofErr w:type="spellEnd"/>
            <w:r w:rsidRPr="00B83AD3">
              <w:rPr>
                <w:rFonts w:cs="Times New Roman"/>
                <w:sz w:val="20"/>
                <w:szCs w:val="20"/>
              </w:rPr>
              <w:t xml:space="preserve"> tehnoloģijas</w:t>
            </w:r>
          </w:p>
        </w:tc>
      </w:tr>
      <w:tr w:rsidR="00C74738" w:rsidRPr="00B83AD3" w14:paraId="6657242A" w14:textId="77777777" w:rsidTr="0030486A">
        <w:tc>
          <w:tcPr>
            <w:cnfStyle w:val="001000000000" w:firstRow="0" w:lastRow="0" w:firstColumn="1" w:lastColumn="0" w:oddVBand="0" w:evenVBand="0" w:oddHBand="0" w:evenHBand="0" w:firstRowFirstColumn="0" w:firstRowLastColumn="0" w:lastRowFirstColumn="0" w:lastRowLastColumn="0"/>
            <w:tcW w:w="1861" w:type="dxa"/>
          </w:tcPr>
          <w:p w14:paraId="66572425" w14:textId="77777777" w:rsidR="00581FA6" w:rsidRPr="00B83AD3" w:rsidRDefault="00AF351D" w:rsidP="00C74738">
            <w:pPr>
              <w:jc w:val="center"/>
              <w:rPr>
                <w:rFonts w:cs="Times New Roman"/>
                <w:sz w:val="20"/>
                <w:szCs w:val="20"/>
              </w:rPr>
            </w:pPr>
            <w:r w:rsidRPr="00B83AD3">
              <w:rPr>
                <w:rFonts w:cs="Times New Roman"/>
                <w:sz w:val="20"/>
                <w:szCs w:val="20"/>
              </w:rPr>
              <w:t>Materiāli un procesi</w:t>
            </w:r>
          </w:p>
        </w:tc>
        <w:tc>
          <w:tcPr>
            <w:tcW w:w="2005" w:type="dxa"/>
          </w:tcPr>
          <w:p w14:paraId="66572426" w14:textId="77777777" w:rsidR="00581FA6" w:rsidRPr="00B83AD3" w:rsidRDefault="00366E44" w:rsidP="00DC611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83AD3">
              <w:rPr>
                <w:rFonts w:cs="Times New Roman"/>
                <w:sz w:val="20"/>
                <w:szCs w:val="20"/>
              </w:rPr>
              <w:t>LV Koksnes ķ</w:t>
            </w:r>
            <w:r w:rsidR="00AF351D" w:rsidRPr="00B83AD3">
              <w:rPr>
                <w:rFonts w:cs="Times New Roman"/>
                <w:sz w:val="20"/>
                <w:szCs w:val="20"/>
              </w:rPr>
              <w:t>īmijas institūts</w:t>
            </w:r>
          </w:p>
        </w:tc>
        <w:tc>
          <w:tcPr>
            <w:tcW w:w="852" w:type="dxa"/>
          </w:tcPr>
          <w:p w14:paraId="66572427" w14:textId="77777777" w:rsidR="00581FA6" w:rsidRPr="00B83AD3" w:rsidRDefault="00AF351D" w:rsidP="00C74738">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83AD3">
              <w:rPr>
                <w:rFonts w:cs="Times New Roman"/>
                <w:sz w:val="20"/>
                <w:szCs w:val="20"/>
              </w:rPr>
              <w:t xml:space="preserve">5 </w:t>
            </w:r>
            <w:r w:rsidR="008A56D2" w:rsidRPr="00B83AD3">
              <w:rPr>
                <w:rFonts w:cs="Times New Roman"/>
                <w:sz w:val="20"/>
                <w:szCs w:val="20"/>
              </w:rPr>
              <w:t>–</w:t>
            </w:r>
            <w:r w:rsidRPr="00B83AD3">
              <w:rPr>
                <w:rFonts w:cs="Times New Roman"/>
                <w:sz w:val="20"/>
                <w:szCs w:val="20"/>
              </w:rPr>
              <w:t xml:space="preserve"> 6</w:t>
            </w:r>
          </w:p>
        </w:tc>
        <w:tc>
          <w:tcPr>
            <w:tcW w:w="962" w:type="dxa"/>
          </w:tcPr>
          <w:p w14:paraId="66572428" w14:textId="77777777" w:rsidR="00581FA6" w:rsidRPr="00B83AD3" w:rsidRDefault="00AF351D" w:rsidP="00C74738">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83AD3">
              <w:rPr>
                <w:rFonts w:cs="Times New Roman"/>
                <w:sz w:val="20"/>
                <w:szCs w:val="20"/>
              </w:rPr>
              <w:t>3</w:t>
            </w:r>
          </w:p>
        </w:tc>
        <w:tc>
          <w:tcPr>
            <w:tcW w:w="3381" w:type="dxa"/>
          </w:tcPr>
          <w:p w14:paraId="66572429" w14:textId="77777777" w:rsidR="00581FA6" w:rsidRPr="00B83AD3" w:rsidRDefault="00AF351D" w:rsidP="00C74738">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83AD3">
              <w:rPr>
                <w:rFonts w:cs="Times New Roman"/>
                <w:sz w:val="20"/>
                <w:szCs w:val="20"/>
              </w:rPr>
              <w:t>Viegli izolācijas materiāli nesējraķešu degvielas tvertnēm</w:t>
            </w:r>
          </w:p>
        </w:tc>
      </w:tr>
      <w:tr w:rsidR="0030486A" w:rsidRPr="00B83AD3" w14:paraId="66572430" w14:textId="77777777" w:rsidTr="003048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1" w:type="dxa"/>
          </w:tcPr>
          <w:p w14:paraId="6657242B" w14:textId="77777777" w:rsidR="00581FA6" w:rsidRPr="00B83AD3" w:rsidRDefault="00AF351D" w:rsidP="00C74738">
            <w:pPr>
              <w:jc w:val="center"/>
              <w:rPr>
                <w:rFonts w:cs="Times New Roman"/>
                <w:sz w:val="20"/>
                <w:szCs w:val="20"/>
              </w:rPr>
            </w:pPr>
            <w:r w:rsidRPr="00B83AD3">
              <w:rPr>
                <w:rFonts w:cs="Times New Roman"/>
                <w:sz w:val="20"/>
                <w:szCs w:val="20"/>
              </w:rPr>
              <w:t>Materiāli un procesi</w:t>
            </w:r>
          </w:p>
        </w:tc>
        <w:tc>
          <w:tcPr>
            <w:tcW w:w="2005" w:type="dxa"/>
          </w:tcPr>
          <w:p w14:paraId="6657242C" w14:textId="77777777" w:rsidR="00581FA6" w:rsidRPr="00B83AD3" w:rsidRDefault="00AF351D" w:rsidP="00DC611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83AD3">
              <w:rPr>
                <w:rFonts w:cs="Times New Roman"/>
                <w:sz w:val="20"/>
                <w:szCs w:val="20"/>
              </w:rPr>
              <w:t>Rīgas Tehniskā Universitāte</w:t>
            </w:r>
          </w:p>
        </w:tc>
        <w:tc>
          <w:tcPr>
            <w:tcW w:w="852" w:type="dxa"/>
          </w:tcPr>
          <w:p w14:paraId="6657242D" w14:textId="77777777" w:rsidR="00581FA6" w:rsidRPr="00B83AD3" w:rsidRDefault="00AF351D" w:rsidP="00C74738">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83AD3">
              <w:rPr>
                <w:rFonts w:cs="Times New Roman"/>
                <w:sz w:val="20"/>
                <w:szCs w:val="20"/>
              </w:rPr>
              <w:t xml:space="preserve">3 </w:t>
            </w:r>
            <w:r w:rsidR="008A56D2" w:rsidRPr="00B83AD3">
              <w:rPr>
                <w:rFonts w:cs="Times New Roman"/>
                <w:sz w:val="20"/>
                <w:szCs w:val="20"/>
              </w:rPr>
              <w:t>–</w:t>
            </w:r>
            <w:r w:rsidRPr="00B83AD3">
              <w:rPr>
                <w:rFonts w:cs="Times New Roman"/>
                <w:sz w:val="20"/>
                <w:szCs w:val="20"/>
              </w:rPr>
              <w:t xml:space="preserve"> 4</w:t>
            </w:r>
          </w:p>
        </w:tc>
        <w:tc>
          <w:tcPr>
            <w:tcW w:w="962" w:type="dxa"/>
          </w:tcPr>
          <w:p w14:paraId="6657242E" w14:textId="77777777" w:rsidR="00581FA6" w:rsidRPr="00B83AD3" w:rsidRDefault="00AF351D" w:rsidP="00C74738">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83AD3">
              <w:rPr>
                <w:rFonts w:cs="Times New Roman"/>
                <w:sz w:val="20"/>
                <w:szCs w:val="20"/>
              </w:rPr>
              <w:t>3</w:t>
            </w:r>
          </w:p>
        </w:tc>
        <w:tc>
          <w:tcPr>
            <w:tcW w:w="3381" w:type="dxa"/>
          </w:tcPr>
          <w:p w14:paraId="6657242F" w14:textId="77777777" w:rsidR="00581FA6" w:rsidRPr="00B83AD3" w:rsidRDefault="00AF351D" w:rsidP="00C74738">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83AD3">
              <w:rPr>
                <w:rFonts w:cs="Times New Roman"/>
                <w:sz w:val="20"/>
                <w:szCs w:val="20"/>
              </w:rPr>
              <w:t>Kompozītu struktūras: izstr</w:t>
            </w:r>
            <w:r w:rsidR="00F92775" w:rsidRPr="00B83AD3">
              <w:rPr>
                <w:rFonts w:cs="Times New Roman"/>
                <w:sz w:val="20"/>
                <w:szCs w:val="20"/>
              </w:rPr>
              <w:t>āde</w:t>
            </w:r>
            <w:r w:rsidR="00143F01" w:rsidRPr="00B83AD3">
              <w:rPr>
                <w:rFonts w:cs="Times New Roman"/>
                <w:sz w:val="20"/>
                <w:szCs w:val="20"/>
              </w:rPr>
              <w:t xml:space="preserve">, testēšana un </w:t>
            </w:r>
            <w:proofErr w:type="spellStart"/>
            <w:r w:rsidR="00143F01" w:rsidRPr="00B83AD3">
              <w:rPr>
                <w:rFonts w:cs="Times New Roman"/>
                <w:sz w:val="20"/>
                <w:szCs w:val="20"/>
              </w:rPr>
              <w:t>prototipēšana</w:t>
            </w:r>
            <w:proofErr w:type="spellEnd"/>
            <w:r w:rsidR="00143F01" w:rsidRPr="00B83AD3">
              <w:rPr>
                <w:rFonts w:cs="Times New Roman"/>
                <w:sz w:val="20"/>
                <w:szCs w:val="20"/>
              </w:rPr>
              <w:t>;</w:t>
            </w:r>
            <w:r w:rsidRPr="00B83AD3">
              <w:rPr>
                <w:rFonts w:cs="Times New Roman"/>
                <w:sz w:val="20"/>
                <w:szCs w:val="20"/>
              </w:rPr>
              <w:t xml:space="preserve"> </w:t>
            </w:r>
            <w:r w:rsidR="00F92775" w:rsidRPr="00B83AD3">
              <w:rPr>
                <w:rFonts w:cs="Times New Roman"/>
                <w:sz w:val="20"/>
                <w:szCs w:val="20"/>
              </w:rPr>
              <w:t>Kompozītmateriālu s</w:t>
            </w:r>
            <w:r w:rsidRPr="00B83AD3">
              <w:rPr>
                <w:rFonts w:cs="Times New Roman"/>
                <w:sz w:val="20"/>
                <w:szCs w:val="20"/>
              </w:rPr>
              <w:t>trukturālās drošības noteikšana</w:t>
            </w:r>
          </w:p>
        </w:tc>
      </w:tr>
      <w:tr w:rsidR="0010395A" w:rsidRPr="00B83AD3" w14:paraId="66572432" w14:textId="77777777" w:rsidTr="0030486A">
        <w:tc>
          <w:tcPr>
            <w:cnfStyle w:val="001000000000" w:firstRow="0" w:lastRow="0" w:firstColumn="1" w:lastColumn="0" w:oddVBand="0" w:evenVBand="0" w:oddHBand="0" w:evenHBand="0" w:firstRowFirstColumn="0" w:firstRowLastColumn="0" w:lastRowFirstColumn="0" w:lastRowLastColumn="0"/>
            <w:tcW w:w="9061" w:type="dxa"/>
            <w:gridSpan w:val="5"/>
          </w:tcPr>
          <w:p w14:paraId="66572431" w14:textId="77777777" w:rsidR="0010395A" w:rsidRPr="00B83AD3" w:rsidRDefault="0010395A" w:rsidP="00DC6116">
            <w:pPr>
              <w:jc w:val="center"/>
              <w:rPr>
                <w:rFonts w:cs="Times New Roman"/>
                <w:sz w:val="20"/>
                <w:szCs w:val="20"/>
              </w:rPr>
            </w:pPr>
            <w:r w:rsidRPr="00B83AD3">
              <w:rPr>
                <w:rFonts w:cs="Times New Roman"/>
                <w:sz w:val="20"/>
                <w:szCs w:val="20"/>
              </w:rPr>
              <w:t>Lejupēj</w:t>
            </w:r>
            <w:r w:rsidR="00275A47" w:rsidRPr="00B83AD3">
              <w:rPr>
                <w:rFonts w:cs="Times New Roman"/>
                <w:sz w:val="20"/>
                <w:szCs w:val="20"/>
              </w:rPr>
              <w:t>ais</w:t>
            </w:r>
            <w:r w:rsidRPr="00B83AD3">
              <w:rPr>
                <w:rFonts w:cs="Times New Roman"/>
                <w:sz w:val="20"/>
                <w:szCs w:val="20"/>
              </w:rPr>
              <w:t xml:space="preserve"> tirgus (</w:t>
            </w:r>
            <w:proofErr w:type="spellStart"/>
            <w:r w:rsidRPr="00B83AD3">
              <w:rPr>
                <w:rFonts w:cs="Times New Roman"/>
                <w:i/>
                <w:sz w:val="20"/>
                <w:szCs w:val="20"/>
              </w:rPr>
              <w:t>Downstream</w:t>
            </w:r>
            <w:proofErr w:type="spellEnd"/>
            <w:r w:rsidRPr="00B83AD3">
              <w:rPr>
                <w:rFonts w:cs="Times New Roman"/>
                <w:i/>
                <w:sz w:val="20"/>
                <w:szCs w:val="20"/>
              </w:rPr>
              <w:t xml:space="preserve"> </w:t>
            </w:r>
            <w:proofErr w:type="spellStart"/>
            <w:r w:rsidRPr="00B83AD3">
              <w:rPr>
                <w:rFonts w:cs="Times New Roman"/>
                <w:i/>
                <w:sz w:val="20"/>
                <w:szCs w:val="20"/>
              </w:rPr>
              <w:t>market</w:t>
            </w:r>
            <w:proofErr w:type="spellEnd"/>
            <w:r w:rsidRPr="00B83AD3">
              <w:rPr>
                <w:rFonts w:cs="Times New Roman"/>
                <w:sz w:val="20"/>
                <w:szCs w:val="20"/>
              </w:rPr>
              <w:t>) tehnoloģijas</w:t>
            </w:r>
          </w:p>
        </w:tc>
      </w:tr>
      <w:tr w:rsidR="0030486A" w:rsidRPr="00B83AD3" w14:paraId="66572438" w14:textId="77777777" w:rsidTr="003048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1" w:type="dxa"/>
          </w:tcPr>
          <w:p w14:paraId="66572433" w14:textId="77777777" w:rsidR="00F92775" w:rsidRPr="00B83AD3" w:rsidRDefault="0010395A" w:rsidP="00C74738">
            <w:pPr>
              <w:jc w:val="center"/>
              <w:rPr>
                <w:rFonts w:cs="Times New Roman"/>
                <w:sz w:val="20"/>
                <w:szCs w:val="20"/>
              </w:rPr>
            </w:pPr>
            <w:r w:rsidRPr="00B83AD3">
              <w:rPr>
                <w:rFonts w:cs="Times New Roman"/>
                <w:sz w:val="20"/>
                <w:szCs w:val="20"/>
              </w:rPr>
              <w:lastRenderedPageBreak/>
              <w:t>Zemes novērošana</w:t>
            </w:r>
          </w:p>
        </w:tc>
        <w:tc>
          <w:tcPr>
            <w:tcW w:w="2005" w:type="dxa"/>
          </w:tcPr>
          <w:p w14:paraId="66572434" w14:textId="77777777" w:rsidR="00F92775" w:rsidRPr="00B83AD3" w:rsidRDefault="0010395A" w:rsidP="00DC611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83AD3">
              <w:rPr>
                <w:rFonts w:cs="Times New Roman"/>
                <w:sz w:val="20"/>
                <w:szCs w:val="20"/>
              </w:rPr>
              <w:t>Vides Risinājumu institūts</w:t>
            </w:r>
          </w:p>
        </w:tc>
        <w:tc>
          <w:tcPr>
            <w:tcW w:w="852" w:type="dxa"/>
          </w:tcPr>
          <w:p w14:paraId="66572435" w14:textId="77777777" w:rsidR="00F92775" w:rsidRPr="00B83AD3" w:rsidRDefault="0010395A" w:rsidP="00C74738">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83AD3">
              <w:rPr>
                <w:rFonts w:cs="Times New Roman"/>
                <w:sz w:val="20"/>
                <w:szCs w:val="20"/>
              </w:rPr>
              <w:t xml:space="preserve">3 </w:t>
            </w:r>
            <w:r w:rsidR="008A56D2" w:rsidRPr="00B83AD3">
              <w:rPr>
                <w:rFonts w:cs="Times New Roman"/>
                <w:sz w:val="20"/>
                <w:szCs w:val="20"/>
              </w:rPr>
              <w:t>–</w:t>
            </w:r>
            <w:r w:rsidRPr="00B83AD3">
              <w:rPr>
                <w:rFonts w:cs="Times New Roman"/>
                <w:sz w:val="20"/>
                <w:szCs w:val="20"/>
              </w:rPr>
              <w:t xml:space="preserve"> 6</w:t>
            </w:r>
          </w:p>
        </w:tc>
        <w:tc>
          <w:tcPr>
            <w:tcW w:w="962" w:type="dxa"/>
          </w:tcPr>
          <w:p w14:paraId="66572436" w14:textId="77777777" w:rsidR="00F92775" w:rsidRPr="00B83AD3" w:rsidRDefault="0010395A" w:rsidP="00C74738">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83AD3">
              <w:rPr>
                <w:rFonts w:cs="Times New Roman"/>
                <w:sz w:val="20"/>
                <w:szCs w:val="20"/>
              </w:rPr>
              <w:t>5</w:t>
            </w:r>
          </w:p>
        </w:tc>
        <w:tc>
          <w:tcPr>
            <w:tcW w:w="3381" w:type="dxa"/>
          </w:tcPr>
          <w:p w14:paraId="66572437" w14:textId="77777777" w:rsidR="00F92775" w:rsidRPr="00B83AD3" w:rsidRDefault="0010395A" w:rsidP="00C74738">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83AD3">
              <w:rPr>
                <w:rFonts w:cs="Times New Roman"/>
                <w:sz w:val="20"/>
                <w:szCs w:val="20"/>
              </w:rPr>
              <w:t>Risinājumi un pielietojumi vides problēmām un dabas resursu pārvaldībai, izmantojot zemes novērošanas datus</w:t>
            </w:r>
          </w:p>
        </w:tc>
      </w:tr>
      <w:tr w:rsidR="00275A47" w:rsidRPr="00B83AD3" w14:paraId="6657243F" w14:textId="77777777" w:rsidTr="0030486A">
        <w:tc>
          <w:tcPr>
            <w:cnfStyle w:val="001000000000" w:firstRow="0" w:lastRow="0" w:firstColumn="1" w:lastColumn="0" w:oddVBand="0" w:evenVBand="0" w:oddHBand="0" w:evenHBand="0" w:firstRowFirstColumn="0" w:firstRowLastColumn="0" w:lastRowFirstColumn="0" w:lastRowLastColumn="0"/>
            <w:tcW w:w="1861" w:type="dxa"/>
          </w:tcPr>
          <w:p w14:paraId="66572439" w14:textId="77777777" w:rsidR="0010395A" w:rsidRPr="00B83AD3" w:rsidRDefault="0010395A" w:rsidP="00C74738">
            <w:pPr>
              <w:jc w:val="center"/>
              <w:rPr>
                <w:rFonts w:cs="Times New Roman"/>
                <w:sz w:val="20"/>
                <w:szCs w:val="20"/>
              </w:rPr>
            </w:pPr>
            <w:r w:rsidRPr="00B83AD3">
              <w:rPr>
                <w:rFonts w:cs="Times New Roman"/>
                <w:sz w:val="20"/>
                <w:szCs w:val="20"/>
              </w:rPr>
              <w:t>Zemes novērošana</w:t>
            </w:r>
          </w:p>
        </w:tc>
        <w:tc>
          <w:tcPr>
            <w:tcW w:w="2005" w:type="dxa"/>
          </w:tcPr>
          <w:p w14:paraId="6657243A" w14:textId="77777777" w:rsidR="0010395A" w:rsidRPr="00B83AD3" w:rsidRDefault="0010395A" w:rsidP="00DC611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83AD3">
              <w:rPr>
                <w:rFonts w:cs="Times New Roman"/>
                <w:sz w:val="20"/>
                <w:szCs w:val="20"/>
              </w:rPr>
              <w:t>Elektronikas un datorzinātņu institūts</w:t>
            </w:r>
          </w:p>
        </w:tc>
        <w:tc>
          <w:tcPr>
            <w:tcW w:w="852" w:type="dxa"/>
          </w:tcPr>
          <w:p w14:paraId="6657243B" w14:textId="77777777" w:rsidR="0010395A" w:rsidRPr="00B83AD3" w:rsidRDefault="0046393E" w:rsidP="00C74738">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83AD3">
              <w:rPr>
                <w:rFonts w:cs="Times New Roman"/>
                <w:sz w:val="20"/>
                <w:szCs w:val="20"/>
              </w:rPr>
              <w:t xml:space="preserve">3 </w:t>
            </w:r>
            <w:r w:rsidR="008A56D2" w:rsidRPr="00B83AD3">
              <w:rPr>
                <w:rFonts w:cs="Times New Roman"/>
                <w:sz w:val="20"/>
                <w:szCs w:val="20"/>
              </w:rPr>
              <w:t>–</w:t>
            </w:r>
            <w:r w:rsidRPr="00B83AD3">
              <w:rPr>
                <w:rFonts w:cs="Times New Roman"/>
                <w:sz w:val="20"/>
                <w:szCs w:val="20"/>
              </w:rPr>
              <w:t xml:space="preserve"> 5</w:t>
            </w:r>
          </w:p>
        </w:tc>
        <w:tc>
          <w:tcPr>
            <w:tcW w:w="962" w:type="dxa"/>
          </w:tcPr>
          <w:p w14:paraId="6657243C" w14:textId="77777777" w:rsidR="0010395A" w:rsidRPr="00B83AD3" w:rsidRDefault="0046393E" w:rsidP="00C74738">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83AD3">
              <w:rPr>
                <w:rFonts w:cs="Times New Roman"/>
                <w:sz w:val="20"/>
                <w:szCs w:val="20"/>
              </w:rPr>
              <w:t>2</w:t>
            </w:r>
          </w:p>
        </w:tc>
        <w:tc>
          <w:tcPr>
            <w:tcW w:w="3381" w:type="dxa"/>
          </w:tcPr>
          <w:p w14:paraId="6657243D" w14:textId="77777777" w:rsidR="00143F01" w:rsidRPr="00B83AD3" w:rsidRDefault="0046393E" w:rsidP="00C74738">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83AD3">
              <w:rPr>
                <w:rFonts w:cs="Times New Roman"/>
                <w:sz w:val="20"/>
                <w:szCs w:val="20"/>
              </w:rPr>
              <w:t xml:space="preserve">Algoritmu izstrāde zemes novērošanas pielietojumiem; </w:t>
            </w:r>
          </w:p>
          <w:p w14:paraId="6657243E" w14:textId="77777777" w:rsidR="0010395A" w:rsidRPr="00B83AD3" w:rsidRDefault="00143F01" w:rsidP="00C74738">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roofErr w:type="spellStart"/>
            <w:r w:rsidRPr="00B83AD3">
              <w:rPr>
                <w:rFonts w:cs="Times New Roman"/>
                <w:sz w:val="20"/>
                <w:szCs w:val="20"/>
              </w:rPr>
              <w:t>Satelīt</w:t>
            </w:r>
            <w:r w:rsidR="0046393E" w:rsidRPr="00B83AD3">
              <w:rPr>
                <w:rFonts w:cs="Times New Roman"/>
                <w:sz w:val="20"/>
                <w:szCs w:val="20"/>
              </w:rPr>
              <w:t>attēlu</w:t>
            </w:r>
            <w:proofErr w:type="spellEnd"/>
            <w:r w:rsidR="0046393E" w:rsidRPr="00B83AD3">
              <w:rPr>
                <w:rFonts w:cs="Times New Roman"/>
                <w:sz w:val="20"/>
                <w:szCs w:val="20"/>
              </w:rPr>
              <w:t xml:space="preserve"> apstrāde un analīze</w:t>
            </w:r>
          </w:p>
        </w:tc>
      </w:tr>
      <w:tr w:rsidR="0030486A" w:rsidRPr="00B83AD3" w14:paraId="66572445" w14:textId="77777777" w:rsidTr="003048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1" w:type="dxa"/>
          </w:tcPr>
          <w:p w14:paraId="66572440" w14:textId="77777777" w:rsidR="0046393E" w:rsidRPr="00B83AD3" w:rsidRDefault="00275A47" w:rsidP="00C74738">
            <w:pPr>
              <w:jc w:val="center"/>
              <w:rPr>
                <w:rFonts w:cs="Times New Roman"/>
                <w:sz w:val="20"/>
                <w:szCs w:val="20"/>
              </w:rPr>
            </w:pPr>
            <w:r w:rsidRPr="00B83AD3">
              <w:rPr>
                <w:rFonts w:cs="Times New Roman"/>
                <w:sz w:val="20"/>
                <w:szCs w:val="20"/>
              </w:rPr>
              <w:t>Zemes novērošana</w:t>
            </w:r>
          </w:p>
        </w:tc>
        <w:tc>
          <w:tcPr>
            <w:tcW w:w="2005" w:type="dxa"/>
          </w:tcPr>
          <w:p w14:paraId="66572441" w14:textId="77777777" w:rsidR="0046393E" w:rsidRPr="00B83AD3" w:rsidRDefault="00275A47" w:rsidP="00DC611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83AD3">
              <w:rPr>
                <w:rFonts w:cs="Times New Roman"/>
                <w:sz w:val="20"/>
                <w:szCs w:val="20"/>
              </w:rPr>
              <w:t xml:space="preserve">SIA </w:t>
            </w:r>
            <w:proofErr w:type="spellStart"/>
            <w:r w:rsidRPr="00B83AD3">
              <w:rPr>
                <w:rFonts w:cs="Times New Roman"/>
                <w:sz w:val="20"/>
                <w:szCs w:val="20"/>
              </w:rPr>
              <w:t>Baltic</w:t>
            </w:r>
            <w:proofErr w:type="spellEnd"/>
            <w:r w:rsidRPr="00B83AD3">
              <w:rPr>
                <w:rFonts w:cs="Times New Roman"/>
                <w:sz w:val="20"/>
                <w:szCs w:val="20"/>
              </w:rPr>
              <w:t xml:space="preserve"> </w:t>
            </w:r>
            <w:proofErr w:type="spellStart"/>
            <w:r w:rsidRPr="00B83AD3">
              <w:rPr>
                <w:rFonts w:cs="Times New Roman"/>
                <w:sz w:val="20"/>
                <w:szCs w:val="20"/>
              </w:rPr>
              <w:t>Satelllite</w:t>
            </w:r>
            <w:proofErr w:type="spellEnd"/>
            <w:r w:rsidRPr="00B83AD3">
              <w:rPr>
                <w:rFonts w:cs="Times New Roman"/>
                <w:sz w:val="20"/>
                <w:szCs w:val="20"/>
              </w:rPr>
              <w:t xml:space="preserve"> Services</w:t>
            </w:r>
          </w:p>
        </w:tc>
        <w:tc>
          <w:tcPr>
            <w:tcW w:w="852" w:type="dxa"/>
          </w:tcPr>
          <w:p w14:paraId="66572442" w14:textId="77777777" w:rsidR="0046393E" w:rsidRPr="00B83AD3" w:rsidRDefault="00275A47" w:rsidP="00C74738">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83AD3">
              <w:rPr>
                <w:rFonts w:cs="Times New Roman"/>
                <w:sz w:val="20"/>
                <w:szCs w:val="20"/>
              </w:rPr>
              <w:t xml:space="preserve">3 </w:t>
            </w:r>
            <w:r w:rsidR="008A56D2" w:rsidRPr="00B83AD3">
              <w:rPr>
                <w:rFonts w:cs="Times New Roman"/>
                <w:sz w:val="20"/>
                <w:szCs w:val="20"/>
              </w:rPr>
              <w:t>–</w:t>
            </w:r>
            <w:r w:rsidRPr="00B83AD3">
              <w:rPr>
                <w:rFonts w:cs="Times New Roman"/>
                <w:sz w:val="20"/>
                <w:szCs w:val="20"/>
              </w:rPr>
              <w:t xml:space="preserve"> 7</w:t>
            </w:r>
          </w:p>
        </w:tc>
        <w:tc>
          <w:tcPr>
            <w:tcW w:w="962" w:type="dxa"/>
          </w:tcPr>
          <w:p w14:paraId="66572443" w14:textId="77777777" w:rsidR="0046393E" w:rsidRPr="00B83AD3" w:rsidRDefault="00275A47" w:rsidP="00C74738">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83AD3">
              <w:rPr>
                <w:rFonts w:cs="Times New Roman"/>
                <w:sz w:val="20"/>
                <w:szCs w:val="20"/>
              </w:rPr>
              <w:t>3</w:t>
            </w:r>
          </w:p>
        </w:tc>
        <w:tc>
          <w:tcPr>
            <w:tcW w:w="3381" w:type="dxa"/>
          </w:tcPr>
          <w:p w14:paraId="66572444" w14:textId="77777777" w:rsidR="0046393E" w:rsidRPr="00B83AD3" w:rsidRDefault="00C74738" w:rsidP="00C74738">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83AD3">
              <w:rPr>
                <w:rFonts w:cs="Times New Roman"/>
                <w:sz w:val="20"/>
                <w:szCs w:val="20"/>
              </w:rPr>
              <w:t>Uz zemes novērošanas datiem balstīta p</w:t>
            </w:r>
            <w:r w:rsidR="00275A47" w:rsidRPr="00B83AD3">
              <w:rPr>
                <w:rFonts w:cs="Times New Roman"/>
                <w:sz w:val="20"/>
                <w:szCs w:val="20"/>
              </w:rPr>
              <w:t>akalpojumu izstrāde mežniecībā un gāzes tīklu pārvaldībā</w:t>
            </w:r>
          </w:p>
        </w:tc>
      </w:tr>
      <w:tr w:rsidR="00275A47" w:rsidRPr="00B83AD3" w14:paraId="6657244B" w14:textId="77777777" w:rsidTr="0030486A">
        <w:tc>
          <w:tcPr>
            <w:cnfStyle w:val="001000000000" w:firstRow="0" w:lastRow="0" w:firstColumn="1" w:lastColumn="0" w:oddVBand="0" w:evenVBand="0" w:oddHBand="0" w:evenHBand="0" w:firstRowFirstColumn="0" w:firstRowLastColumn="0" w:lastRowFirstColumn="0" w:lastRowLastColumn="0"/>
            <w:tcW w:w="1861" w:type="dxa"/>
          </w:tcPr>
          <w:p w14:paraId="66572446" w14:textId="77777777" w:rsidR="00275A47" w:rsidRPr="00B83AD3" w:rsidRDefault="00275A47" w:rsidP="00C74738">
            <w:pPr>
              <w:jc w:val="center"/>
              <w:rPr>
                <w:rFonts w:cs="Times New Roman"/>
                <w:sz w:val="20"/>
                <w:szCs w:val="20"/>
              </w:rPr>
            </w:pPr>
            <w:r w:rsidRPr="00B83AD3">
              <w:rPr>
                <w:rFonts w:cs="Times New Roman"/>
                <w:sz w:val="20"/>
                <w:szCs w:val="20"/>
              </w:rPr>
              <w:t>Zemes novērošana</w:t>
            </w:r>
          </w:p>
        </w:tc>
        <w:tc>
          <w:tcPr>
            <w:tcW w:w="2005" w:type="dxa"/>
          </w:tcPr>
          <w:p w14:paraId="66572447" w14:textId="77777777" w:rsidR="00275A47" w:rsidRPr="00B83AD3" w:rsidRDefault="00275A47" w:rsidP="00DC611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83AD3">
              <w:rPr>
                <w:rFonts w:cs="Times New Roman"/>
                <w:sz w:val="20"/>
                <w:szCs w:val="20"/>
              </w:rPr>
              <w:t>SIA Mežu Īpašnieku konsultatīvais centrs</w:t>
            </w:r>
          </w:p>
        </w:tc>
        <w:tc>
          <w:tcPr>
            <w:tcW w:w="852" w:type="dxa"/>
          </w:tcPr>
          <w:p w14:paraId="66572448" w14:textId="77777777" w:rsidR="00275A47" w:rsidRPr="00B83AD3" w:rsidRDefault="00275A47" w:rsidP="00C74738">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83AD3">
              <w:rPr>
                <w:rFonts w:cs="Times New Roman"/>
                <w:sz w:val="20"/>
                <w:szCs w:val="20"/>
              </w:rPr>
              <w:t xml:space="preserve">3 </w:t>
            </w:r>
            <w:r w:rsidR="008A56D2" w:rsidRPr="00B83AD3">
              <w:rPr>
                <w:rFonts w:cs="Times New Roman"/>
                <w:sz w:val="20"/>
                <w:szCs w:val="20"/>
              </w:rPr>
              <w:t>–</w:t>
            </w:r>
            <w:r w:rsidRPr="00B83AD3">
              <w:rPr>
                <w:rFonts w:cs="Times New Roman"/>
                <w:sz w:val="20"/>
                <w:szCs w:val="20"/>
              </w:rPr>
              <w:t xml:space="preserve"> 7</w:t>
            </w:r>
          </w:p>
        </w:tc>
        <w:tc>
          <w:tcPr>
            <w:tcW w:w="962" w:type="dxa"/>
          </w:tcPr>
          <w:p w14:paraId="66572449" w14:textId="77777777" w:rsidR="00275A47" w:rsidRPr="00B83AD3" w:rsidRDefault="00275A47" w:rsidP="00C74738">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83AD3">
              <w:rPr>
                <w:rFonts w:cs="Times New Roman"/>
                <w:sz w:val="20"/>
                <w:szCs w:val="20"/>
              </w:rPr>
              <w:t>4</w:t>
            </w:r>
          </w:p>
        </w:tc>
        <w:tc>
          <w:tcPr>
            <w:tcW w:w="3381" w:type="dxa"/>
          </w:tcPr>
          <w:p w14:paraId="6657244A" w14:textId="77777777" w:rsidR="00275A47" w:rsidRPr="00B83AD3" w:rsidRDefault="00C74738" w:rsidP="00C74738">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83AD3">
              <w:rPr>
                <w:rFonts w:cs="Times New Roman"/>
                <w:sz w:val="20"/>
                <w:szCs w:val="20"/>
              </w:rPr>
              <w:t>Uz zemes novērošanas datiem balstīta p</w:t>
            </w:r>
            <w:r w:rsidR="00275A47" w:rsidRPr="00B83AD3">
              <w:rPr>
                <w:rFonts w:cs="Times New Roman"/>
                <w:sz w:val="20"/>
                <w:szCs w:val="20"/>
              </w:rPr>
              <w:t>akalpojumu izstrāde mežniecībā un telpiskajā plānošanā</w:t>
            </w:r>
          </w:p>
        </w:tc>
      </w:tr>
      <w:tr w:rsidR="0030486A" w:rsidRPr="00B83AD3" w14:paraId="66572452" w14:textId="77777777" w:rsidTr="003048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1" w:type="dxa"/>
          </w:tcPr>
          <w:p w14:paraId="6657244C" w14:textId="77777777" w:rsidR="00275A47" w:rsidRPr="00B83AD3" w:rsidRDefault="00275A47" w:rsidP="00C74738">
            <w:pPr>
              <w:jc w:val="center"/>
              <w:rPr>
                <w:rFonts w:cs="Times New Roman"/>
                <w:sz w:val="20"/>
                <w:szCs w:val="20"/>
              </w:rPr>
            </w:pPr>
            <w:r w:rsidRPr="00B83AD3">
              <w:rPr>
                <w:rFonts w:cs="Times New Roman"/>
                <w:sz w:val="20"/>
                <w:szCs w:val="20"/>
              </w:rPr>
              <w:t>Satelīt</w:t>
            </w:r>
          </w:p>
          <w:p w14:paraId="6657244D" w14:textId="77777777" w:rsidR="00275A47" w:rsidRPr="00B83AD3" w:rsidRDefault="00275A47" w:rsidP="00C74738">
            <w:pPr>
              <w:jc w:val="center"/>
              <w:rPr>
                <w:rFonts w:cs="Times New Roman"/>
                <w:sz w:val="20"/>
                <w:szCs w:val="20"/>
              </w:rPr>
            </w:pPr>
            <w:r w:rsidRPr="00B83AD3">
              <w:rPr>
                <w:rFonts w:cs="Times New Roman"/>
                <w:sz w:val="20"/>
                <w:szCs w:val="20"/>
              </w:rPr>
              <w:t>telekomunikācija</w:t>
            </w:r>
          </w:p>
        </w:tc>
        <w:tc>
          <w:tcPr>
            <w:tcW w:w="2005" w:type="dxa"/>
          </w:tcPr>
          <w:p w14:paraId="6657244E" w14:textId="77777777" w:rsidR="00275A47" w:rsidRPr="00B83AD3" w:rsidRDefault="00275A47" w:rsidP="00DC611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83AD3">
              <w:rPr>
                <w:rFonts w:cs="Times New Roman"/>
                <w:sz w:val="20"/>
                <w:szCs w:val="20"/>
              </w:rPr>
              <w:t>Ventspils Starptautiskais radioastronomijas centrs</w:t>
            </w:r>
          </w:p>
        </w:tc>
        <w:tc>
          <w:tcPr>
            <w:tcW w:w="852" w:type="dxa"/>
          </w:tcPr>
          <w:p w14:paraId="6657244F" w14:textId="77777777" w:rsidR="00275A47" w:rsidRPr="00B83AD3" w:rsidRDefault="00275A47" w:rsidP="00C74738">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83AD3">
              <w:rPr>
                <w:rFonts w:cs="Times New Roman"/>
                <w:sz w:val="20"/>
                <w:szCs w:val="20"/>
              </w:rPr>
              <w:t>2</w:t>
            </w:r>
          </w:p>
        </w:tc>
        <w:tc>
          <w:tcPr>
            <w:tcW w:w="962" w:type="dxa"/>
          </w:tcPr>
          <w:p w14:paraId="66572450" w14:textId="77777777" w:rsidR="00275A47" w:rsidRPr="00B83AD3" w:rsidRDefault="00275A47" w:rsidP="00C74738">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83AD3">
              <w:rPr>
                <w:rFonts w:cs="Times New Roman"/>
                <w:sz w:val="20"/>
                <w:szCs w:val="20"/>
              </w:rPr>
              <w:t>1</w:t>
            </w:r>
          </w:p>
        </w:tc>
        <w:tc>
          <w:tcPr>
            <w:tcW w:w="3381" w:type="dxa"/>
          </w:tcPr>
          <w:p w14:paraId="66572451" w14:textId="77777777" w:rsidR="00275A47" w:rsidRPr="00B83AD3" w:rsidRDefault="00275A47" w:rsidP="00C74738">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83AD3">
              <w:rPr>
                <w:rFonts w:cs="Times New Roman"/>
                <w:sz w:val="20"/>
                <w:szCs w:val="20"/>
              </w:rPr>
              <w:t>Datu centrs un apstrāde; zemes stacijas pakalpojumi</w:t>
            </w:r>
          </w:p>
        </w:tc>
      </w:tr>
      <w:tr w:rsidR="00275A47" w:rsidRPr="00B83AD3" w14:paraId="66572458" w14:textId="77777777" w:rsidTr="0030486A">
        <w:tc>
          <w:tcPr>
            <w:cnfStyle w:val="001000000000" w:firstRow="0" w:lastRow="0" w:firstColumn="1" w:lastColumn="0" w:oddVBand="0" w:evenVBand="0" w:oddHBand="0" w:evenHBand="0" w:firstRowFirstColumn="0" w:firstRowLastColumn="0" w:lastRowFirstColumn="0" w:lastRowLastColumn="0"/>
            <w:tcW w:w="1861" w:type="dxa"/>
          </w:tcPr>
          <w:p w14:paraId="66572453" w14:textId="77777777" w:rsidR="00275A47" w:rsidRPr="00B83AD3" w:rsidRDefault="00275A47" w:rsidP="00C74738">
            <w:pPr>
              <w:jc w:val="center"/>
              <w:rPr>
                <w:rFonts w:cs="Times New Roman"/>
                <w:sz w:val="20"/>
                <w:szCs w:val="20"/>
              </w:rPr>
            </w:pPr>
            <w:r w:rsidRPr="00B83AD3">
              <w:rPr>
                <w:rFonts w:cs="Times New Roman"/>
                <w:sz w:val="20"/>
                <w:szCs w:val="20"/>
              </w:rPr>
              <w:t>Kosmosa situācijas apzināšana</w:t>
            </w:r>
          </w:p>
        </w:tc>
        <w:tc>
          <w:tcPr>
            <w:tcW w:w="2005" w:type="dxa"/>
          </w:tcPr>
          <w:p w14:paraId="66572454" w14:textId="77777777" w:rsidR="00275A47" w:rsidRPr="00B83AD3" w:rsidRDefault="00275A47" w:rsidP="00DC611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83AD3">
              <w:rPr>
                <w:rFonts w:cs="Times New Roman"/>
                <w:sz w:val="20"/>
                <w:szCs w:val="20"/>
              </w:rPr>
              <w:t>Latvijas Universitāte</w:t>
            </w:r>
          </w:p>
        </w:tc>
        <w:tc>
          <w:tcPr>
            <w:tcW w:w="852" w:type="dxa"/>
          </w:tcPr>
          <w:p w14:paraId="66572455" w14:textId="77777777" w:rsidR="00275A47" w:rsidRPr="00B83AD3" w:rsidRDefault="00275A47" w:rsidP="00C74738">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83AD3">
              <w:rPr>
                <w:rFonts w:cs="Times New Roman"/>
                <w:sz w:val="20"/>
                <w:szCs w:val="20"/>
              </w:rPr>
              <w:t xml:space="preserve">2  </w:t>
            </w:r>
            <w:r w:rsidR="00143F01" w:rsidRPr="00B83AD3">
              <w:rPr>
                <w:rFonts w:cs="Times New Roman"/>
                <w:sz w:val="20"/>
                <w:szCs w:val="20"/>
              </w:rPr>
              <w:t>–</w:t>
            </w:r>
            <w:r w:rsidRPr="00B83AD3">
              <w:rPr>
                <w:rFonts w:cs="Times New Roman"/>
                <w:sz w:val="20"/>
                <w:szCs w:val="20"/>
              </w:rPr>
              <w:t xml:space="preserve"> 3</w:t>
            </w:r>
          </w:p>
        </w:tc>
        <w:tc>
          <w:tcPr>
            <w:tcW w:w="962" w:type="dxa"/>
          </w:tcPr>
          <w:p w14:paraId="66572456" w14:textId="77777777" w:rsidR="00275A47" w:rsidRPr="00B83AD3" w:rsidRDefault="00275A47" w:rsidP="00C74738">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83AD3">
              <w:rPr>
                <w:rFonts w:cs="Times New Roman"/>
                <w:sz w:val="20"/>
                <w:szCs w:val="20"/>
              </w:rPr>
              <w:t>3</w:t>
            </w:r>
          </w:p>
        </w:tc>
        <w:tc>
          <w:tcPr>
            <w:tcW w:w="3381" w:type="dxa"/>
          </w:tcPr>
          <w:p w14:paraId="66572457" w14:textId="77777777" w:rsidR="00275A47" w:rsidRPr="00B83AD3" w:rsidRDefault="00275A47" w:rsidP="00C74738">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roofErr w:type="spellStart"/>
            <w:r w:rsidRPr="00B83AD3">
              <w:rPr>
                <w:rFonts w:cs="Times New Roman"/>
                <w:sz w:val="20"/>
                <w:szCs w:val="20"/>
              </w:rPr>
              <w:t>Satelītlazerlokācija</w:t>
            </w:r>
            <w:proofErr w:type="spellEnd"/>
            <w:r w:rsidRPr="00B83AD3">
              <w:rPr>
                <w:rFonts w:cs="Times New Roman"/>
                <w:sz w:val="20"/>
                <w:szCs w:val="20"/>
              </w:rPr>
              <w:t>, kosmosa laikapstākļu ietekme uz GNSS</w:t>
            </w:r>
            <w:r w:rsidR="0030486A" w:rsidRPr="00B83AD3">
              <w:rPr>
                <w:rStyle w:val="FootnoteReference"/>
                <w:rFonts w:cs="Times New Roman"/>
                <w:sz w:val="20"/>
                <w:szCs w:val="20"/>
              </w:rPr>
              <w:footnoteReference w:id="12"/>
            </w:r>
            <w:r w:rsidRPr="00B83AD3">
              <w:rPr>
                <w:rFonts w:cs="Times New Roman"/>
                <w:sz w:val="20"/>
                <w:szCs w:val="20"/>
              </w:rPr>
              <w:t xml:space="preserve"> kļūdām</w:t>
            </w:r>
          </w:p>
        </w:tc>
      </w:tr>
      <w:tr w:rsidR="00C74738" w:rsidRPr="00B83AD3" w14:paraId="6657245A" w14:textId="77777777" w:rsidTr="0030486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061" w:type="dxa"/>
            <w:gridSpan w:val="5"/>
          </w:tcPr>
          <w:p w14:paraId="66572459" w14:textId="77777777" w:rsidR="00C74738" w:rsidRPr="00B83AD3" w:rsidRDefault="00C74738" w:rsidP="00DC6116">
            <w:pPr>
              <w:jc w:val="center"/>
              <w:rPr>
                <w:rFonts w:cs="Times New Roman"/>
                <w:sz w:val="20"/>
                <w:szCs w:val="20"/>
              </w:rPr>
            </w:pPr>
            <w:r w:rsidRPr="00B83AD3">
              <w:rPr>
                <w:rFonts w:cs="Times New Roman"/>
                <w:sz w:val="20"/>
                <w:szCs w:val="20"/>
              </w:rPr>
              <w:t>Izglītība</w:t>
            </w:r>
          </w:p>
        </w:tc>
      </w:tr>
      <w:tr w:rsidR="00C74738" w:rsidRPr="00B83AD3" w14:paraId="66572460" w14:textId="77777777" w:rsidTr="0030486A">
        <w:tc>
          <w:tcPr>
            <w:cnfStyle w:val="001000000000" w:firstRow="0" w:lastRow="0" w:firstColumn="1" w:lastColumn="0" w:oddVBand="0" w:evenVBand="0" w:oddHBand="0" w:evenHBand="0" w:firstRowFirstColumn="0" w:firstRowLastColumn="0" w:lastRowFirstColumn="0" w:lastRowLastColumn="0"/>
            <w:tcW w:w="1861" w:type="dxa"/>
          </w:tcPr>
          <w:p w14:paraId="6657245B" w14:textId="77777777" w:rsidR="00C74738" w:rsidRPr="00B83AD3" w:rsidRDefault="00C74738" w:rsidP="00C74738">
            <w:pPr>
              <w:jc w:val="center"/>
              <w:rPr>
                <w:rFonts w:cs="Times New Roman"/>
                <w:sz w:val="20"/>
                <w:szCs w:val="20"/>
              </w:rPr>
            </w:pPr>
            <w:r w:rsidRPr="00B83AD3">
              <w:rPr>
                <w:rFonts w:cs="Times New Roman"/>
                <w:sz w:val="20"/>
                <w:szCs w:val="20"/>
              </w:rPr>
              <w:t>Izglītība</w:t>
            </w:r>
          </w:p>
        </w:tc>
        <w:tc>
          <w:tcPr>
            <w:tcW w:w="2005" w:type="dxa"/>
          </w:tcPr>
          <w:p w14:paraId="6657245C" w14:textId="77777777" w:rsidR="00C74738" w:rsidRPr="00B83AD3" w:rsidRDefault="00C74738" w:rsidP="00DC611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83AD3">
              <w:rPr>
                <w:rFonts w:cs="Times New Roman"/>
                <w:sz w:val="20"/>
                <w:szCs w:val="20"/>
              </w:rPr>
              <w:t xml:space="preserve">Ventspils </w:t>
            </w:r>
            <w:r w:rsidR="008A56D2" w:rsidRPr="00B83AD3">
              <w:rPr>
                <w:rFonts w:cs="Times New Roman"/>
                <w:sz w:val="20"/>
                <w:szCs w:val="20"/>
              </w:rPr>
              <w:t>A</w:t>
            </w:r>
            <w:r w:rsidRPr="00B83AD3">
              <w:rPr>
                <w:rFonts w:cs="Times New Roman"/>
                <w:sz w:val="20"/>
                <w:szCs w:val="20"/>
              </w:rPr>
              <w:t>ugstskola</w:t>
            </w:r>
          </w:p>
        </w:tc>
        <w:tc>
          <w:tcPr>
            <w:tcW w:w="852" w:type="dxa"/>
          </w:tcPr>
          <w:p w14:paraId="6657245D" w14:textId="77777777" w:rsidR="00C74738" w:rsidRPr="00B83AD3" w:rsidRDefault="000B1D33" w:rsidP="000B1D33">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83AD3">
              <w:rPr>
                <w:rFonts w:cs="Times New Roman"/>
                <w:sz w:val="20"/>
                <w:szCs w:val="20"/>
              </w:rPr>
              <w:t>–</w:t>
            </w:r>
          </w:p>
        </w:tc>
        <w:tc>
          <w:tcPr>
            <w:tcW w:w="962" w:type="dxa"/>
          </w:tcPr>
          <w:p w14:paraId="6657245E" w14:textId="77777777" w:rsidR="00C74738" w:rsidRPr="00B83AD3" w:rsidRDefault="00C74738" w:rsidP="00C74738">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83AD3">
              <w:rPr>
                <w:rFonts w:cs="Times New Roman"/>
                <w:sz w:val="20"/>
                <w:szCs w:val="20"/>
              </w:rPr>
              <w:t>1</w:t>
            </w:r>
          </w:p>
        </w:tc>
        <w:tc>
          <w:tcPr>
            <w:tcW w:w="3381" w:type="dxa"/>
          </w:tcPr>
          <w:p w14:paraId="6657245F" w14:textId="77777777" w:rsidR="00C74738" w:rsidRPr="00B83AD3" w:rsidRDefault="00111A5F" w:rsidP="00111A5F">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roofErr w:type="spellStart"/>
            <w:r w:rsidRPr="00B83AD3">
              <w:rPr>
                <w:rFonts w:cs="Times New Roman"/>
                <w:sz w:val="20"/>
                <w:szCs w:val="20"/>
              </w:rPr>
              <w:t>Satelīttehnoloģiju</w:t>
            </w:r>
            <w:proofErr w:type="spellEnd"/>
            <w:r w:rsidRPr="00B83AD3">
              <w:rPr>
                <w:rFonts w:cs="Times New Roman"/>
                <w:sz w:val="20"/>
                <w:szCs w:val="20"/>
              </w:rPr>
              <w:t xml:space="preserve"> izglītības programma </w:t>
            </w:r>
          </w:p>
        </w:tc>
      </w:tr>
      <w:tr w:rsidR="0030486A" w:rsidRPr="00B83AD3" w14:paraId="66572466" w14:textId="77777777" w:rsidTr="003048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1" w:type="dxa"/>
          </w:tcPr>
          <w:p w14:paraId="66572461" w14:textId="77777777" w:rsidR="00C74738" w:rsidRPr="00B83AD3" w:rsidRDefault="00C74738" w:rsidP="00C74738">
            <w:pPr>
              <w:jc w:val="center"/>
              <w:rPr>
                <w:rFonts w:cs="Times New Roman"/>
                <w:sz w:val="20"/>
                <w:szCs w:val="20"/>
              </w:rPr>
            </w:pPr>
            <w:r w:rsidRPr="00B83AD3">
              <w:rPr>
                <w:rFonts w:cs="Times New Roman"/>
                <w:sz w:val="20"/>
                <w:szCs w:val="20"/>
              </w:rPr>
              <w:t>Izglītība</w:t>
            </w:r>
          </w:p>
        </w:tc>
        <w:tc>
          <w:tcPr>
            <w:tcW w:w="2005" w:type="dxa"/>
          </w:tcPr>
          <w:p w14:paraId="66572462" w14:textId="77777777" w:rsidR="00C74738" w:rsidRPr="00B83AD3" w:rsidRDefault="00C74738" w:rsidP="00DC611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83AD3">
              <w:rPr>
                <w:rFonts w:cs="Times New Roman"/>
                <w:sz w:val="20"/>
                <w:szCs w:val="20"/>
              </w:rPr>
              <w:t xml:space="preserve">SIA </w:t>
            </w:r>
            <w:proofErr w:type="spellStart"/>
            <w:r w:rsidRPr="00B83AD3">
              <w:rPr>
                <w:rFonts w:cs="Times New Roman"/>
                <w:sz w:val="20"/>
                <w:szCs w:val="20"/>
              </w:rPr>
              <w:t>Aspired</w:t>
            </w:r>
            <w:proofErr w:type="spellEnd"/>
          </w:p>
        </w:tc>
        <w:tc>
          <w:tcPr>
            <w:tcW w:w="852" w:type="dxa"/>
          </w:tcPr>
          <w:p w14:paraId="66572463" w14:textId="77777777" w:rsidR="00C74738" w:rsidRPr="00B83AD3" w:rsidRDefault="000B1D33" w:rsidP="000B1D33">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83AD3">
              <w:rPr>
                <w:rFonts w:cs="Times New Roman"/>
                <w:sz w:val="20"/>
                <w:szCs w:val="20"/>
              </w:rPr>
              <w:t>–</w:t>
            </w:r>
          </w:p>
        </w:tc>
        <w:tc>
          <w:tcPr>
            <w:tcW w:w="962" w:type="dxa"/>
          </w:tcPr>
          <w:p w14:paraId="66572464" w14:textId="77777777" w:rsidR="00C74738" w:rsidRPr="00B83AD3" w:rsidRDefault="00C74738" w:rsidP="00C74738">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83AD3">
              <w:rPr>
                <w:rFonts w:cs="Times New Roman"/>
                <w:sz w:val="20"/>
                <w:szCs w:val="20"/>
              </w:rPr>
              <w:t>1</w:t>
            </w:r>
          </w:p>
        </w:tc>
        <w:tc>
          <w:tcPr>
            <w:tcW w:w="3381" w:type="dxa"/>
          </w:tcPr>
          <w:p w14:paraId="66572465" w14:textId="77777777" w:rsidR="00C74738" w:rsidRPr="00B83AD3" w:rsidRDefault="00111A5F" w:rsidP="00C74738">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83AD3">
              <w:rPr>
                <w:rFonts w:cs="Times New Roman"/>
                <w:sz w:val="20"/>
                <w:szCs w:val="20"/>
              </w:rPr>
              <w:t>Rīki izpratnes veidošanai par kosmosa tehnoloģijām</w:t>
            </w:r>
          </w:p>
        </w:tc>
      </w:tr>
    </w:tbl>
    <w:p w14:paraId="66572467" w14:textId="77777777" w:rsidR="008F5506" w:rsidRPr="00B83AD3" w:rsidRDefault="008F5506" w:rsidP="001302DC">
      <w:pPr>
        <w:rPr>
          <w:rFonts w:cs="Times New Roman"/>
        </w:rPr>
      </w:pPr>
    </w:p>
    <w:p w14:paraId="66572468" w14:textId="77777777" w:rsidR="005A235B" w:rsidRPr="00B83AD3" w:rsidRDefault="005A235B" w:rsidP="002835D2">
      <w:pPr>
        <w:rPr>
          <w:rFonts w:cs="Times New Roman"/>
          <w:b/>
        </w:rPr>
      </w:pPr>
    </w:p>
    <w:p w14:paraId="66572469" w14:textId="77777777" w:rsidR="001D4872" w:rsidRPr="00B83AD3" w:rsidRDefault="008761FF" w:rsidP="000B409C">
      <w:pPr>
        <w:rPr>
          <w:rFonts w:cs="Times New Roman"/>
          <w:b/>
        </w:rPr>
      </w:pPr>
      <w:r w:rsidRPr="00B83AD3">
        <w:rPr>
          <w:rFonts w:cs="Times New Roman"/>
          <w:b/>
        </w:rPr>
        <w:t>ESV</w:t>
      </w:r>
      <w:r w:rsidR="00156859" w:rsidRPr="00B83AD3">
        <w:rPr>
          <w:rFonts w:cs="Times New Roman"/>
          <w:b/>
        </w:rPr>
        <w:t xml:space="preserve"> līguma ietvaros veikto aktivitāšu komerciālie, tehnoloģiskie un citi netiešie efekti</w:t>
      </w:r>
    </w:p>
    <w:p w14:paraId="6657246A" w14:textId="77777777" w:rsidR="001D4872" w:rsidRPr="00B83AD3" w:rsidRDefault="001D4872" w:rsidP="005A235B">
      <w:pPr>
        <w:jc w:val="center"/>
        <w:rPr>
          <w:rFonts w:cs="Times New Roman"/>
        </w:rPr>
      </w:pPr>
    </w:p>
    <w:p w14:paraId="6657246B" w14:textId="77777777" w:rsidR="008A56D2" w:rsidRPr="00B83AD3" w:rsidRDefault="00FD0F18" w:rsidP="00DC7F54">
      <w:pPr>
        <w:ind w:firstLine="720"/>
        <w:rPr>
          <w:rFonts w:cs="Times New Roman"/>
          <w:lang w:val="en-US"/>
        </w:rPr>
      </w:pPr>
      <w:r w:rsidRPr="00B83AD3">
        <w:rPr>
          <w:rFonts w:cs="Times New Roman"/>
        </w:rPr>
        <w:t xml:space="preserve">Saskaņā ar </w:t>
      </w:r>
      <w:r w:rsidR="000019CC" w:rsidRPr="00B83AD3">
        <w:rPr>
          <w:rFonts w:cs="Times New Roman"/>
        </w:rPr>
        <w:t xml:space="preserve">Parīzes </w:t>
      </w:r>
      <w:r w:rsidR="008A56D2" w:rsidRPr="00B83AD3">
        <w:rPr>
          <w:rFonts w:cs="Times New Roman"/>
        </w:rPr>
        <w:t>U</w:t>
      </w:r>
      <w:r w:rsidR="000019CC" w:rsidRPr="00B83AD3">
        <w:rPr>
          <w:rFonts w:cs="Times New Roman"/>
        </w:rPr>
        <w:t xml:space="preserve">niversitātes </w:t>
      </w:r>
      <w:r w:rsidRPr="00B83AD3">
        <w:rPr>
          <w:rFonts w:cs="Times New Roman"/>
        </w:rPr>
        <w:t xml:space="preserve">profesora </w:t>
      </w:r>
      <w:proofErr w:type="spellStart"/>
      <w:r w:rsidRPr="00B83AD3">
        <w:rPr>
          <w:rFonts w:cs="Times New Roman"/>
          <w:i/>
        </w:rPr>
        <w:t>P</w:t>
      </w:r>
      <w:r w:rsidR="00A57E27" w:rsidRPr="00B83AD3">
        <w:rPr>
          <w:rFonts w:cs="Times New Roman"/>
          <w:i/>
        </w:rPr>
        <w:t>atrick</w:t>
      </w:r>
      <w:proofErr w:type="spellEnd"/>
      <w:r w:rsidR="00A57E27" w:rsidRPr="00B83AD3">
        <w:rPr>
          <w:rFonts w:cs="Times New Roman"/>
          <w:i/>
        </w:rPr>
        <w:t xml:space="preserve"> </w:t>
      </w:r>
      <w:proofErr w:type="spellStart"/>
      <w:r w:rsidRPr="00B83AD3">
        <w:rPr>
          <w:rFonts w:cs="Times New Roman"/>
          <w:i/>
        </w:rPr>
        <w:t>Cohendet</w:t>
      </w:r>
      <w:proofErr w:type="spellEnd"/>
      <w:r w:rsidRPr="00B83AD3">
        <w:rPr>
          <w:rFonts w:cs="Times New Roman"/>
        </w:rPr>
        <w:t xml:space="preserve"> pētījumu</w:t>
      </w:r>
      <w:r w:rsidRPr="00B83AD3">
        <w:rPr>
          <w:rStyle w:val="FootnoteReference"/>
          <w:rFonts w:cs="Times New Roman"/>
        </w:rPr>
        <w:footnoteReference w:id="13"/>
      </w:r>
      <w:r w:rsidRPr="00B83AD3">
        <w:rPr>
          <w:rFonts w:cs="Times New Roman"/>
        </w:rPr>
        <w:t xml:space="preserve"> par netie</w:t>
      </w:r>
      <w:r w:rsidR="000019CC" w:rsidRPr="00B83AD3">
        <w:rPr>
          <w:rFonts w:cs="Times New Roman"/>
        </w:rPr>
        <w:t xml:space="preserve">šajiem industriālajiem efektiem, </w:t>
      </w:r>
      <w:r w:rsidRPr="00B83AD3">
        <w:rPr>
          <w:rFonts w:cs="Times New Roman"/>
        </w:rPr>
        <w:t xml:space="preserve">īstenojot EKA tehnoloģiju programmas, tiek </w:t>
      </w:r>
      <w:r w:rsidR="008A56D2" w:rsidRPr="00B83AD3">
        <w:rPr>
          <w:rFonts w:cs="Times New Roman"/>
        </w:rPr>
        <w:t>minēti</w:t>
      </w:r>
      <w:r w:rsidRPr="00B83AD3">
        <w:rPr>
          <w:rFonts w:cs="Times New Roman"/>
        </w:rPr>
        <w:t xml:space="preserve"> četru veidu efekt</w:t>
      </w:r>
      <w:r w:rsidR="008A56D2" w:rsidRPr="00B83AD3">
        <w:rPr>
          <w:rFonts w:cs="Times New Roman"/>
        </w:rPr>
        <w:t>i</w:t>
      </w:r>
      <w:r w:rsidRPr="00B83AD3">
        <w:rPr>
          <w:rFonts w:cs="Times New Roman"/>
        </w:rPr>
        <w:t xml:space="preserve"> – tehnoloģiskie efekti, komerciālie efekti, organizatoriskie efekti un darba faktoru efekti. </w:t>
      </w:r>
      <w:r w:rsidR="000B1D33" w:rsidRPr="00B83AD3">
        <w:rPr>
          <w:rFonts w:cs="Times New Roman"/>
        </w:rPr>
        <w:t>N</w:t>
      </w:r>
      <w:r w:rsidR="00143F01" w:rsidRPr="00B83AD3">
        <w:rPr>
          <w:rFonts w:cs="Times New Roman"/>
        </w:rPr>
        <w:t>etiešie</w:t>
      </w:r>
      <w:r w:rsidRPr="00B83AD3">
        <w:rPr>
          <w:rFonts w:cs="Times New Roman"/>
        </w:rPr>
        <w:t xml:space="preserve"> </w:t>
      </w:r>
      <w:r w:rsidR="00143F01" w:rsidRPr="00B83AD3">
        <w:rPr>
          <w:rFonts w:cs="Times New Roman"/>
        </w:rPr>
        <w:t>industriālie</w:t>
      </w:r>
      <w:r w:rsidRPr="00B83AD3">
        <w:rPr>
          <w:rFonts w:cs="Times New Roman"/>
          <w:lang w:val="en-US"/>
        </w:rPr>
        <w:t xml:space="preserve"> </w:t>
      </w:r>
      <w:r w:rsidR="00143F01" w:rsidRPr="00B83AD3">
        <w:rPr>
          <w:rFonts w:cs="Times New Roman"/>
        </w:rPr>
        <w:t>efekti</w:t>
      </w:r>
      <w:r w:rsidRPr="00B83AD3">
        <w:rPr>
          <w:rFonts w:cs="Times New Roman"/>
        </w:rPr>
        <w:t xml:space="preserve"> saskaņā ar profesora </w:t>
      </w:r>
      <w:proofErr w:type="spellStart"/>
      <w:r w:rsidRPr="00B83AD3">
        <w:rPr>
          <w:rFonts w:cs="Times New Roman"/>
          <w:i/>
        </w:rPr>
        <w:t>P.Cohendet</w:t>
      </w:r>
      <w:proofErr w:type="spellEnd"/>
      <w:r w:rsidRPr="00B83AD3">
        <w:rPr>
          <w:rFonts w:cs="Times New Roman"/>
        </w:rPr>
        <w:t xml:space="preserve"> pētījumu</w:t>
      </w:r>
      <w:r w:rsidR="000B1D33" w:rsidRPr="00B83AD3">
        <w:rPr>
          <w:rFonts w:cs="Times New Roman"/>
        </w:rPr>
        <w:t xml:space="preserve"> apkopoti Tabulā Nr. 5</w:t>
      </w:r>
      <w:r w:rsidRPr="00B83AD3">
        <w:rPr>
          <w:rFonts w:cs="Times New Roman"/>
        </w:rPr>
        <w:t>.</w:t>
      </w:r>
    </w:p>
    <w:p w14:paraId="61BE9F52" w14:textId="77777777" w:rsidR="00896903" w:rsidRDefault="00896903" w:rsidP="00DC6116">
      <w:pPr>
        <w:ind w:firstLine="720"/>
        <w:jc w:val="right"/>
        <w:rPr>
          <w:rFonts w:cs="Times New Roman"/>
          <w:sz w:val="24"/>
        </w:rPr>
      </w:pPr>
    </w:p>
    <w:p w14:paraId="6657246C" w14:textId="77777777" w:rsidR="00FD0F18" w:rsidRPr="00B83AD3" w:rsidRDefault="00FD0F18" w:rsidP="00DC6116">
      <w:pPr>
        <w:ind w:firstLine="720"/>
        <w:jc w:val="right"/>
        <w:rPr>
          <w:rFonts w:cs="Times New Roman"/>
          <w:sz w:val="24"/>
        </w:rPr>
      </w:pPr>
      <w:r w:rsidRPr="00B83AD3">
        <w:rPr>
          <w:rFonts w:cs="Times New Roman"/>
          <w:sz w:val="24"/>
        </w:rPr>
        <w:t xml:space="preserve">Tabula </w:t>
      </w:r>
      <w:r w:rsidR="005A235B" w:rsidRPr="00B83AD3">
        <w:rPr>
          <w:rFonts w:cs="Times New Roman"/>
          <w:sz w:val="24"/>
        </w:rPr>
        <w:t xml:space="preserve">Nr. </w:t>
      </w:r>
      <w:r w:rsidRPr="00B83AD3">
        <w:rPr>
          <w:rFonts w:cs="Times New Roman"/>
          <w:sz w:val="24"/>
        </w:rPr>
        <w:t xml:space="preserve">5 </w:t>
      </w:r>
    </w:p>
    <w:p w14:paraId="6657246D" w14:textId="77777777" w:rsidR="00FD0F18" w:rsidRPr="00B83AD3" w:rsidRDefault="00FD0F18" w:rsidP="005A235B">
      <w:pPr>
        <w:jc w:val="center"/>
        <w:rPr>
          <w:rFonts w:cs="Times New Roman"/>
          <w:b/>
        </w:rPr>
      </w:pPr>
      <w:r w:rsidRPr="00B83AD3">
        <w:rPr>
          <w:rFonts w:cs="Times New Roman"/>
          <w:b/>
          <w:sz w:val="24"/>
        </w:rPr>
        <w:t>Netiešie industriālie efekti no EKA tehnoloģiju programmām</w:t>
      </w:r>
    </w:p>
    <w:p w14:paraId="6657246E" w14:textId="77777777" w:rsidR="005A235B" w:rsidRPr="00B83AD3" w:rsidRDefault="005A235B" w:rsidP="005A235B">
      <w:pPr>
        <w:jc w:val="center"/>
        <w:rPr>
          <w:rFonts w:cs="Times New Roman"/>
          <w:b/>
        </w:rPr>
      </w:pPr>
    </w:p>
    <w:tbl>
      <w:tblPr>
        <w:tblStyle w:val="GridTable4-Accent4"/>
        <w:tblW w:w="0" w:type="auto"/>
        <w:tblLook w:val="04A0" w:firstRow="1" w:lastRow="0" w:firstColumn="1" w:lastColumn="0" w:noHBand="0" w:noVBand="1"/>
      </w:tblPr>
      <w:tblGrid>
        <w:gridCol w:w="2265"/>
        <w:gridCol w:w="2265"/>
        <w:gridCol w:w="2265"/>
        <w:gridCol w:w="2266"/>
      </w:tblGrid>
      <w:tr w:rsidR="00FD0F18" w:rsidRPr="00B83AD3" w14:paraId="66572473" w14:textId="77777777" w:rsidTr="003274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auto"/>
              <w:left w:val="single" w:sz="4" w:space="0" w:color="auto"/>
              <w:bottom w:val="single" w:sz="4" w:space="0" w:color="auto"/>
              <w:right w:val="single" w:sz="4" w:space="0" w:color="auto"/>
            </w:tcBorders>
            <w:vAlign w:val="center"/>
          </w:tcPr>
          <w:p w14:paraId="6657246F" w14:textId="77777777" w:rsidR="00FD0F18" w:rsidRPr="00B83AD3" w:rsidRDefault="00FD0F18" w:rsidP="003274D0">
            <w:pPr>
              <w:jc w:val="center"/>
              <w:rPr>
                <w:rFonts w:cs="Times New Roman"/>
                <w:color w:val="000000" w:themeColor="text1"/>
                <w:sz w:val="20"/>
              </w:rPr>
            </w:pPr>
            <w:r w:rsidRPr="00B83AD3">
              <w:rPr>
                <w:rFonts w:cs="Times New Roman"/>
                <w:color w:val="000000" w:themeColor="text1"/>
                <w:sz w:val="20"/>
              </w:rPr>
              <w:t>Tehnoloģiskie efekti</w:t>
            </w:r>
          </w:p>
        </w:tc>
        <w:tc>
          <w:tcPr>
            <w:tcW w:w="2265" w:type="dxa"/>
            <w:tcBorders>
              <w:top w:val="single" w:sz="4" w:space="0" w:color="auto"/>
              <w:left w:val="single" w:sz="4" w:space="0" w:color="auto"/>
              <w:bottom w:val="single" w:sz="4" w:space="0" w:color="auto"/>
              <w:right w:val="single" w:sz="4" w:space="0" w:color="auto"/>
            </w:tcBorders>
            <w:vAlign w:val="center"/>
          </w:tcPr>
          <w:p w14:paraId="66572470" w14:textId="77777777" w:rsidR="00FD0F18" w:rsidRPr="00B83AD3" w:rsidRDefault="00FD0F18" w:rsidP="003274D0">
            <w:pPr>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sz w:val="20"/>
              </w:rPr>
            </w:pPr>
            <w:r w:rsidRPr="00B83AD3">
              <w:rPr>
                <w:rFonts w:cs="Times New Roman"/>
                <w:color w:val="000000" w:themeColor="text1"/>
                <w:sz w:val="20"/>
              </w:rPr>
              <w:t>Komerciālie efekti</w:t>
            </w:r>
          </w:p>
        </w:tc>
        <w:tc>
          <w:tcPr>
            <w:tcW w:w="2265" w:type="dxa"/>
            <w:tcBorders>
              <w:top w:val="single" w:sz="4" w:space="0" w:color="auto"/>
              <w:left w:val="single" w:sz="4" w:space="0" w:color="auto"/>
              <w:bottom w:val="single" w:sz="4" w:space="0" w:color="auto"/>
              <w:right w:val="single" w:sz="4" w:space="0" w:color="auto"/>
            </w:tcBorders>
            <w:vAlign w:val="center"/>
          </w:tcPr>
          <w:p w14:paraId="66572471" w14:textId="77777777" w:rsidR="00FD0F18" w:rsidRPr="00B83AD3" w:rsidRDefault="00FD0F18" w:rsidP="003274D0">
            <w:pPr>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sz w:val="20"/>
              </w:rPr>
            </w:pPr>
            <w:r w:rsidRPr="00B83AD3">
              <w:rPr>
                <w:rFonts w:cs="Times New Roman"/>
                <w:color w:val="000000" w:themeColor="text1"/>
                <w:sz w:val="20"/>
              </w:rPr>
              <w:t>Organizatoriskie un metožu efekti</w:t>
            </w:r>
          </w:p>
        </w:tc>
        <w:tc>
          <w:tcPr>
            <w:tcW w:w="2266" w:type="dxa"/>
            <w:tcBorders>
              <w:top w:val="single" w:sz="4" w:space="0" w:color="auto"/>
              <w:left w:val="single" w:sz="4" w:space="0" w:color="auto"/>
              <w:bottom w:val="single" w:sz="4" w:space="0" w:color="auto"/>
              <w:right w:val="single" w:sz="4" w:space="0" w:color="auto"/>
            </w:tcBorders>
            <w:vAlign w:val="center"/>
          </w:tcPr>
          <w:p w14:paraId="66572472" w14:textId="77777777" w:rsidR="00FD0F18" w:rsidRPr="00B83AD3" w:rsidRDefault="00FD0F18" w:rsidP="003274D0">
            <w:pPr>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sz w:val="20"/>
              </w:rPr>
            </w:pPr>
            <w:r w:rsidRPr="00B83AD3">
              <w:rPr>
                <w:rFonts w:cs="Times New Roman"/>
                <w:color w:val="000000" w:themeColor="text1"/>
                <w:sz w:val="20"/>
              </w:rPr>
              <w:t>Darba faktoru efekti</w:t>
            </w:r>
          </w:p>
        </w:tc>
      </w:tr>
      <w:tr w:rsidR="00FD0F18" w:rsidRPr="00B83AD3" w14:paraId="66572480" w14:textId="77777777" w:rsidTr="00327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auto"/>
            </w:tcBorders>
          </w:tcPr>
          <w:p w14:paraId="66572474" w14:textId="77777777" w:rsidR="00FD0F18" w:rsidRPr="00B83AD3" w:rsidRDefault="00FD0F18" w:rsidP="00B7653A">
            <w:pPr>
              <w:rPr>
                <w:rFonts w:cs="Times New Roman"/>
                <w:b w:val="0"/>
                <w:sz w:val="20"/>
              </w:rPr>
            </w:pPr>
            <w:r w:rsidRPr="00B83AD3">
              <w:rPr>
                <w:rFonts w:cs="Times New Roman"/>
                <w:b w:val="0"/>
                <w:sz w:val="20"/>
              </w:rPr>
              <w:t xml:space="preserve">Tehnoloģiju </w:t>
            </w:r>
            <w:proofErr w:type="spellStart"/>
            <w:r w:rsidRPr="00B83AD3">
              <w:rPr>
                <w:rFonts w:cs="Times New Roman"/>
                <w:b w:val="0"/>
                <w:sz w:val="20"/>
              </w:rPr>
              <w:t>pārnese</w:t>
            </w:r>
            <w:proofErr w:type="spellEnd"/>
            <w:r w:rsidRPr="00B83AD3">
              <w:rPr>
                <w:rFonts w:cs="Times New Roman"/>
                <w:b w:val="0"/>
                <w:sz w:val="20"/>
              </w:rPr>
              <w:t xml:space="preserve"> P&amp;A programmu īstenošanā: </w:t>
            </w:r>
          </w:p>
          <w:p w14:paraId="66572475" w14:textId="77777777" w:rsidR="00FD0F18" w:rsidRPr="00B83AD3" w:rsidRDefault="00FD0F18" w:rsidP="00B7653A">
            <w:pPr>
              <w:pStyle w:val="ListParagraph"/>
              <w:numPr>
                <w:ilvl w:val="0"/>
                <w:numId w:val="28"/>
              </w:numPr>
              <w:ind w:left="337"/>
              <w:rPr>
                <w:rFonts w:ascii="Times New Roman" w:hAnsi="Times New Roman" w:cs="Times New Roman"/>
                <w:b w:val="0"/>
                <w:sz w:val="20"/>
                <w:szCs w:val="24"/>
              </w:rPr>
            </w:pPr>
            <w:r w:rsidRPr="00B83AD3">
              <w:rPr>
                <w:rFonts w:ascii="Times New Roman" w:hAnsi="Times New Roman" w:cs="Times New Roman"/>
                <w:b w:val="0"/>
                <w:sz w:val="20"/>
                <w:szCs w:val="24"/>
              </w:rPr>
              <w:t>atvasinājumi no EKA produktiem;</w:t>
            </w:r>
          </w:p>
          <w:p w14:paraId="66572476" w14:textId="77777777" w:rsidR="00FD0F18" w:rsidRPr="00B83AD3" w:rsidRDefault="00FD0F18" w:rsidP="00B7653A">
            <w:pPr>
              <w:pStyle w:val="ListParagraph"/>
              <w:numPr>
                <w:ilvl w:val="0"/>
                <w:numId w:val="28"/>
              </w:numPr>
              <w:ind w:left="337"/>
              <w:rPr>
                <w:rFonts w:ascii="Times New Roman" w:hAnsi="Times New Roman" w:cs="Times New Roman"/>
                <w:b w:val="0"/>
                <w:sz w:val="20"/>
                <w:szCs w:val="24"/>
              </w:rPr>
            </w:pPr>
            <w:r w:rsidRPr="00B83AD3">
              <w:rPr>
                <w:rFonts w:ascii="Times New Roman" w:hAnsi="Times New Roman" w:cs="Times New Roman"/>
                <w:b w:val="0"/>
                <w:sz w:val="20"/>
                <w:szCs w:val="24"/>
              </w:rPr>
              <w:t>jauni produkti;</w:t>
            </w:r>
          </w:p>
          <w:p w14:paraId="66572477" w14:textId="77777777" w:rsidR="00FD0F18" w:rsidRPr="00B83AD3" w:rsidRDefault="00FD0F18" w:rsidP="00B7653A">
            <w:pPr>
              <w:pStyle w:val="ListParagraph"/>
              <w:numPr>
                <w:ilvl w:val="0"/>
                <w:numId w:val="28"/>
              </w:numPr>
              <w:ind w:left="337"/>
              <w:rPr>
                <w:rFonts w:ascii="Times New Roman" w:hAnsi="Times New Roman" w:cs="Times New Roman"/>
                <w:sz w:val="20"/>
                <w:szCs w:val="24"/>
              </w:rPr>
            </w:pPr>
            <w:r w:rsidRPr="00B83AD3">
              <w:rPr>
                <w:rFonts w:ascii="Times New Roman" w:hAnsi="Times New Roman" w:cs="Times New Roman"/>
                <w:b w:val="0"/>
                <w:sz w:val="20"/>
                <w:szCs w:val="24"/>
              </w:rPr>
              <w:t>produktu uzlabojumi.</w:t>
            </w:r>
            <w:r w:rsidRPr="00B83AD3">
              <w:rPr>
                <w:rFonts w:ascii="Times New Roman" w:hAnsi="Times New Roman" w:cs="Times New Roman"/>
                <w:sz w:val="20"/>
                <w:szCs w:val="24"/>
              </w:rPr>
              <w:t xml:space="preserve"> </w:t>
            </w:r>
          </w:p>
        </w:tc>
        <w:tc>
          <w:tcPr>
            <w:tcW w:w="2265" w:type="dxa"/>
            <w:tcBorders>
              <w:top w:val="single" w:sz="4" w:space="0" w:color="auto"/>
            </w:tcBorders>
          </w:tcPr>
          <w:p w14:paraId="66572478" w14:textId="77777777" w:rsidR="00FD0F18" w:rsidRPr="00B83AD3" w:rsidRDefault="00FD0F18" w:rsidP="00B7653A">
            <w:pPr>
              <w:cnfStyle w:val="000000100000" w:firstRow="0" w:lastRow="0" w:firstColumn="0" w:lastColumn="0" w:oddVBand="0" w:evenVBand="0" w:oddHBand="1" w:evenHBand="0" w:firstRowFirstColumn="0" w:firstRowLastColumn="0" w:lastRowFirstColumn="0" w:lastRowLastColumn="0"/>
              <w:rPr>
                <w:rFonts w:cs="Times New Roman"/>
                <w:sz w:val="20"/>
              </w:rPr>
            </w:pPr>
            <w:r w:rsidRPr="00B83AD3">
              <w:rPr>
                <w:rFonts w:cs="Times New Roman"/>
                <w:sz w:val="20"/>
              </w:rPr>
              <w:t>Tīklošanās efekti – ietekme no biznesa kontaktiem starp EKA programmu dalībniekiem</w:t>
            </w:r>
            <w:r w:rsidR="002E06AA" w:rsidRPr="00B83AD3">
              <w:rPr>
                <w:rFonts w:cs="Times New Roman"/>
                <w:sz w:val="20"/>
              </w:rPr>
              <w:t>;</w:t>
            </w:r>
          </w:p>
          <w:p w14:paraId="66572479" w14:textId="77777777" w:rsidR="00FD0F18" w:rsidRPr="00B83AD3" w:rsidRDefault="008A56D2" w:rsidP="00B7653A">
            <w:pPr>
              <w:cnfStyle w:val="000000100000" w:firstRow="0" w:lastRow="0" w:firstColumn="0" w:lastColumn="0" w:oddVBand="0" w:evenVBand="0" w:oddHBand="1" w:evenHBand="0" w:firstRowFirstColumn="0" w:firstRowLastColumn="0" w:lastRowFirstColumn="0" w:lastRowLastColumn="0"/>
              <w:rPr>
                <w:rFonts w:cs="Times New Roman"/>
                <w:sz w:val="20"/>
              </w:rPr>
            </w:pPr>
            <w:r w:rsidRPr="00B83AD3">
              <w:rPr>
                <w:rFonts w:cs="Times New Roman"/>
                <w:sz w:val="20"/>
              </w:rPr>
              <w:t>r</w:t>
            </w:r>
            <w:r w:rsidR="00FD0F18" w:rsidRPr="00B83AD3">
              <w:rPr>
                <w:rFonts w:cs="Times New Roman"/>
                <w:sz w:val="20"/>
              </w:rPr>
              <w:t xml:space="preserve">eputāciju efekti </w:t>
            </w:r>
            <w:r w:rsidRPr="00B83AD3">
              <w:rPr>
                <w:rFonts w:cs="Times New Roman"/>
                <w:sz w:val="20"/>
              </w:rPr>
              <w:t>–</w:t>
            </w:r>
            <w:r w:rsidR="00FD0F18" w:rsidRPr="00B83AD3">
              <w:rPr>
                <w:rFonts w:cs="Times New Roman"/>
                <w:sz w:val="20"/>
              </w:rPr>
              <w:t xml:space="preserve"> EKA līgumi tiek izmantoti, kā mārketinga rīks vai atsauce.</w:t>
            </w:r>
          </w:p>
        </w:tc>
        <w:tc>
          <w:tcPr>
            <w:tcW w:w="2265" w:type="dxa"/>
            <w:tcBorders>
              <w:top w:val="single" w:sz="4" w:space="0" w:color="auto"/>
            </w:tcBorders>
          </w:tcPr>
          <w:p w14:paraId="6657247A" w14:textId="77777777" w:rsidR="00FD0F18" w:rsidRPr="00B83AD3" w:rsidRDefault="00FD0F18" w:rsidP="00B7653A">
            <w:pPr>
              <w:cnfStyle w:val="000000100000" w:firstRow="0" w:lastRow="0" w:firstColumn="0" w:lastColumn="0" w:oddVBand="0" w:evenVBand="0" w:oddHBand="1" w:evenHBand="0" w:firstRowFirstColumn="0" w:firstRowLastColumn="0" w:lastRowFirstColumn="0" w:lastRowLastColumn="0"/>
              <w:rPr>
                <w:rFonts w:cs="Times New Roman"/>
                <w:sz w:val="20"/>
              </w:rPr>
            </w:pPr>
            <w:r w:rsidRPr="00B83AD3">
              <w:rPr>
                <w:rFonts w:cs="Times New Roman"/>
                <w:sz w:val="20"/>
              </w:rPr>
              <w:t xml:space="preserve">Organizatoriskās struktūras izmaiņas; </w:t>
            </w:r>
          </w:p>
          <w:p w14:paraId="6657247B" w14:textId="77777777" w:rsidR="00FD0F18" w:rsidRPr="00B83AD3" w:rsidRDefault="008A56D2" w:rsidP="00B7653A">
            <w:pPr>
              <w:cnfStyle w:val="000000100000" w:firstRow="0" w:lastRow="0" w:firstColumn="0" w:lastColumn="0" w:oddVBand="0" w:evenVBand="0" w:oddHBand="1" w:evenHBand="0" w:firstRowFirstColumn="0" w:firstRowLastColumn="0" w:lastRowFirstColumn="0" w:lastRowLastColumn="0"/>
              <w:rPr>
                <w:rFonts w:cs="Times New Roman"/>
                <w:sz w:val="20"/>
              </w:rPr>
            </w:pPr>
            <w:r w:rsidRPr="00B83AD3">
              <w:rPr>
                <w:rFonts w:cs="Times New Roman"/>
                <w:sz w:val="20"/>
              </w:rPr>
              <w:t>u</w:t>
            </w:r>
            <w:r w:rsidR="00FD0F18" w:rsidRPr="00B83AD3">
              <w:rPr>
                <w:rFonts w:cs="Times New Roman"/>
                <w:sz w:val="20"/>
              </w:rPr>
              <w:t>zlabotu kvalitātes kontroles standartu pieņemšana;</w:t>
            </w:r>
          </w:p>
          <w:p w14:paraId="6657247C" w14:textId="77777777" w:rsidR="00FD0F18" w:rsidRPr="00B83AD3" w:rsidRDefault="008A56D2" w:rsidP="00B7653A">
            <w:pPr>
              <w:cnfStyle w:val="000000100000" w:firstRow="0" w:lastRow="0" w:firstColumn="0" w:lastColumn="0" w:oddVBand="0" w:evenVBand="0" w:oddHBand="1" w:evenHBand="0" w:firstRowFirstColumn="0" w:firstRowLastColumn="0" w:lastRowFirstColumn="0" w:lastRowLastColumn="0"/>
              <w:rPr>
                <w:rFonts w:cs="Times New Roman"/>
                <w:sz w:val="20"/>
              </w:rPr>
            </w:pPr>
            <w:r w:rsidRPr="00B83AD3">
              <w:rPr>
                <w:rFonts w:cs="Times New Roman"/>
                <w:sz w:val="20"/>
              </w:rPr>
              <w:t>e</w:t>
            </w:r>
            <w:r w:rsidR="00FD0F18" w:rsidRPr="00B83AD3">
              <w:rPr>
                <w:rFonts w:cs="Times New Roman"/>
                <w:sz w:val="20"/>
              </w:rPr>
              <w:t xml:space="preserve">ksperimentālas procedūras; </w:t>
            </w:r>
          </w:p>
          <w:p w14:paraId="6657247D" w14:textId="77777777" w:rsidR="00FD0F18" w:rsidRPr="00B83AD3" w:rsidRDefault="008A56D2" w:rsidP="00B7653A">
            <w:pPr>
              <w:cnfStyle w:val="000000100000" w:firstRow="0" w:lastRow="0" w:firstColumn="0" w:lastColumn="0" w:oddVBand="0" w:evenVBand="0" w:oddHBand="1" w:evenHBand="0" w:firstRowFirstColumn="0" w:firstRowLastColumn="0" w:lastRowFirstColumn="0" w:lastRowLastColumn="0"/>
              <w:rPr>
                <w:rFonts w:cs="Times New Roman"/>
                <w:sz w:val="20"/>
              </w:rPr>
            </w:pPr>
            <w:r w:rsidRPr="00B83AD3">
              <w:rPr>
                <w:rFonts w:cs="Times New Roman"/>
                <w:sz w:val="20"/>
              </w:rPr>
              <w:t>j</w:t>
            </w:r>
            <w:r w:rsidR="00FD0F18" w:rsidRPr="00B83AD3">
              <w:rPr>
                <w:rFonts w:cs="Times New Roman"/>
                <w:sz w:val="20"/>
              </w:rPr>
              <w:t>aunas pārvaldības metodes</w:t>
            </w:r>
            <w:r w:rsidR="002E06AA" w:rsidRPr="00B83AD3">
              <w:rPr>
                <w:rFonts w:cs="Times New Roman"/>
                <w:sz w:val="20"/>
              </w:rPr>
              <w:t>.</w:t>
            </w:r>
          </w:p>
        </w:tc>
        <w:tc>
          <w:tcPr>
            <w:tcW w:w="2266" w:type="dxa"/>
            <w:tcBorders>
              <w:top w:val="single" w:sz="4" w:space="0" w:color="auto"/>
            </w:tcBorders>
          </w:tcPr>
          <w:p w14:paraId="6657247E" w14:textId="77777777" w:rsidR="00FD0F18" w:rsidRPr="00B83AD3" w:rsidRDefault="00FD0F18" w:rsidP="00B7653A">
            <w:pPr>
              <w:cnfStyle w:val="000000100000" w:firstRow="0" w:lastRow="0" w:firstColumn="0" w:lastColumn="0" w:oddVBand="0" w:evenVBand="0" w:oddHBand="1" w:evenHBand="0" w:firstRowFirstColumn="0" w:firstRowLastColumn="0" w:lastRowFirstColumn="0" w:lastRowLastColumn="0"/>
              <w:rPr>
                <w:rFonts w:cs="Times New Roman"/>
                <w:sz w:val="20"/>
              </w:rPr>
            </w:pPr>
            <w:r w:rsidRPr="00B83AD3">
              <w:rPr>
                <w:rFonts w:cs="Times New Roman"/>
                <w:sz w:val="20"/>
              </w:rPr>
              <w:t xml:space="preserve">Uzlabota kvalifikācija un prasmes darbiniekiem, kas iesaistījušies EKA projektos; </w:t>
            </w:r>
          </w:p>
          <w:p w14:paraId="6657247F" w14:textId="77777777" w:rsidR="00FD0F18" w:rsidRPr="00B83AD3" w:rsidRDefault="008A56D2" w:rsidP="00B7653A">
            <w:pPr>
              <w:cnfStyle w:val="000000100000" w:firstRow="0" w:lastRow="0" w:firstColumn="0" w:lastColumn="0" w:oddVBand="0" w:evenVBand="0" w:oddHBand="1" w:evenHBand="0" w:firstRowFirstColumn="0" w:firstRowLastColumn="0" w:lastRowFirstColumn="0" w:lastRowLastColumn="0"/>
              <w:rPr>
                <w:rFonts w:cs="Times New Roman"/>
                <w:sz w:val="20"/>
              </w:rPr>
            </w:pPr>
            <w:r w:rsidRPr="00B83AD3">
              <w:rPr>
                <w:rFonts w:cs="Times New Roman"/>
                <w:sz w:val="20"/>
              </w:rPr>
              <w:t>i</w:t>
            </w:r>
            <w:r w:rsidR="00FD0F18" w:rsidRPr="00B83AD3">
              <w:rPr>
                <w:rFonts w:cs="Times New Roman"/>
                <w:sz w:val="20"/>
              </w:rPr>
              <w:t xml:space="preserve">esaistīto speciālistu, zinātnieku, inženieru un tehniķu kritiskās masas izveide organizācijā. </w:t>
            </w:r>
          </w:p>
        </w:tc>
      </w:tr>
    </w:tbl>
    <w:p w14:paraId="66572481" w14:textId="77777777" w:rsidR="00FD0F18" w:rsidRPr="00B83AD3" w:rsidRDefault="00FD0F18" w:rsidP="00FD0F18">
      <w:pPr>
        <w:ind w:firstLine="720"/>
        <w:rPr>
          <w:rFonts w:cs="Times New Roman"/>
        </w:rPr>
      </w:pPr>
    </w:p>
    <w:p w14:paraId="66572482" w14:textId="77777777" w:rsidR="00FD0F18" w:rsidRPr="00B83AD3" w:rsidRDefault="00FD0F18" w:rsidP="00FD0F18">
      <w:pPr>
        <w:ind w:firstLine="720"/>
        <w:rPr>
          <w:rFonts w:cs="Times New Roman"/>
        </w:rPr>
      </w:pPr>
      <w:r w:rsidRPr="00B83AD3">
        <w:rPr>
          <w:rFonts w:cs="Times New Roman"/>
        </w:rPr>
        <w:lastRenderedPageBreak/>
        <w:t>Ņemot vērā īso laika perioda</w:t>
      </w:r>
      <w:r w:rsidR="000B1D33" w:rsidRPr="00B83AD3">
        <w:rPr>
          <w:rFonts w:cs="Times New Roman"/>
        </w:rPr>
        <w:t>,</w:t>
      </w:r>
      <w:r w:rsidRPr="00B83AD3">
        <w:rPr>
          <w:rFonts w:cs="Times New Roman"/>
        </w:rPr>
        <w:t xml:space="preserve"> kopš ir pabeigti </w:t>
      </w:r>
      <w:r w:rsidR="008E0614" w:rsidRPr="00B83AD3">
        <w:rPr>
          <w:rFonts w:cs="Times New Roman"/>
        </w:rPr>
        <w:t xml:space="preserve">10 </w:t>
      </w:r>
      <w:r w:rsidRPr="00B83AD3">
        <w:rPr>
          <w:rFonts w:cs="Times New Roman"/>
        </w:rPr>
        <w:t>ESV līgumi (</w:t>
      </w:r>
      <w:r w:rsidR="008E0614" w:rsidRPr="00B83AD3">
        <w:rPr>
          <w:rFonts w:cs="Times New Roman"/>
        </w:rPr>
        <w:t>pārējie</w:t>
      </w:r>
      <w:r w:rsidRPr="00B83AD3">
        <w:rPr>
          <w:rFonts w:cs="Times New Roman"/>
        </w:rPr>
        <w:t xml:space="preserve"> </w:t>
      </w:r>
      <w:r w:rsidR="00DC7F54" w:rsidRPr="00B83AD3">
        <w:rPr>
          <w:rFonts w:cs="Times New Roman"/>
        </w:rPr>
        <w:t>29</w:t>
      </w:r>
      <w:r w:rsidRPr="00B83AD3">
        <w:rPr>
          <w:rFonts w:cs="Times New Roman"/>
        </w:rPr>
        <w:t xml:space="preserve"> tiem turpinās vai vēl pat nav uzsākti), ir grūti noteikt to netiešos industriālos efektus, kas </w:t>
      </w:r>
      <w:r w:rsidR="000312EC" w:rsidRPr="00B83AD3">
        <w:rPr>
          <w:rFonts w:cs="Times New Roman"/>
        </w:rPr>
        <w:t xml:space="preserve">var parādīties trīs līdz </w:t>
      </w:r>
      <w:r w:rsidR="008E0614" w:rsidRPr="00B83AD3">
        <w:rPr>
          <w:rFonts w:cs="Times New Roman"/>
        </w:rPr>
        <w:t>piecu</w:t>
      </w:r>
      <w:r w:rsidRPr="00B83AD3">
        <w:rPr>
          <w:rFonts w:cs="Times New Roman"/>
        </w:rPr>
        <w:t xml:space="preserve"> gadu laikā pēc projektu pabeigšanas ar nosacījumu, ja īstenotās aktivitāt</w:t>
      </w:r>
      <w:r w:rsidR="000019CC" w:rsidRPr="00B83AD3">
        <w:rPr>
          <w:rFonts w:cs="Times New Roman"/>
        </w:rPr>
        <w:t>es tiks turpinātas arī nākotnē.</w:t>
      </w:r>
    </w:p>
    <w:p w14:paraId="66572483" w14:textId="5A9FD825" w:rsidR="001D4872" w:rsidRPr="00B83AD3" w:rsidRDefault="00156859" w:rsidP="00FD0F18">
      <w:pPr>
        <w:ind w:firstLine="720"/>
        <w:rPr>
          <w:rFonts w:cs="Times New Roman"/>
        </w:rPr>
      </w:pPr>
      <w:r w:rsidRPr="00B83AD3">
        <w:rPr>
          <w:rFonts w:cs="Times New Roman"/>
        </w:rPr>
        <w:t>Lai arī lielākā daļa no ESV līguma ietvaros veiktajām aktivitātēm ir salīdzinoši zem</w:t>
      </w:r>
      <w:r w:rsidR="002E06AA" w:rsidRPr="00B83AD3">
        <w:rPr>
          <w:rFonts w:cs="Times New Roman"/>
        </w:rPr>
        <w:t>ā</w:t>
      </w:r>
      <w:r w:rsidRPr="00B83AD3">
        <w:rPr>
          <w:rFonts w:cs="Times New Roman"/>
        </w:rPr>
        <w:t xml:space="preserve"> </w:t>
      </w:r>
      <w:r w:rsidR="00C64762" w:rsidRPr="00B83AD3">
        <w:rPr>
          <w:rFonts w:cs="Times New Roman"/>
        </w:rPr>
        <w:t xml:space="preserve">TRL </w:t>
      </w:r>
      <w:r w:rsidR="002E06AA" w:rsidRPr="00B83AD3">
        <w:rPr>
          <w:rFonts w:cs="Times New Roman"/>
        </w:rPr>
        <w:t>līmenī</w:t>
      </w:r>
      <w:r w:rsidR="00097393" w:rsidRPr="00B83AD3">
        <w:rPr>
          <w:rFonts w:cs="Times New Roman"/>
        </w:rPr>
        <w:t>, vairākas organizācijas</w:t>
      </w:r>
      <w:r w:rsidR="00C64762" w:rsidRPr="00B83AD3">
        <w:rPr>
          <w:rFonts w:cs="Times New Roman"/>
        </w:rPr>
        <w:t xml:space="preserve"> ir norādījuš</w:t>
      </w:r>
      <w:r w:rsidR="00097393" w:rsidRPr="00B83AD3">
        <w:rPr>
          <w:rFonts w:cs="Times New Roman"/>
        </w:rPr>
        <w:t>as</w:t>
      </w:r>
      <w:r w:rsidR="00C64762" w:rsidRPr="00B83AD3">
        <w:rPr>
          <w:rFonts w:cs="Times New Roman"/>
        </w:rPr>
        <w:t xml:space="preserve"> uz būtiskiem </w:t>
      </w:r>
      <w:r w:rsidR="00781943" w:rsidRPr="00B83AD3">
        <w:rPr>
          <w:rFonts w:cs="Times New Roman"/>
        </w:rPr>
        <w:t>p</w:t>
      </w:r>
      <w:r w:rsidR="00111A5F" w:rsidRPr="00B83AD3">
        <w:rPr>
          <w:rFonts w:cs="Times New Roman"/>
        </w:rPr>
        <w:t>ozitīviem efektiem, ko sniegušas īstenotās aktivitātes</w:t>
      </w:r>
      <w:r w:rsidR="00781943" w:rsidRPr="00B83AD3">
        <w:rPr>
          <w:rFonts w:cs="Times New Roman"/>
        </w:rPr>
        <w:t>. Tā</w:t>
      </w:r>
      <w:r w:rsidR="002E06AA" w:rsidRPr="00B83AD3">
        <w:rPr>
          <w:rFonts w:cs="Times New Roman"/>
        </w:rPr>
        <w:t>,</w:t>
      </w:r>
      <w:r w:rsidR="00781943" w:rsidRPr="00B83AD3">
        <w:rPr>
          <w:rFonts w:cs="Times New Roman"/>
        </w:rPr>
        <w:t xml:space="preserve"> piemēram</w:t>
      </w:r>
      <w:r w:rsidR="00111A5F" w:rsidRPr="00B83AD3">
        <w:rPr>
          <w:rFonts w:cs="Times New Roman"/>
        </w:rPr>
        <w:t>,</w:t>
      </w:r>
      <w:r w:rsidR="00781943" w:rsidRPr="00B83AD3">
        <w:rPr>
          <w:rFonts w:cs="Times New Roman"/>
        </w:rPr>
        <w:t xml:space="preserve"> SIA </w:t>
      </w:r>
      <w:r w:rsidR="00F907C0" w:rsidRPr="00B83AD3">
        <w:rPr>
          <w:rFonts w:cs="Times New Roman"/>
          <w:sz w:val="28"/>
          <w:szCs w:val="28"/>
        </w:rPr>
        <w:t>"</w:t>
      </w:r>
      <w:proofErr w:type="spellStart"/>
      <w:r w:rsidR="00781943" w:rsidRPr="00B83AD3">
        <w:rPr>
          <w:rFonts w:cs="Times New Roman"/>
        </w:rPr>
        <w:t>Eventech</w:t>
      </w:r>
      <w:proofErr w:type="spellEnd"/>
      <w:r w:rsidR="00F907C0" w:rsidRPr="00B83AD3">
        <w:rPr>
          <w:rFonts w:cs="Times New Roman"/>
          <w:sz w:val="28"/>
          <w:szCs w:val="28"/>
        </w:rPr>
        <w:t>"</w:t>
      </w:r>
      <w:r w:rsidR="00781943" w:rsidRPr="00B83AD3">
        <w:rPr>
          <w:rFonts w:cs="Times New Roman"/>
        </w:rPr>
        <w:t xml:space="preserve"> ir norādījusi, ka ir pārdevusi vairākas licences no izstrādātajām tehnoloģijām un nodibināju</w:t>
      </w:r>
      <w:r w:rsidR="000312EC" w:rsidRPr="00B83AD3">
        <w:rPr>
          <w:rFonts w:cs="Times New Roman"/>
        </w:rPr>
        <w:t>si</w:t>
      </w:r>
      <w:r w:rsidR="00781943" w:rsidRPr="00B83AD3">
        <w:rPr>
          <w:rFonts w:cs="Times New Roman"/>
        </w:rPr>
        <w:t xml:space="preserve"> vērtīgus biznesa kontaktus</w:t>
      </w:r>
      <w:r w:rsidR="00111A5F" w:rsidRPr="00B83AD3">
        <w:rPr>
          <w:rFonts w:cs="Times New Roman"/>
        </w:rPr>
        <w:t xml:space="preserve"> ar ārvalstu uzņēmumiem un EKA</w:t>
      </w:r>
      <w:r w:rsidR="00781943" w:rsidRPr="00B83AD3">
        <w:rPr>
          <w:rFonts w:cs="Times New Roman"/>
        </w:rPr>
        <w:t>. A</w:t>
      </w:r>
      <w:r w:rsidR="004C4E90" w:rsidRPr="00B83AD3">
        <w:rPr>
          <w:rFonts w:cs="Times New Roman"/>
        </w:rPr>
        <w:t>/</w:t>
      </w:r>
      <w:r w:rsidR="00781943" w:rsidRPr="00B83AD3">
        <w:rPr>
          <w:rFonts w:cs="Times New Roman"/>
        </w:rPr>
        <w:t xml:space="preserve">S </w:t>
      </w:r>
      <w:r w:rsidR="00F907C0" w:rsidRPr="00B83AD3">
        <w:rPr>
          <w:rFonts w:cs="Times New Roman"/>
          <w:sz w:val="28"/>
          <w:szCs w:val="28"/>
        </w:rPr>
        <w:t>"</w:t>
      </w:r>
      <w:r w:rsidR="00781943" w:rsidRPr="00B83AD3">
        <w:rPr>
          <w:rFonts w:cs="Times New Roman"/>
        </w:rPr>
        <w:t>RD Alfa</w:t>
      </w:r>
      <w:r w:rsidR="00F907C0" w:rsidRPr="00B83AD3">
        <w:rPr>
          <w:rFonts w:cs="Times New Roman"/>
          <w:sz w:val="28"/>
          <w:szCs w:val="28"/>
        </w:rPr>
        <w:t>"</w:t>
      </w:r>
      <w:r w:rsidR="00781943" w:rsidRPr="00B83AD3">
        <w:rPr>
          <w:rFonts w:cs="Times New Roman"/>
        </w:rPr>
        <w:t xml:space="preserve"> norāda, ka izstrādātās integrētās mikroshēmas ir </w:t>
      </w:r>
      <w:r w:rsidR="00111A5F" w:rsidRPr="00B83AD3">
        <w:rPr>
          <w:rFonts w:cs="Times New Roman"/>
        </w:rPr>
        <w:t xml:space="preserve">ar </w:t>
      </w:r>
      <w:r w:rsidR="00781943" w:rsidRPr="00B83AD3">
        <w:rPr>
          <w:rFonts w:cs="Times New Roman"/>
        </w:rPr>
        <w:t xml:space="preserve">ļoti augstu </w:t>
      </w:r>
      <w:proofErr w:type="spellStart"/>
      <w:r w:rsidR="00781943" w:rsidRPr="00B83AD3">
        <w:rPr>
          <w:rFonts w:cs="Times New Roman"/>
        </w:rPr>
        <w:t>komercializācijas</w:t>
      </w:r>
      <w:proofErr w:type="spellEnd"/>
      <w:r w:rsidR="00781943" w:rsidRPr="00B83AD3">
        <w:rPr>
          <w:rFonts w:cs="Times New Roman"/>
        </w:rPr>
        <w:t xml:space="preserve"> potenciālu un ESV līgumi ļāvuši nodibināt kontaktus ar lielajiem sistēmu integratoriem</w:t>
      </w:r>
      <w:r w:rsidR="00781943" w:rsidRPr="00B83AD3">
        <w:rPr>
          <w:rStyle w:val="FootnoteReference"/>
          <w:rFonts w:cs="Times New Roman"/>
        </w:rPr>
        <w:footnoteReference w:id="14"/>
      </w:r>
      <w:r w:rsidR="00FD0F18" w:rsidRPr="00B83AD3">
        <w:rPr>
          <w:rFonts w:cs="Times New Roman"/>
        </w:rPr>
        <w:t xml:space="preserve">, kas ir būtiski produktu </w:t>
      </w:r>
      <w:proofErr w:type="spellStart"/>
      <w:r w:rsidR="00FD0F18" w:rsidRPr="00B83AD3">
        <w:rPr>
          <w:rFonts w:cs="Times New Roman"/>
        </w:rPr>
        <w:t>komercializācijā</w:t>
      </w:r>
      <w:proofErr w:type="spellEnd"/>
      <w:r w:rsidR="00FD0F18" w:rsidRPr="00B83AD3">
        <w:rPr>
          <w:rFonts w:cs="Times New Roman"/>
        </w:rPr>
        <w:t>.</w:t>
      </w:r>
      <w:r w:rsidR="006532F0" w:rsidRPr="00B83AD3">
        <w:rPr>
          <w:rFonts w:cs="Times New Roman"/>
        </w:rPr>
        <w:t xml:space="preserve"> Abas </w:t>
      </w:r>
      <w:r w:rsidR="00097393" w:rsidRPr="00B83AD3">
        <w:rPr>
          <w:rFonts w:cs="Times New Roman"/>
        </w:rPr>
        <w:t>organizācijas</w:t>
      </w:r>
      <w:r w:rsidR="006532F0" w:rsidRPr="00B83AD3">
        <w:rPr>
          <w:rFonts w:cs="Times New Roman"/>
        </w:rPr>
        <w:t xml:space="preserve"> atrodas unikālā stāvokl</w:t>
      </w:r>
      <w:r w:rsidR="00EA5284" w:rsidRPr="00B83AD3">
        <w:rPr>
          <w:rFonts w:cs="Times New Roman"/>
        </w:rPr>
        <w:t xml:space="preserve">ī, jo piedāvā tehnoloģijas, kas </w:t>
      </w:r>
      <w:r w:rsidR="00FD0F18" w:rsidRPr="00B83AD3">
        <w:rPr>
          <w:rFonts w:cs="Times New Roman"/>
        </w:rPr>
        <w:t>ir pieprasītas</w:t>
      </w:r>
      <w:r w:rsidR="00EA5284" w:rsidRPr="00B83AD3">
        <w:rPr>
          <w:rFonts w:cs="Times New Roman"/>
        </w:rPr>
        <w:t xml:space="preserve"> Eiropas kosmosa sektor</w:t>
      </w:r>
      <w:r w:rsidR="002E06AA" w:rsidRPr="00B83AD3">
        <w:rPr>
          <w:rFonts w:cs="Times New Roman"/>
        </w:rPr>
        <w:t>ā</w:t>
      </w:r>
      <w:r w:rsidR="00EA5284" w:rsidRPr="00B83AD3">
        <w:rPr>
          <w:rFonts w:cs="Times New Roman"/>
        </w:rPr>
        <w:t xml:space="preserve">. </w:t>
      </w:r>
    </w:p>
    <w:p w14:paraId="66572484" w14:textId="6F80BDB5" w:rsidR="00097393" w:rsidRPr="00B83AD3" w:rsidRDefault="00EA5284" w:rsidP="00097393">
      <w:pPr>
        <w:rPr>
          <w:rFonts w:cs="Times New Roman"/>
        </w:rPr>
      </w:pPr>
      <w:r w:rsidRPr="00B83AD3">
        <w:rPr>
          <w:rFonts w:cs="Times New Roman"/>
        </w:rPr>
        <w:tab/>
      </w:r>
      <w:r w:rsidR="00097393" w:rsidRPr="00B83AD3">
        <w:rPr>
          <w:rFonts w:cs="Times New Roman"/>
        </w:rPr>
        <w:t xml:space="preserve">Zemes novērošanas segmentā divas organizācijas, zinātniskās institūcijas – nodibinājums </w:t>
      </w:r>
      <w:r w:rsidR="00F907C0" w:rsidRPr="00B83AD3">
        <w:rPr>
          <w:rFonts w:cs="Times New Roman"/>
          <w:sz w:val="28"/>
          <w:szCs w:val="28"/>
        </w:rPr>
        <w:t>"</w:t>
      </w:r>
      <w:r w:rsidR="00097393" w:rsidRPr="00B83AD3">
        <w:rPr>
          <w:rFonts w:cs="Times New Roman"/>
        </w:rPr>
        <w:t>Vides risinājumu institūts</w:t>
      </w:r>
      <w:r w:rsidR="00F907C0" w:rsidRPr="00B83AD3">
        <w:rPr>
          <w:rFonts w:cs="Times New Roman"/>
          <w:sz w:val="28"/>
          <w:szCs w:val="28"/>
        </w:rPr>
        <w:t>"</w:t>
      </w:r>
      <w:r w:rsidR="00097393" w:rsidRPr="00B83AD3">
        <w:rPr>
          <w:rFonts w:cs="Times New Roman"/>
        </w:rPr>
        <w:t xml:space="preserve"> un valsts zinātniskais institūts </w:t>
      </w:r>
      <w:r w:rsidR="00F907C0" w:rsidRPr="00B83AD3">
        <w:rPr>
          <w:rFonts w:cs="Times New Roman"/>
          <w:sz w:val="28"/>
          <w:szCs w:val="28"/>
        </w:rPr>
        <w:t>"</w:t>
      </w:r>
      <w:r w:rsidR="00097393" w:rsidRPr="00B83AD3">
        <w:rPr>
          <w:rFonts w:cs="Times New Roman"/>
        </w:rPr>
        <w:t>Elektronikas un datorzinātņu institūts</w:t>
      </w:r>
      <w:r w:rsidR="00F907C0" w:rsidRPr="00B83AD3">
        <w:rPr>
          <w:rFonts w:cs="Times New Roman"/>
          <w:sz w:val="28"/>
          <w:szCs w:val="28"/>
        </w:rPr>
        <w:t>"</w:t>
      </w:r>
      <w:r w:rsidR="00097393" w:rsidRPr="00B83AD3">
        <w:rPr>
          <w:rFonts w:cs="Times New Roman"/>
        </w:rPr>
        <w:t xml:space="preserve"> – uzsver, ka ESV līgumi ļāvuši noslēgt vairākus līgumus ar privātajiem klientiem par zemes novērošanas pakalpojumiem, piesaistīt piecus jaunus zemes novērošanas ekspertus un īstenot projektus citās starptautiskās programmās. Elektronikas un datorzinātņu institūts uzsvēris, ka plāno dibināt </w:t>
      </w:r>
      <w:proofErr w:type="spellStart"/>
      <w:r w:rsidR="00097393" w:rsidRPr="00B83AD3">
        <w:rPr>
          <w:rFonts w:cs="Times New Roman"/>
          <w:i/>
        </w:rPr>
        <w:t>spin-off</w:t>
      </w:r>
      <w:proofErr w:type="spellEnd"/>
      <w:r w:rsidR="00097393" w:rsidRPr="00B83AD3">
        <w:rPr>
          <w:rFonts w:cs="Times New Roman"/>
        </w:rPr>
        <w:t xml:space="preserve"> kompāniju EKA projektu ietvaros iegūto kompetenču </w:t>
      </w:r>
      <w:proofErr w:type="spellStart"/>
      <w:r w:rsidR="00097393" w:rsidRPr="00B83AD3">
        <w:rPr>
          <w:rFonts w:cs="Times New Roman"/>
        </w:rPr>
        <w:t>komercializācijai</w:t>
      </w:r>
      <w:proofErr w:type="spellEnd"/>
      <w:r w:rsidR="00097393" w:rsidRPr="00B83AD3">
        <w:rPr>
          <w:rFonts w:cs="Times New Roman"/>
        </w:rPr>
        <w:t xml:space="preserve">. </w:t>
      </w:r>
    </w:p>
    <w:p w14:paraId="66572485" w14:textId="03A9829F" w:rsidR="00097393" w:rsidRPr="00B83AD3" w:rsidRDefault="00097393" w:rsidP="004C4E90">
      <w:pPr>
        <w:ind w:firstLine="720"/>
        <w:rPr>
          <w:rFonts w:cs="Times New Roman"/>
        </w:rPr>
      </w:pPr>
      <w:r w:rsidRPr="00B83AD3">
        <w:rPr>
          <w:rFonts w:cs="Times New Roman"/>
        </w:rPr>
        <w:t xml:space="preserve">EKA izglītības projekts Ventspils Augstskolā ir radījis vērā ņemamas izmaiņas tās studiju programmās, jo </w:t>
      </w:r>
      <w:proofErr w:type="spellStart"/>
      <w:r w:rsidRPr="00B83AD3">
        <w:rPr>
          <w:rFonts w:cs="Times New Roman"/>
        </w:rPr>
        <w:t>satelītehnoloģiju</w:t>
      </w:r>
      <w:proofErr w:type="spellEnd"/>
      <w:r w:rsidRPr="00B83AD3">
        <w:rPr>
          <w:rFonts w:cs="Times New Roman"/>
        </w:rPr>
        <w:t xml:space="preserve"> izglītības programma ir kļuvusi par neatņemamu augstskolas sastāvdaļu, un katru gadu četri līdz pieci studenti raksta bakalaura vai maģistra darbus </w:t>
      </w:r>
      <w:proofErr w:type="spellStart"/>
      <w:r w:rsidRPr="00B83AD3">
        <w:rPr>
          <w:rFonts w:cs="Times New Roman"/>
        </w:rPr>
        <w:t>satelītehnoloģiju</w:t>
      </w:r>
      <w:proofErr w:type="spellEnd"/>
      <w:r w:rsidRPr="00B83AD3">
        <w:rPr>
          <w:rFonts w:cs="Times New Roman"/>
        </w:rPr>
        <w:t xml:space="preserve"> jomā. Savukārt nodibinājuma </w:t>
      </w:r>
      <w:r w:rsidR="00F907C0" w:rsidRPr="00B83AD3">
        <w:rPr>
          <w:rFonts w:cs="Times New Roman"/>
          <w:sz w:val="28"/>
          <w:szCs w:val="28"/>
        </w:rPr>
        <w:t>"</w:t>
      </w:r>
      <w:r w:rsidRPr="00B83AD3">
        <w:rPr>
          <w:rFonts w:cs="Times New Roman"/>
        </w:rPr>
        <w:t>Vides risinājumu institūt</w:t>
      </w:r>
      <w:r w:rsidR="00F432E9" w:rsidRPr="00B83AD3">
        <w:rPr>
          <w:rFonts w:cs="Times New Roman"/>
        </w:rPr>
        <w:t>a</w:t>
      </w:r>
      <w:r w:rsidR="00F907C0" w:rsidRPr="00B83AD3">
        <w:rPr>
          <w:rFonts w:cs="Times New Roman"/>
          <w:sz w:val="28"/>
          <w:szCs w:val="28"/>
        </w:rPr>
        <w:t>"</w:t>
      </w:r>
      <w:r w:rsidRPr="00B83AD3">
        <w:rPr>
          <w:rFonts w:cs="Times New Roman"/>
        </w:rPr>
        <w:t xml:space="preserve"> īstenotais izglītības projekts paredz izstrādāt Latvijas specifikai atbilstošus mācību materiālus, demonstrējot lēmuma pieņēmējiem zemes novērošanas segmenta ieguvumus dažādās tautsaimniecības jomās. </w:t>
      </w:r>
    </w:p>
    <w:p w14:paraId="66572486" w14:textId="77777777" w:rsidR="005A235B" w:rsidRPr="00B83AD3" w:rsidRDefault="005A235B" w:rsidP="00097393">
      <w:pPr>
        <w:rPr>
          <w:rFonts w:cs="Times New Roman"/>
          <w:b/>
        </w:rPr>
      </w:pPr>
    </w:p>
    <w:p w14:paraId="66572487" w14:textId="77777777" w:rsidR="001D4872" w:rsidRPr="00B83AD3" w:rsidRDefault="00FD0F18" w:rsidP="003274D0">
      <w:pPr>
        <w:jc w:val="center"/>
        <w:rPr>
          <w:rFonts w:cs="Times New Roman"/>
          <w:b/>
        </w:rPr>
      </w:pPr>
      <w:r w:rsidRPr="00B83AD3">
        <w:rPr>
          <w:rFonts w:cs="Times New Roman"/>
          <w:b/>
        </w:rPr>
        <w:t xml:space="preserve">Turpmākās sadarbības scenāriji </w:t>
      </w:r>
      <w:r w:rsidR="007C5DD5" w:rsidRPr="00B83AD3">
        <w:rPr>
          <w:rFonts w:cs="Times New Roman"/>
          <w:b/>
        </w:rPr>
        <w:t>ar EKA no 2020.gada</w:t>
      </w:r>
    </w:p>
    <w:p w14:paraId="66572488" w14:textId="77777777" w:rsidR="001D4872" w:rsidRPr="00B83AD3" w:rsidRDefault="001D4872" w:rsidP="001302DC">
      <w:pPr>
        <w:rPr>
          <w:rFonts w:cs="Times New Roman"/>
        </w:rPr>
      </w:pPr>
    </w:p>
    <w:p w14:paraId="66572489" w14:textId="7DA25648" w:rsidR="007C5DD5" w:rsidRPr="00B83AD3" w:rsidRDefault="004C4E90" w:rsidP="007C5DD5">
      <w:pPr>
        <w:ind w:firstLine="720"/>
        <w:rPr>
          <w:rFonts w:cs="Times New Roman"/>
        </w:rPr>
      </w:pPr>
      <w:r w:rsidRPr="00B83AD3">
        <w:rPr>
          <w:rFonts w:cs="Times New Roman"/>
        </w:rPr>
        <w:t>Turpmākā sadarbībā</w:t>
      </w:r>
      <w:r w:rsidR="007C5DD5" w:rsidRPr="00B83AD3">
        <w:rPr>
          <w:rFonts w:cs="Times New Roman"/>
        </w:rPr>
        <w:t xml:space="preserve"> ar EKA Latvijai ir jāizvēlas no div</w:t>
      </w:r>
      <w:r w:rsidR="004B5AAE" w:rsidRPr="00B83AD3">
        <w:rPr>
          <w:rFonts w:cs="Times New Roman"/>
        </w:rPr>
        <w:t>iem</w:t>
      </w:r>
      <w:r w:rsidR="007C5DD5" w:rsidRPr="00B83AD3">
        <w:rPr>
          <w:rFonts w:cs="Times New Roman"/>
        </w:rPr>
        <w:t xml:space="preserve"> sadarbības </w:t>
      </w:r>
      <w:r w:rsidR="004B5AAE" w:rsidRPr="00B83AD3">
        <w:rPr>
          <w:rFonts w:cs="Times New Roman"/>
        </w:rPr>
        <w:t>scenārijiem</w:t>
      </w:r>
      <w:r w:rsidR="007C5DD5" w:rsidRPr="00B83AD3">
        <w:rPr>
          <w:rFonts w:cs="Times New Roman"/>
        </w:rPr>
        <w:t xml:space="preserve"> – </w:t>
      </w:r>
      <w:r w:rsidR="00796453" w:rsidRPr="00B83AD3">
        <w:rPr>
          <w:rFonts w:cs="Times New Roman"/>
        </w:rPr>
        <w:t>a</w:t>
      </w:r>
      <w:r w:rsidR="007C5DD5" w:rsidRPr="00B83AD3">
        <w:rPr>
          <w:rFonts w:cs="Times New Roman"/>
        </w:rPr>
        <w:t xml:space="preserve">sociētās </w:t>
      </w:r>
      <w:r w:rsidR="00097393" w:rsidRPr="00B83AD3">
        <w:rPr>
          <w:rFonts w:cs="Times New Roman"/>
        </w:rPr>
        <w:t>dalīb</w:t>
      </w:r>
      <w:r w:rsidR="007C5DD5" w:rsidRPr="00B83AD3">
        <w:rPr>
          <w:rFonts w:cs="Times New Roman"/>
        </w:rPr>
        <w:t xml:space="preserve">valsts statuss vai ESV </w:t>
      </w:r>
      <w:r w:rsidR="004B5AAE" w:rsidRPr="00B83AD3">
        <w:rPr>
          <w:rFonts w:cs="Times New Roman"/>
        </w:rPr>
        <w:t xml:space="preserve">otrais </w:t>
      </w:r>
      <w:r w:rsidR="00694232">
        <w:rPr>
          <w:rFonts w:cs="Times New Roman"/>
        </w:rPr>
        <w:t>posms</w:t>
      </w:r>
      <w:r w:rsidR="004B5AAE" w:rsidRPr="00B83AD3">
        <w:rPr>
          <w:rFonts w:cs="Times New Roman"/>
        </w:rPr>
        <w:t>.</w:t>
      </w:r>
    </w:p>
    <w:p w14:paraId="6657248A" w14:textId="77777777" w:rsidR="007C5DD5" w:rsidRPr="00B83AD3" w:rsidRDefault="007C5DD5" w:rsidP="007C5DD5">
      <w:pPr>
        <w:rPr>
          <w:rFonts w:cs="Times New Roman"/>
        </w:rPr>
      </w:pPr>
      <w:r w:rsidRPr="00B83AD3">
        <w:rPr>
          <w:rFonts w:cs="Times New Roman"/>
          <w:b/>
        </w:rPr>
        <w:tab/>
      </w:r>
      <w:r w:rsidRPr="00B83AD3">
        <w:rPr>
          <w:rFonts w:cs="Times New Roman"/>
        </w:rPr>
        <w:t xml:space="preserve">Ja tiek izvēlēts </w:t>
      </w:r>
      <w:r w:rsidR="00796453" w:rsidRPr="00B83AD3">
        <w:rPr>
          <w:rFonts w:cs="Times New Roman"/>
        </w:rPr>
        <w:t>a</w:t>
      </w:r>
      <w:r w:rsidRPr="00B83AD3">
        <w:rPr>
          <w:rFonts w:cs="Times New Roman"/>
        </w:rPr>
        <w:t>sociētā</w:t>
      </w:r>
      <w:r w:rsidR="000312EC" w:rsidRPr="00B83AD3">
        <w:rPr>
          <w:rFonts w:cs="Times New Roman"/>
        </w:rPr>
        <w:t>s</w:t>
      </w:r>
      <w:r w:rsidRPr="00B83AD3">
        <w:rPr>
          <w:rFonts w:cs="Times New Roman"/>
        </w:rPr>
        <w:t xml:space="preserve"> </w:t>
      </w:r>
      <w:r w:rsidR="00F432E9" w:rsidRPr="00B83AD3">
        <w:rPr>
          <w:rFonts w:cs="Times New Roman"/>
        </w:rPr>
        <w:t>dalīb</w:t>
      </w:r>
      <w:r w:rsidRPr="00B83AD3">
        <w:rPr>
          <w:rFonts w:cs="Times New Roman"/>
        </w:rPr>
        <w:t xml:space="preserve">valsts scenārijs, Latvijai ir jāveic rūpīga EKA </w:t>
      </w:r>
      <w:r w:rsidR="00947C6C" w:rsidRPr="00B83AD3">
        <w:rPr>
          <w:rFonts w:cs="Times New Roman"/>
        </w:rPr>
        <w:t>i</w:t>
      </w:r>
      <w:r w:rsidRPr="00B83AD3">
        <w:rPr>
          <w:rFonts w:cs="Times New Roman"/>
        </w:rPr>
        <w:t>zvēles programmu (</w:t>
      </w:r>
      <w:proofErr w:type="spellStart"/>
      <w:r w:rsidR="00796453" w:rsidRPr="00B83AD3">
        <w:rPr>
          <w:rFonts w:cs="Times New Roman"/>
          <w:i/>
        </w:rPr>
        <w:t>o</w:t>
      </w:r>
      <w:r w:rsidRPr="00B83AD3">
        <w:rPr>
          <w:rFonts w:cs="Times New Roman"/>
          <w:i/>
        </w:rPr>
        <w:t>ptional</w:t>
      </w:r>
      <w:proofErr w:type="spellEnd"/>
      <w:r w:rsidRPr="00B83AD3">
        <w:rPr>
          <w:rFonts w:cs="Times New Roman"/>
          <w:i/>
        </w:rPr>
        <w:t xml:space="preserve"> </w:t>
      </w:r>
      <w:proofErr w:type="spellStart"/>
      <w:r w:rsidRPr="00B83AD3">
        <w:rPr>
          <w:rFonts w:cs="Times New Roman"/>
          <w:i/>
        </w:rPr>
        <w:t>programme</w:t>
      </w:r>
      <w:r w:rsidR="00947C6C" w:rsidRPr="00B83AD3">
        <w:rPr>
          <w:rFonts w:cs="Times New Roman"/>
          <w:i/>
        </w:rPr>
        <w:t>s</w:t>
      </w:r>
      <w:proofErr w:type="spellEnd"/>
      <w:r w:rsidRPr="00B83AD3">
        <w:rPr>
          <w:rFonts w:cs="Times New Roman"/>
        </w:rPr>
        <w:t xml:space="preserve">) izvēle, atbilstoši Latvijas industrijas iespējām un Latvijas mērķiem kosmosa nozarē. Papildus ir jāveic ieguldījumi </w:t>
      </w:r>
      <w:r w:rsidR="00C96F88" w:rsidRPr="00B83AD3">
        <w:rPr>
          <w:rFonts w:cs="Times New Roman"/>
        </w:rPr>
        <w:t>Pieprasītāja</w:t>
      </w:r>
      <w:r w:rsidRPr="00B83AD3">
        <w:rPr>
          <w:rFonts w:cs="Times New Roman"/>
        </w:rPr>
        <w:t xml:space="preserve"> puses programmā</w:t>
      </w:r>
      <w:r w:rsidR="004B5AAE" w:rsidRPr="00B83AD3">
        <w:rPr>
          <w:rFonts w:cs="Times New Roman"/>
        </w:rPr>
        <w:t>, ko</w:t>
      </w:r>
      <w:r w:rsidRPr="00B83AD3">
        <w:rPr>
          <w:rFonts w:cs="Times New Roman"/>
        </w:rPr>
        <w:t xml:space="preserve"> var izmantot kā instrumentu, lai palīdzētu Latvijas industrijai atgūt ieguldīto (</w:t>
      </w:r>
      <w:proofErr w:type="spellStart"/>
      <w:r w:rsidRPr="00B83AD3">
        <w:rPr>
          <w:rFonts w:cs="Times New Roman"/>
          <w:i/>
        </w:rPr>
        <w:t>geo-return</w:t>
      </w:r>
      <w:proofErr w:type="spellEnd"/>
      <w:r w:rsidR="00947C6C" w:rsidRPr="00B83AD3">
        <w:rPr>
          <w:rFonts w:cs="Times New Roman"/>
        </w:rPr>
        <w:t>) EKA i</w:t>
      </w:r>
      <w:r w:rsidRPr="00B83AD3">
        <w:rPr>
          <w:rFonts w:cs="Times New Roman"/>
        </w:rPr>
        <w:t>zvēles pro</w:t>
      </w:r>
      <w:r w:rsidR="00373A8E" w:rsidRPr="00B83AD3">
        <w:rPr>
          <w:rFonts w:cs="Times New Roman"/>
        </w:rPr>
        <w:t xml:space="preserve">grammās. </w:t>
      </w:r>
      <w:r w:rsidR="00C96F88" w:rsidRPr="00B83AD3">
        <w:rPr>
          <w:rFonts w:cs="Times New Roman"/>
        </w:rPr>
        <w:t>Pieprasītāja</w:t>
      </w:r>
      <w:r w:rsidR="00373A8E" w:rsidRPr="00B83AD3">
        <w:rPr>
          <w:rFonts w:cs="Times New Roman"/>
        </w:rPr>
        <w:t xml:space="preserve"> puses programma asociētās dalībvalsts statusā</w:t>
      </w:r>
      <w:r w:rsidRPr="00B83AD3">
        <w:rPr>
          <w:rFonts w:cs="Times New Roman"/>
        </w:rPr>
        <w:t xml:space="preserve"> tika ieviesta</w:t>
      </w:r>
      <w:r w:rsidR="00796453" w:rsidRPr="00B83AD3">
        <w:rPr>
          <w:rFonts w:cs="Times New Roman"/>
        </w:rPr>
        <w:t xml:space="preserve"> saskaņā ar EKA Padomes lēmumu</w:t>
      </w:r>
      <w:r w:rsidRPr="00B83AD3">
        <w:rPr>
          <w:rFonts w:cs="Times New Roman"/>
        </w:rPr>
        <w:t xml:space="preserve"> </w:t>
      </w:r>
      <w:r w:rsidR="004B5AAE" w:rsidRPr="00B83AD3">
        <w:rPr>
          <w:rFonts w:cs="Times New Roman"/>
        </w:rPr>
        <w:t>2018.gada beigās</w:t>
      </w:r>
      <w:r w:rsidR="00E90C46" w:rsidRPr="00B83AD3">
        <w:rPr>
          <w:rFonts w:cs="Times New Roman"/>
        </w:rPr>
        <w:t>,</w:t>
      </w:r>
      <w:r w:rsidRPr="00B83AD3">
        <w:rPr>
          <w:rFonts w:cs="Times New Roman"/>
        </w:rPr>
        <w:t xml:space="preserve"> kā iespēja jaunajām EKA asociētajām valstīm attīstīt kosmosa tehnoloģijas neatkarīgi </w:t>
      </w:r>
      <w:r w:rsidR="004B5AAE" w:rsidRPr="00B83AD3">
        <w:rPr>
          <w:rFonts w:cs="Times New Roman"/>
        </w:rPr>
        <w:t>no dalības EKA pamatprogrammās</w:t>
      </w:r>
      <w:r w:rsidR="00E90C46" w:rsidRPr="00B83AD3">
        <w:rPr>
          <w:rFonts w:cs="Times New Roman"/>
        </w:rPr>
        <w:t>,</w:t>
      </w:r>
      <w:r w:rsidR="004B5AAE" w:rsidRPr="00B83AD3">
        <w:rPr>
          <w:rFonts w:cs="Times New Roman"/>
        </w:rPr>
        <w:t xml:space="preserve"> un funkcionē līdzīgi kā ESV līgums. Asociētās </w:t>
      </w:r>
      <w:r w:rsidR="00373A8E" w:rsidRPr="00B83AD3">
        <w:rPr>
          <w:rFonts w:cs="Times New Roman"/>
        </w:rPr>
        <w:t>dalīb</w:t>
      </w:r>
      <w:r w:rsidR="004B5AAE" w:rsidRPr="00B83AD3">
        <w:rPr>
          <w:rFonts w:cs="Times New Roman"/>
        </w:rPr>
        <w:t xml:space="preserve">valsts līgums tiek slēgts uz </w:t>
      </w:r>
      <w:r w:rsidR="00796453" w:rsidRPr="00B83AD3">
        <w:rPr>
          <w:rFonts w:cs="Times New Roman"/>
        </w:rPr>
        <w:t xml:space="preserve">septiņiem </w:t>
      </w:r>
      <w:r w:rsidR="004B5AAE" w:rsidRPr="00B83AD3">
        <w:rPr>
          <w:rFonts w:cs="Times New Roman"/>
        </w:rPr>
        <w:t xml:space="preserve">gadiem ar iespēju to pagarināt vēl uz </w:t>
      </w:r>
      <w:r w:rsidR="00796453" w:rsidRPr="00B83AD3">
        <w:rPr>
          <w:rFonts w:cs="Times New Roman"/>
        </w:rPr>
        <w:t xml:space="preserve">septiņiem </w:t>
      </w:r>
      <w:r w:rsidR="004B5AAE" w:rsidRPr="00B83AD3">
        <w:rPr>
          <w:rFonts w:cs="Times New Roman"/>
        </w:rPr>
        <w:t>gadie</w:t>
      </w:r>
      <w:r w:rsidR="00BD3BA7" w:rsidRPr="00B83AD3">
        <w:rPr>
          <w:rFonts w:cs="Times New Roman"/>
        </w:rPr>
        <w:t>m vai kļūt par EKA dalībvalsti.</w:t>
      </w:r>
    </w:p>
    <w:p w14:paraId="6657248B" w14:textId="3BF08443" w:rsidR="007C5DD5" w:rsidRPr="00B83AD3" w:rsidRDefault="004B5AAE" w:rsidP="004B5AAE">
      <w:pPr>
        <w:ind w:firstLine="720"/>
        <w:rPr>
          <w:rFonts w:cs="Times New Roman"/>
        </w:rPr>
      </w:pPr>
      <w:r w:rsidRPr="00B83AD3">
        <w:rPr>
          <w:rFonts w:cs="Times New Roman"/>
        </w:rPr>
        <w:lastRenderedPageBreak/>
        <w:t xml:space="preserve">Ja tiek izvēlēts otrs ESV </w:t>
      </w:r>
      <w:r w:rsidR="00694232">
        <w:rPr>
          <w:rFonts w:cs="Times New Roman"/>
        </w:rPr>
        <w:t>posms</w:t>
      </w:r>
      <w:r w:rsidRPr="00B83AD3">
        <w:rPr>
          <w:rFonts w:cs="Times New Roman"/>
        </w:rPr>
        <w:t>, tad tā ietvaros būtu jāpārskata ESV</w:t>
      </w:r>
      <w:r w:rsidR="004C4E90" w:rsidRPr="00B83AD3">
        <w:rPr>
          <w:rFonts w:cs="Times New Roman"/>
        </w:rPr>
        <w:t xml:space="preserve"> līguma</w:t>
      </w:r>
      <w:r w:rsidRPr="00B83AD3">
        <w:rPr>
          <w:rFonts w:cs="Times New Roman"/>
        </w:rPr>
        <w:t xml:space="preserve"> programmas nosacījumi, lai labāk atspoguļotu Latvijas kosmosa nozares pašreizējo attīstības stāvokli. Tas varētu ietvert papildu prasības, lai sasniegtu </w:t>
      </w:r>
      <w:r w:rsidR="00F432E9" w:rsidRPr="00B83AD3">
        <w:rPr>
          <w:rFonts w:cs="Times New Roman"/>
        </w:rPr>
        <w:t>augstāku TRL</w:t>
      </w:r>
      <w:r w:rsidRPr="00B83AD3">
        <w:rPr>
          <w:rFonts w:cs="Times New Roman"/>
        </w:rPr>
        <w:t xml:space="preserve"> līmeni un </w:t>
      </w:r>
      <w:r w:rsidR="00373A8E" w:rsidRPr="00B83AD3">
        <w:rPr>
          <w:rFonts w:cs="Times New Roman"/>
        </w:rPr>
        <w:t>plašāku</w:t>
      </w:r>
      <w:r w:rsidRPr="00B83AD3">
        <w:rPr>
          <w:rFonts w:cs="Times New Roman"/>
        </w:rPr>
        <w:t xml:space="preserve"> Latvijas industrijas iesaisti.</w:t>
      </w:r>
      <w:r w:rsidR="00E90C46" w:rsidRPr="00B83AD3">
        <w:rPr>
          <w:rFonts w:cs="Times New Roman"/>
        </w:rPr>
        <w:t xml:space="preserve"> Tabulā</w:t>
      </w:r>
      <w:r w:rsidR="00F85736" w:rsidRPr="00B83AD3">
        <w:rPr>
          <w:rFonts w:cs="Times New Roman"/>
        </w:rPr>
        <w:t xml:space="preserve"> </w:t>
      </w:r>
      <w:r w:rsidR="00796453" w:rsidRPr="00B83AD3">
        <w:rPr>
          <w:rFonts w:cs="Times New Roman"/>
        </w:rPr>
        <w:t xml:space="preserve">Nr. </w:t>
      </w:r>
      <w:r w:rsidR="00E90C46" w:rsidRPr="00B83AD3">
        <w:rPr>
          <w:rFonts w:cs="Times New Roman"/>
        </w:rPr>
        <w:t>6 salīdzināti iespējamie</w:t>
      </w:r>
      <w:r w:rsidR="00F85736" w:rsidRPr="00B83AD3">
        <w:rPr>
          <w:rFonts w:cs="Times New Roman"/>
        </w:rPr>
        <w:t xml:space="preserve"> sadarbības </w:t>
      </w:r>
      <w:r w:rsidR="00E90C46" w:rsidRPr="00B83AD3">
        <w:rPr>
          <w:rFonts w:cs="Times New Roman"/>
        </w:rPr>
        <w:t>scenāriji</w:t>
      </w:r>
      <w:r w:rsidR="00BF5D9D" w:rsidRPr="00B83AD3">
        <w:rPr>
          <w:rFonts w:cs="Times New Roman"/>
        </w:rPr>
        <w:t xml:space="preserve"> ar EKA no 2020.gada.</w:t>
      </w:r>
    </w:p>
    <w:p w14:paraId="6657248D" w14:textId="77777777" w:rsidR="00F85736" w:rsidRPr="00B83AD3" w:rsidRDefault="00F85736" w:rsidP="00F85736">
      <w:pPr>
        <w:ind w:firstLine="720"/>
        <w:jc w:val="right"/>
        <w:rPr>
          <w:rFonts w:cs="Times New Roman"/>
          <w:sz w:val="24"/>
        </w:rPr>
      </w:pPr>
      <w:bookmarkStart w:id="0" w:name="_GoBack"/>
      <w:bookmarkEnd w:id="0"/>
      <w:r w:rsidRPr="00B83AD3">
        <w:rPr>
          <w:rFonts w:cs="Times New Roman"/>
          <w:sz w:val="24"/>
        </w:rPr>
        <w:t xml:space="preserve">Tabula </w:t>
      </w:r>
      <w:r w:rsidR="00796453" w:rsidRPr="00B83AD3">
        <w:rPr>
          <w:rFonts w:cs="Times New Roman"/>
          <w:sz w:val="24"/>
        </w:rPr>
        <w:t xml:space="preserve">Nr. </w:t>
      </w:r>
      <w:r w:rsidRPr="00B83AD3">
        <w:rPr>
          <w:rFonts w:cs="Times New Roman"/>
          <w:sz w:val="24"/>
        </w:rPr>
        <w:t xml:space="preserve">6 </w:t>
      </w:r>
    </w:p>
    <w:p w14:paraId="6657248E" w14:textId="77777777" w:rsidR="00F85736" w:rsidRPr="00B83AD3" w:rsidRDefault="00F85736" w:rsidP="00F85736">
      <w:pPr>
        <w:jc w:val="center"/>
        <w:rPr>
          <w:rFonts w:cs="Times New Roman"/>
          <w:b/>
          <w:sz w:val="24"/>
        </w:rPr>
      </w:pPr>
      <w:r w:rsidRPr="00B83AD3">
        <w:rPr>
          <w:rFonts w:cs="Times New Roman"/>
          <w:b/>
          <w:sz w:val="24"/>
        </w:rPr>
        <w:t>Turpmākās sadarbības scen</w:t>
      </w:r>
      <w:r w:rsidR="004651C8" w:rsidRPr="00B83AD3">
        <w:rPr>
          <w:rFonts w:cs="Times New Roman"/>
          <w:b/>
          <w:sz w:val="24"/>
        </w:rPr>
        <w:t xml:space="preserve">āriju salīdzinājums </w:t>
      </w:r>
      <w:r w:rsidRPr="00B83AD3">
        <w:rPr>
          <w:rFonts w:cs="Times New Roman"/>
          <w:b/>
          <w:sz w:val="24"/>
        </w:rPr>
        <w:t>ar EKA no 2020.gada</w:t>
      </w:r>
    </w:p>
    <w:p w14:paraId="6657248F" w14:textId="77777777" w:rsidR="007C5DD5" w:rsidRPr="00B83AD3" w:rsidRDefault="007C5DD5" w:rsidP="007C5DD5">
      <w:pPr>
        <w:rPr>
          <w:rFonts w:cs="Times New Roman"/>
        </w:rPr>
      </w:pPr>
    </w:p>
    <w:tbl>
      <w:tblPr>
        <w:tblStyle w:val="GridTable4-Accent4"/>
        <w:tblW w:w="9067" w:type="dxa"/>
        <w:tblLook w:val="04A0" w:firstRow="1" w:lastRow="0" w:firstColumn="1" w:lastColumn="0" w:noHBand="0" w:noVBand="1"/>
      </w:tblPr>
      <w:tblGrid>
        <w:gridCol w:w="1560"/>
        <w:gridCol w:w="1135"/>
        <w:gridCol w:w="2790"/>
        <w:gridCol w:w="3582"/>
      </w:tblGrid>
      <w:tr w:rsidR="004651C8" w:rsidRPr="00B83AD3" w14:paraId="66572494" w14:textId="77777777" w:rsidTr="00843F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vAlign w:val="center"/>
          </w:tcPr>
          <w:p w14:paraId="66572490" w14:textId="77777777" w:rsidR="003753B4" w:rsidRPr="00B83AD3" w:rsidRDefault="003753B4" w:rsidP="00B7653A">
            <w:pPr>
              <w:jc w:val="center"/>
              <w:rPr>
                <w:rFonts w:cs="Times New Roman"/>
                <w:b w:val="0"/>
                <w:color w:val="000000" w:themeColor="text1"/>
                <w:sz w:val="22"/>
              </w:rPr>
            </w:pPr>
            <w:r w:rsidRPr="00B83AD3">
              <w:rPr>
                <w:rFonts w:cs="Times New Roman"/>
                <w:color w:val="000000" w:themeColor="text1"/>
                <w:sz w:val="22"/>
              </w:rPr>
              <w:t>Scenārijs</w:t>
            </w:r>
          </w:p>
        </w:tc>
        <w:tc>
          <w:tcPr>
            <w:tcW w:w="1135" w:type="dxa"/>
            <w:tcBorders>
              <w:top w:val="single" w:sz="4" w:space="0" w:color="auto"/>
              <w:left w:val="single" w:sz="4" w:space="0" w:color="auto"/>
              <w:bottom w:val="single" w:sz="4" w:space="0" w:color="auto"/>
              <w:right w:val="single" w:sz="4" w:space="0" w:color="auto"/>
            </w:tcBorders>
            <w:vAlign w:val="center"/>
          </w:tcPr>
          <w:p w14:paraId="66572491" w14:textId="77777777" w:rsidR="003753B4" w:rsidRPr="00B83AD3" w:rsidRDefault="003753B4" w:rsidP="00B7653A">
            <w:pPr>
              <w:jc w:val="center"/>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sz w:val="22"/>
              </w:rPr>
            </w:pPr>
            <w:r w:rsidRPr="00B83AD3">
              <w:rPr>
                <w:rFonts w:cs="Times New Roman"/>
                <w:color w:val="000000" w:themeColor="text1"/>
                <w:sz w:val="22"/>
              </w:rPr>
              <w:t>Citu valstu pieredze</w:t>
            </w:r>
          </w:p>
        </w:tc>
        <w:tc>
          <w:tcPr>
            <w:tcW w:w="2790" w:type="dxa"/>
            <w:tcBorders>
              <w:top w:val="single" w:sz="4" w:space="0" w:color="auto"/>
              <w:left w:val="single" w:sz="4" w:space="0" w:color="auto"/>
              <w:bottom w:val="single" w:sz="4" w:space="0" w:color="auto"/>
              <w:right w:val="single" w:sz="4" w:space="0" w:color="auto"/>
            </w:tcBorders>
            <w:vAlign w:val="center"/>
          </w:tcPr>
          <w:p w14:paraId="66572492" w14:textId="77777777" w:rsidR="003753B4" w:rsidRPr="00B83AD3" w:rsidRDefault="003753B4" w:rsidP="00B7653A">
            <w:pPr>
              <w:jc w:val="center"/>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sz w:val="22"/>
              </w:rPr>
            </w:pPr>
            <w:r w:rsidRPr="00B83AD3">
              <w:rPr>
                <w:rFonts w:cs="Times New Roman"/>
                <w:color w:val="000000" w:themeColor="text1"/>
                <w:sz w:val="22"/>
              </w:rPr>
              <w:t>Ietekme uz budžetu</w:t>
            </w:r>
            <w:r w:rsidR="00F85736" w:rsidRPr="00B83AD3">
              <w:rPr>
                <w:rFonts w:cs="Times New Roman"/>
                <w:color w:val="000000" w:themeColor="text1"/>
                <w:sz w:val="22"/>
              </w:rPr>
              <w:t xml:space="preserve"> un aprēķins</w:t>
            </w:r>
          </w:p>
        </w:tc>
        <w:tc>
          <w:tcPr>
            <w:tcW w:w="3582" w:type="dxa"/>
            <w:tcBorders>
              <w:top w:val="single" w:sz="4" w:space="0" w:color="auto"/>
              <w:left w:val="single" w:sz="4" w:space="0" w:color="auto"/>
              <w:bottom w:val="single" w:sz="4" w:space="0" w:color="auto"/>
              <w:right w:val="single" w:sz="4" w:space="0" w:color="auto"/>
            </w:tcBorders>
            <w:vAlign w:val="center"/>
          </w:tcPr>
          <w:p w14:paraId="66572493" w14:textId="77777777" w:rsidR="003753B4" w:rsidRPr="00B83AD3" w:rsidRDefault="003753B4" w:rsidP="00B7653A">
            <w:pPr>
              <w:jc w:val="center"/>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sz w:val="22"/>
              </w:rPr>
            </w:pPr>
            <w:r w:rsidRPr="00B83AD3">
              <w:rPr>
                <w:rFonts w:cs="Times New Roman"/>
                <w:color w:val="000000" w:themeColor="text1"/>
                <w:sz w:val="22"/>
              </w:rPr>
              <w:t xml:space="preserve">Statusa galvenie principi </w:t>
            </w:r>
          </w:p>
        </w:tc>
      </w:tr>
      <w:tr w:rsidR="004651C8" w:rsidRPr="00B83AD3" w14:paraId="665724A5" w14:textId="77777777" w:rsidTr="00843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tcBorders>
          </w:tcPr>
          <w:p w14:paraId="66572495" w14:textId="77777777" w:rsidR="003753B4" w:rsidRPr="00B83AD3" w:rsidRDefault="003753B4" w:rsidP="00B7653A">
            <w:pPr>
              <w:rPr>
                <w:rFonts w:cs="Times New Roman"/>
                <w:sz w:val="20"/>
              </w:rPr>
            </w:pPr>
            <w:r w:rsidRPr="00B83AD3">
              <w:rPr>
                <w:rFonts w:cs="Times New Roman"/>
                <w:sz w:val="20"/>
              </w:rPr>
              <w:t xml:space="preserve">Optimālais scenārijs </w:t>
            </w:r>
            <w:r w:rsidR="00A543D0" w:rsidRPr="00B83AD3">
              <w:rPr>
                <w:rFonts w:cs="Times New Roman"/>
                <w:sz w:val="20"/>
              </w:rPr>
              <w:t>–</w:t>
            </w:r>
            <w:r w:rsidRPr="00B83AD3">
              <w:rPr>
                <w:rFonts w:cs="Times New Roman"/>
                <w:sz w:val="20"/>
              </w:rPr>
              <w:t xml:space="preserve"> </w:t>
            </w:r>
            <w:r w:rsidR="00A543D0" w:rsidRPr="00B83AD3">
              <w:rPr>
                <w:rFonts w:cs="Times New Roman"/>
                <w:sz w:val="20"/>
              </w:rPr>
              <w:t xml:space="preserve">asociētā </w:t>
            </w:r>
            <w:r w:rsidRPr="00B83AD3">
              <w:rPr>
                <w:rFonts w:cs="Times New Roman"/>
                <w:sz w:val="20"/>
              </w:rPr>
              <w:t xml:space="preserve">valsts </w:t>
            </w:r>
          </w:p>
        </w:tc>
        <w:tc>
          <w:tcPr>
            <w:tcW w:w="1135" w:type="dxa"/>
            <w:tcBorders>
              <w:top w:val="single" w:sz="4" w:space="0" w:color="auto"/>
            </w:tcBorders>
          </w:tcPr>
          <w:p w14:paraId="66572496" w14:textId="77777777" w:rsidR="003753B4" w:rsidRPr="00B83AD3" w:rsidRDefault="003753B4" w:rsidP="003753B4">
            <w:pPr>
              <w:cnfStyle w:val="000000100000" w:firstRow="0" w:lastRow="0" w:firstColumn="0" w:lastColumn="0" w:oddVBand="0" w:evenVBand="0" w:oddHBand="1" w:evenHBand="0" w:firstRowFirstColumn="0" w:firstRowLastColumn="0" w:lastRowFirstColumn="0" w:lastRowLastColumn="0"/>
              <w:rPr>
                <w:rFonts w:cs="Times New Roman"/>
                <w:sz w:val="20"/>
              </w:rPr>
            </w:pPr>
            <w:r w:rsidRPr="00B83AD3">
              <w:rPr>
                <w:rFonts w:cs="Times New Roman"/>
                <w:sz w:val="20"/>
              </w:rPr>
              <w:t>Slovēnija</w:t>
            </w:r>
            <w:r w:rsidR="00F85736" w:rsidRPr="00B83AD3">
              <w:rPr>
                <w:rFonts w:cs="Times New Roman"/>
                <w:sz w:val="20"/>
              </w:rPr>
              <w:t xml:space="preserve"> </w:t>
            </w:r>
          </w:p>
        </w:tc>
        <w:tc>
          <w:tcPr>
            <w:tcW w:w="2790" w:type="dxa"/>
            <w:tcBorders>
              <w:top w:val="single" w:sz="4" w:space="0" w:color="auto"/>
            </w:tcBorders>
          </w:tcPr>
          <w:p w14:paraId="66572497" w14:textId="5817F6C2" w:rsidR="003753B4" w:rsidRPr="00B83AD3" w:rsidRDefault="00BB5822" w:rsidP="00B7653A">
            <w:pPr>
              <w:cnfStyle w:val="000000100000" w:firstRow="0" w:lastRow="0" w:firstColumn="0" w:lastColumn="0" w:oddVBand="0" w:evenVBand="0" w:oddHBand="1" w:evenHBand="0" w:firstRowFirstColumn="0" w:firstRowLastColumn="0" w:lastRowFirstColumn="0" w:lastRowLastColumn="0"/>
              <w:rPr>
                <w:rFonts w:cs="Times New Roman"/>
                <w:sz w:val="20"/>
              </w:rPr>
            </w:pPr>
            <w:r>
              <w:rPr>
                <w:rFonts w:cs="Times New Roman"/>
                <w:sz w:val="20"/>
                <w:u w:val="single"/>
              </w:rPr>
              <w:t>2</w:t>
            </w:r>
            <w:r w:rsidR="00843FDC" w:rsidRPr="00B83AD3">
              <w:rPr>
                <w:rFonts w:cs="Times New Roman"/>
                <w:sz w:val="20"/>
                <w:u w:val="single"/>
              </w:rPr>
              <w:t>,</w:t>
            </w:r>
            <w:r>
              <w:rPr>
                <w:rFonts w:cs="Times New Roman"/>
                <w:sz w:val="20"/>
                <w:u w:val="single"/>
              </w:rPr>
              <w:t>71</w:t>
            </w:r>
            <w:r w:rsidR="004651C8" w:rsidRPr="00B83AD3">
              <w:rPr>
                <w:rFonts w:cs="Times New Roman"/>
                <w:sz w:val="20"/>
                <w:u w:val="single"/>
              </w:rPr>
              <w:t xml:space="preserve"> milj. euro</w:t>
            </w:r>
            <w:r w:rsidR="003753B4" w:rsidRPr="00B83AD3">
              <w:rPr>
                <w:rFonts w:cs="Times New Roman"/>
                <w:sz w:val="20"/>
                <w:u w:val="single"/>
              </w:rPr>
              <w:t xml:space="preserve"> gadā</w:t>
            </w:r>
            <w:r w:rsidR="00F432E9" w:rsidRPr="00B83AD3">
              <w:rPr>
                <w:rFonts w:cs="Times New Roman"/>
                <w:sz w:val="20"/>
              </w:rPr>
              <w:t xml:space="preserve">, ko veido šādi ieguldījumi: </w:t>
            </w:r>
            <w:r w:rsidR="003753B4" w:rsidRPr="00B83AD3">
              <w:rPr>
                <w:rFonts w:cs="Times New Roman"/>
                <w:sz w:val="20"/>
              </w:rPr>
              <w:t xml:space="preserve"> </w:t>
            </w:r>
          </w:p>
          <w:p w14:paraId="66572498" w14:textId="77777777" w:rsidR="004651C8" w:rsidRPr="00B83AD3" w:rsidRDefault="004651C8" w:rsidP="004651C8">
            <w:pPr>
              <w:cnfStyle w:val="000000100000" w:firstRow="0" w:lastRow="0" w:firstColumn="0" w:lastColumn="0" w:oddVBand="0" w:evenVBand="0" w:oddHBand="1" w:evenHBand="0" w:firstRowFirstColumn="0" w:firstRowLastColumn="0" w:lastRowFirstColumn="0" w:lastRowLastColumn="0"/>
              <w:rPr>
                <w:rFonts w:cs="Times New Roman"/>
                <w:sz w:val="20"/>
              </w:rPr>
            </w:pPr>
          </w:p>
          <w:p w14:paraId="66572499" w14:textId="77777777" w:rsidR="004651C8" w:rsidRPr="00B83AD3" w:rsidRDefault="004651C8" w:rsidP="004651C8">
            <w:pPr>
              <w:cnfStyle w:val="000000100000" w:firstRow="0" w:lastRow="0" w:firstColumn="0" w:lastColumn="0" w:oddVBand="0" w:evenVBand="0" w:oddHBand="1" w:evenHBand="0" w:firstRowFirstColumn="0" w:firstRowLastColumn="0" w:lastRowFirstColumn="0" w:lastRowLastColumn="0"/>
              <w:rPr>
                <w:rFonts w:cs="Times New Roman"/>
                <w:sz w:val="20"/>
              </w:rPr>
            </w:pPr>
            <w:r w:rsidRPr="00B83AD3">
              <w:rPr>
                <w:rFonts w:cs="Times New Roman"/>
                <w:sz w:val="20"/>
              </w:rPr>
              <w:t>EKA obligātā programma (</w:t>
            </w:r>
            <w:proofErr w:type="spellStart"/>
            <w:r w:rsidRPr="00B83AD3">
              <w:rPr>
                <w:rFonts w:cs="Times New Roman"/>
                <w:i/>
                <w:sz w:val="20"/>
              </w:rPr>
              <w:t>Mandatory</w:t>
            </w:r>
            <w:proofErr w:type="spellEnd"/>
            <w:r w:rsidRPr="00B83AD3">
              <w:rPr>
                <w:rFonts w:cs="Times New Roman"/>
                <w:i/>
                <w:sz w:val="20"/>
              </w:rPr>
              <w:t xml:space="preserve"> </w:t>
            </w:r>
            <w:proofErr w:type="spellStart"/>
            <w:r w:rsidRPr="00B83AD3">
              <w:rPr>
                <w:rFonts w:cs="Times New Roman"/>
                <w:i/>
                <w:sz w:val="20"/>
              </w:rPr>
              <w:t>Programme</w:t>
            </w:r>
            <w:proofErr w:type="spellEnd"/>
            <w:r w:rsidRPr="00B83AD3">
              <w:rPr>
                <w:rFonts w:cs="Times New Roman"/>
                <w:sz w:val="20"/>
              </w:rPr>
              <w:t xml:space="preserve">) – </w:t>
            </w:r>
            <w:r w:rsidR="00843FDC" w:rsidRPr="00B83AD3">
              <w:rPr>
                <w:rFonts w:cs="Times New Roman"/>
                <w:sz w:val="20"/>
              </w:rPr>
              <w:t xml:space="preserve">aptuveni </w:t>
            </w:r>
            <w:r w:rsidRPr="00B83AD3">
              <w:rPr>
                <w:rFonts w:cs="Times New Roman"/>
                <w:sz w:val="20"/>
              </w:rPr>
              <w:t xml:space="preserve">250,0 tūkst. </w:t>
            </w:r>
            <w:r w:rsidRPr="00B83AD3">
              <w:rPr>
                <w:rFonts w:cs="Times New Roman"/>
                <w:i/>
                <w:iCs/>
                <w:sz w:val="20"/>
              </w:rPr>
              <w:t>euro</w:t>
            </w:r>
            <w:r w:rsidR="007204D6" w:rsidRPr="00B83AD3">
              <w:rPr>
                <w:rStyle w:val="FootnoteReference"/>
                <w:rFonts w:cs="Times New Roman"/>
                <w:sz w:val="20"/>
              </w:rPr>
              <w:footnoteReference w:id="15"/>
            </w:r>
            <w:r w:rsidR="00540320" w:rsidRPr="00B83AD3">
              <w:rPr>
                <w:rFonts w:cs="Times New Roman"/>
                <w:iCs/>
                <w:sz w:val="20"/>
              </w:rPr>
              <w:t>;</w:t>
            </w:r>
          </w:p>
          <w:p w14:paraId="6657249A" w14:textId="016E7B7C" w:rsidR="004651C8" w:rsidRPr="00B83AD3" w:rsidRDefault="00B7653A" w:rsidP="00B7653A">
            <w:pPr>
              <w:cnfStyle w:val="000000100000" w:firstRow="0" w:lastRow="0" w:firstColumn="0" w:lastColumn="0" w:oddVBand="0" w:evenVBand="0" w:oddHBand="1" w:evenHBand="0" w:firstRowFirstColumn="0" w:firstRowLastColumn="0" w:lastRowFirstColumn="0" w:lastRowLastColumn="0"/>
              <w:rPr>
                <w:rFonts w:cs="Times New Roman"/>
                <w:iCs/>
                <w:sz w:val="20"/>
              </w:rPr>
            </w:pPr>
            <w:r w:rsidRPr="00B83AD3">
              <w:rPr>
                <w:rFonts w:cs="Times New Roman"/>
                <w:sz w:val="20"/>
              </w:rPr>
              <w:t>EKA Izvēles programma</w:t>
            </w:r>
            <w:r w:rsidR="004651C8" w:rsidRPr="00B83AD3">
              <w:rPr>
                <w:rFonts w:cs="Times New Roman"/>
                <w:sz w:val="20"/>
              </w:rPr>
              <w:t xml:space="preserve"> </w:t>
            </w:r>
            <w:r w:rsidR="00A543D0" w:rsidRPr="00B83AD3">
              <w:rPr>
                <w:rFonts w:cs="Times New Roman"/>
                <w:sz w:val="20"/>
              </w:rPr>
              <w:t>–</w:t>
            </w:r>
            <w:r w:rsidR="004651C8" w:rsidRPr="00B83AD3">
              <w:rPr>
                <w:rFonts w:cs="Times New Roman"/>
                <w:sz w:val="20"/>
              </w:rPr>
              <w:t xml:space="preserve"> Galvenā tehnoloģiju atbalsta programma (</w:t>
            </w:r>
            <w:proofErr w:type="spellStart"/>
            <w:r w:rsidR="004651C8" w:rsidRPr="00B83AD3">
              <w:rPr>
                <w:rFonts w:cs="Times New Roman"/>
                <w:i/>
                <w:sz w:val="20"/>
              </w:rPr>
              <w:t>General</w:t>
            </w:r>
            <w:proofErr w:type="spellEnd"/>
            <w:r w:rsidR="004651C8" w:rsidRPr="00B83AD3">
              <w:rPr>
                <w:rFonts w:cs="Times New Roman"/>
                <w:i/>
                <w:sz w:val="20"/>
              </w:rPr>
              <w:t xml:space="preserve"> </w:t>
            </w:r>
            <w:proofErr w:type="spellStart"/>
            <w:r w:rsidR="004651C8" w:rsidRPr="00B83AD3">
              <w:rPr>
                <w:rFonts w:cs="Times New Roman"/>
                <w:i/>
                <w:sz w:val="20"/>
              </w:rPr>
              <w:t>Support</w:t>
            </w:r>
            <w:proofErr w:type="spellEnd"/>
            <w:r w:rsidR="004651C8" w:rsidRPr="00B83AD3">
              <w:rPr>
                <w:rFonts w:cs="Times New Roman"/>
                <w:i/>
                <w:sz w:val="20"/>
              </w:rPr>
              <w:t xml:space="preserve"> </w:t>
            </w:r>
            <w:proofErr w:type="spellStart"/>
            <w:r w:rsidR="004651C8" w:rsidRPr="00B83AD3">
              <w:rPr>
                <w:rFonts w:cs="Times New Roman"/>
                <w:i/>
                <w:sz w:val="20"/>
              </w:rPr>
              <w:t>Technology</w:t>
            </w:r>
            <w:proofErr w:type="spellEnd"/>
            <w:r w:rsidR="004651C8" w:rsidRPr="00B83AD3">
              <w:rPr>
                <w:rFonts w:cs="Times New Roman"/>
                <w:i/>
                <w:sz w:val="20"/>
              </w:rPr>
              <w:t xml:space="preserve"> </w:t>
            </w:r>
            <w:proofErr w:type="spellStart"/>
            <w:r w:rsidR="004651C8" w:rsidRPr="00B83AD3">
              <w:rPr>
                <w:rFonts w:cs="Times New Roman"/>
                <w:i/>
                <w:sz w:val="20"/>
              </w:rPr>
              <w:t>Programme</w:t>
            </w:r>
            <w:proofErr w:type="spellEnd"/>
            <w:r w:rsidR="004651C8" w:rsidRPr="00B83AD3">
              <w:rPr>
                <w:rFonts w:cs="Times New Roman"/>
                <w:i/>
                <w:sz w:val="20"/>
              </w:rPr>
              <w:t xml:space="preserve"> – GSTP</w:t>
            </w:r>
            <w:r w:rsidR="00843FDC" w:rsidRPr="00B83AD3">
              <w:rPr>
                <w:rFonts w:cs="Times New Roman"/>
                <w:sz w:val="20"/>
              </w:rPr>
              <w:t xml:space="preserve">) – </w:t>
            </w:r>
            <w:r w:rsidR="00BB5822">
              <w:rPr>
                <w:rFonts w:cs="Times New Roman"/>
                <w:sz w:val="20"/>
              </w:rPr>
              <w:t>0</w:t>
            </w:r>
            <w:r w:rsidR="00843FDC" w:rsidRPr="00B83AD3">
              <w:rPr>
                <w:rFonts w:cs="Times New Roman"/>
                <w:sz w:val="20"/>
              </w:rPr>
              <w:t>,</w:t>
            </w:r>
            <w:r w:rsidR="00BB5822">
              <w:rPr>
                <w:rFonts w:cs="Times New Roman"/>
                <w:sz w:val="20"/>
              </w:rPr>
              <w:t>8</w:t>
            </w:r>
            <w:r w:rsidR="00843FDC" w:rsidRPr="00B83AD3">
              <w:rPr>
                <w:rFonts w:cs="Times New Roman"/>
                <w:sz w:val="20"/>
              </w:rPr>
              <w:t>1</w:t>
            </w:r>
            <w:r w:rsidR="004651C8" w:rsidRPr="00B83AD3">
              <w:rPr>
                <w:rFonts w:cs="Times New Roman"/>
                <w:sz w:val="20"/>
              </w:rPr>
              <w:t xml:space="preserve"> milj. </w:t>
            </w:r>
            <w:r w:rsidR="004651C8" w:rsidRPr="00B83AD3">
              <w:rPr>
                <w:rFonts w:cs="Times New Roman"/>
                <w:i/>
                <w:iCs/>
                <w:sz w:val="20"/>
              </w:rPr>
              <w:t>euro</w:t>
            </w:r>
            <w:r w:rsidR="00540320" w:rsidRPr="00B83AD3">
              <w:rPr>
                <w:rFonts w:cs="Times New Roman"/>
                <w:iCs/>
                <w:sz w:val="20"/>
              </w:rPr>
              <w:t>;</w:t>
            </w:r>
          </w:p>
          <w:p w14:paraId="6657249B" w14:textId="77777777" w:rsidR="00843FDC" w:rsidRPr="00B83AD3" w:rsidRDefault="00843FDC" w:rsidP="00B7653A">
            <w:pPr>
              <w:cnfStyle w:val="000000100000" w:firstRow="0" w:lastRow="0" w:firstColumn="0" w:lastColumn="0" w:oddVBand="0" w:evenVBand="0" w:oddHBand="1" w:evenHBand="0" w:firstRowFirstColumn="0" w:firstRowLastColumn="0" w:lastRowFirstColumn="0" w:lastRowLastColumn="0"/>
              <w:rPr>
                <w:rFonts w:cs="Times New Roman"/>
                <w:sz w:val="20"/>
              </w:rPr>
            </w:pPr>
            <w:r w:rsidRPr="00B83AD3">
              <w:rPr>
                <w:rFonts w:cs="Times New Roman"/>
                <w:iCs/>
                <w:sz w:val="20"/>
              </w:rPr>
              <w:t xml:space="preserve">EKA izvēles programma - </w:t>
            </w:r>
            <w:r w:rsidRPr="00B83AD3">
              <w:rPr>
                <w:rFonts w:cs="Times New Roman"/>
                <w:sz w:val="20"/>
              </w:rPr>
              <w:t>Zemes novērošanas programma (</w:t>
            </w:r>
            <w:proofErr w:type="spellStart"/>
            <w:r w:rsidRPr="00B83AD3">
              <w:rPr>
                <w:rFonts w:cs="Times New Roman"/>
                <w:i/>
                <w:sz w:val="20"/>
              </w:rPr>
              <w:t>Earth</w:t>
            </w:r>
            <w:proofErr w:type="spellEnd"/>
            <w:r w:rsidRPr="00B83AD3">
              <w:rPr>
                <w:rFonts w:cs="Times New Roman"/>
                <w:i/>
                <w:sz w:val="20"/>
              </w:rPr>
              <w:t xml:space="preserve"> </w:t>
            </w:r>
            <w:proofErr w:type="spellStart"/>
            <w:r w:rsidRPr="00B83AD3">
              <w:rPr>
                <w:rFonts w:cs="Times New Roman"/>
                <w:i/>
                <w:sz w:val="20"/>
              </w:rPr>
              <w:t>Observation</w:t>
            </w:r>
            <w:proofErr w:type="spellEnd"/>
            <w:r w:rsidRPr="00B83AD3">
              <w:rPr>
                <w:rFonts w:cs="Times New Roman"/>
                <w:i/>
                <w:sz w:val="20"/>
              </w:rPr>
              <w:t xml:space="preserve"> </w:t>
            </w:r>
            <w:proofErr w:type="spellStart"/>
            <w:r w:rsidRPr="00B83AD3">
              <w:rPr>
                <w:rFonts w:cs="Times New Roman"/>
                <w:i/>
                <w:sz w:val="20"/>
              </w:rPr>
              <w:t>Envelope</w:t>
            </w:r>
            <w:proofErr w:type="spellEnd"/>
            <w:r w:rsidRPr="00B83AD3">
              <w:rPr>
                <w:rFonts w:cs="Times New Roman"/>
                <w:i/>
                <w:sz w:val="20"/>
              </w:rPr>
              <w:t xml:space="preserve"> </w:t>
            </w:r>
            <w:proofErr w:type="spellStart"/>
            <w:r w:rsidRPr="00B83AD3">
              <w:rPr>
                <w:rFonts w:cs="Times New Roman"/>
                <w:i/>
                <w:sz w:val="20"/>
              </w:rPr>
              <w:t>Programme</w:t>
            </w:r>
            <w:proofErr w:type="spellEnd"/>
            <w:r w:rsidRPr="00B83AD3">
              <w:rPr>
                <w:rFonts w:cs="Times New Roman"/>
                <w:i/>
                <w:sz w:val="20"/>
              </w:rPr>
              <w:t xml:space="preserve"> – EOEP</w:t>
            </w:r>
            <w:r w:rsidRPr="00B83AD3">
              <w:rPr>
                <w:rFonts w:cs="Times New Roman"/>
                <w:sz w:val="20"/>
              </w:rPr>
              <w:t xml:space="preserve">) – 400,0 tūkst. euro </w:t>
            </w:r>
          </w:p>
          <w:p w14:paraId="6657249C" w14:textId="77777777" w:rsidR="00B7653A" w:rsidRPr="00B83AD3" w:rsidRDefault="00C96F88" w:rsidP="00B7653A">
            <w:pPr>
              <w:cnfStyle w:val="000000100000" w:firstRow="0" w:lastRow="0" w:firstColumn="0" w:lastColumn="0" w:oddVBand="0" w:evenVBand="0" w:oddHBand="1" w:evenHBand="0" w:firstRowFirstColumn="0" w:firstRowLastColumn="0" w:lastRowFirstColumn="0" w:lastRowLastColumn="0"/>
              <w:rPr>
                <w:rFonts w:cs="Times New Roman"/>
                <w:sz w:val="20"/>
              </w:rPr>
            </w:pPr>
            <w:r w:rsidRPr="00B83AD3">
              <w:rPr>
                <w:rFonts w:cs="Times New Roman"/>
                <w:sz w:val="20"/>
              </w:rPr>
              <w:t>Pieprasītāja</w:t>
            </w:r>
            <w:r w:rsidR="001F4331" w:rsidRPr="00B83AD3">
              <w:rPr>
                <w:rFonts w:cs="Times New Roman"/>
                <w:sz w:val="20"/>
              </w:rPr>
              <w:t xml:space="preserve"> puses programma – 1,25</w:t>
            </w:r>
            <w:r w:rsidR="00B7653A" w:rsidRPr="00B83AD3">
              <w:rPr>
                <w:rFonts w:cs="Times New Roman"/>
                <w:sz w:val="20"/>
              </w:rPr>
              <w:t xml:space="preserve"> milj</w:t>
            </w:r>
            <w:r w:rsidR="00540320" w:rsidRPr="00B83AD3">
              <w:rPr>
                <w:rFonts w:cs="Times New Roman"/>
                <w:sz w:val="20"/>
              </w:rPr>
              <w:t>.</w:t>
            </w:r>
            <w:r w:rsidR="00B7653A" w:rsidRPr="00B83AD3">
              <w:rPr>
                <w:rFonts w:cs="Times New Roman"/>
                <w:sz w:val="20"/>
              </w:rPr>
              <w:t xml:space="preserve"> </w:t>
            </w:r>
            <w:r w:rsidR="00DC6116" w:rsidRPr="00B83AD3">
              <w:rPr>
                <w:rFonts w:cs="Times New Roman"/>
                <w:i/>
                <w:sz w:val="20"/>
              </w:rPr>
              <w:t>euro</w:t>
            </w:r>
          </w:p>
          <w:p w14:paraId="6657249D" w14:textId="77777777" w:rsidR="00BF7CEB" w:rsidRPr="00B83AD3" w:rsidRDefault="00DC6116" w:rsidP="00B7653A">
            <w:pPr>
              <w:cnfStyle w:val="000000100000" w:firstRow="0" w:lastRow="0" w:firstColumn="0" w:lastColumn="0" w:oddVBand="0" w:evenVBand="0" w:oddHBand="1" w:evenHBand="0" w:firstRowFirstColumn="0" w:firstRowLastColumn="0" w:lastRowFirstColumn="0" w:lastRowLastColumn="0"/>
              <w:rPr>
                <w:rFonts w:cs="Times New Roman"/>
                <w:sz w:val="20"/>
              </w:rPr>
            </w:pPr>
            <w:r w:rsidRPr="00B83AD3">
              <w:rPr>
                <w:rFonts w:cs="Times New Roman"/>
                <w:sz w:val="20"/>
              </w:rPr>
              <w:t>(saglabājot elastību finansējuma pārdalē starp dažādām EKA programmām, atbilstoši</w:t>
            </w:r>
            <w:r w:rsidR="00F914CD" w:rsidRPr="00B83AD3">
              <w:rPr>
                <w:rFonts w:cs="Times New Roman"/>
                <w:sz w:val="20"/>
              </w:rPr>
              <w:t xml:space="preserve"> Latvijas </w:t>
            </w:r>
            <w:r w:rsidR="00947C6C" w:rsidRPr="00B83AD3">
              <w:rPr>
                <w:rFonts w:cs="Times New Roman"/>
                <w:sz w:val="20"/>
              </w:rPr>
              <w:t xml:space="preserve"> industrijas vajadzībām)</w:t>
            </w:r>
            <w:r w:rsidR="00540320" w:rsidRPr="00B83AD3">
              <w:rPr>
                <w:rFonts w:cs="Times New Roman"/>
                <w:sz w:val="20"/>
              </w:rPr>
              <w:t>;</w:t>
            </w:r>
          </w:p>
        </w:tc>
        <w:tc>
          <w:tcPr>
            <w:tcW w:w="3582" w:type="dxa"/>
            <w:tcBorders>
              <w:top w:val="single" w:sz="4" w:space="0" w:color="auto"/>
            </w:tcBorders>
          </w:tcPr>
          <w:p w14:paraId="6657249E" w14:textId="77777777" w:rsidR="003753B4" w:rsidRPr="00B83AD3" w:rsidRDefault="003753B4" w:rsidP="003753B4">
            <w:pPr>
              <w:pStyle w:val="ListParagraph"/>
              <w:numPr>
                <w:ilvl w:val="0"/>
                <w:numId w:val="30"/>
              </w:numPr>
              <w:ind w:left="252" w:hanging="18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3AD3">
              <w:rPr>
                <w:rFonts w:ascii="Times New Roman" w:hAnsi="Times New Roman" w:cs="Times New Roman"/>
                <w:sz w:val="20"/>
                <w:szCs w:val="24"/>
              </w:rPr>
              <w:t xml:space="preserve">Vieglāki nosacījumi EKA obligātajā programmā (70% iemaksa, kas balstīts uz </w:t>
            </w:r>
            <w:r w:rsidR="007204D6" w:rsidRPr="00B83AD3">
              <w:rPr>
                <w:rFonts w:ascii="Times New Roman" w:hAnsi="Times New Roman" w:cs="Times New Roman"/>
                <w:sz w:val="20"/>
                <w:szCs w:val="24"/>
              </w:rPr>
              <w:t xml:space="preserve">valsts </w:t>
            </w:r>
            <w:r w:rsidRPr="00B83AD3">
              <w:rPr>
                <w:rFonts w:ascii="Times New Roman" w:hAnsi="Times New Roman" w:cs="Times New Roman"/>
                <w:sz w:val="20"/>
                <w:szCs w:val="24"/>
              </w:rPr>
              <w:t xml:space="preserve">IKP); </w:t>
            </w:r>
          </w:p>
          <w:p w14:paraId="6657249F" w14:textId="77777777" w:rsidR="003753B4" w:rsidRPr="00B83AD3" w:rsidRDefault="003753B4" w:rsidP="003753B4">
            <w:pPr>
              <w:pStyle w:val="ListParagraph"/>
              <w:numPr>
                <w:ilvl w:val="0"/>
                <w:numId w:val="30"/>
              </w:numPr>
              <w:ind w:left="252" w:hanging="18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3AD3">
              <w:rPr>
                <w:rFonts w:ascii="Times New Roman" w:hAnsi="Times New Roman" w:cs="Times New Roman"/>
                <w:sz w:val="20"/>
                <w:szCs w:val="24"/>
              </w:rPr>
              <w:t xml:space="preserve">Pieeja visām </w:t>
            </w:r>
            <w:r w:rsidR="00373A8E" w:rsidRPr="00B83AD3">
              <w:rPr>
                <w:rFonts w:ascii="Times New Roman" w:hAnsi="Times New Roman" w:cs="Times New Roman"/>
                <w:sz w:val="20"/>
                <w:szCs w:val="24"/>
              </w:rPr>
              <w:t>EKA i</w:t>
            </w:r>
            <w:r w:rsidRPr="00B83AD3">
              <w:rPr>
                <w:rFonts w:ascii="Times New Roman" w:hAnsi="Times New Roman" w:cs="Times New Roman"/>
                <w:sz w:val="20"/>
                <w:szCs w:val="24"/>
              </w:rPr>
              <w:t>zvēles programmām</w:t>
            </w:r>
            <w:r w:rsidR="00DC7F54" w:rsidRPr="00B83AD3">
              <w:rPr>
                <w:rFonts w:ascii="Times New Roman" w:hAnsi="Times New Roman" w:cs="Times New Roman"/>
                <w:sz w:val="20"/>
                <w:szCs w:val="24"/>
              </w:rPr>
              <w:t>, kas nozīmē plašākas sadarbības iespējas ar Eiropas kosmosa industriju</w:t>
            </w:r>
            <w:r w:rsidRPr="00B83AD3">
              <w:rPr>
                <w:rFonts w:ascii="Times New Roman" w:hAnsi="Times New Roman" w:cs="Times New Roman"/>
                <w:sz w:val="20"/>
                <w:szCs w:val="24"/>
              </w:rPr>
              <w:t xml:space="preserve">; </w:t>
            </w:r>
          </w:p>
          <w:p w14:paraId="665724A0" w14:textId="77777777" w:rsidR="004651C8" w:rsidRPr="00B83AD3" w:rsidRDefault="004651C8" w:rsidP="003753B4">
            <w:pPr>
              <w:pStyle w:val="ListParagraph"/>
              <w:numPr>
                <w:ilvl w:val="0"/>
                <w:numId w:val="30"/>
              </w:numPr>
              <w:ind w:left="252" w:hanging="18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3AD3">
              <w:rPr>
                <w:rFonts w:ascii="Times New Roman" w:hAnsi="Times New Roman" w:cs="Times New Roman"/>
                <w:sz w:val="20"/>
                <w:szCs w:val="24"/>
              </w:rPr>
              <w:t>Balsstiesības EKA padomē un visās EKA programmās, kurās Latvija piedalās</w:t>
            </w:r>
            <w:r w:rsidR="00B2312A" w:rsidRPr="00B83AD3">
              <w:rPr>
                <w:rFonts w:ascii="Times New Roman" w:hAnsi="Times New Roman" w:cs="Times New Roman"/>
                <w:sz w:val="20"/>
                <w:szCs w:val="24"/>
              </w:rPr>
              <w:t>, iz</w:t>
            </w:r>
            <w:r w:rsidR="00F11160" w:rsidRPr="00B83AD3">
              <w:rPr>
                <w:rFonts w:ascii="Times New Roman" w:hAnsi="Times New Roman" w:cs="Times New Roman"/>
                <w:sz w:val="20"/>
                <w:szCs w:val="24"/>
              </w:rPr>
              <w:t>ņemot EKA obligātajā programmā;</w:t>
            </w:r>
            <w:r w:rsidRPr="00B83AD3">
              <w:rPr>
                <w:rFonts w:ascii="Times New Roman" w:hAnsi="Times New Roman" w:cs="Times New Roman"/>
                <w:sz w:val="20"/>
                <w:szCs w:val="24"/>
              </w:rPr>
              <w:t xml:space="preserve"> </w:t>
            </w:r>
          </w:p>
          <w:p w14:paraId="665724A1" w14:textId="77777777" w:rsidR="00DF37C2" w:rsidRPr="00B83AD3" w:rsidRDefault="00DF37C2" w:rsidP="004651C8">
            <w:pPr>
              <w:pStyle w:val="ListParagraph"/>
              <w:numPr>
                <w:ilvl w:val="0"/>
                <w:numId w:val="30"/>
              </w:numPr>
              <w:ind w:left="252" w:hanging="18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3AD3">
              <w:rPr>
                <w:rFonts w:ascii="Times New Roman" w:hAnsi="Times New Roman" w:cs="Times New Roman"/>
                <w:sz w:val="20"/>
                <w:szCs w:val="24"/>
              </w:rPr>
              <w:t>Iespēja t</w:t>
            </w:r>
            <w:r w:rsidR="00F914CD" w:rsidRPr="00B83AD3">
              <w:rPr>
                <w:rFonts w:ascii="Times New Roman" w:hAnsi="Times New Roman" w:cs="Times New Roman"/>
                <w:sz w:val="20"/>
                <w:szCs w:val="24"/>
              </w:rPr>
              <w:t xml:space="preserve">urpināt dalību </w:t>
            </w:r>
            <w:r w:rsidR="00C96F88" w:rsidRPr="00B83AD3">
              <w:rPr>
                <w:rFonts w:ascii="Times New Roman" w:hAnsi="Times New Roman" w:cs="Times New Roman"/>
                <w:sz w:val="20"/>
                <w:szCs w:val="24"/>
              </w:rPr>
              <w:t>Pieprasītāja</w:t>
            </w:r>
            <w:r w:rsidR="003753B4" w:rsidRPr="00B83AD3">
              <w:rPr>
                <w:rFonts w:ascii="Times New Roman" w:hAnsi="Times New Roman" w:cs="Times New Roman"/>
                <w:sz w:val="20"/>
                <w:szCs w:val="24"/>
              </w:rPr>
              <w:t xml:space="preserve"> puses programmā (lai palīdzētu industrijai būt sekmīgai izvēles programmās</w:t>
            </w:r>
            <w:r w:rsidR="00373A8E" w:rsidRPr="00B83AD3">
              <w:rPr>
                <w:rFonts w:ascii="Times New Roman" w:hAnsi="Times New Roman" w:cs="Times New Roman"/>
                <w:sz w:val="20"/>
                <w:szCs w:val="24"/>
              </w:rPr>
              <w:t xml:space="preserve"> un turpināt attīstīt industriālo kompetenci</w:t>
            </w:r>
            <w:r w:rsidR="003753B4" w:rsidRPr="00B83AD3">
              <w:rPr>
                <w:rFonts w:ascii="Times New Roman" w:hAnsi="Times New Roman" w:cs="Times New Roman"/>
                <w:sz w:val="20"/>
                <w:szCs w:val="24"/>
              </w:rPr>
              <w:t>)</w:t>
            </w:r>
            <w:r w:rsidRPr="00B83AD3">
              <w:rPr>
                <w:rFonts w:ascii="Times New Roman" w:hAnsi="Times New Roman" w:cs="Times New Roman"/>
                <w:sz w:val="20"/>
                <w:szCs w:val="24"/>
              </w:rPr>
              <w:t>;</w:t>
            </w:r>
          </w:p>
          <w:p w14:paraId="665724A2" w14:textId="77777777" w:rsidR="003753B4" w:rsidRPr="00B83AD3" w:rsidRDefault="003753B4" w:rsidP="003753B4">
            <w:pPr>
              <w:pStyle w:val="ListParagraph"/>
              <w:numPr>
                <w:ilvl w:val="0"/>
                <w:numId w:val="30"/>
              </w:numPr>
              <w:ind w:left="252" w:hanging="18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3AD3">
              <w:rPr>
                <w:rFonts w:ascii="Times New Roman" w:hAnsi="Times New Roman" w:cs="Times New Roman"/>
                <w:sz w:val="20"/>
                <w:szCs w:val="24"/>
              </w:rPr>
              <w:t>Jāsasniedz 75% industrijas dalības</w:t>
            </w:r>
            <w:r w:rsidR="00DF37C2" w:rsidRPr="00B83AD3">
              <w:rPr>
                <w:rFonts w:ascii="Times New Roman" w:hAnsi="Times New Roman" w:cs="Times New Roman"/>
                <w:sz w:val="20"/>
                <w:szCs w:val="24"/>
              </w:rPr>
              <w:t>;</w:t>
            </w:r>
          </w:p>
          <w:p w14:paraId="665724A3" w14:textId="77777777" w:rsidR="003753B4" w:rsidRPr="00B83AD3" w:rsidRDefault="003753B4" w:rsidP="003753B4">
            <w:pPr>
              <w:pStyle w:val="ListParagraph"/>
              <w:numPr>
                <w:ilvl w:val="0"/>
                <w:numId w:val="30"/>
              </w:numPr>
              <w:ind w:left="252" w:hanging="18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3AD3">
              <w:rPr>
                <w:rFonts w:ascii="Times New Roman" w:hAnsi="Times New Roman" w:cs="Times New Roman"/>
                <w:sz w:val="20"/>
                <w:szCs w:val="24"/>
              </w:rPr>
              <w:t>Nākamais solis – EKA dalībvalsts</w:t>
            </w:r>
            <w:r w:rsidR="00DF37C2" w:rsidRPr="00B83AD3">
              <w:rPr>
                <w:rFonts w:ascii="Times New Roman" w:hAnsi="Times New Roman" w:cs="Times New Roman"/>
                <w:sz w:val="20"/>
                <w:szCs w:val="24"/>
              </w:rPr>
              <w:t>;</w:t>
            </w:r>
          </w:p>
          <w:p w14:paraId="665724A4" w14:textId="77777777" w:rsidR="00F85736" w:rsidRPr="00B83AD3" w:rsidRDefault="00F85736" w:rsidP="00F85736">
            <w:pPr>
              <w:pStyle w:val="ListParagraph"/>
              <w:numPr>
                <w:ilvl w:val="0"/>
                <w:numId w:val="30"/>
              </w:numPr>
              <w:ind w:left="252" w:hanging="18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83AD3">
              <w:rPr>
                <w:rFonts w:ascii="Times New Roman" w:hAnsi="Times New Roman" w:cs="Times New Roman"/>
                <w:sz w:val="20"/>
                <w:szCs w:val="24"/>
              </w:rPr>
              <w:t>Termiņš uz 7 gadiem</w:t>
            </w:r>
            <w:r w:rsidR="00E90C46" w:rsidRPr="00B83AD3">
              <w:rPr>
                <w:rFonts w:ascii="Times New Roman" w:hAnsi="Times New Roman" w:cs="Times New Roman"/>
                <w:sz w:val="20"/>
                <w:szCs w:val="24"/>
              </w:rPr>
              <w:t>;</w:t>
            </w:r>
          </w:p>
        </w:tc>
      </w:tr>
      <w:tr w:rsidR="003753B4" w:rsidRPr="00B83AD3" w14:paraId="665724B2" w14:textId="77777777" w:rsidTr="00843FDC">
        <w:tc>
          <w:tcPr>
            <w:cnfStyle w:val="001000000000" w:firstRow="0" w:lastRow="0" w:firstColumn="1" w:lastColumn="0" w:oddVBand="0" w:evenVBand="0" w:oddHBand="0" w:evenHBand="0" w:firstRowFirstColumn="0" w:firstRowLastColumn="0" w:lastRowFirstColumn="0" w:lastRowLastColumn="0"/>
            <w:tcW w:w="1560" w:type="dxa"/>
          </w:tcPr>
          <w:p w14:paraId="665724A6" w14:textId="77777777" w:rsidR="003753B4" w:rsidRPr="00B83AD3" w:rsidRDefault="003753B4" w:rsidP="00B7653A">
            <w:pPr>
              <w:rPr>
                <w:rFonts w:cs="Times New Roman"/>
                <w:sz w:val="20"/>
              </w:rPr>
            </w:pPr>
            <w:r w:rsidRPr="00B83AD3">
              <w:rPr>
                <w:rFonts w:cs="Times New Roman"/>
                <w:sz w:val="20"/>
              </w:rPr>
              <w:t xml:space="preserve">Minimālais scenārijs </w:t>
            </w:r>
            <w:r w:rsidR="00A543D0" w:rsidRPr="00B83AD3">
              <w:rPr>
                <w:rFonts w:cs="Times New Roman"/>
                <w:sz w:val="20"/>
              </w:rPr>
              <w:t>–</w:t>
            </w:r>
            <w:r w:rsidRPr="00B83AD3">
              <w:rPr>
                <w:rFonts w:cs="Times New Roman"/>
                <w:sz w:val="20"/>
              </w:rPr>
              <w:t xml:space="preserve"> Eiropas Sadarbības valsts (ESV) </w:t>
            </w:r>
          </w:p>
        </w:tc>
        <w:tc>
          <w:tcPr>
            <w:tcW w:w="1135" w:type="dxa"/>
          </w:tcPr>
          <w:p w14:paraId="665724A7" w14:textId="77777777" w:rsidR="003753B4" w:rsidRPr="00B83AD3" w:rsidRDefault="003753B4" w:rsidP="003753B4">
            <w:pPr>
              <w:cnfStyle w:val="000000000000" w:firstRow="0" w:lastRow="0" w:firstColumn="0" w:lastColumn="0" w:oddVBand="0" w:evenVBand="0" w:oddHBand="0" w:evenHBand="0" w:firstRowFirstColumn="0" w:firstRowLastColumn="0" w:lastRowFirstColumn="0" w:lastRowLastColumn="0"/>
              <w:rPr>
                <w:rFonts w:cs="Times New Roman"/>
                <w:sz w:val="20"/>
              </w:rPr>
            </w:pPr>
            <w:r w:rsidRPr="00B83AD3">
              <w:rPr>
                <w:rFonts w:cs="Times New Roman"/>
                <w:sz w:val="20"/>
              </w:rPr>
              <w:t>Lietuva, Malta, Kipra, Bulgārija un Slovākija</w:t>
            </w:r>
          </w:p>
        </w:tc>
        <w:tc>
          <w:tcPr>
            <w:tcW w:w="2790" w:type="dxa"/>
          </w:tcPr>
          <w:p w14:paraId="665724A8" w14:textId="77777777" w:rsidR="003753B4" w:rsidRPr="00B83AD3" w:rsidRDefault="003753B4" w:rsidP="00DF37C2">
            <w:pPr>
              <w:cnfStyle w:val="000000000000" w:firstRow="0" w:lastRow="0" w:firstColumn="0" w:lastColumn="0" w:oddVBand="0" w:evenVBand="0" w:oddHBand="0" w:evenHBand="0" w:firstRowFirstColumn="0" w:firstRowLastColumn="0" w:lastRowFirstColumn="0" w:lastRowLastColumn="0"/>
              <w:rPr>
                <w:rFonts w:cs="Times New Roman"/>
                <w:sz w:val="20"/>
                <w:u w:val="single"/>
              </w:rPr>
            </w:pPr>
            <w:r w:rsidRPr="00B83AD3">
              <w:rPr>
                <w:rFonts w:cs="Times New Roman"/>
                <w:sz w:val="20"/>
                <w:u w:val="single"/>
              </w:rPr>
              <w:t>Aptuveni 1,</w:t>
            </w:r>
            <w:r w:rsidR="00DF37C2" w:rsidRPr="00B83AD3">
              <w:rPr>
                <w:rFonts w:cs="Times New Roman"/>
                <w:sz w:val="20"/>
                <w:u w:val="single"/>
              </w:rPr>
              <w:t>75</w:t>
            </w:r>
            <w:r w:rsidRPr="00B83AD3">
              <w:rPr>
                <w:rFonts w:cs="Times New Roman"/>
                <w:sz w:val="20"/>
                <w:u w:val="single"/>
              </w:rPr>
              <w:t xml:space="preserve"> – </w:t>
            </w:r>
            <w:r w:rsidR="00DF37C2" w:rsidRPr="00B83AD3">
              <w:rPr>
                <w:rFonts w:cs="Times New Roman"/>
                <w:sz w:val="20"/>
                <w:u w:val="single"/>
              </w:rPr>
              <w:t xml:space="preserve">2,5 milj. </w:t>
            </w:r>
            <w:r w:rsidR="004651C8" w:rsidRPr="00B83AD3">
              <w:rPr>
                <w:rFonts w:cs="Times New Roman"/>
                <w:i/>
                <w:iCs/>
                <w:sz w:val="20"/>
                <w:u w:val="single"/>
              </w:rPr>
              <w:t>euro</w:t>
            </w:r>
            <w:r w:rsidR="00DF37C2" w:rsidRPr="00B83AD3">
              <w:rPr>
                <w:rFonts w:cs="Times New Roman"/>
                <w:sz w:val="20"/>
                <w:u w:val="single"/>
              </w:rPr>
              <w:t xml:space="preserve"> gadā.</w:t>
            </w:r>
          </w:p>
          <w:p w14:paraId="665724A9" w14:textId="77777777" w:rsidR="004651C8" w:rsidRPr="00B83AD3" w:rsidRDefault="004651C8" w:rsidP="00DF37C2">
            <w:pPr>
              <w:cnfStyle w:val="000000000000" w:firstRow="0" w:lastRow="0" w:firstColumn="0" w:lastColumn="0" w:oddVBand="0" w:evenVBand="0" w:oddHBand="0" w:evenHBand="0" w:firstRowFirstColumn="0" w:firstRowLastColumn="0" w:lastRowFirstColumn="0" w:lastRowLastColumn="0"/>
              <w:rPr>
                <w:rFonts w:cs="Times New Roman"/>
                <w:sz w:val="20"/>
              </w:rPr>
            </w:pPr>
          </w:p>
          <w:p w14:paraId="665724AA" w14:textId="77777777" w:rsidR="00DF37C2" w:rsidRPr="00B83AD3" w:rsidRDefault="00DF37C2" w:rsidP="00DF37C2">
            <w:pPr>
              <w:cnfStyle w:val="000000000000" w:firstRow="0" w:lastRow="0" w:firstColumn="0" w:lastColumn="0" w:oddVBand="0" w:evenVBand="0" w:oddHBand="0" w:evenHBand="0" w:firstRowFirstColumn="0" w:firstRowLastColumn="0" w:lastRowFirstColumn="0" w:lastRowLastColumn="0"/>
              <w:rPr>
                <w:rFonts w:cs="Times New Roman"/>
                <w:sz w:val="20"/>
              </w:rPr>
            </w:pPr>
            <w:r w:rsidRPr="00B83AD3">
              <w:rPr>
                <w:rFonts w:cs="Times New Roman"/>
                <w:sz w:val="20"/>
              </w:rPr>
              <w:t xml:space="preserve">Minimālā iemaksa </w:t>
            </w:r>
            <w:r w:rsidR="00BF7CEB" w:rsidRPr="00B83AD3">
              <w:rPr>
                <w:rFonts w:cs="Times New Roman"/>
                <w:sz w:val="20"/>
              </w:rPr>
              <w:t xml:space="preserve">EKA </w:t>
            </w:r>
            <w:r w:rsidRPr="00B83AD3">
              <w:rPr>
                <w:rFonts w:cs="Times New Roman"/>
                <w:sz w:val="20"/>
              </w:rPr>
              <w:t xml:space="preserve">ESV statusā ir noteikta 1 milj. </w:t>
            </w:r>
            <w:r w:rsidR="00A543D0" w:rsidRPr="00B83AD3">
              <w:rPr>
                <w:rFonts w:cs="Times New Roman"/>
                <w:i/>
                <w:iCs/>
                <w:sz w:val="20"/>
              </w:rPr>
              <w:t>euro</w:t>
            </w:r>
            <w:r w:rsidR="00A543D0" w:rsidRPr="00B83AD3">
              <w:rPr>
                <w:rFonts w:cs="Times New Roman"/>
                <w:sz w:val="20"/>
              </w:rPr>
              <w:t xml:space="preserve"> </w:t>
            </w:r>
            <w:r w:rsidRPr="00B83AD3">
              <w:rPr>
                <w:rFonts w:cs="Times New Roman"/>
                <w:sz w:val="20"/>
              </w:rPr>
              <w:t>2001.gada ekonomiskajos apstākļos</w:t>
            </w:r>
            <w:r w:rsidR="004651C8" w:rsidRPr="00B83AD3">
              <w:rPr>
                <w:rFonts w:cs="Times New Roman"/>
                <w:sz w:val="20"/>
              </w:rPr>
              <w:t xml:space="preserve">, kas 2020.gadā sastādīs aptuveni 1,5 milj. </w:t>
            </w:r>
            <w:r w:rsidR="004651C8" w:rsidRPr="00B83AD3">
              <w:rPr>
                <w:rFonts w:cs="Times New Roman"/>
                <w:i/>
                <w:iCs/>
                <w:sz w:val="20"/>
              </w:rPr>
              <w:t>euro</w:t>
            </w:r>
            <w:r w:rsidR="004651C8" w:rsidRPr="00B83AD3">
              <w:rPr>
                <w:rFonts w:cs="Times New Roman"/>
                <w:sz w:val="20"/>
              </w:rPr>
              <w:t xml:space="preserve"> gadā</w:t>
            </w:r>
            <w:r w:rsidR="00F11160" w:rsidRPr="00B83AD3">
              <w:rPr>
                <w:rFonts w:cs="Times New Roman"/>
                <w:sz w:val="20"/>
              </w:rPr>
              <w:t>;</w:t>
            </w:r>
            <w:r w:rsidR="004651C8" w:rsidRPr="00B83AD3">
              <w:rPr>
                <w:rFonts w:cs="Times New Roman"/>
                <w:sz w:val="20"/>
              </w:rPr>
              <w:t xml:space="preserve"> </w:t>
            </w:r>
          </w:p>
          <w:p w14:paraId="665724AB" w14:textId="77777777" w:rsidR="004651C8" w:rsidRPr="00B83AD3" w:rsidRDefault="004651C8" w:rsidP="00F11160">
            <w:pPr>
              <w:cnfStyle w:val="000000000000" w:firstRow="0" w:lastRow="0" w:firstColumn="0" w:lastColumn="0" w:oddVBand="0" w:evenVBand="0" w:oddHBand="0" w:evenHBand="0" w:firstRowFirstColumn="0" w:firstRowLastColumn="0" w:lastRowFirstColumn="0" w:lastRowLastColumn="0"/>
              <w:rPr>
                <w:rFonts w:cs="Times New Roman"/>
                <w:sz w:val="20"/>
              </w:rPr>
            </w:pPr>
            <w:r w:rsidRPr="00B83AD3">
              <w:rPr>
                <w:rFonts w:cs="Times New Roman"/>
                <w:sz w:val="20"/>
              </w:rPr>
              <w:t xml:space="preserve">Lai turpinātu </w:t>
            </w:r>
            <w:r w:rsidR="00030AC0" w:rsidRPr="00B83AD3">
              <w:rPr>
                <w:rFonts w:cs="Times New Roman"/>
                <w:sz w:val="20"/>
              </w:rPr>
              <w:t xml:space="preserve">izstrādāto </w:t>
            </w:r>
            <w:r w:rsidR="00BF7CEB" w:rsidRPr="00B83AD3">
              <w:rPr>
                <w:rFonts w:cs="Times New Roman"/>
                <w:sz w:val="20"/>
              </w:rPr>
              <w:t>tehnoloģiju</w:t>
            </w:r>
            <w:r w:rsidRPr="00B83AD3">
              <w:rPr>
                <w:rFonts w:cs="Times New Roman"/>
                <w:sz w:val="20"/>
              </w:rPr>
              <w:t xml:space="preserve"> virzību uz augstāku </w:t>
            </w:r>
            <w:r w:rsidR="00BF7CEB" w:rsidRPr="00B83AD3">
              <w:rPr>
                <w:rFonts w:cs="Times New Roman"/>
                <w:sz w:val="20"/>
              </w:rPr>
              <w:t>TRL līmeni ir nepieciešams augstāks ieguldījuma līmenis</w:t>
            </w:r>
            <w:r w:rsidR="00F11160" w:rsidRPr="00B83AD3">
              <w:rPr>
                <w:rFonts w:cs="Times New Roman"/>
                <w:sz w:val="20"/>
              </w:rPr>
              <w:t>;</w:t>
            </w:r>
          </w:p>
        </w:tc>
        <w:tc>
          <w:tcPr>
            <w:tcW w:w="3582" w:type="dxa"/>
          </w:tcPr>
          <w:p w14:paraId="665724AC" w14:textId="77777777" w:rsidR="003753B4" w:rsidRPr="00B83AD3" w:rsidRDefault="003753B4" w:rsidP="003753B4">
            <w:pPr>
              <w:pStyle w:val="ListParagraph"/>
              <w:numPr>
                <w:ilvl w:val="0"/>
                <w:numId w:val="29"/>
              </w:numPr>
              <w:ind w:left="290" w:hanging="18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3AD3">
              <w:rPr>
                <w:rFonts w:ascii="Times New Roman" w:hAnsi="Times New Roman" w:cs="Times New Roman"/>
                <w:sz w:val="20"/>
                <w:szCs w:val="24"/>
              </w:rPr>
              <w:t>Sagatavošanās programm</w:t>
            </w:r>
            <w:r w:rsidR="00373A8E" w:rsidRPr="00B83AD3">
              <w:rPr>
                <w:rFonts w:ascii="Times New Roman" w:hAnsi="Times New Roman" w:cs="Times New Roman"/>
                <w:sz w:val="20"/>
                <w:szCs w:val="24"/>
              </w:rPr>
              <w:t>a (</w:t>
            </w:r>
            <w:r w:rsidR="00C96F88" w:rsidRPr="00B83AD3">
              <w:rPr>
                <w:rFonts w:ascii="Times New Roman" w:hAnsi="Times New Roman" w:cs="Times New Roman"/>
                <w:sz w:val="20"/>
                <w:szCs w:val="24"/>
              </w:rPr>
              <w:t>Pieprasītāja</w:t>
            </w:r>
            <w:r w:rsidR="00F85736" w:rsidRPr="00B83AD3">
              <w:rPr>
                <w:rFonts w:ascii="Times New Roman" w:hAnsi="Times New Roman" w:cs="Times New Roman"/>
                <w:sz w:val="20"/>
                <w:szCs w:val="24"/>
              </w:rPr>
              <w:t xml:space="preserve"> puses programma – ESV</w:t>
            </w:r>
            <w:r w:rsidR="00BD560B" w:rsidRPr="00B83AD3">
              <w:rPr>
                <w:rFonts w:ascii="Times New Roman" w:hAnsi="Times New Roman" w:cs="Times New Roman"/>
                <w:sz w:val="20"/>
                <w:szCs w:val="24"/>
              </w:rPr>
              <w:t>) industriālās kapacitātes stiprināšanai un ciešākai sadarbībai ar EKA</w:t>
            </w:r>
            <w:r w:rsidRPr="00B83AD3">
              <w:rPr>
                <w:rFonts w:ascii="Times New Roman" w:hAnsi="Times New Roman" w:cs="Times New Roman"/>
                <w:sz w:val="20"/>
                <w:szCs w:val="24"/>
              </w:rPr>
              <w:t xml:space="preserve">; </w:t>
            </w:r>
          </w:p>
          <w:p w14:paraId="665724AD" w14:textId="77777777" w:rsidR="00F914CD" w:rsidRPr="00B83AD3" w:rsidRDefault="003753B4" w:rsidP="003753B4">
            <w:pPr>
              <w:pStyle w:val="ListParagraph"/>
              <w:numPr>
                <w:ilvl w:val="0"/>
                <w:numId w:val="29"/>
              </w:numPr>
              <w:ind w:left="290" w:hanging="18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3AD3">
              <w:rPr>
                <w:rFonts w:ascii="Times New Roman" w:hAnsi="Times New Roman" w:cs="Times New Roman"/>
                <w:sz w:val="20"/>
                <w:szCs w:val="24"/>
              </w:rPr>
              <w:t xml:space="preserve">ESV </w:t>
            </w:r>
            <w:r w:rsidR="00DF37C2" w:rsidRPr="00B83AD3">
              <w:rPr>
                <w:rFonts w:ascii="Times New Roman" w:hAnsi="Times New Roman" w:cs="Times New Roman"/>
                <w:sz w:val="20"/>
                <w:szCs w:val="24"/>
              </w:rPr>
              <w:t xml:space="preserve">statuss </w:t>
            </w:r>
            <w:r w:rsidRPr="00B83AD3">
              <w:rPr>
                <w:rFonts w:ascii="Times New Roman" w:hAnsi="Times New Roman" w:cs="Times New Roman"/>
                <w:sz w:val="20"/>
                <w:szCs w:val="24"/>
              </w:rPr>
              <w:t xml:space="preserve">nav </w:t>
            </w:r>
            <w:r w:rsidR="00F85736" w:rsidRPr="00B83AD3">
              <w:rPr>
                <w:rFonts w:ascii="Times New Roman" w:hAnsi="Times New Roman" w:cs="Times New Roman"/>
                <w:sz w:val="20"/>
                <w:szCs w:val="24"/>
              </w:rPr>
              <w:t>EKA</w:t>
            </w:r>
            <w:r w:rsidR="00DF37C2" w:rsidRPr="00B83AD3">
              <w:rPr>
                <w:rFonts w:ascii="Times New Roman" w:hAnsi="Times New Roman" w:cs="Times New Roman"/>
                <w:sz w:val="20"/>
                <w:szCs w:val="24"/>
              </w:rPr>
              <w:t xml:space="preserve"> dalībnieka statuss</w:t>
            </w:r>
            <w:r w:rsidR="00BD560B" w:rsidRPr="00B83AD3">
              <w:rPr>
                <w:rFonts w:ascii="Times New Roman" w:hAnsi="Times New Roman" w:cs="Times New Roman"/>
                <w:sz w:val="20"/>
                <w:szCs w:val="24"/>
              </w:rPr>
              <w:t>;</w:t>
            </w:r>
          </w:p>
          <w:p w14:paraId="665724AE" w14:textId="77777777" w:rsidR="003753B4" w:rsidRPr="00B83AD3" w:rsidRDefault="003753B4" w:rsidP="003753B4">
            <w:pPr>
              <w:pStyle w:val="ListParagraph"/>
              <w:numPr>
                <w:ilvl w:val="0"/>
                <w:numId w:val="29"/>
              </w:numPr>
              <w:ind w:left="290" w:hanging="18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3AD3">
              <w:rPr>
                <w:rFonts w:ascii="Times New Roman" w:hAnsi="Times New Roman" w:cs="Times New Roman"/>
                <w:sz w:val="20"/>
                <w:szCs w:val="24"/>
              </w:rPr>
              <w:t xml:space="preserve">EKA pārvaldībā piedalās kā novērotājs; </w:t>
            </w:r>
          </w:p>
          <w:p w14:paraId="665724AF" w14:textId="77777777" w:rsidR="00DF37C2" w:rsidRPr="00B83AD3" w:rsidRDefault="00F85736" w:rsidP="004651C8">
            <w:pPr>
              <w:pStyle w:val="ListParagraph"/>
              <w:numPr>
                <w:ilvl w:val="0"/>
                <w:numId w:val="29"/>
              </w:numPr>
              <w:ind w:left="290" w:hanging="18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3AD3">
              <w:rPr>
                <w:rFonts w:ascii="Times New Roman" w:hAnsi="Times New Roman" w:cs="Times New Roman"/>
                <w:sz w:val="20"/>
                <w:szCs w:val="24"/>
              </w:rPr>
              <w:t>Tiešā veidā neiesaistās EKA tehnoloģiju programmās</w:t>
            </w:r>
            <w:r w:rsidR="00373A8E" w:rsidRPr="00B83AD3">
              <w:rPr>
                <w:rFonts w:ascii="Times New Roman" w:hAnsi="Times New Roman" w:cs="Times New Roman"/>
                <w:sz w:val="20"/>
                <w:szCs w:val="24"/>
              </w:rPr>
              <w:t xml:space="preserve"> un misijās</w:t>
            </w:r>
            <w:r w:rsidRPr="00B83AD3">
              <w:rPr>
                <w:rFonts w:ascii="Times New Roman" w:hAnsi="Times New Roman" w:cs="Times New Roman"/>
                <w:sz w:val="20"/>
                <w:szCs w:val="24"/>
              </w:rPr>
              <w:t>;</w:t>
            </w:r>
          </w:p>
          <w:p w14:paraId="665724B0" w14:textId="77777777" w:rsidR="004651C8" w:rsidRPr="00B83AD3" w:rsidRDefault="00F914CD" w:rsidP="004651C8">
            <w:pPr>
              <w:pStyle w:val="ListParagraph"/>
              <w:numPr>
                <w:ilvl w:val="0"/>
                <w:numId w:val="29"/>
              </w:numPr>
              <w:ind w:left="290" w:hanging="18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3AD3">
              <w:rPr>
                <w:rFonts w:ascii="Times New Roman" w:hAnsi="Times New Roman" w:cs="Times New Roman"/>
                <w:sz w:val="20"/>
                <w:szCs w:val="24"/>
              </w:rPr>
              <w:t>Minimālas</w:t>
            </w:r>
            <w:r w:rsidR="004651C8" w:rsidRPr="00B83AD3">
              <w:rPr>
                <w:rFonts w:ascii="Times New Roman" w:hAnsi="Times New Roman" w:cs="Times New Roman"/>
                <w:sz w:val="20"/>
                <w:szCs w:val="24"/>
              </w:rPr>
              <w:t xml:space="preserve"> iespējas sadarbībai ar Eiropas kosmosa industriju</w:t>
            </w:r>
            <w:r w:rsidR="00B2312A" w:rsidRPr="00B83AD3">
              <w:rPr>
                <w:rFonts w:ascii="Times New Roman" w:hAnsi="Times New Roman" w:cs="Times New Roman"/>
                <w:sz w:val="20"/>
                <w:szCs w:val="24"/>
              </w:rPr>
              <w:t>, jo ne</w:t>
            </w:r>
            <w:r w:rsidR="00E90C46" w:rsidRPr="00B83AD3">
              <w:rPr>
                <w:rFonts w:ascii="Times New Roman" w:hAnsi="Times New Roman" w:cs="Times New Roman"/>
                <w:sz w:val="20"/>
                <w:szCs w:val="24"/>
              </w:rPr>
              <w:t>piedalās EKA izvēles programmās;</w:t>
            </w:r>
            <w:r w:rsidR="00B2312A" w:rsidRPr="00B83AD3">
              <w:rPr>
                <w:rFonts w:ascii="Times New Roman" w:hAnsi="Times New Roman" w:cs="Times New Roman"/>
                <w:sz w:val="20"/>
                <w:szCs w:val="24"/>
              </w:rPr>
              <w:t xml:space="preserve"> </w:t>
            </w:r>
          </w:p>
          <w:p w14:paraId="665724B1" w14:textId="77777777" w:rsidR="00F85736" w:rsidRPr="00B83AD3" w:rsidRDefault="00E90C46" w:rsidP="004651C8">
            <w:pPr>
              <w:pStyle w:val="ListParagraph"/>
              <w:numPr>
                <w:ilvl w:val="0"/>
                <w:numId w:val="29"/>
              </w:numPr>
              <w:ind w:left="290" w:hanging="18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83AD3">
              <w:rPr>
                <w:rFonts w:ascii="Times New Roman" w:hAnsi="Times New Roman" w:cs="Times New Roman"/>
                <w:sz w:val="20"/>
                <w:szCs w:val="24"/>
              </w:rPr>
              <w:t>Termiņš uz 5 gadiem;</w:t>
            </w:r>
          </w:p>
        </w:tc>
      </w:tr>
    </w:tbl>
    <w:p w14:paraId="665724B3" w14:textId="77777777" w:rsidR="007C5DD5" w:rsidRPr="00B83AD3" w:rsidRDefault="007C5DD5" w:rsidP="007C5DD5">
      <w:pPr>
        <w:rPr>
          <w:rFonts w:cs="Times New Roman"/>
        </w:rPr>
      </w:pPr>
    </w:p>
    <w:p w14:paraId="665724B4" w14:textId="77777777" w:rsidR="005219E2" w:rsidRPr="00B83AD3" w:rsidRDefault="004651C8" w:rsidP="007C5DD5">
      <w:pPr>
        <w:rPr>
          <w:rFonts w:cs="Times New Roman"/>
        </w:rPr>
      </w:pPr>
      <w:r w:rsidRPr="00B83AD3">
        <w:rPr>
          <w:rFonts w:cs="Times New Roman"/>
        </w:rPr>
        <w:tab/>
      </w:r>
      <w:r w:rsidR="00D0489C" w:rsidRPr="00B83AD3">
        <w:rPr>
          <w:rFonts w:cs="Times New Roman"/>
        </w:rPr>
        <w:t>Asociētās dalībvalsts statuss tika uzlabots un apstiprināts 2018.gada EKA Padomes laikā, lai nodrošinātu ESV līguma valstīm plūstošāku pāreju uz EKA dalībvalsts statusu. Galven</w:t>
      </w:r>
      <w:r w:rsidR="00796453" w:rsidRPr="00B83AD3">
        <w:rPr>
          <w:rFonts w:cs="Times New Roman"/>
        </w:rPr>
        <w:t>ie</w:t>
      </w:r>
      <w:r w:rsidR="00D0489C" w:rsidRPr="00B83AD3">
        <w:rPr>
          <w:rFonts w:cs="Times New Roman"/>
        </w:rPr>
        <w:t xml:space="preserve"> ieguvum</w:t>
      </w:r>
      <w:r w:rsidR="00796453" w:rsidRPr="00B83AD3">
        <w:rPr>
          <w:rFonts w:cs="Times New Roman"/>
        </w:rPr>
        <w:t>i</w:t>
      </w:r>
      <w:r w:rsidR="00D0489C" w:rsidRPr="00B83AD3">
        <w:rPr>
          <w:rFonts w:cs="Times New Roman"/>
        </w:rPr>
        <w:t xml:space="preserve"> no </w:t>
      </w:r>
      <w:r w:rsidR="00796453" w:rsidRPr="00B83AD3">
        <w:rPr>
          <w:rFonts w:cs="Times New Roman"/>
        </w:rPr>
        <w:t>a</w:t>
      </w:r>
      <w:r w:rsidR="00D0489C" w:rsidRPr="00B83AD3">
        <w:rPr>
          <w:rFonts w:cs="Times New Roman"/>
        </w:rPr>
        <w:t>sociētās dalībvalsts statusa ir samazināta iemaksa EKA obligātajā programmā, kas sastāda 70% no EKA dalībvalsts iemaksas</w:t>
      </w:r>
      <w:r w:rsidR="00F11160" w:rsidRPr="00B83AD3">
        <w:rPr>
          <w:rFonts w:cs="Times New Roman"/>
        </w:rPr>
        <w:t>,</w:t>
      </w:r>
      <w:r w:rsidR="00D0489C" w:rsidRPr="00B83AD3">
        <w:rPr>
          <w:rFonts w:cs="Times New Roman"/>
        </w:rPr>
        <w:t xml:space="preserve"> un iespēja veidot savu n</w:t>
      </w:r>
      <w:r w:rsidR="00F914CD" w:rsidRPr="00B83AD3">
        <w:rPr>
          <w:rFonts w:cs="Times New Roman"/>
        </w:rPr>
        <w:t xml:space="preserve">acionālo kosmosa programmu jeb </w:t>
      </w:r>
      <w:r w:rsidR="00C96F88" w:rsidRPr="00B83AD3">
        <w:rPr>
          <w:rFonts w:cs="Times New Roman"/>
        </w:rPr>
        <w:t>Pieprasītāja</w:t>
      </w:r>
      <w:r w:rsidR="00D0489C" w:rsidRPr="00B83AD3">
        <w:rPr>
          <w:rFonts w:cs="Times New Roman"/>
        </w:rPr>
        <w:t xml:space="preserve"> puses programmu</w:t>
      </w:r>
      <w:r w:rsidR="00FC1431" w:rsidRPr="00B83AD3">
        <w:rPr>
          <w:rFonts w:cs="Times New Roman"/>
        </w:rPr>
        <w:t xml:space="preserve"> </w:t>
      </w:r>
      <w:r w:rsidR="00FC1431" w:rsidRPr="00B83AD3">
        <w:rPr>
          <w:rFonts w:cs="Times New Roman"/>
        </w:rPr>
        <w:lastRenderedPageBreak/>
        <w:t xml:space="preserve">EKA ietvaros, kur projektu konkursos piedalās tikai </w:t>
      </w:r>
      <w:r w:rsidR="00985253" w:rsidRPr="00B83AD3">
        <w:rPr>
          <w:rFonts w:cs="Times New Roman"/>
        </w:rPr>
        <w:t xml:space="preserve">konkrētās valsts </w:t>
      </w:r>
      <w:r w:rsidR="00FC1431" w:rsidRPr="00B83AD3">
        <w:rPr>
          <w:rFonts w:cs="Times New Roman"/>
        </w:rPr>
        <w:t xml:space="preserve">organizācijas. Vienlaikus </w:t>
      </w:r>
      <w:r w:rsidR="00796453" w:rsidRPr="00B83AD3">
        <w:rPr>
          <w:rFonts w:cs="Times New Roman"/>
        </w:rPr>
        <w:t>a</w:t>
      </w:r>
      <w:r w:rsidR="00FC1431" w:rsidRPr="00B83AD3">
        <w:rPr>
          <w:rFonts w:cs="Times New Roman"/>
        </w:rPr>
        <w:t xml:space="preserve">sociētās dalībvalsts statuss dod iespēju piedalīties </w:t>
      </w:r>
      <w:r w:rsidR="00E1537F" w:rsidRPr="00B83AD3">
        <w:rPr>
          <w:rFonts w:cs="Times New Roman"/>
        </w:rPr>
        <w:t xml:space="preserve">visās </w:t>
      </w:r>
      <w:r w:rsidR="00FC1431" w:rsidRPr="00B83AD3">
        <w:rPr>
          <w:rFonts w:cs="Times New Roman"/>
        </w:rPr>
        <w:t xml:space="preserve">EKA </w:t>
      </w:r>
      <w:r w:rsidR="00796453" w:rsidRPr="00B83AD3">
        <w:rPr>
          <w:rFonts w:cs="Times New Roman"/>
        </w:rPr>
        <w:t>i</w:t>
      </w:r>
      <w:r w:rsidR="00FC1431" w:rsidRPr="00B83AD3">
        <w:rPr>
          <w:rFonts w:cs="Times New Roman"/>
        </w:rPr>
        <w:t>zvēles programmās, kas ir EKA funkcionēšanas pamatā</w:t>
      </w:r>
      <w:r w:rsidR="00E1537F" w:rsidRPr="00B83AD3">
        <w:rPr>
          <w:rFonts w:cs="Times New Roman"/>
        </w:rPr>
        <w:t xml:space="preserve"> un kurās tiek īste</w:t>
      </w:r>
      <w:r w:rsidR="00A11073" w:rsidRPr="00B83AD3">
        <w:rPr>
          <w:rFonts w:cs="Times New Roman"/>
        </w:rPr>
        <w:t>nota</w:t>
      </w:r>
      <w:r w:rsidR="005219E2" w:rsidRPr="00B83AD3">
        <w:rPr>
          <w:rFonts w:cs="Times New Roman"/>
        </w:rPr>
        <w:t>s</w:t>
      </w:r>
      <w:r w:rsidR="00A11073" w:rsidRPr="00B83AD3">
        <w:rPr>
          <w:rFonts w:cs="Times New Roman"/>
        </w:rPr>
        <w:t xml:space="preserve"> visas </w:t>
      </w:r>
      <w:r w:rsidR="00EF5157" w:rsidRPr="00B83AD3">
        <w:rPr>
          <w:rFonts w:cs="Times New Roman"/>
        </w:rPr>
        <w:t>EKA tehnoloģiju misijas. Katrai</w:t>
      </w:r>
      <w:r w:rsidR="00A11073" w:rsidRPr="00B83AD3">
        <w:rPr>
          <w:rFonts w:cs="Times New Roman"/>
        </w:rPr>
        <w:t xml:space="preserve"> </w:t>
      </w:r>
      <w:r w:rsidR="00EF5157" w:rsidRPr="00B83AD3">
        <w:rPr>
          <w:rFonts w:cs="Times New Roman"/>
        </w:rPr>
        <w:t xml:space="preserve">EKA </w:t>
      </w:r>
      <w:r w:rsidR="00796453" w:rsidRPr="00B83AD3">
        <w:rPr>
          <w:rFonts w:cs="Times New Roman"/>
        </w:rPr>
        <w:t>i</w:t>
      </w:r>
      <w:r w:rsidR="00EF5157" w:rsidRPr="00B83AD3">
        <w:rPr>
          <w:rFonts w:cs="Times New Roman"/>
        </w:rPr>
        <w:t>zvēles programmai ir savi mērķi, noteikumi un EKA dalībvalstis</w:t>
      </w:r>
      <w:r w:rsidR="00A11073" w:rsidRPr="00B83AD3">
        <w:rPr>
          <w:rFonts w:cs="Times New Roman"/>
        </w:rPr>
        <w:t xml:space="preserve"> un asociētā</w:t>
      </w:r>
      <w:r w:rsidR="00EF5157" w:rsidRPr="00B83AD3">
        <w:rPr>
          <w:rFonts w:cs="Times New Roman"/>
        </w:rPr>
        <w:t>s valstis</w:t>
      </w:r>
      <w:r w:rsidR="00A11073" w:rsidRPr="00B83AD3">
        <w:rPr>
          <w:rFonts w:cs="Times New Roman"/>
        </w:rPr>
        <w:t xml:space="preserve"> var piedalīties jebkurā EKA </w:t>
      </w:r>
      <w:r w:rsidR="00796453" w:rsidRPr="00B83AD3">
        <w:rPr>
          <w:rFonts w:cs="Times New Roman"/>
        </w:rPr>
        <w:t>i</w:t>
      </w:r>
      <w:r w:rsidR="00A11073" w:rsidRPr="00B83AD3">
        <w:rPr>
          <w:rFonts w:cs="Times New Roman"/>
        </w:rPr>
        <w:t>zvēles programmā</w:t>
      </w:r>
      <w:r w:rsidR="00A543D0" w:rsidRPr="00B83AD3">
        <w:rPr>
          <w:rFonts w:cs="Times New Roman"/>
        </w:rPr>
        <w:t>,</w:t>
      </w:r>
      <w:r w:rsidR="00A11073" w:rsidRPr="00B83AD3">
        <w:rPr>
          <w:rFonts w:cs="Times New Roman"/>
        </w:rPr>
        <w:t xml:space="preserve"> attie</w:t>
      </w:r>
      <w:r w:rsidR="00EF5157" w:rsidRPr="00B83AD3">
        <w:rPr>
          <w:rFonts w:cs="Times New Roman"/>
        </w:rPr>
        <w:t>cīgi ieguldot tajā finansējumu.</w:t>
      </w:r>
      <w:r w:rsidR="00A11073" w:rsidRPr="00B83AD3">
        <w:rPr>
          <w:rFonts w:cs="Times New Roman"/>
        </w:rPr>
        <w:t xml:space="preserve"> </w:t>
      </w:r>
      <w:r w:rsidR="005219E2" w:rsidRPr="00B83AD3">
        <w:rPr>
          <w:rFonts w:cs="Times New Roman"/>
        </w:rPr>
        <w:t xml:space="preserve">Kopējie EKA </w:t>
      </w:r>
      <w:r w:rsidR="00796453" w:rsidRPr="00B83AD3">
        <w:rPr>
          <w:rFonts w:cs="Times New Roman"/>
        </w:rPr>
        <w:t>i</w:t>
      </w:r>
      <w:r w:rsidR="005219E2" w:rsidRPr="00B83AD3">
        <w:rPr>
          <w:rFonts w:cs="Times New Roman"/>
        </w:rPr>
        <w:t>zvēles programmu mērķi ir sekmēt Eiropas industrijas konkurētspēju un inovācijas, radot jaunus produktus</w:t>
      </w:r>
      <w:r w:rsidR="006D2B2E" w:rsidRPr="00B83AD3">
        <w:rPr>
          <w:rFonts w:cs="Times New Roman"/>
        </w:rPr>
        <w:t>,</w:t>
      </w:r>
      <w:r w:rsidR="005219E2" w:rsidRPr="00B83AD3">
        <w:rPr>
          <w:rFonts w:cs="Times New Roman"/>
        </w:rPr>
        <w:t xml:space="preserve"> un uzlabot Eiropas tehnoloģisko neatkarību un pieeju kritiskajām tehnoloģijām, kā arī veicināt tehnoloģiju izplatību ārpus kosmosa sektora.</w:t>
      </w:r>
    </w:p>
    <w:p w14:paraId="665724B5" w14:textId="77777777" w:rsidR="005A235B" w:rsidRPr="00B83AD3" w:rsidRDefault="00650D16" w:rsidP="004C4E90">
      <w:pPr>
        <w:rPr>
          <w:rFonts w:cs="Times New Roman"/>
        </w:rPr>
      </w:pPr>
      <w:r w:rsidRPr="00B83AD3">
        <w:rPr>
          <w:rFonts w:cs="Times New Roman"/>
        </w:rPr>
        <w:tab/>
        <w:t xml:space="preserve">Izvērtējot Latvijas industrijas </w:t>
      </w:r>
      <w:r w:rsidR="002A7D92" w:rsidRPr="00B83AD3">
        <w:rPr>
          <w:rFonts w:cs="Times New Roman"/>
        </w:rPr>
        <w:t xml:space="preserve">kompetences </w:t>
      </w:r>
      <w:r w:rsidRPr="00B83AD3">
        <w:rPr>
          <w:rFonts w:cs="Times New Roman"/>
        </w:rPr>
        <w:t>piedalīties EKA izvēlēs programmās</w:t>
      </w:r>
      <w:r w:rsidR="002A7D92" w:rsidRPr="00B83AD3">
        <w:rPr>
          <w:rFonts w:cs="Times New Roman"/>
        </w:rPr>
        <w:t>, atbilstoši EKA un neatkarīgo ekspertu rekomendācijām</w:t>
      </w:r>
      <w:r w:rsidR="00BF5CD0" w:rsidRPr="00B83AD3">
        <w:rPr>
          <w:rFonts w:cs="Times New Roman"/>
        </w:rPr>
        <w:t>,</w:t>
      </w:r>
      <w:r w:rsidR="002A7D92" w:rsidRPr="00B83AD3">
        <w:rPr>
          <w:rFonts w:cs="Times New Roman"/>
        </w:rPr>
        <w:t xml:space="preserve"> Latvijai šobrīd ir vislabākās iespējas</w:t>
      </w:r>
      <w:r w:rsidR="00774BBE" w:rsidRPr="00B83AD3">
        <w:rPr>
          <w:rFonts w:cs="Times New Roman"/>
        </w:rPr>
        <w:t xml:space="preserve"> un </w:t>
      </w:r>
      <w:r w:rsidR="006D2B2E" w:rsidRPr="00B83AD3">
        <w:rPr>
          <w:rFonts w:cs="Times New Roman"/>
        </w:rPr>
        <w:t xml:space="preserve">augstākais </w:t>
      </w:r>
      <w:r w:rsidR="00774BBE" w:rsidRPr="00B83AD3">
        <w:rPr>
          <w:rFonts w:cs="Times New Roman"/>
        </w:rPr>
        <w:t>potenciāls</w:t>
      </w:r>
      <w:r w:rsidR="002A7D92" w:rsidRPr="00B83AD3">
        <w:rPr>
          <w:rFonts w:cs="Times New Roman"/>
        </w:rPr>
        <w:t xml:space="preserve"> piedalīties divās izvēles programmās </w:t>
      </w:r>
      <w:r w:rsidR="00A543D0" w:rsidRPr="00B83AD3">
        <w:rPr>
          <w:rFonts w:cs="Times New Roman"/>
        </w:rPr>
        <w:t>–</w:t>
      </w:r>
      <w:r w:rsidR="002A7D92" w:rsidRPr="00B83AD3">
        <w:rPr>
          <w:rFonts w:cs="Times New Roman"/>
        </w:rPr>
        <w:t xml:space="preserve"> Galvenā tehnoloģiju atbalsta programma (</w:t>
      </w:r>
      <w:proofErr w:type="spellStart"/>
      <w:r w:rsidR="002A7D92" w:rsidRPr="00B83AD3">
        <w:rPr>
          <w:rFonts w:cs="Times New Roman"/>
          <w:i/>
        </w:rPr>
        <w:t>General</w:t>
      </w:r>
      <w:proofErr w:type="spellEnd"/>
      <w:r w:rsidR="002A7D92" w:rsidRPr="00B83AD3">
        <w:rPr>
          <w:rFonts w:cs="Times New Roman"/>
          <w:i/>
        </w:rPr>
        <w:t xml:space="preserve"> </w:t>
      </w:r>
      <w:proofErr w:type="spellStart"/>
      <w:r w:rsidR="002A7D92" w:rsidRPr="00B83AD3">
        <w:rPr>
          <w:rFonts w:cs="Times New Roman"/>
          <w:i/>
        </w:rPr>
        <w:t>Support</w:t>
      </w:r>
      <w:proofErr w:type="spellEnd"/>
      <w:r w:rsidR="002A7D92" w:rsidRPr="00B83AD3">
        <w:rPr>
          <w:rFonts w:cs="Times New Roman"/>
          <w:i/>
        </w:rPr>
        <w:t xml:space="preserve"> </w:t>
      </w:r>
      <w:proofErr w:type="spellStart"/>
      <w:r w:rsidR="002A7D92" w:rsidRPr="00B83AD3">
        <w:rPr>
          <w:rFonts w:cs="Times New Roman"/>
          <w:i/>
        </w:rPr>
        <w:t>Technology</w:t>
      </w:r>
      <w:proofErr w:type="spellEnd"/>
      <w:r w:rsidR="002A7D92" w:rsidRPr="00B83AD3">
        <w:rPr>
          <w:rFonts w:cs="Times New Roman"/>
          <w:i/>
        </w:rPr>
        <w:t xml:space="preserve"> </w:t>
      </w:r>
      <w:proofErr w:type="spellStart"/>
      <w:r w:rsidR="002A7D92" w:rsidRPr="00B83AD3">
        <w:rPr>
          <w:rFonts w:cs="Times New Roman"/>
          <w:i/>
        </w:rPr>
        <w:t>Programme</w:t>
      </w:r>
      <w:proofErr w:type="spellEnd"/>
      <w:r w:rsidR="002A7D92" w:rsidRPr="00B83AD3">
        <w:rPr>
          <w:rFonts w:cs="Times New Roman"/>
          <w:i/>
        </w:rPr>
        <w:t xml:space="preserve"> – GSTP</w:t>
      </w:r>
      <w:r w:rsidR="001C71DE" w:rsidRPr="00B83AD3">
        <w:rPr>
          <w:rStyle w:val="FootnoteReference"/>
          <w:rFonts w:cs="Times New Roman"/>
          <w:i/>
        </w:rPr>
        <w:footnoteReference w:id="16"/>
      </w:r>
      <w:r w:rsidR="002A7D92" w:rsidRPr="00B83AD3">
        <w:rPr>
          <w:rFonts w:cs="Times New Roman"/>
        </w:rPr>
        <w:t>) un Zemes novērošanas programmā</w:t>
      </w:r>
      <w:r w:rsidR="00774BBE" w:rsidRPr="00B83AD3">
        <w:rPr>
          <w:rFonts w:cs="Times New Roman"/>
        </w:rPr>
        <w:t xml:space="preserve"> (</w:t>
      </w:r>
      <w:proofErr w:type="spellStart"/>
      <w:r w:rsidR="00774BBE" w:rsidRPr="00B83AD3">
        <w:rPr>
          <w:rFonts w:cs="Times New Roman"/>
          <w:i/>
        </w:rPr>
        <w:t>Earth</w:t>
      </w:r>
      <w:proofErr w:type="spellEnd"/>
      <w:r w:rsidR="00774BBE" w:rsidRPr="00B83AD3">
        <w:rPr>
          <w:rFonts w:cs="Times New Roman"/>
          <w:i/>
        </w:rPr>
        <w:t xml:space="preserve"> </w:t>
      </w:r>
      <w:proofErr w:type="spellStart"/>
      <w:r w:rsidR="00774BBE" w:rsidRPr="00B83AD3">
        <w:rPr>
          <w:rFonts w:cs="Times New Roman"/>
          <w:i/>
        </w:rPr>
        <w:t>Observation</w:t>
      </w:r>
      <w:proofErr w:type="spellEnd"/>
      <w:r w:rsidR="00774BBE" w:rsidRPr="00B83AD3">
        <w:rPr>
          <w:rFonts w:cs="Times New Roman"/>
          <w:i/>
        </w:rPr>
        <w:t xml:space="preserve"> </w:t>
      </w:r>
      <w:proofErr w:type="spellStart"/>
      <w:r w:rsidR="00774BBE" w:rsidRPr="00B83AD3">
        <w:rPr>
          <w:rFonts w:cs="Times New Roman"/>
          <w:i/>
        </w:rPr>
        <w:t>Envelope</w:t>
      </w:r>
      <w:proofErr w:type="spellEnd"/>
      <w:r w:rsidR="00774BBE" w:rsidRPr="00B83AD3">
        <w:rPr>
          <w:rFonts w:cs="Times New Roman"/>
          <w:i/>
        </w:rPr>
        <w:t xml:space="preserve"> </w:t>
      </w:r>
      <w:proofErr w:type="spellStart"/>
      <w:r w:rsidR="00774BBE" w:rsidRPr="00B83AD3">
        <w:rPr>
          <w:rFonts w:cs="Times New Roman"/>
          <w:i/>
        </w:rPr>
        <w:t>Programme</w:t>
      </w:r>
      <w:proofErr w:type="spellEnd"/>
      <w:r w:rsidR="00774BBE" w:rsidRPr="00B83AD3">
        <w:rPr>
          <w:rFonts w:cs="Times New Roman"/>
          <w:i/>
        </w:rPr>
        <w:t xml:space="preserve"> </w:t>
      </w:r>
      <w:r w:rsidR="00A543D0" w:rsidRPr="00B83AD3">
        <w:rPr>
          <w:rFonts w:cs="Times New Roman"/>
          <w:i/>
        </w:rPr>
        <w:t>–</w:t>
      </w:r>
      <w:r w:rsidR="00774BBE" w:rsidRPr="00B83AD3">
        <w:rPr>
          <w:rFonts w:cs="Times New Roman"/>
          <w:i/>
        </w:rPr>
        <w:t xml:space="preserve"> EOEP</w:t>
      </w:r>
      <w:r w:rsidR="00774BBE" w:rsidRPr="00B83AD3">
        <w:rPr>
          <w:rFonts w:cs="Times New Roman"/>
        </w:rPr>
        <w:t>)</w:t>
      </w:r>
      <w:r w:rsidR="002A7D92" w:rsidRPr="00B83AD3">
        <w:rPr>
          <w:rFonts w:cs="Times New Roman"/>
        </w:rPr>
        <w:t xml:space="preserve">. </w:t>
      </w:r>
      <w:r w:rsidR="00774BBE" w:rsidRPr="00B83AD3">
        <w:rPr>
          <w:rFonts w:cs="Times New Roman"/>
        </w:rPr>
        <w:t>Šajās programmās Latvijas industrija varētu piedāvāt atbilstošu kritisko masu, lai nodrošinātu ieguldīto investīciju atdevi. Vienlaikus</w:t>
      </w:r>
      <w:r w:rsidR="004C4E90" w:rsidRPr="00B83AD3">
        <w:rPr>
          <w:rFonts w:cs="Times New Roman"/>
        </w:rPr>
        <w:t>,</w:t>
      </w:r>
      <w:r w:rsidR="00774BBE" w:rsidRPr="00B83AD3">
        <w:rPr>
          <w:rFonts w:cs="Times New Roman"/>
        </w:rPr>
        <w:t xml:space="preserve"> redzeslok</w:t>
      </w:r>
      <w:r w:rsidR="00840787" w:rsidRPr="00B83AD3">
        <w:rPr>
          <w:rFonts w:cs="Times New Roman"/>
        </w:rPr>
        <w:t>ā</w:t>
      </w:r>
      <w:r w:rsidR="00774BBE" w:rsidRPr="00B83AD3">
        <w:rPr>
          <w:rFonts w:cs="Times New Roman"/>
        </w:rPr>
        <w:t xml:space="preserve"> </w:t>
      </w:r>
      <w:r w:rsidR="00147490" w:rsidRPr="00B83AD3">
        <w:rPr>
          <w:rFonts w:cs="Times New Roman"/>
        </w:rPr>
        <w:t>jāpatur vairākas</w:t>
      </w:r>
      <w:r w:rsidR="00F11160" w:rsidRPr="00B83AD3">
        <w:rPr>
          <w:rFonts w:cs="Times New Roman"/>
        </w:rPr>
        <w:t xml:space="preserve"> citas EKA izvēles programmas</w:t>
      </w:r>
      <w:r w:rsidR="006D2B2E" w:rsidRPr="00B83AD3">
        <w:rPr>
          <w:rFonts w:cs="Times New Roman"/>
        </w:rPr>
        <w:t>, piemēram,</w:t>
      </w:r>
      <w:r w:rsidR="00147490" w:rsidRPr="00B83AD3">
        <w:rPr>
          <w:rFonts w:cs="Times New Roman"/>
        </w:rPr>
        <w:t xml:space="preserve"> Industriālās attīstības un zinātnisko eksperimentu programma – (</w:t>
      </w:r>
      <w:proofErr w:type="spellStart"/>
      <w:r w:rsidR="00147490" w:rsidRPr="00B83AD3">
        <w:rPr>
          <w:rFonts w:cs="Times New Roman"/>
          <w:i/>
        </w:rPr>
        <w:t>PROgramme</w:t>
      </w:r>
      <w:proofErr w:type="spellEnd"/>
      <w:r w:rsidR="00147490" w:rsidRPr="00B83AD3">
        <w:rPr>
          <w:rFonts w:cs="Times New Roman"/>
          <w:i/>
        </w:rPr>
        <w:t xml:space="preserve"> </w:t>
      </w:r>
      <w:proofErr w:type="spellStart"/>
      <w:r w:rsidR="00147490" w:rsidRPr="00B83AD3">
        <w:rPr>
          <w:rFonts w:cs="Times New Roman"/>
          <w:i/>
        </w:rPr>
        <w:t>de</w:t>
      </w:r>
      <w:proofErr w:type="spellEnd"/>
      <w:r w:rsidR="00147490" w:rsidRPr="00B83AD3">
        <w:rPr>
          <w:rFonts w:cs="Times New Roman"/>
          <w:i/>
        </w:rPr>
        <w:t xml:space="preserve"> </w:t>
      </w:r>
      <w:proofErr w:type="spellStart"/>
      <w:r w:rsidR="00147490" w:rsidRPr="00B83AD3">
        <w:rPr>
          <w:rFonts w:cs="Times New Roman"/>
          <w:i/>
        </w:rPr>
        <w:t>Développement</w:t>
      </w:r>
      <w:proofErr w:type="spellEnd"/>
      <w:r w:rsidR="00147490" w:rsidRPr="00B83AD3">
        <w:rPr>
          <w:rFonts w:cs="Times New Roman"/>
          <w:i/>
        </w:rPr>
        <w:t xml:space="preserve"> </w:t>
      </w:r>
      <w:proofErr w:type="spellStart"/>
      <w:r w:rsidR="00147490" w:rsidRPr="00B83AD3">
        <w:rPr>
          <w:rFonts w:cs="Times New Roman"/>
          <w:i/>
        </w:rPr>
        <w:t>d'Expériences</w:t>
      </w:r>
      <w:proofErr w:type="spellEnd"/>
      <w:r w:rsidR="00147490" w:rsidRPr="00B83AD3">
        <w:rPr>
          <w:rFonts w:cs="Times New Roman"/>
          <w:i/>
        </w:rPr>
        <w:t xml:space="preserve"> </w:t>
      </w:r>
      <w:proofErr w:type="spellStart"/>
      <w:r w:rsidR="00147490" w:rsidRPr="00B83AD3">
        <w:rPr>
          <w:rFonts w:cs="Times New Roman"/>
          <w:i/>
        </w:rPr>
        <w:t>scientifiques</w:t>
      </w:r>
      <w:proofErr w:type="spellEnd"/>
      <w:r w:rsidR="00147490" w:rsidRPr="00B83AD3">
        <w:rPr>
          <w:rFonts w:cs="Times New Roman"/>
          <w:i/>
        </w:rPr>
        <w:t xml:space="preserve"> </w:t>
      </w:r>
      <w:r w:rsidR="00A543D0" w:rsidRPr="00B83AD3">
        <w:rPr>
          <w:rFonts w:cs="Times New Roman"/>
          <w:i/>
        </w:rPr>
        <w:t>–</w:t>
      </w:r>
      <w:r w:rsidR="00147490" w:rsidRPr="00B83AD3">
        <w:rPr>
          <w:rFonts w:cs="Times New Roman"/>
          <w:i/>
        </w:rPr>
        <w:t xml:space="preserve"> PRODEX</w:t>
      </w:r>
      <w:r w:rsidR="00147490" w:rsidRPr="00B83AD3">
        <w:rPr>
          <w:rFonts w:cs="Times New Roman"/>
        </w:rPr>
        <w:t>), izvēles programma par kosmosa situācijas apzināšanu (</w:t>
      </w:r>
      <w:proofErr w:type="spellStart"/>
      <w:r w:rsidR="00147490" w:rsidRPr="00B83AD3">
        <w:rPr>
          <w:rFonts w:cs="Times New Roman"/>
          <w:i/>
        </w:rPr>
        <w:t>Space</w:t>
      </w:r>
      <w:proofErr w:type="spellEnd"/>
      <w:r w:rsidR="00147490" w:rsidRPr="00B83AD3">
        <w:rPr>
          <w:rFonts w:cs="Times New Roman"/>
          <w:i/>
        </w:rPr>
        <w:t xml:space="preserve"> </w:t>
      </w:r>
      <w:proofErr w:type="spellStart"/>
      <w:r w:rsidR="00147490" w:rsidRPr="00B83AD3">
        <w:rPr>
          <w:rFonts w:cs="Times New Roman"/>
          <w:i/>
        </w:rPr>
        <w:t>Situational</w:t>
      </w:r>
      <w:proofErr w:type="spellEnd"/>
      <w:r w:rsidR="00147490" w:rsidRPr="00B83AD3">
        <w:rPr>
          <w:rFonts w:cs="Times New Roman"/>
          <w:i/>
        </w:rPr>
        <w:t xml:space="preserve"> </w:t>
      </w:r>
      <w:proofErr w:type="spellStart"/>
      <w:r w:rsidR="00147490" w:rsidRPr="00B83AD3">
        <w:rPr>
          <w:rFonts w:cs="Times New Roman"/>
          <w:i/>
        </w:rPr>
        <w:t>Awareness</w:t>
      </w:r>
      <w:proofErr w:type="spellEnd"/>
      <w:r w:rsidR="00147490" w:rsidRPr="00B83AD3">
        <w:rPr>
          <w:rFonts w:cs="Times New Roman"/>
          <w:i/>
        </w:rPr>
        <w:t xml:space="preserve"> </w:t>
      </w:r>
      <w:proofErr w:type="spellStart"/>
      <w:r w:rsidR="00147490" w:rsidRPr="00B83AD3">
        <w:rPr>
          <w:rFonts w:cs="Times New Roman"/>
          <w:i/>
        </w:rPr>
        <w:t>Programme</w:t>
      </w:r>
      <w:proofErr w:type="spellEnd"/>
      <w:r w:rsidR="00147490" w:rsidRPr="00B83AD3">
        <w:rPr>
          <w:rFonts w:cs="Times New Roman"/>
          <w:i/>
        </w:rPr>
        <w:t xml:space="preserve"> – SSA</w:t>
      </w:r>
      <w:r w:rsidR="00147490" w:rsidRPr="00B83AD3">
        <w:rPr>
          <w:rFonts w:cs="Times New Roman"/>
        </w:rPr>
        <w:t xml:space="preserve">) un </w:t>
      </w:r>
      <w:r w:rsidR="006C691F" w:rsidRPr="00B83AD3">
        <w:rPr>
          <w:rFonts w:cs="Times New Roman"/>
        </w:rPr>
        <w:t xml:space="preserve">Eiropas </w:t>
      </w:r>
      <w:r w:rsidR="001C71DE" w:rsidRPr="00B83AD3">
        <w:rPr>
          <w:rFonts w:cs="Times New Roman"/>
        </w:rPr>
        <w:t>izpētes pamatprogramma (</w:t>
      </w:r>
      <w:proofErr w:type="spellStart"/>
      <w:r w:rsidR="001C71DE" w:rsidRPr="00B83AD3">
        <w:rPr>
          <w:rFonts w:cs="Times New Roman"/>
          <w:i/>
        </w:rPr>
        <w:t>European</w:t>
      </w:r>
      <w:proofErr w:type="spellEnd"/>
      <w:r w:rsidR="001C71DE" w:rsidRPr="00B83AD3">
        <w:rPr>
          <w:rFonts w:cs="Times New Roman"/>
          <w:i/>
        </w:rPr>
        <w:t xml:space="preserve"> </w:t>
      </w:r>
      <w:proofErr w:type="spellStart"/>
      <w:r w:rsidR="001C71DE" w:rsidRPr="00B83AD3">
        <w:rPr>
          <w:rFonts w:cs="Times New Roman"/>
          <w:i/>
        </w:rPr>
        <w:t>Exploration</w:t>
      </w:r>
      <w:proofErr w:type="spellEnd"/>
      <w:r w:rsidR="001C71DE" w:rsidRPr="00B83AD3">
        <w:rPr>
          <w:rFonts w:cs="Times New Roman"/>
          <w:i/>
        </w:rPr>
        <w:t xml:space="preserve"> </w:t>
      </w:r>
      <w:proofErr w:type="spellStart"/>
      <w:r w:rsidR="001C71DE" w:rsidRPr="00B83AD3">
        <w:rPr>
          <w:rFonts w:cs="Times New Roman"/>
          <w:i/>
        </w:rPr>
        <w:t>Envelope</w:t>
      </w:r>
      <w:proofErr w:type="spellEnd"/>
      <w:r w:rsidR="001C71DE" w:rsidRPr="00B83AD3">
        <w:rPr>
          <w:rFonts w:cs="Times New Roman"/>
          <w:i/>
        </w:rPr>
        <w:t xml:space="preserve"> </w:t>
      </w:r>
      <w:r w:rsidR="00A543D0" w:rsidRPr="00B83AD3">
        <w:rPr>
          <w:rFonts w:cs="Times New Roman"/>
          <w:i/>
        </w:rPr>
        <w:t>–</w:t>
      </w:r>
      <w:r w:rsidR="001C71DE" w:rsidRPr="00B83AD3">
        <w:rPr>
          <w:rFonts w:cs="Times New Roman"/>
          <w:i/>
        </w:rPr>
        <w:t xml:space="preserve"> E3P</w:t>
      </w:r>
      <w:r w:rsidR="001C71DE" w:rsidRPr="00B83AD3">
        <w:rPr>
          <w:rFonts w:cs="Times New Roman"/>
        </w:rPr>
        <w:t>)</w:t>
      </w:r>
      <w:r w:rsidR="00840787" w:rsidRPr="00B83AD3">
        <w:rPr>
          <w:rFonts w:cs="Times New Roman"/>
        </w:rPr>
        <w:t>, kurās Latvija</w:t>
      </w:r>
      <w:r w:rsidR="006D2B2E" w:rsidRPr="00B83AD3">
        <w:rPr>
          <w:rFonts w:cs="Times New Roman"/>
        </w:rPr>
        <w:t>s</w:t>
      </w:r>
      <w:r w:rsidR="00840787" w:rsidRPr="00B83AD3">
        <w:rPr>
          <w:rFonts w:cs="Times New Roman"/>
        </w:rPr>
        <w:t xml:space="preserve"> industrijai ir vērā ņemama ekspertīze</w:t>
      </w:r>
      <w:r w:rsidR="00373A8E" w:rsidRPr="00B83AD3">
        <w:rPr>
          <w:rFonts w:cs="Times New Roman"/>
        </w:rPr>
        <w:t xml:space="preserve"> un kurās</w:t>
      </w:r>
      <w:r w:rsidR="006D2B2E" w:rsidRPr="00B83AD3">
        <w:rPr>
          <w:rFonts w:cs="Times New Roman"/>
        </w:rPr>
        <w:t xml:space="preserve"> dalība</w:t>
      </w:r>
      <w:r w:rsidR="00373A8E" w:rsidRPr="00B83AD3">
        <w:rPr>
          <w:rFonts w:cs="Times New Roman"/>
        </w:rPr>
        <w:t xml:space="preserve"> ir </w:t>
      </w:r>
      <w:r w:rsidR="006D2B2E" w:rsidRPr="00B83AD3">
        <w:rPr>
          <w:rFonts w:cs="Times New Roman"/>
        </w:rPr>
        <w:t xml:space="preserve">apsverama </w:t>
      </w:r>
      <w:r w:rsidR="00373A8E" w:rsidRPr="00B83AD3">
        <w:rPr>
          <w:rFonts w:cs="Times New Roman"/>
        </w:rPr>
        <w:t xml:space="preserve">nākotnē. </w:t>
      </w:r>
      <w:r w:rsidR="00840787" w:rsidRPr="00B83AD3">
        <w:rPr>
          <w:rFonts w:cs="Times New Roman"/>
        </w:rPr>
        <w:t>Latvijas industrijas interes</w:t>
      </w:r>
      <w:r w:rsidR="00F11160" w:rsidRPr="00B83AD3">
        <w:rPr>
          <w:rFonts w:cs="Times New Roman"/>
        </w:rPr>
        <w:t>e</w:t>
      </w:r>
      <w:r w:rsidR="002E75B2" w:rsidRPr="00B83AD3">
        <w:rPr>
          <w:rFonts w:cs="Times New Roman"/>
        </w:rPr>
        <w:t xml:space="preserve"> un kompetences</w:t>
      </w:r>
      <w:r w:rsidR="00840787" w:rsidRPr="00B83AD3">
        <w:rPr>
          <w:rFonts w:cs="Times New Roman"/>
        </w:rPr>
        <w:t xml:space="preserve"> iesais</w:t>
      </w:r>
      <w:r w:rsidR="00BF5D9D" w:rsidRPr="00B83AD3">
        <w:rPr>
          <w:rFonts w:cs="Times New Roman"/>
        </w:rPr>
        <w:t>tīties EKA izvēles programmās</w:t>
      </w:r>
      <w:r w:rsidR="00F11160" w:rsidRPr="00B83AD3">
        <w:rPr>
          <w:rFonts w:cs="Times New Roman"/>
        </w:rPr>
        <w:t xml:space="preserve"> ir apkopotas Tabulā Nr. 7</w:t>
      </w:r>
      <w:r w:rsidR="00BF5D9D" w:rsidRPr="00B83AD3">
        <w:rPr>
          <w:rFonts w:cs="Times New Roman"/>
        </w:rPr>
        <w:t xml:space="preserve">. </w:t>
      </w:r>
    </w:p>
    <w:p w14:paraId="665724B6" w14:textId="77777777" w:rsidR="005A235B" w:rsidRPr="00B83AD3" w:rsidRDefault="00840787" w:rsidP="005A235B">
      <w:pPr>
        <w:jc w:val="right"/>
        <w:rPr>
          <w:rFonts w:cs="Times New Roman"/>
        </w:rPr>
      </w:pPr>
      <w:r w:rsidRPr="00B83AD3">
        <w:rPr>
          <w:rFonts w:cs="Times New Roman"/>
        </w:rPr>
        <w:t>Tabula</w:t>
      </w:r>
      <w:r w:rsidR="006D2B2E" w:rsidRPr="00B83AD3">
        <w:rPr>
          <w:rFonts w:cs="Times New Roman"/>
        </w:rPr>
        <w:t xml:space="preserve"> Nr.</w:t>
      </w:r>
      <w:r w:rsidRPr="00B83AD3">
        <w:rPr>
          <w:rFonts w:cs="Times New Roman"/>
        </w:rPr>
        <w:t xml:space="preserve"> 7 </w:t>
      </w:r>
    </w:p>
    <w:p w14:paraId="665724B7" w14:textId="77777777" w:rsidR="005A235B" w:rsidRPr="00B83AD3" w:rsidRDefault="005A235B" w:rsidP="00840787">
      <w:pPr>
        <w:jc w:val="center"/>
        <w:rPr>
          <w:rFonts w:cs="Times New Roman"/>
          <w:b/>
        </w:rPr>
      </w:pPr>
    </w:p>
    <w:p w14:paraId="665724B8" w14:textId="77777777" w:rsidR="00840787" w:rsidRPr="00B83AD3" w:rsidRDefault="00840787" w:rsidP="00840787">
      <w:pPr>
        <w:jc w:val="center"/>
        <w:rPr>
          <w:rFonts w:cs="Times New Roman"/>
          <w:b/>
        </w:rPr>
      </w:pPr>
      <w:r w:rsidRPr="00B83AD3">
        <w:rPr>
          <w:rFonts w:cs="Times New Roman"/>
          <w:b/>
        </w:rPr>
        <w:t>Latvijas industrija</w:t>
      </w:r>
      <w:r w:rsidR="002B0DA2" w:rsidRPr="00B83AD3">
        <w:rPr>
          <w:rFonts w:cs="Times New Roman"/>
          <w:b/>
        </w:rPr>
        <w:t xml:space="preserve">s kompetences </w:t>
      </w:r>
      <w:r w:rsidRPr="00B83AD3">
        <w:rPr>
          <w:rFonts w:cs="Times New Roman"/>
          <w:b/>
        </w:rPr>
        <w:t>EKA izvēles programmās</w:t>
      </w:r>
    </w:p>
    <w:p w14:paraId="665724B9" w14:textId="77777777" w:rsidR="00840787" w:rsidRPr="00B83AD3" w:rsidRDefault="00840787" w:rsidP="00840787">
      <w:pPr>
        <w:jc w:val="center"/>
        <w:rPr>
          <w:rFonts w:cs="Times New Roman"/>
          <w:b/>
        </w:rPr>
      </w:pPr>
    </w:p>
    <w:tbl>
      <w:tblPr>
        <w:tblStyle w:val="GridTable4-Accent4"/>
        <w:tblW w:w="9041" w:type="dxa"/>
        <w:tblLayout w:type="fixed"/>
        <w:tblLook w:val="04A0" w:firstRow="1" w:lastRow="0" w:firstColumn="1" w:lastColumn="0" w:noHBand="0" w:noVBand="1"/>
      </w:tblPr>
      <w:tblGrid>
        <w:gridCol w:w="3114"/>
        <w:gridCol w:w="931"/>
        <w:gridCol w:w="1053"/>
        <w:gridCol w:w="851"/>
        <w:gridCol w:w="1042"/>
        <w:gridCol w:w="1113"/>
        <w:gridCol w:w="937"/>
      </w:tblGrid>
      <w:tr w:rsidR="00840787" w:rsidRPr="00B83AD3" w14:paraId="665724C1" w14:textId="77777777" w:rsidTr="0030486A">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hideMark/>
          </w:tcPr>
          <w:p w14:paraId="665724BA" w14:textId="77777777" w:rsidR="00840787" w:rsidRPr="00B83AD3" w:rsidRDefault="00840787" w:rsidP="00796453">
            <w:pPr>
              <w:spacing w:line="247" w:lineRule="auto"/>
              <w:rPr>
                <w:rFonts w:eastAsia="Times New Roman" w:cs="Times New Roman"/>
                <w:color w:val="000000" w:themeColor="text1"/>
                <w:lang w:val="en-GB" w:eastAsia="et-EE"/>
              </w:rPr>
            </w:pPr>
            <w:r w:rsidRPr="00B83AD3">
              <w:rPr>
                <w:rFonts w:eastAsia="Times New Roman" w:cs="Times New Roman"/>
                <w:color w:val="000000" w:themeColor="text1"/>
                <w:lang w:val="en-GB" w:eastAsia="et-EE"/>
              </w:rPr>
              <w:t> </w:t>
            </w:r>
          </w:p>
        </w:tc>
        <w:tc>
          <w:tcPr>
            <w:tcW w:w="931" w:type="dxa"/>
            <w:tcBorders>
              <w:top w:val="single" w:sz="4" w:space="0" w:color="auto"/>
              <w:left w:val="single" w:sz="4" w:space="0" w:color="auto"/>
              <w:bottom w:val="single" w:sz="4" w:space="0" w:color="auto"/>
              <w:right w:val="single" w:sz="4" w:space="0" w:color="auto"/>
            </w:tcBorders>
            <w:noWrap/>
            <w:hideMark/>
          </w:tcPr>
          <w:p w14:paraId="665724BB" w14:textId="77777777" w:rsidR="00840787" w:rsidRPr="00B83AD3" w:rsidRDefault="00840787" w:rsidP="003274D0">
            <w:pPr>
              <w:spacing w:line="247" w:lineRule="auto"/>
              <w:ind w:left="-57" w:right="-57"/>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themeColor="text1"/>
                <w:lang w:val="en-GB" w:eastAsia="et-EE"/>
              </w:rPr>
            </w:pPr>
            <w:r w:rsidRPr="00B83AD3">
              <w:rPr>
                <w:rFonts w:eastAsia="Times New Roman" w:cs="Times New Roman"/>
                <w:color w:val="000000" w:themeColor="text1"/>
                <w:lang w:val="en-GB" w:eastAsia="et-EE"/>
              </w:rPr>
              <w:t>GSTP</w:t>
            </w:r>
          </w:p>
        </w:tc>
        <w:tc>
          <w:tcPr>
            <w:tcW w:w="1053" w:type="dxa"/>
            <w:tcBorders>
              <w:top w:val="single" w:sz="4" w:space="0" w:color="auto"/>
              <w:left w:val="single" w:sz="4" w:space="0" w:color="auto"/>
              <w:bottom w:val="single" w:sz="4" w:space="0" w:color="auto"/>
              <w:right w:val="single" w:sz="4" w:space="0" w:color="auto"/>
            </w:tcBorders>
            <w:noWrap/>
            <w:hideMark/>
          </w:tcPr>
          <w:p w14:paraId="665724BC" w14:textId="77777777" w:rsidR="00840787" w:rsidRPr="00B83AD3" w:rsidRDefault="00840787" w:rsidP="003274D0">
            <w:pPr>
              <w:spacing w:line="247" w:lineRule="auto"/>
              <w:ind w:left="-57" w:right="-57"/>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themeColor="text1"/>
                <w:lang w:val="en-GB" w:eastAsia="et-EE"/>
              </w:rPr>
            </w:pPr>
            <w:r w:rsidRPr="00B83AD3">
              <w:rPr>
                <w:rFonts w:eastAsia="Times New Roman" w:cs="Times New Roman"/>
                <w:color w:val="000000" w:themeColor="text1"/>
                <w:lang w:val="en-GB" w:eastAsia="et-EE"/>
              </w:rPr>
              <w:t>EOEP</w:t>
            </w:r>
          </w:p>
        </w:tc>
        <w:tc>
          <w:tcPr>
            <w:tcW w:w="851" w:type="dxa"/>
            <w:tcBorders>
              <w:top w:val="single" w:sz="4" w:space="0" w:color="auto"/>
              <w:left w:val="single" w:sz="4" w:space="0" w:color="auto"/>
              <w:bottom w:val="single" w:sz="4" w:space="0" w:color="auto"/>
              <w:right w:val="single" w:sz="4" w:space="0" w:color="auto"/>
            </w:tcBorders>
            <w:noWrap/>
            <w:hideMark/>
          </w:tcPr>
          <w:p w14:paraId="665724BD" w14:textId="77777777" w:rsidR="00840787" w:rsidRPr="00B83AD3" w:rsidRDefault="00840787" w:rsidP="003274D0">
            <w:pPr>
              <w:spacing w:line="247" w:lineRule="auto"/>
              <w:ind w:left="-57" w:right="-57"/>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themeColor="text1"/>
                <w:lang w:val="en-GB" w:eastAsia="et-EE"/>
              </w:rPr>
            </w:pPr>
            <w:r w:rsidRPr="00B83AD3">
              <w:rPr>
                <w:rFonts w:eastAsia="Times New Roman" w:cs="Times New Roman"/>
                <w:color w:val="000000" w:themeColor="text1"/>
                <w:lang w:val="en-GB" w:eastAsia="et-EE"/>
              </w:rPr>
              <w:t>SSA</w:t>
            </w:r>
          </w:p>
        </w:tc>
        <w:tc>
          <w:tcPr>
            <w:tcW w:w="1042" w:type="dxa"/>
            <w:tcBorders>
              <w:top w:val="single" w:sz="4" w:space="0" w:color="auto"/>
              <w:left w:val="single" w:sz="4" w:space="0" w:color="auto"/>
              <w:bottom w:val="single" w:sz="4" w:space="0" w:color="auto"/>
              <w:right w:val="single" w:sz="4" w:space="0" w:color="auto"/>
            </w:tcBorders>
            <w:noWrap/>
            <w:hideMark/>
          </w:tcPr>
          <w:p w14:paraId="665724BE" w14:textId="77777777" w:rsidR="00840787" w:rsidRPr="00B83AD3" w:rsidRDefault="00840787" w:rsidP="003274D0">
            <w:pPr>
              <w:spacing w:line="247" w:lineRule="auto"/>
              <w:ind w:left="-57" w:right="-57"/>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themeColor="text1"/>
                <w:lang w:val="en-GB" w:eastAsia="et-EE"/>
              </w:rPr>
            </w:pPr>
            <w:r w:rsidRPr="00B83AD3">
              <w:rPr>
                <w:rFonts w:eastAsia="Times New Roman" w:cs="Times New Roman"/>
                <w:color w:val="000000" w:themeColor="text1"/>
                <w:lang w:val="en-GB" w:eastAsia="et-EE"/>
              </w:rPr>
              <w:t>FLPP</w:t>
            </w:r>
            <w:r w:rsidRPr="00B83AD3">
              <w:rPr>
                <w:rStyle w:val="FootnoteReference"/>
                <w:rFonts w:eastAsia="Times New Roman" w:cs="Times New Roman"/>
                <w:color w:val="000000" w:themeColor="text1"/>
                <w:lang w:val="en-GB" w:eastAsia="et-EE"/>
              </w:rPr>
              <w:footnoteReference w:id="17"/>
            </w:r>
          </w:p>
        </w:tc>
        <w:tc>
          <w:tcPr>
            <w:tcW w:w="1113" w:type="dxa"/>
            <w:tcBorders>
              <w:top w:val="single" w:sz="4" w:space="0" w:color="auto"/>
              <w:left w:val="single" w:sz="4" w:space="0" w:color="auto"/>
              <w:bottom w:val="single" w:sz="4" w:space="0" w:color="auto"/>
              <w:right w:val="single" w:sz="4" w:space="0" w:color="auto"/>
            </w:tcBorders>
            <w:noWrap/>
            <w:hideMark/>
          </w:tcPr>
          <w:p w14:paraId="665724BF" w14:textId="77777777" w:rsidR="00840787" w:rsidRPr="00B83AD3" w:rsidRDefault="00840787" w:rsidP="003274D0">
            <w:pPr>
              <w:spacing w:line="247" w:lineRule="auto"/>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themeColor="text1"/>
                <w:lang w:val="en-GB" w:eastAsia="et-EE"/>
              </w:rPr>
            </w:pPr>
            <w:r w:rsidRPr="00B83AD3">
              <w:rPr>
                <w:rFonts w:eastAsia="Times New Roman" w:cs="Times New Roman"/>
                <w:color w:val="000000" w:themeColor="text1"/>
                <w:lang w:val="en-GB" w:eastAsia="et-EE"/>
              </w:rPr>
              <w:t>PRODEX</w:t>
            </w:r>
          </w:p>
        </w:tc>
        <w:tc>
          <w:tcPr>
            <w:tcW w:w="937" w:type="dxa"/>
            <w:tcBorders>
              <w:top w:val="single" w:sz="4" w:space="0" w:color="auto"/>
              <w:left w:val="single" w:sz="4" w:space="0" w:color="auto"/>
              <w:bottom w:val="single" w:sz="4" w:space="0" w:color="auto"/>
              <w:right w:val="single" w:sz="4" w:space="0" w:color="auto"/>
            </w:tcBorders>
          </w:tcPr>
          <w:p w14:paraId="665724C0" w14:textId="77777777" w:rsidR="00840787" w:rsidRPr="00B83AD3" w:rsidRDefault="00840787" w:rsidP="003274D0">
            <w:pPr>
              <w:spacing w:line="247" w:lineRule="auto"/>
              <w:ind w:left="-57" w:right="-57"/>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themeColor="text1"/>
                <w:lang w:val="en-GB" w:eastAsia="et-EE"/>
              </w:rPr>
            </w:pPr>
            <w:r w:rsidRPr="00B83AD3">
              <w:rPr>
                <w:rFonts w:eastAsia="Times New Roman" w:cs="Times New Roman"/>
                <w:color w:val="000000" w:themeColor="text1"/>
                <w:lang w:val="en-GB" w:eastAsia="et-EE"/>
              </w:rPr>
              <w:t>E3P</w:t>
            </w:r>
          </w:p>
        </w:tc>
      </w:tr>
      <w:tr w:rsidR="00840787" w:rsidRPr="00B83AD3" w14:paraId="665724C9" w14:textId="77777777" w:rsidTr="0030486A">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tcBorders>
            <w:hideMark/>
          </w:tcPr>
          <w:p w14:paraId="665724C2" w14:textId="77777777" w:rsidR="00840787" w:rsidRPr="00B83AD3" w:rsidRDefault="00840787" w:rsidP="00796453">
            <w:pPr>
              <w:spacing w:line="247" w:lineRule="auto"/>
              <w:rPr>
                <w:rFonts w:eastAsia="Times New Roman" w:cs="Times New Roman"/>
                <w:b w:val="0"/>
                <w:bCs w:val="0"/>
                <w:color w:val="000000"/>
                <w:sz w:val="22"/>
                <w:lang w:eastAsia="et-EE"/>
              </w:rPr>
            </w:pPr>
            <w:r w:rsidRPr="00B83AD3">
              <w:rPr>
                <w:rFonts w:eastAsia="Times New Roman" w:cs="Times New Roman"/>
                <w:color w:val="000000"/>
                <w:sz w:val="22"/>
                <w:lang w:eastAsia="et-EE"/>
              </w:rPr>
              <w:t xml:space="preserve">Vides </w:t>
            </w:r>
            <w:r w:rsidR="00A543D0" w:rsidRPr="00B83AD3">
              <w:rPr>
                <w:rFonts w:eastAsia="Times New Roman" w:cs="Times New Roman"/>
                <w:color w:val="000000"/>
                <w:sz w:val="22"/>
                <w:lang w:eastAsia="et-EE"/>
              </w:rPr>
              <w:t xml:space="preserve">risinājumu </w:t>
            </w:r>
            <w:r w:rsidRPr="00B83AD3">
              <w:rPr>
                <w:rFonts w:eastAsia="Times New Roman" w:cs="Times New Roman"/>
                <w:color w:val="000000"/>
                <w:sz w:val="22"/>
                <w:lang w:eastAsia="et-EE"/>
              </w:rPr>
              <w:t>institūts</w:t>
            </w:r>
          </w:p>
        </w:tc>
        <w:tc>
          <w:tcPr>
            <w:tcW w:w="931" w:type="dxa"/>
            <w:tcBorders>
              <w:top w:val="single" w:sz="4" w:space="0" w:color="auto"/>
            </w:tcBorders>
            <w:noWrap/>
            <w:hideMark/>
          </w:tcPr>
          <w:p w14:paraId="665724C3" w14:textId="77777777" w:rsidR="00840787" w:rsidRPr="00B83AD3" w:rsidRDefault="002E75B2" w:rsidP="00796453">
            <w:pPr>
              <w:spacing w:line="247"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t-EE"/>
              </w:rPr>
            </w:pPr>
            <w:r w:rsidRPr="00B83AD3">
              <w:rPr>
                <w:rFonts w:eastAsia="Times New Roman" w:cs="Times New Roman"/>
                <w:noProof/>
                <w:color w:val="000000"/>
                <w:sz w:val="20"/>
                <w:szCs w:val="20"/>
                <w:lang w:eastAsia="lv-LV"/>
              </w:rPr>
              <w:drawing>
                <wp:anchor distT="0" distB="0" distL="114300" distR="114300" simplePos="0" relativeHeight="251677696" behindDoc="0" locked="0" layoutInCell="1" allowOverlap="1" wp14:anchorId="6657256D" wp14:editId="6657256E">
                  <wp:simplePos x="0" y="0"/>
                  <wp:positionH relativeFrom="column">
                    <wp:posOffset>112395</wp:posOffset>
                  </wp:positionH>
                  <wp:positionV relativeFrom="paragraph">
                    <wp:posOffset>-12065</wp:posOffset>
                  </wp:positionV>
                  <wp:extent cx="222250" cy="215900"/>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250" cy="215900"/>
                          </a:xfrm>
                          <a:prstGeom prst="rect">
                            <a:avLst/>
                          </a:prstGeom>
                        </pic:spPr>
                      </pic:pic>
                    </a:graphicData>
                  </a:graphic>
                  <wp14:sizeRelH relativeFrom="page">
                    <wp14:pctWidth>0</wp14:pctWidth>
                  </wp14:sizeRelH>
                  <wp14:sizeRelV relativeFrom="page">
                    <wp14:pctHeight>0</wp14:pctHeight>
                  </wp14:sizeRelV>
                </wp:anchor>
              </w:drawing>
            </w:r>
            <w:r w:rsidR="00840787" w:rsidRPr="00B83AD3">
              <w:rPr>
                <w:rFonts w:eastAsia="Times New Roman" w:cs="Times New Roman"/>
                <w:color w:val="000000"/>
                <w:sz w:val="20"/>
                <w:szCs w:val="20"/>
                <w:lang w:val="en-GB" w:eastAsia="et-EE"/>
              </w:rPr>
              <w:t> </w:t>
            </w:r>
          </w:p>
        </w:tc>
        <w:tc>
          <w:tcPr>
            <w:tcW w:w="1053" w:type="dxa"/>
            <w:tcBorders>
              <w:top w:val="single" w:sz="4" w:space="0" w:color="auto"/>
            </w:tcBorders>
            <w:noWrap/>
            <w:hideMark/>
          </w:tcPr>
          <w:p w14:paraId="665724C4" w14:textId="77777777" w:rsidR="00840787" w:rsidRPr="00B83AD3" w:rsidRDefault="00840787" w:rsidP="00796453">
            <w:pPr>
              <w:spacing w:line="247"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t-EE"/>
              </w:rPr>
            </w:pPr>
            <w:r w:rsidRPr="00B83AD3">
              <w:rPr>
                <w:rFonts w:eastAsia="Times New Roman" w:cs="Times New Roman"/>
                <w:noProof/>
                <w:color w:val="000000"/>
                <w:sz w:val="20"/>
                <w:szCs w:val="20"/>
                <w:lang w:eastAsia="lv-LV"/>
              </w:rPr>
              <w:drawing>
                <wp:anchor distT="0" distB="0" distL="114300" distR="114300" simplePos="0" relativeHeight="251671552" behindDoc="0" locked="0" layoutInCell="1" allowOverlap="1" wp14:anchorId="6657256F" wp14:editId="66572570">
                  <wp:simplePos x="0" y="0"/>
                  <wp:positionH relativeFrom="column">
                    <wp:posOffset>123825</wp:posOffset>
                  </wp:positionH>
                  <wp:positionV relativeFrom="paragraph">
                    <wp:posOffset>14605</wp:posOffset>
                  </wp:positionV>
                  <wp:extent cx="215900" cy="21590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14:sizeRelH relativeFrom="page">
                    <wp14:pctWidth>0</wp14:pctWidth>
                  </wp14:sizeRelH>
                  <wp14:sizeRelV relativeFrom="page">
                    <wp14:pctHeight>0</wp14:pctHeight>
                  </wp14:sizeRelV>
                </wp:anchor>
              </w:drawing>
            </w:r>
          </w:p>
        </w:tc>
        <w:tc>
          <w:tcPr>
            <w:tcW w:w="851" w:type="dxa"/>
            <w:tcBorders>
              <w:top w:val="single" w:sz="4" w:space="0" w:color="auto"/>
            </w:tcBorders>
            <w:noWrap/>
            <w:hideMark/>
          </w:tcPr>
          <w:p w14:paraId="665724C5" w14:textId="77777777" w:rsidR="00840787" w:rsidRPr="00B83AD3" w:rsidRDefault="00840787" w:rsidP="00796453">
            <w:pPr>
              <w:spacing w:line="247"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t-EE"/>
              </w:rPr>
            </w:pPr>
            <w:r w:rsidRPr="00B83AD3">
              <w:rPr>
                <w:rFonts w:eastAsia="Times New Roman" w:cs="Times New Roman"/>
                <w:color w:val="000000"/>
                <w:sz w:val="20"/>
                <w:szCs w:val="20"/>
                <w:lang w:val="en-GB" w:eastAsia="et-EE"/>
              </w:rPr>
              <w:t> </w:t>
            </w:r>
          </w:p>
        </w:tc>
        <w:tc>
          <w:tcPr>
            <w:tcW w:w="1042" w:type="dxa"/>
            <w:tcBorders>
              <w:top w:val="single" w:sz="4" w:space="0" w:color="auto"/>
            </w:tcBorders>
            <w:noWrap/>
            <w:hideMark/>
          </w:tcPr>
          <w:p w14:paraId="665724C6" w14:textId="77777777" w:rsidR="00840787" w:rsidRPr="00B83AD3" w:rsidRDefault="00840787" w:rsidP="00796453">
            <w:pPr>
              <w:spacing w:line="247"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t-EE"/>
              </w:rPr>
            </w:pPr>
            <w:r w:rsidRPr="00B83AD3">
              <w:rPr>
                <w:rFonts w:eastAsia="Times New Roman" w:cs="Times New Roman"/>
                <w:color w:val="000000"/>
                <w:sz w:val="20"/>
                <w:szCs w:val="20"/>
                <w:lang w:val="en-GB" w:eastAsia="et-EE"/>
              </w:rPr>
              <w:t> </w:t>
            </w:r>
          </w:p>
        </w:tc>
        <w:tc>
          <w:tcPr>
            <w:tcW w:w="1113" w:type="dxa"/>
            <w:tcBorders>
              <w:top w:val="single" w:sz="4" w:space="0" w:color="auto"/>
            </w:tcBorders>
            <w:noWrap/>
            <w:hideMark/>
          </w:tcPr>
          <w:p w14:paraId="665724C7" w14:textId="77777777" w:rsidR="00840787" w:rsidRPr="00B83AD3" w:rsidRDefault="00840787" w:rsidP="00796453">
            <w:pPr>
              <w:spacing w:line="247"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t-EE"/>
              </w:rPr>
            </w:pPr>
            <w:r w:rsidRPr="00B83AD3">
              <w:rPr>
                <w:rFonts w:eastAsia="Times New Roman" w:cs="Times New Roman"/>
                <w:color w:val="000000"/>
                <w:sz w:val="20"/>
                <w:szCs w:val="20"/>
                <w:lang w:val="en-GB" w:eastAsia="et-EE"/>
              </w:rPr>
              <w:t> </w:t>
            </w:r>
          </w:p>
        </w:tc>
        <w:tc>
          <w:tcPr>
            <w:tcW w:w="937" w:type="dxa"/>
            <w:tcBorders>
              <w:top w:val="single" w:sz="4" w:space="0" w:color="auto"/>
            </w:tcBorders>
          </w:tcPr>
          <w:p w14:paraId="665724C8" w14:textId="77777777" w:rsidR="00840787" w:rsidRPr="00B83AD3" w:rsidRDefault="00840787" w:rsidP="00796453">
            <w:pPr>
              <w:spacing w:line="247"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t-EE"/>
              </w:rPr>
            </w:pPr>
          </w:p>
        </w:tc>
      </w:tr>
      <w:tr w:rsidR="00840787" w:rsidRPr="00B83AD3" w14:paraId="665724D1" w14:textId="77777777" w:rsidTr="0030486A">
        <w:trPr>
          <w:trHeight w:val="341"/>
        </w:trPr>
        <w:tc>
          <w:tcPr>
            <w:cnfStyle w:val="001000000000" w:firstRow="0" w:lastRow="0" w:firstColumn="1" w:lastColumn="0" w:oddVBand="0" w:evenVBand="0" w:oddHBand="0" w:evenHBand="0" w:firstRowFirstColumn="0" w:firstRowLastColumn="0" w:lastRowFirstColumn="0" w:lastRowLastColumn="0"/>
            <w:tcW w:w="3114" w:type="dxa"/>
            <w:hideMark/>
          </w:tcPr>
          <w:p w14:paraId="665724CA" w14:textId="77777777" w:rsidR="00840787" w:rsidRPr="00B83AD3" w:rsidRDefault="00840787" w:rsidP="00796453">
            <w:pPr>
              <w:spacing w:line="247" w:lineRule="auto"/>
              <w:rPr>
                <w:rFonts w:eastAsia="Times New Roman" w:cs="Times New Roman"/>
                <w:b w:val="0"/>
                <w:bCs w:val="0"/>
                <w:color w:val="000000"/>
                <w:sz w:val="22"/>
                <w:lang w:eastAsia="et-EE"/>
              </w:rPr>
            </w:pPr>
            <w:proofErr w:type="spellStart"/>
            <w:r w:rsidRPr="00B83AD3">
              <w:rPr>
                <w:rFonts w:eastAsia="Times New Roman" w:cs="Times New Roman"/>
                <w:color w:val="000000"/>
                <w:sz w:val="22"/>
                <w:lang w:eastAsia="et-EE"/>
              </w:rPr>
              <w:t>Eventech</w:t>
            </w:r>
            <w:proofErr w:type="spellEnd"/>
            <w:r w:rsidRPr="00B83AD3">
              <w:rPr>
                <w:rFonts w:eastAsia="Times New Roman" w:cs="Times New Roman"/>
                <w:color w:val="000000"/>
                <w:sz w:val="22"/>
                <w:lang w:eastAsia="et-EE"/>
              </w:rPr>
              <w:t>, SIA</w:t>
            </w:r>
          </w:p>
        </w:tc>
        <w:tc>
          <w:tcPr>
            <w:tcW w:w="931" w:type="dxa"/>
            <w:noWrap/>
            <w:hideMark/>
          </w:tcPr>
          <w:p w14:paraId="665724CB" w14:textId="77777777" w:rsidR="00840787" w:rsidRPr="00B83AD3" w:rsidRDefault="00840787" w:rsidP="00796453">
            <w:pPr>
              <w:spacing w:line="247"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t-EE"/>
              </w:rPr>
            </w:pPr>
            <w:r w:rsidRPr="00B83AD3">
              <w:rPr>
                <w:rFonts w:eastAsia="Times New Roman" w:cs="Times New Roman"/>
                <w:noProof/>
                <w:color w:val="000000"/>
                <w:sz w:val="20"/>
                <w:szCs w:val="20"/>
                <w:lang w:eastAsia="lv-LV"/>
              </w:rPr>
              <w:drawing>
                <wp:anchor distT="0" distB="0" distL="114300" distR="114300" simplePos="0" relativeHeight="251669504" behindDoc="0" locked="0" layoutInCell="1" allowOverlap="1" wp14:anchorId="66572571" wp14:editId="66572572">
                  <wp:simplePos x="0" y="0"/>
                  <wp:positionH relativeFrom="column">
                    <wp:posOffset>99695</wp:posOffset>
                  </wp:positionH>
                  <wp:positionV relativeFrom="paragraph">
                    <wp:posOffset>0</wp:posOffset>
                  </wp:positionV>
                  <wp:extent cx="222250" cy="215900"/>
                  <wp:effectExtent l="0" t="0" r="0" b="0"/>
                  <wp:wrapNone/>
                  <wp:docPr id="10" name="Picture 10"/>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250" cy="215900"/>
                          </a:xfrm>
                          <a:prstGeom prst="rect">
                            <a:avLst/>
                          </a:prstGeom>
                        </pic:spPr>
                      </pic:pic>
                    </a:graphicData>
                  </a:graphic>
                  <wp14:sizeRelH relativeFrom="page">
                    <wp14:pctWidth>0</wp14:pctWidth>
                  </wp14:sizeRelH>
                  <wp14:sizeRelV relativeFrom="page">
                    <wp14:pctHeight>0</wp14:pctHeight>
                  </wp14:sizeRelV>
                </wp:anchor>
              </w:drawing>
            </w:r>
          </w:p>
        </w:tc>
        <w:tc>
          <w:tcPr>
            <w:tcW w:w="1053" w:type="dxa"/>
            <w:noWrap/>
            <w:hideMark/>
          </w:tcPr>
          <w:p w14:paraId="665724CC" w14:textId="77777777" w:rsidR="00840787" w:rsidRPr="00B83AD3" w:rsidRDefault="00840787" w:rsidP="00796453">
            <w:pPr>
              <w:spacing w:line="247"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t-EE"/>
              </w:rPr>
            </w:pPr>
            <w:r w:rsidRPr="00B83AD3">
              <w:rPr>
                <w:rFonts w:eastAsia="Times New Roman" w:cs="Times New Roman"/>
                <w:color w:val="000000"/>
                <w:sz w:val="20"/>
                <w:szCs w:val="20"/>
                <w:lang w:val="en-GB" w:eastAsia="et-EE"/>
              </w:rPr>
              <w:t> </w:t>
            </w:r>
          </w:p>
        </w:tc>
        <w:tc>
          <w:tcPr>
            <w:tcW w:w="851" w:type="dxa"/>
            <w:noWrap/>
            <w:hideMark/>
          </w:tcPr>
          <w:p w14:paraId="665724CD" w14:textId="77777777" w:rsidR="00840787" w:rsidRPr="00B83AD3" w:rsidRDefault="00840787" w:rsidP="00796453">
            <w:pPr>
              <w:spacing w:line="247"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t-EE"/>
              </w:rPr>
            </w:pPr>
            <w:r w:rsidRPr="00B83AD3">
              <w:rPr>
                <w:rFonts w:eastAsia="Times New Roman" w:cs="Times New Roman"/>
                <w:noProof/>
                <w:color w:val="000000"/>
                <w:sz w:val="20"/>
                <w:szCs w:val="20"/>
                <w:lang w:eastAsia="lv-LV"/>
              </w:rPr>
              <w:drawing>
                <wp:anchor distT="0" distB="0" distL="114300" distR="114300" simplePos="0" relativeHeight="251670528" behindDoc="0" locked="0" layoutInCell="1" allowOverlap="1" wp14:anchorId="66572573" wp14:editId="66572574">
                  <wp:simplePos x="0" y="0"/>
                  <wp:positionH relativeFrom="column">
                    <wp:posOffset>98425</wp:posOffset>
                  </wp:positionH>
                  <wp:positionV relativeFrom="paragraph">
                    <wp:posOffset>-14605</wp:posOffset>
                  </wp:positionV>
                  <wp:extent cx="215900" cy="222250"/>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900" cy="222250"/>
                          </a:xfrm>
                          <a:prstGeom prst="rect">
                            <a:avLst/>
                          </a:prstGeom>
                        </pic:spPr>
                      </pic:pic>
                    </a:graphicData>
                  </a:graphic>
                  <wp14:sizeRelH relativeFrom="page">
                    <wp14:pctWidth>0</wp14:pctWidth>
                  </wp14:sizeRelH>
                  <wp14:sizeRelV relativeFrom="page">
                    <wp14:pctHeight>0</wp14:pctHeight>
                  </wp14:sizeRelV>
                </wp:anchor>
              </w:drawing>
            </w:r>
          </w:p>
        </w:tc>
        <w:tc>
          <w:tcPr>
            <w:tcW w:w="1042" w:type="dxa"/>
            <w:noWrap/>
            <w:hideMark/>
          </w:tcPr>
          <w:p w14:paraId="665724CE" w14:textId="77777777" w:rsidR="00840787" w:rsidRPr="00B83AD3" w:rsidRDefault="00840787" w:rsidP="00796453">
            <w:pPr>
              <w:spacing w:line="247"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t-EE"/>
              </w:rPr>
            </w:pPr>
            <w:r w:rsidRPr="00B83AD3">
              <w:rPr>
                <w:rFonts w:eastAsia="Times New Roman" w:cs="Times New Roman"/>
                <w:color w:val="000000"/>
                <w:sz w:val="20"/>
                <w:szCs w:val="20"/>
                <w:lang w:val="en-GB" w:eastAsia="et-EE"/>
              </w:rPr>
              <w:t> </w:t>
            </w:r>
          </w:p>
        </w:tc>
        <w:tc>
          <w:tcPr>
            <w:tcW w:w="1113" w:type="dxa"/>
            <w:noWrap/>
            <w:hideMark/>
          </w:tcPr>
          <w:p w14:paraId="665724CF" w14:textId="77777777" w:rsidR="00840787" w:rsidRPr="00B83AD3" w:rsidRDefault="00840787" w:rsidP="00796453">
            <w:pPr>
              <w:spacing w:line="247"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t-EE"/>
              </w:rPr>
            </w:pPr>
            <w:r w:rsidRPr="00B83AD3">
              <w:rPr>
                <w:rFonts w:eastAsia="Times New Roman" w:cs="Times New Roman"/>
                <w:color w:val="000000"/>
                <w:sz w:val="20"/>
                <w:szCs w:val="20"/>
                <w:lang w:val="en-GB" w:eastAsia="et-EE"/>
              </w:rPr>
              <w:t> </w:t>
            </w:r>
          </w:p>
        </w:tc>
        <w:tc>
          <w:tcPr>
            <w:tcW w:w="937" w:type="dxa"/>
          </w:tcPr>
          <w:p w14:paraId="665724D0" w14:textId="77777777" w:rsidR="00840787" w:rsidRPr="00B83AD3" w:rsidRDefault="002B0DA2" w:rsidP="00796453">
            <w:pPr>
              <w:spacing w:line="247"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t-EE"/>
              </w:rPr>
            </w:pPr>
            <w:r w:rsidRPr="00B83AD3">
              <w:rPr>
                <w:rFonts w:eastAsia="Times New Roman" w:cs="Times New Roman"/>
                <w:noProof/>
                <w:color w:val="000000"/>
                <w:sz w:val="20"/>
                <w:szCs w:val="20"/>
                <w:lang w:eastAsia="lv-LV"/>
              </w:rPr>
              <w:drawing>
                <wp:anchor distT="0" distB="0" distL="114300" distR="114300" simplePos="0" relativeHeight="251696128" behindDoc="0" locked="0" layoutInCell="1" allowOverlap="1" wp14:anchorId="66572575" wp14:editId="66572576">
                  <wp:simplePos x="0" y="0"/>
                  <wp:positionH relativeFrom="column">
                    <wp:posOffset>146050</wp:posOffset>
                  </wp:positionH>
                  <wp:positionV relativeFrom="paragraph">
                    <wp:posOffset>-13970</wp:posOffset>
                  </wp:positionV>
                  <wp:extent cx="215900" cy="222250"/>
                  <wp:effectExtent l="0" t="0" r="0" b="0"/>
                  <wp:wrapNone/>
                  <wp:docPr id="21" name="Picture 2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900" cy="222250"/>
                          </a:xfrm>
                          <a:prstGeom prst="rect">
                            <a:avLst/>
                          </a:prstGeom>
                        </pic:spPr>
                      </pic:pic>
                    </a:graphicData>
                  </a:graphic>
                  <wp14:sizeRelH relativeFrom="page">
                    <wp14:pctWidth>0</wp14:pctWidth>
                  </wp14:sizeRelH>
                  <wp14:sizeRelV relativeFrom="page">
                    <wp14:pctHeight>0</wp14:pctHeight>
                  </wp14:sizeRelV>
                </wp:anchor>
              </w:drawing>
            </w:r>
          </w:p>
        </w:tc>
      </w:tr>
      <w:tr w:rsidR="00840787" w:rsidRPr="00B83AD3" w14:paraId="665724D9" w14:textId="77777777" w:rsidTr="0030486A">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3114" w:type="dxa"/>
            <w:hideMark/>
          </w:tcPr>
          <w:p w14:paraId="665724D2" w14:textId="77777777" w:rsidR="00840787" w:rsidRPr="00B83AD3" w:rsidRDefault="00366E44" w:rsidP="00366E44">
            <w:pPr>
              <w:spacing w:line="247" w:lineRule="auto"/>
              <w:rPr>
                <w:rFonts w:eastAsia="Times New Roman" w:cs="Times New Roman"/>
                <w:b w:val="0"/>
                <w:bCs w:val="0"/>
                <w:color w:val="000000"/>
                <w:sz w:val="22"/>
                <w:lang w:eastAsia="et-EE"/>
              </w:rPr>
            </w:pPr>
            <w:r w:rsidRPr="00B83AD3">
              <w:rPr>
                <w:rFonts w:eastAsia="Times New Roman" w:cs="Times New Roman"/>
                <w:color w:val="000000"/>
                <w:sz w:val="22"/>
                <w:lang w:eastAsia="et-EE"/>
              </w:rPr>
              <w:t xml:space="preserve">AS </w:t>
            </w:r>
            <w:r w:rsidR="00840787" w:rsidRPr="00B83AD3">
              <w:rPr>
                <w:rFonts w:eastAsia="Times New Roman" w:cs="Times New Roman"/>
                <w:color w:val="000000"/>
                <w:sz w:val="22"/>
                <w:lang w:eastAsia="et-EE"/>
              </w:rPr>
              <w:t xml:space="preserve">RD Alfa </w:t>
            </w:r>
          </w:p>
        </w:tc>
        <w:tc>
          <w:tcPr>
            <w:tcW w:w="931" w:type="dxa"/>
            <w:noWrap/>
            <w:hideMark/>
          </w:tcPr>
          <w:p w14:paraId="665724D3" w14:textId="77777777" w:rsidR="00840787" w:rsidRPr="00B83AD3" w:rsidRDefault="00840787" w:rsidP="00796453">
            <w:pPr>
              <w:spacing w:line="247"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t-EE"/>
              </w:rPr>
            </w:pPr>
          </w:p>
        </w:tc>
        <w:tc>
          <w:tcPr>
            <w:tcW w:w="1053" w:type="dxa"/>
            <w:noWrap/>
            <w:hideMark/>
          </w:tcPr>
          <w:p w14:paraId="665724D4" w14:textId="77777777" w:rsidR="00840787" w:rsidRPr="00B83AD3" w:rsidRDefault="00840787" w:rsidP="00796453">
            <w:pPr>
              <w:spacing w:line="247"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t-EE"/>
              </w:rPr>
            </w:pPr>
            <w:r w:rsidRPr="00B83AD3">
              <w:rPr>
                <w:rFonts w:eastAsia="Times New Roman" w:cs="Times New Roman"/>
                <w:color w:val="000000"/>
                <w:sz w:val="20"/>
                <w:szCs w:val="20"/>
                <w:lang w:val="en-GB" w:eastAsia="et-EE"/>
              </w:rPr>
              <w:t> </w:t>
            </w:r>
          </w:p>
        </w:tc>
        <w:tc>
          <w:tcPr>
            <w:tcW w:w="851" w:type="dxa"/>
            <w:noWrap/>
            <w:hideMark/>
          </w:tcPr>
          <w:p w14:paraId="665724D5" w14:textId="77777777" w:rsidR="00840787" w:rsidRPr="00B83AD3" w:rsidRDefault="00840787" w:rsidP="00796453">
            <w:pPr>
              <w:spacing w:line="247"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t-EE"/>
              </w:rPr>
            </w:pPr>
            <w:r w:rsidRPr="00B83AD3">
              <w:rPr>
                <w:rFonts w:eastAsia="Times New Roman" w:cs="Times New Roman"/>
                <w:color w:val="000000"/>
                <w:sz w:val="20"/>
                <w:szCs w:val="20"/>
                <w:lang w:val="en-GB" w:eastAsia="et-EE"/>
              </w:rPr>
              <w:t> </w:t>
            </w:r>
          </w:p>
        </w:tc>
        <w:tc>
          <w:tcPr>
            <w:tcW w:w="1042" w:type="dxa"/>
            <w:noWrap/>
            <w:hideMark/>
          </w:tcPr>
          <w:p w14:paraId="665724D6" w14:textId="77777777" w:rsidR="00840787" w:rsidRPr="00B83AD3" w:rsidRDefault="00840787" w:rsidP="00796453">
            <w:pPr>
              <w:spacing w:line="247"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t-EE"/>
              </w:rPr>
            </w:pPr>
            <w:r w:rsidRPr="00B83AD3">
              <w:rPr>
                <w:rFonts w:eastAsia="Times New Roman" w:cs="Times New Roman"/>
                <w:color w:val="000000"/>
                <w:sz w:val="20"/>
                <w:szCs w:val="20"/>
                <w:lang w:val="en-GB" w:eastAsia="et-EE"/>
              </w:rPr>
              <w:t> </w:t>
            </w:r>
          </w:p>
        </w:tc>
        <w:tc>
          <w:tcPr>
            <w:tcW w:w="1113" w:type="dxa"/>
            <w:noWrap/>
            <w:hideMark/>
          </w:tcPr>
          <w:p w14:paraId="665724D7" w14:textId="77777777" w:rsidR="00840787" w:rsidRPr="00B83AD3" w:rsidRDefault="00840787" w:rsidP="00796453">
            <w:pPr>
              <w:spacing w:line="247"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t-EE"/>
              </w:rPr>
            </w:pPr>
            <w:r w:rsidRPr="00B83AD3">
              <w:rPr>
                <w:rFonts w:eastAsia="Times New Roman" w:cs="Times New Roman"/>
                <w:color w:val="000000"/>
                <w:sz w:val="20"/>
                <w:szCs w:val="20"/>
                <w:lang w:val="en-GB" w:eastAsia="et-EE"/>
              </w:rPr>
              <w:t> </w:t>
            </w:r>
          </w:p>
        </w:tc>
        <w:tc>
          <w:tcPr>
            <w:tcW w:w="937" w:type="dxa"/>
          </w:tcPr>
          <w:p w14:paraId="665724D8" w14:textId="77777777" w:rsidR="00840787" w:rsidRPr="00B83AD3" w:rsidRDefault="00840787" w:rsidP="00796453">
            <w:pPr>
              <w:spacing w:line="247"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t-EE"/>
              </w:rPr>
            </w:pPr>
          </w:p>
        </w:tc>
      </w:tr>
      <w:tr w:rsidR="00840787" w:rsidRPr="00B83AD3" w14:paraId="665724E1" w14:textId="77777777" w:rsidTr="0030486A">
        <w:trPr>
          <w:trHeight w:val="341"/>
        </w:trPr>
        <w:tc>
          <w:tcPr>
            <w:cnfStyle w:val="001000000000" w:firstRow="0" w:lastRow="0" w:firstColumn="1" w:lastColumn="0" w:oddVBand="0" w:evenVBand="0" w:oddHBand="0" w:evenHBand="0" w:firstRowFirstColumn="0" w:firstRowLastColumn="0" w:lastRowFirstColumn="0" w:lastRowLastColumn="0"/>
            <w:tcW w:w="3114" w:type="dxa"/>
            <w:hideMark/>
          </w:tcPr>
          <w:p w14:paraId="665724DA" w14:textId="77777777" w:rsidR="00840787" w:rsidRPr="00B83AD3" w:rsidRDefault="00366E44" w:rsidP="00796453">
            <w:pPr>
              <w:spacing w:line="247" w:lineRule="auto"/>
              <w:rPr>
                <w:rFonts w:eastAsia="Times New Roman" w:cs="Times New Roman"/>
                <w:b w:val="0"/>
                <w:bCs w:val="0"/>
                <w:color w:val="000000"/>
                <w:sz w:val="22"/>
                <w:lang w:eastAsia="et-EE"/>
              </w:rPr>
            </w:pPr>
            <w:r w:rsidRPr="00B83AD3">
              <w:rPr>
                <w:rFonts w:eastAsia="Times New Roman" w:cs="Times New Roman"/>
                <w:color w:val="000000"/>
                <w:sz w:val="22"/>
                <w:lang w:eastAsia="et-EE"/>
              </w:rPr>
              <w:t>LV Koksnes ķīmijas institūts</w:t>
            </w:r>
          </w:p>
        </w:tc>
        <w:tc>
          <w:tcPr>
            <w:tcW w:w="931" w:type="dxa"/>
            <w:noWrap/>
            <w:hideMark/>
          </w:tcPr>
          <w:p w14:paraId="665724DB" w14:textId="77777777" w:rsidR="00840787" w:rsidRPr="00B83AD3" w:rsidRDefault="00840787" w:rsidP="00796453">
            <w:pPr>
              <w:spacing w:line="247"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t-EE"/>
              </w:rPr>
            </w:pPr>
            <w:r w:rsidRPr="00B83AD3">
              <w:rPr>
                <w:rFonts w:eastAsia="Times New Roman" w:cs="Times New Roman"/>
                <w:noProof/>
                <w:color w:val="000000"/>
                <w:sz w:val="20"/>
                <w:szCs w:val="20"/>
                <w:lang w:eastAsia="lv-LV"/>
              </w:rPr>
              <w:drawing>
                <wp:anchor distT="0" distB="0" distL="114300" distR="114300" simplePos="0" relativeHeight="251673600" behindDoc="0" locked="0" layoutInCell="1" allowOverlap="1" wp14:anchorId="66572577" wp14:editId="66572578">
                  <wp:simplePos x="0" y="0"/>
                  <wp:positionH relativeFrom="column">
                    <wp:posOffset>99060</wp:posOffset>
                  </wp:positionH>
                  <wp:positionV relativeFrom="paragraph">
                    <wp:posOffset>-11430</wp:posOffset>
                  </wp:positionV>
                  <wp:extent cx="222250" cy="222250"/>
                  <wp:effectExtent l="0" t="0" r="6350" b="635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250" cy="222250"/>
                          </a:xfrm>
                          <a:prstGeom prst="rect">
                            <a:avLst/>
                          </a:prstGeom>
                        </pic:spPr>
                      </pic:pic>
                    </a:graphicData>
                  </a:graphic>
                  <wp14:sizeRelH relativeFrom="page">
                    <wp14:pctWidth>0</wp14:pctWidth>
                  </wp14:sizeRelH>
                  <wp14:sizeRelV relativeFrom="page">
                    <wp14:pctHeight>0</wp14:pctHeight>
                  </wp14:sizeRelV>
                </wp:anchor>
              </w:drawing>
            </w:r>
          </w:p>
        </w:tc>
        <w:tc>
          <w:tcPr>
            <w:tcW w:w="1053" w:type="dxa"/>
            <w:noWrap/>
            <w:hideMark/>
          </w:tcPr>
          <w:p w14:paraId="665724DC" w14:textId="77777777" w:rsidR="00840787" w:rsidRPr="00B83AD3" w:rsidRDefault="00840787" w:rsidP="00796453">
            <w:pPr>
              <w:spacing w:line="247"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t-EE"/>
              </w:rPr>
            </w:pPr>
            <w:r w:rsidRPr="00B83AD3">
              <w:rPr>
                <w:rFonts w:eastAsia="Times New Roman" w:cs="Times New Roman"/>
                <w:color w:val="000000"/>
                <w:sz w:val="20"/>
                <w:szCs w:val="20"/>
                <w:lang w:val="en-GB" w:eastAsia="et-EE"/>
              </w:rPr>
              <w:t> </w:t>
            </w:r>
          </w:p>
        </w:tc>
        <w:tc>
          <w:tcPr>
            <w:tcW w:w="851" w:type="dxa"/>
            <w:noWrap/>
            <w:hideMark/>
          </w:tcPr>
          <w:p w14:paraId="665724DD" w14:textId="77777777" w:rsidR="00840787" w:rsidRPr="00B83AD3" w:rsidRDefault="00840787" w:rsidP="00796453">
            <w:pPr>
              <w:spacing w:line="247"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t-EE"/>
              </w:rPr>
            </w:pPr>
            <w:r w:rsidRPr="00B83AD3">
              <w:rPr>
                <w:rFonts w:eastAsia="Times New Roman" w:cs="Times New Roman"/>
                <w:color w:val="000000"/>
                <w:sz w:val="20"/>
                <w:szCs w:val="20"/>
                <w:lang w:val="en-GB" w:eastAsia="et-EE"/>
              </w:rPr>
              <w:t> </w:t>
            </w:r>
          </w:p>
        </w:tc>
        <w:tc>
          <w:tcPr>
            <w:tcW w:w="1042" w:type="dxa"/>
            <w:noWrap/>
            <w:hideMark/>
          </w:tcPr>
          <w:p w14:paraId="665724DE" w14:textId="77777777" w:rsidR="00840787" w:rsidRPr="00B83AD3" w:rsidRDefault="00840787" w:rsidP="00796453">
            <w:pPr>
              <w:spacing w:line="247"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t-EE"/>
              </w:rPr>
            </w:pPr>
            <w:r w:rsidRPr="00B83AD3">
              <w:rPr>
                <w:rFonts w:eastAsia="Times New Roman" w:cs="Times New Roman"/>
                <w:noProof/>
                <w:color w:val="000000"/>
                <w:sz w:val="20"/>
                <w:szCs w:val="20"/>
                <w:lang w:eastAsia="lv-LV"/>
              </w:rPr>
              <w:drawing>
                <wp:anchor distT="0" distB="0" distL="114300" distR="114300" simplePos="0" relativeHeight="251674624" behindDoc="0" locked="0" layoutInCell="1" allowOverlap="1" wp14:anchorId="66572579" wp14:editId="6657257A">
                  <wp:simplePos x="0" y="0"/>
                  <wp:positionH relativeFrom="column">
                    <wp:posOffset>111125</wp:posOffset>
                  </wp:positionH>
                  <wp:positionV relativeFrom="paragraph">
                    <wp:posOffset>-1905</wp:posOffset>
                  </wp:positionV>
                  <wp:extent cx="222250" cy="222250"/>
                  <wp:effectExtent l="0" t="0" r="6350" b="635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250" cy="222250"/>
                          </a:xfrm>
                          <a:prstGeom prst="rect">
                            <a:avLst/>
                          </a:prstGeom>
                        </pic:spPr>
                      </pic:pic>
                    </a:graphicData>
                  </a:graphic>
                  <wp14:sizeRelH relativeFrom="page">
                    <wp14:pctWidth>0</wp14:pctWidth>
                  </wp14:sizeRelH>
                  <wp14:sizeRelV relativeFrom="page">
                    <wp14:pctHeight>0</wp14:pctHeight>
                  </wp14:sizeRelV>
                </wp:anchor>
              </w:drawing>
            </w:r>
          </w:p>
        </w:tc>
        <w:tc>
          <w:tcPr>
            <w:tcW w:w="1113" w:type="dxa"/>
            <w:noWrap/>
            <w:hideMark/>
          </w:tcPr>
          <w:p w14:paraId="665724DF" w14:textId="77777777" w:rsidR="00840787" w:rsidRPr="00B83AD3" w:rsidRDefault="00840787" w:rsidP="00796453">
            <w:pPr>
              <w:spacing w:line="247"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t-EE"/>
              </w:rPr>
            </w:pPr>
            <w:r w:rsidRPr="00B83AD3">
              <w:rPr>
                <w:rFonts w:eastAsia="Times New Roman" w:cs="Times New Roman"/>
                <w:color w:val="000000"/>
                <w:sz w:val="20"/>
                <w:szCs w:val="20"/>
                <w:lang w:val="en-GB" w:eastAsia="et-EE"/>
              </w:rPr>
              <w:t> </w:t>
            </w:r>
          </w:p>
        </w:tc>
        <w:tc>
          <w:tcPr>
            <w:tcW w:w="937" w:type="dxa"/>
          </w:tcPr>
          <w:p w14:paraId="665724E0" w14:textId="77777777" w:rsidR="00840787" w:rsidRPr="00B83AD3" w:rsidRDefault="00840787" w:rsidP="00796453">
            <w:pPr>
              <w:spacing w:line="247"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t-EE"/>
              </w:rPr>
            </w:pPr>
          </w:p>
        </w:tc>
      </w:tr>
      <w:tr w:rsidR="00840787" w:rsidRPr="00B83AD3" w14:paraId="665724E9" w14:textId="77777777" w:rsidTr="0030486A">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3114" w:type="dxa"/>
            <w:hideMark/>
          </w:tcPr>
          <w:p w14:paraId="665724E2" w14:textId="77777777" w:rsidR="00840787" w:rsidRPr="00B83AD3" w:rsidRDefault="00366E44" w:rsidP="00796453">
            <w:pPr>
              <w:spacing w:line="247" w:lineRule="auto"/>
              <w:rPr>
                <w:rFonts w:eastAsia="Times New Roman" w:cs="Times New Roman"/>
                <w:b w:val="0"/>
                <w:bCs w:val="0"/>
                <w:color w:val="000000"/>
                <w:sz w:val="22"/>
                <w:lang w:eastAsia="et-EE"/>
              </w:rPr>
            </w:pPr>
            <w:r w:rsidRPr="00B83AD3">
              <w:rPr>
                <w:rFonts w:eastAsia="Times New Roman" w:cs="Times New Roman"/>
                <w:color w:val="000000"/>
                <w:sz w:val="22"/>
                <w:lang w:eastAsia="et-EE"/>
              </w:rPr>
              <w:t>Rīgas Tehniskā universitāte</w:t>
            </w:r>
          </w:p>
        </w:tc>
        <w:tc>
          <w:tcPr>
            <w:tcW w:w="931" w:type="dxa"/>
            <w:noWrap/>
            <w:hideMark/>
          </w:tcPr>
          <w:p w14:paraId="665724E3" w14:textId="77777777" w:rsidR="00840787" w:rsidRPr="00B83AD3" w:rsidRDefault="00840787" w:rsidP="00796453">
            <w:pPr>
              <w:spacing w:line="247"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t-EE"/>
              </w:rPr>
            </w:pPr>
            <w:r w:rsidRPr="00B83AD3">
              <w:rPr>
                <w:rFonts w:eastAsia="Times New Roman" w:cs="Times New Roman"/>
                <w:noProof/>
                <w:color w:val="000000"/>
                <w:sz w:val="20"/>
                <w:szCs w:val="20"/>
                <w:lang w:eastAsia="lv-LV"/>
              </w:rPr>
              <w:drawing>
                <wp:anchor distT="0" distB="0" distL="114300" distR="114300" simplePos="0" relativeHeight="251676672" behindDoc="0" locked="0" layoutInCell="1" allowOverlap="1" wp14:anchorId="6657257B" wp14:editId="6657257C">
                  <wp:simplePos x="0" y="0"/>
                  <wp:positionH relativeFrom="column">
                    <wp:posOffset>97155</wp:posOffset>
                  </wp:positionH>
                  <wp:positionV relativeFrom="paragraph">
                    <wp:posOffset>4445</wp:posOffset>
                  </wp:positionV>
                  <wp:extent cx="215900" cy="222250"/>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900" cy="222250"/>
                          </a:xfrm>
                          <a:prstGeom prst="rect">
                            <a:avLst/>
                          </a:prstGeom>
                        </pic:spPr>
                      </pic:pic>
                    </a:graphicData>
                  </a:graphic>
                  <wp14:sizeRelH relativeFrom="page">
                    <wp14:pctWidth>0</wp14:pctWidth>
                  </wp14:sizeRelH>
                  <wp14:sizeRelV relativeFrom="page">
                    <wp14:pctHeight>0</wp14:pctHeight>
                  </wp14:sizeRelV>
                </wp:anchor>
              </w:drawing>
            </w:r>
          </w:p>
        </w:tc>
        <w:tc>
          <w:tcPr>
            <w:tcW w:w="1053" w:type="dxa"/>
            <w:noWrap/>
            <w:hideMark/>
          </w:tcPr>
          <w:p w14:paraId="665724E4" w14:textId="77777777" w:rsidR="00840787" w:rsidRPr="00B83AD3" w:rsidRDefault="00840787" w:rsidP="00796453">
            <w:pPr>
              <w:spacing w:line="247"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t-EE"/>
              </w:rPr>
            </w:pPr>
            <w:r w:rsidRPr="00B83AD3">
              <w:rPr>
                <w:rFonts w:eastAsia="Times New Roman" w:cs="Times New Roman"/>
                <w:color w:val="000000"/>
                <w:sz w:val="20"/>
                <w:szCs w:val="20"/>
                <w:lang w:val="en-GB" w:eastAsia="et-EE"/>
              </w:rPr>
              <w:t> </w:t>
            </w:r>
          </w:p>
        </w:tc>
        <w:tc>
          <w:tcPr>
            <w:tcW w:w="851" w:type="dxa"/>
            <w:noWrap/>
            <w:hideMark/>
          </w:tcPr>
          <w:p w14:paraId="665724E5" w14:textId="77777777" w:rsidR="00840787" w:rsidRPr="00B83AD3" w:rsidRDefault="00840787" w:rsidP="00796453">
            <w:pPr>
              <w:spacing w:line="247"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t-EE"/>
              </w:rPr>
            </w:pPr>
            <w:r w:rsidRPr="00B83AD3">
              <w:rPr>
                <w:rFonts w:eastAsia="Times New Roman" w:cs="Times New Roman"/>
                <w:color w:val="000000"/>
                <w:sz w:val="20"/>
                <w:szCs w:val="20"/>
                <w:lang w:val="en-GB" w:eastAsia="et-EE"/>
              </w:rPr>
              <w:t> </w:t>
            </w:r>
          </w:p>
        </w:tc>
        <w:tc>
          <w:tcPr>
            <w:tcW w:w="1042" w:type="dxa"/>
            <w:noWrap/>
            <w:hideMark/>
          </w:tcPr>
          <w:p w14:paraId="665724E6" w14:textId="77777777" w:rsidR="00840787" w:rsidRPr="00B83AD3" w:rsidRDefault="00840787" w:rsidP="00796453">
            <w:pPr>
              <w:spacing w:line="247"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t-EE"/>
              </w:rPr>
            </w:pPr>
            <w:r w:rsidRPr="00B83AD3">
              <w:rPr>
                <w:rFonts w:eastAsia="Times New Roman" w:cs="Times New Roman"/>
                <w:noProof/>
                <w:color w:val="000000"/>
                <w:sz w:val="20"/>
                <w:szCs w:val="20"/>
                <w:lang w:eastAsia="lv-LV"/>
              </w:rPr>
              <w:drawing>
                <wp:anchor distT="0" distB="0" distL="114300" distR="114300" simplePos="0" relativeHeight="251675648" behindDoc="0" locked="0" layoutInCell="1" allowOverlap="1" wp14:anchorId="6657257D" wp14:editId="6657257E">
                  <wp:simplePos x="0" y="0"/>
                  <wp:positionH relativeFrom="column">
                    <wp:posOffset>120650</wp:posOffset>
                  </wp:positionH>
                  <wp:positionV relativeFrom="paragraph">
                    <wp:posOffset>5080</wp:posOffset>
                  </wp:positionV>
                  <wp:extent cx="222250" cy="222250"/>
                  <wp:effectExtent l="0" t="0" r="6350" b="6350"/>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250" cy="222250"/>
                          </a:xfrm>
                          <a:prstGeom prst="rect">
                            <a:avLst/>
                          </a:prstGeom>
                        </pic:spPr>
                      </pic:pic>
                    </a:graphicData>
                  </a:graphic>
                  <wp14:sizeRelH relativeFrom="page">
                    <wp14:pctWidth>0</wp14:pctWidth>
                  </wp14:sizeRelH>
                  <wp14:sizeRelV relativeFrom="page">
                    <wp14:pctHeight>0</wp14:pctHeight>
                  </wp14:sizeRelV>
                </wp:anchor>
              </w:drawing>
            </w:r>
          </w:p>
        </w:tc>
        <w:tc>
          <w:tcPr>
            <w:tcW w:w="1113" w:type="dxa"/>
            <w:noWrap/>
            <w:hideMark/>
          </w:tcPr>
          <w:p w14:paraId="665724E7" w14:textId="77777777" w:rsidR="00840787" w:rsidRPr="00B83AD3" w:rsidRDefault="00840787" w:rsidP="00796453">
            <w:pPr>
              <w:spacing w:line="247"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t-EE"/>
              </w:rPr>
            </w:pPr>
            <w:r w:rsidRPr="00B83AD3">
              <w:rPr>
                <w:rFonts w:eastAsia="Times New Roman" w:cs="Times New Roman"/>
                <w:color w:val="000000"/>
                <w:sz w:val="20"/>
                <w:szCs w:val="20"/>
                <w:lang w:val="en-GB" w:eastAsia="et-EE"/>
              </w:rPr>
              <w:t> </w:t>
            </w:r>
          </w:p>
        </w:tc>
        <w:tc>
          <w:tcPr>
            <w:tcW w:w="937" w:type="dxa"/>
          </w:tcPr>
          <w:p w14:paraId="665724E8" w14:textId="77777777" w:rsidR="00840787" w:rsidRPr="00B83AD3" w:rsidRDefault="00840787" w:rsidP="00796453">
            <w:pPr>
              <w:spacing w:line="247"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t-EE"/>
              </w:rPr>
            </w:pPr>
          </w:p>
        </w:tc>
      </w:tr>
      <w:tr w:rsidR="00366E44" w:rsidRPr="00B83AD3" w14:paraId="665724F1" w14:textId="77777777" w:rsidTr="0030486A">
        <w:trPr>
          <w:trHeight w:val="341"/>
        </w:trPr>
        <w:tc>
          <w:tcPr>
            <w:cnfStyle w:val="001000000000" w:firstRow="0" w:lastRow="0" w:firstColumn="1" w:lastColumn="0" w:oddVBand="0" w:evenVBand="0" w:oddHBand="0" w:evenHBand="0" w:firstRowFirstColumn="0" w:firstRowLastColumn="0" w:lastRowFirstColumn="0" w:lastRowLastColumn="0"/>
            <w:tcW w:w="3114" w:type="dxa"/>
          </w:tcPr>
          <w:p w14:paraId="665724EA" w14:textId="77777777" w:rsidR="00366E44" w:rsidRPr="00B83AD3" w:rsidRDefault="00366E44" w:rsidP="00796453">
            <w:pPr>
              <w:spacing w:line="247" w:lineRule="auto"/>
              <w:rPr>
                <w:rFonts w:eastAsia="Times New Roman" w:cs="Times New Roman"/>
                <w:b w:val="0"/>
                <w:bCs w:val="0"/>
                <w:color w:val="000000"/>
                <w:sz w:val="22"/>
                <w:lang w:eastAsia="et-EE"/>
              </w:rPr>
            </w:pPr>
            <w:r w:rsidRPr="00B83AD3">
              <w:rPr>
                <w:rFonts w:eastAsia="Times New Roman" w:cs="Times New Roman"/>
                <w:color w:val="000000"/>
                <w:sz w:val="22"/>
                <w:lang w:eastAsia="et-EE"/>
              </w:rPr>
              <w:t>Latvijas Universitāte</w:t>
            </w:r>
          </w:p>
        </w:tc>
        <w:tc>
          <w:tcPr>
            <w:tcW w:w="931" w:type="dxa"/>
            <w:noWrap/>
          </w:tcPr>
          <w:p w14:paraId="665724EB" w14:textId="77777777" w:rsidR="00366E44" w:rsidRPr="00B83AD3" w:rsidRDefault="00366E44" w:rsidP="00796453">
            <w:pPr>
              <w:spacing w:line="247" w:lineRule="auto"/>
              <w:cnfStyle w:val="000000000000" w:firstRow="0" w:lastRow="0" w:firstColumn="0" w:lastColumn="0" w:oddVBand="0" w:evenVBand="0" w:oddHBand="0" w:evenHBand="0" w:firstRowFirstColumn="0" w:firstRowLastColumn="0" w:lastRowFirstColumn="0" w:lastRowLastColumn="0"/>
              <w:rPr>
                <w:rFonts w:eastAsia="Times New Roman" w:cs="Times New Roman"/>
                <w:noProof/>
                <w:color w:val="000000"/>
                <w:sz w:val="20"/>
                <w:szCs w:val="20"/>
                <w:lang w:val="en-US"/>
              </w:rPr>
            </w:pPr>
          </w:p>
        </w:tc>
        <w:tc>
          <w:tcPr>
            <w:tcW w:w="1053" w:type="dxa"/>
            <w:noWrap/>
          </w:tcPr>
          <w:p w14:paraId="665724EC" w14:textId="77777777" w:rsidR="00366E44" w:rsidRPr="00B83AD3" w:rsidRDefault="00366E44" w:rsidP="00796453">
            <w:pPr>
              <w:spacing w:line="247"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t-EE"/>
              </w:rPr>
            </w:pPr>
          </w:p>
        </w:tc>
        <w:tc>
          <w:tcPr>
            <w:tcW w:w="851" w:type="dxa"/>
            <w:noWrap/>
          </w:tcPr>
          <w:p w14:paraId="665724ED" w14:textId="77777777" w:rsidR="00366E44" w:rsidRPr="00B83AD3" w:rsidRDefault="00366E44" w:rsidP="00796453">
            <w:pPr>
              <w:spacing w:line="247"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t-EE"/>
              </w:rPr>
            </w:pPr>
            <w:r w:rsidRPr="00B83AD3">
              <w:rPr>
                <w:rFonts w:eastAsia="Times New Roman" w:cs="Times New Roman"/>
                <w:noProof/>
                <w:color w:val="000000"/>
                <w:sz w:val="20"/>
                <w:szCs w:val="20"/>
                <w:lang w:eastAsia="lv-LV"/>
              </w:rPr>
              <w:drawing>
                <wp:anchor distT="0" distB="0" distL="114300" distR="114300" simplePos="0" relativeHeight="251683840" behindDoc="0" locked="0" layoutInCell="1" allowOverlap="1" wp14:anchorId="6657257F" wp14:editId="66572580">
                  <wp:simplePos x="0" y="0"/>
                  <wp:positionH relativeFrom="column">
                    <wp:posOffset>92075</wp:posOffset>
                  </wp:positionH>
                  <wp:positionV relativeFrom="paragraph">
                    <wp:posOffset>-15875</wp:posOffset>
                  </wp:positionV>
                  <wp:extent cx="222250" cy="222250"/>
                  <wp:effectExtent l="0" t="0" r="6350" b="6350"/>
                  <wp:wrapNone/>
                  <wp:docPr id="15" name="Picture 15"/>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250" cy="222250"/>
                          </a:xfrm>
                          <a:prstGeom prst="rect">
                            <a:avLst/>
                          </a:prstGeom>
                        </pic:spPr>
                      </pic:pic>
                    </a:graphicData>
                  </a:graphic>
                  <wp14:sizeRelH relativeFrom="page">
                    <wp14:pctWidth>0</wp14:pctWidth>
                  </wp14:sizeRelH>
                  <wp14:sizeRelV relativeFrom="page">
                    <wp14:pctHeight>0</wp14:pctHeight>
                  </wp14:sizeRelV>
                </wp:anchor>
              </w:drawing>
            </w:r>
          </w:p>
        </w:tc>
        <w:tc>
          <w:tcPr>
            <w:tcW w:w="1042" w:type="dxa"/>
            <w:noWrap/>
          </w:tcPr>
          <w:p w14:paraId="665724EE" w14:textId="77777777" w:rsidR="00366E44" w:rsidRPr="00B83AD3" w:rsidRDefault="00366E44" w:rsidP="00796453">
            <w:pPr>
              <w:spacing w:line="247" w:lineRule="auto"/>
              <w:cnfStyle w:val="000000000000" w:firstRow="0" w:lastRow="0" w:firstColumn="0" w:lastColumn="0" w:oddVBand="0" w:evenVBand="0" w:oddHBand="0" w:evenHBand="0" w:firstRowFirstColumn="0" w:firstRowLastColumn="0" w:lastRowFirstColumn="0" w:lastRowLastColumn="0"/>
              <w:rPr>
                <w:rFonts w:eastAsia="Times New Roman" w:cs="Times New Roman"/>
                <w:noProof/>
                <w:color w:val="000000"/>
                <w:sz w:val="20"/>
                <w:szCs w:val="20"/>
                <w:lang w:val="en-US"/>
              </w:rPr>
            </w:pPr>
          </w:p>
        </w:tc>
        <w:tc>
          <w:tcPr>
            <w:tcW w:w="1113" w:type="dxa"/>
            <w:noWrap/>
          </w:tcPr>
          <w:p w14:paraId="665724EF" w14:textId="77777777" w:rsidR="00366E44" w:rsidRPr="00B83AD3" w:rsidRDefault="00366E44" w:rsidP="00796453">
            <w:pPr>
              <w:spacing w:line="247"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t-EE"/>
              </w:rPr>
            </w:pPr>
          </w:p>
        </w:tc>
        <w:tc>
          <w:tcPr>
            <w:tcW w:w="937" w:type="dxa"/>
          </w:tcPr>
          <w:p w14:paraId="665724F0" w14:textId="77777777" w:rsidR="00366E44" w:rsidRPr="00B83AD3" w:rsidRDefault="00366E44" w:rsidP="00796453">
            <w:pPr>
              <w:spacing w:line="247"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t-EE"/>
              </w:rPr>
            </w:pPr>
          </w:p>
        </w:tc>
      </w:tr>
      <w:tr w:rsidR="003C4510" w:rsidRPr="00B83AD3" w14:paraId="665724F9" w14:textId="77777777" w:rsidTr="0030486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114" w:type="dxa"/>
          </w:tcPr>
          <w:p w14:paraId="665724F2" w14:textId="77777777" w:rsidR="003C4510" w:rsidRPr="00B83AD3" w:rsidRDefault="00B43104" w:rsidP="00796453">
            <w:pPr>
              <w:spacing w:line="247" w:lineRule="auto"/>
              <w:rPr>
                <w:rFonts w:eastAsia="Times New Roman" w:cs="Times New Roman"/>
                <w:b w:val="0"/>
                <w:bCs w:val="0"/>
                <w:color w:val="000000"/>
                <w:sz w:val="22"/>
                <w:lang w:eastAsia="et-EE"/>
              </w:rPr>
            </w:pPr>
            <w:r w:rsidRPr="00B83AD3">
              <w:rPr>
                <w:rFonts w:eastAsia="Times New Roman" w:cs="Times New Roman"/>
                <w:color w:val="000000"/>
                <w:sz w:val="22"/>
                <w:lang w:eastAsia="et-EE"/>
              </w:rPr>
              <w:t xml:space="preserve">SIA </w:t>
            </w:r>
            <w:proofErr w:type="spellStart"/>
            <w:r w:rsidR="003C4510" w:rsidRPr="00B83AD3">
              <w:rPr>
                <w:rFonts w:eastAsia="Times New Roman" w:cs="Times New Roman"/>
                <w:color w:val="000000"/>
                <w:sz w:val="22"/>
                <w:lang w:eastAsia="et-EE"/>
              </w:rPr>
              <w:t>Ba</w:t>
            </w:r>
            <w:r w:rsidRPr="00B83AD3">
              <w:rPr>
                <w:rFonts w:eastAsia="Times New Roman" w:cs="Times New Roman"/>
                <w:color w:val="000000"/>
                <w:sz w:val="22"/>
                <w:lang w:eastAsia="et-EE"/>
              </w:rPr>
              <w:t>ltic</w:t>
            </w:r>
            <w:proofErr w:type="spellEnd"/>
            <w:r w:rsidRPr="00B83AD3">
              <w:rPr>
                <w:rFonts w:eastAsia="Times New Roman" w:cs="Times New Roman"/>
                <w:color w:val="000000"/>
                <w:sz w:val="22"/>
                <w:lang w:eastAsia="et-EE"/>
              </w:rPr>
              <w:t xml:space="preserve"> </w:t>
            </w:r>
            <w:proofErr w:type="spellStart"/>
            <w:r w:rsidRPr="00B83AD3">
              <w:rPr>
                <w:rFonts w:eastAsia="Times New Roman" w:cs="Times New Roman"/>
                <w:color w:val="000000"/>
                <w:sz w:val="22"/>
                <w:lang w:eastAsia="et-EE"/>
              </w:rPr>
              <w:t>Scientific</w:t>
            </w:r>
            <w:proofErr w:type="spellEnd"/>
            <w:r w:rsidRPr="00B83AD3">
              <w:rPr>
                <w:rFonts w:eastAsia="Times New Roman" w:cs="Times New Roman"/>
                <w:color w:val="000000"/>
                <w:sz w:val="22"/>
                <w:lang w:eastAsia="et-EE"/>
              </w:rPr>
              <w:t xml:space="preserve"> Instruments</w:t>
            </w:r>
          </w:p>
        </w:tc>
        <w:tc>
          <w:tcPr>
            <w:tcW w:w="931" w:type="dxa"/>
            <w:noWrap/>
          </w:tcPr>
          <w:p w14:paraId="665724F3" w14:textId="77777777" w:rsidR="003C4510" w:rsidRPr="00B83AD3" w:rsidRDefault="002B4A49" w:rsidP="00796453">
            <w:pPr>
              <w:spacing w:line="247" w:lineRule="auto"/>
              <w:cnfStyle w:val="000000100000" w:firstRow="0" w:lastRow="0" w:firstColumn="0" w:lastColumn="0" w:oddVBand="0" w:evenVBand="0" w:oddHBand="1" w:evenHBand="0" w:firstRowFirstColumn="0" w:firstRowLastColumn="0" w:lastRowFirstColumn="0" w:lastRowLastColumn="0"/>
              <w:rPr>
                <w:rFonts w:eastAsia="Times New Roman" w:cs="Times New Roman"/>
                <w:noProof/>
                <w:color w:val="000000"/>
                <w:sz w:val="20"/>
                <w:szCs w:val="20"/>
                <w:lang w:val="en-US"/>
              </w:rPr>
            </w:pPr>
            <w:r w:rsidRPr="00B83AD3">
              <w:rPr>
                <w:rFonts w:eastAsia="Times New Roman" w:cs="Times New Roman"/>
                <w:noProof/>
                <w:color w:val="000000"/>
                <w:sz w:val="20"/>
                <w:szCs w:val="20"/>
                <w:lang w:eastAsia="lv-LV"/>
              </w:rPr>
              <w:drawing>
                <wp:anchor distT="0" distB="0" distL="114300" distR="114300" simplePos="0" relativeHeight="251694080" behindDoc="0" locked="0" layoutInCell="1" allowOverlap="1" wp14:anchorId="66572581" wp14:editId="66572582">
                  <wp:simplePos x="0" y="0"/>
                  <wp:positionH relativeFrom="column">
                    <wp:posOffset>101600</wp:posOffset>
                  </wp:positionH>
                  <wp:positionV relativeFrom="paragraph">
                    <wp:posOffset>-635</wp:posOffset>
                  </wp:positionV>
                  <wp:extent cx="222250" cy="222250"/>
                  <wp:effectExtent l="0" t="0" r="6350" b="6350"/>
                  <wp:wrapNone/>
                  <wp:docPr id="20" name="Picture 20"/>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250" cy="222250"/>
                          </a:xfrm>
                          <a:prstGeom prst="rect">
                            <a:avLst/>
                          </a:prstGeom>
                        </pic:spPr>
                      </pic:pic>
                    </a:graphicData>
                  </a:graphic>
                  <wp14:sizeRelH relativeFrom="page">
                    <wp14:pctWidth>0</wp14:pctWidth>
                  </wp14:sizeRelH>
                  <wp14:sizeRelV relativeFrom="page">
                    <wp14:pctHeight>0</wp14:pctHeight>
                  </wp14:sizeRelV>
                </wp:anchor>
              </w:drawing>
            </w:r>
          </w:p>
        </w:tc>
        <w:tc>
          <w:tcPr>
            <w:tcW w:w="1053" w:type="dxa"/>
            <w:noWrap/>
          </w:tcPr>
          <w:p w14:paraId="665724F4" w14:textId="77777777" w:rsidR="003C4510" w:rsidRPr="00B83AD3" w:rsidRDefault="0030486A" w:rsidP="00796453">
            <w:pPr>
              <w:spacing w:line="247"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t-EE"/>
              </w:rPr>
            </w:pPr>
            <w:r w:rsidRPr="00B83AD3">
              <w:rPr>
                <w:rFonts w:eastAsia="Times New Roman" w:cs="Times New Roman"/>
                <w:noProof/>
                <w:color w:val="000000"/>
                <w:sz w:val="20"/>
                <w:szCs w:val="20"/>
                <w:lang w:eastAsia="lv-LV"/>
              </w:rPr>
              <w:drawing>
                <wp:anchor distT="0" distB="0" distL="114300" distR="114300" simplePos="0" relativeHeight="251672576" behindDoc="0" locked="0" layoutInCell="1" allowOverlap="1" wp14:anchorId="66572583" wp14:editId="66572584">
                  <wp:simplePos x="0" y="0"/>
                  <wp:positionH relativeFrom="column">
                    <wp:posOffset>88900</wp:posOffset>
                  </wp:positionH>
                  <wp:positionV relativeFrom="paragraph">
                    <wp:posOffset>24130</wp:posOffset>
                  </wp:positionV>
                  <wp:extent cx="215900" cy="222250"/>
                  <wp:effectExtent l="0" t="0" r="0" b="635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900" cy="222250"/>
                          </a:xfrm>
                          <a:prstGeom prst="rect">
                            <a:avLst/>
                          </a:prstGeom>
                        </pic:spPr>
                      </pic:pic>
                    </a:graphicData>
                  </a:graphic>
                  <wp14:sizeRelH relativeFrom="page">
                    <wp14:pctWidth>0</wp14:pctWidth>
                  </wp14:sizeRelH>
                  <wp14:sizeRelV relativeFrom="page">
                    <wp14:pctHeight>0</wp14:pctHeight>
                  </wp14:sizeRelV>
                </wp:anchor>
              </w:drawing>
            </w:r>
          </w:p>
        </w:tc>
        <w:tc>
          <w:tcPr>
            <w:tcW w:w="851" w:type="dxa"/>
            <w:noWrap/>
          </w:tcPr>
          <w:p w14:paraId="665724F5" w14:textId="77777777" w:rsidR="003C4510" w:rsidRPr="00B83AD3" w:rsidRDefault="003C4510" w:rsidP="00796453">
            <w:pPr>
              <w:spacing w:line="247" w:lineRule="auto"/>
              <w:cnfStyle w:val="000000100000" w:firstRow="0" w:lastRow="0" w:firstColumn="0" w:lastColumn="0" w:oddVBand="0" w:evenVBand="0" w:oddHBand="1" w:evenHBand="0" w:firstRowFirstColumn="0" w:firstRowLastColumn="0" w:lastRowFirstColumn="0" w:lastRowLastColumn="0"/>
              <w:rPr>
                <w:rFonts w:eastAsia="Times New Roman" w:cs="Times New Roman"/>
                <w:noProof/>
                <w:color w:val="000000"/>
                <w:sz w:val="20"/>
                <w:szCs w:val="20"/>
                <w:lang w:val="en-US"/>
              </w:rPr>
            </w:pPr>
          </w:p>
        </w:tc>
        <w:tc>
          <w:tcPr>
            <w:tcW w:w="1042" w:type="dxa"/>
            <w:noWrap/>
          </w:tcPr>
          <w:p w14:paraId="665724F6" w14:textId="77777777" w:rsidR="003C4510" w:rsidRPr="00B83AD3" w:rsidRDefault="003C4510" w:rsidP="00796453">
            <w:pPr>
              <w:spacing w:line="247" w:lineRule="auto"/>
              <w:cnfStyle w:val="000000100000" w:firstRow="0" w:lastRow="0" w:firstColumn="0" w:lastColumn="0" w:oddVBand="0" w:evenVBand="0" w:oddHBand="1" w:evenHBand="0" w:firstRowFirstColumn="0" w:firstRowLastColumn="0" w:lastRowFirstColumn="0" w:lastRowLastColumn="0"/>
              <w:rPr>
                <w:rFonts w:eastAsia="Times New Roman" w:cs="Times New Roman"/>
                <w:noProof/>
                <w:color w:val="000000"/>
                <w:sz w:val="20"/>
                <w:szCs w:val="20"/>
                <w:lang w:val="en-US"/>
              </w:rPr>
            </w:pPr>
          </w:p>
        </w:tc>
        <w:tc>
          <w:tcPr>
            <w:tcW w:w="1113" w:type="dxa"/>
            <w:noWrap/>
          </w:tcPr>
          <w:p w14:paraId="665724F7" w14:textId="77777777" w:rsidR="003C4510" w:rsidRPr="00B83AD3" w:rsidRDefault="003C4510" w:rsidP="00796453">
            <w:pPr>
              <w:spacing w:line="247"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t-EE"/>
              </w:rPr>
            </w:pPr>
            <w:r w:rsidRPr="00B83AD3">
              <w:rPr>
                <w:rFonts w:eastAsia="Times New Roman" w:cs="Times New Roman"/>
                <w:noProof/>
                <w:color w:val="000000"/>
                <w:sz w:val="20"/>
                <w:szCs w:val="20"/>
                <w:lang w:eastAsia="lv-LV"/>
              </w:rPr>
              <w:drawing>
                <wp:anchor distT="0" distB="0" distL="114300" distR="114300" simplePos="0" relativeHeight="251692032" behindDoc="0" locked="0" layoutInCell="1" allowOverlap="1" wp14:anchorId="66572585" wp14:editId="66572586">
                  <wp:simplePos x="0" y="0"/>
                  <wp:positionH relativeFrom="column">
                    <wp:posOffset>149225</wp:posOffset>
                  </wp:positionH>
                  <wp:positionV relativeFrom="paragraph">
                    <wp:posOffset>31115</wp:posOffset>
                  </wp:positionV>
                  <wp:extent cx="222250" cy="222250"/>
                  <wp:effectExtent l="0" t="0" r="6350" b="6350"/>
                  <wp:wrapNone/>
                  <wp:docPr id="19" name="Picture 19"/>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250" cy="222250"/>
                          </a:xfrm>
                          <a:prstGeom prst="rect">
                            <a:avLst/>
                          </a:prstGeom>
                        </pic:spPr>
                      </pic:pic>
                    </a:graphicData>
                  </a:graphic>
                  <wp14:sizeRelH relativeFrom="page">
                    <wp14:pctWidth>0</wp14:pctWidth>
                  </wp14:sizeRelH>
                  <wp14:sizeRelV relativeFrom="page">
                    <wp14:pctHeight>0</wp14:pctHeight>
                  </wp14:sizeRelV>
                </wp:anchor>
              </w:drawing>
            </w:r>
          </w:p>
        </w:tc>
        <w:tc>
          <w:tcPr>
            <w:tcW w:w="937" w:type="dxa"/>
          </w:tcPr>
          <w:p w14:paraId="665724F8" w14:textId="77777777" w:rsidR="003C4510" w:rsidRPr="00B83AD3" w:rsidRDefault="003C4510" w:rsidP="00796453">
            <w:pPr>
              <w:spacing w:line="247"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t-EE"/>
              </w:rPr>
            </w:pPr>
          </w:p>
        </w:tc>
      </w:tr>
      <w:tr w:rsidR="00840787" w:rsidRPr="00B83AD3" w14:paraId="66572501" w14:textId="77777777" w:rsidTr="0030486A">
        <w:trPr>
          <w:trHeight w:val="377"/>
        </w:trPr>
        <w:tc>
          <w:tcPr>
            <w:cnfStyle w:val="001000000000" w:firstRow="0" w:lastRow="0" w:firstColumn="1" w:lastColumn="0" w:oddVBand="0" w:evenVBand="0" w:oddHBand="0" w:evenHBand="0" w:firstRowFirstColumn="0" w:firstRowLastColumn="0" w:lastRowFirstColumn="0" w:lastRowLastColumn="0"/>
            <w:tcW w:w="3114" w:type="dxa"/>
            <w:hideMark/>
          </w:tcPr>
          <w:p w14:paraId="665724FA" w14:textId="77777777" w:rsidR="00840787" w:rsidRPr="00B83AD3" w:rsidRDefault="00366E44" w:rsidP="00796453">
            <w:pPr>
              <w:spacing w:line="247" w:lineRule="auto"/>
              <w:rPr>
                <w:rFonts w:eastAsia="Times New Roman" w:cs="Times New Roman"/>
                <w:b w:val="0"/>
                <w:bCs w:val="0"/>
                <w:color w:val="000000"/>
                <w:sz w:val="22"/>
                <w:lang w:eastAsia="et-EE"/>
              </w:rPr>
            </w:pPr>
            <w:r w:rsidRPr="00B83AD3">
              <w:rPr>
                <w:rFonts w:eastAsia="Times New Roman" w:cs="Times New Roman"/>
                <w:color w:val="000000"/>
                <w:sz w:val="22"/>
                <w:lang w:eastAsia="et-EE"/>
              </w:rPr>
              <w:t>Elektronikas un datorzinātņu institūts</w:t>
            </w:r>
          </w:p>
        </w:tc>
        <w:tc>
          <w:tcPr>
            <w:tcW w:w="931" w:type="dxa"/>
            <w:noWrap/>
            <w:hideMark/>
          </w:tcPr>
          <w:p w14:paraId="665724FB" w14:textId="77777777" w:rsidR="00840787" w:rsidRPr="00B83AD3" w:rsidRDefault="00840787" w:rsidP="00796453">
            <w:pPr>
              <w:spacing w:line="247"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t-EE"/>
              </w:rPr>
            </w:pPr>
            <w:r w:rsidRPr="00B83AD3">
              <w:rPr>
                <w:rFonts w:eastAsia="Times New Roman" w:cs="Times New Roman"/>
                <w:color w:val="000000"/>
                <w:sz w:val="20"/>
                <w:szCs w:val="20"/>
                <w:lang w:val="en-GB" w:eastAsia="et-EE"/>
              </w:rPr>
              <w:t> </w:t>
            </w:r>
          </w:p>
        </w:tc>
        <w:tc>
          <w:tcPr>
            <w:tcW w:w="1053" w:type="dxa"/>
            <w:noWrap/>
            <w:hideMark/>
          </w:tcPr>
          <w:p w14:paraId="665724FC" w14:textId="77777777" w:rsidR="00840787" w:rsidRPr="00B83AD3" w:rsidRDefault="002E75B2" w:rsidP="00796453">
            <w:pPr>
              <w:spacing w:line="247"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t-EE"/>
              </w:rPr>
            </w:pPr>
            <w:r w:rsidRPr="00B83AD3">
              <w:rPr>
                <w:rFonts w:eastAsia="Times New Roman" w:cs="Times New Roman"/>
                <w:noProof/>
                <w:color w:val="000000"/>
                <w:sz w:val="20"/>
                <w:szCs w:val="20"/>
                <w:lang w:eastAsia="lv-LV"/>
              </w:rPr>
              <w:drawing>
                <wp:anchor distT="0" distB="0" distL="114300" distR="114300" simplePos="0" relativeHeight="251679744" behindDoc="0" locked="0" layoutInCell="1" allowOverlap="1" wp14:anchorId="66572587" wp14:editId="66572588">
                  <wp:simplePos x="0" y="0"/>
                  <wp:positionH relativeFrom="column">
                    <wp:posOffset>92075</wp:posOffset>
                  </wp:positionH>
                  <wp:positionV relativeFrom="paragraph">
                    <wp:posOffset>21590</wp:posOffset>
                  </wp:positionV>
                  <wp:extent cx="215900" cy="222250"/>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900" cy="222250"/>
                          </a:xfrm>
                          <a:prstGeom prst="rect">
                            <a:avLst/>
                          </a:prstGeom>
                        </pic:spPr>
                      </pic:pic>
                    </a:graphicData>
                  </a:graphic>
                  <wp14:sizeRelH relativeFrom="page">
                    <wp14:pctWidth>0</wp14:pctWidth>
                  </wp14:sizeRelH>
                  <wp14:sizeRelV relativeFrom="page">
                    <wp14:pctHeight>0</wp14:pctHeight>
                  </wp14:sizeRelV>
                </wp:anchor>
              </w:drawing>
            </w:r>
          </w:p>
        </w:tc>
        <w:tc>
          <w:tcPr>
            <w:tcW w:w="851" w:type="dxa"/>
            <w:noWrap/>
            <w:hideMark/>
          </w:tcPr>
          <w:p w14:paraId="665724FD" w14:textId="77777777" w:rsidR="00840787" w:rsidRPr="00B83AD3" w:rsidRDefault="00840787" w:rsidP="00796453">
            <w:pPr>
              <w:spacing w:line="247"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t-EE"/>
              </w:rPr>
            </w:pPr>
            <w:r w:rsidRPr="00B83AD3">
              <w:rPr>
                <w:rFonts w:eastAsia="Times New Roman" w:cs="Times New Roman"/>
                <w:color w:val="000000"/>
                <w:sz w:val="20"/>
                <w:szCs w:val="20"/>
                <w:lang w:val="en-GB" w:eastAsia="et-EE"/>
              </w:rPr>
              <w:t> </w:t>
            </w:r>
          </w:p>
        </w:tc>
        <w:tc>
          <w:tcPr>
            <w:tcW w:w="1042" w:type="dxa"/>
            <w:noWrap/>
            <w:hideMark/>
          </w:tcPr>
          <w:p w14:paraId="665724FE" w14:textId="77777777" w:rsidR="00840787" w:rsidRPr="00B83AD3" w:rsidRDefault="00840787" w:rsidP="00796453">
            <w:pPr>
              <w:spacing w:line="247"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t-EE"/>
              </w:rPr>
            </w:pPr>
            <w:r w:rsidRPr="00B83AD3">
              <w:rPr>
                <w:rFonts w:eastAsia="Times New Roman" w:cs="Times New Roman"/>
                <w:color w:val="000000"/>
                <w:sz w:val="20"/>
                <w:szCs w:val="20"/>
                <w:lang w:val="en-GB" w:eastAsia="et-EE"/>
              </w:rPr>
              <w:t> </w:t>
            </w:r>
          </w:p>
        </w:tc>
        <w:tc>
          <w:tcPr>
            <w:tcW w:w="1113" w:type="dxa"/>
            <w:noWrap/>
            <w:hideMark/>
          </w:tcPr>
          <w:p w14:paraId="665724FF" w14:textId="77777777" w:rsidR="00840787" w:rsidRPr="00B83AD3" w:rsidRDefault="00840787" w:rsidP="00796453">
            <w:pPr>
              <w:spacing w:line="247"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t-EE"/>
              </w:rPr>
            </w:pPr>
            <w:r w:rsidRPr="00B83AD3">
              <w:rPr>
                <w:rFonts w:eastAsia="Times New Roman" w:cs="Times New Roman"/>
                <w:color w:val="000000"/>
                <w:sz w:val="20"/>
                <w:szCs w:val="20"/>
                <w:lang w:val="en-GB" w:eastAsia="et-EE"/>
              </w:rPr>
              <w:t> </w:t>
            </w:r>
          </w:p>
        </w:tc>
        <w:tc>
          <w:tcPr>
            <w:tcW w:w="937" w:type="dxa"/>
          </w:tcPr>
          <w:p w14:paraId="66572500" w14:textId="77777777" w:rsidR="00840787" w:rsidRPr="00B83AD3" w:rsidRDefault="00840787" w:rsidP="00796453">
            <w:pPr>
              <w:spacing w:line="247"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t-EE"/>
              </w:rPr>
            </w:pPr>
          </w:p>
        </w:tc>
      </w:tr>
      <w:tr w:rsidR="00840787" w:rsidRPr="00B83AD3" w14:paraId="66572509" w14:textId="77777777" w:rsidTr="0030486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114" w:type="dxa"/>
          </w:tcPr>
          <w:p w14:paraId="66572502" w14:textId="77777777" w:rsidR="00840787" w:rsidRPr="00B83AD3" w:rsidRDefault="00366E44" w:rsidP="00796453">
            <w:pPr>
              <w:spacing w:line="247" w:lineRule="auto"/>
              <w:rPr>
                <w:rFonts w:eastAsia="Times New Roman" w:cs="Times New Roman"/>
                <w:b w:val="0"/>
                <w:bCs w:val="0"/>
                <w:color w:val="000000"/>
                <w:sz w:val="22"/>
                <w:lang w:eastAsia="et-EE"/>
              </w:rPr>
            </w:pPr>
            <w:r w:rsidRPr="00B83AD3">
              <w:rPr>
                <w:rFonts w:eastAsia="Times New Roman" w:cs="Times New Roman"/>
                <w:color w:val="000000"/>
                <w:sz w:val="22"/>
                <w:lang w:eastAsia="et-EE"/>
              </w:rPr>
              <w:t xml:space="preserve">SIA </w:t>
            </w:r>
            <w:r w:rsidR="00840787" w:rsidRPr="00B83AD3">
              <w:rPr>
                <w:rFonts w:eastAsia="Times New Roman" w:cs="Times New Roman"/>
                <w:color w:val="000000"/>
                <w:sz w:val="22"/>
                <w:lang w:eastAsia="et-EE"/>
              </w:rPr>
              <w:t xml:space="preserve">Meža </w:t>
            </w:r>
            <w:r w:rsidRPr="00B83AD3">
              <w:rPr>
                <w:rFonts w:eastAsia="Times New Roman" w:cs="Times New Roman"/>
                <w:color w:val="000000"/>
                <w:sz w:val="22"/>
                <w:lang w:eastAsia="et-EE"/>
              </w:rPr>
              <w:t>īpašnieku</w:t>
            </w:r>
            <w:r w:rsidR="00840787" w:rsidRPr="00B83AD3">
              <w:rPr>
                <w:rFonts w:eastAsia="Times New Roman" w:cs="Times New Roman"/>
                <w:color w:val="000000"/>
                <w:sz w:val="22"/>
                <w:lang w:eastAsia="et-EE"/>
              </w:rPr>
              <w:t xml:space="preserve"> </w:t>
            </w:r>
            <w:r w:rsidRPr="00B83AD3">
              <w:rPr>
                <w:rFonts w:eastAsia="Times New Roman" w:cs="Times New Roman"/>
                <w:color w:val="000000"/>
                <w:sz w:val="22"/>
                <w:lang w:eastAsia="et-EE"/>
              </w:rPr>
              <w:t>konsultatīvais</w:t>
            </w:r>
            <w:r w:rsidR="00840787" w:rsidRPr="00B83AD3">
              <w:rPr>
                <w:rFonts w:eastAsia="Times New Roman" w:cs="Times New Roman"/>
                <w:color w:val="000000"/>
                <w:sz w:val="22"/>
                <w:lang w:eastAsia="et-EE"/>
              </w:rPr>
              <w:t xml:space="preserve"> centrs</w:t>
            </w:r>
          </w:p>
        </w:tc>
        <w:tc>
          <w:tcPr>
            <w:tcW w:w="931" w:type="dxa"/>
            <w:noWrap/>
          </w:tcPr>
          <w:p w14:paraId="66572503" w14:textId="77777777" w:rsidR="00840787" w:rsidRPr="00B83AD3" w:rsidRDefault="00840787" w:rsidP="00796453">
            <w:pPr>
              <w:spacing w:line="247"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t-EE"/>
              </w:rPr>
            </w:pPr>
          </w:p>
        </w:tc>
        <w:tc>
          <w:tcPr>
            <w:tcW w:w="1053" w:type="dxa"/>
            <w:noWrap/>
          </w:tcPr>
          <w:p w14:paraId="66572504" w14:textId="77777777" w:rsidR="00840787" w:rsidRPr="00B83AD3" w:rsidRDefault="002E75B2" w:rsidP="00796453">
            <w:pPr>
              <w:spacing w:line="247" w:lineRule="auto"/>
              <w:cnfStyle w:val="000000100000" w:firstRow="0" w:lastRow="0" w:firstColumn="0" w:lastColumn="0" w:oddVBand="0" w:evenVBand="0" w:oddHBand="1" w:evenHBand="0" w:firstRowFirstColumn="0" w:firstRowLastColumn="0" w:lastRowFirstColumn="0" w:lastRowLastColumn="0"/>
              <w:rPr>
                <w:rFonts w:eastAsia="Times New Roman" w:cs="Times New Roman"/>
                <w:noProof/>
                <w:color w:val="000000"/>
                <w:sz w:val="20"/>
                <w:szCs w:val="20"/>
                <w:lang w:val="en-US"/>
              </w:rPr>
            </w:pPr>
            <w:r w:rsidRPr="00B83AD3">
              <w:rPr>
                <w:rFonts w:eastAsia="Times New Roman" w:cs="Times New Roman"/>
                <w:noProof/>
                <w:color w:val="000000"/>
                <w:sz w:val="20"/>
                <w:szCs w:val="20"/>
                <w:lang w:eastAsia="lv-LV"/>
              </w:rPr>
              <w:drawing>
                <wp:anchor distT="0" distB="0" distL="114300" distR="114300" simplePos="0" relativeHeight="251681792" behindDoc="0" locked="0" layoutInCell="1" allowOverlap="1" wp14:anchorId="66572589" wp14:editId="6657258A">
                  <wp:simplePos x="0" y="0"/>
                  <wp:positionH relativeFrom="column">
                    <wp:posOffset>92075</wp:posOffset>
                  </wp:positionH>
                  <wp:positionV relativeFrom="paragraph">
                    <wp:posOffset>36195</wp:posOffset>
                  </wp:positionV>
                  <wp:extent cx="215900" cy="222250"/>
                  <wp:effectExtent l="0" t="0" r="0" b="0"/>
                  <wp:wrapNone/>
                  <wp:docPr id="14" name="Picture 14"/>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900" cy="222250"/>
                          </a:xfrm>
                          <a:prstGeom prst="rect">
                            <a:avLst/>
                          </a:prstGeom>
                        </pic:spPr>
                      </pic:pic>
                    </a:graphicData>
                  </a:graphic>
                  <wp14:sizeRelH relativeFrom="page">
                    <wp14:pctWidth>0</wp14:pctWidth>
                  </wp14:sizeRelH>
                  <wp14:sizeRelV relativeFrom="page">
                    <wp14:pctHeight>0</wp14:pctHeight>
                  </wp14:sizeRelV>
                </wp:anchor>
              </w:drawing>
            </w:r>
          </w:p>
        </w:tc>
        <w:tc>
          <w:tcPr>
            <w:tcW w:w="851" w:type="dxa"/>
            <w:noWrap/>
          </w:tcPr>
          <w:p w14:paraId="66572505" w14:textId="77777777" w:rsidR="00840787" w:rsidRPr="00B83AD3" w:rsidRDefault="00840787" w:rsidP="00796453">
            <w:pPr>
              <w:spacing w:line="247"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t-EE"/>
              </w:rPr>
            </w:pPr>
          </w:p>
        </w:tc>
        <w:tc>
          <w:tcPr>
            <w:tcW w:w="1042" w:type="dxa"/>
            <w:noWrap/>
          </w:tcPr>
          <w:p w14:paraId="66572506" w14:textId="77777777" w:rsidR="00840787" w:rsidRPr="00B83AD3" w:rsidRDefault="00840787" w:rsidP="00796453">
            <w:pPr>
              <w:spacing w:line="247"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t-EE"/>
              </w:rPr>
            </w:pPr>
          </w:p>
        </w:tc>
        <w:tc>
          <w:tcPr>
            <w:tcW w:w="1113" w:type="dxa"/>
            <w:noWrap/>
          </w:tcPr>
          <w:p w14:paraId="66572507" w14:textId="77777777" w:rsidR="00840787" w:rsidRPr="00B83AD3" w:rsidRDefault="00840787" w:rsidP="00796453">
            <w:pPr>
              <w:spacing w:line="247"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t-EE"/>
              </w:rPr>
            </w:pPr>
          </w:p>
        </w:tc>
        <w:tc>
          <w:tcPr>
            <w:tcW w:w="937" w:type="dxa"/>
          </w:tcPr>
          <w:p w14:paraId="66572508" w14:textId="77777777" w:rsidR="00840787" w:rsidRPr="00B83AD3" w:rsidRDefault="00840787" w:rsidP="00796453">
            <w:pPr>
              <w:spacing w:line="247"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t-EE"/>
              </w:rPr>
            </w:pPr>
          </w:p>
        </w:tc>
      </w:tr>
      <w:tr w:rsidR="00840787" w:rsidRPr="00B83AD3" w14:paraId="66572511" w14:textId="77777777" w:rsidTr="00BF5D9D">
        <w:trPr>
          <w:trHeight w:val="288"/>
        </w:trPr>
        <w:tc>
          <w:tcPr>
            <w:cnfStyle w:val="001000000000" w:firstRow="0" w:lastRow="0" w:firstColumn="1" w:lastColumn="0" w:oddVBand="0" w:evenVBand="0" w:oddHBand="0" w:evenHBand="0" w:firstRowFirstColumn="0" w:firstRowLastColumn="0" w:lastRowFirstColumn="0" w:lastRowLastColumn="0"/>
            <w:tcW w:w="3114" w:type="dxa"/>
          </w:tcPr>
          <w:p w14:paraId="6657250A" w14:textId="77777777" w:rsidR="00840787" w:rsidRPr="00B83AD3" w:rsidRDefault="00B43104" w:rsidP="00B43104">
            <w:pPr>
              <w:spacing w:line="247" w:lineRule="auto"/>
              <w:rPr>
                <w:rFonts w:eastAsia="Times New Roman" w:cs="Times New Roman"/>
                <w:b w:val="0"/>
                <w:bCs w:val="0"/>
                <w:color w:val="000000"/>
                <w:sz w:val="22"/>
                <w:lang w:eastAsia="et-EE"/>
              </w:rPr>
            </w:pPr>
            <w:r w:rsidRPr="00B83AD3">
              <w:rPr>
                <w:rFonts w:eastAsia="Times New Roman" w:cs="Times New Roman"/>
                <w:color w:val="000000"/>
                <w:sz w:val="22"/>
                <w:lang w:eastAsia="et-EE"/>
              </w:rPr>
              <w:t xml:space="preserve">SIA </w:t>
            </w:r>
            <w:proofErr w:type="spellStart"/>
            <w:r w:rsidR="00840787" w:rsidRPr="00B83AD3">
              <w:rPr>
                <w:rFonts w:eastAsia="Times New Roman" w:cs="Times New Roman"/>
                <w:color w:val="000000"/>
                <w:sz w:val="22"/>
                <w:lang w:eastAsia="et-EE"/>
              </w:rPr>
              <w:t>Baltic</w:t>
            </w:r>
            <w:proofErr w:type="spellEnd"/>
            <w:r w:rsidR="00840787" w:rsidRPr="00B83AD3">
              <w:rPr>
                <w:rFonts w:eastAsia="Times New Roman" w:cs="Times New Roman"/>
                <w:color w:val="000000"/>
                <w:sz w:val="22"/>
                <w:lang w:eastAsia="et-EE"/>
              </w:rPr>
              <w:t xml:space="preserve"> </w:t>
            </w:r>
            <w:proofErr w:type="spellStart"/>
            <w:r w:rsidR="00840787" w:rsidRPr="00B83AD3">
              <w:rPr>
                <w:rFonts w:eastAsia="Times New Roman" w:cs="Times New Roman"/>
                <w:color w:val="000000"/>
                <w:sz w:val="22"/>
                <w:lang w:eastAsia="et-EE"/>
              </w:rPr>
              <w:t>Satellite</w:t>
            </w:r>
            <w:proofErr w:type="spellEnd"/>
            <w:r w:rsidR="00840787" w:rsidRPr="00B83AD3">
              <w:rPr>
                <w:rFonts w:eastAsia="Times New Roman" w:cs="Times New Roman"/>
                <w:color w:val="000000"/>
                <w:sz w:val="22"/>
                <w:lang w:eastAsia="et-EE"/>
              </w:rPr>
              <w:t xml:space="preserve"> </w:t>
            </w:r>
            <w:proofErr w:type="spellStart"/>
            <w:r w:rsidR="00840787" w:rsidRPr="00B83AD3">
              <w:rPr>
                <w:rFonts w:eastAsia="Times New Roman" w:cs="Times New Roman"/>
                <w:color w:val="000000"/>
                <w:sz w:val="22"/>
                <w:lang w:eastAsia="et-EE"/>
              </w:rPr>
              <w:t>Service</w:t>
            </w:r>
            <w:proofErr w:type="spellEnd"/>
            <w:r w:rsidR="00840787" w:rsidRPr="00B83AD3">
              <w:rPr>
                <w:rFonts w:eastAsia="Times New Roman" w:cs="Times New Roman"/>
                <w:color w:val="000000"/>
                <w:sz w:val="22"/>
                <w:lang w:eastAsia="et-EE"/>
              </w:rPr>
              <w:t xml:space="preserve"> </w:t>
            </w:r>
          </w:p>
        </w:tc>
        <w:tc>
          <w:tcPr>
            <w:tcW w:w="931" w:type="dxa"/>
            <w:noWrap/>
          </w:tcPr>
          <w:p w14:paraId="6657250B" w14:textId="77777777" w:rsidR="00840787" w:rsidRPr="00B83AD3" w:rsidRDefault="00840787" w:rsidP="00796453">
            <w:pPr>
              <w:spacing w:line="247"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t-EE"/>
              </w:rPr>
            </w:pPr>
          </w:p>
        </w:tc>
        <w:tc>
          <w:tcPr>
            <w:tcW w:w="1053" w:type="dxa"/>
            <w:noWrap/>
          </w:tcPr>
          <w:p w14:paraId="6657250C" w14:textId="77777777" w:rsidR="00840787" w:rsidRPr="00B83AD3" w:rsidRDefault="002E75B2" w:rsidP="00796453">
            <w:pPr>
              <w:spacing w:line="247" w:lineRule="auto"/>
              <w:cnfStyle w:val="000000000000" w:firstRow="0" w:lastRow="0" w:firstColumn="0" w:lastColumn="0" w:oddVBand="0" w:evenVBand="0" w:oddHBand="0" w:evenHBand="0" w:firstRowFirstColumn="0" w:firstRowLastColumn="0" w:lastRowFirstColumn="0" w:lastRowLastColumn="0"/>
              <w:rPr>
                <w:rFonts w:eastAsia="Times New Roman" w:cs="Times New Roman"/>
                <w:noProof/>
                <w:color w:val="000000"/>
                <w:sz w:val="20"/>
                <w:szCs w:val="20"/>
                <w:lang w:val="en-US"/>
              </w:rPr>
            </w:pPr>
            <w:r w:rsidRPr="00B83AD3">
              <w:rPr>
                <w:rFonts w:eastAsia="Times New Roman" w:cs="Times New Roman"/>
                <w:noProof/>
                <w:color w:val="000000"/>
                <w:sz w:val="20"/>
                <w:szCs w:val="20"/>
                <w:lang w:eastAsia="lv-LV"/>
              </w:rPr>
              <w:drawing>
                <wp:anchor distT="0" distB="0" distL="114300" distR="114300" simplePos="0" relativeHeight="251698176" behindDoc="0" locked="0" layoutInCell="1" allowOverlap="1" wp14:anchorId="6657258B" wp14:editId="6657258C">
                  <wp:simplePos x="0" y="0"/>
                  <wp:positionH relativeFrom="column">
                    <wp:posOffset>92075</wp:posOffset>
                  </wp:positionH>
                  <wp:positionV relativeFrom="paragraph">
                    <wp:posOffset>-3810</wp:posOffset>
                  </wp:positionV>
                  <wp:extent cx="215900" cy="222250"/>
                  <wp:effectExtent l="0" t="0" r="0" b="0"/>
                  <wp:wrapNone/>
                  <wp:docPr id="22" name="Picture 22"/>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900" cy="222250"/>
                          </a:xfrm>
                          <a:prstGeom prst="rect">
                            <a:avLst/>
                          </a:prstGeom>
                        </pic:spPr>
                      </pic:pic>
                    </a:graphicData>
                  </a:graphic>
                  <wp14:sizeRelH relativeFrom="page">
                    <wp14:pctWidth>0</wp14:pctWidth>
                  </wp14:sizeRelH>
                  <wp14:sizeRelV relativeFrom="page">
                    <wp14:pctHeight>0</wp14:pctHeight>
                  </wp14:sizeRelV>
                </wp:anchor>
              </w:drawing>
            </w:r>
          </w:p>
        </w:tc>
        <w:tc>
          <w:tcPr>
            <w:tcW w:w="851" w:type="dxa"/>
            <w:noWrap/>
          </w:tcPr>
          <w:p w14:paraId="6657250D" w14:textId="77777777" w:rsidR="00840787" w:rsidRPr="00B83AD3" w:rsidRDefault="00840787" w:rsidP="00796453">
            <w:pPr>
              <w:spacing w:line="247"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t-EE"/>
              </w:rPr>
            </w:pPr>
          </w:p>
        </w:tc>
        <w:tc>
          <w:tcPr>
            <w:tcW w:w="1042" w:type="dxa"/>
            <w:noWrap/>
          </w:tcPr>
          <w:p w14:paraId="6657250E" w14:textId="77777777" w:rsidR="00840787" w:rsidRPr="00B83AD3" w:rsidRDefault="00840787" w:rsidP="00796453">
            <w:pPr>
              <w:spacing w:line="247"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t-EE"/>
              </w:rPr>
            </w:pPr>
          </w:p>
        </w:tc>
        <w:tc>
          <w:tcPr>
            <w:tcW w:w="1113" w:type="dxa"/>
            <w:noWrap/>
          </w:tcPr>
          <w:p w14:paraId="6657250F" w14:textId="77777777" w:rsidR="00840787" w:rsidRPr="00B83AD3" w:rsidRDefault="00840787" w:rsidP="00796453">
            <w:pPr>
              <w:spacing w:line="247"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t-EE"/>
              </w:rPr>
            </w:pPr>
          </w:p>
        </w:tc>
        <w:tc>
          <w:tcPr>
            <w:tcW w:w="937" w:type="dxa"/>
          </w:tcPr>
          <w:p w14:paraId="66572510" w14:textId="77777777" w:rsidR="00840787" w:rsidRPr="00B83AD3" w:rsidRDefault="00840787" w:rsidP="00796453">
            <w:pPr>
              <w:spacing w:line="247"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t-EE"/>
              </w:rPr>
            </w:pPr>
          </w:p>
        </w:tc>
      </w:tr>
      <w:tr w:rsidR="00366E44" w:rsidRPr="00B83AD3" w14:paraId="66572519" w14:textId="77777777" w:rsidTr="0030486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114" w:type="dxa"/>
          </w:tcPr>
          <w:p w14:paraId="66572512" w14:textId="77777777" w:rsidR="00366E44" w:rsidRPr="00B83AD3" w:rsidRDefault="00366E44" w:rsidP="00796453">
            <w:pPr>
              <w:spacing w:line="247" w:lineRule="auto"/>
              <w:rPr>
                <w:rFonts w:eastAsia="Times New Roman" w:cs="Times New Roman"/>
                <w:b w:val="0"/>
                <w:bCs w:val="0"/>
                <w:color w:val="000000"/>
                <w:sz w:val="22"/>
                <w:lang w:eastAsia="et-EE"/>
              </w:rPr>
            </w:pPr>
            <w:r w:rsidRPr="00B83AD3">
              <w:rPr>
                <w:rFonts w:eastAsia="Times New Roman" w:cs="Times New Roman"/>
                <w:color w:val="000000"/>
                <w:sz w:val="22"/>
                <w:lang w:eastAsia="et-EE"/>
              </w:rPr>
              <w:t xml:space="preserve">SIA Allatherm </w:t>
            </w:r>
          </w:p>
        </w:tc>
        <w:tc>
          <w:tcPr>
            <w:tcW w:w="931" w:type="dxa"/>
            <w:noWrap/>
          </w:tcPr>
          <w:p w14:paraId="66572513" w14:textId="77777777" w:rsidR="00366E44" w:rsidRPr="00B83AD3" w:rsidRDefault="00366E44" w:rsidP="00796453">
            <w:pPr>
              <w:spacing w:line="247"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t-EE"/>
              </w:rPr>
            </w:pPr>
            <w:r w:rsidRPr="00B83AD3">
              <w:rPr>
                <w:rFonts w:eastAsia="Times New Roman" w:cs="Times New Roman"/>
                <w:noProof/>
                <w:color w:val="000000"/>
                <w:sz w:val="20"/>
                <w:szCs w:val="20"/>
                <w:lang w:eastAsia="lv-LV"/>
              </w:rPr>
              <w:drawing>
                <wp:anchor distT="0" distB="0" distL="114300" distR="114300" simplePos="0" relativeHeight="251685888" behindDoc="0" locked="0" layoutInCell="1" allowOverlap="1" wp14:anchorId="6657258D" wp14:editId="6657258E">
                  <wp:simplePos x="0" y="0"/>
                  <wp:positionH relativeFrom="column">
                    <wp:posOffset>73025</wp:posOffset>
                  </wp:positionH>
                  <wp:positionV relativeFrom="paragraph">
                    <wp:posOffset>-17145</wp:posOffset>
                  </wp:positionV>
                  <wp:extent cx="222250" cy="222250"/>
                  <wp:effectExtent l="0" t="0" r="6350" b="6350"/>
                  <wp:wrapNone/>
                  <wp:docPr id="16" name="Picture 16"/>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250" cy="222250"/>
                          </a:xfrm>
                          <a:prstGeom prst="rect">
                            <a:avLst/>
                          </a:prstGeom>
                        </pic:spPr>
                      </pic:pic>
                    </a:graphicData>
                  </a:graphic>
                  <wp14:sizeRelH relativeFrom="page">
                    <wp14:pctWidth>0</wp14:pctWidth>
                  </wp14:sizeRelH>
                  <wp14:sizeRelV relativeFrom="page">
                    <wp14:pctHeight>0</wp14:pctHeight>
                  </wp14:sizeRelV>
                </wp:anchor>
              </w:drawing>
            </w:r>
          </w:p>
        </w:tc>
        <w:tc>
          <w:tcPr>
            <w:tcW w:w="1053" w:type="dxa"/>
            <w:noWrap/>
          </w:tcPr>
          <w:p w14:paraId="66572514" w14:textId="77777777" w:rsidR="00366E44" w:rsidRPr="00B83AD3" w:rsidRDefault="00366E44" w:rsidP="00796453">
            <w:pPr>
              <w:spacing w:line="247" w:lineRule="auto"/>
              <w:cnfStyle w:val="000000100000" w:firstRow="0" w:lastRow="0" w:firstColumn="0" w:lastColumn="0" w:oddVBand="0" w:evenVBand="0" w:oddHBand="1" w:evenHBand="0" w:firstRowFirstColumn="0" w:firstRowLastColumn="0" w:lastRowFirstColumn="0" w:lastRowLastColumn="0"/>
              <w:rPr>
                <w:rFonts w:eastAsia="Times New Roman" w:cs="Times New Roman"/>
                <w:noProof/>
                <w:color w:val="000000"/>
                <w:sz w:val="20"/>
                <w:szCs w:val="20"/>
                <w:lang w:val="en-US"/>
              </w:rPr>
            </w:pPr>
          </w:p>
        </w:tc>
        <w:tc>
          <w:tcPr>
            <w:tcW w:w="851" w:type="dxa"/>
            <w:noWrap/>
          </w:tcPr>
          <w:p w14:paraId="66572515" w14:textId="77777777" w:rsidR="00366E44" w:rsidRPr="00B83AD3" w:rsidRDefault="00366E44" w:rsidP="00796453">
            <w:pPr>
              <w:spacing w:line="247"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t-EE"/>
              </w:rPr>
            </w:pPr>
          </w:p>
        </w:tc>
        <w:tc>
          <w:tcPr>
            <w:tcW w:w="1042" w:type="dxa"/>
            <w:noWrap/>
          </w:tcPr>
          <w:p w14:paraId="66572516" w14:textId="77777777" w:rsidR="00366E44" w:rsidRPr="00B83AD3" w:rsidRDefault="00366E44" w:rsidP="00796453">
            <w:pPr>
              <w:spacing w:line="247"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t-EE"/>
              </w:rPr>
            </w:pPr>
          </w:p>
        </w:tc>
        <w:tc>
          <w:tcPr>
            <w:tcW w:w="1113" w:type="dxa"/>
            <w:noWrap/>
          </w:tcPr>
          <w:p w14:paraId="66572517" w14:textId="77777777" w:rsidR="00366E44" w:rsidRPr="00B83AD3" w:rsidRDefault="00366E44" w:rsidP="00796453">
            <w:pPr>
              <w:spacing w:line="247"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t-EE"/>
              </w:rPr>
            </w:pPr>
          </w:p>
        </w:tc>
        <w:tc>
          <w:tcPr>
            <w:tcW w:w="937" w:type="dxa"/>
          </w:tcPr>
          <w:p w14:paraId="66572518" w14:textId="77777777" w:rsidR="00366E44" w:rsidRPr="00B83AD3" w:rsidRDefault="00366E44" w:rsidP="00796453">
            <w:pPr>
              <w:spacing w:line="247"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GB" w:eastAsia="et-EE"/>
              </w:rPr>
            </w:pPr>
            <w:r w:rsidRPr="00B83AD3">
              <w:rPr>
                <w:rFonts w:eastAsia="Times New Roman" w:cs="Times New Roman"/>
                <w:noProof/>
                <w:color w:val="000000"/>
                <w:sz w:val="20"/>
                <w:szCs w:val="20"/>
                <w:lang w:eastAsia="lv-LV"/>
              </w:rPr>
              <w:drawing>
                <wp:anchor distT="0" distB="0" distL="114300" distR="114300" simplePos="0" relativeHeight="251689984" behindDoc="0" locked="0" layoutInCell="1" allowOverlap="1" wp14:anchorId="6657258F" wp14:editId="66572590">
                  <wp:simplePos x="0" y="0"/>
                  <wp:positionH relativeFrom="column">
                    <wp:posOffset>139700</wp:posOffset>
                  </wp:positionH>
                  <wp:positionV relativeFrom="paragraph">
                    <wp:posOffset>-19685</wp:posOffset>
                  </wp:positionV>
                  <wp:extent cx="222250" cy="222250"/>
                  <wp:effectExtent l="0" t="0" r="6350" b="6350"/>
                  <wp:wrapNone/>
                  <wp:docPr id="18" name="Picture 18"/>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250" cy="222250"/>
                          </a:xfrm>
                          <a:prstGeom prst="rect">
                            <a:avLst/>
                          </a:prstGeom>
                        </pic:spPr>
                      </pic:pic>
                    </a:graphicData>
                  </a:graphic>
                  <wp14:sizeRelH relativeFrom="page">
                    <wp14:pctWidth>0</wp14:pctWidth>
                  </wp14:sizeRelH>
                  <wp14:sizeRelV relativeFrom="page">
                    <wp14:pctHeight>0</wp14:pctHeight>
                  </wp14:sizeRelV>
                </wp:anchor>
              </w:drawing>
            </w:r>
          </w:p>
        </w:tc>
      </w:tr>
      <w:tr w:rsidR="00366E44" w:rsidRPr="00B83AD3" w14:paraId="66572521" w14:textId="77777777" w:rsidTr="0030486A">
        <w:trPr>
          <w:trHeight w:val="359"/>
        </w:trPr>
        <w:tc>
          <w:tcPr>
            <w:cnfStyle w:val="001000000000" w:firstRow="0" w:lastRow="0" w:firstColumn="1" w:lastColumn="0" w:oddVBand="0" w:evenVBand="0" w:oddHBand="0" w:evenHBand="0" w:firstRowFirstColumn="0" w:firstRowLastColumn="0" w:lastRowFirstColumn="0" w:lastRowLastColumn="0"/>
            <w:tcW w:w="3114" w:type="dxa"/>
          </w:tcPr>
          <w:p w14:paraId="6657251A" w14:textId="77777777" w:rsidR="00366E44" w:rsidRPr="00B83AD3" w:rsidRDefault="00366E44" w:rsidP="00796453">
            <w:pPr>
              <w:spacing w:line="247" w:lineRule="auto"/>
              <w:rPr>
                <w:rFonts w:eastAsia="Times New Roman" w:cs="Times New Roman"/>
                <w:b w:val="0"/>
                <w:bCs w:val="0"/>
                <w:color w:val="000000"/>
                <w:sz w:val="22"/>
                <w:lang w:eastAsia="et-EE"/>
              </w:rPr>
            </w:pPr>
            <w:r w:rsidRPr="00B83AD3">
              <w:rPr>
                <w:rFonts w:eastAsia="Times New Roman" w:cs="Times New Roman"/>
                <w:color w:val="000000"/>
                <w:sz w:val="22"/>
                <w:lang w:eastAsia="et-EE"/>
              </w:rPr>
              <w:t xml:space="preserve">SIA </w:t>
            </w:r>
            <w:proofErr w:type="spellStart"/>
            <w:r w:rsidRPr="00B83AD3">
              <w:rPr>
                <w:rFonts w:eastAsia="Times New Roman" w:cs="Times New Roman"/>
                <w:color w:val="000000"/>
                <w:sz w:val="22"/>
                <w:lang w:eastAsia="et-EE"/>
              </w:rPr>
              <w:t>Fibre</w:t>
            </w:r>
            <w:proofErr w:type="spellEnd"/>
            <w:r w:rsidRPr="00B83AD3">
              <w:rPr>
                <w:rFonts w:eastAsia="Times New Roman" w:cs="Times New Roman"/>
                <w:color w:val="000000"/>
                <w:sz w:val="22"/>
                <w:lang w:eastAsia="et-EE"/>
              </w:rPr>
              <w:t xml:space="preserve"> </w:t>
            </w:r>
            <w:proofErr w:type="spellStart"/>
            <w:r w:rsidRPr="00B83AD3">
              <w:rPr>
                <w:rFonts w:eastAsia="Times New Roman" w:cs="Times New Roman"/>
                <w:color w:val="000000"/>
                <w:sz w:val="22"/>
                <w:lang w:eastAsia="et-EE"/>
              </w:rPr>
              <w:t>Optical</w:t>
            </w:r>
            <w:proofErr w:type="spellEnd"/>
            <w:r w:rsidRPr="00B83AD3">
              <w:rPr>
                <w:rFonts w:eastAsia="Times New Roman" w:cs="Times New Roman"/>
                <w:color w:val="000000"/>
                <w:sz w:val="22"/>
                <w:lang w:eastAsia="et-EE"/>
              </w:rPr>
              <w:t xml:space="preserve"> Solutions</w:t>
            </w:r>
          </w:p>
        </w:tc>
        <w:tc>
          <w:tcPr>
            <w:tcW w:w="931" w:type="dxa"/>
            <w:noWrap/>
          </w:tcPr>
          <w:p w14:paraId="6657251B" w14:textId="77777777" w:rsidR="00366E44" w:rsidRPr="00B83AD3" w:rsidRDefault="00366E44" w:rsidP="00796453">
            <w:pPr>
              <w:spacing w:line="247"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t-EE"/>
              </w:rPr>
            </w:pPr>
            <w:r w:rsidRPr="00B83AD3">
              <w:rPr>
                <w:rFonts w:eastAsia="Times New Roman" w:cs="Times New Roman"/>
                <w:noProof/>
                <w:color w:val="000000"/>
                <w:sz w:val="20"/>
                <w:szCs w:val="20"/>
                <w:lang w:eastAsia="lv-LV"/>
              </w:rPr>
              <w:drawing>
                <wp:anchor distT="0" distB="0" distL="114300" distR="114300" simplePos="0" relativeHeight="251687936" behindDoc="0" locked="0" layoutInCell="1" allowOverlap="1" wp14:anchorId="66572591" wp14:editId="66572592">
                  <wp:simplePos x="0" y="0"/>
                  <wp:positionH relativeFrom="column">
                    <wp:posOffset>73660</wp:posOffset>
                  </wp:positionH>
                  <wp:positionV relativeFrom="paragraph">
                    <wp:posOffset>-6350</wp:posOffset>
                  </wp:positionV>
                  <wp:extent cx="222250" cy="222250"/>
                  <wp:effectExtent l="0" t="0" r="6350" b="6350"/>
                  <wp:wrapNone/>
                  <wp:docPr id="17" name="Picture 17"/>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250" cy="222250"/>
                          </a:xfrm>
                          <a:prstGeom prst="rect">
                            <a:avLst/>
                          </a:prstGeom>
                        </pic:spPr>
                      </pic:pic>
                    </a:graphicData>
                  </a:graphic>
                  <wp14:sizeRelH relativeFrom="page">
                    <wp14:pctWidth>0</wp14:pctWidth>
                  </wp14:sizeRelH>
                  <wp14:sizeRelV relativeFrom="page">
                    <wp14:pctHeight>0</wp14:pctHeight>
                  </wp14:sizeRelV>
                </wp:anchor>
              </w:drawing>
            </w:r>
          </w:p>
        </w:tc>
        <w:tc>
          <w:tcPr>
            <w:tcW w:w="1053" w:type="dxa"/>
            <w:noWrap/>
          </w:tcPr>
          <w:p w14:paraId="6657251C" w14:textId="77777777" w:rsidR="00366E44" w:rsidRPr="00B83AD3" w:rsidRDefault="00366E44" w:rsidP="00796453">
            <w:pPr>
              <w:spacing w:line="247" w:lineRule="auto"/>
              <w:cnfStyle w:val="000000000000" w:firstRow="0" w:lastRow="0" w:firstColumn="0" w:lastColumn="0" w:oddVBand="0" w:evenVBand="0" w:oddHBand="0" w:evenHBand="0" w:firstRowFirstColumn="0" w:firstRowLastColumn="0" w:lastRowFirstColumn="0" w:lastRowLastColumn="0"/>
              <w:rPr>
                <w:rFonts w:eastAsia="Times New Roman" w:cs="Times New Roman"/>
                <w:noProof/>
                <w:color w:val="000000"/>
                <w:sz w:val="20"/>
                <w:szCs w:val="20"/>
                <w:lang w:val="en-US"/>
              </w:rPr>
            </w:pPr>
          </w:p>
        </w:tc>
        <w:tc>
          <w:tcPr>
            <w:tcW w:w="851" w:type="dxa"/>
            <w:noWrap/>
          </w:tcPr>
          <w:p w14:paraId="6657251D" w14:textId="77777777" w:rsidR="00366E44" w:rsidRPr="00B83AD3" w:rsidRDefault="00366E44" w:rsidP="00796453">
            <w:pPr>
              <w:spacing w:line="247"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t-EE"/>
              </w:rPr>
            </w:pPr>
          </w:p>
        </w:tc>
        <w:tc>
          <w:tcPr>
            <w:tcW w:w="1042" w:type="dxa"/>
            <w:noWrap/>
          </w:tcPr>
          <w:p w14:paraId="6657251E" w14:textId="77777777" w:rsidR="00366E44" w:rsidRPr="00B83AD3" w:rsidRDefault="00366E44" w:rsidP="00796453">
            <w:pPr>
              <w:spacing w:line="247"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t-EE"/>
              </w:rPr>
            </w:pPr>
          </w:p>
        </w:tc>
        <w:tc>
          <w:tcPr>
            <w:tcW w:w="1113" w:type="dxa"/>
            <w:noWrap/>
          </w:tcPr>
          <w:p w14:paraId="6657251F" w14:textId="77777777" w:rsidR="00366E44" w:rsidRPr="00B83AD3" w:rsidRDefault="00366E44" w:rsidP="00796453">
            <w:pPr>
              <w:spacing w:line="247"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t-EE"/>
              </w:rPr>
            </w:pPr>
          </w:p>
        </w:tc>
        <w:tc>
          <w:tcPr>
            <w:tcW w:w="937" w:type="dxa"/>
          </w:tcPr>
          <w:p w14:paraId="66572520" w14:textId="77777777" w:rsidR="00366E44" w:rsidRPr="00B83AD3" w:rsidRDefault="00366E44" w:rsidP="00796453">
            <w:pPr>
              <w:spacing w:line="247"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GB" w:eastAsia="et-EE"/>
              </w:rPr>
            </w:pPr>
          </w:p>
        </w:tc>
      </w:tr>
    </w:tbl>
    <w:p w14:paraId="66572522" w14:textId="77777777" w:rsidR="00840787" w:rsidRPr="00B83AD3" w:rsidRDefault="00840787" w:rsidP="00840787">
      <w:pPr>
        <w:rPr>
          <w:rFonts w:cs="Times New Roman"/>
          <w:b/>
        </w:rPr>
      </w:pPr>
    </w:p>
    <w:p w14:paraId="66572523" w14:textId="2E0A60DF" w:rsidR="00650D16" w:rsidRPr="00B83AD3" w:rsidRDefault="00F914CD" w:rsidP="007C5DD5">
      <w:pPr>
        <w:rPr>
          <w:rFonts w:cs="Times New Roman"/>
        </w:rPr>
      </w:pPr>
      <w:r w:rsidRPr="00B83AD3">
        <w:rPr>
          <w:rFonts w:cs="Times New Roman"/>
        </w:rPr>
        <w:tab/>
        <w:t xml:space="preserve">EKA tiek īstenota industriālā iepirkumu politika – </w:t>
      </w:r>
      <w:proofErr w:type="spellStart"/>
      <w:r w:rsidRPr="00B83AD3">
        <w:rPr>
          <w:rFonts w:cs="Times New Roman"/>
          <w:i/>
        </w:rPr>
        <w:t>geo-return</w:t>
      </w:r>
      <w:proofErr w:type="spellEnd"/>
      <w:r w:rsidRPr="00B83AD3">
        <w:rPr>
          <w:rStyle w:val="FootnoteReference"/>
          <w:rFonts w:cs="Times New Roman"/>
          <w:i/>
        </w:rPr>
        <w:footnoteReference w:id="18"/>
      </w:r>
      <w:r w:rsidRPr="00B83AD3">
        <w:rPr>
          <w:rFonts w:cs="Times New Roman"/>
        </w:rPr>
        <w:t xml:space="preserve"> (taisnīgas kompensācijas politik</w:t>
      </w:r>
      <w:r w:rsidR="00214BBF" w:rsidRPr="00B83AD3">
        <w:rPr>
          <w:rFonts w:cs="Times New Roman"/>
        </w:rPr>
        <w:t>a).</w:t>
      </w:r>
      <w:r w:rsidRPr="00B83AD3">
        <w:rPr>
          <w:rFonts w:cs="Times New Roman"/>
        </w:rPr>
        <w:t xml:space="preserve"> Praksē tas nozīmē, ka EKA garantē, ka</w:t>
      </w:r>
      <w:r w:rsidR="0053248A" w:rsidRPr="00B83AD3">
        <w:rPr>
          <w:rFonts w:cs="Times New Roman"/>
        </w:rPr>
        <w:t xml:space="preserve"> asociēto dalībvalstu vai</w:t>
      </w:r>
      <w:r w:rsidRPr="00B83AD3">
        <w:rPr>
          <w:rFonts w:cs="Times New Roman"/>
        </w:rPr>
        <w:t xml:space="preserve"> dalībvalstu iemaksas tiek at</w:t>
      </w:r>
      <w:r w:rsidR="00373A8E" w:rsidRPr="00B83AD3">
        <w:rPr>
          <w:rFonts w:cs="Times New Roman"/>
        </w:rPr>
        <w:t>grieztas kā finansējums līgumos</w:t>
      </w:r>
      <w:r w:rsidRPr="00B83AD3">
        <w:rPr>
          <w:rFonts w:cs="Times New Roman"/>
        </w:rPr>
        <w:t xml:space="preserve"> ar </w:t>
      </w:r>
      <w:r w:rsidR="0053248A" w:rsidRPr="00B83AD3">
        <w:rPr>
          <w:rFonts w:cs="Times New Roman"/>
        </w:rPr>
        <w:t>šo valstu</w:t>
      </w:r>
      <w:r w:rsidRPr="00B83AD3">
        <w:rPr>
          <w:rFonts w:cs="Times New Roman"/>
        </w:rPr>
        <w:t xml:space="preserve"> ražotājiem. Garantētais rūpniecības </w:t>
      </w:r>
      <w:proofErr w:type="spellStart"/>
      <w:r w:rsidRPr="00B83AD3">
        <w:rPr>
          <w:rFonts w:cs="Times New Roman"/>
        </w:rPr>
        <w:t>atdeves</w:t>
      </w:r>
      <w:proofErr w:type="spellEnd"/>
      <w:r w:rsidRPr="00B83AD3">
        <w:rPr>
          <w:rFonts w:cs="Times New Roman"/>
        </w:rPr>
        <w:t xml:space="preserve"> procents (pēc EKA iekšējo izmaksu segšanas) ir aptuveni 85% no katras atsevišķas programmas izmaksām un 95% no kopējā rūpniecības apgrozījuma pēc visu noslēgto līgumu izpildes. Tas nodrošina, ka lielākā daļa finansējuma ir pieejama dalībvalsts attīstībai. Tādos ES finanšu instrumentos kā, piemēram, </w:t>
      </w:r>
      <w:r w:rsidR="0060318D" w:rsidRPr="00B83AD3">
        <w:rPr>
          <w:rFonts w:cs="Times New Roman"/>
        </w:rPr>
        <w:t xml:space="preserve">pētniecības un inovāciju atbalsta programma </w:t>
      </w:r>
      <w:r w:rsidR="00F907C0" w:rsidRPr="00B83AD3">
        <w:rPr>
          <w:rFonts w:cs="Times New Roman"/>
          <w:sz w:val="28"/>
          <w:szCs w:val="28"/>
        </w:rPr>
        <w:t>"</w:t>
      </w:r>
      <w:r w:rsidRPr="00B83AD3">
        <w:rPr>
          <w:rFonts w:cs="Times New Roman"/>
        </w:rPr>
        <w:t>Apvārsnis 2020</w:t>
      </w:r>
      <w:r w:rsidR="00F907C0" w:rsidRPr="00B83AD3">
        <w:rPr>
          <w:rFonts w:cs="Times New Roman"/>
          <w:sz w:val="28"/>
          <w:szCs w:val="28"/>
        </w:rPr>
        <w:t>"</w:t>
      </w:r>
      <w:r w:rsidRPr="00B83AD3">
        <w:rPr>
          <w:rFonts w:cs="Times New Roman"/>
        </w:rPr>
        <w:t>, tiek īstenota princip</w:t>
      </w:r>
      <w:r w:rsidR="005C63E9" w:rsidRPr="00B83AD3">
        <w:rPr>
          <w:rFonts w:cs="Times New Roman"/>
        </w:rPr>
        <w:t>iāli citāda iepirkumu politika,</w:t>
      </w:r>
      <w:r w:rsidRPr="00B83AD3">
        <w:rPr>
          <w:rFonts w:cs="Times New Roman"/>
        </w:rPr>
        <w:t xml:space="preserve"> piemēram, netiek garantēta noteikta finansējuma apjoma pieejamība katrai ES dalībvalst</w:t>
      </w:r>
      <w:r w:rsidR="000C4A32" w:rsidRPr="00B83AD3">
        <w:rPr>
          <w:rFonts w:cs="Times New Roman"/>
        </w:rPr>
        <w:t xml:space="preserve">ij. </w:t>
      </w:r>
      <w:r w:rsidR="00611299" w:rsidRPr="00B83AD3">
        <w:rPr>
          <w:rFonts w:cs="Times New Roman"/>
        </w:rPr>
        <w:t>Būtiski ir uzsvērt, ka EKA projekta ietvaros</w:t>
      </w:r>
      <w:r w:rsidR="00FD3091" w:rsidRPr="00B83AD3">
        <w:rPr>
          <w:rFonts w:cs="Times New Roman"/>
        </w:rPr>
        <w:t xml:space="preserve"> radītā intelektuālā īpa</w:t>
      </w:r>
      <w:r w:rsidR="00611299" w:rsidRPr="00B83AD3">
        <w:rPr>
          <w:rFonts w:cs="Times New Roman"/>
        </w:rPr>
        <w:t>šuma</w:t>
      </w:r>
      <w:r w:rsidR="00FD3091" w:rsidRPr="00B83AD3">
        <w:rPr>
          <w:rFonts w:cs="Times New Roman"/>
        </w:rPr>
        <w:t xml:space="preserve"> īpašnieks ir projekta </w:t>
      </w:r>
      <w:r w:rsidR="00611299" w:rsidRPr="00B83AD3">
        <w:rPr>
          <w:rFonts w:cs="Times New Roman"/>
        </w:rPr>
        <w:t>īstenotājs</w:t>
      </w:r>
      <w:r w:rsidR="00FD3091" w:rsidRPr="00B83AD3">
        <w:rPr>
          <w:rFonts w:cs="Times New Roman"/>
        </w:rPr>
        <w:t xml:space="preserve">, </w:t>
      </w:r>
      <w:r w:rsidR="00611299" w:rsidRPr="00B83AD3">
        <w:rPr>
          <w:rFonts w:cs="Times New Roman"/>
        </w:rPr>
        <w:t xml:space="preserve">savukārt </w:t>
      </w:r>
      <w:r w:rsidR="00FD3091" w:rsidRPr="00B83AD3">
        <w:rPr>
          <w:rFonts w:cs="Times New Roman"/>
        </w:rPr>
        <w:t>EKA patur iespējas piekļūt</w:t>
      </w:r>
      <w:r w:rsidR="000C4A32" w:rsidRPr="00B83AD3">
        <w:rPr>
          <w:rFonts w:cs="Times New Roman"/>
        </w:rPr>
        <w:t xml:space="preserve"> to finansēto projektu ietvaros radītajam intelektuālajam īpašumam.</w:t>
      </w:r>
      <w:r w:rsidR="00EC2C56" w:rsidRPr="00B83AD3">
        <w:rPr>
          <w:rStyle w:val="FootnoteReference"/>
          <w:rFonts w:cs="Times New Roman"/>
        </w:rPr>
        <w:footnoteReference w:id="19"/>
      </w:r>
      <w:r w:rsidR="000C4A32" w:rsidRPr="00B83AD3">
        <w:rPr>
          <w:rFonts w:cs="Times New Roman"/>
        </w:rPr>
        <w:t xml:space="preserve"> </w:t>
      </w:r>
    </w:p>
    <w:p w14:paraId="66572524" w14:textId="77777777" w:rsidR="007C5DD5" w:rsidRPr="00B83AD3" w:rsidRDefault="00EC2C56" w:rsidP="007C5DD5">
      <w:pPr>
        <w:rPr>
          <w:rFonts w:cs="Times New Roman"/>
        </w:rPr>
      </w:pPr>
      <w:r w:rsidRPr="00B83AD3">
        <w:rPr>
          <w:rFonts w:cs="Times New Roman"/>
        </w:rPr>
        <w:tab/>
      </w:r>
      <w:r w:rsidR="00373A8E" w:rsidRPr="00B83AD3">
        <w:rPr>
          <w:rFonts w:cs="Times New Roman"/>
        </w:rPr>
        <w:t xml:space="preserve">Savukārt </w:t>
      </w:r>
      <w:r w:rsidR="005219E2" w:rsidRPr="00B83AD3">
        <w:rPr>
          <w:rFonts w:cs="Times New Roman"/>
        </w:rPr>
        <w:t>ESV</w:t>
      </w:r>
      <w:r w:rsidRPr="00B83AD3">
        <w:rPr>
          <w:rFonts w:cs="Times New Roman"/>
        </w:rPr>
        <w:t xml:space="preserve"> statusa</w:t>
      </w:r>
      <w:r w:rsidR="00373A8E" w:rsidRPr="00B83AD3">
        <w:rPr>
          <w:rFonts w:cs="Times New Roman"/>
        </w:rPr>
        <w:t xml:space="preserve"> pamatā ir tikai </w:t>
      </w:r>
      <w:r w:rsidR="00C96F88" w:rsidRPr="00B83AD3">
        <w:rPr>
          <w:rFonts w:cs="Times New Roman"/>
        </w:rPr>
        <w:t>Pieprasītāja</w:t>
      </w:r>
      <w:r w:rsidR="005219E2" w:rsidRPr="00B83AD3">
        <w:rPr>
          <w:rFonts w:cs="Times New Roman"/>
        </w:rPr>
        <w:t xml:space="preserve"> puses programma, kuras mērķis stiprināt valsts kosmosa nozari, tās industriālo kapacitāti, kompetences un prasmes, lai nākotnē dibinātu ciešāku sadarbību ar EKA </w:t>
      </w:r>
      <w:r w:rsidR="00361DA0" w:rsidRPr="00B83AD3">
        <w:rPr>
          <w:rFonts w:cs="Times New Roman"/>
        </w:rPr>
        <w:t>a</w:t>
      </w:r>
      <w:r w:rsidR="005219E2" w:rsidRPr="00B83AD3">
        <w:rPr>
          <w:rFonts w:cs="Times New Roman"/>
        </w:rPr>
        <w:t xml:space="preserve">sociētās vai dalībvalsts statusā. Latvija šobrīd īsteno ESV statusu, kas noslēgsies 2020.gada janvārī. </w:t>
      </w:r>
      <w:r w:rsidR="00BB6A88" w:rsidRPr="00B83AD3">
        <w:rPr>
          <w:rFonts w:cs="Times New Roman"/>
        </w:rPr>
        <w:t xml:space="preserve">ESV statuss nav EKA dalībnieka statuss un </w:t>
      </w:r>
      <w:r w:rsidR="00C80669" w:rsidRPr="00B83AD3">
        <w:rPr>
          <w:rFonts w:cs="Times New Roman"/>
        </w:rPr>
        <w:t>ESV valstis neiesaistās EKA pārvaldībā.</w:t>
      </w:r>
    </w:p>
    <w:p w14:paraId="66572525" w14:textId="77777777" w:rsidR="00361DA0" w:rsidRPr="00B83AD3" w:rsidRDefault="00361DA0" w:rsidP="007C5DD5">
      <w:pPr>
        <w:rPr>
          <w:rFonts w:cs="Times New Roman"/>
        </w:rPr>
      </w:pPr>
    </w:p>
    <w:p w14:paraId="66572526" w14:textId="77777777" w:rsidR="00361DA0" w:rsidRPr="00B83AD3" w:rsidRDefault="00361DA0" w:rsidP="00361DA0">
      <w:pPr>
        <w:jc w:val="center"/>
        <w:rPr>
          <w:rFonts w:cs="Times New Roman"/>
          <w:b/>
        </w:rPr>
      </w:pPr>
      <w:r w:rsidRPr="00B83AD3">
        <w:rPr>
          <w:rFonts w:cs="Times New Roman"/>
          <w:b/>
        </w:rPr>
        <w:t>Sekas</w:t>
      </w:r>
      <w:r w:rsidR="00532227" w:rsidRPr="00B83AD3">
        <w:rPr>
          <w:rFonts w:cs="Times New Roman"/>
          <w:b/>
        </w:rPr>
        <w:t>,</w:t>
      </w:r>
      <w:r w:rsidRPr="00B83AD3">
        <w:rPr>
          <w:rFonts w:cs="Times New Roman"/>
          <w:b/>
        </w:rPr>
        <w:t xml:space="preserve"> ja sadarbība ar EKA netiek turpināta vai aizkavēta</w:t>
      </w:r>
    </w:p>
    <w:p w14:paraId="66572527" w14:textId="77777777" w:rsidR="00B36902" w:rsidRPr="00B83AD3" w:rsidRDefault="00B36902" w:rsidP="007C5DD5">
      <w:pPr>
        <w:rPr>
          <w:rFonts w:cs="Times New Roman"/>
        </w:rPr>
      </w:pPr>
    </w:p>
    <w:p w14:paraId="66572528" w14:textId="77777777" w:rsidR="00957022" w:rsidRPr="00B83AD3" w:rsidRDefault="00532227" w:rsidP="007C5DD5">
      <w:pPr>
        <w:rPr>
          <w:rFonts w:cs="Times New Roman"/>
        </w:rPr>
      </w:pPr>
      <w:r w:rsidRPr="00B83AD3">
        <w:rPr>
          <w:rFonts w:cs="Times New Roman"/>
        </w:rPr>
        <w:tab/>
      </w:r>
      <w:r w:rsidR="00EC2C56" w:rsidRPr="00B83AD3">
        <w:rPr>
          <w:rFonts w:cs="Times New Roman"/>
        </w:rPr>
        <w:t>J</w:t>
      </w:r>
      <w:r w:rsidRPr="00B83AD3">
        <w:rPr>
          <w:rFonts w:cs="Times New Roman"/>
        </w:rPr>
        <w:t xml:space="preserve">a sadarbība ar EKA netiek turpināta vai </w:t>
      </w:r>
      <w:r w:rsidR="00D12EEA" w:rsidRPr="00B83AD3">
        <w:rPr>
          <w:rFonts w:cs="Times New Roman"/>
        </w:rPr>
        <w:t xml:space="preserve">būtiski </w:t>
      </w:r>
      <w:r w:rsidRPr="00B83AD3">
        <w:rPr>
          <w:rFonts w:cs="Times New Roman"/>
        </w:rPr>
        <w:t>aizkavēta</w:t>
      </w:r>
      <w:r w:rsidR="008747C2" w:rsidRPr="00B83AD3">
        <w:rPr>
          <w:rFonts w:cs="Times New Roman"/>
        </w:rPr>
        <w:t>,</w:t>
      </w:r>
      <w:r w:rsidRPr="00B83AD3">
        <w:rPr>
          <w:rFonts w:cs="Times New Roman"/>
        </w:rPr>
        <w:t xml:space="preserve"> </w:t>
      </w:r>
      <w:r w:rsidR="00EC2C56" w:rsidRPr="00B83AD3">
        <w:rPr>
          <w:rFonts w:cs="Times New Roman"/>
        </w:rPr>
        <w:t xml:space="preserve">tas </w:t>
      </w:r>
      <w:r w:rsidRPr="00B83AD3">
        <w:rPr>
          <w:rFonts w:cs="Times New Roman"/>
        </w:rPr>
        <w:t>var nelabvēlīgi un graujoši ietekmēt Latvijas kosmosa nozares uzticamību par valsts ilgtermiņa mērķiem attīstīt kosmosa nozari Latvijā un esošo tehnoloģiju turpmāko attīstību, kas izstrādātas ESV l</w:t>
      </w:r>
      <w:r w:rsidR="00D12EEA" w:rsidRPr="00B83AD3">
        <w:rPr>
          <w:rFonts w:cs="Times New Roman"/>
        </w:rPr>
        <w:t>īguma ietvaros.</w:t>
      </w:r>
    </w:p>
    <w:p w14:paraId="66572529" w14:textId="77777777" w:rsidR="00B458BA" w:rsidRPr="00B83AD3" w:rsidRDefault="00781C35" w:rsidP="007A055A">
      <w:pPr>
        <w:ind w:firstLine="720"/>
        <w:rPr>
          <w:rFonts w:cs="Times New Roman"/>
        </w:rPr>
      </w:pPr>
      <w:r w:rsidRPr="00B83AD3">
        <w:rPr>
          <w:rFonts w:cs="Times New Roman"/>
        </w:rPr>
        <w:t>Latvijas</w:t>
      </w:r>
      <w:r w:rsidR="00D12EEA" w:rsidRPr="00B83AD3">
        <w:rPr>
          <w:rFonts w:cs="Times New Roman"/>
        </w:rPr>
        <w:t xml:space="preserve"> </w:t>
      </w:r>
      <w:r w:rsidRPr="00B83AD3">
        <w:rPr>
          <w:rFonts w:cs="Times New Roman"/>
        </w:rPr>
        <w:t>organizāciju</w:t>
      </w:r>
      <w:r w:rsidR="00D12EEA" w:rsidRPr="00B83AD3">
        <w:rPr>
          <w:rFonts w:cs="Times New Roman"/>
        </w:rPr>
        <w:t xml:space="preserve"> reģistrēšanās </w:t>
      </w:r>
      <w:r w:rsidR="00EC2C56" w:rsidRPr="00B83AD3">
        <w:rPr>
          <w:rFonts w:cs="Times New Roman"/>
        </w:rPr>
        <w:t>EKA tiešsaistes konkursu un reģistrācijas sistēmā</w:t>
      </w:r>
      <w:r w:rsidR="00D12EEA" w:rsidRPr="00B83AD3">
        <w:rPr>
          <w:rFonts w:cs="Times New Roman"/>
        </w:rPr>
        <w:t xml:space="preserve"> </w:t>
      </w:r>
      <w:r w:rsidRPr="00B83AD3">
        <w:rPr>
          <w:rFonts w:cs="Times New Roman"/>
        </w:rPr>
        <w:t>EK</w:t>
      </w:r>
      <w:r w:rsidR="00D12EEA" w:rsidRPr="00B83AD3">
        <w:rPr>
          <w:rFonts w:cs="Times New Roman"/>
        </w:rPr>
        <w:t>A-STAR</w:t>
      </w:r>
      <w:r w:rsidR="00EC2C56" w:rsidRPr="00B83AD3">
        <w:rPr>
          <w:rFonts w:cs="Times New Roman"/>
        </w:rPr>
        <w:t xml:space="preserve"> </w:t>
      </w:r>
      <w:r w:rsidRPr="00B83AD3">
        <w:rPr>
          <w:rFonts w:cs="Times New Roman"/>
        </w:rPr>
        <w:t xml:space="preserve">ir pakāpeniski augusi no </w:t>
      </w:r>
      <w:r w:rsidR="00817C89" w:rsidRPr="00B83AD3">
        <w:rPr>
          <w:rFonts w:cs="Times New Roman"/>
        </w:rPr>
        <w:t>30 (</w:t>
      </w:r>
      <w:r w:rsidR="008747C2" w:rsidRPr="00B83AD3">
        <w:rPr>
          <w:rFonts w:cs="Times New Roman"/>
        </w:rPr>
        <w:t>trīsdesmit</w:t>
      </w:r>
      <w:r w:rsidR="00817C89" w:rsidRPr="00B83AD3">
        <w:rPr>
          <w:rFonts w:cs="Times New Roman"/>
        </w:rPr>
        <w:t>)</w:t>
      </w:r>
      <w:r w:rsidR="008747C2" w:rsidRPr="00B83AD3">
        <w:rPr>
          <w:rFonts w:cs="Times New Roman"/>
        </w:rPr>
        <w:t xml:space="preserve"> </w:t>
      </w:r>
      <w:r w:rsidRPr="00B83AD3">
        <w:rPr>
          <w:rFonts w:cs="Times New Roman"/>
        </w:rPr>
        <w:t xml:space="preserve">organizācijām 2013.gadā līdz </w:t>
      </w:r>
      <w:r w:rsidR="00817C89" w:rsidRPr="00B83AD3">
        <w:rPr>
          <w:rFonts w:cs="Times New Roman"/>
        </w:rPr>
        <w:t>54 (</w:t>
      </w:r>
      <w:r w:rsidR="007A055A" w:rsidRPr="00B83AD3">
        <w:rPr>
          <w:rFonts w:cs="Times New Roman"/>
        </w:rPr>
        <w:t>piecdesmit četrām</w:t>
      </w:r>
      <w:r w:rsidR="00817C89" w:rsidRPr="00B83AD3">
        <w:rPr>
          <w:rFonts w:cs="Times New Roman"/>
        </w:rPr>
        <w:t>)</w:t>
      </w:r>
      <w:r w:rsidR="007A055A" w:rsidRPr="00B83AD3">
        <w:rPr>
          <w:rFonts w:cs="Times New Roman"/>
        </w:rPr>
        <w:t xml:space="preserve"> </w:t>
      </w:r>
      <w:r w:rsidRPr="00B83AD3">
        <w:rPr>
          <w:rFonts w:cs="Times New Roman"/>
        </w:rPr>
        <w:t>organizācijām 2019.gadā, kas nozīmē, ka arvien vairāk organizāciju izrāda interesi par iesaistīšanos EKA aktivitātēs.</w:t>
      </w:r>
      <w:r w:rsidR="00957022" w:rsidRPr="00B83AD3">
        <w:rPr>
          <w:rFonts w:cs="Times New Roman"/>
        </w:rPr>
        <w:t xml:space="preserve"> IZM sadarbībā ar partneriem</w:t>
      </w:r>
      <w:r w:rsidR="004C4E90" w:rsidRPr="00B83AD3">
        <w:rPr>
          <w:rStyle w:val="FootnoteReference"/>
          <w:rFonts w:cs="Times New Roman"/>
        </w:rPr>
        <w:footnoteReference w:id="20"/>
      </w:r>
      <w:r w:rsidR="00957022" w:rsidRPr="00B83AD3">
        <w:rPr>
          <w:rFonts w:cs="Times New Roman"/>
        </w:rPr>
        <w:t xml:space="preserve"> ir ieguldījusi </w:t>
      </w:r>
      <w:r w:rsidR="007A055A" w:rsidRPr="00B83AD3">
        <w:rPr>
          <w:rFonts w:cs="Times New Roman"/>
        </w:rPr>
        <w:t>lielas pūles</w:t>
      </w:r>
      <w:r w:rsidR="00957022" w:rsidRPr="00B83AD3">
        <w:rPr>
          <w:rFonts w:cs="Times New Roman"/>
        </w:rPr>
        <w:t xml:space="preserve">, lai </w:t>
      </w:r>
      <w:r w:rsidR="002B4A49" w:rsidRPr="00B83AD3">
        <w:rPr>
          <w:rFonts w:cs="Times New Roman"/>
        </w:rPr>
        <w:t xml:space="preserve">veicinātu </w:t>
      </w:r>
      <w:r w:rsidR="00957022" w:rsidRPr="00B83AD3">
        <w:rPr>
          <w:rFonts w:cs="Times New Roman"/>
        </w:rPr>
        <w:t>Latvijas industrij</w:t>
      </w:r>
      <w:r w:rsidR="002B4A49" w:rsidRPr="00B83AD3">
        <w:rPr>
          <w:rFonts w:cs="Times New Roman"/>
        </w:rPr>
        <w:t>as</w:t>
      </w:r>
      <w:r w:rsidR="00957022" w:rsidRPr="00B83AD3">
        <w:rPr>
          <w:rFonts w:cs="Times New Roman"/>
        </w:rPr>
        <w:t xml:space="preserve"> </w:t>
      </w:r>
      <w:r w:rsidR="002B4A49" w:rsidRPr="00B83AD3">
        <w:rPr>
          <w:rFonts w:cs="Times New Roman"/>
        </w:rPr>
        <w:t xml:space="preserve">iesaisti </w:t>
      </w:r>
      <w:r w:rsidR="00957022" w:rsidRPr="00B83AD3">
        <w:rPr>
          <w:rFonts w:cs="Times New Roman"/>
        </w:rPr>
        <w:t xml:space="preserve">EKA aktivitātēs. Sadarbības pārtraukšana vai aizkavēšana ar EKA radītu </w:t>
      </w:r>
      <w:r w:rsidR="004C4E90" w:rsidRPr="00B83AD3">
        <w:rPr>
          <w:rFonts w:cs="Times New Roman"/>
        </w:rPr>
        <w:t xml:space="preserve">negatīvu </w:t>
      </w:r>
      <w:r w:rsidR="0005610E" w:rsidRPr="00B83AD3">
        <w:rPr>
          <w:rFonts w:cs="Times New Roman"/>
        </w:rPr>
        <w:t>iespaidu</w:t>
      </w:r>
      <w:r w:rsidR="00957022" w:rsidRPr="00B83AD3">
        <w:rPr>
          <w:rFonts w:cs="Times New Roman"/>
        </w:rPr>
        <w:t xml:space="preserve">, ka kosmosa nozare Latvijā tiek uztverta kā neperspektīva un līdz ar to grautu nozares uzticamību valsts iespējām un </w:t>
      </w:r>
      <w:r w:rsidR="0005610E" w:rsidRPr="00B83AD3">
        <w:rPr>
          <w:rFonts w:cs="Times New Roman"/>
        </w:rPr>
        <w:t>vēlmei to atbalstīt ilgtermiņā.</w:t>
      </w:r>
      <w:r w:rsidR="002B4A49" w:rsidRPr="00B83AD3">
        <w:rPr>
          <w:rFonts w:cs="Times New Roman"/>
        </w:rPr>
        <w:t xml:space="preserve"> </w:t>
      </w:r>
      <w:r w:rsidR="00B458BA" w:rsidRPr="00B83AD3">
        <w:rPr>
          <w:rFonts w:cs="Times New Roman"/>
        </w:rPr>
        <w:t xml:space="preserve">ESV līguma ietvaros izstrādāto tehnoloģiju, to iestrādņu un pielietojumu attīstība apstātos. Saskaņā ar Tabulā </w:t>
      </w:r>
      <w:r w:rsidR="00C80669" w:rsidRPr="00B83AD3">
        <w:rPr>
          <w:rFonts w:cs="Times New Roman"/>
        </w:rPr>
        <w:t>Nr.</w:t>
      </w:r>
      <w:r w:rsidR="007A055A" w:rsidRPr="00B83AD3">
        <w:rPr>
          <w:rFonts w:cs="Times New Roman"/>
        </w:rPr>
        <w:t xml:space="preserve"> </w:t>
      </w:r>
      <w:r w:rsidR="00B458BA" w:rsidRPr="00B83AD3">
        <w:rPr>
          <w:rFonts w:cs="Times New Roman"/>
        </w:rPr>
        <w:t>4 apkopoto informāciju visas esošās tehnoloģiju un pielietojumu iestrādnes ir ar zemu vai vidēju TRL, kas liecina, ka to attīstība un virzība uz augstāku TRL ir jāturpina.</w:t>
      </w:r>
      <w:r w:rsidR="00CB2F5A" w:rsidRPr="00B83AD3">
        <w:rPr>
          <w:rFonts w:cs="Times New Roman"/>
        </w:rPr>
        <w:t xml:space="preserve"> Neviena no ESV līguma ietvaros īstenotajām aktivitātēm nav sasniegusi TRL</w:t>
      </w:r>
      <w:r w:rsidR="00F23938" w:rsidRPr="00B83AD3">
        <w:rPr>
          <w:rFonts w:cs="Times New Roman"/>
        </w:rPr>
        <w:t xml:space="preserve"> 8 </w:t>
      </w:r>
      <w:r w:rsidR="002B4A49" w:rsidRPr="00B83AD3">
        <w:rPr>
          <w:rFonts w:cs="Times New Roman"/>
        </w:rPr>
        <w:t>–</w:t>
      </w:r>
      <w:r w:rsidR="00F23938" w:rsidRPr="00B83AD3">
        <w:rPr>
          <w:rFonts w:cs="Times New Roman"/>
        </w:rPr>
        <w:t xml:space="preserve"> </w:t>
      </w:r>
      <w:r w:rsidR="00CB2F5A" w:rsidRPr="00B83AD3">
        <w:rPr>
          <w:rFonts w:cs="Times New Roman"/>
        </w:rPr>
        <w:t>9, kas nozīmētu, ka tehnoloģija ir komercializējama globālā tirgū.</w:t>
      </w:r>
      <w:r w:rsidR="00B458BA" w:rsidRPr="00B83AD3">
        <w:rPr>
          <w:rFonts w:cs="Times New Roman"/>
        </w:rPr>
        <w:t xml:space="preserve"> Esošo aktivitāšu neturpināšana nozīmētu to ietvaros izstrādāto tehnoloģiju un pielietojumu</w:t>
      </w:r>
      <w:r w:rsidR="00BD5EAD" w:rsidRPr="00B83AD3">
        <w:rPr>
          <w:rFonts w:cs="Times New Roman"/>
        </w:rPr>
        <w:t xml:space="preserve"> attīstības neturpināšanu</w:t>
      </w:r>
      <w:r w:rsidR="00CB2F5A" w:rsidRPr="00B83AD3">
        <w:rPr>
          <w:rFonts w:cs="Times New Roman"/>
        </w:rPr>
        <w:t xml:space="preserve">, </w:t>
      </w:r>
      <w:r w:rsidR="00B458BA" w:rsidRPr="00B83AD3">
        <w:rPr>
          <w:rFonts w:cs="Times New Roman"/>
        </w:rPr>
        <w:t>tos pārņemtu citu valstu uzņēmumi</w:t>
      </w:r>
      <w:r w:rsidR="00CB2F5A" w:rsidRPr="00B83AD3">
        <w:rPr>
          <w:rFonts w:cs="Times New Roman"/>
        </w:rPr>
        <w:t xml:space="preserve"> (</w:t>
      </w:r>
      <w:r w:rsidR="00BD5EAD" w:rsidRPr="00B83AD3">
        <w:rPr>
          <w:rFonts w:cs="Times New Roman"/>
        </w:rPr>
        <w:t>apsteigtu citu valstu analogas tehnoloģijas</w:t>
      </w:r>
      <w:r w:rsidR="00B458BA" w:rsidRPr="00B83AD3">
        <w:rPr>
          <w:rFonts w:cs="Times New Roman"/>
        </w:rPr>
        <w:t xml:space="preserve"> </w:t>
      </w:r>
      <w:r w:rsidR="00CB2F5A" w:rsidRPr="00B83AD3">
        <w:rPr>
          <w:rFonts w:cs="Times New Roman"/>
        </w:rPr>
        <w:t xml:space="preserve">vai Latvijas </w:t>
      </w:r>
      <w:r w:rsidR="00C76410" w:rsidRPr="00B83AD3">
        <w:rPr>
          <w:rFonts w:cs="Times New Roman"/>
        </w:rPr>
        <w:t xml:space="preserve">komersanti </w:t>
      </w:r>
      <w:r w:rsidR="00CB2F5A" w:rsidRPr="00B83AD3">
        <w:rPr>
          <w:rFonts w:cs="Times New Roman"/>
        </w:rPr>
        <w:t>tās turpinātu citās valstīs, kur šāds atbalsts ir pieejams.</w:t>
      </w:r>
      <w:r w:rsidR="00BD5EAD" w:rsidRPr="00B83AD3">
        <w:rPr>
          <w:rFonts w:cs="Times New Roman"/>
        </w:rPr>
        <w:t>)</w:t>
      </w:r>
    </w:p>
    <w:p w14:paraId="6657252A" w14:textId="77777777" w:rsidR="005A235B" w:rsidRPr="00B83AD3" w:rsidRDefault="00CB2F5A" w:rsidP="005A235B">
      <w:pPr>
        <w:ind w:firstLine="720"/>
        <w:rPr>
          <w:rFonts w:cs="Times New Roman"/>
        </w:rPr>
      </w:pPr>
      <w:r w:rsidRPr="00B83AD3">
        <w:rPr>
          <w:rFonts w:cs="Times New Roman"/>
        </w:rPr>
        <w:t>Visas šīs sekas</w:t>
      </w:r>
      <w:r w:rsidR="00BD5EAD" w:rsidRPr="00B83AD3">
        <w:rPr>
          <w:rFonts w:cs="Times New Roman"/>
        </w:rPr>
        <w:t xml:space="preserve"> būtiski</w:t>
      </w:r>
      <w:r w:rsidRPr="00B83AD3">
        <w:rPr>
          <w:rFonts w:cs="Times New Roman"/>
        </w:rPr>
        <w:t xml:space="preserve"> apgrūtinātu atsākt sadarbību ar EKA nākotnē un attīstīt kosmosa nozari valstī</w:t>
      </w:r>
      <w:r w:rsidR="003C4510" w:rsidRPr="00B83AD3">
        <w:rPr>
          <w:rFonts w:cs="Times New Roman"/>
        </w:rPr>
        <w:t xml:space="preserve">. </w:t>
      </w:r>
    </w:p>
    <w:p w14:paraId="6657252B" w14:textId="77777777" w:rsidR="005D66B9" w:rsidRPr="00B83AD3" w:rsidRDefault="005D66B9" w:rsidP="005A235B">
      <w:pPr>
        <w:ind w:firstLine="720"/>
        <w:rPr>
          <w:rFonts w:cs="Times New Roman"/>
        </w:rPr>
      </w:pPr>
    </w:p>
    <w:p w14:paraId="6657252C" w14:textId="77777777" w:rsidR="005D66B9" w:rsidRPr="00B83AD3" w:rsidRDefault="005D66B9" w:rsidP="005D66B9">
      <w:pPr>
        <w:ind w:firstLine="720"/>
        <w:jc w:val="center"/>
        <w:rPr>
          <w:rFonts w:cs="Times New Roman"/>
          <w:b/>
        </w:rPr>
      </w:pPr>
      <w:r w:rsidRPr="00B83AD3">
        <w:rPr>
          <w:rFonts w:cs="Times New Roman"/>
          <w:b/>
        </w:rPr>
        <w:t xml:space="preserve">Sadarbības ar EKA iespējamie riski, apdraudējumi un </w:t>
      </w:r>
      <w:proofErr w:type="spellStart"/>
      <w:r w:rsidRPr="00B83AD3">
        <w:rPr>
          <w:rFonts w:cs="Times New Roman"/>
          <w:b/>
        </w:rPr>
        <w:t>problēmjautājumi</w:t>
      </w:r>
      <w:proofErr w:type="spellEnd"/>
    </w:p>
    <w:p w14:paraId="6657252D" w14:textId="77777777" w:rsidR="00817C89" w:rsidRPr="00B83AD3" w:rsidRDefault="00817C89" w:rsidP="005B6DA0">
      <w:pPr>
        <w:rPr>
          <w:rFonts w:cs="Times New Roman"/>
          <w:b/>
        </w:rPr>
      </w:pPr>
    </w:p>
    <w:p w14:paraId="6657252E" w14:textId="77777777" w:rsidR="00FB3235" w:rsidRPr="00B83AD3" w:rsidRDefault="005D66B9" w:rsidP="005B6DA0">
      <w:pPr>
        <w:rPr>
          <w:rFonts w:cs="Times New Roman"/>
        </w:rPr>
      </w:pPr>
      <w:r w:rsidRPr="00B83AD3">
        <w:rPr>
          <w:rFonts w:cs="Times New Roman"/>
          <w:b/>
        </w:rPr>
        <w:tab/>
      </w:r>
      <w:r w:rsidR="00FB3235" w:rsidRPr="00B83AD3">
        <w:rPr>
          <w:rFonts w:cs="Times New Roman"/>
        </w:rPr>
        <w:t xml:space="preserve">EKA gala novērtējuma ziņojumā norāda uz vairākiem riskiem un </w:t>
      </w:r>
      <w:proofErr w:type="spellStart"/>
      <w:r w:rsidR="00FB3235" w:rsidRPr="00B83AD3">
        <w:rPr>
          <w:rFonts w:cs="Times New Roman"/>
        </w:rPr>
        <w:t>pro</w:t>
      </w:r>
      <w:r w:rsidR="00C175BA" w:rsidRPr="00B83AD3">
        <w:rPr>
          <w:rFonts w:cs="Times New Roman"/>
        </w:rPr>
        <w:t>b</w:t>
      </w:r>
      <w:r w:rsidR="00FB3235" w:rsidRPr="00B83AD3">
        <w:rPr>
          <w:rFonts w:cs="Times New Roman"/>
        </w:rPr>
        <w:t>lēmjautājumiem</w:t>
      </w:r>
      <w:proofErr w:type="spellEnd"/>
      <w:r w:rsidR="00FB3235" w:rsidRPr="00B83AD3">
        <w:rPr>
          <w:rFonts w:cs="Times New Roman"/>
        </w:rPr>
        <w:t xml:space="preserve">, kas var apdraudēt Latvijas industrijas vispusīgu un veiksmīgu dalību </w:t>
      </w:r>
      <w:r w:rsidR="00C175BA" w:rsidRPr="00B83AD3">
        <w:rPr>
          <w:rFonts w:cs="Times New Roman"/>
        </w:rPr>
        <w:t xml:space="preserve">turpmākajās </w:t>
      </w:r>
      <w:r w:rsidR="00FB3235" w:rsidRPr="00B83AD3">
        <w:rPr>
          <w:rFonts w:cs="Times New Roman"/>
        </w:rPr>
        <w:t xml:space="preserve">EKA aktivitātēs. Šie riski ir šādi: </w:t>
      </w:r>
    </w:p>
    <w:p w14:paraId="6657252F" w14:textId="77777777" w:rsidR="00F470A9" w:rsidRPr="00B83AD3" w:rsidRDefault="00FB3235" w:rsidP="00FB3235">
      <w:pPr>
        <w:pStyle w:val="ListParagraph"/>
        <w:numPr>
          <w:ilvl w:val="0"/>
          <w:numId w:val="31"/>
        </w:numPr>
        <w:jc w:val="both"/>
        <w:rPr>
          <w:rFonts w:ascii="Times New Roman" w:hAnsi="Times New Roman" w:cs="Times New Roman"/>
          <w:sz w:val="26"/>
          <w:szCs w:val="26"/>
        </w:rPr>
      </w:pPr>
      <w:r w:rsidRPr="00B83AD3">
        <w:rPr>
          <w:rFonts w:ascii="Times New Roman" w:hAnsi="Times New Roman" w:cs="Times New Roman"/>
          <w:sz w:val="26"/>
          <w:szCs w:val="26"/>
        </w:rPr>
        <w:t xml:space="preserve">Latvijas nacionālā kosmosa plāna neesamība. </w:t>
      </w:r>
    </w:p>
    <w:p w14:paraId="66572530" w14:textId="77777777" w:rsidR="00FC33C6" w:rsidRPr="00B83AD3" w:rsidRDefault="00FB3235" w:rsidP="00F470A9">
      <w:pPr>
        <w:ind w:firstLine="720"/>
        <w:rPr>
          <w:rFonts w:cs="Times New Roman"/>
        </w:rPr>
      </w:pPr>
      <w:r w:rsidRPr="00B83AD3">
        <w:rPr>
          <w:rFonts w:cs="Times New Roman"/>
        </w:rPr>
        <w:t xml:space="preserve">Šāds plāns ir būtisks, lai fokusētu Latvijas kosmosa industrijas </w:t>
      </w:r>
      <w:r w:rsidR="00FC33C6" w:rsidRPr="00B83AD3">
        <w:rPr>
          <w:rFonts w:cs="Times New Roman"/>
        </w:rPr>
        <w:t>attīstību</w:t>
      </w:r>
      <w:r w:rsidRPr="00B83AD3">
        <w:rPr>
          <w:rFonts w:cs="Times New Roman"/>
        </w:rPr>
        <w:t xml:space="preserve"> noteiktos virzienos, prioritātēs, definētu Latvijas ieguldījumu mērķus, sagaidāmos rezultātus, kā arī nepieciešamos resursus atbalsta pasākumu īstenošanai. </w:t>
      </w:r>
      <w:r w:rsidR="00FC33C6" w:rsidRPr="00B83AD3">
        <w:rPr>
          <w:rFonts w:cs="Times New Roman"/>
        </w:rPr>
        <w:t>Izglītības un zinātnes ministrija, sadarbībā ar nozaru ministrijām un partneriem, darbu pie šāda plāna i</w:t>
      </w:r>
      <w:r w:rsidR="00374FEC" w:rsidRPr="00B83AD3">
        <w:rPr>
          <w:rFonts w:cs="Times New Roman"/>
        </w:rPr>
        <w:t>zveides uzsāks 2020.gada laikā.</w:t>
      </w:r>
    </w:p>
    <w:p w14:paraId="66572531" w14:textId="77777777" w:rsidR="00F470A9" w:rsidRPr="00B83AD3" w:rsidRDefault="00FC33C6" w:rsidP="00FB3235">
      <w:pPr>
        <w:pStyle w:val="ListParagraph"/>
        <w:numPr>
          <w:ilvl w:val="0"/>
          <w:numId w:val="31"/>
        </w:numPr>
        <w:jc w:val="both"/>
        <w:rPr>
          <w:rFonts w:ascii="Times New Roman" w:hAnsi="Times New Roman" w:cs="Times New Roman"/>
          <w:sz w:val="26"/>
          <w:szCs w:val="26"/>
        </w:rPr>
      </w:pPr>
      <w:r w:rsidRPr="00B83AD3">
        <w:rPr>
          <w:rFonts w:ascii="Times New Roman" w:hAnsi="Times New Roman" w:cs="Times New Roman"/>
          <w:sz w:val="26"/>
          <w:szCs w:val="26"/>
        </w:rPr>
        <w:t xml:space="preserve">ESV līguma </w:t>
      </w:r>
      <w:r w:rsidR="00C175BA" w:rsidRPr="00B83AD3">
        <w:rPr>
          <w:rFonts w:ascii="Times New Roman" w:hAnsi="Times New Roman" w:cs="Times New Roman"/>
          <w:sz w:val="26"/>
          <w:szCs w:val="26"/>
        </w:rPr>
        <w:t xml:space="preserve">īstenoto </w:t>
      </w:r>
      <w:r w:rsidRPr="00B83AD3">
        <w:rPr>
          <w:rFonts w:ascii="Times New Roman" w:hAnsi="Times New Roman" w:cs="Times New Roman"/>
          <w:sz w:val="26"/>
          <w:szCs w:val="26"/>
        </w:rPr>
        <w:t xml:space="preserve">projektu koncentrācija dažās organizācijās. </w:t>
      </w:r>
    </w:p>
    <w:p w14:paraId="66572532" w14:textId="77777777" w:rsidR="00FB3235" w:rsidRPr="00B83AD3" w:rsidRDefault="00FC33C6" w:rsidP="00F470A9">
      <w:pPr>
        <w:ind w:firstLine="720"/>
        <w:rPr>
          <w:rFonts w:cs="Times New Roman"/>
        </w:rPr>
      </w:pPr>
      <w:r w:rsidRPr="00B83AD3">
        <w:rPr>
          <w:rFonts w:cs="Times New Roman"/>
        </w:rPr>
        <w:t>Saskaņā ar ESV līguma projektu rezultātiem</w:t>
      </w:r>
      <w:r w:rsidR="00FB3235" w:rsidRPr="00B83AD3">
        <w:rPr>
          <w:rFonts w:cs="Times New Roman"/>
        </w:rPr>
        <w:t xml:space="preserve"> </w:t>
      </w:r>
      <w:r w:rsidRPr="00B83AD3">
        <w:rPr>
          <w:rFonts w:cs="Times New Roman"/>
        </w:rPr>
        <w:t>(ņemot vērā piecus ESV līguma konkursus)</w:t>
      </w:r>
      <w:r w:rsidR="007179DD" w:rsidRPr="00B83AD3">
        <w:rPr>
          <w:rFonts w:cs="Times New Roman"/>
        </w:rPr>
        <w:t xml:space="preserve"> septiņās Latvijas organizācijās koncentrējās 70% visu ESV projekti un 88% no </w:t>
      </w:r>
      <w:r w:rsidR="00C175BA" w:rsidRPr="00B83AD3">
        <w:rPr>
          <w:rFonts w:cs="Times New Roman"/>
        </w:rPr>
        <w:t xml:space="preserve">visa </w:t>
      </w:r>
      <w:r w:rsidR="007179DD" w:rsidRPr="00B83AD3">
        <w:rPr>
          <w:rFonts w:cs="Times New Roman"/>
        </w:rPr>
        <w:t xml:space="preserve">piesaistītā finansējuma. Līdz ar to Latvijas </w:t>
      </w:r>
      <w:r w:rsidR="00C175BA" w:rsidRPr="00B83AD3">
        <w:rPr>
          <w:rFonts w:cs="Times New Roman"/>
        </w:rPr>
        <w:t xml:space="preserve">investīciju </w:t>
      </w:r>
      <w:proofErr w:type="spellStart"/>
      <w:r w:rsidR="007179DD" w:rsidRPr="00B83AD3">
        <w:rPr>
          <w:rFonts w:cs="Times New Roman"/>
        </w:rPr>
        <w:t>atdeve</w:t>
      </w:r>
      <w:proofErr w:type="spellEnd"/>
      <w:r w:rsidR="007179DD" w:rsidRPr="00B83AD3">
        <w:rPr>
          <w:rFonts w:cs="Times New Roman"/>
        </w:rPr>
        <w:t xml:space="preserve"> EKA izvēles programmās var būt atkarīga no dažām organizācijām. Vienlaikus, Latvijā eksistē vairāki</w:t>
      </w:r>
      <w:r w:rsidR="00F470A9" w:rsidRPr="00B83AD3">
        <w:rPr>
          <w:rFonts w:cs="Times New Roman"/>
        </w:rPr>
        <w:t xml:space="preserve"> citi</w:t>
      </w:r>
      <w:r w:rsidR="007179DD" w:rsidRPr="00B83AD3">
        <w:rPr>
          <w:rFonts w:cs="Times New Roman"/>
        </w:rPr>
        <w:t xml:space="preserve"> komersanti, kurām ir atzīt</w:t>
      </w:r>
      <w:r w:rsidR="00F470A9" w:rsidRPr="00B83AD3">
        <w:rPr>
          <w:rFonts w:cs="Times New Roman"/>
        </w:rPr>
        <w:t>a kosmosa kapacitāte, bet kuri</w:t>
      </w:r>
      <w:r w:rsidR="007179DD" w:rsidRPr="00B83AD3">
        <w:rPr>
          <w:rFonts w:cs="Times New Roman"/>
        </w:rPr>
        <w:t xml:space="preserve"> vēl nav piedalījušās ESV līguma projektu konkursos, bet</w:t>
      </w:r>
      <w:r w:rsidR="00F470A9" w:rsidRPr="00B83AD3">
        <w:rPr>
          <w:rFonts w:cs="Times New Roman"/>
        </w:rPr>
        <w:t xml:space="preserve"> paredzams piedalīsies nākotnē. </w:t>
      </w:r>
    </w:p>
    <w:p w14:paraId="66572533" w14:textId="77777777" w:rsidR="00F470A9" w:rsidRPr="00B83AD3" w:rsidRDefault="00F470A9" w:rsidP="00F470A9">
      <w:pPr>
        <w:pStyle w:val="ListParagraph"/>
        <w:numPr>
          <w:ilvl w:val="0"/>
          <w:numId w:val="32"/>
        </w:numPr>
        <w:ind w:left="720"/>
        <w:rPr>
          <w:rFonts w:ascii="Times New Roman" w:hAnsi="Times New Roman" w:cs="Times New Roman"/>
          <w:sz w:val="26"/>
          <w:szCs w:val="26"/>
        </w:rPr>
      </w:pPr>
      <w:r w:rsidRPr="00B83AD3">
        <w:rPr>
          <w:rFonts w:ascii="Times New Roman" w:hAnsi="Times New Roman" w:cs="Times New Roman"/>
          <w:sz w:val="26"/>
          <w:szCs w:val="26"/>
        </w:rPr>
        <w:t xml:space="preserve">ESV līguma projektu komercializēšana pētniecības institūcijās. </w:t>
      </w:r>
    </w:p>
    <w:p w14:paraId="66572534" w14:textId="77777777" w:rsidR="00F470A9" w:rsidRPr="00B83AD3" w:rsidRDefault="00F470A9" w:rsidP="00F470A9">
      <w:pPr>
        <w:ind w:firstLine="720"/>
        <w:rPr>
          <w:rFonts w:cs="Times New Roman"/>
        </w:rPr>
      </w:pPr>
      <w:r w:rsidRPr="00B83AD3">
        <w:rPr>
          <w:rFonts w:cs="Times New Roman"/>
        </w:rPr>
        <w:t>Virkne ESV līguma projektu ir koncentrēta Latvijas pētniecības institūcijās, kuras, lai arī spēlē būtisku lomu Latvijas kosmosa sektorā</w:t>
      </w:r>
      <w:r w:rsidR="009E5836" w:rsidRPr="00B83AD3">
        <w:rPr>
          <w:rFonts w:cs="Times New Roman"/>
        </w:rPr>
        <w:t>,</w:t>
      </w:r>
      <w:r w:rsidR="00A81C85" w:rsidRPr="00B83AD3">
        <w:rPr>
          <w:rFonts w:cs="Times New Roman"/>
        </w:rPr>
        <w:t xml:space="preserve"> uzdevums nav nodrošināt pētniecības rezultātu </w:t>
      </w:r>
      <w:proofErr w:type="spellStart"/>
      <w:r w:rsidR="00A81C85" w:rsidRPr="00B83AD3">
        <w:rPr>
          <w:rFonts w:cs="Times New Roman"/>
        </w:rPr>
        <w:t>komercializāciju</w:t>
      </w:r>
      <w:proofErr w:type="spellEnd"/>
      <w:r w:rsidR="00A81C85" w:rsidRPr="00B83AD3">
        <w:rPr>
          <w:rFonts w:cs="Times New Roman"/>
        </w:rPr>
        <w:t xml:space="preserve"> tirgū, tādēļ ir būtiska atbilstoša Latvijas industrijas</w:t>
      </w:r>
      <w:r w:rsidR="009E5836" w:rsidRPr="00B83AD3">
        <w:rPr>
          <w:rFonts w:cs="Times New Roman"/>
        </w:rPr>
        <w:t xml:space="preserve"> iesaiste un sekmīga sadarbība.</w:t>
      </w:r>
    </w:p>
    <w:p w14:paraId="66572535" w14:textId="77777777" w:rsidR="00A81C85" w:rsidRPr="00B83AD3" w:rsidRDefault="00A81C85" w:rsidP="00A81C85">
      <w:pPr>
        <w:pStyle w:val="ListParagraph"/>
        <w:numPr>
          <w:ilvl w:val="0"/>
          <w:numId w:val="32"/>
        </w:numPr>
        <w:ind w:left="720"/>
        <w:rPr>
          <w:rFonts w:ascii="Times New Roman" w:hAnsi="Times New Roman" w:cs="Times New Roman"/>
          <w:sz w:val="26"/>
          <w:szCs w:val="26"/>
        </w:rPr>
      </w:pPr>
      <w:r w:rsidRPr="00B83AD3">
        <w:rPr>
          <w:rFonts w:ascii="Times New Roman" w:hAnsi="Times New Roman" w:cs="Times New Roman"/>
          <w:sz w:val="26"/>
          <w:szCs w:val="26"/>
        </w:rPr>
        <w:t xml:space="preserve">Ierobežots daudzums ESV līguma projektu, kuru mērķa TRL ir </w:t>
      </w:r>
      <w:r w:rsidR="00151EED" w:rsidRPr="00B83AD3">
        <w:rPr>
          <w:rFonts w:ascii="Times New Roman" w:hAnsi="Times New Roman" w:cs="Times New Roman"/>
          <w:sz w:val="26"/>
          <w:szCs w:val="26"/>
        </w:rPr>
        <w:t>virs TRL 5</w:t>
      </w:r>
      <w:r w:rsidRPr="00B83AD3">
        <w:rPr>
          <w:rFonts w:ascii="Times New Roman" w:hAnsi="Times New Roman" w:cs="Times New Roman"/>
          <w:sz w:val="26"/>
          <w:szCs w:val="26"/>
        </w:rPr>
        <w:t xml:space="preserve">. </w:t>
      </w:r>
    </w:p>
    <w:p w14:paraId="66572536" w14:textId="77777777" w:rsidR="00A81C85" w:rsidRPr="00B83AD3" w:rsidRDefault="00A81C85" w:rsidP="00A81C85">
      <w:pPr>
        <w:ind w:firstLine="720"/>
        <w:rPr>
          <w:rFonts w:cs="Times New Roman"/>
        </w:rPr>
      </w:pPr>
      <w:r w:rsidRPr="00B83AD3">
        <w:rPr>
          <w:rFonts w:cs="Times New Roman"/>
        </w:rPr>
        <w:t xml:space="preserve">Kā norādīts </w:t>
      </w:r>
      <w:r w:rsidR="00151EED" w:rsidRPr="00B83AD3">
        <w:rPr>
          <w:rFonts w:cs="Times New Roman"/>
        </w:rPr>
        <w:t xml:space="preserve">šī informatīvā ziņojuma </w:t>
      </w:r>
      <w:r w:rsidRPr="00B83AD3">
        <w:rPr>
          <w:rFonts w:cs="Times New Roman"/>
        </w:rPr>
        <w:t>Tabulā Nr.3</w:t>
      </w:r>
      <w:r w:rsidR="00151EED" w:rsidRPr="00B83AD3">
        <w:rPr>
          <w:rFonts w:cs="Times New Roman"/>
        </w:rPr>
        <w:t>,</w:t>
      </w:r>
      <w:r w:rsidRPr="00B83AD3">
        <w:rPr>
          <w:rFonts w:cs="Times New Roman"/>
        </w:rPr>
        <w:t xml:space="preserve"> vairums ESV līguma projektu tiek īstenoti ar mērķa TRL</w:t>
      </w:r>
      <w:r w:rsidR="0014681D" w:rsidRPr="00B83AD3">
        <w:rPr>
          <w:rFonts w:cs="Times New Roman"/>
        </w:rPr>
        <w:t xml:space="preserve"> 2-3 un mazāks skaits projektu tiek īstenoti TRL 5-7 robežās,</w:t>
      </w:r>
      <w:r w:rsidRPr="00B83AD3">
        <w:rPr>
          <w:rFonts w:cs="Times New Roman"/>
        </w:rPr>
        <w:t xml:space="preserve"> bet </w:t>
      </w:r>
      <w:r w:rsidR="00151EED" w:rsidRPr="00B83AD3">
        <w:rPr>
          <w:rFonts w:cs="Times New Roman"/>
        </w:rPr>
        <w:t>lai veiksmīgāk</w:t>
      </w:r>
      <w:r w:rsidRPr="00B83AD3">
        <w:rPr>
          <w:rFonts w:cs="Times New Roman"/>
        </w:rPr>
        <w:t xml:space="preserve"> konkurētu EKA izvēles programmās ir </w:t>
      </w:r>
      <w:r w:rsidR="00151EED" w:rsidRPr="00B83AD3">
        <w:rPr>
          <w:rFonts w:cs="Times New Roman"/>
        </w:rPr>
        <w:t xml:space="preserve">svarīgi, ka eksistē tehnoloģijas pakalpojumu </w:t>
      </w:r>
      <w:r w:rsidRPr="00B83AD3">
        <w:rPr>
          <w:rFonts w:cs="Times New Roman"/>
        </w:rPr>
        <w:t xml:space="preserve">ar augstāku TRL līmeni. Jāņem vērā, ka </w:t>
      </w:r>
      <w:r w:rsidR="0014681D" w:rsidRPr="00B83AD3">
        <w:rPr>
          <w:rFonts w:cs="Times New Roman"/>
        </w:rPr>
        <w:t>šajā</w:t>
      </w:r>
      <w:r w:rsidRPr="00B83AD3">
        <w:rPr>
          <w:rFonts w:cs="Times New Roman"/>
        </w:rPr>
        <w:t xml:space="preserve"> zi</w:t>
      </w:r>
      <w:r w:rsidR="0014681D" w:rsidRPr="00B83AD3">
        <w:rPr>
          <w:rFonts w:cs="Times New Roman"/>
        </w:rPr>
        <w:t>ņojumā netika iekļauti sestā projektu konkursa rezultāti</w:t>
      </w:r>
      <w:r w:rsidR="00343C60" w:rsidRPr="00B83AD3">
        <w:rPr>
          <w:rFonts w:cs="Times New Roman"/>
        </w:rPr>
        <w:t xml:space="preserve">, jo to rezultāti būs zināmi 2019.gada decembrī. </w:t>
      </w:r>
    </w:p>
    <w:p w14:paraId="66572537" w14:textId="77777777" w:rsidR="00343C60" w:rsidRPr="00B83AD3" w:rsidRDefault="00343C60" w:rsidP="00343C60">
      <w:pPr>
        <w:pStyle w:val="ListParagraph"/>
        <w:numPr>
          <w:ilvl w:val="0"/>
          <w:numId w:val="32"/>
        </w:numPr>
        <w:tabs>
          <w:tab w:val="left" w:pos="450"/>
        </w:tabs>
        <w:ind w:left="720"/>
        <w:jc w:val="both"/>
        <w:rPr>
          <w:rFonts w:ascii="Times New Roman" w:hAnsi="Times New Roman" w:cs="Times New Roman"/>
          <w:sz w:val="26"/>
          <w:szCs w:val="26"/>
        </w:rPr>
      </w:pPr>
      <w:r w:rsidRPr="00B83AD3">
        <w:rPr>
          <w:rFonts w:ascii="Times New Roman" w:hAnsi="Times New Roman" w:cs="Times New Roman"/>
          <w:sz w:val="26"/>
          <w:szCs w:val="26"/>
        </w:rPr>
        <w:t>Industriālo atbalsta instrumentu un koordinācijas mehānisma neesamība Latvijas industrijas atbalstam</w:t>
      </w:r>
      <w:r w:rsidR="00E26108" w:rsidRPr="00B83AD3">
        <w:rPr>
          <w:rFonts w:ascii="Times New Roman" w:hAnsi="Times New Roman" w:cs="Times New Roman"/>
          <w:sz w:val="26"/>
          <w:szCs w:val="26"/>
        </w:rPr>
        <w:t xml:space="preserve"> EKA aktivitātēs</w:t>
      </w:r>
      <w:r w:rsidRPr="00B83AD3">
        <w:rPr>
          <w:rFonts w:ascii="Times New Roman" w:hAnsi="Times New Roman" w:cs="Times New Roman"/>
          <w:sz w:val="26"/>
          <w:szCs w:val="26"/>
        </w:rPr>
        <w:t xml:space="preserve">. </w:t>
      </w:r>
    </w:p>
    <w:p w14:paraId="66572538" w14:textId="77777777" w:rsidR="00343C60" w:rsidRPr="00B83AD3" w:rsidRDefault="00343C60" w:rsidP="00343C60">
      <w:pPr>
        <w:ind w:firstLine="720"/>
        <w:rPr>
          <w:rFonts w:cs="Times New Roman"/>
        </w:rPr>
      </w:pPr>
      <w:r w:rsidRPr="00B83AD3">
        <w:rPr>
          <w:rFonts w:cs="Times New Roman"/>
        </w:rPr>
        <w:t xml:space="preserve">Šis ir viens no būtiskākajiem riskiem par ko norāda EKA gala ziņojumā un IZM pasūtītajā neatkarīgajā izvērtējumā par </w:t>
      </w:r>
      <w:proofErr w:type="spellStart"/>
      <w:r w:rsidRPr="00B83AD3">
        <w:rPr>
          <w:rFonts w:cs="Times New Roman"/>
          <w:i/>
        </w:rPr>
        <w:t>ex-ante</w:t>
      </w:r>
      <w:proofErr w:type="spellEnd"/>
      <w:r w:rsidRPr="00B83AD3">
        <w:rPr>
          <w:rFonts w:cs="Times New Roman"/>
        </w:rPr>
        <w:t xml:space="preserve"> (sākuma) analīzi par Latvijas dalību EKA aktivitātēs. </w:t>
      </w:r>
      <w:r w:rsidR="00C175BA" w:rsidRPr="00B83AD3">
        <w:rPr>
          <w:rFonts w:cs="Times New Roman"/>
        </w:rPr>
        <w:t>Latvijai kļūstot par</w:t>
      </w:r>
      <w:r w:rsidR="00151EED" w:rsidRPr="00B83AD3">
        <w:rPr>
          <w:rFonts w:cs="Times New Roman"/>
        </w:rPr>
        <w:t xml:space="preserve"> asociēto dalībvalsti ir būtiski</w:t>
      </w:r>
      <w:r w:rsidR="00C175BA" w:rsidRPr="00B83AD3">
        <w:rPr>
          <w:rFonts w:cs="Times New Roman"/>
        </w:rPr>
        <w:t xml:space="preserve"> izveidot koordinētu ind</w:t>
      </w:r>
      <w:r w:rsidR="00151EED" w:rsidRPr="00B83AD3">
        <w:rPr>
          <w:rFonts w:cs="Times New Roman"/>
        </w:rPr>
        <w:t>ustriālās atbalsta</w:t>
      </w:r>
      <w:r w:rsidR="00C175BA" w:rsidRPr="00B83AD3">
        <w:rPr>
          <w:rFonts w:cs="Times New Roman"/>
        </w:rPr>
        <w:t xml:space="preserve"> vienību, kas palīdzētu Latvijas industrijai izvērtēt to ideju un iestrādņu atbilstību EKA programmatiskajām nostādnēm, palīdzēt sagatavoties EKA iepirkumiem un konkursiem, un īstenotu palīdzības dienesta funkcijas attiecībā uz EKA noteik</w:t>
      </w:r>
      <w:r w:rsidR="00E26108" w:rsidRPr="00B83AD3">
        <w:rPr>
          <w:rFonts w:cs="Times New Roman"/>
        </w:rPr>
        <w:t>umiem un standartiem.</w:t>
      </w:r>
    </w:p>
    <w:p w14:paraId="66572539" w14:textId="77777777" w:rsidR="005D66B9" w:rsidRPr="00B83AD3" w:rsidRDefault="005D66B9" w:rsidP="00FB3235">
      <w:pPr>
        <w:rPr>
          <w:rFonts w:cs="Times New Roman"/>
        </w:rPr>
      </w:pPr>
    </w:p>
    <w:p w14:paraId="6657253A" w14:textId="77777777" w:rsidR="004B09E3" w:rsidRPr="00B83AD3" w:rsidRDefault="004B09E3" w:rsidP="004B09E3">
      <w:pPr>
        <w:jc w:val="center"/>
        <w:rPr>
          <w:rFonts w:cs="Times New Roman"/>
          <w:b/>
        </w:rPr>
      </w:pPr>
      <w:r w:rsidRPr="00B83AD3">
        <w:rPr>
          <w:rFonts w:cs="Times New Roman"/>
          <w:b/>
        </w:rPr>
        <w:t>Dalības Eiropas Kosmosa aģentūrā ietekme uz tautsaimniecību</w:t>
      </w:r>
    </w:p>
    <w:p w14:paraId="6657253B" w14:textId="77777777" w:rsidR="004B09E3" w:rsidRPr="00B83AD3" w:rsidRDefault="004B09E3" w:rsidP="004B09E3">
      <w:pPr>
        <w:jc w:val="center"/>
        <w:rPr>
          <w:rFonts w:cs="Times New Roman"/>
          <w:b/>
        </w:rPr>
      </w:pPr>
    </w:p>
    <w:p w14:paraId="6657253C" w14:textId="77777777" w:rsidR="009550E4" w:rsidRPr="00B83AD3" w:rsidRDefault="004B09E3" w:rsidP="009550E4">
      <w:pPr>
        <w:ind w:firstLine="720"/>
        <w:rPr>
          <w:rFonts w:eastAsia="Calibri" w:cs="Times New Roman"/>
          <w:bCs/>
        </w:rPr>
      </w:pPr>
      <w:r w:rsidRPr="00B83AD3">
        <w:rPr>
          <w:rFonts w:eastAsia="Calibri" w:cs="Times New Roman"/>
        </w:rPr>
        <w:t xml:space="preserve">Dalība EKA ietekme uz tautsaimniecību vērtējama pozitīvi, </w:t>
      </w:r>
      <w:r w:rsidRPr="00B83AD3">
        <w:rPr>
          <w:rFonts w:eastAsia="Calibri" w:cs="Times New Roman"/>
          <w:bCs/>
        </w:rPr>
        <w:t xml:space="preserve">sakarā ar tirgus iespējamo papildināšanos ar jauniem produktiem un pakalpojumiem, kā arī ar jaunu darba vietu izveidi. Nodarbinātība varētu pieaugt sakarā ar jaunu, augsti kvalificētu darba vietu veidošanos. Latvijas dalībniekiem EKA programmās paaugstināsies tehnoloģiskā kvalifikācija un zināšanas. </w:t>
      </w:r>
    </w:p>
    <w:p w14:paraId="6657253D" w14:textId="77777777" w:rsidR="004B09E3" w:rsidRPr="00B83AD3" w:rsidRDefault="004B09E3" w:rsidP="009550E4">
      <w:pPr>
        <w:ind w:firstLine="720"/>
        <w:rPr>
          <w:rFonts w:eastAsia="Times New Roman" w:cs="Times New Roman"/>
          <w:color w:val="000000"/>
          <w:lang w:eastAsia="lv-LV"/>
        </w:rPr>
      </w:pPr>
      <w:r w:rsidRPr="00B83AD3">
        <w:rPr>
          <w:rFonts w:eastAsia="Times New Roman" w:cs="Times New Roman"/>
          <w:color w:val="000000"/>
          <w:lang w:eastAsia="lv-LV"/>
        </w:rPr>
        <w:lastRenderedPageBreak/>
        <w:t>Saskaņā ar Eiropas Investīciju bankas un EKA aprēķiniem</w:t>
      </w:r>
      <w:r w:rsidRPr="00B83AD3">
        <w:rPr>
          <w:rStyle w:val="FootnoteReference"/>
          <w:rFonts w:eastAsia="Times New Roman" w:cs="Times New Roman"/>
          <w:color w:val="000000"/>
          <w:lang w:eastAsia="lv-LV"/>
        </w:rPr>
        <w:footnoteReference w:id="21"/>
      </w:r>
      <w:r w:rsidRPr="00B83AD3">
        <w:rPr>
          <w:rFonts w:eastAsia="Times New Roman" w:cs="Times New Roman"/>
          <w:color w:val="000000"/>
          <w:lang w:eastAsia="lv-LV"/>
        </w:rPr>
        <w:t>, katrs eiro ieguldīts kosmosa tehnoloģijās un to pielietojumos, dod 6 EUR atdevi pievienotās vērtības pakalpojumu veidā. Globālā kosmosa industrija laka posmā no 2007. – 2015.gadam ir augusi vidēji par 6,7%, kas ir divreiz vairāk par vidējo globālo ekonomikas izaugsmi (3,5%). Saskaņā ar kopējo gada izaugsmes tempu (</w:t>
      </w:r>
      <w:proofErr w:type="spellStart"/>
      <w:r w:rsidRPr="00B83AD3">
        <w:rPr>
          <w:rFonts w:eastAsia="Times New Roman" w:cs="Times New Roman"/>
          <w:i/>
          <w:color w:val="000000"/>
          <w:lang w:eastAsia="lv-LV"/>
        </w:rPr>
        <w:t>compound</w:t>
      </w:r>
      <w:proofErr w:type="spellEnd"/>
      <w:r w:rsidRPr="00B83AD3">
        <w:rPr>
          <w:rFonts w:eastAsia="Times New Roman" w:cs="Times New Roman"/>
          <w:i/>
          <w:color w:val="000000"/>
          <w:lang w:eastAsia="lv-LV"/>
        </w:rPr>
        <w:t xml:space="preserve"> </w:t>
      </w:r>
      <w:proofErr w:type="spellStart"/>
      <w:r w:rsidRPr="00B83AD3">
        <w:rPr>
          <w:rFonts w:eastAsia="Times New Roman" w:cs="Times New Roman"/>
          <w:i/>
          <w:color w:val="000000"/>
          <w:lang w:eastAsia="lv-LV"/>
        </w:rPr>
        <w:t>annual</w:t>
      </w:r>
      <w:proofErr w:type="spellEnd"/>
      <w:r w:rsidRPr="00B83AD3">
        <w:rPr>
          <w:rFonts w:eastAsia="Times New Roman" w:cs="Times New Roman"/>
          <w:i/>
          <w:color w:val="000000"/>
          <w:lang w:eastAsia="lv-LV"/>
        </w:rPr>
        <w:t xml:space="preserve"> </w:t>
      </w:r>
      <w:proofErr w:type="spellStart"/>
      <w:r w:rsidRPr="00B83AD3">
        <w:rPr>
          <w:rFonts w:eastAsia="Times New Roman" w:cs="Times New Roman"/>
          <w:i/>
          <w:color w:val="000000"/>
          <w:lang w:eastAsia="lv-LV"/>
        </w:rPr>
        <w:t>growth</w:t>
      </w:r>
      <w:proofErr w:type="spellEnd"/>
      <w:r w:rsidRPr="00B83AD3">
        <w:rPr>
          <w:rFonts w:eastAsia="Times New Roman" w:cs="Times New Roman"/>
          <w:i/>
          <w:color w:val="000000"/>
          <w:lang w:eastAsia="lv-LV"/>
        </w:rPr>
        <w:t xml:space="preserve"> </w:t>
      </w:r>
      <w:proofErr w:type="spellStart"/>
      <w:r w:rsidRPr="00B83AD3">
        <w:rPr>
          <w:rFonts w:eastAsia="Times New Roman" w:cs="Times New Roman"/>
          <w:i/>
          <w:color w:val="000000"/>
          <w:lang w:eastAsia="lv-LV"/>
        </w:rPr>
        <w:t>rate</w:t>
      </w:r>
      <w:proofErr w:type="spellEnd"/>
      <w:r w:rsidRPr="00B83AD3">
        <w:rPr>
          <w:rFonts w:eastAsia="Times New Roman" w:cs="Times New Roman"/>
          <w:color w:val="000000"/>
          <w:lang w:eastAsia="lv-LV"/>
        </w:rPr>
        <w:t xml:space="preserve">) aprēķiniem līdz 2026.gadam </w:t>
      </w:r>
      <w:r w:rsidR="005E7F8E" w:rsidRPr="00B83AD3">
        <w:rPr>
          <w:rFonts w:eastAsia="Times New Roman" w:cs="Times New Roman"/>
          <w:color w:val="000000"/>
          <w:lang w:eastAsia="lv-LV"/>
        </w:rPr>
        <w:t xml:space="preserve">globālā </w:t>
      </w:r>
      <w:r w:rsidRPr="00B83AD3">
        <w:rPr>
          <w:rFonts w:eastAsia="Times New Roman" w:cs="Times New Roman"/>
          <w:color w:val="000000"/>
          <w:lang w:eastAsia="lv-LV"/>
        </w:rPr>
        <w:t>izaugsme turpināsies vidēji 5,6% apmērā.</w:t>
      </w:r>
      <w:r w:rsidRPr="00B83AD3">
        <w:rPr>
          <w:rStyle w:val="FootnoteReference"/>
          <w:rFonts w:eastAsia="Times New Roman" w:cs="Times New Roman"/>
          <w:color w:val="000000"/>
          <w:lang w:eastAsia="lv-LV"/>
        </w:rPr>
        <w:footnoteReference w:id="22"/>
      </w:r>
      <w:r w:rsidRPr="00B83AD3">
        <w:rPr>
          <w:rFonts w:eastAsia="Times New Roman" w:cs="Times New Roman"/>
          <w:color w:val="000000"/>
          <w:lang w:eastAsia="lv-LV"/>
        </w:rPr>
        <w:t xml:space="preserve"> Provizoriskās aplēses liecina, ka</w:t>
      </w:r>
      <w:r w:rsidR="009550E4" w:rsidRPr="00B83AD3">
        <w:rPr>
          <w:rFonts w:eastAsia="Times New Roman" w:cs="Times New Roman"/>
          <w:color w:val="000000"/>
          <w:lang w:eastAsia="lv-LV"/>
        </w:rPr>
        <w:t xml:space="preserve"> Latvijai</w:t>
      </w:r>
      <w:r w:rsidRPr="00B83AD3">
        <w:rPr>
          <w:rFonts w:eastAsia="Times New Roman" w:cs="Times New Roman"/>
          <w:color w:val="000000"/>
          <w:lang w:eastAsia="lv-LV"/>
        </w:rPr>
        <w:t xml:space="preserve"> 7 gadu laikā ieguldot 21 milj. </w:t>
      </w:r>
      <w:proofErr w:type="spellStart"/>
      <w:r w:rsidRPr="00B83AD3">
        <w:rPr>
          <w:rFonts w:eastAsia="Times New Roman" w:cs="Times New Roman"/>
          <w:color w:val="000000"/>
          <w:lang w:eastAsia="lv-LV"/>
        </w:rPr>
        <w:t>euro</w:t>
      </w:r>
      <w:proofErr w:type="spellEnd"/>
      <w:r w:rsidRPr="00B83AD3">
        <w:rPr>
          <w:rFonts w:eastAsia="Times New Roman" w:cs="Times New Roman"/>
          <w:color w:val="000000"/>
          <w:lang w:eastAsia="lv-LV"/>
        </w:rPr>
        <w:t xml:space="preserve"> EKA turpmākā </w:t>
      </w:r>
      <w:proofErr w:type="spellStart"/>
      <w:r w:rsidRPr="00B83AD3">
        <w:rPr>
          <w:rFonts w:eastAsia="Times New Roman" w:cs="Times New Roman"/>
          <w:color w:val="000000"/>
          <w:lang w:eastAsia="lv-LV"/>
        </w:rPr>
        <w:t>atdeve</w:t>
      </w:r>
      <w:proofErr w:type="spellEnd"/>
      <w:r w:rsidRPr="00B83AD3">
        <w:rPr>
          <w:rFonts w:eastAsia="Times New Roman" w:cs="Times New Roman"/>
          <w:color w:val="000000"/>
          <w:lang w:eastAsia="lv-LV"/>
        </w:rPr>
        <w:t xml:space="preserve"> ekonomikai pievienotās vērtības produktu un pakalpojumu veidā mērāma 126 milj. euro apmērā.</w:t>
      </w:r>
    </w:p>
    <w:p w14:paraId="6657253E" w14:textId="4AE3D566" w:rsidR="004B09E3" w:rsidRPr="00B83AD3" w:rsidRDefault="004B09E3" w:rsidP="009550E4">
      <w:pPr>
        <w:ind w:firstLine="720"/>
        <w:rPr>
          <w:rFonts w:eastAsia="Times New Roman" w:cs="Times New Roman"/>
          <w:color w:val="000000"/>
          <w:lang w:eastAsia="lv-LV"/>
        </w:rPr>
      </w:pPr>
      <w:r w:rsidRPr="00B83AD3">
        <w:rPr>
          <w:rFonts w:eastAsia="Times New Roman" w:cs="Times New Roman"/>
          <w:color w:val="000000"/>
          <w:lang w:eastAsia="lv-LV"/>
        </w:rPr>
        <w:t xml:space="preserve">Piemēram, </w:t>
      </w:r>
      <w:r w:rsidR="009550E4" w:rsidRPr="00B83AD3">
        <w:rPr>
          <w:rFonts w:eastAsia="Times New Roman" w:cs="Times New Roman"/>
          <w:color w:val="000000"/>
          <w:lang w:eastAsia="lv-LV"/>
        </w:rPr>
        <w:t xml:space="preserve">Igaunijas </w:t>
      </w:r>
      <w:r w:rsidRPr="00B83AD3">
        <w:rPr>
          <w:rFonts w:eastAsia="Times New Roman" w:cs="Times New Roman"/>
          <w:color w:val="000000"/>
          <w:lang w:eastAsia="lv-LV"/>
        </w:rPr>
        <w:t xml:space="preserve">kompānija </w:t>
      </w:r>
      <w:r w:rsidR="00F907C0" w:rsidRPr="00B83AD3">
        <w:rPr>
          <w:rFonts w:cs="Times New Roman"/>
          <w:sz w:val="28"/>
          <w:szCs w:val="28"/>
        </w:rPr>
        <w:t>"</w:t>
      </w:r>
      <w:r w:rsidRPr="00B83AD3">
        <w:rPr>
          <w:rFonts w:eastAsia="Times New Roman" w:cs="Times New Roman"/>
          <w:color w:val="000000"/>
          <w:lang w:eastAsia="lv-LV"/>
        </w:rPr>
        <w:t>Skeleton Technologies</w:t>
      </w:r>
      <w:r w:rsidR="00F907C0" w:rsidRPr="00B83AD3">
        <w:rPr>
          <w:rFonts w:cs="Times New Roman"/>
          <w:sz w:val="28"/>
          <w:szCs w:val="28"/>
        </w:rPr>
        <w:t>"</w:t>
      </w:r>
      <w:r w:rsidR="009550E4" w:rsidRPr="00B83AD3">
        <w:rPr>
          <w:rFonts w:eastAsia="Times New Roman" w:cs="Times New Roman"/>
          <w:color w:val="000000"/>
          <w:lang w:eastAsia="lv-LV"/>
        </w:rPr>
        <w:t xml:space="preserve"> </w:t>
      </w:r>
      <w:r w:rsidRPr="00B83AD3">
        <w:rPr>
          <w:rFonts w:eastAsia="Times New Roman" w:cs="Times New Roman"/>
          <w:color w:val="000000"/>
          <w:lang w:eastAsia="lv-LV"/>
        </w:rPr>
        <w:t xml:space="preserve">ražo augstas </w:t>
      </w:r>
      <w:r w:rsidR="009550E4" w:rsidRPr="00B83AD3">
        <w:rPr>
          <w:rFonts w:eastAsia="Times New Roman" w:cs="Times New Roman"/>
          <w:color w:val="000000"/>
          <w:lang w:eastAsia="lv-LV"/>
        </w:rPr>
        <w:t>veiktspējas grafēna kondensatorus</w:t>
      </w:r>
      <w:r w:rsidRPr="00B83AD3">
        <w:rPr>
          <w:rFonts w:eastAsia="Times New Roman" w:cs="Times New Roman"/>
          <w:color w:val="000000"/>
          <w:lang w:eastAsia="lv-LV"/>
        </w:rPr>
        <w:t xml:space="preserve"> enerģijas uzkrāšanai</w:t>
      </w:r>
      <w:r w:rsidR="009550E4" w:rsidRPr="00B83AD3">
        <w:rPr>
          <w:rFonts w:eastAsia="Times New Roman" w:cs="Times New Roman"/>
          <w:color w:val="000000"/>
          <w:lang w:eastAsia="lv-LV"/>
        </w:rPr>
        <w:t>, tai skaitā kosmosa industrijai.</w:t>
      </w:r>
      <w:r w:rsidRPr="00B83AD3">
        <w:rPr>
          <w:rFonts w:eastAsia="Times New Roman" w:cs="Times New Roman"/>
          <w:color w:val="000000"/>
          <w:lang w:eastAsia="lv-LV"/>
        </w:rPr>
        <w:t xml:space="preserve"> 2011.gadā SIA </w:t>
      </w:r>
      <w:r w:rsidR="00F907C0" w:rsidRPr="00B83AD3">
        <w:rPr>
          <w:rFonts w:cs="Times New Roman"/>
          <w:sz w:val="28"/>
          <w:szCs w:val="28"/>
        </w:rPr>
        <w:t>"</w:t>
      </w:r>
      <w:r w:rsidRPr="00B83AD3">
        <w:rPr>
          <w:rFonts w:eastAsia="Times New Roman" w:cs="Times New Roman"/>
          <w:color w:val="000000"/>
          <w:lang w:eastAsia="lv-LV"/>
        </w:rPr>
        <w:t>Skeleton Technologies</w:t>
      </w:r>
      <w:r w:rsidR="00F907C0" w:rsidRPr="00B83AD3">
        <w:rPr>
          <w:rFonts w:cs="Times New Roman"/>
          <w:sz w:val="28"/>
          <w:szCs w:val="28"/>
        </w:rPr>
        <w:t>"</w:t>
      </w:r>
      <w:r w:rsidRPr="00B83AD3">
        <w:rPr>
          <w:rFonts w:eastAsia="Times New Roman" w:cs="Times New Roman"/>
          <w:color w:val="000000"/>
          <w:lang w:eastAsia="lv-LV"/>
        </w:rPr>
        <w:t xml:space="preserve"> noslēdza līgumu ar EKA, kas atnesa kompānijai publicitāti un atpazīstamību, kā arī </w:t>
      </w:r>
      <w:r w:rsidRPr="00B83AD3">
        <w:rPr>
          <w:rFonts w:eastAsia="Times New Roman" w:cs="Times New Roman"/>
          <w:color w:val="000000"/>
          <w:u w:val="single"/>
          <w:lang w:eastAsia="lv-LV"/>
        </w:rPr>
        <w:t>kvalitātes zīmogu</w:t>
      </w:r>
      <w:r w:rsidRPr="00B83AD3">
        <w:rPr>
          <w:rFonts w:eastAsia="Times New Roman" w:cs="Times New Roman"/>
          <w:color w:val="000000"/>
          <w:lang w:eastAsia="lv-LV"/>
        </w:rPr>
        <w:t>, kā rezultātā kompānija no tā brīža no dažādiem investoriem ir piesaistījusi 41 milj. EUR savu tehnoloģiju attīstībai.</w:t>
      </w:r>
      <w:r w:rsidRPr="00B83AD3">
        <w:rPr>
          <w:rStyle w:val="FootnoteReference"/>
          <w:rFonts w:eastAsia="Times New Roman" w:cs="Times New Roman"/>
          <w:color w:val="000000"/>
          <w:lang w:eastAsia="lv-LV"/>
        </w:rPr>
        <w:footnoteReference w:id="23"/>
      </w:r>
      <w:r w:rsidRPr="00B83AD3">
        <w:rPr>
          <w:rFonts w:eastAsia="Times New Roman" w:cs="Times New Roman"/>
          <w:color w:val="000000"/>
          <w:lang w:eastAsia="lv-LV"/>
        </w:rPr>
        <w:t xml:space="preserve"> </w:t>
      </w:r>
    </w:p>
    <w:p w14:paraId="6657253F" w14:textId="77777777" w:rsidR="004B09E3" w:rsidRPr="00B83AD3" w:rsidRDefault="004B09E3" w:rsidP="009550E4">
      <w:pPr>
        <w:ind w:firstLine="720"/>
        <w:rPr>
          <w:rFonts w:eastAsia="Calibri" w:cs="Times New Roman"/>
          <w:bCs/>
        </w:rPr>
      </w:pPr>
      <w:r w:rsidRPr="00B83AD3">
        <w:rPr>
          <w:rFonts w:eastAsia="Calibri" w:cs="Times New Roman"/>
        </w:rPr>
        <w:t>Saskaņā ar EKA vērtējumu, Latvijas organizācijas ir parādījušas atzīstamas kompetences un spējas specifiskās kosmosa nozares nišās, kas ir EKA un Eiropas kosmosa sektora interesēs.</w:t>
      </w:r>
    </w:p>
    <w:p w14:paraId="66572540" w14:textId="77777777" w:rsidR="004B09E3" w:rsidRPr="00B83AD3" w:rsidRDefault="004B09E3" w:rsidP="009550E4">
      <w:pPr>
        <w:ind w:firstLine="720"/>
        <w:rPr>
          <w:rFonts w:eastAsia="Calibri" w:cs="Times New Roman"/>
        </w:rPr>
      </w:pPr>
      <w:r w:rsidRPr="00B83AD3">
        <w:rPr>
          <w:rFonts w:eastAsia="Calibri" w:cs="Times New Roman"/>
        </w:rPr>
        <w:t xml:space="preserve">Izvērtējot iespējamos sadarbības modeļus ar EKA no 2020.gada, IZM un EKA ieskatā labākais risinājums Latvijai ir pievienošanās EKA asociētās dalībvalsts statusā. Asociētās dalībvalsts statuss nodrošinātu Latvijas industrijas dziļāku integrāciju un iesaisti Eiropas kosmosa vērtību ķēdēs gan sadarbībā ar Eiropas kosmosa industriju, gan attīstot nišu inovācijas EKA izvēles programmu ietvaros, kurās tiek īstenotas visas EKA tehnoloģiju misijas. </w:t>
      </w:r>
    </w:p>
    <w:p w14:paraId="66572541" w14:textId="77777777" w:rsidR="004B09E3" w:rsidRPr="00B83AD3" w:rsidRDefault="004B09E3" w:rsidP="009550E4">
      <w:pPr>
        <w:ind w:firstLine="720"/>
        <w:rPr>
          <w:rFonts w:eastAsia="Calibri" w:cs="Times New Roman"/>
        </w:rPr>
      </w:pPr>
      <w:r w:rsidRPr="00B83AD3">
        <w:rPr>
          <w:rFonts w:eastAsia="Calibri" w:cs="Times New Roman"/>
        </w:rPr>
        <w:t>EKA Asociētās dalībvalsts statuss ir labākā vide Latvijas organizācijām:</w:t>
      </w:r>
    </w:p>
    <w:p w14:paraId="66572542" w14:textId="77777777" w:rsidR="004B09E3" w:rsidRPr="00B83AD3" w:rsidRDefault="004B09E3" w:rsidP="009550E4">
      <w:pPr>
        <w:numPr>
          <w:ilvl w:val="0"/>
          <w:numId w:val="34"/>
        </w:numPr>
        <w:contextualSpacing/>
        <w:rPr>
          <w:rFonts w:eastAsia="Calibri" w:cs="Times New Roman"/>
        </w:rPr>
      </w:pPr>
      <w:r w:rsidRPr="00B83AD3">
        <w:rPr>
          <w:rFonts w:eastAsia="Calibri" w:cs="Times New Roman"/>
        </w:rPr>
        <w:t>kosmosa tehnoloģiju un pakalpojumu turpmākai attīstībai, jo dalība EKA izvēles programmās nodrošinās plašākas iespējas pievienoties industriāliem konsorcijiem un nodrošinās nepieciešamo sadarbību kosmosa tehnoloģiju attīstībai, ko nepiedāvā ESV līguma otrais raunds.</w:t>
      </w:r>
    </w:p>
    <w:p w14:paraId="66572543" w14:textId="77777777" w:rsidR="004B09E3" w:rsidRPr="00B83AD3" w:rsidRDefault="004B09E3" w:rsidP="009550E4">
      <w:pPr>
        <w:numPr>
          <w:ilvl w:val="0"/>
          <w:numId w:val="34"/>
        </w:numPr>
        <w:contextualSpacing/>
        <w:rPr>
          <w:rFonts w:eastAsia="Calibri" w:cs="Times New Roman"/>
        </w:rPr>
      </w:pPr>
      <w:r w:rsidRPr="00B83AD3">
        <w:rPr>
          <w:rFonts w:eastAsia="Calibri" w:cs="Times New Roman"/>
        </w:rPr>
        <w:t>starpnozaru produktu un pakalpojumu attīstībai, kas ir saistīta ar dažādu satelītu misiju un platformu izmantošanu;</w:t>
      </w:r>
    </w:p>
    <w:p w14:paraId="66572544" w14:textId="77777777" w:rsidR="004B09E3" w:rsidRPr="00B83AD3" w:rsidRDefault="004B09E3" w:rsidP="009550E4">
      <w:pPr>
        <w:numPr>
          <w:ilvl w:val="0"/>
          <w:numId w:val="34"/>
        </w:numPr>
        <w:contextualSpacing/>
        <w:rPr>
          <w:rFonts w:eastAsia="Calibri" w:cs="Times New Roman"/>
        </w:rPr>
      </w:pPr>
      <w:r w:rsidRPr="00B83AD3">
        <w:rPr>
          <w:rFonts w:eastAsia="Calibri" w:cs="Times New Roman"/>
        </w:rPr>
        <w:t>Latvijas industrijas konkurētspējas un spēju piedalīties kosmosa aktivitātēs un programmās potenciāla palielināšanai;</w:t>
      </w:r>
    </w:p>
    <w:p w14:paraId="66572545" w14:textId="77777777" w:rsidR="004B09E3" w:rsidRPr="00B83AD3" w:rsidRDefault="004B09E3" w:rsidP="009550E4">
      <w:pPr>
        <w:numPr>
          <w:ilvl w:val="0"/>
          <w:numId w:val="34"/>
        </w:numPr>
        <w:contextualSpacing/>
        <w:rPr>
          <w:rFonts w:eastAsia="Calibri" w:cs="Times New Roman"/>
        </w:rPr>
      </w:pPr>
      <w:r w:rsidRPr="00B83AD3">
        <w:rPr>
          <w:rFonts w:eastAsia="Calibri" w:cs="Times New Roman"/>
        </w:rPr>
        <w:t>ilgtermiņa sadarbības ar EKA dalībvalstu kosmosa industriju stiprināšanai.</w:t>
      </w:r>
    </w:p>
    <w:p w14:paraId="66572546" w14:textId="77777777" w:rsidR="004B09E3" w:rsidRPr="00B83AD3" w:rsidRDefault="004B09E3" w:rsidP="009550E4">
      <w:pPr>
        <w:ind w:firstLine="720"/>
        <w:rPr>
          <w:rFonts w:eastAsia="Calibri" w:cs="Times New Roman"/>
        </w:rPr>
      </w:pPr>
      <w:r w:rsidRPr="00B83AD3">
        <w:rPr>
          <w:rFonts w:eastAsia="Calibri" w:cs="Times New Roman"/>
        </w:rPr>
        <w:t xml:space="preserve">EKA konvencija paredz, ka Latvijas ieguldītais finansējums EKA asociētās dalībvalsts statusā vismaz 85% apmērā tiks atgriezts Latvijas augsto tehnoloģiju komersantiem un zinātniskajām institūcijām kosmosa tehnoloģiju, inovāciju un pakalpojumu turpmākajai attīstībai un komercializēšanai globālā tirgū. Savukārt dažādi </w:t>
      </w:r>
      <w:proofErr w:type="spellStart"/>
      <w:r w:rsidRPr="00B83AD3">
        <w:rPr>
          <w:rFonts w:eastAsia="Calibri" w:cs="Times New Roman"/>
        </w:rPr>
        <w:t>satelīttehnoloģiju</w:t>
      </w:r>
      <w:proofErr w:type="spellEnd"/>
      <w:r w:rsidRPr="00B83AD3">
        <w:rPr>
          <w:rFonts w:eastAsia="Calibri" w:cs="Times New Roman"/>
        </w:rPr>
        <w:t xml:space="preserve"> pielietojumi, kuri tiks attīstīti asociētās dalībvalsts statusā, ir izmantojami dažādās lokālās tautsaimniecībās nozarēs un jomās, kā lauksaimniecība, dabas aizsardzība, transports, pilsētu un reģionālā plānošana, enerģētika, dabas katastrofu un ārkārtas situāciju pārvaldībā u.c. </w:t>
      </w:r>
    </w:p>
    <w:p w14:paraId="66572547" w14:textId="77777777" w:rsidR="004B09E3" w:rsidRPr="00B83AD3" w:rsidRDefault="004B09E3" w:rsidP="009550E4">
      <w:pPr>
        <w:ind w:firstLine="720"/>
        <w:rPr>
          <w:rFonts w:eastAsia="Calibri" w:cs="Times New Roman"/>
        </w:rPr>
      </w:pPr>
      <w:r w:rsidRPr="00B83AD3">
        <w:rPr>
          <w:rFonts w:eastAsia="Calibri" w:cs="Times New Roman"/>
        </w:rPr>
        <w:t xml:space="preserve">EKA Asociētās dalībvalsts statuss ir ieguldījums: </w:t>
      </w:r>
    </w:p>
    <w:p w14:paraId="66572548" w14:textId="77777777" w:rsidR="004B09E3" w:rsidRPr="00B83AD3" w:rsidRDefault="004B09E3" w:rsidP="009550E4">
      <w:pPr>
        <w:numPr>
          <w:ilvl w:val="0"/>
          <w:numId w:val="34"/>
        </w:numPr>
        <w:ind w:left="720"/>
        <w:contextualSpacing/>
        <w:rPr>
          <w:rFonts w:eastAsia="Calibri" w:cs="Times New Roman"/>
        </w:rPr>
      </w:pPr>
      <w:r w:rsidRPr="00B83AD3">
        <w:rPr>
          <w:rFonts w:eastAsia="Calibri" w:cs="Times New Roman"/>
        </w:rPr>
        <w:lastRenderedPageBreak/>
        <w:t xml:space="preserve">Latvijas </w:t>
      </w:r>
      <w:proofErr w:type="spellStart"/>
      <w:r w:rsidRPr="00B83AD3">
        <w:rPr>
          <w:rFonts w:eastAsia="Calibri" w:cs="Times New Roman"/>
        </w:rPr>
        <w:t>cilvēkkapitāla</w:t>
      </w:r>
      <w:proofErr w:type="spellEnd"/>
      <w:r w:rsidRPr="00B83AD3">
        <w:rPr>
          <w:rFonts w:eastAsia="Calibri" w:cs="Times New Roman"/>
        </w:rPr>
        <w:t xml:space="preserve"> augsto tehnoloģiju prasmēs un kompetencēs kosmosa nozarē, jo parādīsies iespēja iekļauties Eiropas kosmosa misiju tīklos un konsorcijos. Tas piedāvā studentu stažēšanās iespējas EKA tehnoloģiju centros, kā arī rakstīt doktora darbus EKA ekspertu pavadībā. Piedāvā apmācības </w:t>
      </w:r>
      <w:r w:rsidR="009550E4" w:rsidRPr="00B83AD3">
        <w:rPr>
          <w:rFonts w:eastAsia="Calibri" w:cs="Times New Roman"/>
        </w:rPr>
        <w:t xml:space="preserve">industrijai un seminārus un </w:t>
      </w:r>
      <w:r w:rsidRPr="00B83AD3">
        <w:rPr>
          <w:rFonts w:eastAsia="Calibri" w:cs="Times New Roman"/>
        </w:rPr>
        <w:t>vasaras skolas skolotājiem atraktīvākai STEM priekšmetu mācīšanai.</w:t>
      </w:r>
    </w:p>
    <w:p w14:paraId="66572549" w14:textId="77777777" w:rsidR="004B09E3" w:rsidRPr="00B83AD3" w:rsidRDefault="004B09E3" w:rsidP="009550E4">
      <w:pPr>
        <w:numPr>
          <w:ilvl w:val="0"/>
          <w:numId w:val="34"/>
        </w:numPr>
        <w:ind w:left="720"/>
        <w:contextualSpacing/>
        <w:rPr>
          <w:rFonts w:eastAsia="Calibri" w:cs="Times New Roman"/>
        </w:rPr>
      </w:pPr>
      <w:r w:rsidRPr="00B83AD3">
        <w:rPr>
          <w:rFonts w:eastAsia="Calibri" w:cs="Times New Roman"/>
        </w:rPr>
        <w:t xml:space="preserve">Ekonomikas izaugsmē, jo paver iespējas pretendēt uz tehnoloģiju pasūtījumiem EKA organizētajās misijās, kurās piedalās 23 Eiropas valstis un virkne starptautisko partneru, kā ASV, Japāna, Kanāda </w:t>
      </w:r>
      <w:proofErr w:type="spellStart"/>
      <w:r w:rsidRPr="00B83AD3">
        <w:rPr>
          <w:rFonts w:eastAsia="Calibri" w:cs="Times New Roman"/>
        </w:rPr>
        <w:t>u.c</w:t>
      </w:r>
      <w:proofErr w:type="spellEnd"/>
      <w:r w:rsidRPr="00B83AD3">
        <w:rPr>
          <w:rFonts w:eastAsia="Calibri" w:cs="Times New Roman"/>
        </w:rPr>
        <w:t xml:space="preserve"> attīstot inovatīvas tehnoloģijas. Vienlaikus EKA atjaunotais asociētās dalībvalsts statuss piedāvā īstenot atbalsta programmu, kas paredz turpināt industriālās kapacitātes stiprināšanas pasākumus Latvijas komersantiem un zinātniskajām institūcijām, lai nodrošinātu Latvijas industrijas panākumus EKA izvēles programmās. </w:t>
      </w:r>
    </w:p>
    <w:p w14:paraId="6657254A" w14:textId="77777777" w:rsidR="004B09E3" w:rsidRPr="00B83AD3" w:rsidRDefault="004B09E3" w:rsidP="009550E4">
      <w:pPr>
        <w:numPr>
          <w:ilvl w:val="0"/>
          <w:numId w:val="34"/>
        </w:numPr>
        <w:ind w:left="720"/>
        <w:contextualSpacing/>
        <w:rPr>
          <w:rFonts w:eastAsia="Calibri" w:cs="Times New Roman"/>
        </w:rPr>
      </w:pPr>
      <w:r w:rsidRPr="00B83AD3">
        <w:rPr>
          <w:rFonts w:eastAsia="Calibri" w:cs="Times New Roman"/>
        </w:rPr>
        <w:t>P&amp;A attīstībā, jo piedāvā zinātniskajām institūcijām īstenot izcilus pētniecības projektus EKA ekspertu pārraudzībā, izmantojot EKA pētniecības infrastruktūru, kā arī attīstīt nepieciešamo saikni starp industriju un pētniecību.</w:t>
      </w:r>
      <w:r w:rsidRPr="00B83AD3">
        <w:rPr>
          <w:rFonts w:cs="Times New Roman"/>
        </w:rPr>
        <w:t xml:space="preserve"> </w:t>
      </w:r>
    </w:p>
    <w:p w14:paraId="6657254B" w14:textId="77777777" w:rsidR="004B09E3" w:rsidRPr="00B83AD3" w:rsidRDefault="004B09E3" w:rsidP="00EA63A5">
      <w:pPr>
        <w:jc w:val="center"/>
        <w:rPr>
          <w:rFonts w:cs="Times New Roman"/>
          <w:b/>
        </w:rPr>
      </w:pPr>
    </w:p>
    <w:p w14:paraId="6657254C" w14:textId="77777777" w:rsidR="001D4872" w:rsidRPr="00B83AD3" w:rsidRDefault="00EA63A5" w:rsidP="00EA63A5">
      <w:pPr>
        <w:jc w:val="center"/>
        <w:rPr>
          <w:rFonts w:cs="Times New Roman"/>
          <w:b/>
        </w:rPr>
      </w:pPr>
      <w:r w:rsidRPr="00B83AD3">
        <w:rPr>
          <w:rFonts w:cs="Times New Roman"/>
          <w:b/>
        </w:rPr>
        <w:t>Turpmākā rīcība</w:t>
      </w:r>
    </w:p>
    <w:p w14:paraId="6657254D" w14:textId="77777777" w:rsidR="004B09E3" w:rsidRPr="00B83AD3" w:rsidRDefault="004B09E3" w:rsidP="00EA63A5">
      <w:pPr>
        <w:jc w:val="center"/>
        <w:rPr>
          <w:rFonts w:cs="Times New Roman"/>
          <w:b/>
        </w:rPr>
      </w:pPr>
    </w:p>
    <w:p w14:paraId="6657254E" w14:textId="77777777" w:rsidR="00BD560B" w:rsidRPr="00B83AD3" w:rsidRDefault="00BB6A88" w:rsidP="00BB6A88">
      <w:pPr>
        <w:rPr>
          <w:rFonts w:cs="Times New Roman"/>
        </w:rPr>
      </w:pPr>
      <w:r w:rsidRPr="00B83AD3">
        <w:rPr>
          <w:rFonts w:cs="Times New Roman"/>
        </w:rPr>
        <w:tab/>
      </w:r>
      <w:r w:rsidR="00BD560B" w:rsidRPr="00B83AD3">
        <w:rPr>
          <w:rFonts w:cs="Times New Roman"/>
        </w:rPr>
        <w:t>Lai Latvija pievienotos EKA asociētās dalībvalsts statusā, IZM līdz 2019.gada 30.decembrim jāizstrādā un</w:t>
      </w:r>
      <w:r w:rsidRPr="00B83AD3">
        <w:rPr>
          <w:rFonts w:cs="Times New Roman"/>
        </w:rPr>
        <w:t xml:space="preserve"> izglītības un zinātnes ministram noteiktā kārtībā </w:t>
      </w:r>
      <w:r w:rsidR="00BD560B" w:rsidRPr="00B83AD3">
        <w:rPr>
          <w:rFonts w:cs="Times New Roman"/>
        </w:rPr>
        <w:t xml:space="preserve">jāiesniedz </w:t>
      </w:r>
      <w:r w:rsidRPr="00B83AD3">
        <w:rPr>
          <w:rFonts w:cs="Times New Roman"/>
        </w:rPr>
        <w:t xml:space="preserve">izskatīšanai Ministru kabinetā Latvijas Republikas valdības un EKA līguma par pievienošanos EKA asociētās </w:t>
      </w:r>
      <w:r w:rsidR="0053248A" w:rsidRPr="00B83AD3">
        <w:rPr>
          <w:rFonts w:cs="Times New Roman"/>
        </w:rPr>
        <w:t>dalīb</w:t>
      </w:r>
      <w:r w:rsidR="007217C9" w:rsidRPr="00B83AD3">
        <w:rPr>
          <w:rFonts w:cs="Times New Roman"/>
        </w:rPr>
        <w:t xml:space="preserve">valsts statusā projektu un pilnvarojuma vēstules projekts izglītības un zinātnes ministrei parakstīt līguma projektu. </w:t>
      </w:r>
      <w:r w:rsidR="002E04AB" w:rsidRPr="00B83AD3">
        <w:rPr>
          <w:rFonts w:cs="Times New Roman"/>
        </w:rPr>
        <w:t xml:space="preserve">Pēc līguma apstiprināšanas Ministru kabinetā un parakstīšanas, izglītības un zinātnes ministrs virza līgumu ratificēšanai Saeimā. </w:t>
      </w:r>
      <w:r w:rsidR="00700116" w:rsidRPr="00B83AD3">
        <w:rPr>
          <w:rFonts w:cs="Times New Roman"/>
        </w:rPr>
        <w:t xml:space="preserve">Saeimai apstiprinot līgumu, līgums stājas spēkā. </w:t>
      </w:r>
    </w:p>
    <w:p w14:paraId="6657254F" w14:textId="37710FC1" w:rsidR="00AE4D40" w:rsidRPr="00B83AD3" w:rsidRDefault="0053248A" w:rsidP="00BD560B">
      <w:pPr>
        <w:ind w:firstLine="720"/>
        <w:rPr>
          <w:rFonts w:cs="Times New Roman"/>
        </w:rPr>
      </w:pPr>
      <w:r w:rsidRPr="00B83AD3">
        <w:rPr>
          <w:rFonts w:cs="Times New Roman"/>
        </w:rPr>
        <w:t>N</w:t>
      </w:r>
      <w:r w:rsidR="005E485C" w:rsidRPr="00B83AD3">
        <w:rPr>
          <w:rFonts w:cs="Times New Roman"/>
        </w:rPr>
        <w:t xml:space="preserve">epieciešamais finansējums </w:t>
      </w:r>
      <w:r w:rsidR="00BD560B" w:rsidRPr="00B83AD3">
        <w:rPr>
          <w:rFonts w:cs="Times New Roman"/>
        </w:rPr>
        <w:t>Latvijas</w:t>
      </w:r>
      <w:r w:rsidR="005E485C" w:rsidRPr="00B83AD3">
        <w:rPr>
          <w:rFonts w:cs="Times New Roman"/>
        </w:rPr>
        <w:t xml:space="preserve"> dalībai EKA asociētās </w:t>
      </w:r>
      <w:r w:rsidR="00C80669" w:rsidRPr="00B83AD3">
        <w:rPr>
          <w:rFonts w:cs="Times New Roman"/>
        </w:rPr>
        <w:t>dalīb</w:t>
      </w:r>
      <w:r w:rsidR="005E485C" w:rsidRPr="00B83AD3">
        <w:rPr>
          <w:rFonts w:cs="Times New Roman"/>
        </w:rPr>
        <w:t xml:space="preserve">valsts statusā ik gadu </w:t>
      </w:r>
      <w:r w:rsidR="009D4A31" w:rsidRPr="00B83AD3">
        <w:rPr>
          <w:rFonts w:cs="Times New Roman"/>
        </w:rPr>
        <w:t>ir</w:t>
      </w:r>
      <w:r w:rsidR="00BD560B" w:rsidRPr="00B83AD3">
        <w:rPr>
          <w:rFonts w:cs="Times New Roman"/>
        </w:rPr>
        <w:t xml:space="preserve"> </w:t>
      </w:r>
      <w:r w:rsidR="00D70B15">
        <w:rPr>
          <w:rFonts w:cs="Times New Roman"/>
        </w:rPr>
        <w:t>vidēji 3</w:t>
      </w:r>
      <w:r w:rsidR="007A055A" w:rsidRPr="00B83AD3">
        <w:rPr>
          <w:rFonts w:cs="Times New Roman"/>
        </w:rPr>
        <w:t xml:space="preserve"> milj.</w:t>
      </w:r>
      <w:r w:rsidR="005E485C" w:rsidRPr="00B83AD3">
        <w:rPr>
          <w:rFonts w:cs="Times New Roman"/>
        </w:rPr>
        <w:t xml:space="preserve"> </w:t>
      </w:r>
      <w:r w:rsidR="005E485C" w:rsidRPr="00B83AD3">
        <w:rPr>
          <w:rFonts w:cs="Times New Roman"/>
          <w:i/>
        </w:rPr>
        <w:t>euro</w:t>
      </w:r>
      <w:r w:rsidRPr="00B83AD3">
        <w:rPr>
          <w:rFonts w:cs="Times New Roman"/>
        </w:rPr>
        <w:t>, ka</w:t>
      </w:r>
      <w:r w:rsidR="004E0FF1">
        <w:rPr>
          <w:rFonts w:cs="Times New Roman"/>
        </w:rPr>
        <w:t>s</w:t>
      </w:r>
      <w:r w:rsidRPr="00B83AD3">
        <w:rPr>
          <w:rFonts w:cs="Times New Roman"/>
        </w:rPr>
        <w:t xml:space="preserve"> </w:t>
      </w:r>
      <w:r w:rsidR="009D4A31" w:rsidRPr="00B83AD3">
        <w:rPr>
          <w:rFonts w:cs="Times New Roman"/>
        </w:rPr>
        <w:t>nodrošina</w:t>
      </w:r>
      <w:r w:rsidR="005E485C" w:rsidRPr="00B83AD3">
        <w:rPr>
          <w:rFonts w:cs="Times New Roman"/>
        </w:rPr>
        <w:t xml:space="preserve"> ieguldījumu EKA obligātajā programmā,</w:t>
      </w:r>
      <w:r w:rsidR="00947C6C" w:rsidRPr="00B83AD3">
        <w:rPr>
          <w:rFonts w:cs="Times New Roman"/>
        </w:rPr>
        <w:t xml:space="preserve"> EKA izvēles programmās un EKA </w:t>
      </w:r>
      <w:r w:rsidR="00C96F88" w:rsidRPr="00B83AD3">
        <w:rPr>
          <w:rFonts w:cs="Times New Roman"/>
        </w:rPr>
        <w:t xml:space="preserve">Pieprasītāja </w:t>
      </w:r>
      <w:r w:rsidR="005E485C" w:rsidRPr="00B83AD3">
        <w:rPr>
          <w:rFonts w:cs="Times New Roman"/>
        </w:rPr>
        <w:t>puses programmā, paredzot finansējuma sadalījum</w:t>
      </w:r>
      <w:r w:rsidR="007A055A" w:rsidRPr="00B83AD3">
        <w:rPr>
          <w:rFonts w:cs="Times New Roman"/>
        </w:rPr>
        <w:t>a</w:t>
      </w:r>
      <w:r w:rsidR="005E485C" w:rsidRPr="00B83AD3">
        <w:rPr>
          <w:rFonts w:cs="Times New Roman"/>
        </w:rPr>
        <w:t xml:space="preserve"> elastību starp ieguldījuma apmēru</w:t>
      </w:r>
      <w:r w:rsidR="00947C6C" w:rsidRPr="00B83AD3">
        <w:rPr>
          <w:rFonts w:cs="Times New Roman"/>
        </w:rPr>
        <w:t xml:space="preserve"> EKA izvēles programmās un EKA </w:t>
      </w:r>
      <w:r w:rsidR="00C96F88" w:rsidRPr="00B83AD3">
        <w:rPr>
          <w:rFonts w:cs="Times New Roman"/>
        </w:rPr>
        <w:t>Pieprasītāja puses programmā</w:t>
      </w:r>
      <w:r w:rsidR="00C930C4" w:rsidRPr="00B83AD3">
        <w:rPr>
          <w:rFonts w:cs="Times New Roman"/>
        </w:rPr>
        <w:t xml:space="preserve"> atbilstoši Latvijas industrijas vajadzīb</w:t>
      </w:r>
      <w:r w:rsidR="00C80669" w:rsidRPr="00B83AD3">
        <w:rPr>
          <w:rFonts w:cs="Times New Roman"/>
        </w:rPr>
        <w:t>ām.</w:t>
      </w:r>
      <w:r w:rsidR="00D53F42" w:rsidRPr="00B83AD3">
        <w:rPr>
          <w:rFonts w:cs="Times New Roman"/>
        </w:rPr>
        <w:t xml:space="preserve"> </w:t>
      </w:r>
      <w:r w:rsidR="00AE4D40" w:rsidRPr="00B83AD3">
        <w:rPr>
          <w:rFonts w:cs="Times New Roman"/>
        </w:rPr>
        <w:t>Kā arī, lai nodrošinātu Latvijas pārstāvju dalību</w:t>
      </w:r>
      <w:r w:rsidR="00AC56CA" w:rsidRPr="00B83AD3">
        <w:rPr>
          <w:rFonts w:cs="Times New Roman"/>
        </w:rPr>
        <w:t xml:space="preserve"> ārvalstu</w:t>
      </w:r>
      <w:r w:rsidR="00AE4D40" w:rsidRPr="00B83AD3">
        <w:rPr>
          <w:rFonts w:cs="Times New Roman"/>
        </w:rPr>
        <w:t xml:space="preserve"> institūciju ietvaros organizētās darba grupās ik gadu nepieciešams</w:t>
      </w:r>
      <w:r w:rsidR="00AE4D40" w:rsidRPr="00B83AD3">
        <w:rPr>
          <w:rFonts w:cs="Times New Roman"/>
          <w:i/>
          <w:lang w:val="en-GB"/>
        </w:rPr>
        <w:t xml:space="preserve"> </w:t>
      </w:r>
      <w:r w:rsidR="00AE4D40" w:rsidRPr="00B83AD3">
        <w:rPr>
          <w:rFonts w:cs="Times New Roman"/>
          <w:lang w:val="en-GB"/>
        </w:rPr>
        <w:t>19 600</w:t>
      </w:r>
      <w:r w:rsidR="00AE4D40" w:rsidRPr="00B83AD3">
        <w:rPr>
          <w:rFonts w:cs="Times New Roman"/>
          <w:i/>
          <w:lang w:val="en-GB"/>
        </w:rPr>
        <w:t xml:space="preserve"> euro</w:t>
      </w:r>
      <w:r w:rsidR="00F53002" w:rsidRPr="00B83AD3">
        <w:rPr>
          <w:rFonts w:cs="Times New Roman"/>
          <w:lang w:val="en-GB"/>
        </w:rPr>
        <w:t xml:space="preserve"> </w:t>
      </w:r>
      <w:proofErr w:type="spellStart"/>
      <w:r w:rsidR="00F53002" w:rsidRPr="00B83AD3">
        <w:rPr>
          <w:rFonts w:cs="Times New Roman"/>
          <w:lang w:val="en-GB"/>
        </w:rPr>
        <w:t>gadā</w:t>
      </w:r>
      <w:proofErr w:type="spellEnd"/>
      <w:r w:rsidR="002F1DB6">
        <w:rPr>
          <w:rFonts w:cs="Times New Roman"/>
          <w:lang w:val="en-GB"/>
        </w:rPr>
        <w:t xml:space="preserve"> </w:t>
      </w:r>
      <w:r w:rsidR="002F1DB6" w:rsidRPr="00694DF7">
        <w:rPr>
          <w:rFonts w:cs="Times New Roman"/>
        </w:rPr>
        <w:t xml:space="preserve">(4 tikšanās * 7 dalībnieki, *700 </w:t>
      </w:r>
      <w:proofErr w:type="spellStart"/>
      <w:r w:rsidR="004B2A96">
        <w:rPr>
          <w:rFonts w:cs="Times New Roman"/>
        </w:rPr>
        <w:t>euro</w:t>
      </w:r>
      <w:proofErr w:type="spellEnd"/>
      <w:r w:rsidR="004B2A96">
        <w:rPr>
          <w:rFonts w:cs="Times New Roman"/>
        </w:rPr>
        <w:t xml:space="preserve"> </w:t>
      </w:r>
      <w:r w:rsidR="002F1DB6" w:rsidRPr="00694DF7">
        <w:rPr>
          <w:rFonts w:cs="Times New Roman"/>
        </w:rPr>
        <w:t>vidējās izmaksas 1.darb.)</w:t>
      </w:r>
      <w:r w:rsidR="00AE4D40" w:rsidRPr="00B83AD3">
        <w:rPr>
          <w:rFonts w:cs="Times New Roman"/>
          <w:lang w:val="en-GB"/>
        </w:rPr>
        <w:t>.</w:t>
      </w:r>
      <w:r w:rsidR="005E7F8E" w:rsidRPr="00B83AD3">
        <w:rPr>
          <w:rFonts w:cs="Times New Roman"/>
          <w:lang w:val="en-GB"/>
        </w:rPr>
        <w:t xml:space="preserve"> </w:t>
      </w:r>
    </w:p>
    <w:p w14:paraId="47A996D3" w14:textId="77777777" w:rsidR="00BB5822" w:rsidRDefault="008C4F01" w:rsidP="00EB1412">
      <w:pPr>
        <w:ind w:firstLine="720"/>
        <w:rPr>
          <w:rFonts w:cs="Times New Roman"/>
        </w:rPr>
      </w:pPr>
      <w:r w:rsidRPr="00B83AD3">
        <w:rPr>
          <w:rFonts w:cs="Times New Roman"/>
        </w:rPr>
        <w:t xml:space="preserve">Atbilstoši 2019.gada 20.septembrī Ministru kabinetā izskatītajam informatīvajam ziņojuma "Par prioritārajiem pasākumiem valsts budžetam 2020.gadam un ietvaram 2020.–2022.gadam", Ministru kabineta sēdē tika atbalstīts IZM </w:t>
      </w:r>
      <w:r w:rsidR="00F907C0" w:rsidRPr="00B83AD3">
        <w:rPr>
          <w:rFonts w:cs="Times New Roman"/>
        </w:rPr>
        <w:t xml:space="preserve">prioritārais pasākums </w:t>
      </w:r>
      <w:r w:rsidR="00F907C0" w:rsidRPr="00B83AD3">
        <w:rPr>
          <w:rFonts w:cs="Times New Roman"/>
          <w:sz w:val="28"/>
          <w:szCs w:val="28"/>
        </w:rPr>
        <w:t>"</w:t>
      </w:r>
      <w:r w:rsidRPr="00B83AD3">
        <w:rPr>
          <w:rFonts w:cs="Times New Roman"/>
        </w:rPr>
        <w:t>Dalība Eiropas Kosmosa aģentūras Sadarbības valsts vai Asociētās dalībvalsts statusā</w:t>
      </w:r>
      <w:r w:rsidR="00F907C0" w:rsidRPr="00B83AD3">
        <w:rPr>
          <w:rFonts w:cs="Times New Roman"/>
          <w:sz w:val="28"/>
          <w:szCs w:val="28"/>
        </w:rPr>
        <w:t>"</w:t>
      </w:r>
      <w:r w:rsidRPr="00B83AD3">
        <w:rPr>
          <w:rFonts w:cs="Times New Roman"/>
        </w:rPr>
        <w:t xml:space="preserve">, piešķirot papildu valsts budžeta finansējumu kopā 8 290 750 euro apmērā, t.sk., 2020.gadā 4 168 784 euro, 2021.gadā – 3 000 000 euro un 2022.gadā – 1 121 966 euro. </w:t>
      </w:r>
    </w:p>
    <w:p w14:paraId="66572550" w14:textId="6602C80A" w:rsidR="002919BF" w:rsidRPr="00B83AD3" w:rsidRDefault="002919BF" w:rsidP="00EB1412">
      <w:pPr>
        <w:ind w:firstLine="720"/>
        <w:rPr>
          <w:rFonts w:cs="Times New Roman"/>
        </w:rPr>
      </w:pPr>
    </w:p>
    <w:p w14:paraId="66572551" w14:textId="4C8AEC97" w:rsidR="00171E0D" w:rsidRDefault="0044225D" w:rsidP="002919BF">
      <w:pPr>
        <w:ind w:firstLine="720"/>
        <w:rPr>
          <w:rFonts w:cs="Times New Roman"/>
        </w:rPr>
      </w:pPr>
      <w:r w:rsidRPr="00B83AD3">
        <w:rPr>
          <w:rFonts w:cs="Times New Roman"/>
        </w:rPr>
        <w:t>K</w:t>
      </w:r>
      <w:r w:rsidR="00171E0D" w:rsidRPr="00B83AD3">
        <w:rPr>
          <w:rFonts w:cs="Times New Roman"/>
        </w:rPr>
        <w:t xml:space="preserve">opējais </w:t>
      </w:r>
      <w:r w:rsidRPr="00B83AD3">
        <w:rPr>
          <w:rFonts w:cs="Times New Roman"/>
        </w:rPr>
        <w:t xml:space="preserve">nepieciešamais </w:t>
      </w:r>
      <w:r w:rsidR="00171E0D" w:rsidRPr="00B83AD3">
        <w:rPr>
          <w:rFonts w:cs="Times New Roman"/>
        </w:rPr>
        <w:t>finansējums</w:t>
      </w:r>
      <w:r w:rsidR="002919BF" w:rsidRPr="00B83AD3">
        <w:rPr>
          <w:rFonts w:cs="Times New Roman"/>
        </w:rPr>
        <w:t xml:space="preserve"> pilnvērtīgai Latvijas dalībai Eiropas Kosmosa aģentūras Asociētās dalībvalsts statusā</w:t>
      </w:r>
      <w:r w:rsidR="00171E0D" w:rsidRPr="00B83AD3">
        <w:rPr>
          <w:rFonts w:cs="Times New Roman"/>
        </w:rPr>
        <w:t xml:space="preserve"> ir 21 137 200 euro apmērā, no tiem 21 000 000 euro apmērā</w:t>
      </w:r>
      <w:r w:rsidR="00EB1412" w:rsidRPr="00B83AD3">
        <w:rPr>
          <w:rFonts w:cs="Times New Roman"/>
        </w:rPr>
        <w:t xml:space="preserve"> paredzēts Latvijas dalībai EKA </w:t>
      </w:r>
      <w:r w:rsidR="00171E0D" w:rsidRPr="00B83AD3">
        <w:rPr>
          <w:rFonts w:cs="Times New Roman"/>
        </w:rPr>
        <w:t>Asociētās dalībvalsts statusā (</w:t>
      </w:r>
      <w:r w:rsidR="00BB5822">
        <w:rPr>
          <w:rFonts w:cs="Times New Roman"/>
        </w:rPr>
        <w:t>2</w:t>
      </w:r>
      <w:r w:rsidR="00171E0D" w:rsidRPr="00B83AD3">
        <w:rPr>
          <w:rFonts w:cs="Times New Roman"/>
        </w:rPr>
        <w:t>,</w:t>
      </w:r>
      <w:r w:rsidR="00BB5822">
        <w:rPr>
          <w:rFonts w:cs="Times New Roman"/>
        </w:rPr>
        <w:t>7</w:t>
      </w:r>
      <w:r w:rsidR="00571027">
        <w:rPr>
          <w:rFonts w:cs="Times New Roman"/>
        </w:rPr>
        <w:t>4</w:t>
      </w:r>
      <w:r w:rsidR="00171E0D" w:rsidRPr="00B83AD3">
        <w:rPr>
          <w:rFonts w:cs="Times New Roman"/>
        </w:rPr>
        <w:t xml:space="preserve"> milj. euro x </w:t>
      </w:r>
      <w:r w:rsidR="00BB5822">
        <w:rPr>
          <w:rFonts w:cs="Times New Roman"/>
        </w:rPr>
        <w:t>3</w:t>
      </w:r>
      <w:r w:rsidR="00171E0D" w:rsidRPr="00B83AD3">
        <w:rPr>
          <w:rFonts w:cs="Times New Roman"/>
        </w:rPr>
        <w:t xml:space="preserve"> gadi = </w:t>
      </w:r>
      <w:r w:rsidR="00BB5822">
        <w:rPr>
          <w:rFonts w:cs="Times New Roman"/>
        </w:rPr>
        <w:t>8,</w:t>
      </w:r>
      <w:r w:rsidR="00571027">
        <w:rPr>
          <w:rFonts w:cs="Times New Roman"/>
        </w:rPr>
        <w:t>2</w:t>
      </w:r>
      <w:r w:rsidR="00BB5822">
        <w:rPr>
          <w:rFonts w:cs="Times New Roman"/>
        </w:rPr>
        <w:t>3</w:t>
      </w:r>
      <w:r w:rsidR="00171E0D" w:rsidRPr="00B83AD3">
        <w:rPr>
          <w:rFonts w:cs="Times New Roman"/>
        </w:rPr>
        <w:t xml:space="preserve"> milj. euro</w:t>
      </w:r>
      <w:r w:rsidR="00BB5822">
        <w:rPr>
          <w:rFonts w:cs="Times New Roman"/>
        </w:rPr>
        <w:t xml:space="preserve"> 2020. – 2022.gads;</w:t>
      </w:r>
      <w:r w:rsidR="00BB5822" w:rsidRPr="00BB5822">
        <w:rPr>
          <w:rFonts w:cs="Times New Roman"/>
        </w:rPr>
        <w:t xml:space="preserve"> </w:t>
      </w:r>
      <w:r w:rsidR="00BB5822">
        <w:rPr>
          <w:rFonts w:cs="Times New Roman"/>
        </w:rPr>
        <w:t>3</w:t>
      </w:r>
      <w:r w:rsidR="00BB5822" w:rsidRPr="00BB5822">
        <w:rPr>
          <w:rFonts w:cs="Times New Roman"/>
        </w:rPr>
        <w:t>,</w:t>
      </w:r>
      <w:r w:rsidR="00571027">
        <w:rPr>
          <w:rFonts w:cs="Times New Roman"/>
        </w:rPr>
        <w:t>19</w:t>
      </w:r>
      <w:r w:rsidR="00BB5822" w:rsidRPr="00BB5822">
        <w:rPr>
          <w:rFonts w:cs="Times New Roman"/>
        </w:rPr>
        <w:t xml:space="preserve"> milj. euro x </w:t>
      </w:r>
      <w:r w:rsidR="00BB5822">
        <w:rPr>
          <w:rFonts w:cs="Times New Roman"/>
        </w:rPr>
        <w:t>4</w:t>
      </w:r>
      <w:r w:rsidR="00BB5822" w:rsidRPr="00BB5822">
        <w:rPr>
          <w:rFonts w:cs="Times New Roman"/>
        </w:rPr>
        <w:t xml:space="preserve"> gadi = </w:t>
      </w:r>
      <w:r w:rsidR="00BB5822">
        <w:rPr>
          <w:rFonts w:cs="Times New Roman"/>
        </w:rPr>
        <w:t>12,</w:t>
      </w:r>
      <w:r w:rsidR="00571027">
        <w:rPr>
          <w:rFonts w:cs="Times New Roman"/>
        </w:rPr>
        <w:t>77</w:t>
      </w:r>
      <w:r w:rsidR="00BB5822" w:rsidRPr="00BB5822">
        <w:rPr>
          <w:rFonts w:cs="Times New Roman"/>
        </w:rPr>
        <w:t xml:space="preserve"> milj. euro</w:t>
      </w:r>
      <w:r w:rsidR="00BB5822">
        <w:rPr>
          <w:rFonts w:cs="Times New Roman"/>
        </w:rPr>
        <w:t xml:space="preserve"> 2023</w:t>
      </w:r>
      <w:r w:rsidR="00BB5822" w:rsidRPr="00BB5822">
        <w:rPr>
          <w:rFonts w:cs="Times New Roman"/>
        </w:rPr>
        <w:t>. –</w:t>
      </w:r>
      <w:r w:rsidR="00BB5822">
        <w:rPr>
          <w:rFonts w:cs="Times New Roman"/>
        </w:rPr>
        <w:t xml:space="preserve"> 2026</w:t>
      </w:r>
      <w:r w:rsidR="00BB5822" w:rsidRPr="00BB5822">
        <w:rPr>
          <w:rFonts w:cs="Times New Roman"/>
        </w:rPr>
        <w:t>.gads</w:t>
      </w:r>
      <w:r w:rsidR="00BB5822">
        <w:rPr>
          <w:rFonts w:cs="Times New Roman"/>
        </w:rPr>
        <w:t xml:space="preserve"> </w:t>
      </w:r>
      <w:r w:rsidR="00171E0D" w:rsidRPr="00B83AD3">
        <w:rPr>
          <w:rFonts w:cs="Times New Roman"/>
        </w:rPr>
        <w:t xml:space="preserve">) un 137 200 euro apmērā paredzēts Latvijas pārstāvju </w:t>
      </w:r>
      <w:r w:rsidR="00171E0D" w:rsidRPr="00B83AD3">
        <w:rPr>
          <w:rFonts w:cs="Times New Roman"/>
        </w:rPr>
        <w:lastRenderedPageBreak/>
        <w:t>dalībai ārvalstu  institūciju ietvaros organizētās darba grupās (19,6 tūkst euro</w:t>
      </w:r>
      <w:r w:rsidR="00694DF7">
        <w:rPr>
          <w:rFonts w:cs="Times New Roman"/>
        </w:rPr>
        <w:t xml:space="preserve"> </w:t>
      </w:r>
      <w:r w:rsidR="002F1DB6">
        <w:rPr>
          <w:rFonts w:cs="Times New Roman"/>
        </w:rPr>
        <w:t>x</w:t>
      </w:r>
      <w:r w:rsidR="00694DF7" w:rsidRPr="00B83AD3">
        <w:rPr>
          <w:rFonts w:cs="Times New Roman"/>
        </w:rPr>
        <w:t xml:space="preserve"> </w:t>
      </w:r>
      <w:r w:rsidR="00171E0D" w:rsidRPr="00B83AD3">
        <w:rPr>
          <w:rFonts w:cs="Times New Roman"/>
        </w:rPr>
        <w:t xml:space="preserve">7 gadi = 137,2 tūkst. euro). </w:t>
      </w:r>
    </w:p>
    <w:p w14:paraId="2069A56B" w14:textId="77777777" w:rsidR="00571027" w:rsidRDefault="00571027" w:rsidP="002919BF">
      <w:pPr>
        <w:ind w:firstLine="720"/>
        <w:rPr>
          <w:rFonts w:cs="Times New Roman"/>
        </w:rPr>
      </w:pPr>
    </w:p>
    <w:p w14:paraId="0FFBB1C5" w14:textId="77777777" w:rsidR="00571027" w:rsidRPr="00B83AD3" w:rsidRDefault="00571027" w:rsidP="002919BF">
      <w:pPr>
        <w:ind w:firstLine="720"/>
        <w:rPr>
          <w:rFonts w:cs="Times New Roman"/>
        </w:rPr>
      </w:pPr>
    </w:p>
    <w:p w14:paraId="66572552" w14:textId="798A0FEB" w:rsidR="00171E0D" w:rsidRPr="00B83AD3" w:rsidRDefault="005236FA" w:rsidP="002919BF">
      <w:pPr>
        <w:ind w:firstLine="720"/>
        <w:rPr>
          <w:rFonts w:cs="Times New Roman"/>
        </w:rPr>
      </w:pPr>
      <w:r>
        <w:rPr>
          <w:rFonts w:cs="Times New Roman"/>
        </w:rPr>
        <w:t>Līdz ar to p</w:t>
      </w:r>
      <w:r w:rsidR="00171E0D" w:rsidRPr="00B83AD3">
        <w:rPr>
          <w:rFonts w:cs="Times New Roman"/>
        </w:rPr>
        <w:t>aredzētos izdevumus</w:t>
      </w:r>
      <w:r>
        <w:rPr>
          <w:rFonts w:cs="Times New Roman"/>
        </w:rPr>
        <w:t xml:space="preserve">, lai nodrošinātu Latvijas sadarbību ar EKA, </w:t>
      </w:r>
      <w:r w:rsidR="00171E0D" w:rsidRPr="00B83AD3">
        <w:rPr>
          <w:rFonts w:cs="Times New Roman"/>
        </w:rPr>
        <w:t>plānots nodrošināt</w:t>
      </w:r>
      <w:r w:rsidR="00B519C6" w:rsidRPr="00B83AD3">
        <w:rPr>
          <w:rFonts w:cs="Times New Roman"/>
        </w:rPr>
        <w:t xml:space="preserve"> pa daļām:</w:t>
      </w:r>
    </w:p>
    <w:p w14:paraId="740D5C43" w14:textId="544F572E" w:rsidR="005236FA" w:rsidRDefault="0044225D" w:rsidP="005B3939">
      <w:pPr>
        <w:pStyle w:val="ListParagraph"/>
        <w:numPr>
          <w:ilvl w:val="0"/>
          <w:numId w:val="35"/>
        </w:numPr>
        <w:jc w:val="both"/>
        <w:rPr>
          <w:rFonts w:ascii="Times New Roman" w:hAnsi="Times New Roman" w:cs="Times New Roman"/>
          <w:sz w:val="26"/>
          <w:szCs w:val="26"/>
        </w:rPr>
      </w:pPr>
      <w:r w:rsidRPr="00B83AD3">
        <w:rPr>
          <w:rFonts w:ascii="Times New Roman" w:hAnsi="Times New Roman" w:cs="Times New Roman"/>
          <w:sz w:val="26"/>
          <w:szCs w:val="26"/>
        </w:rPr>
        <w:t xml:space="preserve">Šobrīd </w:t>
      </w:r>
      <w:r w:rsidR="00B519C6" w:rsidRPr="00B83AD3">
        <w:rPr>
          <w:rFonts w:ascii="Times New Roman" w:hAnsi="Times New Roman" w:cs="Times New Roman"/>
          <w:sz w:val="26"/>
          <w:szCs w:val="26"/>
        </w:rPr>
        <w:t xml:space="preserve">uzņemties ilgtermiņa saistības </w:t>
      </w:r>
      <w:r w:rsidRPr="00B83AD3">
        <w:rPr>
          <w:rFonts w:ascii="Times New Roman" w:hAnsi="Times New Roman" w:cs="Times New Roman"/>
          <w:sz w:val="26"/>
          <w:szCs w:val="26"/>
        </w:rPr>
        <w:t>20</w:t>
      </w:r>
      <w:r w:rsidR="005236FA">
        <w:rPr>
          <w:rFonts w:ascii="Times New Roman" w:hAnsi="Times New Roman" w:cs="Times New Roman"/>
          <w:sz w:val="26"/>
          <w:szCs w:val="26"/>
        </w:rPr>
        <w:t>19</w:t>
      </w:r>
      <w:r w:rsidRPr="00B83AD3">
        <w:rPr>
          <w:rFonts w:ascii="Times New Roman" w:hAnsi="Times New Roman" w:cs="Times New Roman"/>
          <w:sz w:val="26"/>
          <w:szCs w:val="26"/>
        </w:rPr>
        <w:t xml:space="preserve">.-2026. gadam </w:t>
      </w:r>
      <w:r w:rsidR="00B1687D">
        <w:rPr>
          <w:rFonts w:ascii="Times New Roman" w:hAnsi="Times New Roman" w:cs="Times New Roman"/>
          <w:sz w:val="26"/>
          <w:szCs w:val="26"/>
        </w:rPr>
        <w:t>12</w:t>
      </w:r>
      <w:r w:rsidR="005A7BF2">
        <w:rPr>
          <w:rFonts w:ascii="Times New Roman" w:hAnsi="Times New Roman" w:cs="Times New Roman"/>
          <w:sz w:val="26"/>
          <w:szCs w:val="26"/>
        </w:rPr>
        <w:t xml:space="preserve"> </w:t>
      </w:r>
      <w:r w:rsidR="00B1687D">
        <w:rPr>
          <w:rFonts w:ascii="Times New Roman" w:hAnsi="Times New Roman" w:cs="Times New Roman"/>
          <w:sz w:val="26"/>
          <w:szCs w:val="26"/>
        </w:rPr>
        <w:t>778</w:t>
      </w:r>
      <w:r w:rsidR="005A7BF2">
        <w:rPr>
          <w:rFonts w:ascii="Times New Roman" w:hAnsi="Times New Roman" w:cs="Times New Roman"/>
          <w:sz w:val="26"/>
          <w:szCs w:val="26"/>
        </w:rPr>
        <w:t xml:space="preserve"> 61</w:t>
      </w:r>
      <w:r w:rsidR="00B1687D">
        <w:rPr>
          <w:rFonts w:ascii="Times New Roman" w:hAnsi="Times New Roman" w:cs="Times New Roman"/>
          <w:sz w:val="26"/>
          <w:szCs w:val="26"/>
        </w:rPr>
        <w:t>4</w:t>
      </w:r>
      <w:r w:rsidR="00BB5822">
        <w:rPr>
          <w:rFonts w:ascii="Times New Roman" w:hAnsi="Times New Roman" w:cs="Times New Roman"/>
          <w:sz w:val="26"/>
          <w:szCs w:val="26"/>
        </w:rPr>
        <w:t xml:space="preserve"> </w:t>
      </w:r>
      <w:r w:rsidR="00B519C6" w:rsidRPr="00B83AD3">
        <w:rPr>
          <w:rFonts w:ascii="Times New Roman" w:hAnsi="Times New Roman" w:cs="Times New Roman"/>
          <w:sz w:val="26"/>
          <w:szCs w:val="26"/>
        </w:rPr>
        <w:t xml:space="preserve">euro apmērā pamatbudžeta programmā </w:t>
      </w:r>
      <w:r w:rsidR="00BB5822" w:rsidRPr="00BB5822">
        <w:rPr>
          <w:rFonts w:ascii="Times New Roman" w:hAnsi="Times New Roman" w:cs="Times New Roman"/>
          <w:sz w:val="26"/>
          <w:szCs w:val="26"/>
        </w:rPr>
        <w:t>apakšprogrammā 05.01.00 "Zinātniskās darbības nodrošināšana"</w:t>
      </w:r>
      <w:r w:rsidR="00B519C6" w:rsidRPr="00B83AD3">
        <w:rPr>
          <w:rFonts w:ascii="Times New Roman" w:hAnsi="Times New Roman" w:cs="Times New Roman"/>
          <w:sz w:val="26"/>
          <w:szCs w:val="26"/>
        </w:rPr>
        <w:t xml:space="preserve">, paredzot, </w:t>
      </w:r>
    </w:p>
    <w:p w14:paraId="5B9DB52B" w14:textId="2D46525A" w:rsidR="008D54E8" w:rsidRDefault="008D54E8" w:rsidP="004B2A96">
      <w:pPr>
        <w:pStyle w:val="ListParagraph"/>
        <w:numPr>
          <w:ilvl w:val="1"/>
          <w:numId w:val="35"/>
        </w:numPr>
        <w:jc w:val="both"/>
        <w:rPr>
          <w:rFonts w:ascii="Times New Roman" w:hAnsi="Times New Roman" w:cs="Times New Roman"/>
          <w:sz w:val="26"/>
          <w:szCs w:val="26"/>
        </w:rPr>
      </w:pPr>
      <w:r w:rsidRPr="00AA13AF">
        <w:rPr>
          <w:rFonts w:ascii="Times New Roman" w:hAnsi="Times New Roman" w:cs="Times New Roman"/>
          <w:sz w:val="26"/>
          <w:szCs w:val="26"/>
        </w:rPr>
        <w:t>2020. gadam - 4 168 784 euro</w:t>
      </w:r>
      <w:r>
        <w:rPr>
          <w:rFonts w:ascii="Times New Roman" w:hAnsi="Times New Roman" w:cs="Times New Roman"/>
          <w:sz w:val="26"/>
          <w:szCs w:val="26"/>
        </w:rPr>
        <w:t xml:space="preserve"> apmērā</w:t>
      </w:r>
      <w:r w:rsidRPr="00AA13AF">
        <w:rPr>
          <w:rFonts w:ascii="Times New Roman" w:hAnsi="Times New Roman" w:cs="Times New Roman"/>
          <w:sz w:val="26"/>
          <w:szCs w:val="26"/>
        </w:rPr>
        <w:t>, 2021. gadam – 3 000 000 euro</w:t>
      </w:r>
      <w:r>
        <w:rPr>
          <w:rFonts w:ascii="Times New Roman" w:hAnsi="Times New Roman" w:cs="Times New Roman"/>
          <w:sz w:val="26"/>
          <w:szCs w:val="26"/>
        </w:rPr>
        <w:t xml:space="preserve"> apmērā</w:t>
      </w:r>
      <w:r w:rsidRPr="00AA13AF">
        <w:rPr>
          <w:rFonts w:ascii="Times New Roman" w:hAnsi="Times New Roman" w:cs="Times New Roman"/>
          <w:sz w:val="26"/>
          <w:szCs w:val="26"/>
        </w:rPr>
        <w:t>, 2022. -2026.gadam ik gadu - 1 121 966 euro</w:t>
      </w:r>
      <w:r>
        <w:rPr>
          <w:rFonts w:ascii="Times New Roman" w:hAnsi="Times New Roman" w:cs="Times New Roman"/>
          <w:sz w:val="26"/>
          <w:szCs w:val="26"/>
        </w:rPr>
        <w:t xml:space="preserve"> apmērā </w:t>
      </w:r>
      <w:r w:rsidRPr="008D54E8">
        <w:rPr>
          <w:rFonts w:ascii="Times New Roman" w:hAnsi="Times New Roman" w:cs="Times New Roman"/>
          <w:sz w:val="26"/>
          <w:szCs w:val="26"/>
        </w:rPr>
        <w:t>Latvijas dalībai EKA asociētās dalībvalsts statusā, nodrošinot EKA organizēto atklāto projektu konkursos uzvarējušo zinātnes projektu finansējumu Latvijas institūcijām un organizācijām – zinātniskajām institūcijām, augstskolām un komercsabiedrībām</w:t>
      </w:r>
      <w:r w:rsidRPr="00AA13AF">
        <w:rPr>
          <w:rFonts w:ascii="Times New Roman" w:hAnsi="Times New Roman" w:cs="Times New Roman"/>
          <w:sz w:val="26"/>
          <w:szCs w:val="26"/>
        </w:rPr>
        <w:t xml:space="preserve"> (nodrošinot pilnvērtīgu dalību 2020-2022.gadā un samazinātā apmērā 2023-2026.gadā). </w:t>
      </w:r>
    </w:p>
    <w:p w14:paraId="3AAAAF04" w14:textId="77777777" w:rsidR="008D54E8" w:rsidRDefault="008D54E8" w:rsidP="004B2A96">
      <w:pPr>
        <w:pStyle w:val="ListParagraph"/>
        <w:numPr>
          <w:ilvl w:val="2"/>
          <w:numId w:val="35"/>
        </w:numPr>
        <w:jc w:val="both"/>
        <w:rPr>
          <w:rFonts w:ascii="Times New Roman" w:hAnsi="Times New Roman" w:cs="Times New Roman"/>
          <w:sz w:val="26"/>
          <w:szCs w:val="26"/>
        </w:rPr>
      </w:pPr>
      <w:r w:rsidRPr="00AA13AF">
        <w:rPr>
          <w:rFonts w:ascii="Times New Roman" w:hAnsi="Times New Roman" w:cs="Times New Roman"/>
          <w:sz w:val="26"/>
          <w:szCs w:val="26"/>
        </w:rPr>
        <w:t>2020.g.-2022.gadā - 8 290 750 euro apmērā ministrijai prioritārajiem pasākumiem piešķirtā finansējuma ietvaros (finansējums apstiprināts ar Ministru kabineta 17.09.2019. sēdes prot. Nr.42 34.§.  2.punktu – 2020.g. – 4 168 784 euro, 2021.g.- 3 000 000 euro, 2022.g. – 1 121 966 euro.)</w:t>
      </w:r>
    </w:p>
    <w:p w14:paraId="69A4A86D" w14:textId="41090D09" w:rsidR="008D54E8" w:rsidRDefault="008D54E8" w:rsidP="004B2A96">
      <w:pPr>
        <w:pStyle w:val="ListParagraph"/>
        <w:numPr>
          <w:ilvl w:val="2"/>
          <w:numId w:val="35"/>
        </w:numPr>
        <w:jc w:val="both"/>
        <w:rPr>
          <w:rFonts w:ascii="Times New Roman" w:hAnsi="Times New Roman" w:cs="Times New Roman"/>
          <w:sz w:val="26"/>
          <w:szCs w:val="26"/>
        </w:rPr>
      </w:pPr>
      <w:r w:rsidRPr="00B83AD3">
        <w:rPr>
          <w:rFonts w:ascii="Times New Roman" w:hAnsi="Times New Roman" w:cs="Times New Roman"/>
          <w:sz w:val="26"/>
          <w:szCs w:val="26"/>
        </w:rPr>
        <w:t xml:space="preserve">2023.g- 2026.g. – 4 487 864 euro apmērā palielinot dotāciju no vispārējiem ieņēmumiem bāzes izdevumos 2023., 2024., 2025. un 2026.gadam 1 121 966 euro apmērā ik gadu ministrijas budžeta </w:t>
      </w:r>
      <w:r>
        <w:rPr>
          <w:rFonts w:ascii="Times New Roman" w:hAnsi="Times New Roman" w:cs="Times New Roman"/>
          <w:sz w:val="26"/>
          <w:szCs w:val="26"/>
        </w:rPr>
        <w:t>apakš</w:t>
      </w:r>
      <w:r w:rsidRPr="00B83AD3">
        <w:rPr>
          <w:rFonts w:ascii="Times New Roman" w:hAnsi="Times New Roman" w:cs="Times New Roman"/>
          <w:sz w:val="26"/>
          <w:szCs w:val="26"/>
        </w:rPr>
        <w:t xml:space="preserve">programmai </w:t>
      </w:r>
      <w:r w:rsidRPr="004A4210">
        <w:rPr>
          <w:rFonts w:ascii="Times New Roman" w:hAnsi="Times New Roman" w:cs="Times New Roman"/>
          <w:sz w:val="26"/>
          <w:szCs w:val="26"/>
        </w:rPr>
        <w:t>05.01.00 "Zinātniskās darbības nodrošināšana"</w:t>
      </w:r>
      <w:r w:rsidRPr="00B83AD3">
        <w:rPr>
          <w:rFonts w:ascii="Times New Roman" w:hAnsi="Times New Roman" w:cs="Times New Roman"/>
          <w:sz w:val="26"/>
          <w:szCs w:val="26"/>
        </w:rPr>
        <w:t>, lai nodrošinātu Latvijas dalības maksu EKA asociētās dalībvalsts statusā (minimālā apmērā).</w:t>
      </w:r>
    </w:p>
    <w:p w14:paraId="66572556" w14:textId="7C862969" w:rsidR="00171E0D" w:rsidRPr="00B83AD3" w:rsidRDefault="00171E0D" w:rsidP="004B2A96">
      <w:pPr>
        <w:pStyle w:val="ListParagraph"/>
        <w:ind w:left="1355"/>
        <w:jc w:val="both"/>
        <w:rPr>
          <w:rFonts w:ascii="Times New Roman" w:hAnsi="Times New Roman" w:cs="Times New Roman"/>
          <w:sz w:val="26"/>
          <w:szCs w:val="26"/>
        </w:rPr>
      </w:pPr>
    </w:p>
    <w:p w14:paraId="66572557" w14:textId="26846572" w:rsidR="00171E0D" w:rsidRPr="00B83AD3" w:rsidRDefault="00B519C6" w:rsidP="004F66DB">
      <w:pPr>
        <w:pStyle w:val="ListParagraph"/>
        <w:numPr>
          <w:ilvl w:val="0"/>
          <w:numId w:val="35"/>
        </w:numPr>
        <w:jc w:val="both"/>
        <w:rPr>
          <w:rFonts w:ascii="Times New Roman" w:hAnsi="Times New Roman" w:cs="Times New Roman"/>
          <w:sz w:val="26"/>
          <w:szCs w:val="26"/>
        </w:rPr>
      </w:pPr>
      <w:r w:rsidRPr="00B83AD3">
        <w:rPr>
          <w:rFonts w:ascii="Times New Roman" w:hAnsi="Times New Roman" w:cs="Times New Roman"/>
          <w:sz w:val="26"/>
          <w:szCs w:val="26"/>
        </w:rPr>
        <w:t xml:space="preserve">Par pārējo </w:t>
      </w:r>
      <w:r w:rsidR="0044225D" w:rsidRPr="00B83AD3">
        <w:rPr>
          <w:rFonts w:ascii="Times New Roman" w:hAnsi="Times New Roman" w:cs="Times New Roman"/>
          <w:sz w:val="26"/>
          <w:szCs w:val="26"/>
        </w:rPr>
        <w:t xml:space="preserve">nepieciešamo </w:t>
      </w:r>
      <w:r w:rsidRPr="00B83AD3">
        <w:rPr>
          <w:rFonts w:ascii="Times New Roman" w:hAnsi="Times New Roman" w:cs="Times New Roman"/>
          <w:sz w:val="26"/>
          <w:szCs w:val="26"/>
        </w:rPr>
        <w:t>finansējum</w:t>
      </w:r>
      <w:r w:rsidR="0044225D" w:rsidRPr="00B83AD3">
        <w:rPr>
          <w:rFonts w:ascii="Times New Roman" w:hAnsi="Times New Roman" w:cs="Times New Roman"/>
          <w:sz w:val="26"/>
          <w:szCs w:val="26"/>
        </w:rPr>
        <w:t>u (</w:t>
      </w:r>
      <w:r w:rsidR="004F66DB" w:rsidRPr="004F66DB">
        <w:rPr>
          <w:rFonts w:ascii="Times New Roman" w:hAnsi="Times New Roman" w:cs="Times New Roman"/>
          <w:sz w:val="26"/>
          <w:szCs w:val="26"/>
        </w:rPr>
        <w:t>Latvijas dalībai EKA asociētās dalībvalsts statusā, nodrošinot EKA organizēto atklāto projektu konkursos uzvarējušo zinātnes projektu finansējumu Latvijas institūcijām un organizācijām – zinātniskajām institūcijām, augstskolām un komercsabiedrībām</w:t>
      </w:r>
      <w:r w:rsidR="0044225D" w:rsidRPr="00B83AD3">
        <w:rPr>
          <w:rFonts w:ascii="Times New Roman" w:hAnsi="Times New Roman" w:cs="Times New Roman"/>
          <w:sz w:val="26"/>
          <w:szCs w:val="26"/>
        </w:rPr>
        <w:t>)</w:t>
      </w:r>
      <w:r w:rsidRPr="00B83AD3">
        <w:rPr>
          <w:rFonts w:ascii="Times New Roman" w:hAnsi="Times New Roman" w:cs="Times New Roman"/>
          <w:sz w:val="26"/>
          <w:szCs w:val="26"/>
        </w:rPr>
        <w:t xml:space="preserve"> </w:t>
      </w:r>
      <w:r w:rsidR="00171E0D" w:rsidRPr="00B83AD3">
        <w:rPr>
          <w:rFonts w:ascii="Times New Roman" w:hAnsi="Times New Roman" w:cs="Times New Roman"/>
          <w:sz w:val="26"/>
          <w:szCs w:val="26"/>
        </w:rPr>
        <w:t>2023.g- 2026.g.</w:t>
      </w:r>
      <w:r w:rsidRPr="00B83AD3">
        <w:rPr>
          <w:rFonts w:ascii="Times New Roman" w:hAnsi="Times New Roman" w:cs="Times New Roman"/>
          <w:sz w:val="26"/>
          <w:szCs w:val="26"/>
        </w:rPr>
        <w:t xml:space="preserve"> </w:t>
      </w:r>
      <w:r w:rsidR="00BB5822">
        <w:rPr>
          <w:rFonts w:ascii="Times New Roman" w:hAnsi="Times New Roman" w:cs="Times New Roman"/>
          <w:sz w:val="26"/>
          <w:szCs w:val="26"/>
        </w:rPr>
        <w:t>8 358 586</w:t>
      </w:r>
      <w:r w:rsidR="002919BF" w:rsidRPr="00B83AD3">
        <w:rPr>
          <w:rFonts w:ascii="Times New Roman" w:hAnsi="Times New Roman" w:cs="Times New Roman"/>
          <w:sz w:val="26"/>
          <w:szCs w:val="26"/>
        </w:rPr>
        <w:t xml:space="preserve"> euro apmērā </w:t>
      </w:r>
      <w:r w:rsidRPr="00B83AD3">
        <w:rPr>
          <w:rFonts w:ascii="Times New Roman" w:hAnsi="Times New Roman" w:cs="Times New Roman"/>
          <w:sz w:val="26"/>
          <w:szCs w:val="26"/>
        </w:rPr>
        <w:t xml:space="preserve">(indikatīvi </w:t>
      </w:r>
      <w:r w:rsidR="00BB5822">
        <w:rPr>
          <w:rFonts w:ascii="Times New Roman" w:hAnsi="Times New Roman" w:cs="Times New Roman"/>
          <w:sz w:val="26"/>
          <w:szCs w:val="26"/>
        </w:rPr>
        <w:t>2 089 64</w:t>
      </w:r>
      <w:r w:rsidR="004F66DB">
        <w:rPr>
          <w:rFonts w:ascii="Times New Roman" w:hAnsi="Times New Roman" w:cs="Times New Roman"/>
          <w:sz w:val="26"/>
          <w:szCs w:val="26"/>
        </w:rPr>
        <w:t>7</w:t>
      </w:r>
      <w:r w:rsidRPr="00B83AD3">
        <w:rPr>
          <w:rFonts w:ascii="Times New Roman" w:hAnsi="Times New Roman" w:cs="Times New Roman"/>
          <w:sz w:val="26"/>
          <w:szCs w:val="26"/>
        </w:rPr>
        <w:t xml:space="preserve"> euro apmērā gadā), lemt pēc </w:t>
      </w:r>
      <w:r w:rsidR="00EB1412" w:rsidRPr="00B83AD3">
        <w:rPr>
          <w:rFonts w:ascii="Times New Roman" w:hAnsi="Times New Roman" w:cs="Times New Roman"/>
          <w:sz w:val="26"/>
          <w:szCs w:val="26"/>
        </w:rPr>
        <w:t>progresa ziņojuma par sadarbību ar EKA</w:t>
      </w:r>
      <w:r w:rsidR="00EB1412" w:rsidRPr="00B83AD3">
        <w:rPr>
          <w:rFonts w:ascii="Times New Roman" w:hAnsi="Times New Roman" w:cs="Times New Roman"/>
        </w:rPr>
        <w:t xml:space="preserve"> </w:t>
      </w:r>
      <w:r w:rsidR="00EB1412" w:rsidRPr="00B83AD3">
        <w:rPr>
          <w:rFonts w:ascii="Times New Roman" w:hAnsi="Times New Roman" w:cs="Times New Roman"/>
          <w:sz w:val="26"/>
          <w:szCs w:val="26"/>
        </w:rPr>
        <w:t>asociētās dalībvalsts statusā</w:t>
      </w:r>
      <w:r w:rsidR="00474753" w:rsidRPr="00B83AD3">
        <w:rPr>
          <w:rFonts w:ascii="Times New Roman" w:hAnsi="Times New Roman" w:cs="Times New Roman"/>
          <w:sz w:val="26"/>
          <w:szCs w:val="26"/>
        </w:rPr>
        <w:t xml:space="preserve"> izskatīšanas Ministru kabinetā.</w:t>
      </w:r>
      <w:r w:rsidR="00EB1412" w:rsidRPr="00B83AD3">
        <w:rPr>
          <w:rFonts w:ascii="Times New Roman" w:hAnsi="Times New Roman" w:cs="Times New Roman"/>
          <w:sz w:val="26"/>
          <w:szCs w:val="26"/>
        </w:rPr>
        <w:t xml:space="preserve"> </w:t>
      </w:r>
    </w:p>
    <w:p w14:paraId="66572558" w14:textId="125634DF" w:rsidR="002919BF" w:rsidRPr="00B83AD3" w:rsidRDefault="002919BF" w:rsidP="00EB1412">
      <w:pPr>
        <w:pStyle w:val="ListParagraph"/>
        <w:numPr>
          <w:ilvl w:val="1"/>
          <w:numId w:val="35"/>
        </w:numPr>
        <w:jc w:val="both"/>
        <w:rPr>
          <w:rFonts w:ascii="Times New Roman" w:hAnsi="Times New Roman" w:cs="Times New Roman"/>
          <w:sz w:val="26"/>
          <w:szCs w:val="26"/>
        </w:rPr>
      </w:pPr>
      <w:r w:rsidRPr="00B83AD3">
        <w:rPr>
          <w:rFonts w:ascii="Times New Roman" w:hAnsi="Times New Roman" w:cs="Times New Roman"/>
          <w:sz w:val="26"/>
          <w:szCs w:val="26"/>
        </w:rPr>
        <w:t>Izglītības un zinātnes ministrijai līdz 2022.gada 1.aprīlim iesniegt Ministru k</w:t>
      </w:r>
      <w:r w:rsidR="00474753" w:rsidRPr="00B83AD3">
        <w:rPr>
          <w:rFonts w:ascii="Times New Roman" w:hAnsi="Times New Roman" w:cs="Times New Roman"/>
          <w:sz w:val="26"/>
          <w:szCs w:val="26"/>
        </w:rPr>
        <w:t>abinetā informatīvo ziņojumu</w:t>
      </w:r>
      <w:r w:rsidRPr="00B83AD3">
        <w:rPr>
          <w:rFonts w:ascii="Times New Roman" w:hAnsi="Times New Roman" w:cs="Times New Roman"/>
          <w:sz w:val="26"/>
          <w:szCs w:val="26"/>
        </w:rPr>
        <w:t xml:space="preserve"> </w:t>
      </w:r>
      <w:r w:rsidR="00F907C0" w:rsidRPr="00B83AD3">
        <w:rPr>
          <w:rFonts w:ascii="Times New Roman" w:hAnsi="Times New Roman" w:cs="Times New Roman"/>
          <w:sz w:val="28"/>
          <w:szCs w:val="28"/>
        </w:rPr>
        <w:t>"</w:t>
      </w:r>
      <w:r w:rsidR="00EB1412" w:rsidRPr="00B83AD3">
        <w:rPr>
          <w:rFonts w:ascii="Times New Roman" w:hAnsi="Times New Roman" w:cs="Times New Roman"/>
          <w:sz w:val="26"/>
          <w:szCs w:val="26"/>
        </w:rPr>
        <w:t>Progresa ziņojums par sadarbību ar EKA asociētās dalībvalsts statusā</w:t>
      </w:r>
      <w:r w:rsidR="00F907C0" w:rsidRPr="00B83AD3">
        <w:rPr>
          <w:rFonts w:ascii="Times New Roman" w:hAnsi="Times New Roman" w:cs="Times New Roman"/>
          <w:sz w:val="28"/>
          <w:szCs w:val="28"/>
        </w:rPr>
        <w:t>"</w:t>
      </w:r>
      <w:r w:rsidR="00474753" w:rsidRPr="00B83AD3">
        <w:rPr>
          <w:rFonts w:ascii="Times New Roman" w:hAnsi="Times New Roman" w:cs="Times New Roman"/>
          <w:sz w:val="26"/>
          <w:szCs w:val="26"/>
        </w:rPr>
        <w:t>.</w:t>
      </w:r>
    </w:p>
    <w:p w14:paraId="66572559" w14:textId="3AB8D488" w:rsidR="002919BF" w:rsidRDefault="002919BF" w:rsidP="00474753">
      <w:pPr>
        <w:pStyle w:val="ListParagraph"/>
        <w:numPr>
          <w:ilvl w:val="1"/>
          <w:numId w:val="35"/>
        </w:numPr>
        <w:jc w:val="both"/>
        <w:rPr>
          <w:rFonts w:ascii="Times New Roman" w:hAnsi="Times New Roman" w:cs="Times New Roman"/>
          <w:sz w:val="26"/>
          <w:szCs w:val="26"/>
        </w:rPr>
      </w:pPr>
      <w:r w:rsidRPr="00B83AD3">
        <w:rPr>
          <w:rFonts w:ascii="Times New Roman" w:hAnsi="Times New Roman" w:cs="Times New Roman"/>
          <w:sz w:val="26"/>
          <w:szCs w:val="26"/>
        </w:rPr>
        <w:t xml:space="preserve">Jautājumu par papildu finansējuma piešķiršanu </w:t>
      </w:r>
      <w:r w:rsidR="00BB5822" w:rsidRPr="00BB5822">
        <w:rPr>
          <w:rFonts w:ascii="Times New Roman" w:hAnsi="Times New Roman" w:cs="Times New Roman"/>
          <w:sz w:val="26"/>
          <w:szCs w:val="26"/>
        </w:rPr>
        <w:t>2 089 64</w:t>
      </w:r>
      <w:r w:rsidR="004F66DB">
        <w:rPr>
          <w:rFonts w:ascii="Times New Roman" w:hAnsi="Times New Roman" w:cs="Times New Roman"/>
          <w:sz w:val="26"/>
          <w:szCs w:val="26"/>
        </w:rPr>
        <w:t>7</w:t>
      </w:r>
      <w:r w:rsidR="00BB5822" w:rsidRPr="00BB5822">
        <w:rPr>
          <w:rFonts w:ascii="Times New Roman" w:hAnsi="Times New Roman" w:cs="Times New Roman"/>
          <w:sz w:val="26"/>
          <w:szCs w:val="26"/>
        </w:rPr>
        <w:t xml:space="preserve"> </w:t>
      </w:r>
      <w:r w:rsidRPr="00B83AD3">
        <w:rPr>
          <w:rFonts w:ascii="Times New Roman" w:hAnsi="Times New Roman" w:cs="Times New Roman"/>
          <w:sz w:val="26"/>
          <w:szCs w:val="26"/>
        </w:rPr>
        <w:t>euro apmērā gadā 2023. - 2026.gadam izskatīt M</w:t>
      </w:r>
      <w:r w:rsidR="00F907C0" w:rsidRPr="00B83AD3">
        <w:rPr>
          <w:rFonts w:ascii="Times New Roman" w:hAnsi="Times New Roman" w:cs="Times New Roman"/>
          <w:sz w:val="26"/>
          <w:szCs w:val="26"/>
        </w:rPr>
        <w:t xml:space="preserve">inistru kabinetā likumprojekta </w:t>
      </w:r>
      <w:r w:rsidR="00F907C0" w:rsidRPr="00B83AD3">
        <w:rPr>
          <w:rFonts w:ascii="Times New Roman" w:hAnsi="Times New Roman" w:cs="Times New Roman"/>
          <w:sz w:val="28"/>
          <w:szCs w:val="28"/>
        </w:rPr>
        <w:t>"</w:t>
      </w:r>
      <w:r w:rsidRPr="00B83AD3">
        <w:rPr>
          <w:rFonts w:ascii="Times New Roman" w:hAnsi="Times New Roman" w:cs="Times New Roman"/>
          <w:sz w:val="26"/>
          <w:szCs w:val="26"/>
        </w:rPr>
        <w:t>Par valsts budžetu 2023.gadam</w:t>
      </w:r>
      <w:r w:rsidR="00F907C0" w:rsidRPr="00B83AD3">
        <w:rPr>
          <w:rFonts w:ascii="Times New Roman" w:hAnsi="Times New Roman" w:cs="Times New Roman"/>
          <w:sz w:val="28"/>
          <w:szCs w:val="28"/>
        </w:rPr>
        <w:t>"</w:t>
      </w:r>
      <w:r w:rsidRPr="00B83AD3">
        <w:rPr>
          <w:rFonts w:ascii="Times New Roman" w:hAnsi="Times New Roman" w:cs="Times New Roman"/>
          <w:sz w:val="26"/>
          <w:szCs w:val="26"/>
        </w:rPr>
        <w:t xml:space="preserve"> un likumprojekta </w:t>
      </w:r>
      <w:r w:rsidR="00F907C0" w:rsidRPr="00B83AD3">
        <w:rPr>
          <w:rFonts w:ascii="Times New Roman" w:hAnsi="Times New Roman" w:cs="Times New Roman"/>
          <w:sz w:val="28"/>
          <w:szCs w:val="28"/>
        </w:rPr>
        <w:t>"</w:t>
      </w:r>
      <w:r w:rsidRPr="00B83AD3">
        <w:rPr>
          <w:rFonts w:ascii="Times New Roman" w:hAnsi="Times New Roman" w:cs="Times New Roman"/>
          <w:sz w:val="26"/>
          <w:szCs w:val="26"/>
        </w:rPr>
        <w:t>Par vidēja termiņa budžeta ietvaru 2023., 2024. un 2025.gadam</w:t>
      </w:r>
      <w:r w:rsidR="00F907C0" w:rsidRPr="00B83AD3">
        <w:rPr>
          <w:rFonts w:ascii="Times New Roman" w:hAnsi="Times New Roman" w:cs="Times New Roman"/>
          <w:sz w:val="28"/>
          <w:szCs w:val="28"/>
        </w:rPr>
        <w:t>"</w:t>
      </w:r>
      <w:r w:rsidRPr="00B83AD3">
        <w:rPr>
          <w:rFonts w:ascii="Times New Roman" w:hAnsi="Times New Roman" w:cs="Times New Roman"/>
          <w:sz w:val="26"/>
          <w:szCs w:val="26"/>
        </w:rPr>
        <w:t xml:space="preserve"> sagatavošanas procesā.</w:t>
      </w:r>
    </w:p>
    <w:p w14:paraId="7E3ECA39" w14:textId="6C30EC39" w:rsidR="004F66DB" w:rsidRPr="00B83AD3" w:rsidRDefault="004F66DB" w:rsidP="004B2A96">
      <w:pPr>
        <w:pStyle w:val="ListParagraph"/>
        <w:numPr>
          <w:ilvl w:val="0"/>
          <w:numId w:val="35"/>
        </w:numPr>
        <w:jc w:val="both"/>
        <w:rPr>
          <w:rFonts w:ascii="Times New Roman" w:hAnsi="Times New Roman" w:cs="Times New Roman"/>
          <w:sz w:val="26"/>
          <w:szCs w:val="26"/>
        </w:rPr>
      </w:pPr>
      <w:r w:rsidRPr="004F66DB">
        <w:rPr>
          <w:rFonts w:ascii="Times New Roman" w:hAnsi="Times New Roman" w:cs="Times New Roman"/>
          <w:sz w:val="26"/>
          <w:szCs w:val="26"/>
        </w:rPr>
        <w:t>Lai nodrošinātu informatīvajā ziņojumā noteikto, Izglītības un zinātnes ministrijai iesniegt priekšlikumu budžeta ieņēmumu un izdevumu precizēšanai likumprojekta "Par vidēja termiņa budžeta ietvaru 2020., 2021. un 2022.gadam" un likumprojekta "Par valsts budžetu 2020.gadam" izskatīšanai Saeimā otrajā lasījumā, pārdalot ministrijai prioritāraj</w:t>
      </w:r>
      <w:r>
        <w:rPr>
          <w:rFonts w:ascii="Times New Roman" w:hAnsi="Times New Roman" w:cs="Times New Roman"/>
          <w:sz w:val="26"/>
          <w:szCs w:val="26"/>
        </w:rPr>
        <w:t>am</w:t>
      </w:r>
      <w:r w:rsidRPr="004F66DB">
        <w:rPr>
          <w:rFonts w:ascii="Times New Roman" w:hAnsi="Times New Roman" w:cs="Times New Roman"/>
          <w:sz w:val="26"/>
          <w:szCs w:val="26"/>
        </w:rPr>
        <w:t xml:space="preserve"> pasākum</w:t>
      </w:r>
      <w:r>
        <w:rPr>
          <w:rFonts w:ascii="Times New Roman" w:hAnsi="Times New Roman" w:cs="Times New Roman"/>
          <w:sz w:val="26"/>
          <w:szCs w:val="26"/>
        </w:rPr>
        <w:t>am</w:t>
      </w:r>
      <w:r w:rsidR="0020385A">
        <w:rPr>
          <w:rFonts w:ascii="Times New Roman" w:hAnsi="Times New Roman" w:cs="Times New Roman"/>
          <w:sz w:val="26"/>
          <w:szCs w:val="26"/>
        </w:rPr>
        <w:t xml:space="preserve"> „</w:t>
      </w:r>
      <w:r w:rsidR="0020385A" w:rsidRPr="0020385A">
        <w:rPr>
          <w:rFonts w:ascii="Times New Roman" w:hAnsi="Times New Roman" w:cs="Times New Roman"/>
          <w:sz w:val="26"/>
          <w:szCs w:val="26"/>
        </w:rPr>
        <w:t>Dalība Eiropas Kosmosa aģentūras Sadarbības valsts vai A</w:t>
      </w:r>
      <w:r w:rsidR="0020385A">
        <w:rPr>
          <w:rFonts w:ascii="Times New Roman" w:hAnsi="Times New Roman" w:cs="Times New Roman"/>
          <w:sz w:val="26"/>
          <w:szCs w:val="26"/>
        </w:rPr>
        <w:t>sociētās dalībvalsts statusā” piešķirto</w:t>
      </w:r>
      <w:r w:rsidRPr="004F66DB">
        <w:rPr>
          <w:rFonts w:ascii="Times New Roman" w:hAnsi="Times New Roman" w:cs="Times New Roman"/>
          <w:sz w:val="26"/>
          <w:szCs w:val="26"/>
        </w:rPr>
        <w:t xml:space="preserve"> finansējumu 2020. gadā  4 168 784 euro apmērā, 2021. gadam  3 000 000 euro apmērā, 2022.gadā– 1 121 966 </w:t>
      </w:r>
      <w:r w:rsidRPr="004F66DB">
        <w:rPr>
          <w:rFonts w:ascii="Times New Roman" w:hAnsi="Times New Roman" w:cs="Times New Roman"/>
          <w:sz w:val="26"/>
          <w:szCs w:val="26"/>
        </w:rPr>
        <w:lastRenderedPageBreak/>
        <w:t>euro apmērā no Izglītības un zinātnes ministrijas budžeta programmas 16.00.00 "Eiropas Savienības lietas un starptautiskā sadarbība" uz apakšprogrammu 05.01.00 "Zinātniskās darbības nodrošināšana".</w:t>
      </w:r>
    </w:p>
    <w:p w14:paraId="4B1F5712" w14:textId="77777777" w:rsidR="004F66DB" w:rsidRDefault="00AC56CA" w:rsidP="001302DC">
      <w:pPr>
        <w:rPr>
          <w:rFonts w:cs="Times New Roman"/>
        </w:rPr>
      </w:pPr>
      <w:r w:rsidRPr="00B83AD3">
        <w:rPr>
          <w:rFonts w:cs="Times New Roman"/>
        </w:rPr>
        <w:tab/>
      </w:r>
    </w:p>
    <w:p w14:paraId="6657255A" w14:textId="0C5C2788" w:rsidR="008C4F01" w:rsidRPr="00B83AD3" w:rsidRDefault="00AC56CA" w:rsidP="004B2A96">
      <w:pPr>
        <w:ind w:firstLine="360"/>
        <w:rPr>
          <w:rFonts w:cs="Times New Roman"/>
        </w:rPr>
      </w:pPr>
      <w:r w:rsidRPr="00B83AD3">
        <w:rPr>
          <w:rFonts w:cs="Times New Roman"/>
        </w:rPr>
        <w:t>Parakstot Latvijas R</w:t>
      </w:r>
      <w:r w:rsidR="00474753" w:rsidRPr="00B83AD3">
        <w:rPr>
          <w:rFonts w:cs="Times New Roman"/>
        </w:rPr>
        <w:t>epublikas valdības un EKA līgumu</w:t>
      </w:r>
      <w:r w:rsidRPr="00B83AD3">
        <w:rPr>
          <w:rFonts w:cs="Times New Roman"/>
        </w:rPr>
        <w:t xml:space="preserve"> par pievienošanos EKA asociētās dalībvalsts statusā, Latvija uzņemas ilgtermiņa saistības līdz 2026.gadam</w:t>
      </w:r>
      <w:r w:rsidR="0044225D" w:rsidRPr="00B83AD3">
        <w:rPr>
          <w:rFonts w:cs="Times New Roman"/>
        </w:rPr>
        <w:t>.</w:t>
      </w:r>
      <w:r w:rsidR="00474753" w:rsidRPr="00B83AD3">
        <w:rPr>
          <w:rFonts w:cs="Times New Roman"/>
        </w:rPr>
        <w:t xml:space="preserve"> </w:t>
      </w:r>
      <w:r w:rsidR="00C37F38" w:rsidRPr="00B83AD3">
        <w:rPr>
          <w:rFonts w:cs="Times New Roman"/>
        </w:rPr>
        <w:t>Ja Ministru kabinets neatbalstīs papildus finansējuma piešķīrumu</w:t>
      </w:r>
      <w:r w:rsidR="00725BF3" w:rsidRPr="00B83AD3">
        <w:rPr>
          <w:rFonts w:cs="Times New Roman"/>
        </w:rPr>
        <w:t xml:space="preserve"> 2023. - 2026.gadam</w:t>
      </w:r>
      <w:r w:rsidR="00C37F38" w:rsidRPr="00B83AD3">
        <w:rPr>
          <w:rFonts w:cs="Times New Roman"/>
        </w:rPr>
        <w:t xml:space="preserve">, </w:t>
      </w:r>
      <w:r w:rsidR="009C3357" w:rsidRPr="00B83AD3">
        <w:rPr>
          <w:rFonts w:cs="Times New Roman"/>
        </w:rPr>
        <w:t xml:space="preserve">tad </w:t>
      </w:r>
      <w:r w:rsidR="00C37F38" w:rsidRPr="00B83AD3">
        <w:rPr>
          <w:rFonts w:cs="Times New Roman"/>
        </w:rPr>
        <w:t>IZM piedalīsies EKA programmās samazinātā apjom</w:t>
      </w:r>
      <w:r w:rsidR="00725BF3" w:rsidRPr="00B83AD3">
        <w:rPr>
          <w:rFonts w:cs="Times New Roman"/>
        </w:rPr>
        <w:t>ā, atbilstoši 1 121 966 euro gadā piešķīrumam.</w:t>
      </w:r>
    </w:p>
    <w:p w14:paraId="2ABBAA2A" w14:textId="5C7198E8" w:rsidR="00053DE0" w:rsidRPr="00B83AD3" w:rsidRDefault="00053DE0" w:rsidP="00053DE0">
      <w:pPr>
        <w:ind w:firstLine="720"/>
        <w:rPr>
          <w:rFonts w:cs="Times New Roman"/>
        </w:rPr>
      </w:pPr>
    </w:p>
    <w:p w14:paraId="6657255B" w14:textId="1520E014" w:rsidR="008C4F01" w:rsidRPr="00B83AD3" w:rsidRDefault="008C4F01" w:rsidP="004B2A96">
      <w:pPr>
        <w:ind w:firstLine="720"/>
        <w:rPr>
          <w:rFonts w:cs="Times New Roman"/>
        </w:rPr>
      </w:pPr>
    </w:p>
    <w:p w14:paraId="6657255C" w14:textId="77777777" w:rsidR="00474753" w:rsidRPr="00B83AD3" w:rsidRDefault="00474753" w:rsidP="001302DC">
      <w:pPr>
        <w:rPr>
          <w:rFonts w:cs="Times New Roman"/>
        </w:rPr>
      </w:pPr>
    </w:p>
    <w:p w14:paraId="6657255D" w14:textId="77777777" w:rsidR="001302DC" w:rsidRPr="00B83AD3" w:rsidRDefault="001302DC" w:rsidP="001302DC">
      <w:pPr>
        <w:rPr>
          <w:rFonts w:cs="Times New Roman"/>
        </w:rPr>
      </w:pPr>
      <w:r w:rsidRPr="00B83AD3">
        <w:rPr>
          <w:rFonts w:cs="Times New Roman"/>
        </w:rPr>
        <w:t>Iesniedzējs:</w:t>
      </w:r>
    </w:p>
    <w:p w14:paraId="6657255E" w14:textId="77777777" w:rsidR="001302DC" w:rsidRPr="00B83AD3" w:rsidRDefault="001302DC" w:rsidP="00DB1C37">
      <w:pPr>
        <w:ind w:right="1133"/>
        <w:rPr>
          <w:rFonts w:cs="Times New Roman"/>
        </w:rPr>
      </w:pPr>
      <w:r w:rsidRPr="00B83AD3">
        <w:rPr>
          <w:rFonts w:cs="Times New Roman"/>
        </w:rPr>
        <w:t>Izglītības un zinātnes ministre</w:t>
      </w:r>
      <w:r w:rsidRPr="00B83AD3">
        <w:rPr>
          <w:rFonts w:cs="Times New Roman"/>
        </w:rPr>
        <w:tab/>
      </w:r>
      <w:r w:rsidRPr="00B83AD3">
        <w:rPr>
          <w:rFonts w:cs="Times New Roman"/>
        </w:rPr>
        <w:tab/>
      </w:r>
      <w:r w:rsidRPr="00B83AD3">
        <w:rPr>
          <w:rFonts w:cs="Times New Roman"/>
        </w:rPr>
        <w:tab/>
      </w:r>
      <w:r w:rsidRPr="00B83AD3">
        <w:rPr>
          <w:rFonts w:cs="Times New Roman"/>
        </w:rPr>
        <w:tab/>
      </w:r>
      <w:r w:rsidRPr="00B83AD3">
        <w:rPr>
          <w:rFonts w:cs="Times New Roman"/>
        </w:rPr>
        <w:tab/>
        <w:t>I</w:t>
      </w:r>
      <w:r w:rsidR="00D65389" w:rsidRPr="00B83AD3">
        <w:rPr>
          <w:rFonts w:cs="Times New Roman"/>
        </w:rPr>
        <w:t xml:space="preserve">. </w:t>
      </w:r>
      <w:r w:rsidRPr="00B83AD3">
        <w:rPr>
          <w:rFonts w:cs="Times New Roman"/>
        </w:rPr>
        <w:t>Šuplinska</w:t>
      </w:r>
    </w:p>
    <w:p w14:paraId="6657255F" w14:textId="77777777" w:rsidR="001302DC" w:rsidRPr="00B83AD3" w:rsidRDefault="001302DC" w:rsidP="00DB1C37">
      <w:pPr>
        <w:ind w:right="1133"/>
        <w:rPr>
          <w:rFonts w:cs="Times New Roman"/>
        </w:rPr>
      </w:pPr>
    </w:p>
    <w:p w14:paraId="66572560" w14:textId="77777777" w:rsidR="001302DC" w:rsidRPr="00B83AD3" w:rsidRDefault="001302DC" w:rsidP="00DB1C37">
      <w:pPr>
        <w:ind w:right="1133"/>
        <w:rPr>
          <w:rFonts w:cs="Times New Roman"/>
        </w:rPr>
      </w:pPr>
    </w:p>
    <w:p w14:paraId="66572561" w14:textId="77777777" w:rsidR="001302DC" w:rsidRPr="00B83AD3" w:rsidRDefault="001302DC" w:rsidP="00DB1C37">
      <w:pPr>
        <w:ind w:right="1133"/>
        <w:rPr>
          <w:rFonts w:cs="Times New Roman"/>
        </w:rPr>
      </w:pPr>
      <w:r w:rsidRPr="00B83AD3">
        <w:rPr>
          <w:rFonts w:cs="Times New Roman"/>
        </w:rPr>
        <w:t>Vizē:</w:t>
      </w:r>
    </w:p>
    <w:p w14:paraId="66572562" w14:textId="77777777" w:rsidR="001302DC" w:rsidRPr="00B83AD3" w:rsidRDefault="001302DC" w:rsidP="00DB1C37">
      <w:pPr>
        <w:ind w:right="1416"/>
        <w:rPr>
          <w:rFonts w:cs="Times New Roman"/>
        </w:rPr>
      </w:pPr>
      <w:r w:rsidRPr="00B83AD3">
        <w:rPr>
          <w:rFonts w:cs="Times New Roman"/>
        </w:rPr>
        <w:t xml:space="preserve">Valsts sekretāre </w:t>
      </w:r>
      <w:r w:rsidRPr="00B83AD3">
        <w:rPr>
          <w:rFonts w:cs="Times New Roman"/>
        </w:rPr>
        <w:tab/>
      </w:r>
      <w:r w:rsidRPr="00B83AD3">
        <w:rPr>
          <w:rFonts w:cs="Times New Roman"/>
        </w:rPr>
        <w:tab/>
      </w:r>
      <w:r w:rsidRPr="00B83AD3">
        <w:rPr>
          <w:rFonts w:cs="Times New Roman"/>
        </w:rPr>
        <w:tab/>
      </w:r>
      <w:r w:rsidRPr="00B83AD3">
        <w:rPr>
          <w:rFonts w:cs="Times New Roman"/>
        </w:rPr>
        <w:tab/>
      </w:r>
      <w:r w:rsidRPr="00B83AD3">
        <w:rPr>
          <w:rFonts w:cs="Times New Roman"/>
        </w:rPr>
        <w:tab/>
      </w:r>
      <w:r w:rsidRPr="00B83AD3">
        <w:rPr>
          <w:rFonts w:cs="Times New Roman"/>
        </w:rPr>
        <w:tab/>
      </w:r>
      <w:r w:rsidRPr="00B83AD3">
        <w:rPr>
          <w:rFonts w:cs="Times New Roman"/>
        </w:rPr>
        <w:tab/>
      </w:r>
      <w:r w:rsidR="00DB1C37" w:rsidRPr="00B83AD3">
        <w:rPr>
          <w:rFonts w:cs="Times New Roman"/>
        </w:rPr>
        <w:t xml:space="preserve">    </w:t>
      </w:r>
      <w:proofErr w:type="spellStart"/>
      <w:r w:rsidRPr="00B83AD3">
        <w:rPr>
          <w:rFonts w:cs="Times New Roman"/>
        </w:rPr>
        <w:t>L</w:t>
      </w:r>
      <w:r w:rsidR="005B6DA0" w:rsidRPr="00B83AD3">
        <w:rPr>
          <w:rFonts w:cs="Times New Roman"/>
        </w:rPr>
        <w:t>.</w:t>
      </w:r>
      <w:r w:rsidRPr="00B83AD3">
        <w:rPr>
          <w:rFonts w:cs="Times New Roman"/>
        </w:rPr>
        <w:t>Lejiņa</w:t>
      </w:r>
      <w:proofErr w:type="spellEnd"/>
    </w:p>
    <w:p w14:paraId="66572563" w14:textId="77777777" w:rsidR="001302DC" w:rsidRPr="00B83AD3" w:rsidRDefault="001302DC" w:rsidP="001302DC">
      <w:pPr>
        <w:tabs>
          <w:tab w:val="left" w:pos="3360"/>
        </w:tabs>
        <w:rPr>
          <w:rFonts w:cs="Times New Roman"/>
          <w:color w:val="000000" w:themeColor="text1"/>
        </w:rPr>
      </w:pPr>
    </w:p>
    <w:p w14:paraId="66572564" w14:textId="77777777" w:rsidR="00267909" w:rsidRPr="00B83AD3" w:rsidRDefault="00267909">
      <w:pPr>
        <w:rPr>
          <w:rFonts w:cs="Times New Roman"/>
        </w:rPr>
      </w:pPr>
    </w:p>
    <w:p w14:paraId="66572565" w14:textId="77777777" w:rsidR="00FE2F03" w:rsidRPr="00B83AD3" w:rsidRDefault="00FE2F03">
      <w:pPr>
        <w:rPr>
          <w:rFonts w:cs="Times New Roman"/>
          <w:smallCaps/>
          <w:sz w:val="20"/>
          <w:szCs w:val="20"/>
        </w:rPr>
      </w:pPr>
      <w:r w:rsidRPr="00B83AD3">
        <w:rPr>
          <w:rFonts w:cs="Times New Roman"/>
          <w:sz w:val="20"/>
          <w:szCs w:val="20"/>
        </w:rPr>
        <w:t>Karolis</w:t>
      </w:r>
      <w:r w:rsidR="00267909" w:rsidRPr="00B83AD3">
        <w:rPr>
          <w:rFonts w:cs="Times New Roman"/>
          <w:sz w:val="20"/>
          <w:szCs w:val="20"/>
        </w:rPr>
        <w:t xml:space="preserve"> </w:t>
      </w:r>
      <w:r w:rsidR="00BD3BA7" w:rsidRPr="00B83AD3">
        <w:rPr>
          <w:rFonts w:cs="Times New Roman"/>
          <w:sz w:val="20"/>
          <w:szCs w:val="20"/>
        </w:rPr>
        <w:t>67047996</w:t>
      </w:r>
    </w:p>
    <w:p w14:paraId="66572566" w14:textId="77777777" w:rsidR="00267909" w:rsidRPr="00B83AD3" w:rsidRDefault="00E15CD5">
      <w:pPr>
        <w:rPr>
          <w:rFonts w:cs="Times New Roman"/>
          <w:sz w:val="20"/>
          <w:szCs w:val="20"/>
        </w:rPr>
      </w:pPr>
      <w:hyperlink r:id="rId12" w:history="1">
        <w:r w:rsidR="00FE2F03" w:rsidRPr="00B83AD3">
          <w:rPr>
            <w:rStyle w:val="Hyperlink"/>
            <w:sz w:val="20"/>
            <w:szCs w:val="20"/>
          </w:rPr>
          <w:t>Kaspars.karolis@izm.gov.lv</w:t>
        </w:r>
      </w:hyperlink>
    </w:p>
    <w:sectPr w:rsidR="00267909" w:rsidRPr="00B83AD3" w:rsidSect="00DC7F54">
      <w:headerReference w:type="default" r:id="rId13"/>
      <w:footerReference w:type="default" r:id="rId14"/>
      <w:footerReference w:type="first" r:id="rId15"/>
      <w:pgSz w:w="11906" w:h="16838"/>
      <w:pgMar w:top="1134" w:right="1134" w:bottom="630"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23F88F" w16cid:durableId="210D94D0"/>
  <w16cid:commentId w16cid:paraId="1442E29D" w16cid:durableId="210D961E"/>
  <w16cid:commentId w16cid:paraId="56844452" w16cid:durableId="210D9878"/>
  <w16cid:commentId w16cid:paraId="37706C43" w16cid:durableId="210D999D"/>
  <w16cid:commentId w16cid:paraId="45683094" w16cid:durableId="210D9C00"/>
  <w16cid:commentId w16cid:paraId="11C8D74B" w16cid:durableId="210D9D35"/>
  <w16cid:commentId w16cid:paraId="38F8555A" w16cid:durableId="210D9CFB"/>
  <w16cid:commentId w16cid:paraId="5A0B12EE" w16cid:durableId="210D9E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C082A" w14:textId="77777777" w:rsidR="00E15CD5" w:rsidRDefault="00E15CD5" w:rsidP="001302DC">
      <w:r>
        <w:separator/>
      </w:r>
    </w:p>
  </w:endnote>
  <w:endnote w:type="continuationSeparator" w:id="0">
    <w:p w14:paraId="45DD6075" w14:textId="77777777" w:rsidR="00E15CD5" w:rsidRDefault="00E15CD5" w:rsidP="0013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789626"/>
      <w:docPartObj>
        <w:docPartGallery w:val="Page Numbers (Bottom of Page)"/>
        <w:docPartUnique/>
      </w:docPartObj>
    </w:sdtPr>
    <w:sdtEndPr>
      <w:rPr>
        <w:noProof/>
        <w:sz w:val="22"/>
      </w:rPr>
    </w:sdtEndPr>
    <w:sdtContent>
      <w:p w14:paraId="66572599" w14:textId="77777777" w:rsidR="004A4210" w:rsidRDefault="004A4210" w:rsidP="00C74738">
        <w:pPr>
          <w:pStyle w:val="Header"/>
        </w:pPr>
      </w:p>
      <w:p w14:paraId="6657259A" w14:textId="77777777" w:rsidR="004A4210" w:rsidRPr="00D709B6" w:rsidRDefault="004A4210" w:rsidP="00C74738">
        <w:pPr>
          <w:pStyle w:val="Footer"/>
          <w:jc w:val="left"/>
          <w:rPr>
            <w:sz w:val="22"/>
          </w:rPr>
        </w:pPr>
        <w:r>
          <w:rPr>
            <w:noProof/>
            <w:sz w:val="22"/>
          </w:rPr>
          <w:t>IZMZino_091019_EKA2020</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7259B" w14:textId="77777777" w:rsidR="004A4210" w:rsidRPr="00D709B6" w:rsidRDefault="004A4210" w:rsidP="00824A1C">
    <w:pPr>
      <w:pStyle w:val="Footer"/>
      <w:jc w:val="left"/>
      <w:rPr>
        <w:sz w:val="22"/>
      </w:rPr>
    </w:pPr>
    <w:r>
      <w:rPr>
        <w:noProof/>
        <w:sz w:val="22"/>
      </w:rPr>
      <w:t>IZMZino_091019_EKA2020</w:t>
    </w:r>
  </w:p>
  <w:p w14:paraId="6657259C" w14:textId="77777777" w:rsidR="004A4210" w:rsidRDefault="004A4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59C0A" w14:textId="77777777" w:rsidR="00E15CD5" w:rsidRDefault="00E15CD5" w:rsidP="001302DC">
      <w:r>
        <w:separator/>
      </w:r>
    </w:p>
  </w:footnote>
  <w:footnote w:type="continuationSeparator" w:id="0">
    <w:p w14:paraId="3FED6633" w14:textId="77777777" w:rsidR="00E15CD5" w:rsidRDefault="00E15CD5" w:rsidP="001302DC">
      <w:r>
        <w:continuationSeparator/>
      </w:r>
    </w:p>
  </w:footnote>
  <w:footnote w:id="1">
    <w:p w14:paraId="6657259D" w14:textId="77777777" w:rsidR="004A4210" w:rsidRPr="006B6C5B" w:rsidRDefault="004A4210" w:rsidP="00097393">
      <w:pPr>
        <w:pStyle w:val="FootnoteText"/>
        <w:jc w:val="both"/>
        <w:rPr>
          <w:rFonts w:ascii="Times New Roman" w:hAnsi="Times New Roman" w:cs="Times New Roman"/>
          <w:lang w:val="en-US"/>
        </w:rPr>
      </w:pPr>
      <w:r>
        <w:rPr>
          <w:rStyle w:val="FootnoteReference"/>
        </w:rPr>
        <w:footnoteRef/>
      </w:r>
      <w:hyperlink r:id="rId1" w:history="1">
        <w:r w:rsidRPr="006B6C5B">
          <w:rPr>
            <w:rStyle w:val="Hyperlink"/>
          </w:rPr>
          <w:t>https://likumi.lv/ta/id/306691-par-valdibas-ricibas-planu-deklaracijas-par-artura-krisjana-karina-vadita-ministru-kabineta-iecereto-darbibu-istenosanai</w:t>
        </w:r>
      </w:hyperlink>
      <w:r w:rsidRPr="006B6C5B">
        <w:rPr>
          <w:rFonts w:ascii="Times New Roman" w:hAnsi="Times New Roman" w:cs="Times New Roman"/>
        </w:rPr>
        <w:t xml:space="preserve"> </w:t>
      </w:r>
    </w:p>
  </w:footnote>
  <w:footnote w:id="2">
    <w:p w14:paraId="6657259E" w14:textId="77777777" w:rsidR="004A4210" w:rsidRPr="006B6C5B" w:rsidRDefault="004A4210" w:rsidP="00097393">
      <w:pPr>
        <w:pStyle w:val="FootnoteText"/>
        <w:jc w:val="both"/>
        <w:rPr>
          <w:rFonts w:ascii="Times New Roman" w:hAnsi="Times New Roman" w:cs="Times New Roman"/>
          <w:lang w:val="en-US"/>
        </w:rPr>
      </w:pPr>
      <w:r w:rsidRPr="006B6C5B">
        <w:rPr>
          <w:rStyle w:val="FootnoteReference"/>
          <w:rFonts w:ascii="Times New Roman" w:hAnsi="Times New Roman" w:cs="Times New Roman"/>
        </w:rPr>
        <w:footnoteRef/>
      </w:r>
      <w:r w:rsidRPr="006B6C5B">
        <w:rPr>
          <w:rFonts w:ascii="Times New Roman" w:hAnsi="Times New Roman" w:cs="Times New Roman"/>
        </w:rPr>
        <w:t xml:space="preserve"> </w:t>
      </w:r>
      <w:hyperlink r:id="rId2" w:history="1">
        <w:r w:rsidRPr="006B6C5B">
          <w:rPr>
            <w:rStyle w:val="Hyperlink"/>
          </w:rPr>
          <w:t>https://likumi.lv/ta/lv/starptautiskie-ligumi/id/586</w:t>
        </w:r>
      </w:hyperlink>
      <w:r w:rsidRPr="006B6C5B">
        <w:rPr>
          <w:rFonts w:ascii="Times New Roman" w:hAnsi="Times New Roman" w:cs="Times New Roman"/>
        </w:rPr>
        <w:t xml:space="preserve"> </w:t>
      </w:r>
    </w:p>
  </w:footnote>
  <w:footnote w:id="3">
    <w:p w14:paraId="6657259F" w14:textId="77777777" w:rsidR="004A4210" w:rsidRPr="006B6C5B" w:rsidRDefault="004A4210" w:rsidP="00097393">
      <w:pPr>
        <w:pStyle w:val="FootnoteText"/>
        <w:jc w:val="both"/>
        <w:rPr>
          <w:rFonts w:ascii="Times New Roman" w:hAnsi="Times New Roman" w:cs="Times New Roman"/>
          <w:lang w:val="en-US"/>
        </w:rPr>
      </w:pPr>
      <w:r w:rsidRPr="006B6C5B">
        <w:rPr>
          <w:rStyle w:val="FootnoteReference"/>
          <w:rFonts w:ascii="Times New Roman" w:hAnsi="Times New Roman" w:cs="Times New Roman"/>
        </w:rPr>
        <w:footnoteRef/>
      </w:r>
      <w:hyperlink r:id="rId3" w:history="1">
        <w:r w:rsidRPr="006B6C5B">
          <w:rPr>
            <w:rStyle w:val="Hyperlink"/>
          </w:rPr>
          <w:t>https://izm.gov.lv/images/aktualitates/2019/Latvia-PECS-Country-Report.pdf</w:t>
        </w:r>
      </w:hyperlink>
      <w:r w:rsidRPr="006B6C5B">
        <w:rPr>
          <w:rFonts w:ascii="Times New Roman" w:hAnsi="Times New Roman" w:cs="Times New Roman"/>
        </w:rPr>
        <w:t xml:space="preserve">; </w:t>
      </w:r>
      <w:hyperlink r:id="rId4" w:history="1">
        <w:r w:rsidRPr="005F4E0E">
          <w:rPr>
            <w:rStyle w:val="Hyperlink"/>
          </w:rPr>
          <w:t>https://izm.gov.lv/images/starptautiska_sad/IZM_2019-13-Full_Report.pdf</w:t>
        </w:r>
      </w:hyperlink>
      <w:r>
        <w:rPr>
          <w:rStyle w:val="Hyperlink"/>
        </w:rPr>
        <w:t xml:space="preserve">; </w:t>
      </w:r>
    </w:p>
  </w:footnote>
  <w:footnote w:id="4">
    <w:p w14:paraId="665725A0" w14:textId="77777777" w:rsidR="004A4210" w:rsidRPr="008761FF" w:rsidRDefault="004A4210">
      <w:pPr>
        <w:pStyle w:val="FootnoteText"/>
        <w:rPr>
          <w:rFonts w:ascii="Times New Roman" w:hAnsi="Times New Roman" w:cs="Times New Roman"/>
          <w:lang w:val="en-US"/>
        </w:rPr>
      </w:pPr>
      <w:r>
        <w:rPr>
          <w:rStyle w:val="FootnoteReference"/>
        </w:rPr>
        <w:footnoteRef/>
      </w:r>
      <w:r>
        <w:t xml:space="preserve"> </w:t>
      </w:r>
      <w:hyperlink r:id="rId5" w:history="1">
        <w:r w:rsidRPr="008761FF">
          <w:rPr>
            <w:rStyle w:val="Hyperlink"/>
          </w:rPr>
          <w:t>https://esamultimedia.esa.int/docs/LEX-L/ESA-Convention/SP-1317_EN.pdf</w:t>
        </w:r>
      </w:hyperlink>
      <w:r w:rsidRPr="008761FF">
        <w:rPr>
          <w:rFonts w:ascii="Times New Roman" w:hAnsi="Times New Roman" w:cs="Times New Roman"/>
        </w:rPr>
        <w:t xml:space="preserve">; </w:t>
      </w:r>
    </w:p>
  </w:footnote>
  <w:footnote w:id="5">
    <w:p w14:paraId="665725A1" w14:textId="77777777" w:rsidR="004A4210" w:rsidRPr="000F6A3F" w:rsidRDefault="004A4210" w:rsidP="000F6A3F">
      <w:pPr>
        <w:pStyle w:val="FootnoteText"/>
        <w:jc w:val="both"/>
        <w:rPr>
          <w:lang w:val="en-US"/>
        </w:rPr>
      </w:pPr>
      <w:r>
        <w:rPr>
          <w:rStyle w:val="FootnoteReference"/>
        </w:rPr>
        <w:footnoteRef/>
      </w:r>
      <w:r>
        <w:t xml:space="preserve"> </w:t>
      </w:r>
      <w:r w:rsidRPr="000F6A3F">
        <w:rPr>
          <w:rFonts w:ascii="Times New Roman" w:hAnsi="Times New Roman" w:cs="Times New Roman"/>
        </w:rPr>
        <w:t>Latvija šādu līgumu parakstīja 2009.gada 23.jūlijā kā Latvijas Republikas valdības un Eiropas Kosmosa aģentūras līguma par sadarbību kosmosa jomā miermīlīgiem mērķiem</w:t>
      </w:r>
    </w:p>
  </w:footnote>
  <w:footnote w:id="6">
    <w:p w14:paraId="665725A2" w14:textId="77777777" w:rsidR="004A4210" w:rsidRPr="000F6A3F" w:rsidRDefault="004A4210" w:rsidP="000F6A3F">
      <w:pPr>
        <w:pStyle w:val="FootnoteText"/>
        <w:jc w:val="both"/>
        <w:rPr>
          <w:lang w:val="en-US"/>
        </w:rPr>
      </w:pPr>
      <w:r>
        <w:rPr>
          <w:rStyle w:val="FootnoteReference"/>
        </w:rPr>
        <w:footnoteRef/>
      </w:r>
      <w:r>
        <w:t xml:space="preserve"> </w:t>
      </w:r>
      <w:r w:rsidRPr="000F6A3F">
        <w:rPr>
          <w:rFonts w:ascii="Times New Roman" w:hAnsi="Times New Roman" w:cs="Times New Roman"/>
        </w:rPr>
        <w:t>Latvija šādu līgumu parakstīja 2013.gada 15.martā kā Latvijas Republikas valdības un Eiropas Kosmosa aģentūras Eiropas S</w:t>
      </w:r>
      <w:r>
        <w:rPr>
          <w:rFonts w:ascii="Times New Roman" w:hAnsi="Times New Roman" w:cs="Times New Roman"/>
        </w:rPr>
        <w:t>adarbības valsts līgumu</w:t>
      </w:r>
      <w:r w:rsidRPr="000F6A3F">
        <w:rPr>
          <w:rFonts w:ascii="Times New Roman" w:hAnsi="Times New Roman" w:cs="Times New Roman"/>
        </w:rPr>
        <w:t>, kas stājās spēkā parakstot hartu 2015.gada 30.janvārī</w:t>
      </w:r>
      <w:r>
        <w:rPr>
          <w:rFonts w:ascii="Times New Roman" w:hAnsi="Times New Roman" w:cs="Times New Roman"/>
        </w:rPr>
        <w:t xml:space="preserve">. </w:t>
      </w:r>
    </w:p>
  </w:footnote>
  <w:footnote w:id="7">
    <w:p w14:paraId="665725A3" w14:textId="77777777" w:rsidR="004A4210" w:rsidRPr="00000657" w:rsidRDefault="004A4210" w:rsidP="00097393">
      <w:pPr>
        <w:pStyle w:val="FootnoteText"/>
        <w:jc w:val="both"/>
        <w:rPr>
          <w:lang w:val="en-US"/>
        </w:rPr>
      </w:pPr>
      <w:r w:rsidRPr="006B6C5B">
        <w:rPr>
          <w:rStyle w:val="FootnoteReference"/>
          <w:rFonts w:ascii="Times New Roman" w:hAnsi="Times New Roman" w:cs="Times New Roman"/>
        </w:rPr>
        <w:footnoteRef/>
      </w:r>
      <w:hyperlink r:id="rId6" w:history="1">
        <w:r w:rsidRPr="006B6C5B">
          <w:rPr>
            <w:rStyle w:val="Hyperlink"/>
          </w:rPr>
          <w:t>https://likumi.lv/ta/id/272398-par-atlauju-izglitibas-un-zinatnes-ministrijai-uznemties-ilgtermina-saistibas-lai-nodrosinatu-latvijas-dalibu-eiropas-kosmosa</w:t>
        </w:r>
      </w:hyperlink>
      <w:r>
        <w:rPr>
          <w:rFonts w:ascii="Times New Roman" w:hAnsi="Times New Roman" w:cs="Times New Roman"/>
        </w:rPr>
        <w:t xml:space="preserve"> </w:t>
      </w:r>
    </w:p>
  </w:footnote>
  <w:footnote w:id="8">
    <w:p w14:paraId="665725A4" w14:textId="77777777" w:rsidR="004A4210" w:rsidRPr="00663EFB" w:rsidRDefault="004A4210" w:rsidP="00C82E12">
      <w:pPr>
        <w:pStyle w:val="FootnoteText"/>
        <w:jc w:val="both"/>
        <w:rPr>
          <w:rFonts w:ascii="Times New Roman" w:hAnsi="Times New Roman" w:cs="Times New Roman"/>
        </w:rPr>
      </w:pPr>
      <w:r>
        <w:rPr>
          <w:rStyle w:val="FootnoteReference"/>
        </w:rPr>
        <w:footnoteRef/>
      </w:r>
      <w:r>
        <w:t xml:space="preserve"> </w:t>
      </w:r>
      <w:r w:rsidRPr="00663EFB">
        <w:rPr>
          <w:rFonts w:ascii="Times New Roman" w:hAnsi="Times New Roman" w:cs="Times New Roman"/>
          <w:color w:val="0070C0"/>
          <w:u w:val="single"/>
        </w:rPr>
        <w:t>http://sci.esa.int/sci-ft/50124-technology-readiness-level/</w:t>
      </w:r>
    </w:p>
  </w:footnote>
  <w:footnote w:id="9">
    <w:p w14:paraId="665725A5" w14:textId="77777777" w:rsidR="004A4210" w:rsidRPr="00C82E12" w:rsidRDefault="004A4210" w:rsidP="00C82E12">
      <w:pPr>
        <w:pStyle w:val="FootnoteText"/>
        <w:jc w:val="both"/>
        <w:rPr>
          <w:rFonts w:ascii="Times New Roman" w:hAnsi="Times New Roman" w:cs="Times New Roman"/>
          <w:lang w:val="en-US"/>
        </w:rPr>
      </w:pPr>
      <w:r w:rsidRPr="00C82E12">
        <w:rPr>
          <w:rStyle w:val="FootnoteReference"/>
          <w:rFonts w:ascii="Times New Roman" w:hAnsi="Times New Roman" w:cs="Times New Roman"/>
        </w:rPr>
        <w:footnoteRef/>
      </w:r>
      <w:r w:rsidRPr="00C82E12">
        <w:rPr>
          <w:rFonts w:ascii="Times New Roman" w:hAnsi="Times New Roman" w:cs="Times New Roman"/>
        </w:rPr>
        <w:t xml:space="preserve"> </w:t>
      </w:r>
      <w:proofErr w:type="spellStart"/>
      <w:r w:rsidRPr="003274D0">
        <w:rPr>
          <w:rFonts w:ascii="Times New Roman" w:hAnsi="Times New Roman" w:cs="Times New Roman"/>
          <w:i/>
          <w:iCs/>
        </w:rPr>
        <w:t>Upstream</w:t>
      </w:r>
      <w:proofErr w:type="spellEnd"/>
      <w:r w:rsidRPr="003274D0">
        <w:rPr>
          <w:rFonts w:ascii="Times New Roman" w:hAnsi="Times New Roman" w:cs="Times New Roman"/>
          <w:i/>
          <w:iCs/>
        </w:rPr>
        <w:t xml:space="preserve"> </w:t>
      </w:r>
      <w:proofErr w:type="spellStart"/>
      <w:r w:rsidRPr="003274D0">
        <w:rPr>
          <w:rFonts w:ascii="Times New Roman" w:hAnsi="Times New Roman" w:cs="Times New Roman"/>
          <w:i/>
          <w:iCs/>
        </w:rPr>
        <w:t>market</w:t>
      </w:r>
      <w:proofErr w:type="spellEnd"/>
      <w:r w:rsidRPr="00C82E12">
        <w:rPr>
          <w:rFonts w:ascii="Times New Roman" w:hAnsi="Times New Roman" w:cs="Times New Roman"/>
        </w:rPr>
        <w:t xml:space="preserve"> jeb augšupējais tirgus iekļauj tehnoloģijas, kas pašas izmantojamas kosmosā vai iekārtu nogādei kosmosā, tai skaitā datu iegūšana un primārā apstrāde</w:t>
      </w:r>
      <w:r>
        <w:rPr>
          <w:rFonts w:ascii="Times New Roman" w:hAnsi="Times New Roman" w:cs="Times New Roman"/>
        </w:rPr>
        <w:t>,</w:t>
      </w:r>
      <w:r w:rsidRPr="00C82E12">
        <w:rPr>
          <w:rFonts w:ascii="Times New Roman" w:hAnsi="Times New Roman" w:cs="Times New Roman"/>
        </w:rPr>
        <w:t xml:space="preserve"> izmantojot šīs iekārtas.</w:t>
      </w:r>
    </w:p>
  </w:footnote>
  <w:footnote w:id="10">
    <w:p w14:paraId="665725A6" w14:textId="77777777" w:rsidR="004A4210" w:rsidRPr="006569AD" w:rsidRDefault="004A4210" w:rsidP="00C82E12">
      <w:pPr>
        <w:pStyle w:val="FootnoteText"/>
        <w:jc w:val="both"/>
        <w:rPr>
          <w:lang w:val="en-US"/>
        </w:rPr>
      </w:pPr>
      <w:r w:rsidRPr="00C82E12">
        <w:rPr>
          <w:rStyle w:val="FootnoteReference"/>
          <w:rFonts w:ascii="Times New Roman" w:hAnsi="Times New Roman" w:cs="Times New Roman"/>
        </w:rPr>
        <w:footnoteRef/>
      </w:r>
      <w:r w:rsidRPr="00C82E12">
        <w:rPr>
          <w:rFonts w:ascii="Times New Roman" w:hAnsi="Times New Roman" w:cs="Times New Roman"/>
        </w:rPr>
        <w:t xml:space="preserve"> </w:t>
      </w:r>
      <w:proofErr w:type="spellStart"/>
      <w:r w:rsidRPr="003274D0">
        <w:rPr>
          <w:rFonts w:ascii="Times New Roman" w:hAnsi="Times New Roman" w:cs="Times New Roman"/>
          <w:i/>
          <w:iCs/>
        </w:rPr>
        <w:t>Downstream</w:t>
      </w:r>
      <w:proofErr w:type="spellEnd"/>
      <w:r w:rsidRPr="003274D0">
        <w:rPr>
          <w:rFonts w:ascii="Times New Roman" w:hAnsi="Times New Roman" w:cs="Times New Roman"/>
          <w:i/>
          <w:iCs/>
        </w:rPr>
        <w:t xml:space="preserve"> </w:t>
      </w:r>
      <w:proofErr w:type="spellStart"/>
      <w:r w:rsidRPr="003274D0">
        <w:rPr>
          <w:rFonts w:ascii="Times New Roman" w:hAnsi="Times New Roman" w:cs="Times New Roman"/>
          <w:i/>
          <w:iCs/>
        </w:rPr>
        <w:t>market</w:t>
      </w:r>
      <w:proofErr w:type="spellEnd"/>
      <w:r>
        <w:rPr>
          <w:rFonts w:ascii="Times New Roman" w:hAnsi="Times New Roman" w:cs="Times New Roman"/>
        </w:rPr>
        <w:t xml:space="preserve"> jeb lejupējais tirgus </w:t>
      </w:r>
      <w:r w:rsidRPr="00C82E12">
        <w:rPr>
          <w:rFonts w:ascii="Times New Roman" w:hAnsi="Times New Roman" w:cs="Times New Roman"/>
        </w:rPr>
        <w:t>iekļauj tehnoloģijas, pielietojumus un pakalpojumus, kas saistīt</w:t>
      </w:r>
      <w:r>
        <w:rPr>
          <w:rFonts w:ascii="Times New Roman" w:hAnsi="Times New Roman" w:cs="Times New Roman"/>
        </w:rPr>
        <w:t>i</w:t>
      </w:r>
      <w:r w:rsidRPr="00C82E12">
        <w:rPr>
          <w:rFonts w:ascii="Times New Roman" w:hAnsi="Times New Roman" w:cs="Times New Roman"/>
        </w:rPr>
        <w:t xml:space="preserve"> ar kosmosā iegūto datu, signālu un attēlu tālāku apstrādi un izmantošanu.</w:t>
      </w:r>
    </w:p>
  </w:footnote>
  <w:footnote w:id="11">
    <w:p w14:paraId="665725A7" w14:textId="77777777" w:rsidR="004A4210" w:rsidRPr="008F5506" w:rsidRDefault="004A4210" w:rsidP="00097393">
      <w:pPr>
        <w:pStyle w:val="FootnoteText"/>
      </w:pPr>
      <w:r>
        <w:rPr>
          <w:rStyle w:val="FootnoteReference"/>
        </w:rPr>
        <w:footnoteRef/>
      </w:r>
      <w:hyperlink r:id="rId7" w:history="1">
        <w:r w:rsidRPr="003274D0">
          <w:rPr>
            <w:rStyle w:val="Hyperlink"/>
          </w:rPr>
          <w:t>https://cordis.europa.eu/project/rcn/210389/factsheet/en</w:t>
        </w:r>
      </w:hyperlink>
      <w:r w:rsidRPr="003274D0">
        <w:rPr>
          <w:rFonts w:ascii="Times New Roman" w:hAnsi="Times New Roman" w:cs="Times New Roman"/>
        </w:rPr>
        <w:t>;</w:t>
      </w:r>
      <w:hyperlink r:id="rId8" w:history="1">
        <w:r w:rsidRPr="003274D0">
          <w:rPr>
            <w:rStyle w:val="Hyperlink"/>
          </w:rPr>
          <w:t>https://cordis.europa.eu/project/rcn/198927/factsheet/en</w:t>
        </w:r>
      </w:hyperlink>
    </w:p>
  </w:footnote>
  <w:footnote w:id="12">
    <w:p w14:paraId="665725A8" w14:textId="77777777" w:rsidR="004A4210" w:rsidRPr="0030486A" w:rsidRDefault="004A4210" w:rsidP="0030486A">
      <w:pPr>
        <w:pStyle w:val="FootnoteText"/>
        <w:jc w:val="both"/>
        <w:rPr>
          <w:lang w:val="en-US"/>
        </w:rPr>
      </w:pPr>
      <w:r>
        <w:rPr>
          <w:rStyle w:val="FootnoteReference"/>
        </w:rPr>
        <w:footnoteRef/>
      </w:r>
      <w:r>
        <w:t xml:space="preserve"> </w:t>
      </w:r>
      <w:r w:rsidRPr="0030486A">
        <w:rPr>
          <w:rFonts w:ascii="Times New Roman" w:hAnsi="Times New Roman" w:cs="Times New Roman"/>
        </w:rPr>
        <w:t>Globālās navigācijas satelītu sistēmas</w:t>
      </w:r>
    </w:p>
  </w:footnote>
  <w:footnote w:id="13">
    <w:p w14:paraId="665725A9" w14:textId="77777777" w:rsidR="004A4210" w:rsidRPr="003274D0" w:rsidRDefault="004A4210" w:rsidP="00FD0F18">
      <w:pPr>
        <w:pStyle w:val="FootnoteText"/>
        <w:rPr>
          <w:rFonts w:ascii="Times New Roman" w:hAnsi="Times New Roman" w:cs="Times New Roman"/>
        </w:rPr>
      </w:pPr>
      <w:r>
        <w:rPr>
          <w:rStyle w:val="FootnoteReference"/>
        </w:rPr>
        <w:footnoteRef/>
      </w:r>
      <w:r>
        <w:t xml:space="preserve"> </w:t>
      </w:r>
      <w:hyperlink r:id="rId9" w:history="1">
        <w:r w:rsidRPr="0049544A">
          <w:rPr>
            <w:rStyle w:val="Hyperlink"/>
          </w:rPr>
          <w:t>http://www.oecd.org/science/inno/1907989.pdf</w:t>
        </w:r>
      </w:hyperlink>
    </w:p>
  </w:footnote>
  <w:footnote w:id="14">
    <w:p w14:paraId="665725AA" w14:textId="77777777" w:rsidR="004A4210" w:rsidRPr="00781943" w:rsidRDefault="004A4210" w:rsidP="006532F0">
      <w:pPr>
        <w:pStyle w:val="FootnoteText"/>
        <w:jc w:val="both"/>
        <w:rPr>
          <w:lang w:val="en-US"/>
        </w:rPr>
      </w:pPr>
      <w:r w:rsidRPr="00DC6116">
        <w:rPr>
          <w:rStyle w:val="FootnoteReference"/>
          <w:rFonts w:ascii="Times New Roman" w:hAnsi="Times New Roman" w:cs="Times New Roman"/>
        </w:rPr>
        <w:footnoteRef/>
      </w:r>
      <w:r w:rsidRPr="00DC6116">
        <w:rPr>
          <w:rFonts w:ascii="Times New Roman" w:hAnsi="Times New Roman" w:cs="Times New Roman"/>
        </w:rPr>
        <w:t xml:space="preserve"> Eiropas lielākās kosmosa nozares kompānijas, kuru apgrozījums pārsniedz 200 milj. </w:t>
      </w:r>
      <w:r w:rsidRPr="003274D0">
        <w:rPr>
          <w:rFonts w:ascii="Times New Roman" w:hAnsi="Times New Roman" w:cs="Times New Roman"/>
          <w:i/>
          <w:iCs/>
        </w:rPr>
        <w:t>euro</w:t>
      </w:r>
      <w:r w:rsidRPr="00DC6116">
        <w:rPr>
          <w:rFonts w:ascii="Times New Roman" w:hAnsi="Times New Roman" w:cs="Times New Roman"/>
        </w:rPr>
        <w:t xml:space="preserve"> gadā un kuri ir spējīgi īstenot apjomīgas kosmosa sistēmas. Pie tādām pieskaita – </w:t>
      </w:r>
      <w:proofErr w:type="spellStart"/>
      <w:r w:rsidRPr="00DC6116">
        <w:rPr>
          <w:rFonts w:ascii="Times New Roman" w:hAnsi="Times New Roman" w:cs="Times New Roman"/>
        </w:rPr>
        <w:t>Airbus</w:t>
      </w:r>
      <w:proofErr w:type="spellEnd"/>
      <w:r w:rsidRPr="00DC6116">
        <w:rPr>
          <w:rFonts w:ascii="Times New Roman" w:hAnsi="Times New Roman" w:cs="Times New Roman"/>
        </w:rPr>
        <w:t xml:space="preserve"> </w:t>
      </w:r>
      <w:proofErr w:type="spellStart"/>
      <w:r w:rsidRPr="00DC6116">
        <w:rPr>
          <w:rFonts w:ascii="Times New Roman" w:hAnsi="Times New Roman" w:cs="Times New Roman"/>
        </w:rPr>
        <w:t>Defence</w:t>
      </w:r>
      <w:proofErr w:type="spellEnd"/>
      <w:r w:rsidRPr="00DC6116">
        <w:rPr>
          <w:rFonts w:ascii="Times New Roman" w:hAnsi="Times New Roman" w:cs="Times New Roman"/>
        </w:rPr>
        <w:t xml:space="preserve"> </w:t>
      </w:r>
      <w:proofErr w:type="spellStart"/>
      <w:r w:rsidRPr="00DC6116">
        <w:rPr>
          <w:rFonts w:ascii="Times New Roman" w:hAnsi="Times New Roman" w:cs="Times New Roman"/>
        </w:rPr>
        <w:t>and</w:t>
      </w:r>
      <w:proofErr w:type="spellEnd"/>
      <w:r w:rsidRPr="00DC6116">
        <w:rPr>
          <w:rFonts w:ascii="Times New Roman" w:hAnsi="Times New Roman" w:cs="Times New Roman"/>
        </w:rPr>
        <w:t xml:space="preserve"> </w:t>
      </w:r>
      <w:proofErr w:type="spellStart"/>
      <w:r w:rsidRPr="00DC6116">
        <w:rPr>
          <w:rFonts w:ascii="Times New Roman" w:hAnsi="Times New Roman" w:cs="Times New Roman"/>
        </w:rPr>
        <w:t>Space</w:t>
      </w:r>
      <w:proofErr w:type="spellEnd"/>
      <w:r w:rsidRPr="00DC6116">
        <w:rPr>
          <w:rFonts w:ascii="Times New Roman" w:hAnsi="Times New Roman" w:cs="Times New Roman"/>
        </w:rPr>
        <w:t xml:space="preserve">, OHB </w:t>
      </w:r>
      <w:proofErr w:type="spellStart"/>
      <w:r w:rsidRPr="00DC6116">
        <w:rPr>
          <w:rFonts w:ascii="Times New Roman" w:hAnsi="Times New Roman" w:cs="Times New Roman"/>
        </w:rPr>
        <w:t>System</w:t>
      </w:r>
      <w:proofErr w:type="spellEnd"/>
      <w:r w:rsidRPr="00DC6116">
        <w:rPr>
          <w:rFonts w:ascii="Times New Roman" w:hAnsi="Times New Roman" w:cs="Times New Roman"/>
        </w:rPr>
        <w:t xml:space="preserve">, Thales </w:t>
      </w:r>
      <w:proofErr w:type="spellStart"/>
      <w:r w:rsidRPr="00DC6116">
        <w:rPr>
          <w:rFonts w:ascii="Times New Roman" w:hAnsi="Times New Roman" w:cs="Times New Roman"/>
        </w:rPr>
        <w:t>Alenia</w:t>
      </w:r>
      <w:proofErr w:type="spellEnd"/>
      <w:r w:rsidRPr="00DC6116">
        <w:rPr>
          <w:rFonts w:ascii="Times New Roman" w:hAnsi="Times New Roman" w:cs="Times New Roman"/>
        </w:rPr>
        <w:t xml:space="preserve"> </w:t>
      </w:r>
      <w:proofErr w:type="spellStart"/>
      <w:r w:rsidRPr="00DC6116">
        <w:rPr>
          <w:rFonts w:ascii="Times New Roman" w:hAnsi="Times New Roman" w:cs="Times New Roman"/>
        </w:rPr>
        <w:t>Space</w:t>
      </w:r>
      <w:proofErr w:type="spellEnd"/>
      <w:r w:rsidRPr="00DC6116">
        <w:rPr>
          <w:rFonts w:ascii="Times New Roman" w:hAnsi="Times New Roman" w:cs="Times New Roman"/>
        </w:rPr>
        <w:t xml:space="preserve"> un </w:t>
      </w:r>
      <w:proofErr w:type="spellStart"/>
      <w:r w:rsidRPr="00DC6116">
        <w:rPr>
          <w:rFonts w:ascii="Times New Roman" w:hAnsi="Times New Roman" w:cs="Times New Roman"/>
        </w:rPr>
        <w:t>Arienegroup</w:t>
      </w:r>
      <w:proofErr w:type="spellEnd"/>
    </w:p>
  </w:footnote>
  <w:footnote w:id="15">
    <w:p w14:paraId="665725AB" w14:textId="77777777" w:rsidR="004A4210" w:rsidRPr="007204D6" w:rsidRDefault="004A4210" w:rsidP="007204D6">
      <w:pPr>
        <w:pStyle w:val="FootnoteText"/>
        <w:jc w:val="both"/>
        <w:rPr>
          <w:lang w:val="en-US"/>
        </w:rPr>
      </w:pPr>
      <w:r>
        <w:rPr>
          <w:rStyle w:val="FootnoteReference"/>
        </w:rPr>
        <w:footnoteRef/>
      </w:r>
      <w:r>
        <w:t xml:space="preserve"> </w:t>
      </w:r>
      <w:r w:rsidRPr="007204D6">
        <w:rPr>
          <w:rFonts w:ascii="Times New Roman" w:hAnsi="Times New Roman" w:cs="Times New Roman"/>
        </w:rPr>
        <w:t>Tiek aprēķināta katru gadu no jauna balstoties uz EKA nepieciešamajiem resursiem, dalībvalstu skaitu un valstu IKP</w:t>
      </w:r>
      <w:r>
        <w:rPr>
          <w:lang w:val="en-US"/>
        </w:rPr>
        <w:t xml:space="preserve">  </w:t>
      </w:r>
    </w:p>
  </w:footnote>
  <w:footnote w:id="16">
    <w:p w14:paraId="665725AC" w14:textId="77777777" w:rsidR="004A4210" w:rsidRPr="00373A8E" w:rsidRDefault="004A4210">
      <w:pPr>
        <w:pStyle w:val="FootnoteText"/>
        <w:rPr>
          <w:rFonts w:ascii="Times New Roman" w:hAnsi="Times New Roman" w:cs="Times New Roman"/>
          <w:lang w:val="en-US"/>
        </w:rPr>
      </w:pPr>
      <w:r w:rsidRPr="00373A8E">
        <w:rPr>
          <w:rStyle w:val="FootnoteReference"/>
          <w:rFonts w:ascii="Times New Roman" w:hAnsi="Times New Roman" w:cs="Times New Roman"/>
        </w:rPr>
        <w:footnoteRef/>
      </w:r>
      <w:r w:rsidRPr="00373A8E">
        <w:rPr>
          <w:rFonts w:ascii="Times New Roman" w:hAnsi="Times New Roman" w:cs="Times New Roman"/>
        </w:rPr>
        <w:t xml:space="preserve"> Programmas mērķis ir attīstīt </w:t>
      </w:r>
      <w:proofErr w:type="spellStart"/>
      <w:r w:rsidRPr="00373A8E">
        <w:rPr>
          <w:rFonts w:ascii="Times New Roman" w:hAnsi="Times New Roman" w:cs="Times New Roman"/>
        </w:rPr>
        <w:t>daudzsološus</w:t>
      </w:r>
      <w:proofErr w:type="spellEnd"/>
      <w:r w:rsidRPr="00373A8E">
        <w:rPr>
          <w:rFonts w:ascii="Times New Roman" w:hAnsi="Times New Roman" w:cs="Times New Roman"/>
        </w:rPr>
        <w:t xml:space="preserve"> inženiertehniskus konceptus plaša spektra nobriedušās kosmosa tehnoloģijās</w:t>
      </w:r>
    </w:p>
  </w:footnote>
  <w:footnote w:id="17">
    <w:p w14:paraId="665725AD" w14:textId="77777777" w:rsidR="004A4210" w:rsidRPr="00373A8E" w:rsidRDefault="004A4210">
      <w:pPr>
        <w:pStyle w:val="FootnoteText"/>
        <w:rPr>
          <w:rFonts w:ascii="Times New Roman" w:hAnsi="Times New Roman" w:cs="Times New Roman"/>
          <w:lang w:val="en-US"/>
        </w:rPr>
      </w:pPr>
      <w:r w:rsidRPr="00373A8E">
        <w:rPr>
          <w:rStyle w:val="FootnoteReference"/>
          <w:rFonts w:ascii="Times New Roman" w:hAnsi="Times New Roman" w:cs="Times New Roman"/>
        </w:rPr>
        <w:footnoteRef/>
      </w:r>
      <w:r w:rsidRPr="00373A8E">
        <w:rPr>
          <w:rFonts w:ascii="Times New Roman" w:hAnsi="Times New Roman" w:cs="Times New Roman"/>
        </w:rPr>
        <w:t xml:space="preserve"> Nākotnes nesējraķešu sagatavošanās programma (</w:t>
      </w:r>
      <w:proofErr w:type="spellStart"/>
      <w:r w:rsidRPr="00373A8E">
        <w:rPr>
          <w:rFonts w:ascii="Times New Roman" w:hAnsi="Times New Roman" w:cs="Times New Roman"/>
          <w:i/>
        </w:rPr>
        <w:t>the</w:t>
      </w:r>
      <w:proofErr w:type="spellEnd"/>
      <w:r w:rsidRPr="00373A8E">
        <w:rPr>
          <w:rFonts w:ascii="Times New Roman" w:hAnsi="Times New Roman" w:cs="Times New Roman"/>
          <w:i/>
        </w:rPr>
        <w:t xml:space="preserve"> </w:t>
      </w:r>
      <w:proofErr w:type="spellStart"/>
      <w:r w:rsidRPr="00373A8E">
        <w:rPr>
          <w:rFonts w:ascii="Times New Roman" w:hAnsi="Times New Roman" w:cs="Times New Roman"/>
          <w:i/>
        </w:rPr>
        <w:t>Future</w:t>
      </w:r>
      <w:proofErr w:type="spellEnd"/>
      <w:r w:rsidRPr="00373A8E">
        <w:rPr>
          <w:rFonts w:ascii="Times New Roman" w:hAnsi="Times New Roman" w:cs="Times New Roman"/>
          <w:i/>
        </w:rPr>
        <w:t xml:space="preserve"> </w:t>
      </w:r>
      <w:proofErr w:type="spellStart"/>
      <w:r w:rsidRPr="00373A8E">
        <w:rPr>
          <w:rFonts w:ascii="Times New Roman" w:hAnsi="Times New Roman" w:cs="Times New Roman"/>
          <w:i/>
        </w:rPr>
        <w:t>Launchers</w:t>
      </w:r>
      <w:proofErr w:type="spellEnd"/>
      <w:r w:rsidRPr="00373A8E">
        <w:rPr>
          <w:rFonts w:ascii="Times New Roman" w:hAnsi="Times New Roman" w:cs="Times New Roman"/>
          <w:i/>
        </w:rPr>
        <w:t xml:space="preserve"> </w:t>
      </w:r>
      <w:proofErr w:type="spellStart"/>
      <w:r w:rsidRPr="00373A8E">
        <w:rPr>
          <w:rFonts w:ascii="Times New Roman" w:hAnsi="Times New Roman" w:cs="Times New Roman"/>
          <w:i/>
        </w:rPr>
        <w:t>Preparatory</w:t>
      </w:r>
      <w:proofErr w:type="spellEnd"/>
      <w:r w:rsidRPr="00373A8E">
        <w:rPr>
          <w:rFonts w:ascii="Times New Roman" w:hAnsi="Times New Roman" w:cs="Times New Roman"/>
          <w:i/>
        </w:rPr>
        <w:t xml:space="preserve"> </w:t>
      </w:r>
      <w:proofErr w:type="spellStart"/>
      <w:r w:rsidRPr="00373A8E">
        <w:rPr>
          <w:rFonts w:ascii="Times New Roman" w:hAnsi="Times New Roman" w:cs="Times New Roman"/>
          <w:i/>
        </w:rPr>
        <w:t>Programme</w:t>
      </w:r>
      <w:proofErr w:type="spellEnd"/>
      <w:r w:rsidRPr="00373A8E">
        <w:rPr>
          <w:rFonts w:ascii="Times New Roman" w:hAnsi="Times New Roman" w:cs="Times New Roman"/>
          <w:i/>
        </w:rPr>
        <w:t xml:space="preserve"> – FLPP)</w:t>
      </w:r>
    </w:p>
  </w:footnote>
  <w:footnote w:id="18">
    <w:p w14:paraId="665725AE" w14:textId="77777777" w:rsidR="004A4210" w:rsidRPr="003274D0" w:rsidRDefault="004A4210" w:rsidP="00F914CD">
      <w:pPr>
        <w:pStyle w:val="FootnoteText"/>
        <w:rPr>
          <w:rFonts w:ascii="Times New Roman" w:hAnsi="Times New Roman" w:cs="Times New Roman"/>
          <w:lang w:val="en-US"/>
        </w:rPr>
      </w:pPr>
      <w:r w:rsidRPr="002B4A49">
        <w:rPr>
          <w:rStyle w:val="FootnoteReference"/>
          <w:rFonts w:ascii="Times New Roman" w:hAnsi="Times New Roman" w:cs="Times New Roman"/>
        </w:rPr>
        <w:footnoteRef/>
      </w:r>
      <w:r w:rsidRPr="002B4A49">
        <w:rPr>
          <w:rFonts w:ascii="Times New Roman" w:hAnsi="Times New Roman" w:cs="Times New Roman"/>
        </w:rPr>
        <w:t xml:space="preserve"> </w:t>
      </w:r>
      <w:hyperlink r:id="rId10" w:history="1">
        <w:r w:rsidRPr="002B4A49">
          <w:rPr>
            <w:rStyle w:val="Hyperlink"/>
          </w:rPr>
          <w:t>https://www.izm.gov.lv/images/zinatne/EKA/The_European_Space_Agency.pdf</w:t>
        </w:r>
      </w:hyperlink>
      <w:r w:rsidRPr="002B4A49">
        <w:rPr>
          <w:rFonts w:ascii="Times New Roman" w:hAnsi="Times New Roman" w:cs="Times New Roman"/>
        </w:rPr>
        <w:t xml:space="preserve"> - 9.slaids</w:t>
      </w:r>
      <w:r w:rsidRPr="003274D0">
        <w:rPr>
          <w:rFonts w:ascii="Times New Roman" w:hAnsi="Times New Roman" w:cs="Times New Roman"/>
        </w:rPr>
        <w:t xml:space="preserve"> </w:t>
      </w:r>
    </w:p>
  </w:footnote>
  <w:footnote w:id="19">
    <w:p w14:paraId="665725AF" w14:textId="77777777" w:rsidR="004A4210" w:rsidRPr="00EC2C56" w:rsidRDefault="004A4210">
      <w:pPr>
        <w:pStyle w:val="FootnoteText"/>
        <w:rPr>
          <w:lang w:val="en-US"/>
        </w:rPr>
      </w:pPr>
      <w:r w:rsidRPr="003274D0">
        <w:rPr>
          <w:rStyle w:val="FootnoteReference"/>
          <w:rFonts w:ascii="Times New Roman" w:hAnsi="Times New Roman" w:cs="Times New Roman"/>
        </w:rPr>
        <w:footnoteRef/>
      </w:r>
      <w:r w:rsidRPr="003274D0">
        <w:rPr>
          <w:rFonts w:ascii="Times New Roman" w:hAnsi="Times New Roman" w:cs="Times New Roman"/>
        </w:rPr>
        <w:t xml:space="preserve"> </w:t>
      </w:r>
      <w:hyperlink r:id="rId11" w:history="1">
        <w:r w:rsidRPr="003274D0">
          <w:rPr>
            <w:rStyle w:val="Hyperlink"/>
          </w:rPr>
          <w:t>https://www.esa.int/About_Us/Business_with_ESA/How_to_do/Fully_Funded_Contracts_Part_II_A</w:t>
        </w:r>
      </w:hyperlink>
      <w:r>
        <w:t xml:space="preserve"> </w:t>
      </w:r>
    </w:p>
  </w:footnote>
  <w:footnote w:id="20">
    <w:p w14:paraId="665725B0" w14:textId="77777777" w:rsidR="004A4210" w:rsidRPr="004C4E90" w:rsidRDefault="004A4210">
      <w:pPr>
        <w:pStyle w:val="FootnoteText"/>
        <w:rPr>
          <w:lang w:val="en-US"/>
        </w:rPr>
      </w:pPr>
      <w:r>
        <w:rPr>
          <w:rStyle w:val="FootnoteReference"/>
        </w:rPr>
        <w:footnoteRef/>
      </w:r>
      <w:r>
        <w:t xml:space="preserve"> </w:t>
      </w:r>
      <w:r w:rsidRPr="004C4E90">
        <w:rPr>
          <w:rFonts w:ascii="Times New Roman" w:hAnsi="Times New Roman" w:cs="Times New Roman"/>
        </w:rPr>
        <w:t>Ekonomikas ministriju, Latvijas investīciju un attīstības aģentūru u.c.</w:t>
      </w:r>
    </w:p>
  </w:footnote>
  <w:footnote w:id="21">
    <w:p w14:paraId="665725B1" w14:textId="77777777" w:rsidR="004A4210" w:rsidRPr="00E3537A" w:rsidRDefault="004A4210" w:rsidP="004B09E3">
      <w:pPr>
        <w:pStyle w:val="FootnoteText"/>
        <w:rPr>
          <w:lang w:val="en-US"/>
        </w:rPr>
      </w:pPr>
      <w:r>
        <w:rPr>
          <w:rStyle w:val="FootnoteReference"/>
        </w:rPr>
        <w:footnoteRef/>
      </w:r>
      <w:r>
        <w:t xml:space="preserve"> </w:t>
      </w:r>
      <w:hyperlink r:id="rId12" w:history="1">
        <w:r w:rsidRPr="005979A5">
          <w:rPr>
            <w:rStyle w:val="Hyperlink"/>
          </w:rPr>
          <w:t>https://www.eib.org/attachments/thematic/future_of_european_space_sector_en.pdf</w:t>
        </w:r>
      </w:hyperlink>
      <w:r>
        <w:t xml:space="preserve">; </w:t>
      </w:r>
    </w:p>
  </w:footnote>
  <w:footnote w:id="22">
    <w:p w14:paraId="665725B2" w14:textId="77777777" w:rsidR="004A4210" w:rsidRPr="00E3537A" w:rsidRDefault="004A4210" w:rsidP="004B09E3">
      <w:pPr>
        <w:pStyle w:val="FootnoteText"/>
        <w:rPr>
          <w:lang w:val="en-US"/>
        </w:rPr>
      </w:pPr>
      <w:r>
        <w:rPr>
          <w:rStyle w:val="FootnoteReference"/>
        </w:rPr>
        <w:footnoteRef/>
      </w:r>
      <w:r>
        <w:t xml:space="preserve"> </w:t>
      </w:r>
      <w:hyperlink r:id="rId13" w:history="1">
        <w:r w:rsidRPr="005979A5">
          <w:rPr>
            <w:rStyle w:val="Hyperlink"/>
          </w:rPr>
          <w:t>https://www.prnewswire.com/news-releases/global-space-industry-market-and-technology-forecast-to-2026-300678748.html</w:t>
        </w:r>
      </w:hyperlink>
      <w:r>
        <w:t xml:space="preserve">; </w:t>
      </w:r>
    </w:p>
  </w:footnote>
  <w:footnote w:id="23">
    <w:p w14:paraId="665725B3" w14:textId="77777777" w:rsidR="004A4210" w:rsidRPr="00E3537A" w:rsidRDefault="004A4210" w:rsidP="004B09E3">
      <w:pPr>
        <w:pStyle w:val="FootnoteText"/>
        <w:rPr>
          <w:lang w:val="en-US"/>
        </w:rPr>
      </w:pPr>
      <w:r>
        <w:rPr>
          <w:rStyle w:val="FootnoteReference"/>
        </w:rPr>
        <w:footnoteRef/>
      </w:r>
      <w:r>
        <w:t xml:space="preserve"> </w:t>
      </w:r>
      <w:hyperlink r:id="rId14" w:history="1">
        <w:r w:rsidRPr="005979A5">
          <w:rPr>
            <w:rStyle w:val="Hyperlink"/>
          </w:rPr>
          <w:t>https://www.i3pm.org/EPO-Case-Studies/sme_case_study_skeleton_en.pdf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02025"/>
      <w:docPartObj>
        <w:docPartGallery w:val="Page Numbers (Top of Page)"/>
        <w:docPartUnique/>
      </w:docPartObj>
    </w:sdtPr>
    <w:sdtEndPr>
      <w:rPr>
        <w:noProof/>
      </w:rPr>
    </w:sdtEndPr>
    <w:sdtContent>
      <w:p w14:paraId="66572597" w14:textId="77777777" w:rsidR="004A4210" w:rsidRDefault="004A4210">
        <w:pPr>
          <w:pStyle w:val="Header"/>
          <w:jc w:val="center"/>
        </w:pPr>
        <w:r>
          <w:fldChar w:fldCharType="begin"/>
        </w:r>
        <w:r>
          <w:instrText xml:space="preserve"> PAGE   \* MERGEFORMAT </w:instrText>
        </w:r>
        <w:r>
          <w:fldChar w:fldCharType="separate"/>
        </w:r>
        <w:r w:rsidR="00896903">
          <w:rPr>
            <w:noProof/>
          </w:rPr>
          <w:t>15</w:t>
        </w:r>
        <w:r>
          <w:rPr>
            <w:noProof/>
          </w:rPr>
          <w:fldChar w:fldCharType="end"/>
        </w:r>
      </w:p>
    </w:sdtContent>
  </w:sdt>
  <w:p w14:paraId="66572598" w14:textId="77777777" w:rsidR="004A4210" w:rsidRDefault="004A42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F3442"/>
    <w:multiLevelType w:val="hybridMultilevel"/>
    <w:tmpl w:val="12C8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33944"/>
    <w:multiLevelType w:val="multilevel"/>
    <w:tmpl w:val="0E5667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5821E5"/>
    <w:multiLevelType w:val="hybridMultilevel"/>
    <w:tmpl w:val="1E0AEAA8"/>
    <w:lvl w:ilvl="0" w:tplc="DD6E60DE">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1CF94390"/>
    <w:multiLevelType w:val="hybridMultilevel"/>
    <w:tmpl w:val="3C4241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DA42DEA"/>
    <w:multiLevelType w:val="hybridMultilevel"/>
    <w:tmpl w:val="54B62996"/>
    <w:lvl w:ilvl="0" w:tplc="C71E7B04">
      <w:start w:val="1"/>
      <w:numFmt w:val="decimal"/>
      <w:lvlText w:val="%1)"/>
      <w:lvlJc w:val="left"/>
      <w:pPr>
        <w:ind w:left="720" w:hanging="360"/>
      </w:pPr>
      <w:rPr>
        <w:rFonts w:ascii="Times New Roman" w:eastAsiaTheme="minorHAnsi"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DBA0462"/>
    <w:multiLevelType w:val="hybridMultilevel"/>
    <w:tmpl w:val="ACC6982C"/>
    <w:lvl w:ilvl="0" w:tplc="DD6E60DE">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8357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530B95"/>
    <w:multiLevelType w:val="hybridMultilevel"/>
    <w:tmpl w:val="6F4409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911715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F6597B"/>
    <w:multiLevelType w:val="hybridMultilevel"/>
    <w:tmpl w:val="D7985AC4"/>
    <w:lvl w:ilvl="0" w:tplc="48BA89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3AC12DF0"/>
    <w:multiLevelType w:val="hybridMultilevel"/>
    <w:tmpl w:val="03F2D3E6"/>
    <w:lvl w:ilvl="0" w:tplc="675E0E26">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11" w15:restartNumberingAfterBreak="0">
    <w:nsid w:val="3ACE242E"/>
    <w:multiLevelType w:val="hybridMultilevel"/>
    <w:tmpl w:val="702E0A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1E2FFD"/>
    <w:multiLevelType w:val="multilevel"/>
    <w:tmpl w:val="355EA91E"/>
    <w:lvl w:ilvl="0">
      <w:start w:val="1"/>
      <w:numFmt w:val="bullet"/>
      <w:lvlText w:val=""/>
      <w:lvlJc w:val="left"/>
      <w:pPr>
        <w:ind w:left="502" w:hanging="360"/>
      </w:pPr>
      <w:rPr>
        <w:rFonts w:ascii="Symbol" w:hAnsi="Symbol" w:hint="default"/>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3" w15:restartNumberingAfterBreak="0">
    <w:nsid w:val="3BDE7A0E"/>
    <w:multiLevelType w:val="hybridMultilevel"/>
    <w:tmpl w:val="58BEE6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87860"/>
    <w:multiLevelType w:val="hybridMultilevel"/>
    <w:tmpl w:val="7FD468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FE043D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F35A9B"/>
    <w:multiLevelType w:val="hybridMultilevel"/>
    <w:tmpl w:val="4A1A2486"/>
    <w:lvl w:ilvl="0" w:tplc="88662EF6">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2B46CE"/>
    <w:multiLevelType w:val="hybridMultilevel"/>
    <w:tmpl w:val="8CE4A398"/>
    <w:lvl w:ilvl="0" w:tplc="A5424EC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165CA5"/>
    <w:multiLevelType w:val="multilevel"/>
    <w:tmpl w:val="0E5667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4F82F06"/>
    <w:multiLevelType w:val="hybridMultilevel"/>
    <w:tmpl w:val="8580F804"/>
    <w:lvl w:ilvl="0" w:tplc="BD56FEFA">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87F6278"/>
    <w:multiLevelType w:val="hybridMultilevel"/>
    <w:tmpl w:val="2A44E4A8"/>
    <w:lvl w:ilvl="0" w:tplc="7DC21ED0">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B3564C0"/>
    <w:multiLevelType w:val="hybridMultilevel"/>
    <w:tmpl w:val="C24695D4"/>
    <w:lvl w:ilvl="0" w:tplc="E214C5A0">
      <w:start w:val="10"/>
      <w:numFmt w:val="bullet"/>
      <w:lvlText w:val="-"/>
      <w:lvlJc w:val="left"/>
      <w:pPr>
        <w:ind w:left="720" w:hanging="360"/>
      </w:pPr>
      <w:rPr>
        <w:rFonts w:ascii="Times New Roman" w:eastAsia="Times New Roman" w:hAnsi="Times New Roman" w:cs="Times New Roman" w:hint="default"/>
        <w:b/>
        <w:i w:val="0"/>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4C1639F3"/>
    <w:multiLevelType w:val="hybridMultilevel"/>
    <w:tmpl w:val="652CC754"/>
    <w:lvl w:ilvl="0" w:tplc="B554D734">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CD2148"/>
    <w:multiLevelType w:val="hybridMultilevel"/>
    <w:tmpl w:val="9A72758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4E000C9D"/>
    <w:multiLevelType w:val="hybridMultilevel"/>
    <w:tmpl w:val="9A727582"/>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E7347FD"/>
    <w:multiLevelType w:val="hybridMultilevel"/>
    <w:tmpl w:val="C79C5594"/>
    <w:lvl w:ilvl="0" w:tplc="AA562A1A">
      <w:start w:val="1"/>
      <w:numFmt w:val="decimal"/>
      <w:lvlText w:val="%1."/>
      <w:lvlJc w:val="left"/>
      <w:pPr>
        <w:ind w:left="927" w:hanging="360"/>
      </w:pPr>
      <w:rPr>
        <w:rFonts w:ascii="Times New Roman" w:eastAsiaTheme="minorHAnsi" w:hAnsi="Times New Roman" w:cs="Times New Roman"/>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15:restartNumberingAfterBreak="0">
    <w:nsid w:val="55555755"/>
    <w:multiLevelType w:val="hybridMultilevel"/>
    <w:tmpl w:val="A22E3A08"/>
    <w:lvl w:ilvl="0" w:tplc="0D84BCE8">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7C7829"/>
    <w:multiLevelType w:val="hybridMultilevel"/>
    <w:tmpl w:val="1F7AE95C"/>
    <w:lvl w:ilvl="0" w:tplc="04260001">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28" w15:restartNumberingAfterBreak="0">
    <w:nsid w:val="5A22123B"/>
    <w:multiLevelType w:val="multilevel"/>
    <w:tmpl w:val="1FBA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775B41"/>
    <w:multiLevelType w:val="hybridMultilevel"/>
    <w:tmpl w:val="230E3EA0"/>
    <w:lvl w:ilvl="0" w:tplc="0426000F">
      <w:start w:val="1"/>
      <w:numFmt w:val="decimal"/>
      <w:lvlText w:val="%1."/>
      <w:lvlJc w:val="left"/>
      <w:pPr>
        <w:ind w:left="360" w:hanging="360"/>
      </w:pPr>
      <w:rPr>
        <w:rFonts w:hint="default"/>
      </w:rPr>
    </w:lvl>
    <w:lvl w:ilvl="1" w:tplc="04260001">
      <w:start w:val="1"/>
      <w:numFmt w:val="bullet"/>
      <w:lvlText w:val=""/>
      <w:lvlJc w:val="left"/>
      <w:pPr>
        <w:ind w:left="1080" w:hanging="360"/>
      </w:pPr>
      <w:rPr>
        <w:rFonts w:ascii="Symbol" w:hAnsi="Symbol"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6BD77573"/>
    <w:multiLevelType w:val="hybridMultilevel"/>
    <w:tmpl w:val="B05E7A86"/>
    <w:lvl w:ilvl="0" w:tplc="F1D88E2A">
      <w:start w:val="1"/>
      <w:numFmt w:val="decimal"/>
      <w:lvlText w:val="%1."/>
      <w:lvlJc w:val="left"/>
      <w:pPr>
        <w:ind w:left="1069" w:hanging="360"/>
      </w:pPr>
      <w:rPr>
        <w:rFonts w:ascii="Times New Roman" w:hAnsi="Times New Roman" w:cs="Times New Roman"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722B34AA"/>
    <w:multiLevelType w:val="hybridMultilevel"/>
    <w:tmpl w:val="530E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09762E"/>
    <w:multiLevelType w:val="hybridMultilevel"/>
    <w:tmpl w:val="334C60D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757E3C45"/>
    <w:multiLevelType w:val="hybridMultilevel"/>
    <w:tmpl w:val="933282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9DF34B7"/>
    <w:multiLevelType w:val="hybridMultilevel"/>
    <w:tmpl w:val="2B388EB6"/>
    <w:lvl w:ilvl="0" w:tplc="7BC4B580">
      <w:start w:val="1"/>
      <w:numFmt w:val="decimal"/>
      <w:lvlText w:val="%1."/>
      <w:lvlJc w:val="left"/>
      <w:pPr>
        <w:ind w:left="360" w:hanging="360"/>
      </w:pPr>
      <w:rPr>
        <w:rFonts w:ascii="Times New Roman" w:eastAsiaTheme="minorHAnsi" w:hAnsi="Times New Roman" w:cs="Times New Roman"/>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7A1A0414"/>
    <w:multiLevelType w:val="hybridMultilevel"/>
    <w:tmpl w:val="D654FB7A"/>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6" w15:restartNumberingAfterBreak="0">
    <w:nsid w:val="7E1F3F2D"/>
    <w:multiLevelType w:val="hybridMultilevel"/>
    <w:tmpl w:val="84D69EC6"/>
    <w:lvl w:ilvl="0" w:tplc="20885E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0"/>
  </w:num>
  <w:num w:numId="6">
    <w:abstractNumId w:val="2"/>
  </w:num>
  <w:num w:numId="7">
    <w:abstractNumId w:val="16"/>
  </w:num>
  <w:num w:numId="8">
    <w:abstractNumId w:val="5"/>
  </w:num>
  <w:num w:numId="9">
    <w:abstractNumId w:val="19"/>
  </w:num>
  <w:num w:numId="10">
    <w:abstractNumId w:val="27"/>
  </w:num>
  <w:num w:numId="11">
    <w:abstractNumId w:val="10"/>
  </w:num>
  <w:num w:numId="12">
    <w:abstractNumId w:val="25"/>
  </w:num>
  <w:num w:numId="13">
    <w:abstractNumId w:val="18"/>
  </w:num>
  <w:num w:numId="14">
    <w:abstractNumId w:val="36"/>
  </w:num>
  <w:num w:numId="15">
    <w:abstractNumId w:val="23"/>
  </w:num>
  <w:num w:numId="16">
    <w:abstractNumId w:val="9"/>
  </w:num>
  <w:num w:numId="17">
    <w:abstractNumId w:val="3"/>
  </w:num>
  <w:num w:numId="18">
    <w:abstractNumId w:val="14"/>
  </w:num>
  <w:num w:numId="19">
    <w:abstractNumId w:val="28"/>
  </w:num>
  <w:num w:numId="20">
    <w:abstractNumId w:val="7"/>
  </w:num>
  <w:num w:numId="21">
    <w:abstractNumId w:val="20"/>
  </w:num>
  <w:num w:numId="22">
    <w:abstractNumId w:val="29"/>
  </w:num>
  <w:num w:numId="23">
    <w:abstractNumId w:val="4"/>
  </w:num>
  <w:num w:numId="24">
    <w:abstractNumId w:val="32"/>
  </w:num>
  <w:num w:numId="25">
    <w:abstractNumId w:val="34"/>
  </w:num>
  <w:num w:numId="26">
    <w:abstractNumId w:val="24"/>
  </w:num>
  <w:num w:numId="27">
    <w:abstractNumId w:val="22"/>
  </w:num>
  <w:num w:numId="28">
    <w:abstractNumId w:val="26"/>
  </w:num>
  <w:num w:numId="29">
    <w:abstractNumId w:val="31"/>
  </w:num>
  <w:num w:numId="30">
    <w:abstractNumId w:val="0"/>
  </w:num>
  <w:num w:numId="31">
    <w:abstractNumId w:val="13"/>
  </w:num>
  <w:num w:numId="32">
    <w:abstractNumId w:val="11"/>
  </w:num>
  <w:num w:numId="33">
    <w:abstractNumId w:val="33"/>
  </w:num>
  <w:num w:numId="34">
    <w:abstractNumId w:val="17"/>
  </w:num>
  <w:num w:numId="35">
    <w:abstractNumId w:val="15"/>
  </w:num>
  <w:num w:numId="36">
    <w:abstractNumId w:val="12"/>
  </w:num>
  <w:num w:numId="37">
    <w:abstractNumId w:val="8"/>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0NzIzNjM3NDY3MDJV0lEKTi0uzszPAykwqgUAEpfDKSwAAAA="/>
  </w:docVars>
  <w:rsids>
    <w:rsidRoot w:val="001302DC"/>
    <w:rsid w:val="00000657"/>
    <w:rsid w:val="000019CC"/>
    <w:rsid w:val="00026C6F"/>
    <w:rsid w:val="00030AC0"/>
    <w:rsid w:val="000312EC"/>
    <w:rsid w:val="00031B3A"/>
    <w:rsid w:val="000414B7"/>
    <w:rsid w:val="00043B13"/>
    <w:rsid w:val="00053DE0"/>
    <w:rsid w:val="0005610E"/>
    <w:rsid w:val="00082855"/>
    <w:rsid w:val="00097393"/>
    <w:rsid w:val="000B1D33"/>
    <w:rsid w:val="000B409C"/>
    <w:rsid w:val="000C3814"/>
    <w:rsid w:val="000C4A32"/>
    <w:rsid w:val="000C7E5A"/>
    <w:rsid w:val="000D66CC"/>
    <w:rsid w:val="000E69C9"/>
    <w:rsid w:val="000F6A3F"/>
    <w:rsid w:val="0010395A"/>
    <w:rsid w:val="0010640B"/>
    <w:rsid w:val="00110D56"/>
    <w:rsid w:val="00111A5F"/>
    <w:rsid w:val="00115895"/>
    <w:rsid w:val="001178A3"/>
    <w:rsid w:val="00125044"/>
    <w:rsid w:val="001302DC"/>
    <w:rsid w:val="00143F01"/>
    <w:rsid w:val="00144506"/>
    <w:rsid w:val="0014681D"/>
    <w:rsid w:val="00147490"/>
    <w:rsid w:val="00151EED"/>
    <w:rsid w:val="001522FA"/>
    <w:rsid w:val="00156859"/>
    <w:rsid w:val="00171E0D"/>
    <w:rsid w:val="001734D8"/>
    <w:rsid w:val="00174545"/>
    <w:rsid w:val="00176428"/>
    <w:rsid w:val="0018031E"/>
    <w:rsid w:val="00193004"/>
    <w:rsid w:val="001957E7"/>
    <w:rsid w:val="001C71DE"/>
    <w:rsid w:val="001D4872"/>
    <w:rsid w:val="001E3182"/>
    <w:rsid w:val="001F4331"/>
    <w:rsid w:val="0020385A"/>
    <w:rsid w:val="00207850"/>
    <w:rsid w:val="00214BBF"/>
    <w:rsid w:val="0021650B"/>
    <w:rsid w:val="00235A65"/>
    <w:rsid w:val="00242686"/>
    <w:rsid w:val="00252AF4"/>
    <w:rsid w:val="00265F69"/>
    <w:rsid w:val="00267909"/>
    <w:rsid w:val="002742D5"/>
    <w:rsid w:val="00275A47"/>
    <w:rsid w:val="002760D9"/>
    <w:rsid w:val="002813F3"/>
    <w:rsid w:val="002835D2"/>
    <w:rsid w:val="002919BF"/>
    <w:rsid w:val="00294E4E"/>
    <w:rsid w:val="002A7D92"/>
    <w:rsid w:val="002B0DA2"/>
    <w:rsid w:val="002B4A49"/>
    <w:rsid w:val="002C418A"/>
    <w:rsid w:val="002D2240"/>
    <w:rsid w:val="002E04AB"/>
    <w:rsid w:val="002E06AA"/>
    <w:rsid w:val="002E75B2"/>
    <w:rsid w:val="002F1DB6"/>
    <w:rsid w:val="002F2574"/>
    <w:rsid w:val="002F6439"/>
    <w:rsid w:val="003006B7"/>
    <w:rsid w:val="00302937"/>
    <w:rsid w:val="0030486A"/>
    <w:rsid w:val="00312EE9"/>
    <w:rsid w:val="003274D0"/>
    <w:rsid w:val="00343C60"/>
    <w:rsid w:val="0035010A"/>
    <w:rsid w:val="00361DA0"/>
    <w:rsid w:val="00363CA8"/>
    <w:rsid w:val="00365259"/>
    <w:rsid w:val="00366E44"/>
    <w:rsid w:val="003670DE"/>
    <w:rsid w:val="00373A8E"/>
    <w:rsid w:val="00374FEC"/>
    <w:rsid w:val="003753B4"/>
    <w:rsid w:val="00387ED9"/>
    <w:rsid w:val="003A2541"/>
    <w:rsid w:val="003B5821"/>
    <w:rsid w:val="003C4308"/>
    <w:rsid w:val="003C4510"/>
    <w:rsid w:val="003C7D6C"/>
    <w:rsid w:val="003E0D70"/>
    <w:rsid w:val="003E58A1"/>
    <w:rsid w:val="003F7E8D"/>
    <w:rsid w:val="004224A5"/>
    <w:rsid w:val="00426E74"/>
    <w:rsid w:val="004315FA"/>
    <w:rsid w:val="004418EF"/>
    <w:rsid w:val="0044225D"/>
    <w:rsid w:val="00451B4C"/>
    <w:rsid w:val="00452737"/>
    <w:rsid w:val="0045537D"/>
    <w:rsid w:val="0046393E"/>
    <w:rsid w:val="004651C8"/>
    <w:rsid w:val="00474184"/>
    <w:rsid w:val="00474753"/>
    <w:rsid w:val="00485489"/>
    <w:rsid w:val="004A4210"/>
    <w:rsid w:val="004A5A0B"/>
    <w:rsid w:val="004B09E3"/>
    <w:rsid w:val="004B27E1"/>
    <w:rsid w:val="004B2A96"/>
    <w:rsid w:val="004B5AAE"/>
    <w:rsid w:val="004B5C65"/>
    <w:rsid w:val="004C4E90"/>
    <w:rsid w:val="004C5920"/>
    <w:rsid w:val="004D4F1F"/>
    <w:rsid w:val="004E0FF1"/>
    <w:rsid w:val="004E5D53"/>
    <w:rsid w:val="004E6BDC"/>
    <w:rsid w:val="004F66DB"/>
    <w:rsid w:val="005219E2"/>
    <w:rsid w:val="005236FA"/>
    <w:rsid w:val="00532227"/>
    <w:rsid w:val="0053248A"/>
    <w:rsid w:val="00540320"/>
    <w:rsid w:val="00547358"/>
    <w:rsid w:val="00554BF8"/>
    <w:rsid w:val="00571027"/>
    <w:rsid w:val="00581FA6"/>
    <w:rsid w:val="005A235B"/>
    <w:rsid w:val="005A3CF5"/>
    <w:rsid w:val="005A6705"/>
    <w:rsid w:val="005A7BF2"/>
    <w:rsid w:val="005B3939"/>
    <w:rsid w:val="005B4516"/>
    <w:rsid w:val="005B6DA0"/>
    <w:rsid w:val="005C269C"/>
    <w:rsid w:val="005C3249"/>
    <w:rsid w:val="005C40CD"/>
    <w:rsid w:val="005C63E9"/>
    <w:rsid w:val="005D66B9"/>
    <w:rsid w:val="005E485C"/>
    <w:rsid w:val="005E4A70"/>
    <w:rsid w:val="005E7F8E"/>
    <w:rsid w:val="005F12CC"/>
    <w:rsid w:val="0060318D"/>
    <w:rsid w:val="00611299"/>
    <w:rsid w:val="00614D88"/>
    <w:rsid w:val="00624CA8"/>
    <w:rsid w:val="006256F8"/>
    <w:rsid w:val="00650D16"/>
    <w:rsid w:val="006532F0"/>
    <w:rsid w:val="0066209A"/>
    <w:rsid w:val="00663EFB"/>
    <w:rsid w:val="00694232"/>
    <w:rsid w:val="00694DF7"/>
    <w:rsid w:val="006A651D"/>
    <w:rsid w:val="006B6C5B"/>
    <w:rsid w:val="006C4C3E"/>
    <w:rsid w:val="006C691F"/>
    <w:rsid w:val="006D2B2E"/>
    <w:rsid w:val="006D421C"/>
    <w:rsid w:val="006E3FD6"/>
    <w:rsid w:val="006F3A15"/>
    <w:rsid w:val="006F797B"/>
    <w:rsid w:val="00700116"/>
    <w:rsid w:val="0070301A"/>
    <w:rsid w:val="007179DD"/>
    <w:rsid w:val="007204D6"/>
    <w:rsid w:val="00720B00"/>
    <w:rsid w:val="007217C9"/>
    <w:rsid w:val="0072311E"/>
    <w:rsid w:val="00725BF3"/>
    <w:rsid w:val="007264E8"/>
    <w:rsid w:val="007270F2"/>
    <w:rsid w:val="0074711C"/>
    <w:rsid w:val="00750A35"/>
    <w:rsid w:val="00750C3F"/>
    <w:rsid w:val="007513B6"/>
    <w:rsid w:val="0075302A"/>
    <w:rsid w:val="0075419F"/>
    <w:rsid w:val="00761663"/>
    <w:rsid w:val="00774BBE"/>
    <w:rsid w:val="00781943"/>
    <w:rsid w:val="00781C35"/>
    <w:rsid w:val="007847CF"/>
    <w:rsid w:val="00796453"/>
    <w:rsid w:val="007A055A"/>
    <w:rsid w:val="007B19F8"/>
    <w:rsid w:val="007C5DD5"/>
    <w:rsid w:val="007D5E88"/>
    <w:rsid w:val="007F2EFD"/>
    <w:rsid w:val="007F3B45"/>
    <w:rsid w:val="00812293"/>
    <w:rsid w:val="008148E5"/>
    <w:rsid w:val="00817C89"/>
    <w:rsid w:val="00822E10"/>
    <w:rsid w:val="00824A1C"/>
    <w:rsid w:val="00835314"/>
    <w:rsid w:val="0083586E"/>
    <w:rsid w:val="00840787"/>
    <w:rsid w:val="00843FDC"/>
    <w:rsid w:val="008747C2"/>
    <w:rsid w:val="00875A5F"/>
    <w:rsid w:val="008761FF"/>
    <w:rsid w:val="00883DA6"/>
    <w:rsid w:val="00895F93"/>
    <w:rsid w:val="00896903"/>
    <w:rsid w:val="008A162D"/>
    <w:rsid w:val="008A3538"/>
    <w:rsid w:val="008A56D2"/>
    <w:rsid w:val="008B3B74"/>
    <w:rsid w:val="008B7A99"/>
    <w:rsid w:val="008C05A3"/>
    <w:rsid w:val="008C4F01"/>
    <w:rsid w:val="008D54E8"/>
    <w:rsid w:val="008E0614"/>
    <w:rsid w:val="008E2F56"/>
    <w:rsid w:val="008F44BD"/>
    <w:rsid w:val="008F5506"/>
    <w:rsid w:val="008F63A4"/>
    <w:rsid w:val="009042ED"/>
    <w:rsid w:val="00907F12"/>
    <w:rsid w:val="00915013"/>
    <w:rsid w:val="00921985"/>
    <w:rsid w:val="00935BE7"/>
    <w:rsid w:val="009376BB"/>
    <w:rsid w:val="00947C6C"/>
    <w:rsid w:val="009550E4"/>
    <w:rsid w:val="00957022"/>
    <w:rsid w:val="00985253"/>
    <w:rsid w:val="009A132C"/>
    <w:rsid w:val="009A74BB"/>
    <w:rsid w:val="009B0EC5"/>
    <w:rsid w:val="009C2D5E"/>
    <w:rsid w:val="009C3357"/>
    <w:rsid w:val="009D4A31"/>
    <w:rsid w:val="009D748A"/>
    <w:rsid w:val="009E08BA"/>
    <w:rsid w:val="009E5836"/>
    <w:rsid w:val="009F0FD7"/>
    <w:rsid w:val="00A06DF9"/>
    <w:rsid w:val="00A11073"/>
    <w:rsid w:val="00A25BE9"/>
    <w:rsid w:val="00A42456"/>
    <w:rsid w:val="00A543D0"/>
    <w:rsid w:val="00A57E27"/>
    <w:rsid w:val="00A70355"/>
    <w:rsid w:val="00A81C85"/>
    <w:rsid w:val="00A957FA"/>
    <w:rsid w:val="00AB58C5"/>
    <w:rsid w:val="00AC03CC"/>
    <w:rsid w:val="00AC3249"/>
    <w:rsid w:val="00AC56CA"/>
    <w:rsid w:val="00AE4D40"/>
    <w:rsid w:val="00AF1CA3"/>
    <w:rsid w:val="00AF351D"/>
    <w:rsid w:val="00B0047E"/>
    <w:rsid w:val="00B1687D"/>
    <w:rsid w:val="00B2312A"/>
    <w:rsid w:val="00B36902"/>
    <w:rsid w:val="00B43104"/>
    <w:rsid w:val="00B458BA"/>
    <w:rsid w:val="00B519C6"/>
    <w:rsid w:val="00B55C29"/>
    <w:rsid w:val="00B607AA"/>
    <w:rsid w:val="00B6543A"/>
    <w:rsid w:val="00B7653A"/>
    <w:rsid w:val="00B83AD3"/>
    <w:rsid w:val="00B941E7"/>
    <w:rsid w:val="00BA46D2"/>
    <w:rsid w:val="00BA5B6F"/>
    <w:rsid w:val="00BB5822"/>
    <w:rsid w:val="00BB6A88"/>
    <w:rsid w:val="00BC783A"/>
    <w:rsid w:val="00BD284D"/>
    <w:rsid w:val="00BD3BA7"/>
    <w:rsid w:val="00BD560B"/>
    <w:rsid w:val="00BD5EAD"/>
    <w:rsid w:val="00BE60CA"/>
    <w:rsid w:val="00BF4E58"/>
    <w:rsid w:val="00BF5CD0"/>
    <w:rsid w:val="00BF5D9D"/>
    <w:rsid w:val="00BF7CEB"/>
    <w:rsid w:val="00C02CE9"/>
    <w:rsid w:val="00C054C7"/>
    <w:rsid w:val="00C077CA"/>
    <w:rsid w:val="00C11F52"/>
    <w:rsid w:val="00C1617F"/>
    <w:rsid w:val="00C175BA"/>
    <w:rsid w:val="00C34FD6"/>
    <w:rsid w:val="00C37F38"/>
    <w:rsid w:val="00C50446"/>
    <w:rsid w:val="00C64762"/>
    <w:rsid w:val="00C647F6"/>
    <w:rsid w:val="00C73225"/>
    <w:rsid w:val="00C74738"/>
    <w:rsid w:val="00C76410"/>
    <w:rsid w:val="00C77EE4"/>
    <w:rsid w:val="00C80669"/>
    <w:rsid w:val="00C80AC4"/>
    <w:rsid w:val="00C82BC2"/>
    <w:rsid w:val="00C82E12"/>
    <w:rsid w:val="00C82F71"/>
    <w:rsid w:val="00C930C4"/>
    <w:rsid w:val="00C96F88"/>
    <w:rsid w:val="00CB2ED6"/>
    <w:rsid w:val="00CB2F5A"/>
    <w:rsid w:val="00CB7DEA"/>
    <w:rsid w:val="00CD4932"/>
    <w:rsid w:val="00CD66F8"/>
    <w:rsid w:val="00CE5BF3"/>
    <w:rsid w:val="00D036E4"/>
    <w:rsid w:val="00D0489C"/>
    <w:rsid w:val="00D12EEA"/>
    <w:rsid w:val="00D12FE0"/>
    <w:rsid w:val="00D26C13"/>
    <w:rsid w:val="00D37CC0"/>
    <w:rsid w:val="00D53F42"/>
    <w:rsid w:val="00D65389"/>
    <w:rsid w:val="00D70B15"/>
    <w:rsid w:val="00D934D1"/>
    <w:rsid w:val="00D94534"/>
    <w:rsid w:val="00DB1C37"/>
    <w:rsid w:val="00DC4555"/>
    <w:rsid w:val="00DC4811"/>
    <w:rsid w:val="00DC6116"/>
    <w:rsid w:val="00DC6F08"/>
    <w:rsid w:val="00DC7F54"/>
    <w:rsid w:val="00DE0088"/>
    <w:rsid w:val="00DE0FA5"/>
    <w:rsid w:val="00DF198A"/>
    <w:rsid w:val="00DF37C2"/>
    <w:rsid w:val="00E07AD5"/>
    <w:rsid w:val="00E1348D"/>
    <w:rsid w:val="00E14789"/>
    <w:rsid w:val="00E1537F"/>
    <w:rsid w:val="00E15CD5"/>
    <w:rsid w:val="00E258CF"/>
    <w:rsid w:val="00E26108"/>
    <w:rsid w:val="00E325A5"/>
    <w:rsid w:val="00E86433"/>
    <w:rsid w:val="00E86FC2"/>
    <w:rsid w:val="00E90C46"/>
    <w:rsid w:val="00E95960"/>
    <w:rsid w:val="00EA5284"/>
    <w:rsid w:val="00EA63A5"/>
    <w:rsid w:val="00EB0D15"/>
    <w:rsid w:val="00EB1412"/>
    <w:rsid w:val="00EB3769"/>
    <w:rsid w:val="00EB51E8"/>
    <w:rsid w:val="00EC2C56"/>
    <w:rsid w:val="00ED3DF7"/>
    <w:rsid w:val="00EE215A"/>
    <w:rsid w:val="00EF5157"/>
    <w:rsid w:val="00F043BA"/>
    <w:rsid w:val="00F06B0A"/>
    <w:rsid w:val="00F07262"/>
    <w:rsid w:val="00F11160"/>
    <w:rsid w:val="00F15CD5"/>
    <w:rsid w:val="00F23938"/>
    <w:rsid w:val="00F432E9"/>
    <w:rsid w:val="00F470A9"/>
    <w:rsid w:val="00F52326"/>
    <w:rsid w:val="00F53002"/>
    <w:rsid w:val="00F608EE"/>
    <w:rsid w:val="00F71053"/>
    <w:rsid w:val="00F80200"/>
    <w:rsid w:val="00F80737"/>
    <w:rsid w:val="00F85736"/>
    <w:rsid w:val="00F907C0"/>
    <w:rsid w:val="00F914CD"/>
    <w:rsid w:val="00F92775"/>
    <w:rsid w:val="00F9455D"/>
    <w:rsid w:val="00FB3235"/>
    <w:rsid w:val="00FB4F72"/>
    <w:rsid w:val="00FC1431"/>
    <w:rsid w:val="00FC33C6"/>
    <w:rsid w:val="00FD0F18"/>
    <w:rsid w:val="00FD3091"/>
    <w:rsid w:val="00FD5356"/>
    <w:rsid w:val="00FE05E7"/>
    <w:rsid w:val="00FE2F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723C1"/>
  <w15:docId w15:val="{FD0BF2D3-4676-47B8-9B24-A97FD523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6"/>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1C8"/>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2DC"/>
    <w:rPr>
      <w:rFonts w:ascii="Times New Roman" w:hAnsi="Times New Roman" w:cs="Times New Roman" w:hint="default"/>
      <w:color w:val="0563C1"/>
      <w:u w:val="single"/>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1302DC"/>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L"/>
    <w:basedOn w:val="Normal"/>
    <w:link w:val="ListParagraphChar"/>
    <w:uiPriority w:val="34"/>
    <w:qFormat/>
    <w:rsid w:val="001302DC"/>
    <w:pPr>
      <w:ind w:left="720"/>
      <w:jc w:val="left"/>
    </w:pPr>
    <w:rPr>
      <w:rFonts w:asciiTheme="minorHAnsi" w:hAnsiTheme="minorHAnsi"/>
      <w:sz w:val="22"/>
      <w:szCs w:val="22"/>
    </w:rPr>
  </w:style>
  <w:style w:type="table" w:styleId="TableGrid">
    <w:name w:val="Table Grid"/>
    <w:basedOn w:val="TableNormal"/>
    <w:uiPriority w:val="39"/>
    <w:rsid w:val="0013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02DC"/>
    <w:pPr>
      <w:tabs>
        <w:tab w:val="center" w:pos="4153"/>
        <w:tab w:val="right" w:pos="8306"/>
      </w:tabs>
    </w:pPr>
  </w:style>
  <w:style w:type="character" w:customStyle="1" w:styleId="HeaderChar">
    <w:name w:val="Header Char"/>
    <w:basedOn w:val="DefaultParagraphFont"/>
    <w:link w:val="Header"/>
    <w:uiPriority w:val="99"/>
    <w:rsid w:val="001302DC"/>
    <w:rPr>
      <w:rFonts w:ascii="Times New Roman" w:hAnsi="Times New Roman" w:cs="Times New Roman"/>
      <w:sz w:val="24"/>
      <w:szCs w:val="24"/>
    </w:rPr>
  </w:style>
  <w:style w:type="paragraph" w:styleId="Footer">
    <w:name w:val="footer"/>
    <w:basedOn w:val="Normal"/>
    <w:link w:val="FooterChar"/>
    <w:uiPriority w:val="99"/>
    <w:unhideWhenUsed/>
    <w:rsid w:val="001302DC"/>
    <w:pPr>
      <w:tabs>
        <w:tab w:val="center" w:pos="4153"/>
        <w:tab w:val="right" w:pos="8306"/>
      </w:tabs>
    </w:pPr>
  </w:style>
  <w:style w:type="character" w:customStyle="1" w:styleId="FooterChar">
    <w:name w:val="Footer Char"/>
    <w:basedOn w:val="DefaultParagraphFont"/>
    <w:link w:val="Footer"/>
    <w:uiPriority w:val="99"/>
    <w:rsid w:val="001302DC"/>
    <w:rPr>
      <w:rFonts w:ascii="Times New Roman" w:hAnsi="Times New Roman" w:cs="Times New Roman"/>
      <w:sz w:val="24"/>
      <w:szCs w:val="24"/>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1302DC"/>
    <w:pPr>
      <w:jc w:val="left"/>
    </w:pPr>
    <w:rPr>
      <w:rFonts w:asciiTheme="minorHAnsi" w:eastAsiaTheme="minorEastAsia" w:hAnsiTheme="minorHAnsi"/>
      <w:sz w:val="20"/>
      <w:szCs w:val="20"/>
      <w:lang w:eastAsia="lv-LV"/>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1302DC"/>
    <w:rPr>
      <w:rFonts w:eastAsiaTheme="minorEastAsia"/>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nhideWhenUsed/>
    <w:rsid w:val="001302DC"/>
    <w:rPr>
      <w:vertAlign w:val="superscript"/>
    </w:rPr>
  </w:style>
  <w:style w:type="character" w:styleId="CommentReference">
    <w:name w:val="annotation reference"/>
    <w:basedOn w:val="DefaultParagraphFont"/>
    <w:uiPriority w:val="99"/>
    <w:semiHidden/>
    <w:unhideWhenUsed/>
    <w:rsid w:val="001302DC"/>
    <w:rPr>
      <w:sz w:val="16"/>
      <w:szCs w:val="16"/>
    </w:rPr>
  </w:style>
  <w:style w:type="paragraph" w:styleId="CommentText">
    <w:name w:val="annotation text"/>
    <w:basedOn w:val="Normal"/>
    <w:link w:val="CommentTextChar"/>
    <w:uiPriority w:val="99"/>
    <w:unhideWhenUsed/>
    <w:rsid w:val="001302DC"/>
    <w:rPr>
      <w:sz w:val="20"/>
      <w:szCs w:val="20"/>
    </w:rPr>
  </w:style>
  <w:style w:type="character" w:customStyle="1" w:styleId="CommentTextChar">
    <w:name w:val="Comment Text Char"/>
    <w:basedOn w:val="DefaultParagraphFont"/>
    <w:link w:val="CommentText"/>
    <w:uiPriority w:val="99"/>
    <w:rsid w:val="001302D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02DC"/>
    <w:rPr>
      <w:b/>
      <w:bCs/>
    </w:rPr>
  </w:style>
  <w:style w:type="character" w:customStyle="1" w:styleId="CommentSubjectChar">
    <w:name w:val="Comment Subject Char"/>
    <w:basedOn w:val="CommentTextChar"/>
    <w:link w:val="CommentSubject"/>
    <w:uiPriority w:val="99"/>
    <w:semiHidden/>
    <w:rsid w:val="001302D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302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2DC"/>
    <w:rPr>
      <w:rFonts w:ascii="Segoe UI" w:hAnsi="Segoe UI" w:cs="Segoe UI"/>
      <w:sz w:val="18"/>
      <w:szCs w:val="18"/>
    </w:rPr>
  </w:style>
  <w:style w:type="paragraph" w:customStyle="1" w:styleId="xmsonormal">
    <w:name w:val="x_msonormal"/>
    <w:basedOn w:val="Normal"/>
    <w:rsid w:val="001302DC"/>
    <w:pPr>
      <w:spacing w:before="100" w:beforeAutospacing="1" w:after="100" w:afterAutospacing="1"/>
      <w:jc w:val="left"/>
    </w:pPr>
    <w:rPr>
      <w:rFonts w:eastAsia="Times New Roman"/>
      <w:lang w:eastAsia="lv-LV"/>
    </w:rPr>
  </w:style>
  <w:style w:type="paragraph" w:styleId="NormalWeb">
    <w:name w:val="Normal (Web)"/>
    <w:basedOn w:val="Normal"/>
    <w:uiPriority w:val="99"/>
    <w:semiHidden/>
    <w:unhideWhenUsed/>
    <w:rsid w:val="001302DC"/>
    <w:pPr>
      <w:spacing w:before="100" w:beforeAutospacing="1" w:after="100" w:afterAutospacing="1"/>
      <w:jc w:val="left"/>
    </w:pPr>
    <w:rPr>
      <w:rFonts w:eastAsia="Times New Roman"/>
      <w:lang w:eastAsia="lv-LV"/>
    </w:rPr>
  </w:style>
  <w:style w:type="paragraph" w:customStyle="1" w:styleId="Default">
    <w:name w:val="Default"/>
    <w:rsid w:val="001302DC"/>
    <w:pPr>
      <w:autoSpaceDE w:val="0"/>
      <w:autoSpaceDN w:val="0"/>
      <w:adjustRightInd w:val="0"/>
      <w:spacing w:after="0" w:line="240" w:lineRule="auto"/>
    </w:pPr>
    <w:rPr>
      <w:rFonts w:ascii="Garamond" w:hAnsi="Garamond" w:cs="Garamond"/>
      <w:color w:val="000000"/>
      <w:sz w:val="24"/>
      <w:szCs w:val="24"/>
    </w:rPr>
  </w:style>
  <w:style w:type="character" w:styleId="Strong">
    <w:name w:val="Strong"/>
    <w:basedOn w:val="DefaultParagraphFont"/>
    <w:uiPriority w:val="22"/>
    <w:qFormat/>
    <w:rsid w:val="001302DC"/>
    <w:rPr>
      <w:b/>
      <w:bCs/>
    </w:rPr>
  </w:style>
  <w:style w:type="table" w:styleId="GridTable4-Accent4">
    <w:name w:val="Grid Table 4 Accent 4"/>
    <w:basedOn w:val="TableNormal"/>
    <w:uiPriority w:val="49"/>
    <w:rsid w:val="0081229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FollowedHyperlink">
    <w:name w:val="FollowedHyperlink"/>
    <w:basedOn w:val="DefaultParagraphFont"/>
    <w:uiPriority w:val="99"/>
    <w:semiHidden/>
    <w:unhideWhenUsed/>
    <w:rsid w:val="006256F8"/>
    <w:rPr>
      <w:color w:val="800080" w:themeColor="followedHyperlink"/>
      <w:u w:val="single"/>
    </w:rPr>
  </w:style>
  <w:style w:type="table" w:styleId="GridTable5Dark-Accent4">
    <w:name w:val="Grid Table 5 Dark Accent 4"/>
    <w:basedOn w:val="TableNormal"/>
    <w:uiPriority w:val="50"/>
    <w:rsid w:val="003048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6Colorful-Accent4">
    <w:name w:val="Grid Table 6 Colorful Accent 4"/>
    <w:basedOn w:val="TableNormal"/>
    <w:uiPriority w:val="51"/>
    <w:rsid w:val="0030486A"/>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4">
    <w:name w:val="List Table 4 Accent 4"/>
    <w:basedOn w:val="TableNormal"/>
    <w:uiPriority w:val="49"/>
    <w:rsid w:val="0030486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4">
    <w:name w:val="Grid Table 2 Accent 4"/>
    <w:basedOn w:val="TableNormal"/>
    <w:uiPriority w:val="47"/>
    <w:rsid w:val="0030486A"/>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spars.karolis@iz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cordis.europa.eu/project/rcn/198927/factsheet/en" TargetMode="External"/><Relationship Id="rId13" Type="http://schemas.openxmlformats.org/officeDocument/2006/relationships/hyperlink" Target="https://www.prnewswire.com/news-releases/global-space-industry-market-and-technology-forecast-to-2026-300678748.html" TargetMode="External"/><Relationship Id="rId3" Type="http://schemas.openxmlformats.org/officeDocument/2006/relationships/hyperlink" Target="https://izm.gov.lv/images/aktualitates/2019/Latvia-PECS-Country-Report.pdf" TargetMode="External"/><Relationship Id="rId7" Type="http://schemas.openxmlformats.org/officeDocument/2006/relationships/hyperlink" Target="https://cordis.europa.eu/project/rcn/210389/factsheet/en" TargetMode="External"/><Relationship Id="rId12" Type="http://schemas.openxmlformats.org/officeDocument/2006/relationships/hyperlink" Target="https://www.eib.org/attachments/thematic/future_of_european_space_sector_en.pdf" TargetMode="External"/><Relationship Id="rId2" Type="http://schemas.openxmlformats.org/officeDocument/2006/relationships/hyperlink" Target="https://likumi.lv/ta/lv/starptautiskie-ligumi/id/586" TargetMode="External"/><Relationship Id="rId1" Type="http://schemas.openxmlformats.org/officeDocument/2006/relationships/hyperlink" Target="https://likumi.lv/ta/id/306691-par-valdibas-ricibas-planu-deklaracijas-par-artura-krisjana-karina-vadita-ministru-kabineta-iecereto-darbibu-istenosanai" TargetMode="External"/><Relationship Id="rId6" Type="http://schemas.openxmlformats.org/officeDocument/2006/relationships/hyperlink" Target="https://likumi.lv/ta/id/272398-par-atlauju-izglitibas-un-zinatnes-ministrijai-uznemties-ilgtermina-saistibas-lai-nodrosinatu-latvijas-dalibu-eiropas-kosmosa" TargetMode="External"/><Relationship Id="rId11" Type="http://schemas.openxmlformats.org/officeDocument/2006/relationships/hyperlink" Target="https://www.esa.int/About_Us/Business_with_ESA/How_to_do/Fully_Funded_Contracts_Part_II_A" TargetMode="External"/><Relationship Id="rId5" Type="http://schemas.openxmlformats.org/officeDocument/2006/relationships/hyperlink" Target="https://esamultimedia.esa.int/docs/LEX-L/ESA-Convention/SP-1317_EN.pdf" TargetMode="External"/><Relationship Id="rId10" Type="http://schemas.openxmlformats.org/officeDocument/2006/relationships/hyperlink" Target="https://www.izm.gov.lv/images/zinatne/EKA/The_European_Space_Agency.pdf" TargetMode="External"/><Relationship Id="rId4" Type="http://schemas.openxmlformats.org/officeDocument/2006/relationships/hyperlink" Target="https://izm.gov.lv/images/starptautiska_sad/IZM_2019-13-Full_Report.pdf" TargetMode="External"/><Relationship Id="rId9" Type="http://schemas.openxmlformats.org/officeDocument/2006/relationships/hyperlink" Target="http://www.oecd.org/science/inno/1907989.pdf" TargetMode="External"/><Relationship Id="rId14" Type="http://schemas.openxmlformats.org/officeDocument/2006/relationships/hyperlink" Target="https://www.i3pm.org/EPO-Case-Studies/sme_case_study_skeleton_en.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3462214802448525"/>
          <c:y val="6.0803474484256242E-2"/>
          <c:w val="0.62421814134668896"/>
          <c:h val="0.75212427436798412"/>
        </c:manualLayout>
      </c:layout>
      <c:barChart>
        <c:barDir val="bar"/>
        <c:grouping val="clustered"/>
        <c:varyColors val="0"/>
        <c:ser>
          <c:idx val="0"/>
          <c:order val="0"/>
          <c:tx>
            <c:strRef>
              <c:f>Sheet1!$B$1</c:f>
              <c:strCache>
                <c:ptCount val="1"/>
                <c:pt idx="0">
                  <c:v>Apstiprināto projektu skaits</c:v>
                </c:pt>
              </c:strCache>
            </c:strRef>
          </c:tx>
          <c:spPr>
            <a:solidFill>
              <a:schemeClr val="accent4">
                <a:shade val="65000"/>
              </a:schemeClr>
            </a:solidFill>
            <a:ln>
              <a:noFill/>
            </a:ln>
            <a:effectLst/>
          </c:spPr>
          <c:invertIfNegative val="0"/>
          <c:cat>
            <c:strRef>
              <c:f>Sheet1!$A$2:$A$16</c:f>
              <c:strCache>
                <c:ptCount val="15"/>
                <c:pt idx="0">
                  <c:v>LU Fizikas institūts</c:v>
                </c:pt>
                <c:pt idx="1">
                  <c:v>Ventspils Augsto tehnoloģiju parks</c:v>
                </c:pt>
                <c:pt idx="2">
                  <c:v>SIA Allatherm </c:v>
                </c:pt>
                <c:pt idx="3">
                  <c:v>SIA Aspired</c:v>
                </c:pt>
                <c:pt idx="4">
                  <c:v>SIA Baltic Scientific Instruments</c:v>
                </c:pt>
                <c:pt idx="5">
                  <c:v>Elektronikas un datorzinātņu institūts</c:v>
                </c:pt>
                <c:pt idx="6">
                  <c:v>Ventspils augstskola </c:v>
                </c:pt>
                <c:pt idx="7">
                  <c:v>SIA Eventech</c:v>
                </c:pt>
                <c:pt idx="8">
                  <c:v>SIA Baltic Satellite Service</c:v>
                </c:pt>
                <c:pt idx="9">
                  <c:v>Rīgas Tehniskā universitāte</c:v>
                </c:pt>
                <c:pt idx="10">
                  <c:v>Latvijas Universitāte</c:v>
                </c:pt>
                <c:pt idx="11">
                  <c:v>Latvijas valsts Koksnes ķīmijas institūts</c:v>
                </c:pt>
                <c:pt idx="12">
                  <c:v>Mežu Īpašnieku konsultatīvais centrs</c:v>
                </c:pt>
                <c:pt idx="13">
                  <c:v>RD ALFA Microelectronics</c:v>
                </c:pt>
                <c:pt idx="14">
                  <c:v>Vides Risinājumu institūts</c:v>
                </c:pt>
              </c:strCache>
            </c:strRef>
          </c:cat>
          <c:val>
            <c:numRef>
              <c:f>Sheet1!$B$2:$B$16</c:f>
              <c:numCache>
                <c:formatCode>General</c:formatCode>
                <c:ptCount val="15"/>
                <c:pt idx="0">
                  <c:v>1</c:v>
                </c:pt>
                <c:pt idx="1">
                  <c:v>1</c:v>
                </c:pt>
                <c:pt idx="2">
                  <c:v>1</c:v>
                </c:pt>
                <c:pt idx="3">
                  <c:v>1</c:v>
                </c:pt>
                <c:pt idx="4">
                  <c:v>2</c:v>
                </c:pt>
                <c:pt idx="5">
                  <c:v>2</c:v>
                </c:pt>
                <c:pt idx="6">
                  <c:v>2</c:v>
                </c:pt>
                <c:pt idx="7">
                  <c:v>3</c:v>
                </c:pt>
                <c:pt idx="8">
                  <c:v>3</c:v>
                </c:pt>
                <c:pt idx="9">
                  <c:v>3</c:v>
                </c:pt>
                <c:pt idx="10">
                  <c:v>3</c:v>
                </c:pt>
                <c:pt idx="11">
                  <c:v>3</c:v>
                </c:pt>
                <c:pt idx="12">
                  <c:v>4</c:v>
                </c:pt>
                <c:pt idx="13">
                  <c:v>5</c:v>
                </c:pt>
                <c:pt idx="14">
                  <c:v>5</c:v>
                </c:pt>
              </c:numCache>
            </c:numRef>
          </c:val>
          <c:extLst xmlns:c16r2="http://schemas.microsoft.com/office/drawing/2015/06/chart">
            <c:ext xmlns:c16="http://schemas.microsoft.com/office/drawing/2014/chart" uri="{C3380CC4-5D6E-409C-BE32-E72D297353CC}">
              <c16:uniqueId val="{00000000-4AAE-5E4F-94AD-05809BF47B47}"/>
            </c:ext>
          </c:extLst>
        </c:ser>
        <c:ser>
          <c:idx val="1"/>
          <c:order val="1"/>
          <c:tx>
            <c:strRef>
              <c:f>Sheet1!$C$1</c:f>
              <c:strCache>
                <c:ptCount val="1"/>
                <c:pt idx="0">
                  <c:v>piesaistītais finansējums (tūkst. euro) </c:v>
                </c:pt>
              </c:strCache>
            </c:strRef>
          </c:tx>
          <c:spPr>
            <a:solidFill>
              <a:schemeClr val="accent4"/>
            </a:solidFill>
            <a:ln>
              <a:noFill/>
            </a:ln>
            <a:effectLst/>
          </c:spPr>
          <c:invertIfNegative val="0"/>
          <c:cat>
            <c:strRef>
              <c:f>Sheet1!$A$2:$A$16</c:f>
              <c:strCache>
                <c:ptCount val="15"/>
                <c:pt idx="0">
                  <c:v>LU Fizikas institūts</c:v>
                </c:pt>
                <c:pt idx="1">
                  <c:v>Ventspils Augsto tehnoloģiju parks</c:v>
                </c:pt>
                <c:pt idx="2">
                  <c:v>SIA Allatherm </c:v>
                </c:pt>
                <c:pt idx="3">
                  <c:v>SIA Aspired</c:v>
                </c:pt>
                <c:pt idx="4">
                  <c:v>SIA Baltic Scientific Instruments</c:v>
                </c:pt>
                <c:pt idx="5">
                  <c:v>Elektronikas un datorzinātņu institūts</c:v>
                </c:pt>
                <c:pt idx="6">
                  <c:v>Ventspils augstskola </c:v>
                </c:pt>
                <c:pt idx="7">
                  <c:v>SIA Eventech</c:v>
                </c:pt>
                <c:pt idx="8">
                  <c:v>SIA Baltic Satellite Service</c:v>
                </c:pt>
                <c:pt idx="9">
                  <c:v>Rīgas Tehniskā universitāte</c:v>
                </c:pt>
                <c:pt idx="10">
                  <c:v>Latvijas Universitāte</c:v>
                </c:pt>
                <c:pt idx="11">
                  <c:v>Latvijas valsts Koksnes ķīmijas institūts</c:v>
                </c:pt>
                <c:pt idx="12">
                  <c:v>Mežu Īpašnieku konsultatīvais centrs</c:v>
                </c:pt>
                <c:pt idx="13">
                  <c:v>RD ALFA Microelectronics</c:v>
                </c:pt>
                <c:pt idx="14">
                  <c:v>Vides Risinājumu institūts</c:v>
                </c:pt>
              </c:strCache>
            </c:strRef>
          </c:cat>
          <c:val>
            <c:numRef>
              <c:f>Sheet1!$C$2:$C$16</c:f>
            </c:numRef>
          </c:val>
          <c:extLst xmlns:c16r2="http://schemas.microsoft.com/office/drawing/2015/06/chart">
            <c:ext xmlns:c16="http://schemas.microsoft.com/office/drawing/2014/chart" uri="{C3380CC4-5D6E-409C-BE32-E72D297353CC}">
              <c16:uniqueId val="{00000001-4AAE-5E4F-94AD-05809BF47B47}"/>
            </c:ext>
          </c:extLst>
        </c:ser>
        <c:ser>
          <c:idx val="2"/>
          <c:order val="2"/>
          <c:tx>
            <c:strRef>
              <c:f>Sheet1!$D$1</c:f>
              <c:strCache>
                <c:ptCount val="1"/>
                <c:pt idx="0">
                  <c:v>Series 3</c:v>
                </c:pt>
              </c:strCache>
            </c:strRef>
          </c:tx>
          <c:spPr>
            <a:solidFill>
              <a:schemeClr val="accent4">
                <a:tint val="65000"/>
              </a:schemeClr>
            </a:solidFill>
            <a:ln>
              <a:noFill/>
            </a:ln>
            <a:effectLst/>
          </c:spPr>
          <c:invertIfNegative val="0"/>
          <c:cat>
            <c:strRef>
              <c:f>Sheet1!$A$2:$A$16</c:f>
              <c:strCache>
                <c:ptCount val="15"/>
                <c:pt idx="0">
                  <c:v>LU Fizikas institūts</c:v>
                </c:pt>
                <c:pt idx="1">
                  <c:v>Ventspils Augsto tehnoloģiju parks</c:v>
                </c:pt>
                <c:pt idx="2">
                  <c:v>SIA Allatherm </c:v>
                </c:pt>
                <c:pt idx="3">
                  <c:v>SIA Aspired</c:v>
                </c:pt>
                <c:pt idx="4">
                  <c:v>SIA Baltic Scientific Instruments</c:v>
                </c:pt>
                <c:pt idx="5">
                  <c:v>Elektronikas un datorzinātņu institūts</c:v>
                </c:pt>
                <c:pt idx="6">
                  <c:v>Ventspils augstskola </c:v>
                </c:pt>
                <c:pt idx="7">
                  <c:v>SIA Eventech</c:v>
                </c:pt>
                <c:pt idx="8">
                  <c:v>SIA Baltic Satellite Service</c:v>
                </c:pt>
                <c:pt idx="9">
                  <c:v>Rīgas Tehniskā universitāte</c:v>
                </c:pt>
                <c:pt idx="10">
                  <c:v>Latvijas Universitāte</c:v>
                </c:pt>
                <c:pt idx="11">
                  <c:v>Latvijas valsts Koksnes ķīmijas institūts</c:v>
                </c:pt>
                <c:pt idx="12">
                  <c:v>Mežu Īpašnieku konsultatīvais centrs</c:v>
                </c:pt>
                <c:pt idx="13">
                  <c:v>RD ALFA Microelectronics</c:v>
                </c:pt>
                <c:pt idx="14">
                  <c:v>Vides Risinājumu institūts</c:v>
                </c:pt>
              </c:strCache>
            </c:strRef>
          </c:cat>
          <c:val>
            <c:numRef>
              <c:f>Sheet1!$D$2:$D$16</c:f>
            </c:numRef>
          </c:val>
          <c:extLst xmlns:c16r2="http://schemas.microsoft.com/office/drawing/2015/06/chart">
            <c:ext xmlns:c16="http://schemas.microsoft.com/office/drawing/2014/chart" uri="{C3380CC4-5D6E-409C-BE32-E72D297353CC}">
              <c16:uniqueId val="{00000002-4AAE-5E4F-94AD-05809BF47B47}"/>
            </c:ext>
          </c:extLst>
        </c:ser>
        <c:dLbls>
          <c:showLegendKey val="0"/>
          <c:showVal val="0"/>
          <c:showCatName val="0"/>
          <c:showSerName val="0"/>
          <c:showPercent val="0"/>
          <c:showBubbleSize val="0"/>
        </c:dLbls>
        <c:gapWidth val="182"/>
        <c:axId val="66188376"/>
        <c:axId val="66187984"/>
      </c:barChart>
      <c:catAx>
        <c:axId val="661883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6187984"/>
        <c:crosses val="autoZero"/>
        <c:auto val="1"/>
        <c:lblAlgn val="ctr"/>
        <c:lblOffset val="100"/>
        <c:noMultiLvlLbl val="0"/>
      </c:catAx>
      <c:valAx>
        <c:axId val="661879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6188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bar"/>
        <c:grouping val="clustered"/>
        <c:varyColors val="0"/>
        <c:ser>
          <c:idx val="0"/>
          <c:order val="0"/>
          <c:tx>
            <c:strRef>
              <c:f>Sheet1!$B$1</c:f>
              <c:strCache>
                <c:ptCount val="1"/>
                <c:pt idx="0">
                  <c:v>Piesaistītais finansējums (tukst. euro)</c:v>
                </c:pt>
              </c:strCache>
            </c:strRef>
          </c:tx>
          <c:spPr>
            <a:solidFill>
              <a:schemeClr val="accent4">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LU Fizikas institūts</c:v>
                </c:pt>
                <c:pt idx="1">
                  <c:v>Ventspils Augsto tehnoloģiju parks</c:v>
                </c:pt>
                <c:pt idx="2">
                  <c:v>SIA Aspired</c:v>
                </c:pt>
                <c:pt idx="3">
                  <c:v>Ventspils augstskola </c:v>
                </c:pt>
                <c:pt idx="4">
                  <c:v>Latvijas Universitāte</c:v>
                </c:pt>
                <c:pt idx="5">
                  <c:v>SIA Baltic Scientific Instruments</c:v>
                </c:pt>
                <c:pt idx="6">
                  <c:v>Rīgas Tehniskā universitāte</c:v>
                </c:pt>
                <c:pt idx="7">
                  <c:v>SIA Baltic Satellite Service</c:v>
                </c:pt>
                <c:pt idx="8">
                  <c:v>Elektronikas un datorzinātņu institūts</c:v>
                </c:pt>
                <c:pt idx="9">
                  <c:v>SIA Allatherm </c:v>
                </c:pt>
                <c:pt idx="10">
                  <c:v>Latvijas valsts Koksnes ķīmijas institūts</c:v>
                </c:pt>
                <c:pt idx="11">
                  <c:v>Mežu Īpašnieku konsultatīvais centrs</c:v>
                </c:pt>
                <c:pt idx="12">
                  <c:v>Vides Risinājumu institūts</c:v>
                </c:pt>
                <c:pt idx="13">
                  <c:v>SIA Eventech</c:v>
                </c:pt>
                <c:pt idx="14">
                  <c:v>RD ALFA Microelectronics</c:v>
                </c:pt>
              </c:strCache>
            </c:strRef>
          </c:cat>
          <c:val>
            <c:numRef>
              <c:f>Sheet1!$B$2:$B$16</c:f>
              <c:numCache>
                <c:formatCode>General</c:formatCode>
                <c:ptCount val="15"/>
                <c:pt idx="0">
                  <c:v>30</c:v>
                </c:pt>
                <c:pt idx="1">
                  <c:v>50</c:v>
                </c:pt>
                <c:pt idx="2">
                  <c:v>50</c:v>
                </c:pt>
                <c:pt idx="3" formatCode="#,##0">
                  <c:v>98.974000000000004</c:v>
                </c:pt>
                <c:pt idx="4" formatCode="#,##0">
                  <c:v>241.21600000000001</c:v>
                </c:pt>
                <c:pt idx="5" formatCode="#,##0">
                  <c:v>249.99700000000001</c:v>
                </c:pt>
                <c:pt idx="6" formatCode="#,##0">
                  <c:v>279.10399999999998</c:v>
                </c:pt>
                <c:pt idx="7" formatCode="#,##0">
                  <c:v>299.99700000000001</c:v>
                </c:pt>
                <c:pt idx="8" formatCode="#,##0">
                  <c:v>346.78100000000001</c:v>
                </c:pt>
                <c:pt idx="9">
                  <c:v>386</c:v>
                </c:pt>
                <c:pt idx="10" formatCode="#,##0">
                  <c:v>446.072</c:v>
                </c:pt>
                <c:pt idx="11" formatCode="#,##0">
                  <c:v>498.68400000000003</c:v>
                </c:pt>
                <c:pt idx="12" formatCode="#,##0">
                  <c:v>678.93299999999999</c:v>
                </c:pt>
                <c:pt idx="13" formatCode="#,##0">
                  <c:v>695.23199999999997</c:v>
                </c:pt>
                <c:pt idx="14" formatCode="#,##0">
                  <c:v>806.69500000000005</c:v>
                </c:pt>
              </c:numCache>
            </c:numRef>
          </c:val>
          <c:extLst xmlns:c16r2="http://schemas.microsoft.com/office/drawing/2015/06/chart">
            <c:ext xmlns:c16="http://schemas.microsoft.com/office/drawing/2014/chart" uri="{C3380CC4-5D6E-409C-BE32-E72D297353CC}">
              <c16:uniqueId val="{00000000-B978-794F-9687-27A4B7472A83}"/>
            </c:ext>
          </c:extLst>
        </c:ser>
        <c:ser>
          <c:idx val="1"/>
          <c:order val="1"/>
          <c:tx>
            <c:strRef>
              <c:f>Sheet1!$C$1</c:f>
              <c:strCache>
                <c:ptCount val="1"/>
                <c:pt idx="0">
                  <c:v>Series 2</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LU Fizikas institūts</c:v>
                </c:pt>
                <c:pt idx="1">
                  <c:v>Ventspils Augsto tehnoloģiju parks</c:v>
                </c:pt>
                <c:pt idx="2">
                  <c:v>SIA Aspired</c:v>
                </c:pt>
                <c:pt idx="3">
                  <c:v>Ventspils augstskola </c:v>
                </c:pt>
                <c:pt idx="4">
                  <c:v>Latvijas Universitāte</c:v>
                </c:pt>
                <c:pt idx="5">
                  <c:v>SIA Baltic Scientific Instruments</c:v>
                </c:pt>
                <c:pt idx="6">
                  <c:v>Rīgas Tehniskā universitāte</c:v>
                </c:pt>
                <c:pt idx="7">
                  <c:v>SIA Baltic Satellite Service</c:v>
                </c:pt>
                <c:pt idx="8">
                  <c:v>Elektronikas un datorzinātņu institūts</c:v>
                </c:pt>
                <c:pt idx="9">
                  <c:v>SIA Allatherm </c:v>
                </c:pt>
                <c:pt idx="10">
                  <c:v>Latvijas valsts Koksnes ķīmijas institūts</c:v>
                </c:pt>
                <c:pt idx="11">
                  <c:v>Mežu Īpašnieku konsultatīvais centrs</c:v>
                </c:pt>
                <c:pt idx="12">
                  <c:v>Vides Risinājumu institūts</c:v>
                </c:pt>
                <c:pt idx="13">
                  <c:v>SIA Eventech</c:v>
                </c:pt>
                <c:pt idx="14">
                  <c:v>RD ALFA Microelectronics</c:v>
                </c:pt>
              </c:strCache>
            </c:strRef>
          </c:cat>
          <c:val>
            <c:numRef>
              <c:f>Sheet1!$C$2:$C$16</c:f>
            </c:numRef>
          </c:val>
          <c:extLst xmlns:c16r2="http://schemas.microsoft.com/office/drawing/2015/06/chart">
            <c:ext xmlns:c16="http://schemas.microsoft.com/office/drawing/2014/chart" uri="{C3380CC4-5D6E-409C-BE32-E72D297353CC}">
              <c16:uniqueId val="{00000001-B978-794F-9687-27A4B7472A83}"/>
            </c:ext>
          </c:extLst>
        </c:ser>
        <c:ser>
          <c:idx val="2"/>
          <c:order val="2"/>
          <c:tx>
            <c:strRef>
              <c:f>Sheet1!$D$1</c:f>
              <c:strCache>
                <c:ptCount val="1"/>
                <c:pt idx="0">
                  <c:v>Series 3</c:v>
                </c:pt>
              </c:strCache>
            </c:strRef>
          </c:tx>
          <c:spPr>
            <a:solidFill>
              <a:schemeClr val="accent4">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LU Fizikas institūts</c:v>
                </c:pt>
                <c:pt idx="1">
                  <c:v>Ventspils Augsto tehnoloģiju parks</c:v>
                </c:pt>
                <c:pt idx="2">
                  <c:v>SIA Aspired</c:v>
                </c:pt>
                <c:pt idx="3">
                  <c:v>Ventspils augstskola </c:v>
                </c:pt>
                <c:pt idx="4">
                  <c:v>Latvijas Universitāte</c:v>
                </c:pt>
                <c:pt idx="5">
                  <c:v>SIA Baltic Scientific Instruments</c:v>
                </c:pt>
                <c:pt idx="6">
                  <c:v>Rīgas Tehniskā universitāte</c:v>
                </c:pt>
                <c:pt idx="7">
                  <c:v>SIA Baltic Satellite Service</c:v>
                </c:pt>
                <c:pt idx="8">
                  <c:v>Elektronikas un datorzinātņu institūts</c:v>
                </c:pt>
                <c:pt idx="9">
                  <c:v>SIA Allatherm </c:v>
                </c:pt>
                <c:pt idx="10">
                  <c:v>Latvijas valsts Koksnes ķīmijas institūts</c:v>
                </c:pt>
                <c:pt idx="11">
                  <c:v>Mežu Īpašnieku konsultatīvais centrs</c:v>
                </c:pt>
                <c:pt idx="12">
                  <c:v>Vides Risinājumu institūts</c:v>
                </c:pt>
                <c:pt idx="13">
                  <c:v>SIA Eventech</c:v>
                </c:pt>
                <c:pt idx="14">
                  <c:v>RD ALFA Microelectronics</c:v>
                </c:pt>
              </c:strCache>
            </c:strRef>
          </c:cat>
          <c:val>
            <c:numRef>
              <c:f>Sheet1!$D$2:$D$16</c:f>
            </c:numRef>
          </c:val>
          <c:extLst xmlns:c16r2="http://schemas.microsoft.com/office/drawing/2015/06/chart">
            <c:ext xmlns:c16="http://schemas.microsoft.com/office/drawing/2014/chart" uri="{C3380CC4-5D6E-409C-BE32-E72D297353CC}">
              <c16:uniqueId val="{00000002-B978-794F-9687-27A4B7472A83}"/>
            </c:ext>
          </c:extLst>
        </c:ser>
        <c:dLbls>
          <c:dLblPos val="outEnd"/>
          <c:showLegendKey val="0"/>
          <c:showVal val="1"/>
          <c:showCatName val="0"/>
          <c:showSerName val="0"/>
          <c:showPercent val="0"/>
          <c:showBubbleSize val="0"/>
        </c:dLbls>
        <c:gapWidth val="182"/>
        <c:axId val="66189552"/>
        <c:axId val="66189944"/>
      </c:barChart>
      <c:catAx>
        <c:axId val="661895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6189944"/>
        <c:crosses val="autoZero"/>
        <c:auto val="1"/>
        <c:lblAlgn val="ctr"/>
        <c:lblOffset val="100"/>
        <c:noMultiLvlLbl val="0"/>
      </c:catAx>
      <c:valAx>
        <c:axId val="661899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6189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Projektu skaits</c:v>
                </c:pt>
              </c:strCache>
            </c:strRef>
          </c:tx>
          <c:spPr>
            <a:solidFill>
              <a:schemeClr val="accent4"/>
            </a:solidFill>
            <a:ln w="25400" cap="flat" cmpd="sng" algn="ctr">
              <a:solidFill>
                <a:schemeClr val="accent4">
                  <a:shade val="50000"/>
                </a:schemeClr>
              </a:solidFill>
              <a:prstDash val="solid"/>
            </a:ln>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Sheet1!$A$2:$A$10</c:f>
              <c:numCache>
                <c:formatCode>General</c:formatCode>
                <c:ptCount val="9"/>
                <c:pt idx="0">
                  <c:v>1</c:v>
                </c:pt>
                <c:pt idx="1">
                  <c:v>2</c:v>
                </c:pt>
                <c:pt idx="2">
                  <c:v>3</c:v>
                </c:pt>
                <c:pt idx="3">
                  <c:v>4</c:v>
                </c:pt>
                <c:pt idx="4">
                  <c:v>5</c:v>
                </c:pt>
                <c:pt idx="5">
                  <c:v>6</c:v>
                </c:pt>
                <c:pt idx="6">
                  <c:v>7</c:v>
                </c:pt>
                <c:pt idx="7">
                  <c:v>8</c:v>
                </c:pt>
                <c:pt idx="8">
                  <c:v>9</c:v>
                </c:pt>
              </c:numCache>
            </c:numRef>
          </c:cat>
          <c:val>
            <c:numRef>
              <c:f>Sheet1!$B$2:$B$10</c:f>
              <c:numCache>
                <c:formatCode>General</c:formatCode>
                <c:ptCount val="9"/>
                <c:pt idx="0">
                  <c:v>0</c:v>
                </c:pt>
                <c:pt idx="1">
                  <c:v>5</c:v>
                </c:pt>
                <c:pt idx="2">
                  <c:v>12</c:v>
                </c:pt>
                <c:pt idx="3">
                  <c:v>5</c:v>
                </c:pt>
                <c:pt idx="4">
                  <c:v>4</c:v>
                </c:pt>
                <c:pt idx="5">
                  <c:v>5</c:v>
                </c:pt>
                <c:pt idx="6">
                  <c:v>4</c:v>
                </c:pt>
                <c:pt idx="7">
                  <c:v>0</c:v>
                </c:pt>
                <c:pt idx="8">
                  <c:v>0</c:v>
                </c:pt>
              </c:numCache>
            </c:numRef>
          </c:val>
        </c:ser>
        <c:ser>
          <c:idx val="1"/>
          <c:order val="1"/>
          <c:tx>
            <c:strRef>
              <c:f>Sheet1!$C$1</c:f>
              <c:strCache>
                <c:ptCount val="1"/>
                <c:pt idx="0">
                  <c:v>Series 2</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Sheet1!$A$2:$A$10</c:f>
              <c:numCache>
                <c:formatCode>General</c:formatCode>
                <c:ptCount val="9"/>
                <c:pt idx="0">
                  <c:v>1</c:v>
                </c:pt>
                <c:pt idx="1">
                  <c:v>2</c:v>
                </c:pt>
                <c:pt idx="2">
                  <c:v>3</c:v>
                </c:pt>
                <c:pt idx="3">
                  <c:v>4</c:v>
                </c:pt>
                <c:pt idx="4">
                  <c:v>5</c:v>
                </c:pt>
                <c:pt idx="5">
                  <c:v>6</c:v>
                </c:pt>
                <c:pt idx="6">
                  <c:v>7</c:v>
                </c:pt>
                <c:pt idx="7">
                  <c:v>8</c:v>
                </c:pt>
                <c:pt idx="8">
                  <c:v>9</c:v>
                </c:pt>
              </c:numCache>
            </c:numRef>
          </c:cat>
          <c:val>
            <c:numRef>
              <c:f>Sheet1!$C$2:$C$10</c:f>
            </c:numRef>
          </c:val>
        </c:ser>
        <c:ser>
          <c:idx val="2"/>
          <c:order val="2"/>
          <c:tx>
            <c:strRef>
              <c:f>Sheet1!$D$1</c:f>
              <c:strCache>
                <c:ptCount val="1"/>
                <c:pt idx="0">
                  <c:v>Series 3</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Sheet1!$A$2:$A$10</c:f>
              <c:numCache>
                <c:formatCode>General</c:formatCode>
                <c:ptCount val="9"/>
                <c:pt idx="0">
                  <c:v>1</c:v>
                </c:pt>
                <c:pt idx="1">
                  <c:v>2</c:v>
                </c:pt>
                <c:pt idx="2">
                  <c:v>3</c:v>
                </c:pt>
                <c:pt idx="3">
                  <c:v>4</c:v>
                </c:pt>
                <c:pt idx="4">
                  <c:v>5</c:v>
                </c:pt>
                <c:pt idx="5">
                  <c:v>6</c:v>
                </c:pt>
                <c:pt idx="6">
                  <c:v>7</c:v>
                </c:pt>
                <c:pt idx="7">
                  <c:v>8</c:v>
                </c:pt>
                <c:pt idx="8">
                  <c:v>9</c:v>
                </c:pt>
              </c:numCache>
            </c:numRef>
          </c:cat>
          <c:val>
            <c:numRef>
              <c:f>Sheet1!$D$2:$D$10</c:f>
            </c:numRef>
          </c:val>
        </c:ser>
        <c:dLbls>
          <c:dLblPos val="outEnd"/>
          <c:showLegendKey val="0"/>
          <c:showVal val="1"/>
          <c:showCatName val="0"/>
          <c:showSerName val="0"/>
          <c:showPercent val="0"/>
          <c:showBubbleSize val="0"/>
        </c:dLbls>
        <c:gapWidth val="115"/>
        <c:overlap val="-20"/>
        <c:axId val="66190728"/>
        <c:axId val="66187200"/>
      </c:barChart>
      <c:catAx>
        <c:axId val="6619072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6187200"/>
        <c:crosses val="autoZero"/>
        <c:auto val="1"/>
        <c:lblAlgn val="ctr"/>
        <c:lblOffset val="100"/>
        <c:noMultiLvlLbl val="0"/>
      </c:catAx>
      <c:valAx>
        <c:axId val="661872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6190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colors2.xml><?xml version="1.0" encoding="utf-8"?>
<cs:colorStyle xmlns:cs="http://schemas.microsoft.com/office/drawing/2012/chartStyle" xmlns:a="http://schemas.openxmlformats.org/drawingml/2006/main" meth="withinLinear" id="17">
  <a:schemeClr val="accent4"/>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16F48-CD14-42C1-84F7-138604A62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23962</Words>
  <Characters>13659</Characters>
  <Application>Microsoft Office Word</Application>
  <DocSecurity>0</DocSecurity>
  <Lines>113</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dc:creator>
  <cp:lastModifiedBy>Diāna Laipniece</cp:lastModifiedBy>
  <cp:revision>4</cp:revision>
  <cp:lastPrinted>2019-05-17T12:19:00Z</cp:lastPrinted>
  <dcterms:created xsi:type="dcterms:W3CDTF">2019-10-31T07:28:00Z</dcterms:created>
  <dcterms:modified xsi:type="dcterms:W3CDTF">2019-10-31T07:37:00Z</dcterms:modified>
</cp:coreProperties>
</file>