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bookmarkStart w:id="0" w:name="_GoBack"/>
      <w:bookmarkEnd w:id="0"/>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520099" w:rsidRDefault="00520099" w:rsidP="00576E16">
      <w:pPr>
        <w:jc w:val="center"/>
        <w:rPr>
          <w:rStyle w:val="Emphasis"/>
          <w:b/>
          <w:sz w:val="26"/>
          <w:szCs w:val="26"/>
        </w:rPr>
      </w:pPr>
      <w:r w:rsidRPr="00520099">
        <w:rPr>
          <w:b/>
          <w:iCs/>
          <w:sz w:val="26"/>
          <w:szCs w:val="26"/>
        </w:rPr>
        <w:t xml:space="preserve">Grozījumi likumā </w:t>
      </w:r>
      <w:r>
        <w:rPr>
          <w:b/>
          <w:iCs/>
          <w:sz w:val="26"/>
          <w:szCs w:val="26"/>
        </w:rPr>
        <w:t>“</w:t>
      </w:r>
      <w:r w:rsidRPr="00520099">
        <w:rPr>
          <w:b/>
          <w:iCs/>
          <w:sz w:val="26"/>
          <w:szCs w:val="26"/>
        </w:rPr>
        <w:t>Par nodokļiem un nodevām</w:t>
      </w:r>
      <w:r>
        <w:rPr>
          <w:b/>
          <w:iCs/>
          <w:sz w:val="26"/>
          <w:szCs w:val="26"/>
        </w:rPr>
        <w:t>”</w:t>
      </w:r>
      <w:r w:rsidR="001161F6" w:rsidRPr="00FC3F53">
        <w:rPr>
          <w:rStyle w:val="Emphasis"/>
          <w:b/>
          <w:sz w:val="26"/>
          <w:szCs w:val="26"/>
        </w:rPr>
        <w:t xml:space="preserve"> </w:t>
      </w:r>
    </w:p>
    <w:p w:rsidR="00576E16" w:rsidRDefault="00FC3F53" w:rsidP="001846DF">
      <w:pPr>
        <w:jc w:val="center"/>
        <w:rPr>
          <w:rStyle w:val="Emphasis"/>
          <w:b/>
          <w:sz w:val="26"/>
          <w:szCs w:val="26"/>
        </w:rPr>
      </w:pPr>
      <w:r w:rsidRPr="00FC3F53">
        <w:rPr>
          <w:rStyle w:val="Emphasis"/>
          <w:b/>
          <w:sz w:val="26"/>
          <w:szCs w:val="26"/>
        </w:rPr>
        <w:t xml:space="preserve">(Nr. </w:t>
      </w:r>
      <w:r w:rsidR="00DD7FEF">
        <w:rPr>
          <w:rStyle w:val="Emphasis"/>
          <w:b/>
          <w:sz w:val="26"/>
          <w:szCs w:val="26"/>
        </w:rPr>
        <w:t>428</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812283">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7452AD">
              <w:rPr>
                <w:b/>
              </w:rPr>
              <w:t>2</w:t>
            </w:r>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812283">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CF6AE2" w:rsidP="00B712D1">
            <w:pPr>
              <w:ind w:firstLine="567"/>
              <w:jc w:val="both"/>
              <w:rPr>
                <w:rFonts w:eastAsia="Times New Roman"/>
                <w:iCs/>
                <w:color w:val="000000"/>
                <w:sz w:val="22"/>
                <w:lang w:eastAsia="lv-LV"/>
              </w:rPr>
            </w:pPr>
            <w:r w:rsidRPr="00E86455">
              <w:rPr>
                <w:rFonts w:eastAsia="Times New Roman"/>
                <w:iCs/>
                <w:color w:val="000000"/>
                <w:sz w:val="22"/>
                <w:lang w:eastAsia="lv-LV"/>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254. nr.; 2017, 5., 75., 124., 128., 156., 236., 242. nr.; 2018, 36., 197., 225. nr.; 2019, 10., 75., 118.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Pr="003A5EFA" w:rsidRDefault="00CF6AE2" w:rsidP="003A5EFA">
            <w:pPr>
              <w:ind w:firstLine="567"/>
              <w:jc w:val="both"/>
              <w:rPr>
                <w:sz w:val="22"/>
              </w:rPr>
            </w:pPr>
            <w:r w:rsidRPr="003A5EFA">
              <w:rPr>
                <w:b/>
                <w:bCs/>
                <w:sz w:val="22"/>
              </w:rPr>
              <w:t>22.</w:t>
            </w:r>
            <w:r>
              <w:rPr>
                <w:b/>
                <w:bCs/>
                <w:sz w:val="22"/>
              </w:rPr>
              <w:t xml:space="preserve"> </w:t>
            </w:r>
            <w:r w:rsidRPr="003A5EFA">
              <w:rPr>
                <w:b/>
                <w:bCs/>
                <w:sz w:val="22"/>
              </w:rPr>
              <w:t>pants. Konfidencialitāte</w:t>
            </w:r>
          </w:p>
          <w:p w:rsidR="00CF6AE2" w:rsidRPr="003A5EFA" w:rsidRDefault="00CF6AE2" w:rsidP="003A5EFA">
            <w:pPr>
              <w:ind w:firstLine="567"/>
              <w:jc w:val="both"/>
              <w:rPr>
                <w:sz w:val="22"/>
              </w:rPr>
            </w:pPr>
            <w:r w:rsidRPr="003A5EFA">
              <w:rPr>
                <w:sz w:val="22"/>
              </w:rPr>
              <w:t xml:space="preserve">(1) Nodokļu administrācijas ierēdnim (darbiniekam), ja šā panta otrajā daļā nav noteikts citādi, aizliegts izpaust par nodokļu maksātāju bez viņa piekrišanas jebkādu informāciju, kas šim ierēdnim (darbiniekam) kļuvusi zināma, </w:t>
            </w:r>
            <w:r w:rsidRPr="003A5EFA">
              <w:rPr>
                <w:sz w:val="22"/>
              </w:rPr>
              <w:lastRenderedPageBreak/>
              <w:t>pildot dienesta (darba) pienākumus, izņemot:</w:t>
            </w:r>
          </w:p>
          <w:p w:rsidR="00CF6AE2" w:rsidRPr="006E0266" w:rsidRDefault="00CF6AE2" w:rsidP="001846DF">
            <w:pPr>
              <w:ind w:firstLine="567"/>
              <w:jc w:val="both"/>
              <w:rPr>
                <w:sz w:val="22"/>
              </w:rPr>
            </w:pPr>
          </w:p>
        </w:tc>
        <w:tc>
          <w:tcPr>
            <w:tcW w:w="3969" w:type="dxa"/>
            <w:shd w:val="clear" w:color="auto" w:fill="auto"/>
          </w:tcPr>
          <w:p w:rsidR="00CF6AE2" w:rsidRPr="001268F5" w:rsidRDefault="00CF6AE2" w:rsidP="001268F5">
            <w:pPr>
              <w:ind w:firstLine="567"/>
              <w:jc w:val="both"/>
              <w:rPr>
                <w:rFonts w:eastAsia="Times New Roman"/>
                <w:iCs/>
                <w:color w:val="000000"/>
                <w:sz w:val="22"/>
                <w:lang w:eastAsia="lv-LV"/>
              </w:rPr>
            </w:pPr>
            <w:r w:rsidRPr="001268F5">
              <w:rPr>
                <w:rFonts w:eastAsia="Times New Roman"/>
                <w:iCs/>
                <w:color w:val="000000"/>
                <w:sz w:val="22"/>
                <w:lang w:eastAsia="lv-LV"/>
              </w:rPr>
              <w:lastRenderedPageBreak/>
              <w:t>1.  Papildināt 22. panta pirmo daļu ar 6. punktu šādā redakcijā:</w:t>
            </w:r>
          </w:p>
          <w:p w:rsidR="00CF6AE2" w:rsidRPr="005E54AA" w:rsidRDefault="00CF6AE2" w:rsidP="001268F5">
            <w:pPr>
              <w:ind w:firstLine="567"/>
              <w:jc w:val="both"/>
              <w:rPr>
                <w:rFonts w:eastAsia="Times New Roman"/>
                <w:iCs/>
                <w:color w:val="000000"/>
                <w:sz w:val="22"/>
                <w:lang w:eastAsia="lv-LV"/>
              </w:rPr>
            </w:pPr>
            <w:r w:rsidRPr="001268F5">
              <w:rPr>
                <w:rFonts w:eastAsia="Times New Roman"/>
                <w:iCs/>
                <w:color w:val="000000"/>
                <w:sz w:val="22"/>
                <w:lang w:eastAsia="lv-LV"/>
              </w:rPr>
              <w:t xml:space="preserve">"6) informāciju par nodokļu maksātāja darījuma partnera (juridiskās personas) nodokļu riskiem, ja nodokļu maksātājs pievienotās vērtības nodokļa deklarācijā ir norādījis darījuma partneri (juridisko personu), kura darbībā atbilstoši </w:t>
            </w:r>
            <w:r w:rsidRPr="001268F5">
              <w:rPr>
                <w:rFonts w:eastAsia="Times New Roman"/>
                <w:iCs/>
                <w:color w:val="000000"/>
                <w:sz w:val="22"/>
                <w:lang w:eastAsia="lv-LV"/>
              </w:rPr>
              <w:lastRenderedPageBreak/>
              <w:t xml:space="preserve">Valsts ieņēmumu dienesta veiktajam personas datu izvērtējumam nodokļu ieņēmumu riska jomā ir konstatēti fakti, kas liecina par izvairīšanos no nodokļu maksāšanas, un ir pamats sniegt minēto informāciju. </w:t>
            </w:r>
            <w:bookmarkStart w:id="1" w:name="_Hlk20734031"/>
            <w:r w:rsidRPr="001268F5">
              <w:rPr>
                <w:rFonts w:eastAsia="Times New Roman"/>
                <w:iCs/>
                <w:color w:val="000000"/>
                <w:sz w:val="22"/>
                <w:lang w:eastAsia="lv-LV"/>
              </w:rPr>
              <w:t>Šajā gadījumā tiek paziņots arī darījuma partnerim, ka informācija par to ir izpausta konkrētajam nodokļu maksātājam.</w:t>
            </w:r>
            <w:bookmarkEnd w:id="1"/>
            <w:r w:rsidRPr="001268F5">
              <w:rPr>
                <w:rFonts w:eastAsia="Times New Roman"/>
                <w:iCs/>
                <w:color w:val="000000"/>
                <w:sz w:val="22"/>
                <w:lang w:eastAsia="lv-LV"/>
              </w:rPr>
              <w:t>"</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552EA4" w:rsidRPr="001B3F41" w:rsidTr="00812283">
        <w:tc>
          <w:tcPr>
            <w:tcW w:w="3964" w:type="dxa"/>
            <w:shd w:val="clear" w:color="auto" w:fill="auto"/>
          </w:tcPr>
          <w:p w:rsidR="00552EA4" w:rsidRPr="00552EA4" w:rsidRDefault="00552EA4" w:rsidP="00552EA4">
            <w:pPr>
              <w:ind w:firstLine="567"/>
              <w:jc w:val="both"/>
              <w:rPr>
                <w:bCs/>
                <w:sz w:val="22"/>
              </w:rPr>
            </w:pPr>
            <w:r w:rsidRPr="00552EA4">
              <w:rPr>
                <w:b/>
                <w:bCs/>
                <w:sz w:val="22"/>
              </w:rPr>
              <w:t>34.</w:t>
            </w:r>
            <w:r w:rsidRPr="00552EA4">
              <w:rPr>
                <w:b/>
                <w:bCs/>
                <w:sz w:val="22"/>
                <w:vertAlign w:val="superscript"/>
              </w:rPr>
              <w:t>4</w:t>
            </w:r>
            <w:r w:rsidRPr="00552EA4">
              <w:rPr>
                <w:b/>
                <w:bCs/>
                <w:sz w:val="22"/>
              </w:rPr>
              <w:t xml:space="preserve"> pants. Domēna vārda atslēgšana un mitināšanas pakalpojumu pārtraukšana (apturēšana) normatīvo aktu pārkāpumu gadījumos</w:t>
            </w:r>
          </w:p>
          <w:p w:rsidR="00552EA4" w:rsidRPr="00552EA4" w:rsidRDefault="00552EA4" w:rsidP="00552EA4">
            <w:pPr>
              <w:ind w:firstLine="567"/>
              <w:jc w:val="both"/>
              <w:rPr>
                <w:bCs/>
                <w:sz w:val="22"/>
              </w:rPr>
            </w:pPr>
            <w:r w:rsidRPr="00552EA4">
              <w:rPr>
                <w:bCs/>
                <w:sz w:val="22"/>
              </w:rPr>
              <w:t>(1) Valsts ieņēmumu dienestam ir tiesības pieņemt lēmumu par domēna vārda atslēgšanu, ja konstatē kādu no šādiem apstākļiem:</w:t>
            </w:r>
          </w:p>
          <w:p w:rsidR="00552EA4" w:rsidRPr="00552EA4" w:rsidRDefault="00552EA4" w:rsidP="003A5EFA">
            <w:pPr>
              <w:ind w:firstLine="567"/>
              <w:jc w:val="both"/>
              <w:rPr>
                <w:bCs/>
                <w:sz w:val="22"/>
              </w:rPr>
            </w:pPr>
          </w:p>
        </w:tc>
        <w:tc>
          <w:tcPr>
            <w:tcW w:w="3969" w:type="dxa"/>
            <w:shd w:val="clear" w:color="auto" w:fill="auto"/>
          </w:tcPr>
          <w:p w:rsidR="00552EA4" w:rsidRPr="001268F5" w:rsidRDefault="00552EA4" w:rsidP="001268F5">
            <w:pPr>
              <w:ind w:firstLine="567"/>
              <w:jc w:val="both"/>
              <w:rPr>
                <w:rFonts w:eastAsia="Times New Roman"/>
                <w:iCs/>
                <w:color w:val="000000"/>
                <w:sz w:val="22"/>
                <w:lang w:eastAsia="lv-LV"/>
              </w:rPr>
            </w:pPr>
          </w:p>
        </w:tc>
        <w:tc>
          <w:tcPr>
            <w:tcW w:w="581" w:type="dxa"/>
          </w:tcPr>
          <w:p w:rsidR="00552EA4" w:rsidRPr="00A43531" w:rsidRDefault="00A43531"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552EA4" w:rsidRDefault="00552EA4" w:rsidP="001268F5">
            <w:pPr>
              <w:ind w:firstLine="567"/>
              <w:jc w:val="both"/>
              <w:rPr>
                <w:rFonts w:eastAsia="Times New Roman"/>
                <w:b/>
                <w:iCs/>
                <w:color w:val="000000"/>
                <w:sz w:val="22"/>
                <w:u w:val="single"/>
                <w:lang w:eastAsia="lv-LV"/>
              </w:rPr>
            </w:pPr>
            <w:r w:rsidRPr="00552EA4">
              <w:rPr>
                <w:rFonts w:eastAsia="Times New Roman"/>
                <w:b/>
                <w:iCs/>
                <w:color w:val="000000"/>
                <w:sz w:val="22"/>
                <w:u w:val="single"/>
                <w:lang w:eastAsia="lv-LV"/>
              </w:rPr>
              <w:t>Zaļo un Zemnieku savienības frakcija</w:t>
            </w:r>
          </w:p>
          <w:p w:rsidR="00552EA4" w:rsidRPr="00552EA4" w:rsidRDefault="00552EA4" w:rsidP="00552EA4">
            <w:pPr>
              <w:ind w:firstLine="567"/>
              <w:jc w:val="both"/>
              <w:rPr>
                <w:rFonts w:eastAsia="Times New Roman"/>
                <w:iCs/>
                <w:color w:val="000000"/>
                <w:sz w:val="22"/>
                <w:lang w:eastAsia="lv-LV"/>
              </w:rPr>
            </w:pPr>
            <w:r w:rsidRPr="00552EA4">
              <w:rPr>
                <w:rFonts w:eastAsia="Times New Roman"/>
                <w:iCs/>
                <w:color w:val="000000"/>
                <w:sz w:val="22"/>
                <w:lang w:eastAsia="lv-LV"/>
              </w:rPr>
              <w:t>Papildināt likumprojektu ar jaunu pantu šādā redakcijā:</w:t>
            </w:r>
          </w:p>
          <w:p w:rsidR="00552EA4" w:rsidRPr="00552EA4" w:rsidRDefault="00552EA4" w:rsidP="00552EA4">
            <w:pPr>
              <w:ind w:firstLine="567"/>
              <w:jc w:val="both"/>
              <w:rPr>
                <w:rFonts w:eastAsia="Times New Roman"/>
                <w:iCs/>
                <w:color w:val="000000"/>
                <w:sz w:val="22"/>
                <w:lang w:eastAsia="lv-LV"/>
              </w:rPr>
            </w:pPr>
            <w:r w:rsidRPr="00552EA4">
              <w:rPr>
                <w:rFonts w:eastAsia="Times New Roman"/>
                <w:iCs/>
                <w:color w:val="000000"/>
                <w:sz w:val="22"/>
                <w:lang w:eastAsia="lv-LV"/>
              </w:rPr>
              <w:t>“ Papildināt 34.</w:t>
            </w:r>
            <w:r w:rsidRPr="00552EA4">
              <w:rPr>
                <w:rFonts w:eastAsia="Times New Roman"/>
                <w:iCs/>
                <w:color w:val="000000"/>
                <w:sz w:val="22"/>
                <w:vertAlign w:val="superscript"/>
                <w:lang w:eastAsia="lv-LV"/>
              </w:rPr>
              <w:t>4</w:t>
            </w:r>
            <w:r w:rsidRPr="00552EA4">
              <w:rPr>
                <w:rFonts w:eastAsia="Times New Roman"/>
                <w:iCs/>
                <w:color w:val="000000"/>
                <w:sz w:val="22"/>
                <w:lang w:eastAsia="lv-LV"/>
              </w:rPr>
              <w:t xml:space="preserve"> panta pirmo daļu ar jaunu devīto punktu šādā redakcijā:</w:t>
            </w:r>
          </w:p>
          <w:p w:rsidR="00552EA4" w:rsidRPr="00552EA4" w:rsidRDefault="00552EA4" w:rsidP="00552EA4">
            <w:pPr>
              <w:ind w:firstLine="567"/>
              <w:jc w:val="both"/>
              <w:rPr>
                <w:rFonts w:eastAsia="Times New Roman"/>
                <w:iCs/>
                <w:color w:val="000000"/>
                <w:sz w:val="22"/>
                <w:lang w:eastAsia="lv-LV"/>
              </w:rPr>
            </w:pPr>
            <w:r w:rsidRPr="00552EA4">
              <w:rPr>
                <w:rFonts w:eastAsia="Times New Roman"/>
                <w:iCs/>
                <w:color w:val="000000"/>
                <w:sz w:val="22"/>
                <w:lang w:eastAsia="lv-LV"/>
              </w:rPr>
              <w:t>“9) nodokļu maksātājs, tirgojot interneta tirdzniecības vietnē tādas riepas, uz kurām attiecas Dabas resursu nodokļa likums, šajā vietnē nesniedz informāciju par nolietoto riepu nodošanas iespējām</w:t>
            </w:r>
            <w:r>
              <w:rPr>
                <w:rFonts w:eastAsia="Times New Roman"/>
                <w:iCs/>
                <w:color w:val="000000"/>
                <w:sz w:val="22"/>
                <w:lang w:eastAsia="lv-LV"/>
              </w:rPr>
              <w:t>.”</w:t>
            </w:r>
            <w:r w:rsidRPr="00552EA4">
              <w:rPr>
                <w:rFonts w:eastAsia="Times New Roman"/>
                <w:iCs/>
                <w:color w:val="000000"/>
                <w:sz w:val="22"/>
                <w:lang w:eastAsia="lv-LV"/>
              </w:rPr>
              <w:t>”</w:t>
            </w: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Pr="003A5EFA" w:rsidRDefault="00CF6AE2" w:rsidP="003A5EFA">
            <w:pPr>
              <w:ind w:firstLine="567"/>
              <w:jc w:val="both"/>
              <w:rPr>
                <w:sz w:val="22"/>
              </w:rPr>
            </w:pPr>
            <w:r w:rsidRPr="003A5EFA">
              <w:rPr>
                <w:b/>
                <w:bCs/>
                <w:sz w:val="22"/>
              </w:rPr>
              <w:t>60.</w:t>
            </w:r>
            <w:r>
              <w:rPr>
                <w:b/>
                <w:bCs/>
                <w:sz w:val="22"/>
              </w:rPr>
              <w:t xml:space="preserve"> </w:t>
            </w:r>
            <w:r w:rsidRPr="003A5EFA">
              <w:rPr>
                <w:b/>
                <w:bCs/>
                <w:sz w:val="22"/>
              </w:rPr>
              <w:t>pants. Nokavēto nodokļu maksājumu atlīdzināšanas pamats un administratīvā procesa uzsākšana</w:t>
            </w:r>
          </w:p>
          <w:p w:rsidR="00CF6AE2" w:rsidRPr="003A5EFA" w:rsidRDefault="00CF6AE2" w:rsidP="003A5EFA">
            <w:pPr>
              <w:ind w:firstLine="567"/>
              <w:jc w:val="both"/>
              <w:rPr>
                <w:sz w:val="22"/>
              </w:rPr>
            </w:pPr>
            <w:r w:rsidRPr="003A5EFA">
              <w:rPr>
                <w:sz w:val="22"/>
              </w:rPr>
              <w:t xml:space="preserve">(1) Valsts ieņēmumu dienestam ir tiesības uzsākt procesu par juridiskās personas nokavēto nodokļu maksājumu atlīdzināšanu budžetam no personas, kura ir bijusi šīs juridiskās </w:t>
            </w:r>
            <w:r w:rsidRPr="00540A8F">
              <w:rPr>
                <w:sz w:val="22"/>
              </w:rPr>
              <w:t>personas valdes loceklis</w:t>
            </w:r>
            <w:r w:rsidRPr="003A5EFA">
              <w:rPr>
                <w:sz w:val="22"/>
              </w:rPr>
              <w:t xml:space="preserve"> laikā, kad attiecīgie nokavētie nodokļu maksājumi ir izveidojušies (turpmāk — valdes loceklis), ja tiek izpildīti visi turpmāk minētie kritēriji:</w:t>
            </w:r>
          </w:p>
        </w:tc>
        <w:tc>
          <w:tcPr>
            <w:tcW w:w="3969" w:type="dxa"/>
            <w:shd w:val="clear" w:color="auto" w:fill="auto"/>
          </w:tcPr>
          <w:p w:rsidR="00CF6AE2" w:rsidRPr="00903609" w:rsidRDefault="00CF6AE2" w:rsidP="00903609">
            <w:pPr>
              <w:ind w:firstLine="567"/>
              <w:jc w:val="both"/>
              <w:rPr>
                <w:rFonts w:eastAsia="Times New Roman"/>
                <w:iCs/>
                <w:color w:val="000000"/>
                <w:sz w:val="22"/>
                <w:lang w:eastAsia="lv-LV"/>
              </w:rPr>
            </w:pPr>
            <w:r w:rsidRPr="00903609">
              <w:rPr>
                <w:rFonts w:eastAsia="Times New Roman"/>
                <w:iCs/>
                <w:color w:val="000000"/>
                <w:sz w:val="22"/>
                <w:lang w:eastAsia="lv-LV"/>
              </w:rPr>
              <w:t>2.  60. pantā:</w:t>
            </w:r>
          </w:p>
          <w:p w:rsidR="00CF6AE2" w:rsidRPr="005E54AA" w:rsidRDefault="00CF6AE2" w:rsidP="00903609">
            <w:pPr>
              <w:ind w:firstLine="567"/>
              <w:jc w:val="both"/>
              <w:rPr>
                <w:rFonts w:eastAsia="Times New Roman"/>
                <w:iCs/>
                <w:color w:val="000000"/>
                <w:sz w:val="22"/>
                <w:lang w:eastAsia="lv-LV"/>
              </w:rPr>
            </w:pPr>
            <w:r w:rsidRPr="00903609">
              <w:rPr>
                <w:rFonts w:eastAsia="Times New Roman"/>
                <w:iCs/>
                <w:color w:val="000000"/>
                <w:sz w:val="22"/>
                <w:lang w:eastAsia="lv-LV"/>
              </w:rPr>
              <w:t>papildināt pirmās daļas ievaddaļu pēc vārdiem "personas valdes loceklis" ar vārdiem "vai kura faktiski īsteno valdes funkcijas un uzdevumus";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Pr="001846DF" w:rsidRDefault="00CF6AE2" w:rsidP="006F0AD7">
            <w:pPr>
              <w:ind w:firstLine="567"/>
              <w:jc w:val="both"/>
              <w:rPr>
                <w:sz w:val="22"/>
              </w:rPr>
            </w:pPr>
            <w:r w:rsidRPr="005D5F22">
              <w:rPr>
                <w:sz w:val="22"/>
              </w:rPr>
              <w:t xml:space="preserve">3) ir konstatēts, ka pēc nokavēto nodokļu maksājumu izveidošanās juridiskā persona ir atsavinājusi aktīvus tādai personai, kura attiecībā pret valdes locekli atbilst ieinteresētās personas </w:t>
            </w:r>
            <w:r w:rsidRPr="005D5F22">
              <w:rPr>
                <w:sz w:val="22"/>
              </w:rPr>
              <w:lastRenderedPageBreak/>
              <w:t>jēdzienam Maksātnespējas likuma izpratnē;</w:t>
            </w:r>
          </w:p>
        </w:tc>
        <w:tc>
          <w:tcPr>
            <w:tcW w:w="3969" w:type="dxa"/>
            <w:shd w:val="clear" w:color="auto" w:fill="auto"/>
          </w:tcPr>
          <w:p w:rsidR="00CF6AE2" w:rsidRPr="00903609" w:rsidRDefault="00CF6AE2" w:rsidP="00903609">
            <w:pPr>
              <w:ind w:firstLine="567"/>
              <w:jc w:val="both"/>
              <w:rPr>
                <w:rFonts w:eastAsia="Times New Roman"/>
                <w:iCs/>
                <w:color w:val="000000"/>
                <w:sz w:val="22"/>
                <w:lang w:eastAsia="lv-LV"/>
              </w:rPr>
            </w:pPr>
            <w:r w:rsidRPr="00903609">
              <w:rPr>
                <w:rFonts w:eastAsia="Times New Roman"/>
                <w:iCs/>
                <w:color w:val="000000"/>
                <w:sz w:val="22"/>
                <w:lang w:eastAsia="lv-LV"/>
              </w:rPr>
              <w:lastRenderedPageBreak/>
              <w:t>izteikt pirmās daļas 3. punktu šādā redakcijā:</w:t>
            </w:r>
          </w:p>
          <w:p w:rsidR="00CF6AE2" w:rsidRPr="004F2938" w:rsidRDefault="00CF6AE2" w:rsidP="00903609">
            <w:pPr>
              <w:ind w:firstLine="567"/>
              <w:jc w:val="both"/>
              <w:rPr>
                <w:rFonts w:eastAsia="Times New Roman"/>
                <w:iCs/>
                <w:color w:val="000000"/>
                <w:sz w:val="22"/>
                <w:lang w:eastAsia="lv-LV"/>
              </w:rPr>
            </w:pPr>
            <w:r w:rsidRPr="00903609">
              <w:rPr>
                <w:rFonts w:eastAsia="Times New Roman"/>
                <w:iCs/>
                <w:color w:val="000000"/>
                <w:sz w:val="22"/>
                <w:lang w:eastAsia="lv-LV"/>
              </w:rPr>
              <w:t xml:space="preserve">"3) ir konstatēts, ka pēc tam, kad pieņemts lēmums par nodokļu revīzijas (audita) veikšanu, nosūtīts paziņojums par datu atbilstības pārbaudes laikā </w:t>
            </w:r>
            <w:r w:rsidRPr="00903609">
              <w:rPr>
                <w:rFonts w:eastAsia="Times New Roman"/>
                <w:iCs/>
                <w:color w:val="000000"/>
                <w:sz w:val="22"/>
                <w:lang w:eastAsia="lv-LV"/>
              </w:rPr>
              <w:lastRenderedPageBreak/>
              <w:t>konstatētajām konkrētajām neatbilstībām starp nodokļu maksātāja iesniegto informāciju un nodokļu administrācijas rīcībā esošo informāciju, noformēts tematiskās pārbaudes akts, ja tematiskās pārbaudes laikā konstatēti būtiski pārkāpumi, kas liecina par izvairīšanos no nodokļu nomaksas, kā arī pēc nokavēto nodokļu maksājumu izveidošanās juridiskā persona ir atsavinājusi sev piederošos aktīvus un valdes locekļa darbības vai bezdarbības rezultātā pilnā apmērā nav veikti juridiskās personas nokavētie nodokļu maksājumi likumā noteiktajos termiņos;".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Default="00CF6AE2" w:rsidP="00B6215C">
            <w:pPr>
              <w:ind w:firstLine="567"/>
              <w:jc w:val="both"/>
              <w:rPr>
                <w:b/>
                <w:bCs/>
                <w:sz w:val="22"/>
              </w:rPr>
            </w:pPr>
            <w:r w:rsidRPr="00024868">
              <w:rPr>
                <w:b/>
                <w:bCs/>
                <w:sz w:val="22"/>
              </w:rPr>
              <w:t>61.</w:t>
            </w:r>
            <w:r>
              <w:rPr>
                <w:b/>
                <w:bCs/>
                <w:sz w:val="22"/>
              </w:rPr>
              <w:t xml:space="preserve"> </w:t>
            </w:r>
            <w:r w:rsidRPr="00024868">
              <w:rPr>
                <w:b/>
                <w:bCs/>
                <w:sz w:val="22"/>
              </w:rPr>
              <w:t>pants. Lēmums par nokavēto nodokļu maksājumu atlīdzināšanu</w:t>
            </w:r>
          </w:p>
          <w:p w:rsidR="00CF6AE2" w:rsidRDefault="00CF6AE2" w:rsidP="00B6215C">
            <w:pPr>
              <w:ind w:firstLine="567"/>
              <w:jc w:val="both"/>
              <w:rPr>
                <w:sz w:val="22"/>
              </w:rPr>
            </w:pPr>
            <w:r w:rsidRPr="00581468">
              <w:rPr>
                <w:sz w:val="22"/>
              </w:rPr>
              <w:t xml:space="preserve">(3) Ja pastāv objektīvi iemesli maksātnespējas procesa pieteikuma neiesniegšanai tiesā, kā arī pierādījumi tam, ka pēc nokavēto nodokļu maksājumu izveidošanās juridiskās personas aktīvu </w:t>
            </w:r>
            <w:r w:rsidRPr="00540A8F">
              <w:rPr>
                <w:sz w:val="22"/>
              </w:rPr>
              <w:t>atsavināšana personai, kas attiecībā pret valdes locekli atzīstama par ieinteresēto personu Maksātnespējas likuma izpratnē, atbilst ekonomiskajai būtībai, vai</w:t>
            </w:r>
            <w:r w:rsidRPr="00581468">
              <w:rPr>
                <w:sz w:val="22"/>
              </w:rPr>
              <w:t xml:space="preserve"> ir pierādījumi, kas apliecina, ka valdes loceklis nav atbildīgs par juridiskās personas nokavēto nodokļu maksājumu izveidošanos un juridiskās personas aktīvu atsavināšanu (valdes locekļu pienākumu sadalījums, attaisnojoši iemesli u.tml.), valdes loceklis viena mēneša laikā pēc šā panta pirmajā daļā minētā brīdinājuma saņemšanas dienas informē Valsts ieņēmumu dienestu, iesniedzot par periodu no dienas, kad nokavēto nodokļu maksājumu summa pārsniedz 50 Latvijas </w:t>
            </w:r>
            <w:r w:rsidRPr="00581468">
              <w:rPr>
                <w:sz w:val="22"/>
              </w:rPr>
              <w:lastRenderedPageBreak/>
              <w:t>Republikā noteikto minimālo mēnešalgu kopsummu, līdz akta par piedziņas neiespējamību sastādīšanas dienai, bet ne vairāk kā par viena gada periodu šādus dokumentus:</w:t>
            </w:r>
          </w:p>
          <w:p w:rsidR="00CF6AE2" w:rsidRDefault="00CF6AE2" w:rsidP="00B6215C">
            <w:pPr>
              <w:ind w:firstLine="567"/>
              <w:jc w:val="both"/>
              <w:rPr>
                <w:sz w:val="22"/>
              </w:rPr>
            </w:pPr>
          </w:p>
          <w:p w:rsidR="00CF6AE2" w:rsidRPr="00581468" w:rsidRDefault="00CF6AE2" w:rsidP="00F10367">
            <w:pPr>
              <w:ind w:firstLine="567"/>
              <w:jc w:val="both"/>
              <w:rPr>
                <w:sz w:val="22"/>
              </w:rPr>
            </w:pPr>
            <w:r w:rsidRPr="00581468">
              <w:rPr>
                <w:sz w:val="22"/>
              </w:rPr>
              <w:t xml:space="preserve">4) paskaidrojumu, kuram pievienoti pierādījumi, ka juridiskās personas aktīvu atsavināšana </w:t>
            </w:r>
            <w:r w:rsidRPr="00540A8F">
              <w:rPr>
                <w:sz w:val="22"/>
              </w:rPr>
              <w:t>personai, kas attiecībā pret valdes locekli atzīstama par ieinteresēto personu Maksātnespējas likuma izpratnē, atbilst ekonomiskajai būtībai;</w:t>
            </w:r>
          </w:p>
        </w:tc>
        <w:tc>
          <w:tcPr>
            <w:tcW w:w="3969" w:type="dxa"/>
            <w:shd w:val="clear" w:color="auto" w:fill="auto"/>
          </w:tcPr>
          <w:p w:rsidR="00CF6AE2" w:rsidRDefault="00CF6AE2" w:rsidP="00EC158C">
            <w:pPr>
              <w:ind w:firstLine="567"/>
              <w:jc w:val="both"/>
              <w:rPr>
                <w:rFonts w:eastAsia="Times New Roman"/>
                <w:iCs/>
                <w:color w:val="000000"/>
                <w:sz w:val="22"/>
                <w:lang w:eastAsia="lv-LV"/>
              </w:rPr>
            </w:pPr>
            <w:r w:rsidRPr="00EA0C03">
              <w:rPr>
                <w:rFonts w:eastAsia="Times New Roman"/>
                <w:iCs/>
                <w:color w:val="000000"/>
                <w:sz w:val="22"/>
                <w:lang w:eastAsia="lv-LV"/>
              </w:rPr>
              <w:lastRenderedPageBreak/>
              <w:t>3.  Izslēgt 61. panta trešās daļas ievaddaļā un 4. punktā vārdus "personai, kas attiecībā pret valdes locekli atzīstama par ieinteresēto personu Maksātnespējas likuma izpratnē".</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812283">
        <w:tc>
          <w:tcPr>
            <w:tcW w:w="3964" w:type="dxa"/>
            <w:shd w:val="clear" w:color="auto" w:fill="auto"/>
          </w:tcPr>
          <w:p w:rsidR="00F10367" w:rsidRPr="00024868" w:rsidRDefault="00F10367" w:rsidP="00B6215C">
            <w:pPr>
              <w:ind w:firstLine="567"/>
              <w:jc w:val="both"/>
              <w:rPr>
                <w:b/>
                <w:bCs/>
                <w:sz w:val="22"/>
              </w:rPr>
            </w:pPr>
            <w:r>
              <w:rPr>
                <w:b/>
                <w:bCs/>
                <w:sz w:val="22"/>
              </w:rPr>
              <w:t>Pārejas noteikumi</w:t>
            </w:r>
          </w:p>
        </w:tc>
        <w:tc>
          <w:tcPr>
            <w:tcW w:w="3969" w:type="dxa"/>
            <w:shd w:val="clear" w:color="auto" w:fill="auto"/>
          </w:tcPr>
          <w:p w:rsidR="00F10367" w:rsidRPr="00EA0C03" w:rsidRDefault="00F10367" w:rsidP="00EC158C">
            <w:pPr>
              <w:ind w:firstLine="567"/>
              <w:jc w:val="both"/>
              <w:rPr>
                <w:rFonts w:eastAsia="Times New Roman"/>
                <w:iCs/>
                <w:color w:val="000000"/>
                <w:sz w:val="22"/>
                <w:lang w:eastAsia="lv-LV"/>
              </w:rPr>
            </w:pPr>
          </w:p>
        </w:tc>
        <w:tc>
          <w:tcPr>
            <w:tcW w:w="581" w:type="dxa"/>
          </w:tcPr>
          <w:p w:rsidR="00F10367" w:rsidRPr="00A43531" w:rsidRDefault="00A43531" w:rsidP="00A43531">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F10367" w:rsidRDefault="00F1036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F10367" w:rsidRPr="00F10367" w:rsidRDefault="00F10367" w:rsidP="00F10367">
            <w:pPr>
              <w:ind w:firstLine="567"/>
              <w:jc w:val="both"/>
              <w:rPr>
                <w:rFonts w:eastAsia="Times New Roman"/>
                <w:iCs/>
                <w:color w:val="000000"/>
                <w:sz w:val="22"/>
                <w:lang w:eastAsia="lv-LV"/>
              </w:rPr>
            </w:pPr>
            <w:r w:rsidRPr="00F10367">
              <w:rPr>
                <w:rFonts w:eastAsia="Times New Roman"/>
                <w:iCs/>
                <w:color w:val="000000"/>
                <w:sz w:val="22"/>
                <w:lang w:eastAsia="lv-LV"/>
              </w:rPr>
              <w:t>Papildināt pārejas noteikumus ar jaunu punktu šādā redakcijā:</w:t>
            </w:r>
          </w:p>
          <w:p w:rsidR="00F10367" w:rsidRPr="00F10367" w:rsidRDefault="00F10367" w:rsidP="00F10367">
            <w:pPr>
              <w:ind w:firstLine="567"/>
              <w:jc w:val="both"/>
              <w:rPr>
                <w:rFonts w:eastAsia="Times New Roman"/>
                <w:iCs/>
                <w:color w:val="000000"/>
                <w:sz w:val="22"/>
                <w:lang w:eastAsia="lv-LV"/>
              </w:rPr>
            </w:pPr>
            <w:r w:rsidRPr="00F10367">
              <w:rPr>
                <w:rFonts w:eastAsia="Times New Roman"/>
                <w:iCs/>
                <w:color w:val="000000"/>
                <w:sz w:val="22"/>
                <w:lang w:eastAsia="lv-LV"/>
              </w:rPr>
              <w:t>“Uzdot Ministru Kabinetam līdz 2020.gada 31.maijam nodrošināt papildus 18 “Autoceļu lietošanas nodevas likuma” 8.panta ceturtajā daļā minētos tehniskos līdzekļus autoceļu lietošanas nodevas samaksas kontrolei.”</w:t>
            </w: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812283">
        <w:tc>
          <w:tcPr>
            <w:tcW w:w="3964" w:type="dxa"/>
            <w:shd w:val="clear" w:color="auto" w:fill="auto"/>
          </w:tcPr>
          <w:p w:rsidR="00CF6AE2" w:rsidRDefault="00CF6AE2" w:rsidP="00B6215C">
            <w:pPr>
              <w:ind w:firstLine="567"/>
              <w:jc w:val="both"/>
              <w:rPr>
                <w:b/>
                <w:sz w:val="22"/>
              </w:rPr>
            </w:pPr>
          </w:p>
        </w:tc>
        <w:tc>
          <w:tcPr>
            <w:tcW w:w="3969" w:type="dxa"/>
            <w:shd w:val="clear" w:color="auto" w:fill="auto"/>
          </w:tcPr>
          <w:p w:rsidR="00CF6AE2" w:rsidRDefault="00CF6AE2" w:rsidP="00EC158C">
            <w:pPr>
              <w:ind w:firstLine="567"/>
              <w:jc w:val="both"/>
              <w:rPr>
                <w:rFonts w:eastAsia="Times New Roman"/>
                <w:iCs/>
                <w:color w:val="000000"/>
                <w:sz w:val="22"/>
                <w:lang w:eastAsia="lv-LV"/>
              </w:rPr>
            </w:pPr>
            <w:r w:rsidRPr="00EA0C03">
              <w:rPr>
                <w:rFonts w:eastAsia="Times New Roman"/>
                <w:iCs/>
                <w:color w:val="000000"/>
                <w:sz w:val="22"/>
                <w:lang w:eastAsia="lv-LV"/>
              </w:rPr>
              <w:t>Likums stājas spēkā 2020. gada 1. janvārī.</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720C1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C19">
      <w:rPr>
        <w:rStyle w:val="PageNumber"/>
        <w:noProof/>
      </w:rPr>
      <w:t>2</w:t>
    </w:r>
    <w:r>
      <w:rPr>
        <w:rStyle w:val="PageNumber"/>
      </w:rPr>
      <w:fldChar w:fldCharType="end"/>
    </w:r>
  </w:p>
  <w:p w:rsidR="00511D34" w:rsidRDefault="00720C19"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6CB8"/>
    <w:rsid w:val="00052EAB"/>
    <w:rsid w:val="000717D3"/>
    <w:rsid w:val="00074B12"/>
    <w:rsid w:val="000767B2"/>
    <w:rsid w:val="000816DA"/>
    <w:rsid w:val="000E159B"/>
    <w:rsid w:val="000E2107"/>
    <w:rsid w:val="000E4D0C"/>
    <w:rsid w:val="000F155D"/>
    <w:rsid w:val="001161F6"/>
    <w:rsid w:val="001248AC"/>
    <w:rsid w:val="001268F5"/>
    <w:rsid w:val="00132BC5"/>
    <w:rsid w:val="00146A84"/>
    <w:rsid w:val="00160883"/>
    <w:rsid w:val="0016168C"/>
    <w:rsid w:val="00161D6D"/>
    <w:rsid w:val="001636B2"/>
    <w:rsid w:val="0016468E"/>
    <w:rsid w:val="001846DF"/>
    <w:rsid w:val="001A1803"/>
    <w:rsid w:val="001A7561"/>
    <w:rsid w:val="001B359D"/>
    <w:rsid w:val="001B4987"/>
    <w:rsid w:val="001C0569"/>
    <w:rsid w:val="001D7290"/>
    <w:rsid w:val="001E7B89"/>
    <w:rsid w:val="001F548E"/>
    <w:rsid w:val="001F5D02"/>
    <w:rsid w:val="0021151F"/>
    <w:rsid w:val="00214FE5"/>
    <w:rsid w:val="0022488C"/>
    <w:rsid w:val="00233759"/>
    <w:rsid w:val="00254016"/>
    <w:rsid w:val="0029588D"/>
    <w:rsid w:val="002B16C4"/>
    <w:rsid w:val="002C5F5C"/>
    <w:rsid w:val="002C76C3"/>
    <w:rsid w:val="002D05FD"/>
    <w:rsid w:val="002D0C5F"/>
    <w:rsid w:val="002E24FD"/>
    <w:rsid w:val="00303D58"/>
    <w:rsid w:val="0033023E"/>
    <w:rsid w:val="003446BF"/>
    <w:rsid w:val="00351037"/>
    <w:rsid w:val="00356D43"/>
    <w:rsid w:val="0036461C"/>
    <w:rsid w:val="00375203"/>
    <w:rsid w:val="00376964"/>
    <w:rsid w:val="00382399"/>
    <w:rsid w:val="00386D2A"/>
    <w:rsid w:val="003A0935"/>
    <w:rsid w:val="003A34B5"/>
    <w:rsid w:val="003A5EFA"/>
    <w:rsid w:val="003B4F80"/>
    <w:rsid w:val="003D4D14"/>
    <w:rsid w:val="003F13E9"/>
    <w:rsid w:val="003F255F"/>
    <w:rsid w:val="003F30F6"/>
    <w:rsid w:val="00400CE7"/>
    <w:rsid w:val="00401C7C"/>
    <w:rsid w:val="00405A5F"/>
    <w:rsid w:val="00415A04"/>
    <w:rsid w:val="004433B5"/>
    <w:rsid w:val="00457779"/>
    <w:rsid w:val="00457CB6"/>
    <w:rsid w:val="00465888"/>
    <w:rsid w:val="004659C5"/>
    <w:rsid w:val="004677A4"/>
    <w:rsid w:val="00467954"/>
    <w:rsid w:val="0048560A"/>
    <w:rsid w:val="00486D88"/>
    <w:rsid w:val="00497098"/>
    <w:rsid w:val="00497A0D"/>
    <w:rsid w:val="004B0D54"/>
    <w:rsid w:val="004C06D8"/>
    <w:rsid w:val="004C733D"/>
    <w:rsid w:val="004E5491"/>
    <w:rsid w:val="004F2938"/>
    <w:rsid w:val="0050497D"/>
    <w:rsid w:val="00504A68"/>
    <w:rsid w:val="00520099"/>
    <w:rsid w:val="00540A8F"/>
    <w:rsid w:val="00546502"/>
    <w:rsid w:val="00552EA4"/>
    <w:rsid w:val="00572523"/>
    <w:rsid w:val="00576E16"/>
    <w:rsid w:val="00581468"/>
    <w:rsid w:val="00591DDB"/>
    <w:rsid w:val="005B4453"/>
    <w:rsid w:val="005D37BB"/>
    <w:rsid w:val="005D5F22"/>
    <w:rsid w:val="005E54AA"/>
    <w:rsid w:val="00604032"/>
    <w:rsid w:val="00606DBE"/>
    <w:rsid w:val="0061617B"/>
    <w:rsid w:val="00626465"/>
    <w:rsid w:val="00632DD9"/>
    <w:rsid w:val="00634835"/>
    <w:rsid w:val="00640F9F"/>
    <w:rsid w:val="00653AA9"/>
    <w:rsid w:val="00681536"/>
    <w:rsid w:val="00687F46"/>
    <w:rsid w:val="006D0779"/>
    <w:rsid w:val="006E0266"/>
    <w:rsid w:val="006F0AD7"/>
    <w:rsid w:val="007044D0"/>
    <w:rsid w:val="00717019"/>
    <w:rsid w:val="00720B41"/>
    <w:rsid w:val="00720C19"/>
    <w:rsid w:val="007452AD"/>
    <w:rsid w:val="00746C61"/>
    <w:rsid w:val="007674E4"/>
    <w:rsid w:val="00770F0C"/>
    <w:rsid w:val="00772DD6"/>
    <w:rsid w:val="00777B71"/>
    <w:rsid w:val="007A3FFC"/>
    <w:rsid w:val="007A59BC"/>
    <w:rsid w:val="007A699D"/>
    <w:rsid w:val="007B5EE8"/>
    <w:rsid w:val="007E2C08"/>
    <w:rsid w:val="00812283"/>
    <w:rsid w:val="0084288E"/>
    <w:rsid w:val="00846895"/>
    <w:rsid w:val="0087454D"/>
    <w:rsid w:val="00876AD8"/>
    <w:rsid w:val="00882A6C"/>
    <w:rsid w:val="00883733"/>
    <w:rsid w:val="00883897"/>
    <w:rsid w:val="00884683"/>
    <w:rsid w:val="008A07E8"/>
    <w:rsid w:val="008A2A30"/>
    <w:rsid w:val="008A5221"/>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729D"/>
    <w:rsid w:val="009C281E"/>
    <w:rsid w:val="009D05D2"/>
    <w:rsid w:val="009D7372"/>
    <w:rsid w:val="00A00B52"/>
    <w:rsid w:val="00A11B18"/>
    <w:rsid w:val="00A169B5"/>
    <w:rsid w:val="00A400CF"/>
    <w:rsid w:val="00A43531"/>
    <w:rsid w:val="00AA1600"/>
    <w:rsid w:val="00AA7863"/>
    <w:rsid w:val="00AB03BC"/>
    <w:rsid w:val="00AB1FE4"/>
    <w:rsid w:val="00AB5FE9"/>
    <w:rsid w:val="00AE10D0"/>
    <w:rsid w:val="00B05D70"/>
    <w:rsid w:val="00B12903"/>
    <w:rsid w:val="00B33F56"/>
    <w:rsid w:val="00B36DAB"/>
    <w:rsid w:val="00B6215C"/>
    <w:rsid w:val="00B6582A"/>
    <w:rsid w:val="00B712D1"/>
    <w:rsid w:val="00B7430C"/>
    <w:rsid w:val="00B74AE3"/>
    <w:rsid w:val="00B800F7"/>
    <w:rsid w:val="00B81B3E"/>
    <w:rsid w:val="00B86BB3"/>
    <w:rsid w:val="00BC3C78"/>
    <w:rsid w:val="00BC5607"/>
    <w:rsid w:val="00BC6DFF"/>
    <w:rsid w:val="00BE4D1F"/>
    <w:rsid w:val="00BF1E57"/>
    <w:rsid w:val="00C127F1"/>
    <w:rsid w:val="00C17839"/>
    <w:rsid w:val="00C316E1"/>
    <w:rsid w:val="00C34CF9"/>
    <w:rsid w:val="00C44ADF"/>
    <w:rsid w:val="00C55326"/>
    <w:rsid w:val="00C757AA"/>
    <w:rsid w:val="00C75A1E"/>
    <w:rsid w:val="00C825DA"/>
    <w:rsid w:val="00CA4D55"/>
    <w:rsid w:val="00CB5CE2"/>
    <w:rsid w:val="00CC37E9"/>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C2434"/>
    <w:rsid w:val="00DD7FEF"/>
    <w:rsid w:val="00DE4D1D"/>
    <w:rsid w:val="00E0312B"/>
    <w:rsid w:val="00E12F7F"/>
    <w:rsid w:val="00E30D2D"/>
    <w:rsid w:val="00E31A90"/>
    <w:rsid w:val="00E708DF"/>
    <w:rsid w:val="00E71869"/>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styleId="BalloonText">
    <w:name w:val="Balloon Text"/>
    <w:basedOn w:val="Normal"/>
    <w:link w:val="BalloonTextChar"/>
    <w:uiPriority w:val="99"/>
    <w:semiHidden/>
    <w:unhideWhenUsed/>
    <w:rsid w:val="0072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3905</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2019-11-02T10:56:00Z</cp:lastPrinted>
  <dcterms:created xsi:type="dcterms:W3CDTF">2019-11-02T10:57:00Z</dcterms:created>
  <dcterms:modified xsi:type="dcterms:W3CDTF">2019-11-02T10:57:00Z</dcterms:modified>
</cp:coreProperties>
</file>