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EAD" w:rsidRPr="00381F40" w:rsidRDefault="00C51EAD" w:rsidP="00C51EAD">
      <w:pPr>
        <w:rPr>
          <w:b/>
          <w:i/>
          <w:noProof/>
          <w:sz w:val="22"/>
          <w:lang w:val="en-GB"/>
        </w:rPr>
      </w:pPr>
      <w:r w:rsidRPr="00381F40">
        <w:rPr>
          <w:noProof/>
          <w:sz w:val="26"/>
          <w:szCs w:val="26"/>
          <w:lang w:val="en-GB"/>
        </w:rPr>
        <w:t xml:space="preserve">Budžeta un finanšu (nodokļu) komisija </w:t>
      </w:r>
    </w:p>
    <w:p w:rsidR="00C51EAD" w:rsidRPr="00381F40" w:rsidRDefault="00C51EAD" w:rsidP="00C51EAD">
      <w:pPr>
        <w:pStyle w:val="Title"/>
        <w:jc w:val="right"/>
        <w:rPr>
          <w:b w:val="0"/>
          <w:sz w:val="26"/>
          <w:szCs w:val="26"/>
        </w:rPr>
      </w:pPr>
      <w:r w:rsidRPr="00381F40">
        <w:rPr>
          <w:b w:val="0"/>
          <w:sz w:val="26"/>
          <w:szCs w:val="26"/>
        </w:rPr>
        <w:t xml:space="preserve">Likumprojekts </w:t>
      </w:r>
      <w:proofErr w:type="gramStart"/>
      <w:r w:rsidRPr="00381F40">
        <w:rPr>
          <w:b w:val="0"/>
          <w:sz w:val="26"/>
          <w:szCs w:val="26"/>
        </w:rPr>
        <w:t>(steidzams) otrajam lasījumam</w:t>
      </w:r>
      <w:proofErr w:type="gramEnd"/>
    </w:p>
    <w:p w:rsidR="00C51EAD" w:rsidRPr="00381F40" w:rsidRDefault="00C51EAD" w:rsidP="00C51EAD">
      <w:pPr>
        <w:jc w:val="center"/>
        <w:rPr>
          <w:rStyle w:val="Emphasis"/>
          <w:b/>
          <w:i w:val="0"/>
          <w:noProof/>
          <w:sz w:val="28"/>
          <w:szCs w:val="28"/>
          <w:lang w:val="en-GB"/>
        </w:rPr>
      </w:pPr>
    </w:p>
    <w:p w:rsidR="00C51EAD" w:rsidRPr="00381F40" w:rsidRDefault="00C51EAD" w:rsidP="00C51EAD">
      <w:pPr>
        <w:jc w:val="center"/>
        <w:rPr>
          <w:b/>
          <w:sz w:val="28"/>
          <w:szCs w:val="28"/>
        </w:rPr>
      </w:pPr>
      <w:r w:rsidRPr="00381F40">
        <w:rPr>
          <w:b/>
          <w:sz w:val="28"/>
          <w:szCs w:val="28"/>
        </w:rPr>
        <w:t>Grozījumi Uzturlīdzekļu garantiju fonda likumā</w:t>
      </w:r>
    </w:p>
    <w:p w:rsidR="00C51EAD" w:rsidRPr="00381F40" w:rsidRDefault="00C51EAD" w:rsidP="00C51EAD">
      <w:pPr>
        <w:jc w:val="center"/>
        <w:rPr>
          <w:rStyle w:val="Emphasis"/>
          <w:b/>
          <w:noProof/>
          <w:sz w:val="28"/>
          <w:szCs w:val="28"/>
          <w:lang w:val="en-GB"/>
        </w:rPr>
      </w:pPr>
      <w:r w:rsidRPr="00381F40">
        <w:rPr>
          <w:rStyle w:val="Emphasis"/>
          <w:b/>
          <w:noProof/>
          <w:sz w:val="28"/>
          <w:szCs w:val="28"/>
          <w:lang w:val="en-GB"/>
        </w:rPr>
        <w:t xml:space="preserve"> (Nr. 439/Lp13) </w:t>
      </w:r>
    </w:p>
    <w:p w:rsidR="00C51EAD" w:rsidRPr="00381F40" w:rsidRDefault="00C51EAD" w:rsidP="00C51EAD">
      <w:pPr>
        <w:jc w:val="center"/>
        <w:rPr>
          <w:rStyle w:val="Emphasis"/>
          <w:b/>
          <w:noProof/>
          <w:sz w:val="26"/>
          <w:szCs w:val="26"/>
          <w:lang w:val="en-GB"/>
        </w:rPr>
      </w:pPr>
    </w:p>
    <w:tbl>
      <w:tblPr>
        <w:tblW w:w="1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3798"/>
        <w:gridCol w:w="567"/>
        <w:gridCol w:w="3798"/>
        <w:gridCol w:w="1417"/>
        <w:gridCol w:w="1417"/>
      </w:tblGrid>
      <w:tr w:rsidR="00381F40" w:rsidRPr="00381F40" w:rsidTr="00C51EAD">
        <w:tc>
          <w:tcPr>
            <w:tcW w:w="3798" w:type="dxa"/>
            <w:shd w:val="clear" w:color="auto" w:fill="auto"/>
            <w:vAlign w:val="center"/>
          </w:tcPr>
          <w:p w:rsidR="00C51EAD" w:rsidRPr="00381F40" w:rsidRDefault="00C51EAD" w:rsidP="00C51EAD">
            <w:pPr>
              <w:jc w:val="center"/>
              <w:rPr>
                <w:b/>
                <w:bCs/>
                <w:iCs/>
                <w:noProof/>
                <w:lang w:val="en-GB"/>
              </w:rPr>
            </w:pPr>
            <w:r w:rsidRPr="00381F40">
              <w:rPr>
                <w:b/>
                <w:noProof/>
                <w:lang w:val="en-GB"/>
              </w:rPr>
              <w:t>Spēkā esošā redakcija</w:t>
            </w:r>
          </w:p>
        </w:tc>
        <w:tc>
          <w:tcPr>
            <w:tcW w:w="3798" w:type="dxa"/>
            <w:shd w:val="clear" w:color="auto" w:fill="auto"/>
            <w:vAlign w:val="center"/>
          </w:tcPr>
          <w:p w:rsidR="00C51EAD" w:rsidRPr="00381F40" w:rsidRDefault="00C51EAD" w:rsidP="00C51EAD">
            <w:pPr>
              <w:jc w:val="center"/>
              <w:rPr>
                <w:b/>
                <w:noProof/>
                <w:lang w:val="en-GB"/>
              </w:rPr>
            </w:pPr>
            <w:r w:rsidRPr="00381F40">
              <w:rPr>
                <w:b/>
              </w:rPr>
              <w:t>Pirmā lasījuma redakcija</w:t>
            </w:r>
          </w:p>
        </w:tc>
        <w:tc>
          <w:tcPr>
            <w:tcW w:w="567" w:type="dxa"/>
            <w:vAlign w:val="center"/>
          </w:tcPr>
          <w:p w:rsidR="00C51EAD" w:rsidRPr="00381F40" w:rsidRDefault="00C51EAD" w:rsidP="003C4C25">
            <w:pPr>
              <w:jc w:val="center"/>
              <w:rPr>
                <w:b/>
                <w:noProof/>
                <w:sz w:val="22"/>
                <w:lang w:val="en-GB"/>
              </w:rPr>
            </w:pPr>
            <w:r w:rsidRPr="00381F40">
              <w:rPr>
                <w:b/>
                <w:noProof/>
                <w:sz w:val="22"/>
                <w:lang w:val="en-GB"/>
              </w:rPr>
              <w:t>Nr.</w:t>
            </w:r>
          </w:p>
        </w:tc>
        <w:tc>
          <w:tcPr>
            <w:tcW w:w="3798" w:type="dxa"/>
            <w:vAlign w:val="center"/>
          </w:tcPr>
          <w:p w:rsidR="00C51EAD" w:rsidRPr="00381F40" w:rsidRDefault="00C51EAD" w:rsidP="00C51EAD">
            <w:pPr>
              <w:jc w:val="center"/>
              <w:rPr>
                <w:b/>
              </w:rPr>
            </w:pPr>
            <w:r w:rsidRPr="00381F40">
              <w:rPr>
                <w:b/>
              </w:rPr>
              <w:t>Priekšlikumi</w:t>
            </w:r>
          </w:p>
          <w:p w:rsidR="00C51EAD" w:rsidRPr="00381F40" w:rsidRDefault="00C51EAD" w:rsidP="0073365F">
            <w:pPr>
              <w:jc w:val="center"/>
              <w:rPr>
                <w:b/>
                <w:noProof/>
                <w:lang w:val="en-GB"/>
              </w:rPr>
            </w:pPr>
            <w:r w:rsidRPr="00381F40">
              <w:rPr>
                <w:b/>
              </w:rPr>
              <w:t>(</w:t>
            </w:r>
            <w:r w:rsidR="0073365F" w:rsidRPr="00381F40">
              <w:rPr>
                <w:b/>
              </w:rPr>
              <w:t>5</w:t>
            </w:r>
            <w:r w:rsidRPr="00381F40">
              <w:rPr>
                <w:b/>
              </w:rPr>
              <w:t>)</w:t>
            </w:r>
          </w:p>
        </w:tc>
        <w:tc>
          <w:tcPr>
            <w:tcW w:w="1417" w:type="dxa"/>
            <w:vAlign w:val="center"/>
          </w:tcPr>
          <w:p w:rsidR="00C51EAD" w:rsidRPr="00381F40" w:rsidRDefault="00C51EAD" w:rsidP="00C51EAD">
            <w:pPr>
              <w:jc w:val="center"/>
              <w:rPr>
                <w:b/>
                <w:noProof/>
                <w:lang w:val="en-GB"/>
              </w:rPr>
            </w:pPr>
            <w:r w:rsidRPr="00381F40">
              <w:rPr>
                <w:b/>
                <w:bCs/>
                <w:iCs/>
              </w:rPr>
              <w:t>Ministru kabineta atzinums</w:t>
            </w:r>
          </w:p>
        </w:tc>
        <w:tc>
          <w:tcPr>
            <w:tcW w:w="1417" w:type="dxa"/>
            <w:vAlign w:val="center"/>
          </w:tcPr>
          <w:p w:rsidR="00C51EAD" w:rsidRPr="00381F40" w:rsidRDefault="00C51EAD" w:rsidP="00C51EAD">
            <w:pPr>
              <w:jc w:val="center"/>
              <w:rPr>
                <w:b/>
                <w:noProof/>
                <w:lang w:val="en-GB"/>
              </w:rPr>
            </w:pPr>
            <w:r w:rsidRPr="00381F40">
              <w:rPr>
                <w:b/>
                <w:bCs/>
                <w:iCs/>
              </w:rPr>
              <w:t>Komisijas atzinums</w:t>
            </w:r>
          </w:p>
        </w:tc>
      </w:tr>
      <w:tr w:rsidR="00381F40" w:rsidRPr="00381F40" w:rsidTr="00C51EAD">
        <w:tc>
          <w:tcPr>
            <w:tcW w:w="3798" w:type="dxa"/>
            <w:shd w:val="clear" w:color="auto" w:fill="auto"/>
          </w:tcPr>
          <w:p w:rsidR="00C51EAD" w:rsidRPr="00381F40" w:rsidRDefault="00C51EAD" w:rsidP="00F94FBC">
            <w:pPr>
              <w:ind w:firstLine="567"/>
              <w:jc w:val="both"/>
              <w:rPr>
                <w:b/>
                <w:noProof/>
                <w:sz w:val="22"/>
                <w:lang w:val="en-GB"/>
              </w:rPr>
            </w:pPr>
          </w:p>
        </w:tc>
        <w:tc>
          <w:tcPr>
            <w:tcW w:w="3798" w:type="dxa"/>
            <w:shd w:val="clear" w:color="auto" w:fill="auto"/>
          </w:tcPr>
          <w:p w:rsidR="00C51EAD" w:rsidRPr="00381F40" w:rsidRDefault="00C51EAD" w:rsidP="00F94FBC">
            <w:pPr>
              <w:shd w:val="clear" w:color="auto" w:fill="FFFFFF"/>
              <w:ind w:firstLine="567"/>
              <w:jc w:val="both"/>
              <w:rPr>
                <w:rFonts w:eastAsia="Times New Roman"/>
                <w:sz w:val="22"/>
                <w:lang w:eastAsia="lv-LV"/>
              </w:rPr>
            </w:pPr>
            <w:r w:rsidRPr="00381F40">
              <w:rPr>
                <w:sz w:val="22"/>
              </w:rPr>
              <w:t>Izdarīt Uzturlīdzekļu garantiju fonda likumā (Latvijas Vēstnesis, 2016, 249. nr.; 2017, 242. nr.; 2019, 75. nr.) šādus grozījumus:</w:t>
            </w:r>
          </w:p>
        </w:tc>
        <w:tc>
          <w:tcPr>
            <w:tcW w:w="567" w:type="dxa"/>
          </w:tcPr>
          <w:p w:rsidR="00C51EAD" w:rsidRPr="00381F40" w:rsidRDefault="0073365F" w:rsidP="003C4C25">
            <w:pPr>
              <w:shd w:val="clear" w:color="auto" w:fill="FFFFFF"/>
              <w:jc w:val="center"/>
              <w:rPr>
                <w:b/>
                <w:sz w:val="22"/>
              </w:rPr>
            </w:pPr>
            <w:r w:rsidRPr="00381F40">
              <w:rPr>
                <w:b/>
                <w:sz w:val="22"/>
              </w:rPr>
              <w:t>1</w:t>
            </w:r>
          </w:p>
        </w:tc>
        <w:tc>
          <w:tcPr>
            <w:tcW w:w="3798" w:type="dxa"/>
          </w:tcPr>
          <w:p w:rsidR="00C51EAD" w:rsidRPr="00381F40" w:rsidRDefault="004F4538" w:rsidP="004F4538">
            <w:pPr>
              <w:shd w:val="clear" w:color="auto" w:fill="FFFFFF"/>
              <w:ind w:firstLine="567"/>
              <w:jc w:val="both"/>
              <w:rPr>
                <w:b/>
                <w:sz w:val="22"/>
                <w:u w:val="single"/>
              </w:rPr>
            </w:pPr>
            <w:r w:rsidRPr="00381F40">
              <w:rPr>
                <w:b/>
                <w:sz w:val="22"/>
                <w:u w:val="single"/>
              </w:rPr>
              <w:t>Juridiskais birojs</w:t>
            </w:r>
          </w:p>
          <w:p w:rsidR="004F4538" w:rsidRPr="00381F40" w:rsidRDefault="004F4538" w:rsidP="004F4538">
            <w:pPr>
              <w:ind w:firstLine="567"/>
              <w:jc w:val="both"/>
              <w:rPr>
                <w:i/>
                <w:sz w:val="22"/>
              </w:rPr>
            </w:pPr>
            <w:r w:rsidRPr="00381F40">
              <w:rPr>
                <w:i/>
                <w:sz w:val="22"/>
              </w:rPr>
              <w:t xml:space="preserve">Juridiskais birojs aicina Komisiju, pirms lēmuma par likumprojekta virzīšanu izskatīšanai </w:t>
            </w:r>
            <w:proofErr w:type="gramStart"/>
            <w:r w:rsidRPr="00381F40">
              <w:rPr>
                <w:i/>
                <w:sz w:val="22"/>
              </w:rPr>
              <w:t>Saeimas sēdē otrajā lasījumā budžeta likumprojektu paketē,</w:t>
            </w:r>
            <w:proofErr w:type="gramEnd"/>
            <w:r w:rsidRPr="00381F40">
              <w:rPr>
                <w:i/>
                <w:sz w:val="22"/>
              </w:rPr>
              <w:t xml:space="preserve"> atkārtoti pārliecināties, ka tajā ietvertais regulējums, attieksies uz 2020. gadu un gadījumā, ja komisija nav guvusi pārliecību par likumprojekta atbilstību budžeta paketes likumprojektam, ierosinām to izslēgt no budžeta likumprojektu paketes. </w:t>
            </w:r>
          </w:p>
          <w:p w:rsidR="004F4538" w:rsidRPr="00381F40" w:rsidRDefault="004F4538" w:rsidP="004F4538">
            <w:pPr>
              <w:ind w:firstLine="567"/>
              <w:jc w:val="both"/>
              <w:rPr>
                <w:i/>
                <w:sz w:val="22"/>
              </w:rPr>
            </w:pPr>
            <w:r w:rsidRPr="00381F40">
              <w:rPr>
                <w:i/>
                <w:sz w:val="22"/>
              </w:rPr>
              <w:t xml:space="preserve">Likumdevējam ir tiesības un tai pašā laikā arī pienākums valsts budžeta likumā un to pavadošo likumu paketē iekļaut vienīgi tādus jautājumus, kas attiecas uz konkrēto saimniecisko gadu un ir cieši saistīti ar valsts finanšu līdzekļu izlietojumu </w:t>
            </w:r>
            <w:proofErr w:type="gramStart"/>
            <w:r w:rsidRPr="00381F40">
              <w:rPr>
                <w:i/>
                <w:sz w:val="22"/>
              </w:rPr>
              <w:t>(</w:t>
            </w:r>
            <w:proofErr w:type="gramEnd"/>
            <w:r w:rsidRPr="00381F40">
              <w:rPr>
                <w:i/>
                <w:sz w:val="22"/>
              </w:rPr>
              <w:t>sk. Satversmes tiesas 2011. gada 19. decembra sprieduma lietā Nr. 2011-03-01 18. punktu). Satversmes tiesa ir secinājusi, ka, ņemot vērā īpašo budžeta likumprojektu paketes izskatīšanai noteikto kārtību, Saeimai ir jāizvērtē arī tas, vai visi Ministru kabineta iesniegtie valsts budžeta paketes likumprojekti atbilst Saeimas kārtības ruļļa 87.</w:t>
            </w:r>
            <w:r w:rsidRPr="00381F40">
              <w:rPr>
                <w:i/>
                <w:sz w:val="22"/>
                <w:vertAlign w:val="superscript"/>
              </w:rPr>
              <w:t>1</w:t>
            </w:r>
            <w:r w:rsidRPr="00381F40">
              <w:rPr>
                <w:i/>
                <w:sz w:val="22"/>
              </w:rPr>
              <w:t xml:space="preserve"> pantā norādītajiem kritērijiem. Ja kāds </w:t>
            </w:r>
            <w:r w:rsidRPr="00381F40">
              <w:rPr>
                <w:i/>
                <w:sz w:val="22"/>
              </w:rPr>
              <w:lastRenderedPageBreak/>
              <w:t>likumprojekts šiem kritērijiem neatbilst, Saeimai tas jāizslēdz no likuma “Par valsts budžetu 2020. gada“ projektu pavadošo likumprojektu paketes.</w:t>
            </w:r>
          </w:p>
          <w:p w:rsidR="004F4538" w:rsidRPr="00381F40" w:rsidRDefault="004F4538" w:rsidP="004F4538">
            <w:pPr>
              <w:ind w:firstLine="567"/>
              <w:jc w:val="both"/>
              <w:rPr>
                <w:i/>
                <w:sz w:val="22"/>
              </w:rPr>
            </w:pPr>
            <w:proofErr w:type="gramStart"/>
            <w:r w:rsidRPr="00381F40">
              <w:rPr>
                <w:i/>
                <w:sz w:val="22"/>
              </w:rPr>
              <w:t>Saskaņā ar likumprojekta sākotnējās ietekmes novērtējuma ziņojumu (anotāciju),</w:t>
            </w:r>
            <w:proofErr w:type="gramEnd"/>
            <w:r w:rsidRPr="00381F40">
              <w:rPr>
                <w:i/>
                <w:sz w:val="22"/>
              </w:rPr>
              <w:t xml:space="preserve"> likumprojekts izstrādāts, lai rastu risinājumu, kas līdzsvarotu no Uzturlīdzekļu garantiju fonda (turpmāk – fonds) izmaksājamo uzturlīdzekļu apmēru ar valsts budžeta iespējām, paredzot, ka valsts garantēto uzturlīdzekļu apmērs ar 2020. gada 1. janvāri netiek piesaistīts minimālās algas apmēram. Likumprojektā piedāvāts grozīt likuma 13. pantu, kurā noteikts, ka mēnesī fonds izmaksā uzturlīdzekļus šādā apmērā:</w:t>
            </w:r>
          </w:p>
          <w:p w:rsidR="004F4538" w:rsidRPr="00381F40" w:rsidRDefault="004F4538" w:rsidP="004F4538">
            <w:pPr>
              <w:ind w:firstLine="567"/>
              <w:jc w:val="both"/>
              <w:rPr>
                <w:i/>
                <w:sz w:val="22"/>
              </w:rPr>
            </w:pPr>
            <w:r w:rsidRPr="00381F40">
              <w:rPr>
                <w:i/>
                <w:sz w:val="22"/>
              </w:rPr>
              <w:t xml:space="preserve">1) katram bērnam no dzimšanas līdz 7 gadu vecumam - 107,50 </w:t>
            </w:r>
            <w:proofErr w:type="spellStart"/>
            <w:r w:rsidRPr="00381F40">
              <w:rPr>
                <w:i/>
                <w:sz w:val="22"/>
              </w:rPr>
              <w:t>euro</w:t>
            </w:r>
            <w:proofErr w:type="spellEnd"/>
            <w:r w:rsidRPr="00381F40">
              <w:rPr>
                <w:i/>
                <w:sz w:val="22"/>
              </w:rPr>
              <w:t>;</w:t>
            </w:r>
          </w:p>
          <w:p w:rsidR="004F4538" w:rsidRPr="00381F40" w:rsidRDefault="004F4538" w:rsidP="004F4538">
            <w:pPr>
              <w:ind w:firstLine="567"/>
              <w:jc w:val="both"/>
              <w:rPr>
                <w:i/>
                <w:sz w:val="22"/>
              </w:rPr>
            </w:pPr>
            <w:r w:rsidRPr="00381F40">
              <w:rPr>
                <w:i/>
                <w:sz w:val="22"/>
              </w:rPr>
              <w:t xml:space="preserve">2) katram bērnam no 7 gadu vecumam līdz 18 gadu vecumam, kā arī personai līdz 21 gada vecumam, ja tā turpina iegūt izglītību – 129,00 </w:t>
            </w:r>
            <w:proofErr w:type="spellStart"/>
            <w:r w:rsidRPr="00381F40">
              <w:rPr>
                <w:i/>
                <w:sz w:val="22"/>
              </w:rPr>
              <w:t>euro</w:t>
            </w:r>
            <w:proofErr w:type="spellEnd"/>
            <w:r w:rsidRPr="00381F40">
              <w:rPr>
                <w:i/>
                <w:sz w:val="22"/>
              </w:rPr>
              <w:t>.</w:t>
            </w:r>
          </w:p>
          <w:p w:rsidR="004F4538" w:rsidRPr="00381F40" w:rsidRDefault="004F4538" w:rsidP="004F4538">
            <w:pPr>
              <w:ind w:firstLine="567"/>
              <w:jc w:val="both"/>
              <w:rPr>
                <w:i/>
                <w:sz w:val="22"/>
              </w:rPr>
            </w:pPr>
            <w:r w:rsidRPr="00381F40">
              <w:rPr>
                <w:i/>
                <w:sz w:val="22"/>
              </w:rPr>
              <w:tab/>
              <w:t xml:space="preserve">Savukārt spēkā esošajā Uzturlīdzekļu garantiju fonda likuma 13. panta otrajā daļā ir noteikts, ka uzturlīdzekļus fonds izmaksā tādā apmērā, kādu, pamatojoties uz </w:t>
            </w:r>
            <w:hyperlink r:id="rId6" w:tgtFrame="_blank" w:history="1">
              <w:r w:rsidRPr="00381F40">
                <w:rPr>
                  <w:i/>
                  <w:sz w:val="22"/>
                </w:rPr>
                <w:t>Civillikuma</w:t>
              </w:r>
            </w:hyperlink>
            <w:r w:rsidRPr="00381F40">
              <w:rPr>
                <w:i/>
                <w:sz w:val="22"/>
              </w:rPr>
              <w:t xml:space="preserve"> </w:t>
            </w:r>
            <w:hyperlink r:id="rId7" w:anchor="p179" w:tgtFrame="_blank" w:history="1">
              <w:r w:rsidRPr="00381F40">
                <w:rPr>
                  <w:i/>
                  <w:sz w:val="22"/>
                </w:rPr>
                <w:t>179. panta</w:t>
              </w:r>
            </w:hyperlink>
            <w:r w:rsidRPr="00381F40">
              <w:rPr>
                <w:i/>
                <w:sz w:val="22"/>
              </w:rPr>
              <w:t xml:space="preserve"> piekto daļu, noteicis Ministru kabinets. Atbilstoši Ministru kabineta 2013. gada 15. janvāra noteikumos Nr. 37 “Noteikumi par minimālo uzturlīdzekļu apmēru bērnam” noteiktajam minimālo uzturlīdzekļu aprēķinam, no fonda izmaksājamo uzturlīdzekļu apmērs no 2020. gada 1. janvāra ir:</w:t>
            </w:r>
          </w:p>
          <w:p w:rsidR="004F4538" w:rsidRPr="00381F40" w:rsidRDefault="004F4538" w:rsidP="004F4538">
            <w:pPr>
              <w:ind w:firstLine="567"/>
              <w:jc w:val="both"/>
              <w:rPr>
                <w:i/>
                <w:sz w:val="22"/>
              </w:rPr>
            </w:pPr>
            <w:r w:rsidRPr="00381F40">
              <w:rPr>
                <w:i/>
                <w:sz w:val="22"/>
              </w:rPr>
              <w:lastRenderedPageBreak/>
              <w:t xml:space="preserve">1) katram bērnam no viņa piedzimšanas līdz 7 gadu vecuma sasniegšanai – 25 % apmērā no Ministru kabineta noteiktās minimālās mēneša darba algas – kas atbilst 107,50 </w:t>
            </w:r>
            <w:proofErr w:type="spellStart"/>
            <w:r w:rsidRPr="00381F40">
              <w:rPr>
                <w:i/>
                <w:sz w:val="22"/>
              </w:rPr>
              <w:t>euro</w:t>
            </w:r>
            <w:proofErr w:type="spellEnd"/>
            <w:r w:rsidRPr="00381F40">
              <w:rPr>
                <w:i/>
                <w:sz w:val="22"/>
              </w:rPr>
              <w:t>;</w:t>
            </w:r>
          </w:p>
          <w:p w:rsidR="004F4538" w:rsidRPr="00381F40" w:rsidRDefault="004F4538" w:rsidP="004F4538">
            <w:pPr>
              <w:pStyle w:val="tv213"/>
              <w:spacing w:before="0" w:beforeAutospacing="0" w:after="0" w:afterAutospacing="0"/>
              <w:ind w:firstLine="567"/>
              <w:jc w:val="both"/>
              <w:rPr>
                <w:i/>
                <w:sz w:val="22"/>
                <w:szCs w:val="22"/>
              </w:rPr>
            </w:pPr>
            <w:r w:rsidRPr="00381F40">
              <w:rPr>
                <w:i/>
                <w:sz w:val="22"/>
                <w:szCs w:val="22"/>
              </w:rPr>
              <w:t xml:space="preserve">2) katram bērnam no 7 gadu vecuma sasniegšanas līdz 18 gadu vecuma sasniegšanai, kā arī personai līdz 21 gada vecumam, ja tā turpina iegūt izglītību – 30 % apmērā no Ministru kabineta noteiktās minimālās mēneša darba algas – kas atbilst 129,00 </w:t>
            </w:r>
            <w:proofErr w:type="spellStart"/>
            <w:r w:rsidRPr="00381F40">
              <w:rPr>
                <w:i/>
                <w:sz w:val="22"/>
                <w:szCs w:val="22"/>
              </w:rPr>
              <w:t>euro</w:t>
            </w:r>
            <w:proofErr w:type="spellEnd"/>
            <w:r w:rsidRPr="00381F40">
              <w:rPr>
                <w:i/>
                <w:sz w:val="22"/>
                <w:szCs w:val="22"/>
              </w:rPr>
              <w:t xml:space="preserve">. </w:t>
            </w:r>
          </w:p>
          <w:p w:rsidR="004F4538" w:rsidRPr="00381F40" w:rsidRDefault="004F4538" w:rsidP="004F4538">
            <w:pPr>
              <w:pStyle w:val="tv213"/>
              <w:spacing w:before="0" w:beforeAutospacing="0" w:after="0" w:afterAutospacing="0"/>
              <w:ind w:firstLine="567"/>
              <w:jc w:val="both"/>
              <w:rPr>
                <w:rFonts w:eastAsia="Calibri"/>
                <w:i/>
                <w:sz w:val="22"/>
                <w:szCs w:val="22"/>
              </w:rPr>
            </w:pPr>
            <w:r w:rsidRPr="00381F40">
              <w:rPr>
                <w:i/>
                <w:sz w:val="22"/>
                <w:szCs w:val="22"/>
              </w:rPr>
              <w:t xml:space="preserve">Līdz ar to secināms, ka </w:t>
            </w:r>
            <w:r w:rsidRPr="00381F40">
              <w:rPr>
                <w:i/>
                <w:sz w:val="22"/>
                <w:szCs w:val="22"/>
                <w:u w:val="single"/>
              </w:rPr>
              <w:t>likumprojektā noteiktais uzturlīdzekļu apmērs ir identisks tam, ko jau nodrošina spēkā esošie normatīvie akti</w:t>
            </w:r>
            <w:r w:rsidRPr="00381F40">
              <w:rPr>
                <w:i/>
                <w:sz w:val="22"/>
                <w:szCs w:val="22"/>
              </w:rPr>
              <w:t xml:space="preserve">, un, </w:t>
            </w:r>
            <w:r w:rsidRPr="00381F40">
              <w:rPr>
                <w:rFonts w:eastAsia="Calibri"/>
                <w:i/>
                <w:sz w:val="22"/>
                <w:szCs w:val="22"/>
              </w:rPr>
              <w:t>neizdarot likuma grozījumus, normatīvajos aktos noteiktais no fonda izmaksājamo uzturlīdzekļu apmērs ir līdzsvarā ar valsts budžeta iespējām 2020. gadā.</w:t>
            </w:r>
          </w:p>
          <w:p w:rsidR="004F4538" w:rsidRPr="00381F40" w:rsidRDefault="004F4538" w:rsidP="004F4538">
            <w:pPr>
              <w:ind w:firstLine="567"/>
              <w:jc w:val="both"/>
              <w:rPr>
                <w:i/>
                <w:sz w:val="22"/>
              </w:rPr>
            </w:pPr>
            <w:r w:rsidRPr="00381F40">
              <w:rPr>
                <w:i/>
                <w:sz w:val="22"/>
              </w:rPr>
              <w:t>Plānoto valsts garantēto uzturlīdzekļu aprēķina atsaisti no minimālās mēneša darba algas turpmākajiem gadiem likumdevējs var turpināt izskatīt un virzīt, apspriežot iesniegto likumprojektu trijos lasījumos.</w:t>
            </w:r>
          </w:p>
          <w:p w:rsidR="004F4538" w:rsidRPr="00381F40" w:rsidRDefault="004F4538" w:rsidP="004F4538">
            <w:pPr>
              <w:ind w:firstLine="567"/>
              <w:jc w:val="both"/>
              <w:rPr>
                <w:i/>
                <w:sz w:val="22"/>
              </w:rPr>
            </w:pPr>
            <w:r w:rsidRPr="00381F40">
              <w:rPr>
                <w:i/>
                <w:sz w:val="22"/>
              </w:rPr>
              <w:t>Papildus minētajam vēršam uzmanību, ka citos gadījumos bērna uzturam paredzēto valsts maksājumu apmēra noteikšanu likumdevējs joprojām ir deleģējis Ministru kabinetam.</w:t>
            </w:r>
          </w:p>
          <w:p w:rsidR="004F4538" w:rsidRPr="00381F40" w:rsidRDefault="004F4538" w:rsidP="004F4538">
            <w:pPr>
              <w:ind w:firstLine="567"/>
              <w:jc w:val="both"/>
              <w:rPr>
                <w:i/>
                <w:sz w:val="22"/>
              </w:rPr>
            </w:pPr>
          </w:p>
          <w:p w:rsidR="004F4538" w:rsidRPr="00381F40" w:rsidRDefault="004F4538" w:rsidP="004F4538">
            <w:pPr>
              <w:ind w:firstLine="567"/>
              <w:jc w:val="both"/>
              <w:rPr>
                <w:i/>
                <w:sz w:val="22"/>
              </w:rPr>
            </w:pPr>
          </w:p>
          <w:p w:rsidR="004F4538" w:rsidRPr="00381F40" w:rsidRDefault="004F4538" w:rsidP="004F4538">
            <w:pPr>
              <w:ind w:firstLine="567"/>
              <w:jc w:val="both"/>
              <w:rPr>
                <w:sz w:val="22"/>
              </w:rPr>
            </w:pPr>
          </w:p>
        </w:tc>
        <w:tc>
          <w:tcPr>
            <w:tcW w:w="1417" w:type="dxa"/>
          </w:tcPr>
          <w:p w:rsidR="00C51EAD" w:rsidRPr="00381F40" w:rsidRDefault="00C51EAD" w:rsidP="00F94FBC">
            <w:pPr>
              <w:shd w:val="clear" w:color="auto" w:fill="FFFFFF"/>
              <w:ind w:firstLine="567"/>
              <w:jc w:val="both"/>
              <w:rPr>
                <w:sz w:val="22"/>
              </w:rPr>
            </w:pPr>
          </w:p>
        </w:tc>
        <w:tc>
          <w:tcPr>
            <w:tcW w:w="1417" w:type="dxa"/>
          </w:tcPr>
          <w:p w:rsidR="00C51EAD" w:rsidRPr="00381F40" w:rsidRDefault="00C51EAD" w:rsidP="00F94FBC">
            <w:pPr>
              <w:shd w:val="clear" w:color="auto" w:fill="FFFFFF"/>
              <w:ind w:firstLine="567"/>
              <w:jc w:val="both"/>
              <w:rPr>
                <w:sz w:val="22"/>
              </w:rPr>
            </w:pPr>
          </w:p>
        </w:tc>
      </w:tr>
      <w:tr w:rsidR="00381F40" w:rsidRPr="00381F40" w:rsidTr="00C51EAD">
        <w:tc>
          <w:tcPr>
            <w:tcW w:w="3798" w:type="dxa"/>
            <w:shd w:val="clear" w:color="auto" w:fill="auto"/>
          </w:tcPr>
          <w:p w:rsidR="00C51EAD" w:rsidRPr="00381F40" w:rsidRDefault="00C51EAD" w:rsidP="00F94FBC">
            <w:pPr>
              <w:pStyle w:val="tv213"/>
              <w:spacing w:before="0" w:beforeAutospacing="0" w:after="0" w:afterAutospacing="0"/>
              <w:ind w:firstLine="567"/>
              <w:jc w:val="both"/>
              <w:rPr>
                <w:sz w:val="22"/>
                <w:szCs w:val="22"/>
              </w:rPr>
            </w:pPr>
            <w:r w:rsidRPr="00381F40">
              <w:rPr>
                <w:b/>
                <w:bCs/>
                <w:sz w:val="22"/>
                <w:szCs w:val="22"/>
              </w:rPr>
              <w:lastRenderedPageBreak/>
              <w:t>1. pants. Likumā lietotie termini</w:t>
            </w:r>
          </w:p>
          <w:p w:rsidR="00C51EAD" w:rsidRPr="00381F40" w:rsidRDefault="00C51EAD" w:rsidP="00F94FBC">
            <w:pPr>
              <w:pStyle w:val="tv213"/>
              <w:spacing w:before="0" w:beforeAutospacing="0" w:after="0" w:afterAutospacing="0"/>
              <w:ind w:firstLine="567"/>
              <w:jc w:val="both"/>
              <w:rPr>
                <w:sz w:val="22"/>
                <w:szCs w:val="22"/>
              </w:rPr>
            </w:pPr>
            <w:r w:rsidRPr="00381F40">
              <w:rPr>
                <w:sz w:val="22"/>
                <w:szCs w:val="22"/>
              </w:rPr>
              <w:t>Likumā ir lietoti šādi termini:</w:t>
            </w:r>
          </w:p>
          <w:p w:rsidR="00C51EAD" w:rsidRPr="00381F40" w:rsidRDefault="00C51EAD" w:rsidP="00F94FBC">
            <w:pPr>
              <w:pStyle w:val="tv213"/>
              <w:spacing w:before="0" w:beforeAutospacing="0" w:after="0" w:afterAutospacing="0"/>
              <w:ind w:firstLine="567"/>
              <w:jc w:val="both"/>
              <w:rPr>
                <w:sz w:val="22"/>
                <w:szCs w:val="22"/>
              </w:rPr>
            </w:pPr>
            <w:r w:rsidRPr="00381F40">
              <w:rPr>
                <w:sz w:val="22"/>
                <w:szCs w:val="22"/>
              </w:rPr>
              <w:t xml:space="preserve">1) </w:t>
            </w:r>
            <w:r w:rsidRPr="00381F40">
              <w:rPr>
                <w:b/>
                <w:bCs/>
                <w:sz w:val="22"/>
                <w:szCs w:val="22"/>
              </w:rPr>
              <w:t>iesniedzējs</w:t>
            </w:r>
            <w:r w:rsidRPr="00381F40">
              <w:rPr>
                <w:sz w:val="22"/>
                <w:szCs w:val="22"/>
              </w:rPr>
              <w:t xml:space="preserve"> — bērna vecāks vai aizbildnis, kura aprūpē ir bērns un kurš Uzturlīdzekļu garantiju fonda administrācijai ir iesniedzis iesniegumu par uzturlīdzekļu izmaksu šā bērna uzturam, vai pilngadīga persona, kura Uzturlīdzekļu garantiju fonda administrācijai ir iesniegusi iesniegumu par uzturlīdzekļu izmaksu savam uzturam un turpina iegūt pamatizglītību, vidējo izglītību, arodizglītību vai speciālo izglītību Latvijas Republikā;</w:t>
            </w:r>
          </w:p>
          <w:p w:rsidR="00C51EAD" w:rsidRPr="00381F40" w:rsidRDefault="00C51EAD" w:rsidP="00F94FBC">
            <w:pPr>
              <w:pStyle w:val="tv213"/>
              <w:spacing w:before="0" w:beforeAutospacing="0" w:after="0" w:afterAutospacing="0"/>
              <w:ind w:firstLine="567"/>
              <w:jc w:val="both"/>
              <w:rPr>
                <w:sz w:val="22"/>
                <w:szCs w:val="22"/>
              </w:rPr>
            </w:pPr>
            <w:r w:rsidRPr="00381F40">
              <w:rPr>
                <w:sz w:val="22"/>
                <w:szCs w:val="22"/>
              </w:rPr>
              <w:t xml:space="preserve">2) </w:t>
            </w:r>
            <w:r w:rsidRPr="00381F40">
              <w:rPr>
                <w:b/>
                <w:bCs/>
                <w:sz w:val="22"/>
                <w:szCs w:val="22"/>
              </w:rPr>
              <w:t>parādnieks</w:t>
            </w:r>
            <w:r w:rsidRPr="00381F40">
              <w:rPr>
                <w:sz w:val="22"/>
                <w:szCs w:val="22"/>
              </w:rPr>
              <w:t xml:space="preserve"> — vecāks, kuram ar Uzturlīdzekļu garantiju fonda administrācijas lēmumu, tiesas nolēmumu vai notariālo aktu, kas ietver vienošanos par periodiskiem uzturlīdzekļu maksājumiem un izpildāms tiesas spriedumu izpildes kārtībā (turpmāk — vienošanās par uzturlīdzekļiem), noteikts pienākums maksāt uzturlīdzekļus bērna uzturam un kura vietā uzturlīdzekļi tiek izmaksāti no Uzturlīdzekļu garantiju fonda sakarā ar to, ka viņš nenodrošina bērnam minimālo uzturlīdzekļu apmēru, kādu, pamatojoties uz Civillikuma 179. panta piekto daļu, noteicis Ministru kabinets;</w:t>
            </w:r>
          </w:p>
          <w:p w:rsidR="00C51EAD" w:rsidRPr="00381F40" w:rsidRDefault="00C51EAD" w:rsidP="00F94FBC">
            <w:pPr>
              <w:pStyle w:val="tv213"/>
              <w:spacing w:before="0" w:beforeAutospacing="0" w:after="0" w:afterAutospacing="0"/>
              <w:ind w:firstLine="567"/>
              <w:jc w:val="both"/>
              <w:rPr>
                <w:sz w:val="22"/>
                <w:szCs w:val="22"/>
              </w:rPr>
            </w:pPr>
            <w:r w:rsidRPr="00381F40">
              <w:rPr>
                <w:sz w:val="22"/>
                <w:szCs w:val="22"/>
              </w:rPr>
              <w:t xml:space="preserve">3) </w:t>
            </w:r>
            <w:r w:rsidRPr="00381F40">
              <w:rPr>
                <w:b/>
                <w:bCs/>
                <w:sz w:val="22"/>
                <w:szCs w:val="22"/>
              </w:rPr>
              <w:t>uzturlīdzekļi</w:t>
            </w:r>
            <w:r w:rsidRPr="00381F40">
              <w:rPr>
                <w:sz w:val="22"/>
                <w:szCs w:val="22"/>
              </w:rPr>
              <w:t xml:space="preserve"> — bērna ikmēneša uzturēšanas izdevumi, kurus nodrošināt bērnam ir katra vecāka pienākums neatkarīgi no viņa spējām uzturēt bērnu un viņa mantas stāvokļa </w:t>
            </w:r>
            <w:proofErr w:type="gramStart"/>
            <w:r w:rsidRPr="00381F40">
              <w:rPr>
                <w:sz w:val="22"/>
                <w:szCs w:val="22"/>
              </w:rPr>
              <w:t>un</w:t>
            </w:r>
            <w:proofErr w:type="gramEnd"/>
            <w:r w:rsidRPr="00381F40">
              <w:rPr>
                <w:sz w:val="22"/>
                <w:szCs w:val="22"/>
              </w:rPr>
              <w:t xml:space="preserve"> kuru minimālo apmēru, pamatojoties uz Civillikuma 179. panta piekto daļu, noteicis Ministru kabinets.</w:t>
            </w:r>
          </w:p>
          <w:p w:rsidR="003C4C25" w:rsidRPr="00381F40" w:rsidRDefault="003C4C25" w:rsidP="00F94FBC">
            <w:pPr>
              <w:pStyle w:val="tv213"/>
              <w:spacing w:before="0" w:beforeAutospacing="0" w:after="0" w:afterAutospacing="0"/>
              <w:ind w:firstLine="567"/>
              <w:jc w:val="both"/>
              <w:rPr>
                <w:sz w:val="22"/>
                <w:szCs w:val="22"/>
              </w:rPr>
            </w:pPr>
          </w:p>
        </w:tc>
        <w:tc>
          <w:tcPr>
            <w:tcW w:w="3798" w:type="dxa"/>
            <w:shd w:val="clear" w:color="auto" w:fill="auto"/>
          </w:tcPr>
          <w:p w:rsidR="00C51EAD" w:rsidRPr="00381F40" w:rsidRDefault="00C51EAD" w:rsidP="00F94FBC">
            <w:pPr>
              <w:pStyle w:val="ListParagraph"/>
              <w:tabs>
                <w:tab w:val="left" w:pos="567"/>
              </w:tabs>
              <w:spacing w:after="0" w:line="240" w:lineRule="auto"/>
              <w:ind w:left="0" w:firstLine="567"/>
              <w:jc w:val="both"/>
              <w:rPr>
                <w:rFonts w:ascii="Times New Roman" w:hAnsi="Times New Roman"/>
              </w:rPr>
            </w:pPr>
            <w:r w:rsidRPr="00381F40">
              <w:rPr>
                <w:rFonts w:ascii="Times New Roman" w:hAnsi="Times New Roman"/>
              </w:rPr>
              <w:t>1. Izslēgt 1. panta 2. punktā vārdus un skaitli "sakarā ar to, ka viņš nenodrošina bērnam minimālo uzturlīdzekļu apmēru, kādu, pamatojoties uz Civillikuma 179. panta piekto daļu, noteicis Ministru kabinets".</w:t>
            </w:r>
          </w:p>
        </w:tc>
        <w:tc>
          <w:tcPr>
            <w:tcW w:w="567" w:type="dxa"/>
          </w:tcPr>
          <w:p w:rsidR="00C51EAD" w:rsidRPr="00381F40" w:rsidRDefault="0073365F" w:rsidP="003C4C25">
            <w:pPr>
              <w:pStyle w:val="ListParagraph"/>
              <w:tabs>
                <w:tab w:val="left" w:pos="567"/>
              </w:tabs>
              <w:spacing w:after="0" w:line="240" w:lineRule="auto"/>
              <w:ind w:left="0"/>
              <w:jc w:val="center"/>
              <w:rPr>
                <w:rFonts w:ascii="Times New Roman" w:hAnsi="Times New Roman"/>
                <w:b/>
              </w:rPr>
            </w:pPr>
            <w:r w:rsidRPr="00381F40">
              <w:rPr>
                <w:rFonts w:ascii="Times New Roman" w:hAnsi="Times New Roman"/>
                <w:b/>
              </w:rPr>
              <w:t>2</w:t>
            </w:r>
          </w:p>
        </w:tc>
        <w:tc>
          <w:tcPr>
            <w:tcW w:w="3798" w:type="dxa"/>
          </w:tcPr>
          <w:p w:rsidR="00C51EAD" w:rsidRPr="00381F40" w:rsidRDefault="004F4538" w:rsidP="00F94FBC">
            <w:pPr>
              <w:pStyle w:val="ListParagraph"/>
              <w:tabs>
                <w:tab w:val="left" w:pos="567"/>
              </w:tabs>
              <w:spacing w:after="0" w:line="240" w:lineRule="auto"/>
              <w:ind w:left="0" w:firstLine="567"/>
              <w:jc w:val="both"/>
              <w:rPr>
                <w:rFonts w:ascii="Times New Roman" w:hAnsi="Times New Roman"/>
                <w:b/>
                <w:u w:val="single"/>
              </w:rPr>
            </w:pPr>
            <w:r w:rsidRPr="00381F40">
              <w:rPr>
                <w:rFonts w:ascii="Times New Roman" w:hAnsi="Times New Roman"/>
                <w:b/>
                <w:u w:val="single"/>
              </w:rPr>
              <w:t>Deputāti J.Stepaņenko, K.Sprūde, L.Liepiņa, A.Gobzems, D.Šmits</w:t>
            </w:r>
          </w:p>
          <w:p w:rsidR="004F4538" w:rsidRPr="00381F40" w:rsidRDefault="004F4538" w:rsidP="00F94FBC">
            <w:pPr>
              <w:pStyle w:val="ListParagraph"/>
              <w:tabs>
                <w:tab w:val="left" w:pos="567"/>
              </w:tabs>
              <w:spacing w:after="0" w:line="240" w:lineRule="auto"/>
              <w:ind w:left="0" w:firstLine="567"/>
              <w:jc w:val="both"/>
              <w:rPr>
                <w:rFonts w:ascii="Times New Roman" w:hAnsi="Times New Roman"/>
              </w:rPr>
            </w:pPr>
            <w:r w:rsidRPr="00381F40">
              <w:rPr>
                <w:rFonts w:ascii="Times New Roman" w:hAnsi="Times New Roman"/>
                <w:szCs w:val="24"/>
              </w:rPr>
              <w:t>Izslēgt likumprojekta 1-8 punktus.</w:t>
            </w:r>
          </w:p>
        </w:tc>
        <w:tc>
          <w:tcPr>
            <w:tcW w:w="1417" w:type="dxa"/>
          </w:tcPr>
          <w:p w:rsidR="00C51EAD" w:rsidRPr="00381F40" w:rsidRDefault="00C51EAD" w:rsidP="00F94FBC">
            <w:pPr>
              <w:pStyle w:val="ListParagraph"/>
              <w:tabs>
                <w:tab w:val="left" w:pos="567"/>
              </w:tabs>
              <w:spacing w:after="0" w:line="240" w:lineRule="auto"/>
              <w:ind w:left="0" w:firstLine="567"/>
              <w:jc w:val="both"/>
              <w:rPr>
                <w:rFonts w:ascii="Times New Roman" w:hAnsi="Times New Roman"/>
              </w:rPr>
            </w:pPr>
          </w:p>
        </w:tc>
        <w:tc>
          <w:tcPr>
            <w:tcW w:w="1417" w:type="dxa"/>
          </w:tcPr>
          <w:p w:rsidR="00C51EAD" w:rsidRPr="00381F40" w:rsidRDefault="00C51EAD" w:rsidP="00F94FBC">
            <w:pPr>
              <w:pStyle w:val="ListParagraph"/>
              <w:tabs>
                <w:tab w:val="left" w:pos="567"/>
              </w:tabs>
              <w:spacing w:after="0" w:line="240" w:lineRule="auto"/>
              <w:ind w:left="0" w:firstLine="567"/>
              <w:jc w:val="both"/>
              <w:rPr>
                <w:rFonts w:ascii="Times New Roman" w:hAnsi="Times New Roman"/>
              </w:rPr>
            </w:pPr>
          </w:p>
        </w:tc>
      </w:tr>
      <w:tr w:rsidR="00381F40" w:rsidRPr="00381F40" w:rsidTr="00C51EAD">
        <w:tc>
          <w:tcPr>
            <w:tcW w:w="3798" w:type="dxa"/>
            <w:shd w:val="clear" w:color="auto" w:fill="auto"/>
          </w:tcPr>
          <w:p w:rsidR="00C51EAD" w:rsidRPr="00381F40" w:rsidRDefault="00C51EAD" w:rsidP="00F94FBC">
            <w:pPr>
              <w:pStyle w:val="tv213"/>
              <w:spacing w:before="0" w:beforeAutospacing="0" w:after="0" w:afterAutospacing="0"/>
              <w:ind w:firstLine="567"/>
              <w:jc w:val="both"/>
              <w:rPr>
                <w:sz w:val="22"/>
                <w:szCs w:val="22"/>
              </w:rPr>
            </w:pPr>
            <w:r w:rsidRPr="00381F40">
              <w:rPr>
                <w:b/>
                <w:bCs/>
                <w:sz w:val="22"/>
                <w:szCs w:val="22"/>
              </w:rPr>
              <w:lastRenderedPageBreak/>
              <w:t>2. pants. Likuma mērķis</w:t>
            </w:r>
          </w:p>
          <w:p w:rsidR="00C51EAD" w:rsidRPr="00381F40" w:rsidRDefault="00C51EAD" w:rsidP="00C51EAD">
            <w:pPr>
              <w:pStyle w:val="tv213"/>
              <w:spacing w:before="0" w:beforeAutospacing="0" w:after="0" w:afterAutospacing="0"/>
              <w:ind w:firstLine="567"/>
              <w:jc w:val="both"/>
              <w:rPr>
                <w:sz w:val="22"/>
                <w:szCs w:val="22"/>
              </w:rPr>
            </w:pPr>
            <w:r w:rsidRPr="00381F40">
              <w:rPr>
                <w:sz w:val="22"/>
                <w:szCs w:val="22"/>
              </w:rPr>
              <w:t>Likuma mērķis ir nodrošināt, lai tiktu īstenotas bērna tiesības uz sociālo nodrošinājumu un veicināta bērna izglītības iegūšana, izveidojot Uzturlīdzekļu garantiju fondu (turpmāk — Fonds) minimālo uzturlīdzekļu izmaksai, ja bērns iegūst izglītību Latvijas Republikā un viens vai abi bērna vecāki nenodrošina viņam uzturlīdzekļus.</w:t>
            </w:r>
          </w:p>
        </w:tc>
        <w:tc>
          <w:tcPr>
            <w:tcW w:w="3798" w:type="dxa"/>
            <w:shd w:val="clear" w:color="auto" w:fill="auto"/>
          </w:tcPr>
          <w:p w:rsidR="00C51EAD" w:rsidRPr="00381F40" w:rsidRDefault="00C51EAD" w:rsidP="00F94FBC">
            <w:pPr>
              <w:pStyle w:val="ListParagraph"/>
              <w:tabs>
                <w:tab w:val="left" w:pos="567"/>
                <w:tab w:val="left" w:pos="993"/>
              </w:tabs>
              <w:spacing w:after="0" w:line="240" w:lineRule="auto"/>
              <w:ind w:left="0" w:firstLine="567"/>
              <w:jc w:val="both"/>
              <w:rPr>
                <w:rFonts w:ascii="Times New Roman" w:hAnsi="Times New Roman"/>
              </w:rPr>
            </w:pPr>
            <w:r w:rsidRPr="00381F40">
              <w:rPr>
                <w:rFonts w:ascii="Times New Roman" w:hAnsi="Times New Roman"/>
              </w:rPr>
              <w:t>2.  2. pantā:</w:t>
            </w:r>
          </w:p>
          <w:p w:rsidR="00C51EAD" w:rsidRPr="00381F40" w:rsidRDefault="00C51EAD" w:rsidP="00F94FBC">
            <w:pPr>
              <w:pStyle w:val="ListParagraph"/>
              <w:tabs>
                <w:tab w:val="left" w:pos="567"/>
                <w:tab w:val="left" w:pos="993"/>
              </w:tabs>
              <w:spacing w:after="0" w:line="240" w:lineRule="auto"/>
              <w:ind w:left="0" w:firstLine="567"/>
              <w:jc w:val="both"/>
              <w:rPr>
                <w:rFonts w:ascii="Times New Roman" w:hAnsi="Times New Roman"/>
              </w:rPr>
            </w:pPr>
            <w:r w:rsidRPr="00381F40">
              <w:rPr>
                <w:rFonts w:ascii="Times New Roman" w:hAnsi="Times New Roman"/>
              </w:rPr>
              <w:t xml:space="preserve">izslēgt vārdu "minimālo"; </w:t>
            </w:r>
          </w:p>
          <w:p w:rsidR="00C51EAD" w:rsidRPr="00381F40" w:rsidRDefault="00C51EAD" w:rsidP="00F94FBC">
            <w:pPr>
              <w:pStyle w:val="ListParagraph"/>
              <w:tabs>
                <w:tab w:val="left" w:pos="567"/>
                <w:tab w:val="left" w:pos="993"/>
              </w:tabs>
              <w:spacing w:after="0" w:line="240" w:lineRule="auto"/>
              <w:ind w:left="0" w:firstLine="567"/>
              <w:jc w:val="both"/>
              <w:rPr>
                <w:rFonts w:ascii="Times New Roman" w:hAnsi="Times New Roman"/>
              </w:rPr>
            </w:pPr>
            <w:r w:rsidRPr="00381F40">
              <w:rPr>
                <w:rFonts w:ascii="Times New Roman" w:hAnsi="Times New Roman"/>
              </w:rPr>
              <w:t>papildināt pantu pēc vārda "izmaksai" ar vārdiem "šajā likumā noteiktajā apmērā".</w:t>
            </w:r>
          </w:p>
        </w:tc>
        <w:tc>
          <w:tcPr>
            <w:tcW w:w="567" w:type="dxa"/>
          </w:tcPr>
          <w:p w:rsidR="00C51EAD" w:rsidRPr="00381F40" w:rsidRDefault="00C51EAD" w:rsidP="003C4C25">
            <w:pPr>
              <w:pStyle w:val="ListParagraph"/>
              <w:tabs>
                <w:tab w:val="left" w:pos="567"/>
                <w:tab w:val="left" w:pos="993"/>
              </w:tabs>
              <w:spacing w:after="0" w:line="240" w:lineRule="auto"/>
              <w:ind w:left="0"/>
              <w:jc w:val="center"/>
              <w:rPr>
                <w:rFonts w:ascii="Times New Roman" w:hAnsi="Times New Roman"/>
              </w:rPr>
            </w:pPr>
          </w:p>
        </w:tc>
        <w:tc>
          <w:tcPr>
            <w:tcW w:w="3798" w:type="dxa"/>
          </w:tcPr>
          <w:p w:rsidR="00C51EAD" w:rsidRPr="00381F40" w:rsidRDefault="00C51EAD" w:rsidP="00F94FBC">
            <w:pPr>
              <w:pStyle w:val="ListParagraph"/>
              <w:tabs>
                <w:tab w:val="left" w:pos="567"/>
                <w:tab w:val="left" w:pos="993"/>
              </w:tabs>
              <w:spacing w:after="0" w:line="240" w:lineRule="auto"/>
              <w:ind w:left="0" w:firstLine="567"/>
              <w:jc w:val="both"/>
              <w:rPr>
                <w:rFonts w:ascii="Times New Roman" w:hAnsi="Times New Roman"/>
              </w:rPr>
            </w:pPr>
          </w:p>
        </w:tc>
        <w:tc>
          <w:tcPr>
            <w:tcW w:w="1417" w:type="dxa"/>
          </w:tcPr>
          <w:p w:rsidR="00C51EAD" w:rsidRPr="00381F40" w:rsidRDefault="00C51EAD" w:rsidP="00F94FBC">
            <w:pPr>
              <w:pStyle w:val="ListParagraph"/>
              <w:tabs>
                <w:tab w:val="left" w:pos="567"/>
                <w:tab w:val="left" w:pos="993"/>
              </w:tabs>
              <w:spacing w:after="0" w:line="240" w:lineRule="auto"/>
              <w:ind w:left="0" w:firstLine="567"/>
              <w:jc w:val="both"/>
              <w:rPr>
                <w:rFonts w:ascii="Times New Roman" w:hAnsi="Times New Roman"/>
              </w:rPr>
            </w:pPr>
          </w:p>
        </w:tc>
        <w:tc>
          <w:tcPr>
            <w:tcW w:w="1417" w:type="dxa"/>
          </w:tcPr>
          <w:p w:rsidR="00C51EAD" w:rsidRPr="00381F40" w:rsidRDefault="00C51EAD" w:rsidP="00F94FBC">
            <w:pPr>
              <w:pStyle w:val="ListParagraph"/>
              <w:tabs>
                <w:tab w:val="left" w:pos="567"/>
                <w:tab w:val="left" w:pos="993"/>
              </w:tabs>
              <w:spacing w:after="0" w:line="240" w:lineRule="auto"/>
              <w:ind w:left="0" w:firstLine="567"/>
              <w:jc w:val="both"/>
              <w:rPr>
                <w:rFonts w:ascii="Times New Roman" w:hAnsi="Times New Roman"/>
              </w:rPr>
            </w:pPr>
          </w:p>
        </w:tc>
      </w:tr>
      <w:tr w:rsidR="00381F40" w:rsidRPr="00381F40" w:rsidTr="00C51EAD">
        <w:tc>
          <w:tcPr>
            <w:tcW w:w="3798" w:type="dxa"/>
            <w:shd w:val="clear" w:color="auto" w:fill="auto"/>
          </w:tcPr>
          <w:p w:rsidR="00C51EAD" w:rsidRPr="00381F40" w:rsidRDefault="00C51EAD" w:rsidP="00F94FBC">
            <w:pPr>
              <w:pStyle w:val="tv213"/>
              <w:spacing w:before="0" w:beforeAutospacing="0" w:after="0" w:afterAutospacing="0"/>
              <w:ind w:firstLine="567"/>
              <w:jc w:val="both"/>
              <w:rPr>
                <w:sz w:val="22"/>
                <w:szCs w:val="22"/>
              </w:rPr>
            </w:pPr>
            <w:r w:rsidRPr="00381F40">
              <w:rPr>
                <w:b/>
                <w:bCs/>
                <w:sz w:val="22"/>
                <w:szCs w:val="22"/>
              </w:rPr>
              <w:t>3. pants. Fonds</w:t>
            </w:r>
          </w:p>
          <w:p w:rsidR="00C51EAD" w:rsidRPr="00381F40" w:rsidRDefault="00C51EAD" w:rsidP="00F94FBC">
            <w:pPr>
              <w:pStyle w:val="tv213"/>
              <w:spacing w:before="0" w:beforeAutospacing="0" w:after="0" w:afterAutospacing="0"/>
              <w:ind w:firstLine="567"/>
              <w:jc w:val="both"/>
              <w:rPr>
                <w:sz w:val="22"/>
                <w:szCs w:val="22"/>
              </w:rPr>
            </w:pPr>
            <w:r w:rsidRPr="00381F40">
              <w:rPr>
                <w:sz w:val="22"/>
                <w:szCs w:val="22"/>
              </w:rPr>
              <w:t>(1) Fonds ir valsts budžetā paredzētais līdzekļu kopums. Ar Fonda līdzekļiem tiek nodrošināti bērni līdz pilngadības sasniegšanai, kā arī personas pēc pilngadības sasniegšanas, ja tās turpina iegūt pamatizglītību, vidējo izglītību, arodizglītību vai speciālo izglītību Latvijas Republikā, bet ne ilgāk kā līdz 21 gada vecuma sasniegšanai, jebkurā no šādiem gadījumiem:</w:t>
            </w:r>
          </w:p>
          <w:p w:rsidR="00C51EAD" w:rsidRPr="00381F40" w:rsidRDefault="00C51EAD" w:rsidP="00F94FBC">
            <w:pPr>
              <w:pStyle w:val="tv213"/>
              <w:spacing w:before="0" w:beforeAutospacing="0" w:after="0" w:afterAutospacing="0"/>
              <w:ind w:firstLine="567"/>
              <w:jc w:val="both"/>
              <w:rPr>
                <w:sz w:val="22"/>
                <w:szCs w:val="22"/>
              </w:rPr>
            </w:pPr>
            <w:r w:rsidRPr="00381F40">
              <w:rPr>
                <w:sz w:val="22"/>
                <w:szCs w:val="22"/>
              </w:rPr>
              <w:t>1) vecāks nenodrošina savam bērnam minimālo uzturlīdzekļu apmēru, kādu, pamatojoties uz Civillikuma 179. panta piekto daļu, noteicis Ministru kabinets, un nepastāv kāds no šā likuma 11. panta piektajā daļā minētajiem apstākļiem;</w:t>
            </w:r>
          </w:p>
          <w:p w:rsidR="00C51EAD" w:rsidRPr="00381F40" w:rsidRDefault="00C51EAD" w:rsidP="00F94FBC">
            <w:pPr>
              <w:pStyle w:val="tv213"/>
              <w:spacing w:before="0" w:beforeAutospacing="0" w:after="0" w:afterAutospacing="0"/>
              <w:ind w:firstLine="567"/>
              <w:jc w:val="both"/>
              <w:rPr>
                <w:sz w:val="22"/>
                <w:szCs w:val="22"/>
              </w:rPr>
            </w:pPr>
            <w:r w:rsidRPr="00381F40">
              <w:rPr>
                <w:sz w:val="22"/>
                <w:szCs w:val="22"/>
              </w:rPr>
              <w:t>2) parādnieks nepilda tiesas nolēmumu par uzturlīdzekļu piedziņu vai vienošanos par uzturlīdzekļiem un no zvērināta tiesu izpildītāja saņemtas ziņas, ka parādnieks nav paziņojumā par pienākumu izpildīt nolēmumu noteiktajā termiņā</w:t>
            </w:r>
            <w:proofErr w:type="gramStart"/>
            <w:r w:rsidRPr="00381F40">
              <w:rPr>
                <w:sz w:val="22"/>
                <w:szCs w:val="22"/>
              </w:rPr>
              <w:t xml:space="preserve"> ieskaitījis zvērināta tiesu izpildītāja depozīta kontā paziņojumā norādīto summu</w:t>
            </w:r>
            <w:proofErr w:type="gramEnd"/>
            <w:r w:rsidRPr="00381F40">
              <w:rPr>
                <w:sz w:val="22"/>
                <w:szCs w:val="22"/>
              </w:rPr>
              <w:t>.</w:t>
            </w:r>
          </w:p>
          <w:p w:rsidR="003C4C25" w:rsidRPr="00381F40" w:rsidRDefault="003C4C25" w:rsidP="0073365F">
            <w:pPr>
              <w:pStyle w:val="tv213"/>
              <w:spacing w:before="0" w:beforeAutospacing="0" w:after="0" w:afterAutospacing="0"/>
              <w:jc w:val="both"/>
              <w:rPr>
                <w:sz w:val="22"/>
                <w:szCs w:val="22"/>
              </w:rPr>
            </w:pPr>
          </w:p>
        </w:tc>
        <w:tc>
          <w:tcPr>
            <w:tcW w:w="3798" w:type="dxa"/>
            <w:shd w:val="clear" w:color="auto" w:fill="auto"/>
          </w:tcPr>
          <w:p w:rsidR="00C51EAD" w:rsidRPr="00381F40" w:rsidRDefault="00C51EAD" w:rsidP="00F94FBC">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r w:rsidRPr="00381F40">
              <w:rPr>
                <w:rFonts w:ascii="Times New Roman" w:hAnsi="Times New Roman"/>
              </w:rPr>
              <w:t>3. Izteikt 3. panta pirmās daļas 1. punktu šādā redakcijā:</w:t>
            </w:r>
          </w:p>
          <w:p w:rsidR="00C51EAD" w:rsidRPr="00381F40" w:rsidRDefault="00C51EAD" w:rsidP="00F94FBC">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r w:rsidRPr="00381F40">
              <w:rPr>
                <w:rFonts w:ascii="Times New Roman" w:hAnsi="Times New Roman"/>
              </w:rPr>
              <w:t>"1) vecāks nenodrošina bērnam uzturlīdzekļus vismaz šā likuma 13. panta 2.</w:t>
            </w:r>
            <w:r w:rsidRPr="00381F40">
              <w:rPr>
                <w:rFonts w:ascii="Times New Roman" w:hAnsi="Times New Roman"/>
                <w:vertAlign w:val="superscript"/>
              </w:rPr>
              <w:t>2</w:t>
            </w:r>
            <w:r w:rsidRPr="00381F40">
              <w:rPr>
                <w:rFonts w:ascii="Times New Roman" w:hAnsi="Times New Roman"/>
              </w:rPr>
              <w:t> daļā noteiktajā apmērā un nepastāv kāds no šā likuma 11. panta piektajā daļā minētajiem apstākļiem;".</w:t>
            </w:r>
          </w:p>
        </w:tc>
        <w:tc>
          <w:tcPr>
            <w:tcW w:w="567" w:type="dxa"/>
          </w:tcPr>
          <w:p w:rsidR="00C51EAD" w:rsidRPr="00381F40" w:rsidRDefault="00C51EAD" w:rsidP="003C4C25">
            <w:pPr>
              <w:pStyle w:val="ListParagraph"/>
              <w:tabs>
                <w:tab w:val="left" w:pos="567"/>
                <w:tab w:val="left" w:pos="851"/>
                <w:tab w:val="left" w:pos="993"/>
                <w:tab w:val="left" w:pos="1560"/>
              </w:tabs>
              <w:spacing w:after="0" w:line="240" w:lineRule="auto"/>
              <w:ind w:left="0"/>
              <w:jc w:val="center"/>
              <w:rPr>
                <w:rFonts w:ascii="Times New Roman" w:hAnsi="Times New Roman"/>
              </w:rPr>
            </w:pPr>
          </w:p>
        </w:tc>
        <w:tc>
          <w:tcPr>
            <w:tcW w:w="3798" w:type="dxa"/>
          </w:tcPr>
          <w:p w:rsidR="00C51EAD" w:rsidRPr="00381F40" w:rsidRDefault="00C51EAD" w:rsidP="00F94FBC">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p>
        </w:tc>
        <w:tc>
          <w:tcPr>
            <w:tcW w:w="1417" w:type="dxa"/>
          </w:tcPr>
          <w:p w:rsidR="00C51EAD" w:rsidRPr="00381F40" w:rsidRDefault="00C51EAD" w:rsidP="00F94FBC">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p>
        </w:tc>
        <w:tc>
          <w:tcPr>
            <w:tcW w:w="1417" w:type="dxa"/>
          </w:tcPr>
          <w:p w:rsidR="00C51EAD" w:rsidRPr="00381F40" w:rsidRDefault="00C51EAD" w:rsidP="00F94FBC">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p>
        </w:tc>
      </w:tr>
      <w:tr w:rsidR="00381F40" w:rsidRPr="00381F40" w:rsidTr="00C51EAD">
        <w:tc>
          <w:tcPr>
            <w:tcW w:w="3798" w:type="dxa"/>
            <w:shd w:val="clear" w:color="auto" w:fill="auto"/>
          </w:tcPr>
          <w:p w:rsidR="0073365F" w:rsidRPr="00381F40" w:rsidRDefault="0073365F" w:rsidP="0073365F">
            <w:pPr>
              <w:pStyle w:val="tv213"/>
              <w:spacing w:before="0" w:beforeAutospacing="0" w:after="0" w:afterAutospacing="0"/>
              <w:ind w:firstLine="567"/>
              <w:jc w:val="both"/>
              <w:rPr>
                <w:sz w:val="22"/>
                <w:szCs w:val="22"/>
              </w:rPr>
            </w:pPr>
            <w:r w:rsidRPr="00381F40">
              <w:rPr>
                <w:b/>
                <w:bCs/>
                <w:sz w:val="22"/>
                <w:szCs w:val="22"/>
              </w:rPr>
              <w:lastRenderedPageBreak/>
              <w:t>7.</w:t>
            </w:r>
            <w:r w:rsidRPr="00381F40">
              <w:rPr>
                <w:b/>
                <w:bCs/>
                <w:sz w:val="22"/>
                <w:szCs w:val="22"/>
                <w:vertAlign w:val="superscript"/>
              </w:rPr>
              <w:t>1</w:t>
            </w:r>
            <w:r w:rsidRPr="00381F40">
              <w:rPr>
                <w:b/>
                <w:bCs/>
                <w:sz w:val="22"/>
                <w:szCs w:val="22"/>
              </w:rPr>
              <w:t> pants. Parādnieka šaujamieroča atļaujas darbības apturēšana</w:t>
            </w:r>
          </w:p>
          <w:p w:rsidR="0073365F" w:rsidRPr="00381F40" w:rsidRDefault="0073365F" w:rsidP="0073365F">
            <w:pPr>
              <w:pStyle w:val="tv213"/>
              <w:spacing w:before="0" w:beforeAutospacing="0" w:after="0" w:afterAutospacing="0"/>
              <w:ind w:firstLine="567"/>
              <w:jc w:val="both"/>
              <w:rPr>
                <w:sz w:val="22"/>
                <w:szCs w:val="22"/>
              </w:rPr>
            </w:pPr>
            <w:r w:rsidRPr="00381F40">
              <w:rPr>
                <w:sz w:val="22"/>
                <w:szCs w:val="22"/>
              </w:rPr>
              <w:t>(1) Medību, sporta, kolekcijas un pašaizsardzības šaujamieroča iegādāšanās, realizēšanas, glabāšanas un nēsāšanas atļaujas darbības apturēšana (turpmāk — šaujamieroča atļaujas darbības apturēšana) parādniekam tiek piemērota, lai aizsargātu bērna tiesības un veicinātu vecāku pienākuma pildīšanu — uzturlīdzekļu maksāšanu.</w:t>
            </w:r>
          </w:p>
          <w:p w:rsidR="0073365F" w:rsidRPr="00381F40" w:rsidRDefault="0073365F" w:rsidP="0073365F">
            <w:pPr>
              <w:pStyle w:val="tv213"/>
              <w:spacing w:before="0" w:beforeAutospacing="0" w:after="0" w:afterAutospacing="0"/>
              <w:ind w:firstLine="567"/>
              <w:jc w:val="both"/>
              <w:rPr>
                <w:sz w:val="22"/>
                <w:szCs w:val="22"/>
              </w:rPr>
            </w:pPr>
            <w:r w:rsidRPr="00381F40">
              <w:rPr>
                <w:sz w:val="22"/>
                <w:szCs w:val="22"/>
              </w:rPr>
              <w:t>(2) Fonda administrācija var lemt par šaujamieroča atļaujas darbības apturēšanu, ja:</w:t>
            </w:r>
          </w:p>
          <w:p w:rsidR="0073365F" w:rsidRPr="00381F40" w:rsidRDefault="0073365F" w:rsidP="0073365F">
            <w:pPr>
              <w:pStyle w:val="tv213"/>
              <w:spacing w:before="0" w:beforeAutospacing="0" w:after="0" w:afterAutospacing="0"/>
              <w:ind w:firstLine="567"/>
              <w:jc w:val="both"/>
              <w:rPr>
                <w:sz w:val="22"/>
                <w:szCs w:val="22"/>
              </w:rPr>
            </w:pPr>
            <w:r w:rsidRPr="00381F40">
              <w:rPr>
                <w:sz w:val="22"/>
                <w:szCs w:val="22"/>
              </w:rPr>
              <w:t>1) parādnieka vietā uzturlīdzekļi tiek izmaksāti no Fonda saskaņā ar šā likuma 11. pantu un parādnieks nav noslēdzis ar Fonda administrāciju vienošanos par kārtību, kādā viņš veic uzturlīdzekļu un likumisko procentu maksājumus;</w:t>
            </w:r>
          </w:p>
          <w:p w:rsidR="0073365F" w:rsidRPr="00381F40" w:rsidRDefault="0073365F" w:rsidP="0073365F">
            <w:pPr>
              <w:pStyle w:val="tv213"/>
              <w:spacing w:before="0" w:beforeAutospacing="0" w:after="0" w:afterAutospacing="0"/>
              <w:ind w:firstLine="567"/>
              <w:jc w:val="both"/>
              <w:rPr>
                <w:sz w:val="22"/>
                <w:szCs w:val="22"/>
              </w:rPr>
            </w:pPr>
            <w:r w:rsidRPr="00381F40">
              <w:rPr>
                <w:sz w:val="22"/>
                <w:szCs w:val="22"/>
              </w:rPr>
              <w:t>2) parādnieks ir noslēdzis ar Fonda administrāciju vienošanos par kārtību, kādā viņš veic uzturlīdzekļu un likumisko procentu maksājumus, bet noslēgto vienošanos nepilda;</w:t>
            </w:r>
          </w:p>
          <w:p w:rsidR="0073365F" w:rsidRPr="00381F40" w:rsidRDefault="0073365F" w:rsidP="0073365F">
            <w:pPr>
              <w:pStyle w:val="tv213"/>
              <w:spacing w:before="0" w:beforeAutospacing="0" w:after="0" w:afterAutospacing="0"/>
              <w:ind w:firstLine="567"/>
              <w:jc w:val="both"/>
              <w:rPr>
                <w:sz w:val="22"/>
                <w:szCs w:val="22"/>
              </w:rPr>
            </w:pPr>
            <w:r w:rsidRPr="00381F40">
              <w:rPr>
                <w:sz w:val="22"/>
                <w:szCs w:val="22"/>
              </w:rPr>
              <w:t>3) parādnieka vietā uzturlīdzekļi tiek izmaksāti no Fonda saskaņā ar šā likuma 12. pantu un no zvērināta tiesu izpildītāja nav saņemti trīs parādnieka maksājumi pēc kārtas parāda segšanai.</w:t>
            </w:r>
          </w:p>
          <w:p w:rsidR="0073365F" w:rsidRPr="00381F40" w:rsidRDefault="0073365F" w:rsidP="0073365F">
            <w:pPr>
              <w:pStyle w:val="tv213"/>
              <w:spacing w:before="0" w:beforeAutospacing="0" w:after="0" w:afterAutospacing="0"/>
              <w:ind w:firstLine="567"/>
              <w:jc w:val="both"/>
              <w:rPr>
                <w:sz w:val="22"/>
                <w:szCs w:val="22"/>
              </w:rPr>
            </w:pPr>
            <w:r w:rsidRPr="00381F40">
              <w:rPr>
                <w:sz w:val="22"/>
                <w:szCs w:val="22"/>
              </w:rPr>
              <w:t xml:space="preserve">(3) Fonda administrācija pirms lēmuma pieņemšanas nosūta parādniekam lūgumu sniegt paskaidrojumu, kurā norādāmi apstākļi, kuru dēļ šaujamieroča atļaujas darbības apturēšana varētu radīt būtisku kaitējumu parādnieka interesēm. </w:t>
            </w:r>
            <w:r w:rsidRPr="00381F40">
              <w:rPr>
                <w:sz w:val="22"/>
                <w:szCs w:val="22"/>
              </w:rPr>
              <w:lastRenderedPageBreak/>
              <w:t>Parādnieks paskaidrojumam pievieno pierādījumus, kas apliecina tajā minēto. Paskaidrojums sniedzams 20 dienu laikā no Fonda administrācijas lūguma saņemšanas dienas, un tā nesniegšana noteiktajā termiņā nav šķērslis lēmuma pieņemšanai.</w:t>
            </w:r>
          </w:p>
          <w:p w:rsidR="0073365F" w:rsidRPr="00381F40" w:rsidRDefault="0073365F" w:rsidP="0073365F">
            <w:pPr>
              <w:pStyle w:val="tv213"/>
              <w:spacing w:before="0" w:beforeAutospacing="0" w:after="0" w:afterAutospacing="0"/>
              <w:ind w:firstLine="567"/>
              <w:jc w:val="both"/>
              <w:rPr>
                <w:sz w:val="22"/>
                <w:szCs w:val="22"/>
              </w:rPr>
            </w:pPr>
            <w:r w:rsidRPr="00381F40">
              <w:rPr>
                <w:sz w:val="22"/>
                <w:szCs w:val="22"/>
              </w:rPr>
              <w:t>(4) Fonda administrācija pēc parādnieka lūguma saņemšanas vai pēc savas iniciatīvas var lemt par šaujamieroča atļaujas darbības atjaunošanu šādos gadījumos:</w:t>
            </w:r>
          </w:p>
          <w:p w:rsidR="0073365F" w:rsidRPr="00381F40" w:rsidRDefault="0073365F" w:rsidP="0073365F">
            <w:pPr>
              <w:pStyle w:val="tv213"/>
              <w:spacing w:before="0" w:beforeAutospacing="0" w:after="0" w:afterAutospacing="0"/>
              <w:ind w:firstLine="567"/>
              <w:jc w:val="both"/>
              <w:rPr>
                <w:sz w:val="22"/>
                <w:szCs w:val="22"/>
              </w:rPr>
            </w:pPr>
            <w:r w:rsidRPr="00381F40">
              <w:rPr>
                <w:sz w:val="22"/>
                <w:szCs w:val="22"/>
              </w:rPr>
              <w:t>1) parādnieks ir noslēdzis ar Fonda administrāciju vienošanos par parāda maksāšanas grafiku un veicis trīs maksājumus pēc kārtas, ja uzturlīdzekļu izmaksa no Fonda tiek veikta šā likuma 11. pantā noteiktajā kārtībā;</w:t>
            </w:r>
          </w:p>
          <w:p w:rsidR="0073365F" w:rsidRPr="00381F40" w:rsidRDefault="0073365F" w:rsidP="0073365F">
            <w:pPr>
              <w:pStyle w:val="tv213"/>
              <w:spacing w:before="0" w:beforeAutospacing="0" w:after="0" w:afterAutospacing="0"/>
              <w:ind w:firstLine="567"/>
              <w:jc w:val="both"/>
              <w:rPr>
                <w:sz w:val="22"/>
                <w:szCs w:val="22"/>
              </w:rPr>
            </w:pPr>
            <w:r w:rsidRPr="00381F40">
              <w:rPr>
                <w:sz w:val="22"/>
                <w:szCs w:val="22"/>
              </w:rPr>
              <w:t>2) no zvērināta tiesu izpildītāja saņemti trīs parādnieka maksājumi pēc kārtas parāda segšanai, ja uzturlīdzekļu izmaksa no Fonda tiek veikta šā likuma 12. pantā noteiktajā kārtībā.</w:t>
            </w:r>
          </w:p>
          <w:p w:rsidR="004F4538" w:rsidRPr="00381F40" w:rsidRDefault="0073365F" w:rsidP="0073365F">
            <w:pPr>
              <w:pStyle w:val="tv213"/>
              <w:spacing w:before="0" w:beforeAutospacing="0" w:after="0" w:afterAutospacing="0"/>
              <w:ind w:firstLine="567"/>
              <w:jc w:val="both"/>
              <w:rPr>
                <w:sz w:val="22"/>
                <w:szCs w:val="22"/>
              </w:rPr>
            </w:pPr>
            <w:r w:rsidRPr="00381F40">
              <w:rPr>
                <w:sz w:val="22"/>
                <w:szCs w:val="22"/>
              </w:rPr>
              <w:t>(5) Fonda administrācija lēmumu par šaujamieroča atļaujas darbības apturēšanu vai atjaunošanu nosūta parādniekam un Valsts policijai izpildei.</w:t>
            </w:r>
          </w:p>
        </w:tc>
        <w:tc>
          <w:tcPr>
            <w:tcW w:w="3798" w:type="dxa"/>
            <w:shd w:val="clear" w:color="auto" w:fill="auto"/>
          </w:tcPr>
          <w:p w:rsidR="004F4538" w:rsidRPr="00381F40" w:rsidRDefault="004F4538" w:rsidP="00F94FBC">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p>
        </w:tc>
        <w:tc>
          <w:tcPr>
            <w:tcW w:w="567" w:type="dxa"/>
          </w:tcPr>
          <w:p w:rsidR="004F4538" w:rsidRPr="00381F40" w:rsidRDefault="0073365F" w:rsidP="003C4C25">
            <w:pPr>
              <w:pStyle w:val="ListParagraph"/>
              <w:tabs>
                <w:tab w:val="left" w:pos="567"/>
                <w:tab w:val="left" w:pos="851"/>
                <w:tab w:val="left" w:pos="993"/>
                <w:tab w:val="left" w:pos="1560"/>
              </w:tabs>
              <w:spacing w:after="0" w:line="240" w:lineRule="auto"/>
              <w:ind w:left="0"/>
              <w:jc w:val="center"/>
              <w:rPr>
                <w:rFonts w:ascii="Times New Roman" w:hAnsi="Times New Roman"/>
                <w:b/>
              </w:rPr>
            </w:pPr>
            <w:r w:rsidRPr="00381F40">
              <w:rPr>
                <w:rFonts w:ascii="Times New Roman" w:hAnsi="Times New Roman"/>
                <w:b/>
              </w:rPr>
              <w:t>3</w:t>
            </w:r>
          </w:p>
        </w:tc>
        <w:tc>
          <w:tcPr>
            <w:tcW w:w="3798" w:type="dxa"/>
          </w:tcPr>
          <w:p w:rsidR="004F4538" w:rsidRPr="00381F40" w:rsidRDefault="004F4538" w:rsidP="004F4538">
            <w:pPr>
              <w:pStyle w:val="ListParagraph"/>
              <w:tabs>
                <w:tab w:val="left" w:pos="567"/>
                <w:tab w:val="left" w:pos="851"/>
                <w:tab w:val="left" w:pos="993"/>
                <w:tab w:val="left" w:pos="1560"/>
              </w:tabs>
              <w:spacing w:after="0" w:line="240" w:lineRule="auto"/>
              <w:ind w:left="0" w:firstLine="567"/>
              <w:jc w:val="both"/>
              <w:rPr>
                <w:rFonts w:ascii="Times New Roman" w:hAnsi="Times New Roman"/>
                <w:b/>
                <w:u w:val="single"/>
              </w:rPr>
            </w:pPr>
            <w:r w:rsidRPr="00381F40">
              <w:rPr>
                <w:rFonts w:ascii="Times New Roman" w:hAnsi="Times New Roman"/>
                <w:b/>
                <w:u w:val="single"/>
              </w:rPr>
              <w:t xml:space="preserve">Deputāts </w:t>
            </w:r>
            <w:proofErr w:type="spellStart"/>
            <w:r w:rsidRPr="00381F40">
              <w:rPr>
                <w:rFonts w:ascii="Times New Roman" w:hAnsi="Times New Roman"/>
                <w:b/>
                <w:u w:val="single"/>
              </w:rPr>
              <w:t>V.Valainis</w:t>
            </w:r>
            <w:proofErr w:type="spellEnd"/>
          </w:p>
          <w:p w:rsidR="004F4538" w:rsidRPr="00381F40" w:rsidRDefault="004F4538" w:rsidP="004F4538">
            <w:pPr>
              <w:ind w:firstLine="567"/>
              <w:jc w:val="both"/>
              <w:rPr>
                <w:rFonts w:eastAsia="Times New Roman"/>
                <w:sz w:val="22"/>
                <w:lang w:eastAsia="en-GB"/>
              </w:rPr>
            </w:pPr>
            <w:r w:rsidRPr="00381F40">
              <w:rPr>
                <w:rFonts w:eastAsia="Times New Roman"/>
                <w:sz w:val="22"/>
                <w:lang w:eastAsia="en-GB"/>
              </w:rPr>
              <w:t>Papildināt likumu ar 7.</w:t>
            </w:r>
            <w:r w:rsidRPr="00381F40">
              <w:rPr>
                <w:rFonts w:eastAsia="Times New Roman"/>
                <w:sz w:val="22"/>
                <w:vertAlign w:val="superscript"/>
                <w:lang w:eastAsia="en-GB"/>
              </w:rPr>
              <w:t>1</w:t>
            </w:r>
            <w:r w:rsidRPr="00381F40">
              <w:rPr>
                <w:rFonts w:eastAsia="Times New Roman"/>
                <w:sz w:val="22"/>
                <w:lang w:eastAsia="en-GB"/>
              </w:rPr>
              <w:t> pantu šādā redakcijā:</w:t>
            </w:r>
          </w:p>
          <w:p w:rsidR="004F4538" w:rsidRPr="00381F40" w:rsidRDefault="004F4538" w:rsidP="004F4538">
            <w:pPr>
              <w:ind w:firstLine="567"/>
              <w:jc w:val="both"/>
              <w:rPr>
                <w:rFonts w:eastAsia="Times New Roman"/>
                <w:sz w:val="22"/>
                <w:lang w:eastAsia="en-GB"/>
              </w:rPr>
            </w:pPr>
            <w:r w:rsidRPr="00381F40">
              <w:rPr>
                <w:rFonts w:eastAsia="Times New Roman"/>
                <w:sz w:val="22"/>
                <w:lang w:eastAsia="en-GB"/>
              </w:rPr>
              <w:t> "</w:t>
            </w:r>
            <w:r w:rsidRPr="00381F40">
              <w:rPr>
                <w:rFonts w:eastAsia="Times New Roman"/>
                <w:b/>
                <w:bCs/>
                <w:sz w:val="22"/>
                <w:lang w:eastAsia="en-GB"/>
              </w:rPr>
              <w:t>7.</w:t>
            </w:r>
            <w:r w:rsidRPr="00381F40">
              <w:rPr>
                <w:rFonts w:eastAsia="Times New Roman"/>
                <w:b/>
                <w:bCs/>
                <w:sz w:val="22"/>
                <w:vertAlign w:val="superscript"/>
                <w:lang w:eastAsia="en-GB"/>
              </w:rPr>
              <w:t>1</w:t>
            </w:r>
            <w:r w:rsidRPr="00381F40">
              <w:rPr>
                <w:rFonts w:eastAsia="Times New Roman"/>
                <w:b/>
                <w:bCs/>
                <w:sz w:val="22"/>
                <w:lang w:eastAsia="en-GB"/>
              </w:rPr>
              <w:t xml:space="preserve"> pants. </w:t>
            </w:r>
            <w:r w:rsidRPr="00381F40">
              <w:rPr>
                <w:rFonts w:eastAsia="Times New Roman"/>
                <w:bCs/>
                <w:sz w:val="22"/>
                <w:lang w:eastAsia="en-GB"/>
              </w:rPr>
              <w:t xml:space="preserve">Parādnieka </w:t>
            </w:r>
            <w:r w:rsidRPr="00381F40">
              <w:rPr>
                <w:sz w:val="22"/>
              </w:rPr>
              <w:t xml:space="preserve">iekļaušana </w:t>
            </w:r>
            <w:proofErr w:type="spellStart"/>
            <w:r w:rsidRPr="00381F40">
              <w:rPr>
                <w:sz w:val="22"/>
              </w:rPr>
              <w:t>pašatteikušos</w:t>
            </w:r>
            <w:proofErr w:type="spellEnd"/>
            <w:r w:rsidRPr="00381F40">
              <w:rPr>
                <w:sz w:val="22"/>
              </w:rPr>
              <w:t xml:space="preserve"> personu reģistrā.</w:t>
            </w:r>
          </w:p>
          <w:p w:rsidR="004F4538" w:rsidRPr="00381F40" w:rsidRDefault="004F4538" w:rsidP="004F4538">
            <w:pPr>
              <w:ind w:firstLine="567"/>
              <w:jc w:val="both"/>
              <w:rPr>
                <w:rFonts w:eastAsia="Times New Roman"/>
                <w:sz w:val="22"/>
                <w:lang w:eastAsia="en-GB"/>
              </w:rPr>
            </w:pPr>
            <w:r w:rsidRPr="00381F40">
              <w:rPr>
                <w:rFonts w:eastAsia="Times New Roman"/>
                <w:sz w:val="22"/>
                <w:lang w:eastAsia="en-GB"/>
              </w:rPr>
              <w:t xml:space="preserve">(1) Personas iekļaušanu </w:t>
            </w:r>
            <w:proofErr w:type="spellStart"/>
            <w:r w:rsidRPr="00381F40">
              <w:rPr>
                <w:rFonts w:eastAsia="Times New Roman"/>
                <w:sz w:val="22"/>
                <w:lang w:eastAsia="en-GB"/>
              </w:rPr>
              <w:t>pašatteikušos</w:t>
            </w:r>
            <w:proofErr w:type="spellEnd"/>
            <w:r w:rsidRPr="00381F40">
              <w:rPr>
                <w:rFonts w:eastAsia="Times New Roman"/>
                <w:sz w:val="22"/>
                <w:lang w:eastAsia="en-GB"/>
              </w:rPr>
              <w:t xml:space="preserve"> personu reģistrā parādniekam tiek piemērota, lai aizsargātu bērna tiesības un veicinātu vecāku pienākuma pildīšanu – uzturlīdzekļu maksāšanu.</w:t>
            </w:r>
          </w:p>
          <w:p w:rsidR="004F4538" w:rsidRPr="00381F40" w:rsidRDefault="004F4538" w:rsidP="004F4538">
            <w:pPr>
              <w:ind w:firstLine="567"/>
              <w:jc w:val="both"/>
              <w:rPr>
                <w:rFonts w:eastAsia="Times New Roman"/>
                <w:sz w:val="22"/>
                <w:lang w:eastAsia="en-GB"/>
              </w:rPr>
            </w:pPr>
            <w:r w:rsidRPr="00381F40">
              <w:rPr>
                <w:rFonts w:eastAsia="Times New Roman"/>
                <w:sz w:val="22"/>
                <w:lang w:eastAsia="en-GB"/>
              </w:rPr>
              <w:t>(2) Fonda administrācija var lemt par personas izslēgšanu, ja:</w:t>
            </w:r>
          </w:p>
          <w:p w:rsidR="004F4538" w:rsidRPr="00381F40" w:rsidRDefault="004F4538" w:rsidP="004F4538">
            <w:pPr>
              <w:ind w:firstLine="567"/>
              <w:jc w:val="both"/>
              <w:rPr>
                <w:rFonts w:eastAsia="Times New Roman"/>
                <w:sz w:val="22"/>
                <w:lang w:eastAsia="en-GB"/>
              </w:rPr>
            </w:pPr>
            <w:r w:rsidRPr="00381F40">
              <w:rPr>
                <w:rFonts w:eastAsia="Times New Roman"/>
                <w:sz w:val="22"/>
                <w:lang w:eastAsia="en-GB"/>
              </w:rPr>
              <w:t>1) parādnieka vietā uzturlīdzekļi tiek izmaksāti no Fonda saskaņā ar šā likuma 11. pantu un parādnieks nav noslēdzis ar Fonda administrāciju vienošanos par kārtību, kādā viņš veic uzturlīdzekļu un likumisko procentu maksājumus;</w:t>
            </w:r>
          </w:p>
          <w:p w:rsidR="004F4538" w:rsidRPr="00381F40" w:rsidRDefault="004F4538" w:rsidP="004F4538">
            <w:pPr>
              <w:ind w:firstLine="567"/>
              <w:jc w:val="both"/>
              <w:rPr>
                <w:rFonts w:eastAsia="Times New Roman"/>
                <w:sz w:val="22"/>
                <w:lang w:eastAsia="en-GB"/>
              </w:rPr>
            </w:pPr>
            <w:r w:rsidRPr="00381F40">
              <w:rPr>
                <w:rFonts w:eastAsia="Times New Roman"/>
                <w:sz w:val="22"/>
                <w:lang w:eastAsia="en-GB"/>
              </w:rPr>
              <w:t>2) parādnieks ir noslēdzis ar Fonda administrāciju vienošanos par kārtību, kādā viņš veic uzturlīdzekļu un likumisko procentu maksājumus, bet noslēgto vienošanos nepilda;</w:t>
            </w:r>
          </w:p>
          <w:p w:rsidR="004F4538" w:rsidRPr="00381F40" w:rsidRDefault="004F4538" w:rsidP="004F4538">
            <w:pPr>
              <w:ind w:firstLine="567"/>
              <w:jc w:val="both"/>
              <w:rPr>
                <w:rFonts w:eastAsia="Times New Roman"/>
                <w:sz w:val="22"/>
                <w:lang w:eastAsia="en-GB"/>
              </w:rPr>
            </w:pPr>
            <w:r w:rsidRPr="00381F40">
              <w:rPr>
                <w:rFonts w:eastAsia="Times New Roman"/>
                <w:sz w:val="22"/>
                <w:lang w:eastAsia="en-GB"/>
              </w:rPr>
              <w:t>3) parādnieka vietā uzturlīdzekļi tiek izmaksāti no Fonda saskaņā ar šā likuma 12. pantu un no zvērināta tiesu izpildītāja nav saņemti trīs parādnieka maksājumi pēc kārtas parāda segšanai.</w:t>
            </w:r>
          </w:p>
          <w:p w:rsidR="004F4538" w:rsidRPr="00381F40" w:rsidRDefault="004F4538" w:rsidP="004F4538">
            <w:pPr>
              <w:ind w:firstLine="567"/>
              <w:jc w:val="both"/>
              <w:rPr>
                <w:rFonts w:eastAsia="Times New Roman"/>
                <w:sz w:val="22"/>
                <w:lang w:eastAsia="en-GB"/>
              </w:rPr>
            </w:pPr>
            <w:r w:rsidRPr="00381F40">
              <w:rPr>
                <w:rFonts w:eastAsia="Times New Roman"/>
                <w:sz w:val="22"/>
                <w:lang w:eastAsia="en-GB"/>
              </w:rPr>
              <w:t xml:space="preserve"> (3) Fonda administrācija pēc parādnieka lūguma saņemšanas vai pēc savas iniciatīvas var lemt par personas izslēgšanu no pašatteikšanās reģistra šādos gadījumos:</w:t>
            </w:r>
          </w:p>
          <w:p w:rsidR="004F4538" w:rsidRPr="00381F40" w:rsidRDefault="004F4538" w:rsidP="004F4538">
            <w:pPr>
              <w:ind w:firstLine="567"/>
              <w:jc w:val="both"/>
              <w:rPr>
                <w:rFonts w:eastAsia="Times New Roman"/>
                <w:sz w:val="22"/>
                <w:lang w:eastAsia="en-GB"/>
              </w:rPr>
            </w:pPr>
            <w:r w:rsidRPr="00381F40">
              <w:rPr>
                <w:rFonts w:eastAsia="Times New Roman"/>
                <w:sz w:val="22"/>
                <w:lang w:eastAsia="en-GB"/>
              </w:rPr>
              <w:t xml:space="preserve">1) parādnieks ir noslēdzis ar Fonda administrāciju vienošanos par parāda maksāšanas grafiku un veicis trīs maksājumus pēc kārtas, ja uzturlīdzekļu </w:t>
            </w:r>
            <w:r w:rsidRPr="00381F40">
              <w:rPr>
                <w:rFonts w:eastAsia="Times New Roman"/>
                <w:sz w:val="22"/>
                <w:lang w:eastAsia="en-GB"/>
              </w:rPr>
              <w:lastRenderedPageBreak/>
              <w:t>izmaksa no Fonda tiek veikta šā likuma 11. pantā noteiktajā kārtībā;</w:t>
            </w:r>
          </w:p>
          <w:p w:rsidR="004F4538" w:rsidRPr="00381F40" w:rsidRDefault="004F4538" w:rsidP="004F4538">
            <w:pPr>
              <w:ind w:firstLine="567"/>
              <w:jc w:val="both"/>
              <w:rPr>
                <w:rFonts w:eastAsia="Times New Roman"/>
                <w:sz w:val="22"/>
                <w:lang w:eastAsia="en-GB"/>
              </w:rPr>
            </w:pPr>
            <w:r w:rsidRPr="00381F40">
              <w:rPr>
                <w:rFonts w:eastAsia="Times New Roman"/>
                <w:sz w:val="22"/>
                <w:lang w:eastAsia="en-GB"/>
              </w:rPr>
              <w:t xml:space="preserve">2) no zvērināta tiesu izpildītāja saņemti trīs parādnieka maksājumi pēc kārtas parāda segšanai, ja uzturlīdzekļu izmaksa no Fonda tiek veikta šā likuma 12. pantā noteiktajā kārtībā. </w:t>
            </w:r>
          </w:p>
          <w:p w:rsidR="004F4538" w:rsidRPr="00381F40" w:rsidRDefault="004F4538" w:rsidP="004F4538">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r w:rsidRPr="00381F40">
              <w:rPr>
                <w:rFonts w:ascii="Times New Roman" w:eastAsia="Times New Roman" w:hAnsi="Times New Roman"/>
                <w:lang w:eastAsia="en-GB"/>
              </w:rPr>
              <w:t>(4) Fonda administrācija lēmumu par izslēgšanu no pašatteikšanās reģistra apturēšanu vai atjaunošanu nosūta parādniekam</w:t>
            </w:r>
            <w:proofErr w:type="gramStart"/>
            <w:r w:rsidRPr="00381F40">
              <w:rPr>
                <w:rFonts w:ascii="Times New Roman" w:eastAsia="Times New Roman" w:hAnsi="Times New Roman"/>
                <w:lang w:eastAsia="en-GB"/>
              </w:rPr>
              <w:t xml:space="preserve"> un</w:t>
            </w:r>
            <w:proofErr w:type="gramEnd"/>
            <w:r w:rsidRPr="00381F40">
              <w:rPr>
                <w:rFonts w:ascii="Times New Roman" w:eastAsia="Times New Roman" w:hAnsi="Times New Roman"/>
                <w:lang w:eastAsia="en-GB"/>
              </w:rPr>
              <w:t xml:space="preserve"> </w:t>
            </w:r>
            <w:r w:rsidRPr="00381F40">
              <w:rPr>
                <w:rFonts w:ascii="Times New Roman" w:hAnsi="Times New Roman"/>
              </w:rPr>
              <w:t>Izložu un azartspēļu uzraudzības inspekcija</w:t>
            </w:r>
            <w:r w:rsidRPr="00381F40">
              <w:rPr>
                <w:rFonts w:ascii="Times New Roman" w:eastAsia="Times New Roman" w:hAnsi="Times New Roman"/>
                <w:lang w:eastAsia="en-GB"/>
              </w:rPr>
              <w:t>."</w:t>
            </w:r>
          </w:p>
        </w:tc>
        <w:tc>
          <w:tcPr>
            <w:tcW w:w="1417" w:type="dxa"/>
          </w:tcPr>
          <w:p w:rsidR="004F4538" w:rsidRPr="00381F40" w:rsidRDefault="004F4538" w:rsidP="00F94FBC">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p>
        </w:tc>
        <w:tc>
          <w:tcPr>
            <w:tcW w:w="1417" w:type="dxa"/>
          </w:tcPr>
          <w:p w:rsidR="004F4538" w:rsidRPr="00381F40" w:rsidRDefault="004F4538" w:rsidP="00F94FBC">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p>
        </w:tc>
      </w:tr>
      <w:tr w:rsidR="00381F40" w:rsidRPr="00381F40" w:rsidTr="00C51EAD">
        <w:tc>
          <w:tcPr>
            <w:tcW w:w="3798" w:type="dxa"/>
            <w:shd w:val="clear" w:color="auto" w:fill="auto"/>
          </w:tcPr>
          <w:p w:rsidR="00C51EAD" w:rsidRPr="00381F40" w:rsidRDefault="00C51EAD" w:rsidP="00F94FBC">
            <w:pPr>
              <w:pStyle w:val="tv213"/>
              <w:spacing w:before="0" w:beforeAutospacing="0" w:after="0" w:afterAutospacing="0"/>
              <w:ind w:firstLine="567"/>
              <w:jc w:val="both"/>
              <w:rPr>
                <w:sz w:val="22"/>
                <w:szCs w:val="22"/>
              </w:rPr>
            </w:pPr>
            <w:r w:rsidRPr="00381F40">
              <w:rPr>
                <w:b/>
                <w:bCs/>
                <w:sz w:val="22"/>
                <w:szCs w:val="22"/>
              </w:rPr>
              <w:t>11. pants. Uzturlīdzekļu saņemšana administratīvā procesa ietvaros</w:t>
            </w:r>
          </w:p>
          <w:p w:rsidR="00C51EAD" w:rsidRPr="00381F40" w:rsidRDefault="00C51EAD" w:rsidP="00F94FBC">
            <w:pPr>
              <w:pStyle w:val="tv213"/>
              <w:spacing w:before="0" w:beforeAutospacing="0" w:after="0" w:afterAutospacing="0"/>
              <w:ind w:firstLine="567"/>
              <w:jc w:val="both"/>
              <w:rPr>
                <w:sz w:val="22"/>
                <w:szCs w:val="22"/>
              </w:rPr>
            </w:pPr>
            <w:r w:rsidRPr="00381F40">
              <w:rPr>
                <w:sz w:val="22"/>
                <w:szCs w:val="22"/>
              </w:rPr>
              <w:t xml:space="preserve">(1) Ja vecākam nav ar tiesas nolēmumu par uzturlīdzekļu piedziņu vai vienošanos par uzturlīdzekļiem noteikts pienākums maksāt uzturlīdzekļus bērna uzturam un vecāks nenodrošina savam bērnam minimālo uzturlīdzekļu apmēru, kādu, pamatojoties uz Civillikuma 179. panta piekto daļu, noteicis Ministru kabinets, iesniedzējam ir tiesības iesniegt </w:t>
            </w:r>
            <w:r w:rsidRPr="00381F40">
              <w:rPr>
                <w:sz w:val="22"/>
                <w:szCs w:val="22"/>
              </w:rPr>
              <w:lastRenderedPageBreak/>
              <w:t>Fonda administrācijai iesniegumu par uzturlīdzekļu izmaksu no Fonda.</w:t>
            </w:r>
          </w:p>
        </w:tc>
        <w:tc>
          <w:tcPr>
            <w:tcW w:w="3798" w:type="dxa"/>
            <w:shd w:val="clear" w:color="auto" w:fill="auto"/>
          </w:tcPr>
          <w:p w:rsidR="00C51EAD" w:rsidRPr="00381F40" w:rsidRDefault="00C51EAD" w:rsidP="00F94FBC">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r w:rsidRPr="00381F40">
              <w:rPr>
                <w:rFonts w:ascii="Times New Roman" w:hAnsi="Times New Roman"/>
              </w:rPr>
              <w:lastRenderedPageBreak/>
              <w:t>4. Izteikt 11. panta pirmo daļu šādā redakcijā:</w:t>
            </w:r>
          </w:p>
          <w:p w:rsidR="00C51EAD" w:rsidRPr="00381F40" w:rsidRDefault="00C51EAD" w:rsidP="00F94FBC">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r w:rsidRPr="00381F40">
              <w:rPr>
                <w:rFonts w:ascii="Times New Roman" w:hAnsi="Times New Roman"/>
              </w:rPr>
              <w:t>"(1) Ja vecākam nav ar tiesas nolēmumu par uzturlīdzekļu piedziņu vai vienošanos par uzturlīdzekļiem noteikts pienākums maksāt uzturlīdzekļus un vecāks nenodrošina uzturlīdzekļus vismaz šā likuma 13. panta 2.</w:t>
            </w:r>
            <w:r w:rsidRPr="00381F40">
              <w:rPr>
                <w:rFonts w:ascii="Times New Roman" w:hAnsi="Times New Roman"/>
                <w:vertAlign w:val="superscript"/>
              </w:rPr>
              <w:t>2</w:t>
            </w:r>
            <w:r w:rsidRPr="00381F40">
              <w:rPr>
                <w:rFonts w:ascii="Times New Roman" w:hAnsi="Times New Roman"/>
              </w:rPr>
              <w:t> daļā noteiktajā apmērā, iesniedzējam ir tiesības iesniegt Fonda administrācijai iesniegumu par uzturlīdzekļu izmaksu no Fonda."</w:t>
            </w:r>
          </w:p>
        </w:tc>
        <w:tc>
          <w:tcPr>
            <w:tcW w:w="567" w:type="dxa"/>
          </w:tcPr>
          <w:p w:rsidR="00C51EAD" w:rsidRPr="00381F40" w:rsidRDefault="00C51EAD" w:rsidP="003C4C25">
            <w:pPr>
              <w:pStyle w:val="ListParagraph"/>
              <w:tabs>
                <w:tab w:val="left" w:pos="567"/>
                <w:tab w:val="left" w:pos="851"/>
                <w:tab w:val="left" w:pos="993"/>
                <w:tab w:val="left" w:pos="1560"/>
              </w:tabs>
              <w:spacing w:after="0" w:line="240" w:lineRule="auto"/>
              <w:ind w:left="0"/>
              <w:jc w:val="center"/>
              <w:rPr>
                <w:rFonts w:ascii="Times New Roman" w:hAnsi="Times New Roman"/>
              </w:rPr>
            </w:pPr>
          </w:p>
        </w:tc>
        <w:tc>
          <w:tcPr>
            <w:tcW w:w="3798" w:type="dxa"/>
          </w:tcPr>
          <w:p w:rsidR="00C51EAD" w:rsidRPr="00381F40" w:rsidRDefault="00C51EAD" w:rsidP="00F94FBC">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p>
        </w:tc>
        <w:tc>
          <w:tcPr>
            <w:tcW w:w="1417" w:type="dxa"/>
          </w:tcPr>
          <w:p w:rsidR="00C51EAD" w:rsidRPr="00381F40" w:rsidRDefault="00C51EAD" w:rsidP="00F94FBC">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p>
        </w:tc>
        <w:tc>
          <w:tcPr>
            <w:tcW w:w="1417" w:type="dxa"/>
          </w:tcPr>
          <w:p w:rsidR="00C51EAD" w:rsidRPr="00381F40" w:rsidRDefault="00C51EAD" w:rsidP="00F94FBC">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p>
        </w:tc>
      </w:tr>
      <w:tr w:rsidR="00381F40" w:rsidRPr="00381F40" w:rsidTr="00C51EAD">
        <w:tc>
          <w:tcPr>
            <w:tcW w:w="3798" w:type="dxa"/>
            <w:shd w:val="clear" w:color="auto" w:fill="auto"/>
          </w:tcPr>
          <w:p w:rsidR="00C51EAD" w:rsidRPr="00381F40" w:rsidRDefault="00C51EAD" w:rsidP="00F94FBC">
            <w:pPr>
              <w:ind w:firstLine="567"/>
              <w:jc w:val="both"/>
              <w:rPr>
                <w:b/>
                <w:bCs/>
                <w:sz w:val="22"/>
              </w:rPr>
            </w:pPr>
            <w:r w:rsidRPr="00381F40">
              <w:rPr>
                <w:b/>
                <w:bCs/>
                <w:sz w:val="22"/>
              </w:rPr>
              <w:t>12. pants. Uzturlīdzekļu saņemšana ar tiesas spriedumu vai vienošanos par uzturlīdzekļiem</w:t>
            </w:r>
          </w:p>
          <w:p w:rsidR="004F4538" w:rsidRPr="00381F40" w:rsidRDefault="00C51EAD" w:rsidP="00381F40">
            <w:pPr>
              <w:ind w:firstLine="567"/>
              <w:jc w:val="both"/>
              <w:rPr>
                <w:sz w:val="22"/>
              </w:rPr>
            </w:pPr>
            <w:r w:rsidRPr="00381F40">
              <w:rPr>
                <w:sz w:val="22"/>
              </w:rPr>
              <w:t>(6) Zvērinātam tiesu izpildītājam ir pienākums paziņot Fonda administrācijai par piedzītajiem uzturlīdzekļiem, ja tie nodrošina minimālo uzturlīdzekļu apmēru, kādu, pamatojoties uz Civillikuma 179. panta piekto daļu, noteicis Ministru kabinets.</w:t>
            </w:r>
          </w:p>
        </w:tc>
        <w:tc>
          <w:tcPr>
            <w:tcW w:w="3798" w:type="dxa"/>
            <w:shd w:val="clear" w:color="auto" w:fill="auto"/>
          </w:tcPr>
          <w:p w:rsidR="00C51EAD" w:rsidRPr="00381F40" w:rsidRDefault="00C51EAD" w:rsidP="00F94FBC">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r w:rsidRPr="00381F40">
              <w:rPr>
                <w:rFonts w:ascii="Times New Roman" w:hAnsi="Times New Roman"/>
              </w:rPr>
              <w:t>5. Izteikt 12. panta sesto daļu šādā redakcijā:</w:t>
            </w:r>
          </w:p>
          <w:p w:rsidR="00C51EAD" w:rsidRPr="00381F40" w:rsidRDefault="00C51EAD" w:rsidP="00F94FBC">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r w:rsidRPr="00381F40">
              <w:rPr>
                <w:rFonts w:ascii="Times New Roman" w:hAnsi="Times New Roman"/>
              </w:rPr>
              <w:t>"(6) Zvērinātam tiesu izpildītājam ir pienākums paziņot Fonda administrācijai par piedzītajiem uzturlīdzekļiem, ja tie sasniedz šā likuma 13. panta 2.</w:t>
            </w:r>
            <w:r w:rsidRPr="00381F40">
              <w:rPr>
                <w:rFonts w:ascii="Times New Roman" w:hAnsi="Times New Roman"/>
                <w:vertAlign w:val="superscript"/>
              </w:rPr>
              <w:t>2</w:t>
            </w:r>
            <w:r w:rsidRPr="00381F40">
              <w:rPr>
                <w:rFonts w:ascii="Times New Roman" w:hAnsi="Times New Roman"/>
              </w:rPr>
              <w:t> daļā noteikto apmēru."</w:t>
            </w:r>
          </w:p>
        </w:tc>
        <w:tc>
          <w:tcPr>
            <w:tcW w:w="567" w:type="dxa"/>
          </w:tcPr>
          <w:p w:rsidR="00C51EAD" w:rsidRPr="00381F40" w:rsidRDefault="00C51EAD" w:rsidP="003C4C25">
            <w:pPr>
              <w:pStyle w:val="ListParagraph"/>
              <w:tabs>
                <w:tab w:val="left" w:pos="567"/>
                <w:tab w:val="left" w:pos="851"/>
                <w:tab w:val="left" w:pos="993"/>
                <w:tab w:val="left" w:pos="1560"/>
              </w:tabs>
              <w:spacing w:after="0" w:line="240" w:lineRule="auto"/>
              <w:ind w:left="0"/>
              <w:jc w:val="center"/>
              <w:rPr>
                <w:rFonts w:ascii="Times New Roman" w:hAnsi="Times New Roman"/>
              </w:rPr>
            </w:pPr>
          </w:p>
        </w:tc>
        <w:tc>
          <w:tcPr>
            <w:tcW w:w="3798" w:type="dxa"/>
          </w:tcPr>
          <w:p w:rsidR="00C51EAD" w:rsidRPr="00381F40" w:rsidRDefault="00C51EAD" w:rsidP="00F94FBC">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p>
        </w:tc>
        <w:tc>
          <w:tcPr>
            <w:tcW w:w="1417" w:type="dxa"/>
          </w:tcPr>
          <w:p w:rsidR="00C51EAD" w:rsidRPr="00381F40" w:rsidRDefault="00C51EAD" w:rsidP="00F94FBC">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p>
        </w:tc>
        <w:tc>
          <w:tcPr>
            <w:tcW w:w="1417" w:type="dxa"/>
          </w:tcPr>
          <w:p w:rsidR="00C51EAD" w:rsidRPr="00381F40" w:rsidRDefault="00C51EAD" w:rsidP="00F94FBC">
            <w:pPr>
              <w:pStyle w:val="ListParagraph"/>
              <w:tabs>
                <w:tab w:val="left" w:pos="567"/>
                <w:tab w:val="left" w:pos="851"/>
                <w:tab w:val="left" w:pos="993"/>
                <w:tab w:val="left" w:pos="1560"/>
              </w:tabs>
              <w:spacing w:after="0" w:line="240" w:lineRule="auto"/>
              <w:ind w:left="0" w:firstLine="567"/>
              <w:jc w:val="both"/>
              <w:rPr>
                <w:rFonts w:ascii="Times New Roman" w:hAnsi="Times New Roman"/>
              </w:rPr>
            </w:pPr>
          </w:p>
        </w:tc>
      </w:tr>
      <w:tr w:rsidR="00381F40" w:rsidRPr="00381F40" w:rsidTr="00C51EAD">
        <w:tc>
          <w:tcPr>
            <w:tcW w:w="3798" w:type="dxa"/>
            <w:shd w:val="clear" w:color="auto" w:fill="auto"/>
          </w:tcPr>
          <w:p w:rsidR="00C51EAD" w:rsidRPr="00381F40" w:rsidRDefault="00C51EAD" w:rsidP="00F94FBC">
            <w:pPr>
              <w:ind w:firstLine="567"/>
              <w:jc w:val="both"/>
              <w:rPr>
                <w:b/>
                <w:noProof/>
                <w:sz w:val="22"/>
                <w:lang w:val="en-GB"/>
              </w:rPr>
            </w:pPr>
            <w:r w:rsidRPr="00381F40">
              <w:rPr>
                <w:b/>
                <w:bCs/>
                <w:sz w:val="22"/>
              </w:rPr>
              <w:t>13. pants. Uzturlīdzekļu izmaksas kārtība un ilgums</w:t>
            </w:r>
          </w:p>
        </w:tc>
        <w:tc>
          <w:tcPr>
            <w:tcW w:w="3798" w:type="dxa"/>
            <w:shd w:val="clear" w:color="auto" w:fill="auto"/>
          </w:tcPr>
          <w:p w:rsidR="00C51EAD" w:rsidRPr="00381F40" w:rsidRDefault="00C51EAD" w:rsidP="00F94FBC">
            <w:pPr>
              <w:pStyle w:val="ListParagraph"/>
              <w:tabs>
                <w:tab w:val="left" w:pos="993"/>
              </w:tabs>
              <w:spacing w:after="0" w:line="240" w:lineRule="auto"/>
              <w:ind w:left="0" w:firstLine="567"/>
              <w:jc w:val="both"/>
              <w:rPr>
                <w:rFonts w:ascii="Times New Roman" w:hAnsi="Times New Roman"/>
              </w:rPr>
            </w:pPr>
            <w:r w:rsidRPr="00381F40">
              <w:rPr>
                <w:rFonts w:ascii="Times New Roman" w:hAnsi="Times New Roman"/>
              </w:rPr>
              <w:t>6.  13. pantā:</w:t>
            </w:r>
          </w:p>
          <w:p w:rsidR="00C51EAD" w:rsidRPr="00381F40" w:rsidRDefault="00C51EAD" w:rsidP="00F94FBC">
            <w:pPr>
              <w:ind w:firstLine="567"/>
              <w:jc w:val="both"/>
              <w:rPr>
                <w:sz w:val="22"/>
              </w:rPr>
            </w:pPr>
            <w:r w:rsidRPr="00381F40">
              <w:rPr>
                <w:sz w:val="22"/>
              </w:rPr>
              <w:t>izteikt panta nosaukumu šādā redakcijā:</w:t>
            </w:r>
          </w:p>
          <w:p w:rsidR="00C51EAD" w:rsidRPr="00381F40" w:rsidRDefault="00C51EAD" w:rsidP="00F94FBC">
            <w:pPr>
              <w:ind w:firstLine="567"/>
              <w:jc w:val="both"/>
              <w:rPr>
                <w:sz w:val="22"/>
              </w:rPr>
            </w:pPr>
            <w:r w:rsidRPr="00381F40">
              <w:rPr>
                <w:bCs/>
                <w:sz w:val="22"/>
              </w:rPr>
              <w:t>"</w:t>
            </w:r>
            <w:r w:rsidRPr="00381F40">
              <w:rPr>
                <w:b/>
                <w:bCs/>
                <w:sz w:val="22"/>
              </w:rPr>
              <w:t>13. pants. Uzturlīdzekļu apmērs, izmaksas kārtība un ilgums</w:t>
            </w:r>
            <w:r w:rsidRPr="00381F40">
              <w:rPr>
                <w:bCs/>
                <w:sz w:val="22"/>
              </w:rPr>
              <w:t>"</w:t>
            </w:r>
            <w:r w:rsidRPr="00381F40">
              <w:rPr>
                <w:sz w:val="22"/>
              </w:rPr>
              <w:t>;</w:t>
            </w:r>
          </w:p>
        </w:tc>
        <w:tc>
          <w:tcPr>
            <w:tcW w:w="567" w:type="dxa"/>
          </w:tcPr>
          <w:p w:rsidR="00C51EAD" w:rsidRPr="00381F40" w:rsidRDefault="00C51EAD" w:rsidP="003C4C25">
            <w:pPr>
              <w:pStyle w:val="ListParagraph"/>
              <w:tabs>
                <w:tab w:val="left" w:pos="993"/>
              </w:tabs>
              <w:spacing w:after="0" w:line="240" w:lineRule="auto"/>
              <w:ind w:left="0"/>
              <w:jc w:val="center"/>
              <w:rPr>
                <w:rFonts w:ascii="Times New Roman" w:hAnsi="Times New Roman"/>
              </w:rPr>
            </w:pPr>
          </w:p>
        </w:tc>
        <w:tc>
          <w:tcPr>
            <w:tcW w:w="3798" w:type="dxa"/>
          </w:tcPr>
          <w:p w:rsidR="00C51EAD" w:rsidRPr="00381F40" w:rsidRDefault="00C51EAD" w:rsidP="00F94FBC">
            <w:pPr>
              <w:pStyle w:val="ListParagraph"/>
              <w:tabs>
                <w:tab w:val="left" w:pos="993"/>
              </w:tabs>
              <w:spacing w:after="0" w:line="240" w:lineRule="auto"/>
              <w:ind w:left="0" w:firstLine="567"/>
              <w:jc w:val="both"/>
              <w:rPr>
                <w:rFonts w:ascii="Times New Roman" w:hAnsi="Times New Roman"/>
              </w:rPr>
            </w:pPr>
          </w:p>
        </w:tc>
        <w:tc>
          <w:tcPr>
            <w:tcW w:w="1417" w:type="dxa"/>
          </w:tcPr>
          <w:p w:rsidR="00C51EAD" w:rsidRPr="00381F40" w:rsidRDefault="00C51EAD" w:rsidP="00F94FBC">
            <w:pPr>
              <w:pStyle w:val="ListParagraph"/>
              <w:tabs>
                <w:tab w:val="left" w:pos="993"/>
              </w:tabs>
              <w:spacing w:after="0" w:line="240" w:lineRule="auto"/>
              <w:ind w:left="0" w:firstLine="567"/>
              <w:jc w:val="both"/>
              <w:rPr>
                <w:rFonts w:ascii="Times New Roman" w:hAnsi="Times New Roman"/>
              </w:rPr>
            </w:pPr>
          </w:p>
        </w:tc>
        <w:tc>
          <w:tcPr>
            <w:tcW w:w="1417" w:type="dxa"/>
          </w:tcPr>
          <w:p w:rsidR="00C51EAD" w:rsidRPr="00381F40" w:rsidRDefault="00C51EAD" w:rsidP="00F94FBC">
            <w:pPr>
              <w:pStyle w:val="ListParagraph"/>
              <w:tabs>
                <w:tab w:val="left" w:pos="993"/>
              </w:tabs>
              <w:spacing w:after="0" w:line="240" w:lineRule="auto"/>
              <w:ind w:left="0" w:firstLine="567"/>
              <w:jc w:val="both"/>
              <w:rPr>
                <w:rFonts w:ascii="Times New Roman" w:hAnsi="Times New Roman"/>
              </w:rPr>
            </w:pPr>
          </w:p>
        </w:tc>
      </w:tr>
      <w:tr w:rsidR="00381F40" w:rsidRPr="00381F40" w:rsidTr="00C51EAD">
        <w:tc>
          <w:tcPr>
            <w:tcW w:w="3798" w:type="dxa"/>
            <w:shd w:val="clear" w:color="auto" w:fill="auto"/>
          </w:tcPr>
          <w:p w:rsidR="00C51EAD" w:rsidRPr="00381F40" w:rsidRDefault="00C51EAD" w:rsidP="00C51EAD">
            <w:pPr>
              <w:ind w:firstLine="567"/>
              <w:jc w:val="both"/>
              <w:rPr>
                <w:sz w:val="22"/>
              </w:rPr>
            </w:pPr>
            <w:r w:rsidRPr="00381F40">
              <w:rPr>
                <w:sz w:val="22"/>
              </w:rPr>
              <w:t>(2) Iesniedzējam izmaksājamo uzturlīdzekļu apmēru aprēķina, skaitot no dienas, kad iesniegums iesniegts Fonda administrācijai, izņemot šā likuma 14. panta otrajā daļā minēto gadījumu. Uzturlīdzekļus bērnam Fonda administrācija izmaksā tādā apmērā, kādu, pamatojoties uz Civillikuma 179. panta piekto daļu, noteicis Ministru kabinets, bet ne lielākā par to apmēru, kādu paredz tiesas nolēmums vai vienošanās par uzturlīdzekļiem.</w:t>
            </w:r>
          </w:p>
        </w:tc>
        <w:tc>
          <w:tcPr>
            <w:tcW w:w="3798" w:type="dxa"/>
            <w:shd w:val="clear" w:color="auto" w:fill="auto"/>
          </w:tcPr>
          <w:p w:rsidR="00C51EAD" w:rsidRPr="00381F40" w:rsidRDefault="00C51EAD" w:rsidP="00F94FBC">
            <w:pPr>
              <w:ind w:firstLine="567"/>
              <w:jc w:val="both"/>
              <w:rPr>
                <w:sz w:val="22"/>
              </w:rPr>
            </w:pPr>
            <w:r w:rsidRPr="00381F40">
              <w:rPr>
                <w:sz w:val="22"/>
              </w:rPr>
              <w:t>izslēgt otrās daļas otro teikumu;</w:t>
            </w:r>
          </w:p>
        </w:tc>
        <w:tc>
          <w:tcPr>
            <w:tcW w:w="567" w:type="dxa"/>
          </w:tcPr>
          <w:p w:rsidR="00C51EAD" w:rsidRPr="00381F40" w:rsidRDefault="00C51EAD" w:rsidP="003C4C25">
            <w:pPr>
              <w:jc w:val="center"/>
              <w:rPr>
                <w:sz w:val="22"/>
              </w:rPr>
            </w:pPr>
          </w:p>
        </w:tc>
        <w:tc>
          <w:tcPr>
            <w:tcW w:w="3798" w:type="dxa"/>
          </w:tcPr>
          <w:p w:rsidR="00C51EAD" w:rsidRPr="00381F40" w:rsidRDefault="00C51EAD" w:rsidP="00F94FBC">
            <w:pPr>
              <w:ind w:firstLine="567"/>
              <w:jc w:val="both"/>
              <w:rPr>
                <w:sz w:val="22"/>
              </w:rPr>
            </w:pPr>
          </w:p>
        </w:tc>
        <w:tc>
          <w:tcPr>
            <w:tcW w:w="1417" w:type="dxa"/>
          </w:tcPr>
          <w:p w:rsidR="00C51EAD" w:rsidRPr="00381F40" w:rsidRDefault="00C51EAD" w:rsidP="00F94FBC">
            <w:pPr>
              <w:ind w:firstLine="567"/>
              <w:jc w:val="both"/>
              <w:rPr>
                <w:sz w:val="22"/>
              </w:rPr>
            </w:pPr>
          </w:p>
        </w:tc>
        <w:tc>
          <w:tcPr>
            <w:tcW w:w="1417" w:type="dxa"/>
          </w:tcPr>
          <w:p w:rsidR="00C51EAD" w:rsidRPr="00381F40" w:rsidRDefault="00C51EAD" w:rsidP="00F94FBC">
            <w:pPr>
              <w:ind w:firstLine="567"/>
              <w:jc w:val="both"/>
              <w:rPr>
                <w:sz w:val="22"/>
              </w:rPr>
            </w:pPr>
          </w:p>
        </w:tc>
      </w:tr>
      <w:tr w:rsidR="00381F40" w:rsidRPr="00381F40" w:rsidTr="00C51EAD">
        <w:tc>
          <w:tcPr>
            <w:tcW w:w="3798" w:type="dxa"/>
            <w:shd w:val="clear" w:color="auto" w:fill="auto"/>
          </w:tcPr>
          <w:p w:rsidR="00C51EAD" w:rsidRPr="00381F40" w:rsidRDefault="00C51EAD" w:rsidP="00F94FBC">
            <w:pPr>
              <w:ind w:firstLine="567"/>
              <w:jc w:val="both"/>
              <w:rPr>
                <w:b/>
                <w:noProof/>
                <w:sz w:val="22"/>
                <w:lang w:val="en-GB"/>
              </w:rPr>
            </w:pPr>
            <w:r w:rsidRPr="00381F40">
              <w:rPr>
                <w:sz w:val="22"/>
              </w:rPr>
              <w:t>(2</w:t>
            </w:r>
            <w:r w:rsidRPr="00381F40">
              <w:rPr>
                <w:sz w:val="22"/>
                <w:vertAlign w:val="superscript"/>
              </w:rPr>
              <w:t>1</w:t>
            </w:r>
            <w:r w:rsidRPr="00381F40">
              <w:rPr>
                <w:sz w:val="22"/>
              </w:rPr>
              <w:t>) Uzturlīdzekļus no Fonda neizmaksā par periodu, kurā iesniedzējs ir saņēmis uzturlīdzekļus vismaz tādā apmērā, kāds tiktu izmaksāts no Fonda.</w:t>
            </w:r>
          </w:p>
        </w:tc>
        <w:tc>
          <w:tcPr>
            <w:tcW w:w="3798" w:type="dxa"/>
            <w:shd w:val="clear" w:color="auto" w:fill="auto"/>
          </w:tcPr>
          <w:p w:rsidR="00C51EAD" w:rsidRPr="00381F40" w:rsidRDefault="00C51EAD" w:rsidP="00F94FBC">
            <w:pPr>
              <w:ind w:firstLine="567"/>
              <w:jc w:val="both"/>
              <w:rPr>
                <w:sz w:val="22"/>
              </w:rPr>
            </w:pPr>
            <w:r w:rsidRPr="00381F40">
              <w:rPr>
                <w:sz w:val="22"/>
              </w:rPr>
              <w:t>papildināt pantu ar 2.</w:t>
            </w:r>
            <w:r w:rsidRPr="00381F40">
              <w:rPr>
                <w:sz w:val="22"/>
                <w:vertAlign w:val="superscript"/>
              </w:rPr>
              <w:t>2</w:t>
            </w:r>
            <w:r w:rsidRPr="00381F40">
              <w:rPr>
                <w:sz w:val="22"/>
              </w:rPr>
              <w:t xml:space="preserve"> un 2.</w:t>
            </w:r>
            <w:r w:rsidRPr="00381F40">
              <w:rPr>
                <w:sz w:val="22"/>
                <w:vertAlign w:val="superscript"/>
              </w:rPr>
              <w:t>3</w:t>
            </w:r>
            <w:r w:rsidRPr="00381F40">
              <w:rPr>
                <w:sz w:val="22"/>
              </w:rPr>
              <w:t> daļu šādā redakcijā:</w:t>
            </w:r>
          </w:p>
          <w:p w:rsidR="00C51EAD" w:rsidRPr="00381F40" w:rsidRDefault="00C51EAD" w:rsidP="00F94FBC">
            <w:pPr>
              <w:ind w:firstLine="567"/>
              <w:jc w:val="both"/>
              <w:rPr>
                <w:sz w:val="22"/>
              </w:rPr>
            </w:pPr>
            <w:r w:rsidRPr="00381F40">
              <w:rPr>
                <w:sz w:val="22"/>
              </w:rPr>
              <w:t>"(2</w:t>
            </w:r>
            <w:r w:rsidRPr="00381F40">
              <w:rPr>
                <w:sz w:val="22"/>
                <w:vertAlign w:val="superscript"/>
              </w:rPr>
              <w:t>2</w:t>
            </w:r>
            <w:r w:rsidRPr="00381F40">
              <w:rPr>
                <w:sz w:val="22"/>
              </w:rPr>
              <w:t>) Uzturlīdzekļus Fonda administrācija izmaksā šādā apmērā:</w:t>
            </w:r>
          </w:p>
          <w:p w:rsidR="00C51EAD" w:rsidRPr="00381F40" w:rsidRDefault="00C51EAD" w:rsidP="00F94FBC">
            <w:pPr>
              <w:tabs>
                <w:tab w:val="left" w:pos="1134"/>
              </w:tabs>
              <w:ind w:firstLine="567"/>
              <w:jc w:val="both"/>
              <w:rPr>
                <w:sz w:val="22"/>
              </w:rPr>
            </w:pPr>
            <w:r w:rsidRPr="00381F40">
              <w:rPr>
                <w:sz w:val="22"/>
              </w:rPr>
              <w:t>1) katram bērnam no dzimšanas līdz septiņu gadu vecuma sasniegšanai – 107,50 </w:t>
            </w:r>
            <w:proofErr w:type="spellStart"/>
            <w:r w:rsidRPr="00381F40">
              <w:rPr>
                <w:i/>
                <w:iCs/>
                <w:sz w:val="22"/>
              </w:rPr>
              <w:t>euro</w:t>
            </w:r>
            <w:proofErr w:type="spellEnd"/>
            <w:r w:rsidRPr="00381F40">
              <w:rPr>
                <w:sz w:val="22"/>
              </w:rPr>
              <w:t xml:space="preserve"> mēnesī;</w:t>
            </w:r>
          </w:p>
          <w:p w:rsidR="00C51EAD" w:rsidRPr="00381F40" w:rsidRDefault="00C51EAD" w:rsidP="00F94FBC">
            <w:pPr>
              <w:ind w:firstLine="567"/>
              <w:jc w:val="both"/>
              <w:rPr>
                <w:sz w:val="22"/>
              </w:rPr>
            </w:pPr>
            <w:r w:rsidRPr="00381F40">
              <w:rPr>
                <w:sz w:val="22"/>
              </w:rPr>
              <w:t xml:space="preserve">2) katram bērnam no septiņu gadu vecuma līdz 18 gadu vecumam un pilngadīgai personai, kura turpina iegūt </w:t>
            </w:r>
            <w:r w:rsidRPr="00381F40">
              <w:rPr>
                <w:sz w:val="22"/>
              </w:rPr>
              <w:lastRenderedPageBreak/>
              <w:t>pamatizglītību, vidējo izglītību, arodizglītību vai speciālo izglītību Latvijas Republikā, bet ne ilgāk kā līdz 21 gada vecuma sasniegšanai – 129,00 </w:t>
            </w:r>
            <w:proofErr w:type="spellStart"/>
            <w:r w:rsidRPr="00381F40">
              <w:rPr>
                <w:i/>
                <w:iCs/>
                <w:sz w:val="22"/>
              </w:rPr>
              <w:t>euro</w:t>
            </w:r>
            <w:proofErr w:type="spellEnd"/>
            <w:r w:rsidRPr="00381F40">
              <w:rPr>
                <w:sz w:val="22"/>
              </w:rPr>
              <w:t xml:space="preserve"> mēnesī.</w:t>
            </w:r>
          </w:p>
          <w:p w:rsidR="00C51EAD" w:rsidRPr="00381F40" w:rsidRDefault="00C51EAD" w:rsidP="00F94FBC">
            <w:pPr>
              <w:ind w:firstLine="567"/>
              <w:jc w:val="both"/>
              <w:rPr>
                <w:sz w:val="22"/>
              </w:rPr>
            </w:pPr>
            <w:r w:rsidRPr="00381F40">
              <w:rPr>
                <w:sz w:val="22"/>
              </w:rPr>
              <w:t>(2</w:t>
            </w:r>
            <w:r w:rsidRPr="00381F40">
              <w:rPr>
                <w:sz w:val="22"/>
                <w:vertAlign w:val="superscript"/>
              </w:rPr>
              <w:t>3</w:t>
            </w:r>
            <w:r w:rsidRPr="00381F40">
              <w:rPr>
                <w:sz w:val="22"/>
              </w:rPr>
              <w:t>) Fonda administrācijas izmaksāto uzturlīdzekļu apmērs nepārsniedz apmēru, kādu paredz tiesas nolēmums vai vienošanās par uzturlīdzekļiem.";</w:t>
            </w:r>
          </w:p>
        </w:tc>
        <w:tc>
          <w:tcPr>
            <w:tcW w:w="567" w:type="dxa"/>
          </w:tcPr>
          <w:p w:rsidR="00C51EAD" w:rsidRPr="00381F40" w:rsidRDefault="00C51EAD" w:rsidP="003C4C25">
            <w:pPr>
              <w:jc w:val="center"/>
              <w:rPr>
                <w:sz w:val="22"/>
              </w:rPr>
            </w:pPr>
          </w:p>
        </w:tc>
        <w:tc>
          <w:tcPr>
            <w:tcW w:w="3798" w:type="dxa"/>
          </w:tcPr>
          <w:p w:rsidR="00C51EAD" w:rsidRPr="00381F40" w:rsidRDefault="00C51EAD" w:rsidP="00F94FBC">
            <w:pPr>
              <w:ind w:firstLine="567"/>
              <w:jc w:val="both"/>
              <w:rPr>
                <w:sz w:val="22"/>
              </w:rPr>
            </w:pPr>
          </w:p>
        </w:tc>
        <w:tc>
          <w:tcPr>
            <w:tcW w:w="1417" w:type="dxa"/>
          </w:tcPr>
          <w:p w:rsidR="00C51EAD" w:rsidRPr="00381F40" w:rsidRDefault="00C51EAD" w:rsidP="00F94FBC">
            <w:pPr>
              <w:ind w:firstLine="567"/>
              <w:jc w:val="both"/>
              <w:rPr>
                <w:sz w:val="22"/>
              </w:rPr>
            </w:pPr>
          </w:p>
        </w:tc>
        <w:tc>
          <w:tcPr>
            <w:tcW w:w="1417" w:type="dxa"/>
          </w:tcPr>
          <w:p w:rsidR="00C51EAD" w:rsidRPr="00381F40" w:rsidRDefault="00C51EAD" w:rsidP="00F94FBC">
            <w:pPr>
              <w:ind w:firstLine="567"/>
              <w:jc w:val="both"/>
              <w:rPr>
                <w:sz w:val="22"/>
              </w:rPr>
            </w:pPr>
          </w:p>
        </w:tc>
      </w:tr>
      <w:tr w:rsidR="00381F40" w:rsidRPr="00381F40" w:rsidTr="00C51EAD">
        <w:tc>
          <w:tcPr>
            <w:tcW w:w="3798" w:type="dxa"/>
            <w:shd w:val="clear" w:color="auto" w:fill="auto"/>
          </w:tcPr>
          <w:p w:rsidR="00C51EAD" w:rsidRPr="00381F40" w:rsidRDefault="00C51EAD" w:rsidP="00F94FBC">
            <w:pPr>
              <w:ind w:firstLine="567"/>
              <w:jc w:val="both"/>
              <w:rPr>
                <w:b/>
                <w:noProof/>
                <w:sz w:val="22"/>
                <w:lang w:val="en-GB"/>
              </w:rPr>
            </w:pPr>
            <w:r w:rsidRPr="00381F40">
              <w:rPr>
                <w:sz w:val="22"/>
              </w:rPr>
              <w:t>(3) Pilngadīgai personai, kura iegūst pamatizglītību, vidējo izglītību, arodizglītību vai speciālo izglītību, uzturlīdzekļi no Fonda tiek izmaksāti līdz izglītības iegūšanas brīdim, bet ne ilgāk kā līdz 21 gada vecuma sasniegšanai. Uzturlīdzekļus pilngadīgai personai Fonda administrācija izmaksā tādā apmērā, kādu, pamatojoties uz Civillikuma 179. panta piekto daļu, noteicis Ministru kabinets bērniem no septiņu līdz 18 gadu vecumam, bet ne lielākā par to apmēru, kādu paredz tiesas nolēmums vai vienošanās par uzturlīdzekļiem.</w:t>
            </w:r>
          </w:p>
        </w:tc>
        <w:tc>
          <w:tcPr>
            <w:tcW w:w="3798" w:type="dxa"/>
            <w:shd w:val="clear" w:color="auto" w:fill="auto"/>
          </w:tcPr>
          <w:p w:rsidR="00C51EAD" w:rsidRPr="00381F40" w:rsidRDefault="00C51EAD" w:rsidP="00F94FBC">
            <w:pPr>
              <w:ind w:firstLine="567"/>
              <w:jc w:val="both"/>
              <w:rPr>
                <w:sz w:val="22"/>
              </w:rPr>
            </w:pPr>
            <w:r w:rsidRPr="00381F40">
              <w:rPr>
                <w:sz w:val="22"/>
              </w:rPr>
              <w:t>izslēgt trešās daļas otro teikumu.</w:t>
            </w:r>
          </w:p>
        </w:tc>
        <w:tc>
          <w:tcPr>
            <w:tcW w:w="567" w:type="dxa"/>
          </w:tcPr>
          <w:p w:rsidR="00C51EAD" w:rsidRPr="00381F40" w:rsidRDefault="00C51EAD" w:rsidP="003C4C25">
            <w:pPr>
              <w:jc w:val="center"/>
              <w:rPr>
                <w:sz w:val="22"/>
              </w:rPr>
            </w:pPr>
          </w:p>
        </w:tc>
        <w:tc>
          <w:tcPr>
            <w:tcW w:w="3798" w:type="dxa"/>
          </w:tcPr>
          <w:p w:rsidR="00C51EAD" w:rsidRPr="00381F40" w:rsidRDefault="00C51EAD" w:rsidP="00F94FBC">
            <w:pPr>
              <w:ind w:firstLine="567"/>
              <w:jc w:val="both"/>
              <w:rPr>
                <w:sz w:val="22"/>
              </w:rPr>
            </w:pPr>
          </w:p>
        </w:tc>
        <w:tc>
          <w:tcPr>
            <w:tcW w:w="1417" w:type="dxa"/>
          </w:tcPr>
          <w:p w:rsidR="00C51EAD" w:rsidRPr="00381F40" w:rsidRDefault="00C51EAD" w:rsidP="00F94FBC">
            <w:pPr>
              <w:ind w:firstLine="567"/>
              <w:jc w:val="both"/>
              <w:rPr>
                <w:sz w:val="22"/>
              </w:rPr>
            </w:pPr>
          </w:p>
        </w:tc>
        <w:tc>
          <w:tcPr>
            <w:tcW w:w="1417" w:type="dxa"/>
          </w:tcPr>
          <w:p w:rsidR="00C51EAD" w:rsidRPr="00381F40" w:rsidRDefault="00C51EAD" w:rsidP="00F94FBC">
            <w:pPr>
              <w:ind w:firstLine="567"/>
              <w:jc w:val="both"/>
              <w:rPr>
                <w:sz w:val="22"/>
              </w:rPr>
            </w:pPr>
          </w:p>
        </w:tc>
      </w:tr>
      <w:tr w:rsidR="00381F40" w:rsidRPr="00381F40" w:rsidTr="00C51EAD">
        <w:tc>
          <w:tcPr>
            <w:tcW w:w="3798" w:type="dxa"/>
            <w:shd w:val="clear" w:color="auto" w:fill="auto"/>
          </w:tcPr>
          <w:p w:rsidR="00C51EAD" w:rsidRPr="00381F40" w:rsidRDefault="00C51EAD" w:rsidP="00F94FBC">
            <w:pPr>
              <w:pStyle w:val="tv213"/>
              <w:spacing w:before="0" w:beforeAutospacing="0" w:after="0" w:afterAutospacing="0"/>
              <w:ind w:firstLine="567"/>
              <w:jc w:val="both"/>
              <w:rPr>
                <w:sz w:val="22"/>
                <w:szCs w:val="22"/>
              </w:rPr>
            </w:pPr>
            <w:r w:rsidRPr="00381F40">
              <w:rPr>
                <w:b/>
                <w:bCs/>
                <w:sz w:val="22"/>
                <w:szCs w:val="22"/>
              </w:rPr>
              <w:t>19. pants. Parādnieka izvairīšanās no uzturlīdzekļu nodrošināšanas</w:t>
            </w:r>
          </w:p>
          <w:p w:rsidR="00C51EAD" w:rsidRPr="00381F40" w:rsidRDefault="00C51EAD" w:rsidP="00F94FBC">
            <w:pPr>
              <w:pStyle w:val="tv213"/>
              <w:spacing w:before="0" w:beforeAutospacing="0" w:after="0" w:afterAutospacing="0"/>
              <w:ind w:firstLine="567"/>
              <w:jc w:val="both"/>
              <w:rPr>
                <w:sz w:val="22"/>
                <w:szCs w:val="22"/>
              </w:rPr>
            </w:pPr>
            <w:r w:rsidRPr="00381F40">
              <w:rPr>
                <w:sz w:val="22"/>
                <w:szCs w:val="22"/>
              </w:rPr>
              <w:t>Ja parādnieks nenodrošina bērnam minimālo uzturlīdzekļu apmēru un līdz ar to nepilda tiesas vai Fonda administrācijas lēmumu, atzīstams, ka parādnieks izvairās no bērna uzturēšanas, izņemot gadījumus, kad:</w:t>
            </w:r>
          </w:p>
          <w:p w:rsidR="00C51EAD" w:rsidRPr="00381F40" w:rsidRDefault="00C51EAD" w:rsidP="00F94FBC">
            <w:pPr>
              <w:pStyle w:val="tv213"/>
              <w:spacing w:before="0" w:beforeAutospacing="0" w:after="0" w:afterAutospacing="0"/>
              <w:ind w:firstLine="567"/>
              <w:jc w:val="both"/>
              <w:rPr>
                <w:sz w:val="22"/>
                <w:szCs w:val="22"/>
              </w:rPr>
            </w:pPr>
            <w:r w:rsidRPr="00381F40">
              <w:rPr>
                <w:sz w:val="22"/>
                <w:szCs w:val="22"/>
              </w:rPr>
              <w:t>1) parādniekam nav mantas vai ienākumu, uz kuriem vērst piedziņu, un parādnieks ir reģistrējies kā bezdarbnieks Nodarbinātības valsts aģentūrā;</w:t>
            </w:r>
          </w:p>
          <w:p w:rsidR="00C51EAD" w:rsidRPr="00381F40" w:rsidRDefault="00C51EAD" w:rsidP="00F94FBC">
            <w:pPr>
              <w:pStyle w:val="tv213"/>
              <w:spacing w:before="0" w:beforeAutospacing="0" w:after="0" w:afterAutospacing="0"/>
              <w:ind w:firstLine="567"/>
              <w:jc w:val="both"/>
              <w:rPr>
                <w:sz w:val="22"/>
                <w:szCs w:val="22"/>
              </w:rPr>
            </w:pPr>
            <w:r w:rsidRPr="00381F40">
              <w:rPr>
                <w:sz w:val="22"/>
                <w:szCs w:val="22"/>
              </w:rPr>
              <w:lastRenderedPageBreak/>
              <w:t>2) parādnieks ir persona ar I vai II grupas invaliditāti</w:t>
            </w:r>
            <w:proofErr w:type="gramStart"/>
            <w:r w:rsidRPr="00381F40">
              <w:rPr>
                <w:sz w:val="22"/>
                <w:szCs w:val="22"/>
              </w:rPr>
              <w:t xml:space="preserve"> un</w:t>
            </w:r>
            <w:proofErr w:type="gramEnd"/>
            <w:r w:rsidRPr="00381F40">
              <w:rPr>
                <w:sz w:val="22"/>
                <w:szCs w:val="22"/>
              </w:rPr>
              <w:t xml:space="preserve"> parādniekam nav mantas vai ienākumu, izņemot invaliditātes pensiju;</w:t>
            </w:r>
          </w:p>
          <w:p w:rsidR="00C51EAD" w:rsidRPr="00381F40" w:rsidRDefault="00C51EAD" w:rsidP="00F94FBC">
            <w:pPr>
              <w:pStyle w:val="tv213"/>
              <w:spacing w:before="0" w:beforeAutospacing="0" w:after="0" w:afterAutospacing="0"/>
              <w:ind w:firstLine="567"/>
              <w:jc w:val="both"/>
              <w:rPr>
                <w:sz w:val="22"/>
                <w:szCs w:val="22"/>
              </w:rPr>
            </w:pPr>
            <w:r w:rsidRPr="00381F40">
              <w:rPr>
                <w:sz w:val="22"/>
                <w:szCs w:val="22"/>
              </w:rPr>
              <w:t>3) parādnieks ir nonācis valsts apgādībā vai ilgstošas sociālās aprūpes un sociālās rehabilitācijas institūcijā, kurā pakalpojumus pilnībā vai daļēji finansē no valsts vai pašvaldības budžeta;</w:t>
            </w:r>
          </w:p>
          <w:p w:rsidR="00C51EAD" w:rsidRPr="00381F40" w:rsidRDefault="00C51EAD" w:rsidP="00F94FBC">
            <w:pPr>
              <w:pStyle w:val="tv213"/>
              <w:spacing w:before="0" w:beforeAutospacing="0" w:after="0" w:afterAutospacing="0"/>
              <w:ind w:firstLine="567"/>
              <w:jc w:val="both"/>
              <w:rPr>
                <w:sz w:val="22"/>
                <w:szCs w:val="22"/>
              </w:rPr>
            </w:pPr>
            <w:r w:rsidRPr="00381F40">
              <w:rPr>
                <w:sz w:val="22"/>
                <w:szCs w:val="22"/>
              </w:rPr>
              <w:t>4) parādnieks un Fonda administrācija ir noslēguši vienošanos par kārtību, kādā parādnieks veic uzturlīdzekļu un likumisko procentu maksājumus, un parādnieks noslēgto vienošanos pilda.</w:t>
            </w:r>
          </w:p>
        </w:tc>
        <w:tc>
          <w:tcPr>
            <w:tcW w:w="3798" w:type="dxa"/>
            <w:shd w:val="clear" w:color="auto" w:fill="auto"/>
          </w:tcPr>
          <w:p w:rsidR="00C51EAD" w:rsidRPr="00381F40" w:rsidRDefault="00C51EAD" w:rsidP="00F94FBC">
            <w:pPr>
              <w:ind w:firstLine="567"/>
              <w:jc w:val="both"/>
              <w:rPr>
                <w:sz w:val="22"/>
              </w:rPr>
            </w:pPr>
            <w:r w:rsidRPr="00381F40">
              <w:rPr>
                <w:sz w:val="22"/>
              </w:rPr>
              <w:lastRenderedPageBreak/>
              <w:t>7. Aizstāt 19. pantā vārdus "nenodrošina bērnam minimālo uzturlīdzekļu apmēru un līdz ar to nepilda" ar vārdiem "nepilda bērna uzturēšanas pienākumu, kas viņam uzlikts ar".</w:t>
            </w:r>
          </w:p>
        </w:tc>
        <w:tc>
          <w:tcPr>
            <w:tcW w:w="567" w:type="dxa"/>
          </w:tcPr>
          <w:p w:rsidR="00C51EAD" w:rsidRPr="00381F40" w:rsidRDefault="00C51EAD" w:rsidP="003C4C25">
            <w:pPr>
              <w:jc w:val="center"/>
              <w:rPr>
                <w:sz w:val="22"/>
              </w:rPr>
            </w:pPr>
          </w:p>
        </w:tc>
        <w:tc>
          <w:tcPr>
            <w:tcW w:w="3798" w:type="dxa"/>
          </w:tcPr>
          <w:p w:rsidR="00C51EAD" w:rsidRPr="00381F40" w:rsidRDefault="00C51EAD" w:rsidP="00F94FBC">
            <w:pPr>
              <w:ind w:firstLine="567"/>
              <w:jc w:val="both"/>
              <w:rPr>
                <w:sz w:val="22"/>
              </w:rPr>
            </w:pPr>
          </w:p>
        </w:tc>
        <w:tc>
          <w:tcPr>
            <w:tcW w:w="1417" w:type="dxa"/>
          </w:tcPr>
          <w:p w:rsidR="00C51EAD" w:rsidRPr="00381F40" w:rsidRDefault="00C51EAD" w:rsidP="00F94FBC">
            <w:pPr>
              <w:ind w:firstLine="567"/>
              <w:jc w:val="both"/>
              <w:rPr>
                <w:sz w:val="22"/>
              </w:rPr>
            </w:pPr>
          </w:p>
        </w:tc>
        <w:tc>
          <w:tcPr>
            <w:tcW w:w="1417" w:type="dxa"/>
          </w:tcPr>
          <w:p w:rsidR="00C51EAD" w:rsidRPr="00381F40" w:rsidRDefault="00C51EAD" w:rsidP="00F94FBC">
            <w:pPr>
              <w:ind w:firstLine="567"/>
              <w:jc w:val="both"/>
              <w:rPr>
                <w:sz w:val="22"/>
              </w:rPr>
            </w:pPr>
          </w:p>
        </w:tc>
      </w:tr>
      <w:tr w:rsidR="00381F40" w:rsidRPr="00381F40" w:rsidTr="00C51EAD">
        <w:tc>
          <w:tcPr>
            <w:tcW w:w="3798" w:type="dxa"/>
            <w:shd w:val="clear" w:color="auto" w:fill="auto"/>
          </w:tcPr>
          <w:p w:rsidR="00C51EAD" w:rsidRPr="00381F40" w:rsidRDefault="00C51EAD" w:rsidP="00F94FBC">
            <w:pPr>
              <w:ind w:firstLine="567"/>
              <w:jc w:val="both"/>
              <w:rPr>
                <w:b/>
                <w:noProof/>
                <w:sz w:val="22"/>
                <w:lang w:val="en-GB"/>
              </w:rPr>
            </w:pPr>
          </w:p>
        </w:tc>
        <w:tc>
          <w:tcPr>
            <w:tcW w:w="3798" w:type="dxa"/>
            <w:shd w:val="clear" w:color="auto" w:fill="auto"/>
          </w:tcPr>
          <w:p w:rsidR="00C51EAD" w:rsidRPr="00381F40" w:rsidRDefault="00C51EAD" w:rsidP="00F94FBC">
            <w:pPr>
              <w:ind w:firstLine="709"/>
              <w:jc w:val="both"/>
              <w:rPr>
                <w:sz w:val="22"/>
              </w:rPr>
            </w:pPr>
            <w:r w:rsidRPr="00381F40">
              <w:rPr>
                <w:sz w:val="22"/>
              </w:rPr>
              <w:t>8. Papildināt likumu ar 20. pantu šādā redakcijā:</w:t>
            </w:r>
          </w:p>
          <w:p w:rsidR="00C51EAD" w:rsidRPr="00381F40" w:rsidRDefault="00C51EAD" w:rsidP="00F94FBC">
            <w:pPr>
              <w:ind w:firstLine="709"/>
              <w:jc w:val="both"/>
              <w:rPr>
                <w:b/>
                <w:bCs/>
                <w:sz w:val="22"/>
              </w:rPr>
            </w:pPr>
            <w:r w:rsidRPr="00381F40">
              <w:rPr>
                <w:bCs/>
                <w:sz w:val="22"/>
              </w:rPr>
              <w:t>"</w:t>
            </w:r>
            <w:r w:rsidRPr="00381F40">
              <w:rPr>
                <w:b/>
                <w:bCs/>
                <w:sz w:val="22"/>
              </w:rPr>
              <w:t>20. pants. Uzturlīdzekļu apmēra izvērtēšana</w:t>
            </w:r>
          </w:p>
          <w:p w:rsidR="00C51EAD" w:rsidRPr="00381F40" w:rsidRDefault="00C51EAD" w:rsidP="00F94FBC">
            <w:pPr>
              <w:ind w:firstLine="709"/>
              <w:jc w:val="both"/>
              <w:rPr>
                <w:b/>
                <w:bCs/>
                <w:sz w:val="22"/>
              </w:rPr>
            </w:pPr>
            <w:r w:rsidRPr="00381F40">
              <w:rPr>
                <w:sz w:val="22"/>
              </w:rPr>
              <w:t>Uzturlīdzekļu apmēru pārskata pēc tieslietu ministra ierosinājuma, ņemot vērā valsts ekonomisko situāciju un valsts budžeta iespējas."</w:t>
            </w:r>
          </w:p>
        </w:tc>
        <w:tc>
          <w:tcPr>
            <w:tcW w:w="567" w:type="dxa"/>
          </w:tcPr>
          <w:p w:rsidR="00C51EAD" w:rsidRPr="00381F40" w:rsidRDefault="0073365F" w:rsidP="003C4C25">
            <w:pPr>
              <w:jc w:val="center"/>
              <w:rPr>
                <w:b/>
                <w:sz w:val="22"/>
              </w:rPr>
            </w:pPr>
            <w:r w:rsidRPr="00381F40">
              <w:rPr>
                <w:b/>
                <w:sz w:val="22"/>
              </w:rPr>
              <w:t>4</w:t>
            </w:r>
          </w:p>
        </w:tc>
        <w:tc>
          <w:tcPr>
            <w:tcW w:w="3798" w:type="dxa"/>
          </w:tcPr>
          <w:p w:rsidR="00C51EAD" w:rsidRPr="00381F40" w:rsidRDefault="00BD598E" w:rsidP="00F94FBC">
            <w:pPr>
              <w:ind w:firstLine="709"/>
              <w:jc w:val="both"/>
              <w:rPr>
                <w:b/>
                <w:sz w:val="22"/>
                <w:u w:val="single"/>
              </w:rPr>
            </w:pPr>
            <w:r w:rsidRPr="00381F40">
              <w:rPr>
                <w:b/>
                <w:sz w:val="22"/>
                <w:u w:val="single"/>
              </w:rPr>
              <w:t xml:space="preserve">Deputātes </w:t>
            </w:r>
            <w:proofErr w:type="spellStart"/>
            <w:r w:rsidRPr="00381F40">
              <w:rPr>
                <w:b/>
                <w:sz w:val="22"/>
                <w:u w:val="single"/>
              </w:rPr>
              <w:t>Ļ.Švecova</w:t>
            </w:r>
            <w:proofErr w:type="spellEnd"/>
            <w:r w:rsidRPr="00381F40">
              <w:rPr>
                <w:b/>
                <w:sz w:val="22"/>
                <w:u w:val="single"/>
              </w:rPr>
              <w:t xml:space="preserve">, </w:t>
            </w:r>
            <w:r w:rsidR="004F4538" w:rsidRPr="00381F40">
              <w:rPr>
                <w:b/>
                <w:sz w:val="22"/>
                <w:u w:val="single"/>
              </w:rPr>
              <w:t>R.Ločmele-Luņova</w:t>
            </w:r>
          </w:p>
          <w:p w:rsidR="004F4538" w:rsidRPr="00381F40" w:rsidRDefault="004F4538" w:rsidP="004F4538">
            <w:pPr>
              <w:pStyle w:val="NoSpacing"/>
              <w:ind w:firstLine="567"/>
              <w:jc w:val="both"/>
              <w:rPr>
                <w:rFonts w:ascii="Times New Roman" w:hAnsi="Times New Roman"/>
                <w:sz w:val="22"/>
                <w:szCs w:val="22"/>
              </w:rPr>
            </w:pPr>
            <w:r w:rsidRPr="00381F40">
              <w:rPr>
                <w:rFonts w:ascii="Times New Roman" w:hAnsi="Times New Roman"/>
                <w:sz w:val="22"/>
                <w:szCs w:val="22"/>
              </w:rPr>
              <w:t xml:space="preserve">Izteikt likumprojekta </w:t>
            </w:r>
            <w:proofErr w:type="gramStart"/>
            <w:r w:rsidRPr="00381F40">
              <w:rPr>
                <w:rFonts w:ascii="Times New Roman" w:hAnsi="Times New Roman"/>
                <w:sz w:val="22"/>
                <w:szCs w:val="22"/>
              </w:rPr>
              <w:t>8.pantā</w:t>
            </w:r>
            <w:proofErr w:type="gramEnd"/>
            <w:r w:rsidRPr="00381F40">
              <w:rPr>
                <w:rFonts w:ascii="Times New Roman" w:hAnsi="Times New Roman"/>
                <w:sz w:val="22"/>
                <w:szCs w:val="22"/>
              </w:rPr>
              <w:t xml:space="preserve"> iekļauto 20. pantu šādā redakcijā:</w:t>
            </w:r>
          </w:p>
          <w:p w:rsidR="004F4538" w:rsidRPr="00381F40" w:rsidRDefault="004F4538" w:rsidP="004F4538">
            <w:pPr>
              <w:pStyle w:val="NoSpacing"/>
              <w:ind w:firstLine="567"/>
              <w:jc w:val="both"/>
              <w:rPr>
                <w:rFonts w:ascii="Times New Roman" w:hAnsi="Times New Roman"/>
                <w:sz w:val="22"/>
                <w:szCs w:val="22"/>
              </w:rPr>
            </w:pPr>
            <w:r w:rsidRPr="00381F40">
              <w:rPr>
                <w:rFonts w:ascii="Times New Roman" w:hAnsi="Times New Roman"/>
                <w:sz w:val="22"/>
                <w:szCs w:val="22"/>
              </w:rPr>
              <w:t>“20. pants. Uzturlīdzekļu apmēra izvērtēšana</w:t>
            </w:r>
          </w:p>
          <w:p w:rsidR="004F4538" w:rsidRPr="00381F40" w:rsidRDefault="004F4538" w:rsidP="004F4538">
            <w:pPr>
              <w:pStyle w:val="NoSpacing"/>
              <w:ind w:firstLine="567"/>
              <w:jc w:val="both"/>
              <w:rPr>
                <w:rFonts w:ascii="Times New Roman" w:hAnsi="Times New Roman"/>
                <w:sz w:val="22"/>
                <w:szCs w:val="22"/>
              </w:rPr>
            </w:pPr>
            <w:r w:rsidRPr="00381F40">
              <w:rPr>
                <w:rFonts w:ascii="Times New Roman" w:hAnsi="Times New Roman"/>
                <w:sz w:val="22"/>
                <w:szCs w:val="22"/>
              </w:rPr>
              <w:t>Ministru kabinets ierosina uzturlīdzekļu apmēra palielinājumu, ņemot vērā minimālās mēnešalgas pieaugumu.”</w:t>
            </w:r>
          </w:p>
        </w:tc>
        <w:tc>
          <w:tcPr>
            <w:tcW w:w="1417" w:type="dxa"/>
          </w:tcPr>
          <w:p w:rsidR="00C51EAD" w:rsidRPr="00381F40" w:rsidRDefault="00C51EAD" w:rsidP="00F94FBC">
            <w:pPr>
              <w:ind w:firstLine="709"/>
              <w:jc w:val="both"/>
              <w:rPr>
                <w:sz w:val="22"/>
              </w:rPr>
            </w:pPr>
          </w:p>
        </w:tc>
        <w:tc>
          <w:tcPr>
            <w:tcW w:w="1417" w:type="dxa"/>
          </w:tcPr>
          <w:p w:rsidR="00C51EAD" w:rsidRPr="00381F40" w:rsidRDefault="00C51EAD" w:rsidP="00F94FBC">
            <w:pPr>
              <w:ind w:firstLine="709"/>
              <w:jc w:val="both"/>
              <w:rPr>
                <w:sz w:val="22"/>
              </w:rPr>
            </w:pPr>
          </w:p>
        </w:tc>
      </w:tr>
      <w:tr w:rsidR="00381F40" w:rsidRPr="00381F40" w:rsidTr="00C51EAD">
        <w:tc>
          <w:tcPr>
            <w:tcW w:w="3798" w:type="dxa"/>
            <w:shd w:val="clear" w:color="auto" w:fill="auto"/>
          </w:tcPr>
          <w:p w:rsidR="004F4538" w:rsidRPr="00381F40" w:rsidRDefault="004F4538" w:rsidP="00F94FBC">
            <w:pPr>
              <w:ind w:firstLine="567"/>
              <w:jc w:val="both"/>
              <w:rPr>
                <w:b/>
                <w:noProof/>
                <w:sz w:val="22"/>
                <w:lang w:val="en-GB"/>
              </w:rPr>
            </w:pPr>
            <w:r w:rsidRPr="00381F40">
              <w:rPr>
                <w:b/>
                <w:noProof/>
                <w:sz w:val="22"/>
                <w:lang w:val="en-GB"/>
              </w:rPr>
              <w:t>Pārejas not</w:t>
            </w:r>
            <w:bookmarkStart w:id="0" w:name="_GoBack"/>
            <w:bookmarkEnd w:id="0"/>
            <w:r w:rsidRPr="00381F40">
              <w:rPr>
                <w:b/>
                <w:noProof/>
                <w:sz w:val="22"/>
                <w:lang w:val="en-GB"/>
              </w:rPr>
              <w:t>eikumi</w:t>
            </w:r>
          </w:p>
        </w:tc>
        <w:tc>
          <w:tcPr>
            <w:tcW w:w="3798" w:type="dxa"/>
            <w:shd w:val="clear" w:color="auto" w:fill="auto"/>
          </w:tcPr>
          <w:p w:rsidR="004F4538" w:rsidRPr="00381F40" w:rsidRDefault="004F4538" w:rsidP="00F94FBC">
            <w:pPr>
              <w:ind w:firstLine="709"/>
              <w:jc w:val="both"/>
              <w:rPr>
                <w:sz w:val="22"/>
              </w:rPr>
            </w:pPr>
          </w:p>
        </w:tc>
        <w:tc>
          <w:tcPr>
            <w:tcW w:w="567" w:type="dxa"/>
          </w:tcPr>
          <w:p w:rsidR="004F4538" w:rsidRPr="00381F40" w:rsidRDefault="0073365F" w:rsidP="003C4C25">
            <w:pPr>
              <w:jc w:val="center"/>
              <w:rPr>
                <w:b/>
                <w:sz w:val="22"/>
              </w:rPr>
            </w:pPr>
            <w:r w:rsidRPr="00381F40">
              <w:rPr>
                <w:b/>
                <w:sz w:val="22"/>
              </w:rPr>
              <w:t>5</w:t>
            </w:r>
          </w:p>
        </w:tc>
        <w:tc>
          <w:tcPr>
            <w:tcW w:w="3798" w:type="dxa"/>
          </w:tcPr>
          <w:p w:rsidR="004F4538" w:rsidRPr="00381F40" w:rsidRDefault="004F4538" w:rsidP="004F4538">
            <w:pPr>
              <w:pStyle w:val="ListParagraph"/>
              <w:tabs>
                <w:tab w:val="left" w:pos="567"/>
              </w:tabs>
              <w:spacing w:after="0" w:line="240" w:lineRule="auto"/>
              <w:ind w:left="0" w:firstLine="567"/>
              <w:jc w:val="both"/>
              <w:rPr>
                <w:rFonts w:ascii="Times New Roman" w:hAnsi="Times New Roman"/>
                <w:b/>
                <w:u w:val="single"/>
              </w:rPr>
            </w:pPr>
            <w:r w:rsidRPr="00381F40">
              <w:rPr>
                <w:rFonts w:ascii="Times New Roman" w:hAnsi="Times New Roman"/>
                <w:b/>
                <w:u w:val="single"/>
              </w:rPr>
              <w:t>Deputāti J.Stepaņenko, K.Sprūde, L.Liepiņa, A.Gobzems, D.Šmits</w:t>
            </w:r>
          </w:p>
          <w:p w:rsidR="004F4538" w:rsidRPr="00381F40" w:rsidRDefault="004F4538" w:rsidP="004F4538">
            <w:pPr>
              <w:ind w:firstLine="567"/>
              <w:jc w:val="both"/>
              <w:rPr>
                <w:sz w:val="22"/>
              </w:rPr>
            </w:pPr>
            <w:r w:rsidRPr="00381F40">
              <w:rPr>
                <w:sz w:val="22"/>
              </w:rPr>
              <w:t xml:space="preserve">Papildināt Pārejas noteikumus ar </w:t>
            </w:r>
            <w:proofErr w:type="gramStart"/>
            <w:r w:rsidRPr="00381F40">
              <w:rPr>
                <w:sz w:val="22"/>
              </w:rPr>
              <w:t>12.pantu</w:t>
            </w:r>
            <w:proofErr w:type="gramEnd"/>
            <w:r w:rsidRPr="00381F40">
              <w:rPr>
                <w:sz w:val="22"/>
              </w:rPr>
              <w:t xml:space="preserve">, izsakot to sekojošā redakcijā: </w:t>
            </w:r>
          </w:p>
          <w:p w:rsidR="004F4538" w:rsidRPr="00381F40" w:rsidRDefault="004F4538" w:rsidP="004F4538">
            <w:pPr>
              <w:ind w:firstLine="567"/>
              <w:jc w:val="both"/>
              <w:rPr>
                <w:sz w:val="22"/>
              </w:rPr>
            </w:pPr>
            <w:r w:rsidRPr="00381F40">
              <w:rPr>
                <w:sz w:val="22"/>
              </w:rPr>
              <w:t xml:space="preserve">“12. Ministru kabinetam, sastādot </w:t>
            </w:r>
            <w:proofErr w:type="gramStart"/>
            <w:r w:rsidRPr="00381F40">
              <w:rPr>
                <w:sz w:val="22"/>
              </w:rPr>
              <w:t>2021.gada</w:t>
            </w:r>
            <w:proofErr w:type="gramEnd"/>
            <w:r w:rsidRPr="00381F40">
              <w:rPr>
                <w:sz w:val="22"/>
              </w:rPr>
              <w:t xml:space="preserve"> budžetu, nodrošināt 1,35 miljoni </w:t>
            </w:r>
            <w:proofErr w:type="spellStart"/>
            <w:r w:rsidRPr="00381F40">
              <w:rPr>
                <w:sz w:val="22"/>
              </w:rPr>
              <w:t>euro</w:t>
            </w:r>
            <w:proofErr w:type="spellEnd"/>
            <w:r w:rsidRPr="00381F40">
              <w:rPr>
                <w:sz w:val="22"/>
              </w:rPr>
              <w:t xml:space="preserve"> finansējumu uzturlīdzekļu apmēra pieaugumam atbilstoši ar 2021.gadu valstī noteiktai minimālai algai 500 </w:t>
            </w:r>
            <w:proofErr w:type="spellStart"/>
            <w:r w:rsidRPr="00381F40">
              <w:rPr>
                <w:sz w:val="22"/>
              </w:rPr>
              <w:t>euro</w:t>
            </w:r>
            <w:proofErr w:type="spellEnd"/>
            <w:r w:rsidRPr="00381F40">
              <w:rPr>
                <w:sz w:val="22"/>
              </w:rPr>
              <w:t xml:space="preserve"> apmērā, paredzot attiecīgo samazinājumu programmā “Korupcijas novēršanas un apkarošanas birojs” </w:t>
            </w:r>
            <w:r w:rsidRPr="00381F40">
              <w:rPr>
                <w:sz w:val="22"/>
              </w:rPr>
              <w:lastRenderedPageBreak/>
              <w:t>sadaļā “Subsīdijas un dotācijas”, kas paredzēts politisko organizāciju (partiju) finansēšanas palielinājumam”.</w:t>
            </w:r>
          </w:p>
        </w:tc>
        <w:tc>
          <w:tcPr>
            <w:tcW w:w="1417" w:type="dxa"/>
          </w:tcPr>
          <w:p w:rsidR="004F4538" w:rsidRPr="00381F40" w:rsidRDefault="004F4538" w:rsidP="00F94FBC">
            <w:pPr>
              <w:ind w:firstLine="709"/>
              <w:jc w:val="both"/>
              <w:rPr>
                <w:sz w:val="22"/>
              </w:rPr>
            </w:pPr>
          </w:p>
        </w:tc>
        <w:tc>
          <w:tcPr>
            <w:tcW w:w="1417" w:type="dxa"/>
          </w:tcPr>
          <w:p w:rsidR="004F4538" w:rsidRPr="00381F40" w:rsidRDefault="004F4538" w:rsidP="00F94FBC">
            <w:pPr>
              <w:ind w:firstLine="709"/>
              <w:jc w:val="both"/>
              <w:rPr>
                <w:sz w:val="22"/>
              </w:rPr>
            </w:pPr>
          </w:p>
        </w:tc>
      </w:tr>
      <w:tr w:rsidR="00C51EAD" w:rsidRPr="00381F40" w:rsidTr="00C51EAD">
        <w:tc>
          <w:tcPr>
            <w:tcW w:w="3798" w:type="dxa"/>
            <w:shd w:val="clear" w:color="auto" w:fill="auto"/>
          </w:tcPr>
          <w:p w:rsidR="00C51EAD" w:rsidRPr="00381F40" w:rsidRDefault="00C51EAD" w:rsidP="00F94FBC">
            <w:pPr>
              <w:pStyle w:val="labojumupamats"/>
              <w:spacing w:before="0" w:beforeAutospacing="0" w:after="0" w:afterAutospacing="0"/>
              <w:ind w:firstLine="567"/>
              <w:jc w:val="both"/>
              <w:rPr>
                <w:i/>
                <w:noProof/>
                <w:sz w:val="22"/>
                <w:szCs w:val="22"/>
                <w:lang w:val="en-GB"/>
              </w:rPr>
            </w:pPr>
          </w:p>
        </w:tc>
        <w:tc>
          <w:tcPr>
            <w:tcW w:w="3798" w:type="dxa"/>
            <w:shd w:val="clear" w:color="auto" w:fill="auto"/>
          </w:tcPr>
          <w:p w:rsidR="00C51EAD" w:rsidRPr="00381F40" w:rsidRDefault="00C51EAD" w:rsidP="00F94FBC">
            <w:pPr>
              <w:shd w:val="clear" w:color="auto" w:fill="FFFFFF"/>
              <w:ind w:firstLine="567"/>
              <w:contextualSpacing/>
              <w:jc w:val="both"/>
              <w:rPr>
                <w:noProof/>
                <w:sz w:val="22"/>
                <w:lang w:val="en-GB"/>
              </w:rPr>
            </w:pPr>
            <w:r w:rsidRPr="00381F40">
              <w:rPr>
                <w:noProof/>
                <w:sz w:val="22"/>
                <w:lang w:val="en-GB"/>
              </w:rPr>
              <w:t xml:space="preserve">Likums stājas spēkā 2020. gada 1. janvārī. </w:t>
            </w:r>
          </w:p>
        </w:tc>
        <w:tc>
          <w:tcPr>
            <w:tcW w:w="567" w:type="dxa"/>
          </w:tcPr>
          <w:p w:rsidR="00C51EAD" w:rsidRPr="00381F40" w:rsidRDefault="00C51EAD" w:rsidP="003C4C25">
            <w:pPr>
              <w:shd w:val="clear" w:color="auto" w:fill="FFFFFF"/>
              <w:contextualSpacing/>
              <w:jc w:val="center"/>
              <w:rPr>
                <w:noProof/>
                <w:sz w:val="22"/>
                <w:lang w:val="en-GB"/>
              </w:rPr>
            </w:pPr>
          </w:p>
        </w:tc>
        <w:tc>
          <w:tcPr>
            <w:tcW w:w="3798" w:type="dxa"/>
          </w:tcPr>
          <w:p w:rsidR="00C51EAD" w:rsidRPr="00381F40" w:rsidRDefault="00C51EAD" w:rsidP="00F94FBC">
            <w:pPr>
              <w:shd w:val="clear" w:color="auto" w:fill="FFFFFF"/>
              <w:ind w:firstLine="567"/>
              <w:contextualSpacing/>
              <w:jc w:val="both"/>
              <w:rPr>
                <w:noProof/>
                <w:sz w:val="22"/>
                <w:lang w:val="en-GB"/>
              </w:rPr>
            </w:pPr>
          </w:p>
        </w:tc>
        <w:tc>
          <w:tcPr>
            <w:tcW w:w="1417" w:type="dxa"/>
          </w:tcPr>
          <w:p w:rsidR="00C51EAD" w:rsidRPr="00381F40" w:rsidRDefault="00C51EAD" w:rsidP="00F94FBC">
            <w:pPr>
              <w:shd w:val="clear" w:color="auto" w:fill="FFFFFF"/>
              <w:ind w:firstLine="567"/>
              <w:contextualSpacing/>
              <w:jc w:val="both"/>
              <w:rPr>
                <w:noProof/>
                <w:sz w:val="22"/>
                <w:lang w:val="en-GB"/>
              </w:rPr>
            </w:pPr>
          </w:p>
        </w:tc>
        <w:tc>
          <w:tcPr>
            <w:tcW w:w="1417" w:type="dxa"/>
          </w:tcPr>
          <w:p w:rsidR="00C51EAD" w:rsidRPr="00381F40" w:rsidRDefault="00C51EAD" w:rsidP="00F94FBC">
            <w:pPr>
              <w:shd w:val="clear" w:color="auto" w:fill="FFFFFF"/>
              <w:ind w:firstLine="567"/>
              <w:contextualSpacing/>
              <w:jc w:val="both"/>
              <w:rPr>
                <w:noProof/>
                <w:sz w:val="22"/>
                <w:lang w:val="en-GB"/>
              </w:rPr>
            </w:pPr>
          </w:p>
        </w:tc>
      </w:tr>
    </w:tbl>
    <w:p w:rsidR="00C51EAD" w:rsidRPr="00381F40" w:rsidRDefault="00C51EAD" w:rsidP="00C51EAD">
      <w:pPr>
        <w:ind w:firstLine="567"/>
        <w:jc w:val="both"/>
        <w:rPr>
          <w:noProof/>
          <w:lang w:val="en-GB"/>
        </w:rPr>
      </w:pPr>
    </w:p>
    <w:p w:rsidR="00C51EAD" w:rsidRPr="00381F40" w:rsidRDefault="00C51EAD" w:rsidP="00C51EAD">
      <w:pPr>
        <w:rPr>
          <w:noProof/>
          <w:lang w:val="en-GB"/>
        </w:rPr>
      </w:pPr>
    </w:p>
    <w:p w:rsidR="005D4711" w:rsidRPr="00381F40" w:rsidRDefault="005D4711"/>
    <w:sectPr w:rsidR="005D4711" w:rsidRPr="00381F40" w:rsidSect="00B64F81">
      <w:footerReference w:type="even" r:id="rId8"/>
      <w:footerReference w:type="default" r:id="rId9"/>
      <w:pgSz w:w="16838" w:h="11906" w:orient="landscape"/>
      <w:pgMar w:top="993" w:right="962"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6AC" w:rsidRDefault="0073365F">
      <w:r>
        <w:separator/>
      </w:r>
    </w:p>
  </w:endnote>
  <w:endnote w:type="continuationSeparator" w:id="0">
    <w:p w:rsidR="003426AC" w:rsidRDefault="0073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C51EAD"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381F40"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C51EAD"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F40">
      <w:rPr>
        <w:rStyle w:val="PageNumber"/>
        <w:noProof/>
      </w:rPr>
      <w:t>11</w:t>
    </w:r>
    <w:r>
      <w:rPr>
        <w:rStyle w:val="PageNumber"/>
      </w:rPr>
      <w:fldChar w:fldCharType="end"/>
    </w:r>
  </w:p>
  <w:p w:rsidR="00511D34" w:rsidRDefault="00381F40"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6AC" w:rsidRDefault="0073365F">
      <w:r>
        <w:separator/>
      </w:r>
    </w:p>
  </w:footnote>
  <w:footnote w:type="continuationSeparator" w:id="0">
    <w:p w:rsidR="003426AC" w:rsidRDefault="0073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AD"/>
    <w:rsid w:val="003426AC"/>
    <w:rsid w:val="00381F40"/>
    <w:rsid w:val="003C4C25"/>
    <w:rsid w:val="004978A2"/>
    <w:rsid w:val="004F4538"/>
    <w:rsid w:val="005D4711"/>
    <w:rsid w:val="0073365F"/>
    <w:rsid w:val="00BD598E"/>
    <w:rsid w:val="00C51E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07FF"/>
  <w15:chartTrackingRefBased/>
  <w15:docId w15:val="{82BE685D-3CC3-4D72-A0FA-C45F02BD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EAD"/>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51EAD"/>
    <w:rPr>
      <w:i/>
      <w:iCs/>
    </w:rPr>
  </w:style>
  <w:style w:type="paragraph" w:styleId="Footer">
    <w:name w:val="footer"/>
    <w:basedOn w:val="Normal"/>
    <w:link w:val="FooterChar"/>
    <w:rsid w:val="00C51EAD"/>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C51EAD"/>
    <w:rPr>
      <w:rFonts w:eastAsia="Times New Roman" w:cs="Times New Roman"/>
      <w:szCs w:val="24"/>
      <w:lang w:val="en-GB"/>
    </w:rPr>
  </w:style>
  <w:style w:type="character" w:styleId="PageNumber">
    <w:name w:val="page number"/>
    <w:rsid w:val="00C51EAD"/>
  </w:style>
  <w:style w:type="paragraph" w:customStyle="1" w:styleId="labojumupamats">
    <w:name w:val="labojumu_pamats"/>
    <w:basedOn w:val="Normal"/>
    <w:rsid w:val="00C51EAD"/>
    <w:pPr>
      <w:spacing w:before="100" w:beforeAutospacing="1" w:after="100" w:afterAutospacing="1"/>
    </w:pPr>
    <w:rPr>
      <w:rFonts w:eastAsia="Times New Roman"/>
      <w:szCs w:val="24"/>
      <w:lang w:eastAsia="lv-LV"/>
    </w:rPr>
  </w:style>
  <w:style w:type="paragraph" w:customStyle="1" w:styleId="tv213">
    <w:name w:val="tv213"/>
    <w:basedOn w:val="Normal"/>
    <w:rsid w:val="00C51EAD"/>
    <w:pPr>
      <w:spacing w:before="100" w:beforeAutospacing="1" w:after="100" w:afterAutospacing="1"/>
    </w:pPr>
    <w:rPr>
      <w:rFonts w:eastAsia="Times New Roman"/>
      <w:szCs w:val="24"/>
      <w:lang w:eastAsia="lv-LV"/>
    </w:rPr>
  </w:style>
  <w:style w:type="paragraph" w:styleId="ListParagraph">
    <w:name w:val="List Paragraph"/>
    <w:basedOn w:val="Normal"/>
    <w:uiPriority w:val="34"/>
    <w:qFormat/>
    <w:rsid w:val="00C51EAD"/>
    <w:pPr>
      <w:spacing w:after="200" w:line="276" w:lineRule="auto"/>
      <w:ind w:left="720"/>
      <w:contextualSpacing/>
    </w:pPr>
    <w:rPr>
      <w:rFonts w:ascii="Calibri" w:hAnsi="Calibri"/>
      <w:sz w:val="22"/>
    </w:rPr>
  </w:style>
  <w:style w:type="paragraph" w:styleId="Title">
    <w:name w:val="Title"/>
    <w:basedOn w:val="Normal"/>
    <w:link w:val="TitleChar"/>
    <w:qFormat/>
    <w:rsid w:val="00C51EAD"/>
    <w:pPr>
      <w:jc w:val="center"/>
    </w:pPr>
    <w:rPr>
      <w:rFonts w:eastAsia="Times New Roman"/>
      <w:b/>
      <w:szCs w:val="20"/>
    </w:rPr>
  </w:style>
  <w:style w:type="character" w:customStyle="1" w:styleId="TitleChar">
    <w:name w:val="Title Char"/>
    <w:basedOn w:val="DefaultParagraphFont"/>
    <w:link w:val="Title"/>
    <w:rsid w:val="00C51EAD"/>
    <w:rPr>
      <w:rFonts w:eastAsia="Times New Roman" w:cs="Times New Roman"/>
      <w:b/>
      <w:szCs w:val="20"/>
    </w:rPr>
  </w:style>
  <w:style w:type="paragraph" w:styleId="NoSpacing">
    <w:name w:val="No Spacing"/>
    <w:uiPriority w:val="1"/>
    <w:qFormat/>
    <w:rsid w:val="004F4538"/>
    <w:rPr>
      <w:rFonts w:ascii="Calibri" w:eastAsia="Calibri" w:hAnsi="Calibri" w:cs="Times New Roman"/>
      <w:sz w:val="20"/>
      <w:szCs w:val="20"/>
      <w:lang w:eastAsia="lv-LV"/>
    </w:rPr>
  </w:style>
  <w:style w:type="character" w:styleId="Hyperlink">
    <w:name w:val="Hyperlink"/>
    <w:basedOn w:val="DefaultParagraphFont"/>
    <w:uiPriority w:val="99"/>
    <w:semiHidden/>
    <w:unhideWhenUsed/>
    <w:rsid w:val="004F4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ikumi.lv/ta/id/225418-civil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25418-civilliku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10729</Words>
  <Characters>6117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3</cp:revision>
  <dcterms:created xsi:type="dcterms:W3CDTF">2019-11-02T12:26:00Z</dcterms:created>
  <dcterms:modified xsi:type="dcterms:W3CDTF">2019-11-04T09:27:00Z</dcterms:modified>
</cp:coreProperties>
</file>