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AB6891" w:rsidRDefault="00576E16" w:rsidP="00576E16">
      <w:pPr>
        <w:rPr>
          <w:b/>
          <w:i/>
          <w:sz w:val="22"/>
        </w:rPr>
      </w:pPr>
      <w:bookmarkStart w:id="0" w:name="_GoBack"/>
      <w:bookmarkEnd w:id="0"/>
      <w:r w:rsidRPr="00C62F8B">
        <w:rPr>
          <w:sz w:val="26"/>
          <w:szCs w:val="26"/>
        </w:rPr>
        <w:t>Budžeta un finanšu (nodokļu) komisija</w:t>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E57C68">
        <w:rPr>
          <w:sz w:val="26"/>
          <w:szCs w:val="26"/>
        </w:rPr>
        <w:t>(steidzams) otr</w:t>
      </w:r>
      <w:r w:rsidR="00C55326">
        <w:rPr>
          <w:sz w:val="26"/>
          <w:szCs w:val="26"/>
        </w:rPr>
        <w:t>ajam lasījumam</w:t>
      </w:r>
    </w:p>
    <w:p w:rsidR="00520099" w:rsidRPr="00DD5CEF" w:rsidRDefault="00DD5CEF" w:rsidP="00576E16">
      <w:pPr>
        <w:jc w:val="center"/>
        <w:rPr>
          <w:rStyle w:val="Emphasis"/>
          <w:b/>
          <w:i w:val="0"/>
          <w:sz w:val="26"/>
          <w:szCs w:val="26"/>
        </w:rPr>
      </w:pPr>
      <w:r w:rsidRPr="00DD5CEF">
        <w:rPr>
          <w:b/>
          <w:iCs/>
          <w:sz w:val="26"/>
          <w:szCs w:val="26"/>
        </w:rPr>
        <w:t>Grozījumi Valsts un pašvaldību institūciju amatpersonu un darbinieku atlīdzības likumā</w:t>
      </w:r>
    </w:p>
    <w:p w:rsidR="00576E16" w:rsidRDefault="00FC3F53" w:rsidP="001846DF">
      <w:pPr>
        <w:jc w:val="center"/>
        <w:rPr>
          <w:rStyle w:val="Emphasis"/>
          <w:b/>
          <w:sz w:val="26"/>
          <w:szCs w:val="26"/>
        </w:rPr>
      </w:pPr>
      <w:r w:rsidRPr="00FC3F53">
        <w:rPr>
          <w:rStyle w:val="Emphasis"/>
          <w:b/>
          <w:sz w:val="26"/>
          <w:szCs w:val="26"/>
        </w:rPr>
        <w:t xml:space="preserve">(Nr. </w:t>
      </w:r>
      <w:r w:rsidR="00DD5CEF">
        <w:rPr>
          <w:rStyle w:val="Emphasis"/>
          <w:b/>
          <w:sz w:val="26"/>
          <w:szCs w:val="26"/>
        </w:rPr>
        <w:t>442</w:t>
      </w:r>
      <w:r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7"/>
        <w:gridCol w:w="3916"/>
        <w:gridCol w:w="567"/>
        <w:gridCol w:w="3909"/>
        <w:gridCol w:w="1411"/>
        <w:gridCol w:w="1413"/>
      </w:tblGrid>
      <w:tr w:rsidR="00280E76" w:rsidRPr="001B3F41" w:rsidTr="00280E76">
        <w:tc>
          <w:tcPr>
            <w:tcW w:w="3964" w:type="dxa"/>
            <w:shd w:val="clear" w:color="auto" w:fill="auto"/>
          </w:tcPr>
          <w:p w:rsidR="00280E76" w:rsidRPr="001634F0" w:rsidRDefault="00280E76" w:rsidP="0096593E">
            <w:pPr>
              <w:jc w:val="center"/>
              <w:rPr>
                <w:b/>
                <w:bCs/>
                <w:iCs/>
              </w:rPr>
            </w:pPr>
            <w:r>
              <w:rPr>
                <w:b/>
              </w:rPr>
              <w:t>Spēkā esošā redakcija</w:t>
            </w:r>
          </w:p>
        </w:tc>
        <w:tc>
          <w:tcPr>
            <w:tcW w:w="3969" w:type="dxa"/>
            <w:shd w:val="clear" w:color="auto" w:fill="auto"/>
          </w:tcPr>
          <w:p w:rsidR="00280E76" w:rsidRPr="001B3F41" w:rsidRDefault="00280E76" w:rsidP="005012EB">
            <w:pPr>
              <w:jc w:val="center"/>
              <w:rPr>
                <w:b/>
              </w:rPr>
            </w:pPr>
            <w:r>
              <w:rPr>
                <w:b/>
              </w:rPr>
              <w:t>Pirmā lasījuma redakcija</w:t>
            </w:r>
          </w:p>
        </w:tc>
        <w:tc>
          <w:tcPr>
            <w:tcW w:w="567" w:type="dxa"/>
          </w:tcPr>
          <w:p w:rsidR="00280E76" w:rsidRPr="0048450B" w:rsidRDefault="00280E76" w:rsidP="0048450B">
            <w:pPr>
              <w:jc w:val="center"/>
              <w:rPr>
                <w:b/>
              </w:rPr>
            </w:pPr>
            <w:r w:rsidRPr="0048450B">
              <w:rPr>
                <w:b/>
              </w:rPr>
              <w:t>Nr.</w:t>
            </w:r>
          </w:p>
        </w:tc>
        <w:tc>
          <w:tcPr>
            <w:tcW w:w="3969" w:type="dxa"/>
          </w:tcPr>
          <w:p w:rsidR="00280E76" w:rsidRDefault="00280E76" w:rsidP="005012EB">
            <w:pPr>
              <w:jc w:val="center"/>
              <w:rPr>
                <w:b/>
              </w:rPr>
            </w:pPr>
            <w:r>
              <w:rPr>
                <w:b/>
              </w:rPr>
              <w:t>Priekšlikumi</w:t>
            </w:r>
          </w:p>
          <w:p w:rsidR="00280E76" w:rsidRPr="001B3F41" w:rsidRDefault="00280E76" w:rsidP="005012EB">
            <w:pPr>
              <w:jc w:val="center"/>
              <w:rPr>
                <w:b/>
              </w:rPr>
            </w:pPr>
            <w:r>
              <w:rPr>
                <w:b/>
              </w:rPr>
              <w:t>(</w:t>
            </w:r>
            <w:r w:rsidR="009E1CBA">
              <w:rPr>
                <w:b/>
              </w:rPr>
              <w:t>6</w:t>
            </w:r>
            <w:r>
              <w:rPr>
                <w:b/>
              </w:rPr>
              <w:t>)</w:t>
            </w:r>
          </w:p>
        </w:tc>
        <w:tc>
          <w:tcPr>
            <w:tcW w:w="1418" w:type="dxa"/>
          </w:tcPr>
          <w:p w:rsidR="00280E76" w:rsidRPr="001B3F41" w:rsidRDefault="00280E76" w:rsidP="005012EB">
            <w:pPr>
              <w:jc w:val="center"/>
              <w:rPr>
                <w:b/>
              </w:rPr>
            </w:pPr>
            <w:r>
              <w:rPr>
                <w:b/>
              </w:rPr>
              <w:t>Ministru kabineta atzinums</w:t>
            </w:r>
          </w:p>
        </w:tc>
        <w:tc>
          <w:tcPr>
            <w:tcW w:w="1418" w:type="dxa"/>
          </w:tcPr>
          <w:p w:rsidR="00280E76" w:rsidRPr="001B3F41" w:rsidRDefault="00280E76" w:rsidP="005012EB">
            <w:pPr>
              <w:jc w:val="center"/>
              <w:rPr>
                <w:b/>
              </w:rPr>
            </w:pPr>
            <w:r>
              <w:rPr>
                <w:b/>
              </w:rPr>
              <w:t>Komisijas atzinums</w:t>
            </w:r>
          </w:p>
        </w:tc>
      </w:tr>
      <w:tr w:rsidR="00280E76" w:rsidRPr="001B3F41" w:rsidTr="00280E76">
        <w:tc>
          <w:tcPr>
            <w:tcW w:w="3964" w:type="dxa"/>
            <w:shd w:val="clear" w:color="auto" w:fill="auto"/>
          </w:tcPr>
          <w:p w:rsidR="00280E76" w:rsidRPr="00B6582A" w:rsidRDefault="00280E76" w:rsidP="00B6215C">
            <w:pPr>
              <w:ind w:firstLine="567"/>
              <w:jc w:val="both"/>
              <w:rPr>
                <w:sz w:val="22"/>
              </w:rPr>
            </w:pPr>
          </w:p>
        </w:tc>
        <w:tc>
          <w:tcPr>
            <w:tcW w:w="3969" w:type="dxa"/>
            <w:shd w:val="clear" w:color="auto" w:fill="auto"/>
          </w:tcPr>
          <w:p w:rsidR="00280E76" w:rsidRPr="005E54AA" w:rsidRDefault="00280E76" w:rsidP="00B712D1">
            <w:pPr>
              <w:ind w:firstLine="567"/>
              <w:jc w:val="both"/>
              <w:rPr>
                <w:rFonts w:eastAsia="Times New Roman"/>
                <w:iCs/>
                <w:color w:val="000000"/>
                <w:sz w:val="22"/>
                <w:lang w:eastAsia="lv-LV"/>
              </w:rPr>
            </w:pPr>
            <w:r w:rsidRPr="00DD5CEF">
              <w:rPr>
                <w:rFonts w:eastAsia="Times New Roman"/>
                <w:iCs/>
                <w:color w:val="000000"/>
                <w:sz w:val="22"/>
                <w:lang w:eastAsia="lv-LV"/>
              </w:rPr>
              <w:t>Izdarīt Valsts un pašvaldību institūciju amatpersonu un darbinieku atlīdzības likumā (Latvijas Vēstnesis, 2009, 199., 200. nr.; 2010, 12., 66., 99., 174., 206. nr.; 2011, 103., 204. nr.; 2012, 190., 203. nr.; 2013, 51., 191., 232., 234., 252. nr.; 2014, 206., 228., 257. nr.; 2015, 248. nr.; 2016, 182., 241. nr.; 2017, 90., 242. nr.; 2018, 196., 244. nr.) šādus grozījumus:</w:t>
            </w:r>
          </w:p>
        </w:tc>
        <w:tc>
          <w:tcPr>
            <w:tcW w:w="567" w:type="dxa"/>
          </w:tcPr>
          <w:p w:rsidR="00280E76" w:rsidRPr="0048450B" w:rsidRDefault="00280E76" w:rsidP="0048450B">
            <w:pPr>
              <w:jc w:val="center"/>
              <w:rPr>
                <w:rFonts w:eastAsia="Times New Roman"/>
                <w:b/>
                <w:iCs/>
                <w:color w:val="000000"/>
                <w:sz w:val="22"/>
                <w:lang w:eastAsia="lv-LV"/>
              </w:rPr>
            </w:pPr>
          </w:p>
        </w:tc>
        <w:tc>
          <w:tcPr>
            <w:tcW w:w="3969" w:type="dxa"/>
          </w:tcPr>
          <w:p w:rsidR="00280E76" w:rsidRPr="00DD5CEF" w:rsidRDefault="00280E76" w:rsidP="00B712D1">
            <w:pPr>
              <w:ind w:firstLine="567"/>
              <w:jc w:val="both"/>
              <w:rPr>
                <w:rFonts w:eastAsia="Times New Roman"/>
                <w:iCs/>
                <w:color w:val="000000"/>
                <w:sz w:val="22"/>
                <w:lang w:eastAsia="lv-LV"/>
              </w:rPr>
            </w:pPr>
          </w:p>
        </w:tc>
        <w:tc>
          <w:tcPr>
            <w:tcW w:w="1418" w:type="dxa"/>
          </w:tcPr>
          <w:p w:rsidR="00280E76" w:rsidRPr="00DD5CEF" w:rsidRDefault="00280E76" w:rsidP="00B712D1">
            <w:pPr>
              <w:ind w:firstLine="567"/>
              <w:jc w:val="both"/>
              <w:rPr>
                <w:rFonts w:eastAsia="Times New Roman"/>
                <w:iCs/>
                <w:color w:val="000000"/>
                <w:sz w:val="22"/>
                <w:lang w:eastAsia="lv-LV"/>
              </w:rPr>
            </w:pPr>
          </w:p>
        </w:tc>
        <w:tc>
          <w:tcPr>
            <w:tcW w:w="1418" w:type="dxa"/>
          </w:tcPr>
          <w:p w:rsidR="00280E76" w:rsidRPr="00DD5CEF" w:rsidRDefault="00280E76" w:rsidP="00B712D1">
            <w:pPr>
              <w:ind w:firstLine="567"/>
              <w:jc w:val="both"/>
              <w:rPr>
                <w:rFonts w:eastAsia="Times New Roman"/>
                <w:iCs/>
                <w:color w:val="000000"/>
                <w:sz w:val="22"/>
                <w:lang w:eastAsia="lv-LV"/>
              </w:rPr>
            </w:pPr>
          </w:p>
        </w:tc>
      </w:tr>
      <w:tr w:rsidR="00280E76" w:rsidRPr="001B3F41" w:rsidTr="00280E76">
        <w:tc>
          <w:tcPr>
            <w:tcW w:w="3964" w:type="dxa"/>
            <w:shd w:val="clear" w:color="auto" w:fill="auto"/>
          </w:tcPr>
          <w:p w:rsidR="00280E76" w:rsidRDefault="00280E76" w:rsidP="00DD5CEF">
            <w:pPr>
              <w:ind w:firstLine="567"/>
              <w:jc w:val="both"/>
              <w:rPr>
                <w:b/>
                <w:bCs/>
                <w:sz w:val="22"/>
              </w:rPr>
            </w:pPr>
            <w:r w:rsidRPr="00BD4090">
              <w:rPr>
                <w:b/>
                <w:bCs/>
                <w:sz w:val="22"/>
              </w:rPr>
              <w:t>3.</w:t>
            </w:r>
            <w:r>
              <w:rPr>
                <w:b/>
                <w:bCs/>
                <w:sz w:val="22"/>
              </w:rPr>
              <w:t xml:space="preserve"> </w:t>
            </w:r>
            <w:r w:rsidRPr="00BD4090">
              <w:rPr>
                <w:b/>
                <w:bCs/>
                <w:sz w:val="22"/>
              </w:rPr>
              <w:t>pants. Atlīdzība</w:t>
            </w:r>
          </w:p>
          <w:p w:rsidR="00280E76" w:rsidRPr="007E5C18" w:rsidRDefault="00280E76" w:rsidP="00DD5CEF">
            <w:pPr>
              <w:ind w:firstLine="567"/>
              <w:jc w:val="both"/>
              <w:rPr>
                <w:sz w:val="22"/>
              </w:rPr>
            </w:pPr>
            <w:r w:rsidRPr="007E5C18">
              <w:rPr>
                <w:sz w:val="22"/>
              </w:rPr>
              <w:t>(4</w:t>
            </w:r>
            <w:r w:rsidRPr="007E5C18">
              <w:rPr>
                <w:sz w:val="22"/>
                <w:vertAlign w:val="superscript"/>
              </w:rPr>
              <w:t>2</w:t>
            </w:r>
            <w:r w:rsidRPr="007E5C18">
              <w:rPr>
                <w:sz w:val="22"/>
              </w:rPr>
              <w:t>) Iekšlietu ministrijas sistēmas iestāžu un Ieslodzījuma vietu pārvaldes amatpersonām ar speciālajām dienesta pakāpēm šā panta ceturtās daļas 9.punktā minēto atlīdzību nosaka 30 procentu apmērā no minimālās stundas tarifa likmes par vienu stundu.</w:t>
            </w:r>
          </w:p>
        </w:tc>
        <w:tc>
          <w:tcPr>
            <w:tcW w:w="3969" w:type="dxa"/>
            <w:shd w:val="clear" w:color="auto" w:fill="auto"/>
          </w:tcPr>
          <w:p w:rsidR="00280E76" w:rsidRPr="00DD5CEF" w:rsidRDefault="00280E76" w:rsidP="00DD5CEF">
            <w:pPr>
              <w:ind w:firstLine="567"/>
              <w:jc w:val="both"/>
              <w:rPr>
                <w:rFonts w:eastAsia="Times New Roman"/>
                <w:iCs/>
                <w:color w:val="000000"/>
                <w:sz w:val="22"/>
                <w:lang w:eastAsia="lv-LV"/>
              </w:rPr>
            </w:pPr>
            <w:r w:rsidRPr="00DD5CEF">
              <w:rPr>
                <w:rFonts w:eastAsia="Times New Roman"/>
                <w:iCs/>
                <w:color w:val="000000"/>
                <w:sz w:val="22"/>
                <w:lang w:eastAsia="lv-LV"/>
              </w:rPr>
              <w:t>1. Izteikt 3. panta 4.</w:t>
            </w:r>
            <w:r w:rsidRPr="00DD5CEF">
              <w:rPr>
                <w:rFonts w:eastAsia="Times New Roman"/>
                <w:iCs/>
                <w:color w:val="000000"/>
                <w:sz w:val="22"/>
                <w:vertAlign w:val="superscript"/>
                <w:lang w:eastAsia="lv-LV"/>
              </w:rPr>
              <w:t>2 </w:t>
            </w:r>
            <w:r w:rsidRPr="00DD5CEF">
              <w:rPr>
                <w:rFonts w:eastAsia="Times New Roman"/>
                <w:iCs/>
                <w:color w:val="000000"/>
                <w:sz w:val="22"/>
                <w:lang w:eastAsia="lv-LV"/>
              </w:rPr>
              <w:t>daļu šādā redakcijā:</w:t>
            </w:r>
          </w:p>
          <w:p w:rsidR="00280E76" w:rsidRPr="005E54AA" w:rsidRDefault="00280E76" w:rsidP="00DD5CEF">
            <w:pPr>
              <w:ind w:firstLine="567"/>
              <w:jc w:val="both"/>
              <w:rPr>
                <w:rFonts w:eastAsia="Times New Roman"/>
                <w:iCs/>
                <w:color w:val="000000"/>
                <w:sz w:val="22"/>
                <w:lang w:eastAsia="lv-LV"/>
              </w:rPr>
            </w:pPr>
            <w:r w:rsidRPr="00DD5CEF">
              <w:rPr>
                <w:rFonts w:eastAsia="Times New Roman"/>
                <w:iCs/>
                <w:color w:val="000000"/>
                <w:sz w:val="22"/>
                <w:lang w:eastAsia="lv-LV"/>
              </w:rPr>
              <w:t>"(4</w:t>
            </w:r>
            <w:r w:rsidRPr="00DD5CEF">
              <w:rPr>
                <w:rFonts w:eastAsia="Times New Roman"/>
                <w:iCs/>
                <w:color w:val="000000"/>
                <w:sz w:val="22"/>
                <w:vertAlign w:val="superscript"/>
                <w:lang w:eastAsia="lv-LV"/>
              </w:rPr>
              <w:t>2</w:t>
            </w:r>
            <w:r w:rsidRPr="00DD5CEF">
              <w:rPr>
                <w:rFonts w:eastAsia="Times New Roman"/>
                <w:iCs/>
                <w:color w:val="000000"/>
                <w:sz w:val="22"/>
                <w:lang w:eastAsia="lv-LV"/>
              </w:rPr>
              <w:t>) Iekšlietu ministrijas sistēmas iestāžu un Ieslodzījuma vietu pārvaldes amatpersonām ar speciālajām dienesta pakāpēm šā panta ceturtās daļas 9. punktā minēto atlīdzību par vienu stundu nosaka 25 procentu apmērā no Iekšlietu ministrijas sistēmas iestāžu un Ieslodzījuma vietu pārvaldes amatpersonu ar speciālajām dienesta pakāpēm zemākās mēnešalgu grupas minimālajai mēnešalgai atbilstošās stundas algas likmes."</w:t>
            </w:r>
          </w:p>
        </w:tc>
        <w:tc>
          <w:tcPr>
            <w:tcW w:w="567" w:type="dxa"/>
          </w:tcPr>
          <w:p w:rsidR="00280E76" w:rsidRPr="0048450B" w:rsidRDefault="0048450B" w:rsidP="0048450B">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280E76" w:rsidRDefault="006131AE" w:rsidP="00DD5CE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R.Ločmele-Luņova</w:t>
            </w:r>
          </w:p>
          <w:p w:rsidR="006131AE" w:rsidRPr="004F718F" w:rsidRDefault="004F718F" w:rsidP="00DD5CEF">
            <w:pPr>
              <w:ind w:firstLine="567"/>
              <w:jc w:val="both"/>
              <w:rPr>
                <w:rFonts w:eastAsia="Times New Roman"/>
                <w:iCs/>
                <w:color w:val="000000"/>
                <w:sz w:val="22"/>
                <w:lang w:eastAsia="lv-LV"/>
              </w:rPr>
            </w:pPr>
            <w:r w:rsidRPr="004F718F">
              <w:rPr>
                <w:rFonts w:eastAsia="Times New Roman"/>
                <w:iCs/>
                <w:color w:val="000000"/>
                <w:sz w:val="22"/>
                <w:lang w:eastAsia="lv-LV"/>
              </w:rPr>
              <w:t>Izslēgt likumprojekta 1. pantu.</w:t>
            </w:r>
          </w:p>
        </w:tc>
        <w:tc>
          <w:tcPr>
            <w:tcW w:w="1418" w:type="dxa"/>
          </w:tcPr>
          <w:p w:rsidR="00280E76" w:rsidRPr="00DD5CEF" w:rsidRDefault="00280E76" w:rsidP="00DD5CEF">
            <w:pPr>
              <w:ind w:firstLine="567"/>
              <w:jc w:val="both"/>
              <w:rPr>
                <w:rFonts w:eastAsia="Times New Roman"/>
                <w:iCs/>
                <w:color w:val="000000"/>
                <w:sz w:val="22"/>
                <w:lang w:eastAsia="lv-LV"/>
              </w:rPr>
            </w:pPr>
          </w:p>
        </w:tc>
        <w:tc>
          <w:tcPr>
            <w:tcW w:w="1418" w:type="dxa"/>
          </w:tcPr>
          <w:p w:rsidR="00280E76" w:rsidRPr="00DD5CEF" w:rsidRDefault="00280E76" w:rsidP="00DD5CEF">
            <w:pPr>
              <w:ind w:firstLine="567"/>
              <w:jc w:val="both"/>
              <w:rPr>
                <w:rFonts w:eastAsia="Times New Roman"/>
                <w:iCs/>
                <w:color w:val="000000"/>
                <w:sz w:val="22"/>
                <w:lang w:eastAsia="lv-LV"/>
              </w:rPr>
            </w:pPr>
          </w:p>
        </w:tc>
      </w:tr>
      <w:tr w:rsidR="009D4CA4" w:rsidRPr="001B3F41" w:rsidTr="00280E76">
        <w:tc>
          <w:tcPr>
            <w:tcW w:w="3964" w:type="dxa"/>
            <w:shd w:val="clear" w:color="auto" w:fill="auto"/>
          </w:tcPr>
          <w:p w:rsidR="009D4CA4" w:rsidRDefault="009D4CA4" w:rsidP="00DD5CEF">
            <w:pPr>
              <w:ind w:firstLine="567"/>
              <w:jc w:val="both"/>
              <w:rPr>
                <w:b/>
                <w:bCs/>
                <w:sz w:val="22"/>
              </w:rPr>
            </w:pPr>
            <w:r w:rsidRPr="009D4CA4">
              <w:rPr>
                <w:b/>
                <w:bCs/>
                <w:sz w:val="22"/>
              </w:rPr>
              <w:t>5.</w:t>
            </w:r>
            <w:r w:rsidRPr="009D4CA4">
              <w:rPr>
                <w:b/>
                <w:bCs/>
                <w:sz w:val="22"/>
                <w:vertAlign w:val="superscript"/>
              </w:rPr>
              <w:t>1</w:t>
            </w:r>
            <w:r w:rsidRPr="009D4CA4">
              <w:rPr>
                <w:b/>
                <w:bCs/>
                <w:sz w:val="22"/>
              </w:rPr>
              <w:t xml:space="preserve"> pants. Saeimas deputāta mēnešalga</w:t>
            </w:r>
          </w:p>
          <w:p w:rsidR="009D4CA4" w:rsidRPr="009D4CA4" w:rsidRDefault="009D4CA4" w:rsidP="009D4CA4">
            <w:pPr>
              <w:ind w:firstLine="567"/>
              <w:jc w:val="both"/>
              <w:rPr>
                <w:bCs/>
                <w:sz w:val="22"/>
              </w:rPr>
            </w:pPr>
            <w:r w:rsidRPr="009D4CA4">
              <w:rPr>
                <w:bCs/>
                <w:sz w:val="22"/>
              </w:rPr>
              <w:t xml:space="preserve">(2) Papildus šā panta pirmajā daļā noteiktajam deputātiem, kuri pilda kādu no šajā daļā minētajiem amatiem, izmaksā arī mēnešalgas daļu par attiecīgo amatu </w:t>
            </w:r>
            <w:r w:rsidRPr="009D4CA4">
              <w:rPr>
                <w:bCs/>
                <w:sz w:val="22"/>
              </w:rPr>
              <w:lastRenderedPageBreak/>
              <w:t>pildīšanu un to nosaka, bāzes mēnešalgas apmēram (4. panta otrā daļa) piemērojot šādu koeficientu:</w:t>
            </w:r>
          </w:p>
          <w:p w:rsidR="009D4CA4" w:rsidRPr="009D4CA4" w:rsidRDefault="009D4CA4" w:rsidP="009D4CA4">
            <w:pPr>
              <w:ind w:firstLine="567"/>
              <w:jc w:val="both"/>
              <w:rPr>
                <w:bCs/>
                <w:sz w:val="22"/>
              </w:rPr>
            </w:pPr>
            <w:r w:rsidRPr="009D4CA4">
              <w:rPr>
                <w:bCs/>
                <w:sz w:val="22"/>
              </w:rPr>
              <w:t>1) Saeimas priekšsēdētājam — 1,73;</w:t>
            </w:r>
          </w:p>
          <w:p w:rsidR="009D4CA4" w:rsidRPr="009D4CA4" w:rsidRDefault="009D4CA4" w:rsidP="009D4CA4">
            <w:pPr>
              <w:ind w:firstLine="567"/>
              <w:jc w:val="both"/>
              <w:rPr>
                <w:bCs/>
                <w:sz w:val="22"/>
              </w:rPr>
            </w:pPr>
            <w:r w:rsidRPr="009D4CA4">
              <w:rPr>
                <w:bCs/>
                <w:sz w:val="22"/>
              </w:rPr>
              <w:t>2) Saeimas priekšsēdētāja biedram — 1,48;</w:t>
            </w:r>
          </w:p>
          <w:p w:rsidR="009D4CA4" w:rsidRPr="009D4CA4" w:rsidRDefault="009D4CA4" w:rsidP="009D4CA4">
            <w:pPr>
              <w:ind w:firstLine="567"/>
              <w:jc w:val="both"/>
              <w:rPr>
                <w:bCs/>
                <w:sz w:val="22"/>
              </w:rPr>
            </w:pPr>
            <w:r w:rsidRPr="009D4CA4">
              <w:rPr>
                <w:bCs/>
                <w:sz w:val="22"/>
              </w:rPr>
              <w:t>3) Saeimas sekretāram — 1,48;</w:t>
            </w:r>
          </w:p>
          <w:p w:rsidR="009D4CA4" w:rsidRPr="009D4CA4" w:rsidRDefault="009D4CA4" w:rsidP="009D4CA4">
            <w:pPr>
              <w:ind w:firstLine="567"/>
              <w:jc w:val="both"/>
              <w:rPr>
                <w:bCs/>
                <w:sz w:val="22"/>
              </w:rPr>
            </w:pPr>
            <w:r w:rsidRPr="009D4CA4">
              <w:rPr>
                <w:bCs/>
                <w:sz w:val="22"/>
              </w:rPr>
              <w:t>4) Saeimas sekretāra biedram — 1,39;</w:t>
            </w:r>
          </w:p>
          <w:p w:rsidR="009D4CA4" w:rsidRPr="009D4CA4" w:rsidRDefault="009D4CA4" w:rsidP="009D4CA4">
            <w:pPr>
              <w:ind w:firstLine="567"/>
              <w:jc w:val="both"/>
              <w:rPr>
                <w:bCs/>
                <w:sz w:val="22"/>
              </w:rPr>
            </w:pPr>
            <w:r w:rsidRPr="009D4CA4">
              <w:rPr>
                <w:bCs/>
                <w:sz w:val="22"/>
              </w:rPr>
              <w:t>5) Saeimas komisijas priekšsēdētājam — 1,39;</w:t>
            </w:r>
          </w:p>
          <w:p w:rsidR="009D4CA4" w:rsidRPr="009D4CA4" w:rsidRDefault="009D4CA4" w:rsidP="009D4CA4">
            <w:pPr>
              <w:ind w:firstLine="567"/>
              <w:jc w:val="both"/>
              <w:rPr>
                <w:bCs/>
                <w:sz w:val="22"/>
              </w:rPr>
            </w:pPr>
            <w:r w:rsidRPr="009D4CA4">
              <w:rPr>
                <w:bCs/>
                <w:sz w:val="22"/>
              </w:rPr>
              <w:t>6) Saeimas frakcijas priekšsēdētājam — 1,39;</w:t>
            </w:r>
          </w:p>
          <w:p w:rsidR="009D4CA4" w:rsidRPr="009D4CA4" w:rsidRDefault="009D4CA4" w:rsidP="009D4CA4">
            <w:pPr>
              <w:ind w:firstLine="567"/>
              <w:jc w:val="both"/>
              <w:rPr>
                <w:bCs/>
                <w:sz w:val="22"/>
              </w:rPr>
            </w:pPr>
            <w:r w:rsidRPr="009D4CA4">
              <w:rPr>
                <w:bCs/>
                <w:sz w:val="22"/>
              </w:rPr>
              <w:t>7) Saeimas komisijas priekšsēdētāja biedram — 0,35;</w:t>
            </w:r>
          </w:p>
          <w:p w:rsidR="009D4CA4" w:rsidRPr="009D4CA4" w:rsidRDefault="009D4CA4" w:rsidP="009D4CA4">
            <w:pPr>
              <w:ind w:firstLine="567"/>
              <w:jc w:val="both"/>
              <w:rPr>
                <w:bCs/>
                <w:sz w:val="22"/>
              </w:rPr>
            </w:pPr>
            <w:r w:rsidRPr="009D4CA4">
              <w:rPr>
                <w:bCs/>
                <w:sz w:val="22"/>
              </w:rPr>
              <w:t>8) Saeimas frakcijas priekšsēdētāja biedram — 0,35;</w:t>
            </w:r>
          </w:p>
          <w:p w:rsidR="009D4CA4" w:rsidRPr="009D4CA4" w:rsidRDefault="009D4CA4" w:rsidP="009D4CA4">
            <w:pPr>
              <w:ind w:firstLine="567"/>
              <w:jc w:val="both"/>
              <w:rPr>
                <w:bCs/>
                <w:sz w:val="22"/>
              </w:rPr>
            </w:pPr>
            <w:r w:rsidRPr="009D4CA4">
              <w:rPr>
                <w:bCs/>
                <w:sz w:val="22"/>
              </w:rPr>
              <w:t>9) Saeimas komisijas sekretāram — 0,35;</w:t>
            </w:r>
          </w:p>
          <w:p w:rsidR="009D4CA4" w:rsidRPr="009D4CA4" w:rsidRDefault="009D4CA4" w:rsidP="009D4CA4">
            <w:pPr>
              <w:ind w:firstLine="567"/>
              <w:jc w:val="both"/>
              <w:rPr>
                <w:bCs/>
                <w:sz w:val="22"/>
              </w:rPr>
            </w:pPr>
            <w:r w:rsidRPr="009D4CA4">
              <w:rPr>
                <w:bCs/>
                <w:sz w:val="22"/>
              </w:rPr>
              <w:t>10) Saeimas apakškomisijas priekšsēdētājam — 0,27;</w:t>
            </w:r>
          </w:p>
          <w:p w:rsidR="009D4CA4" w:rsidRPr="009D4CA4" w:rsidRDefault="009D4CA4" w:rsidP="009D4CA4">
            <w:pPr>
              <w:ind w:firstLine="567"/>
              <w:jc w:val="both"/>
              <w:rPr>
                <w:bCs/>
                <w:sz w:val="22"/>
              </w:rPr>
            </w:pPr>
            <w:r w:rsidRPr="009D4CA4">
              <w:rPr>
                <w:bCs/>
                <w:sz w:val="22"/>
              </w:rPr>
              <w:t>11) Saeimas apakškomisijas sekretāram — 0,17.</w:t>
            </w:r>
          </w:p>
        </w:tc>
        <w:tc>
          <w:tcPr>
            <w:tcW w:w="3969" w:type="dxa"/>
            <w:shd w:val="clear" w:color="auto" w:fill="auto"/>
          </w:tcPr>
          <w:p w:rsidR="009D4CA4" w:rsidRPr="00DD5CEF" w:rsidRDefault="009D4CA4" w:rsidP="00DD5CEF">
            <w:pPr>
              <w:ind w:firstLine="567"/>
              <w:jc w:val="both"/>
              <w:rPr>
                <w:rFonts w:eastAsia="Times New Roman"/>
                <w:iCs/>
                <w:color w:val="000000"/>
                <w:sz w:val="22"/>
                <w:lang w:eastAsia="lv-LV"/>
              </w:rPr>
            </w:pPr>
          </w:p>
        </w:tc>
        <w:tc>
          <w:tcPr>
            <w:tcW w:w="567" w:type="dxa"/>
          </w:tcPr>
          <w:p w:rsidR="009D4CA4" w:rsidRPr="0048450B" w:rsidRDefault="0048450B" w:rsidP="0048450B">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9D4CA4" w:rsidRDefault="009D4CA4" w:rsidP="00DD5CE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9D4CA4" w:rsidRPr="009D4CA4" w:rsidRDefault="009D4CA4" w:rsidP="00DD5CEF">
            <w:pPr>
              <w:ind w:firstLine="567"/>
              <w:jc w:val="both"/>
              <w:rPr>
                <w:rFonts w:eastAsia="Times New Roman"/>
                <w:iCs/>
                <w:color w:val="000000"/>
                <w:sz w:val="22"/>
                <w:lang w:eastAsia="lv-LV"/>
              </w:rPr>
            </w:pPr>
            <w:r w:rsidRPr="009D4CA4">
              <w:rPr>
                <w:rFonts w:eastAsia="Times New Roman"/>
                <w:iCs/>
                <w:color w:val="000000"/>
                <w:sz w:val="22"/>
                <w:lang w:eastAsia="lv-LV"/>
              </w:rPr>
              <w:t xml:space="preserve">Izslēgt likuma 5 </w:t>
            </w:r>
            <w:r w:rsidRPr="009D4CA4">
              <w:rPr>
                <w:rFonts w:eastAsia="Times New Roman"/>
                <w:iCs/>
                <w:color w:val="000000"/>
                <w:sz w:val="22"/>
                <w:vertAlign w:val="superscript"/>
                <w:lang w:eastAsia="lv-LV"/>
              </w:rPr>
              <w:t xml:space="preserve">1 </w:t>
            </w:r>
            <w:r w:rsidRPr="009D4CA4">
              <w:rPr>
                <w:rFonts w:eastAsia="Times New Roman"/>
                <w:iCs/>
                <w:color w:val="000000"/>
                <w:sz w:val="22"/>
                <w:lang w:eastAsia="lv-LV"/>
              </w:rPr>
              <w:t>panta otro daļu.</w:t>
            </w:r>
          </w:p>
        </w:tc>
        <w:tc>
          <w:tcPr>
            <w:tcW w:w="1418" w:type="dxa"/>
          </w:tcPr>
          <w:p w:rsidR="009D4CA4" w:rsidRPr="00DD5CEF" w:rsidRDefault="009D4CA4" w:rsidP="00DD5CEF">
            <w:pPr>
              <w:ind w:firstLine="567"/>
              <w:jc w:val="both"/>
              <w:rPr>
                <w:rFonts w:eastAsia="Times New Roman"/>
                <w:iCs/>
                <w:color w:val="000000"/>
                <w:sz w:val="22"/>
                <w:lang w:eastAsia="lv-LV"/>
              </w:rPr>
            </w:pPr>
          </w:p>
        </w:tc>
        <w:tc>
          <w:tcPr>
            <w:tcW w:w="1418" w:type="dxa"/>
          </w:tcPr>
          <w:p w:rsidR="009D4CA4" w:rsidRPr="00DD5CEF" w:rsidRDefault="009D4CA4" w:rsidP="00DD5CEF">
            <w:pPr>
              <w:ind w:firstLine="567"/>
              <w:jc w:val="both"/>
              <w:rPr>
                <w:rFonts w:eastAsia="Times New Roman"/>
                <w:iCs/>
                <w:color w:val="000000"/>
                <w:sz w:val="22"/>
                <w:lang w:eastAsia="lv-LV"/>
              </w:rPr>
            </w:pPr>
          </w:p>
        </w:tc>
      </w:tr>
      <w:tr w:rsidR="009D4CA4" w:rsidRPr="001B3F41" w:rsidTr="00280E76">
        <w:tc>
          <w:tcPr>
            <w:tcW w:w="3964" w:type="dxa"/>
            <w:shd w:val="clear" w:color="auto" w:fill="auto"/>
          </w:tcPr>
          <w:p w:rsidR="009D4CA4" w:rsidRDefault="003B4AE7" w:rsidP="00DD5CEF">
            <w:pPr>
              <w:ind w:firstLine="567"/>
              <w:jc w:val="both"/>
              <w:rPr>
                <w:b/>
                <w:bCs/>
                <w:sz w:val="22"/>
              </w:rPr>
            </w:pPr>
            <w:r w:rsidRPr="003B4AE7">
              <w:rPr>
                <w:b/>
                <w:bCs/>
                <w:sz w:val="22"/>
              </w:rPr>
              <w:t>6.</w:t>
            </w:r>
            <w:r>
              <w:rPr>
                <w:b/>
                <w:bCs/>
                <w:sz w:val="22"/>
              </w:rPr>
              <w:t xml:space="preserve"> </w:t>
            </w:r>
            <w:r w:rsidRPr="003B4AE7">
              <w:rPr>
                <w:b/>
                <w:bCs/>
                <w:sz w:val="22"/>
              </w:rPr>
              <w:t>pants. Saeimas ievēlēto, apstiprināto un iecelto amatpersonu, izņemot Korupcijas novēršanas un apkarošanas biroja priekšnieku, mēnešalga</w:t>
            </w:r>
          </w:p>
          <w:p w:rsidR="003B4AE7" w:rsidRPr="003B4AE7" w:rsidRDefault="003B4AE7" w:rsidP="00DD5CEF">
            <w:pPr>
              <w:ind w:firstLine="567"/>
              <w:jc w:val="both"/>
              <w:rPr>
                <w:bCs/>
                <w:sz w:val="22"/>
              </w:rPr>
            </w:pPr>
            <w:r w:rsidRPr="003B4AE7">
              <w:rPr>
                <w:bCs/>
                <w:sz w:val="22"/>
              </w:rPr>
              <w:t xml:space="preserve">(4) Ministru kabineta loceklis saņem piemaksu </w:t>
            </w:r>
            <w:r w:rsidRPr="003B4AE7">
              <w:rPr>
                <w:bCs/>
                <w:sz w:val="22"/>
                <w:u w:val="single"/>
              </w:rPr>
              <w:t>50</w:t>
            </w:r>
            <w:r w:rsidRPr="003B4AE7">
              <w:rPr>
                <w:bCs/>
                <w:sz w:val="22"/>
              </w:rPr>
              <w:t xml:space="preserve"> procentu apmērā no viņam noteiktās mēnešalgas, ja papildus saviem tiešajiem amata pienākumiem aizvieto prombūtnē esošu Ministru kabineta locekli, kā arī aizvieto Ministru kabineta locekli, kurš beidzis pildīt savus pienākumus, pirms cita persona </w:t>
            </w:r>
            <w:r w:rsidRPr="003B4AE7">
              <w:rPr>
                <w:bCs/>
                <w:sz w:val="22"/>
              </w:rPr>
              <w:lastRenderedPageBreak/>
              <w:t>apstiprināta attiecīgā Ministru kabineta locekļa amatā.</w:t>
            </w:r>
          </w:p>
        </w:tc>
        <w:tc>
          <w:tcPr>
            <w:tcW w:w="3969" w:type="dxa"/>
            <w:shd w:val="clear" w:color="auto" w:fill="auto"/>
          </w:tcPr>
          <w:p w:rsidR="009D4CA4" w:rsidRPr="00DD5CEF" w:rsidRDefault="009D4CA4" w:rsidP="00DD5CEF">
            <w:pPr>
              <w:ind w:firstLine="567"/>
              <w:jc w:val="both"/>
              <w:rPr>
                <w:rFonts w:eastAsia="Times New Roman"/>
                <w:iCs/>
                <w:color w:val="000000"/>
                <w:sz w:val="22"/>
                <w:lang w:eastAsia="lv-LV"/>
              </w:rPr>
            </w:pPr>
          </w:p>
        </w:tc>
        <w:tc>
          <w:tcPr>
            <w:tcW w:w="567" w:type="dxa"/>
          </w:tcPr>
          <w:p w:rsidR="009D4CA4" w:rsidRPr="0048450B" w:rsidRDefault="00057038" w:rsidP="0048450B">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9D4CA4" w:rsidRDefault="009D4CA4" w:rsidP="009D4CA4">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9D4CA4" w:rsidRPr="009D4CA4" w:rsidRDefault="009D4CA4" w:rsidP="00DD5CEF">
            <w:pPr>
              <w:ind w:firstLine="567"/>
              <w:jc w:val="both"/>
              <w:rPr>
                <w:rFonts w:eastAsia="Times New Roman"/>
                <w:iCs/>
                <w:color w:val="000000"/>
                <w:sz w:val="22"/>
                <w:lang w:eastAsia="lv-LV"/>
              </w:rPr>
            </w:pPr>
            <w:r w:rsidRPr="009D4CA4">
              <w:rPr>
                <w:rFonts w:eastAsia="Times New Roman"/>
                <w:iCs/>
                <w:color w:val="000000"/>
                <w:sz w:val="22"/>
                <w:lang w:eastAsia="lv-LV"/>
              </w:rPr>
              <w:t>6.</w:t>
            </w:r>
            <w:r>
              <w:rPr>
                <w:rFonts w:eastAsia="Times New Roman"/>
                <w:iCs/>
                <w:color w:val="000000"/>
                <w:sz w:val="22"/>
                <w:lang w:eastAsia="lv-LV"/>
              </w:rPr>
              <w:t xml:space="preserve"> </w:t>
            </w:r>
            <w:r w:rsidRPr="009D4CA4">
              <w:rPr>
                <w:rFonts w:eastAsia="Times New Roman"/>
                <w:iCs/>
                <w:color w:val="000000"/>
                <w:sz w:val="22"/>
                <w:lang w:eastAsia="lv-LV"/>
              </w:rPr>
              <w:t>panta (4) daļā aizvietot skaitli “50” ar “30”.</w:t>
            </w:r>
          </w:p>
        </w:tc>
        <w:tc>
          <w:tcPr>
            <w:tcW w:w="1418" w:type="dxa"/>
          </w:tcPr>
          <w:p w:rsidR="009D4CA4" w:rsidRPr="00DD5CEF" w:rsidRDefault="009D4CA4" w:rsidP="00DD5CEF">
            <w:pPr>
              <w:ind w:firstLine="567"/>
              <w:jc w:val="both"/>
              <w:rPr>
                <w:rFonts w:eastAsia="Times New Roman"/>
                <w:iCs/>
                <w:color w:val="000000"/>
                <w:sz w:val="22"/>
                <w:lang w:eastAsia="lv-LV"/>
              </w:rPr>
            </w:pPr>
          </w:p>
        </w:tc>
        <w:tc>
          <w:tcPr>
            <w:tcW w:w="1418" w:type="dxa"/>
          </w:tcPr>
          <w:p w:rsidR="009D4CA4" w:rsidRPr="00DD5CEF" w:rsidRDefault="009D4CA4" w:rsidP="00DD5CEF">
            <w:pPr>
              <w:ind w:firstLine="567"/>
              <w:jc w:val="both"/>
              <w:rPr>
                <w:rFonts w:eastAsia="Times New Roman"/>
                <w:iCs/>
                <w:color w:val="000000"/>
                <w:sz w:val="22"/>
                <w:lang w:eastAsia="lv-LV"/>
              </w:rPr>
            </w:pPr>
          </w:p>
        </w:tc>
      </w:tr>
      <w:tr w:rsidR="00280E76" w:rsidRPr="001B3F41" w:rsidTr="00280E76">
        <w:tc>
          <w:tcPr>
            <w:tcW w:w="3964" w:type="dxa"/>
            <w:shd w:val="clear" w:color="auto" w:fill="auto"/>
          </w:tcPr>
          <w:p w:rsidR="00280E76" w:rsidRDefault="00280E76" w:rsidP="003A5EFA">
            <w:pPr>
              <w:ind w:firstLine="567"/>
              <w:jc w:val="both"/>
              <w:rPr>
                <w:b/>
                <w:bCs/>
                <w:sz w:val="22"/>
              </w:rPr>
            </w:pPr>
            <w:r w:rsidRPr="0001677C">
              <w:rPr>
                <w:b/>
                <w:bCs/>
                <w:sz w:val="22"/>
              </w:rPr>
              <w:t>11.</w:t>
            </w:r>
            <w:r>
              <w:rPr>
                <w:b/>
                <w:bCs/>
                <w:sz w:val="22"/>
              </w:rPr>
              <w:t xml:space="preserve"> </w:t>
            </w:r>
            <w:r w:rsidRPr="0001677C">
              <w:rPr>
                <w:b/>
                <w:bCs/>
                <w:sz w:val="22"/>
              </w:rPr>
              <w:t>pants. Citu valsts un pašvaldību institūciju amatpersonu (darbinieku) mēnešalga</w:t>
            </w:r>
          </w:p>
          <w:p w:rsidR="00280E76" w:rsidRPr="0001677C" w:rsidRDefault="00280E76" w:rsidP="003A5EFA">
            <w:pPr>
              <w:ind w:firstLine="567"/>
              <w:jc w:val="both"/>
              <w:rPr>
                <w:sz w:val="22"/>
              </w:rPr>
            </w:pPr>
            <w:r w:rsidRPr="00C24403">
              <w:rPr>
                <w:sz w:val="22"/>
              </w:rPr>
              <w:t xml:space="preserve">(2) Valsts kontroles, </w:t>
            </w:r>
            <w:r w:rsidRPr="00D238F1">
              <w:rPr>
                <w:sz w:val="22"/>
              </w:rPr>
              <w:t xml:space="preserve">Valsts prezidenta kancelejas, </w:t>
            </w:r>
            <w:r w:rsidRPr="00C24403">
              <w:rPr>
                <w:sz w:val="22"/>
              </w:rPr>
              <w:t>Saeimas Administrācijas un citu Saeimas struktūrvienību amatpersonu (darbinieku) mēnešalgu nosaka šo institūciju darbību regulējošos normatīvajos aktos noteiktās amatpersonas (institūcijas), ņemot vērā amata vērtību (atbildības līmeni un sarežģītību) un konkrētās amatpersonas (darbinieka) individuālās kvalifikācijas un prasmju novērtējumu, kā arī tiešās pārvaldes iestāžu amatpersonu (darbinieku) līdzīgas atbildības un sarežģītības amatiem noteiktās mēnešalgas.</w:t>
            </w:r>
          </w:p>
        </w:tc>
        <w:tc>
          <w:tcPr>
            <w:tcW w:w="3969" w:type="dxa"/>
            <w:shd w:val="clear" w:color="auto" w:fill="auto"/>
          </w:tcPr>
          <w:p w:rsidR="00280E76" w:rsidRPr="005E54AA" w:rsidRDefault="00280E76" w:rsidP="00903609">
            <w:pPr>
              <w:ind w:firstLine="567"/>
              <w:jc w:val="both"/>
              <w:rPr>
                <w:rFonts w:eastAsia="Times New Roman"/>
                <w:iCs/>
                <w:color w:val="000000"/>
                <w:sz w:val="22"/>
                <w:lang w:eastAsia="lv-LV"/>
              </w:rPr>
            </w:pPr>
            <w:r w:rsidRPr="00F14FFB">
              <w:rPr>
                <w:rFonts w:eastAsia="Times New Roman"/>
                <w:iCs/>
                <w:color w:val="000000"/>
                <w:sz w:val="22"/>
                <w:lang w:eastAsia="lv-LV"/>
              </w:rPr>
              <w:t>2. Papildināt 11. panta otro daļu aiz vārdiem "Valsts prezidenta kancelejas" ar vārdiem "Satversmes tiesas".</w:t>
            </w:r>
          </w:p>
        </w:tc>
        <w:tc>
          <w:tcPr>
            <w:tcW w:w="567" w:type="dxa"/>
          </w:tcPr>
          <w:p w:rsidR="00280E76" w:rsidRPr="0048450B" w:rsidRDefault="00280E76" w:rsidP="0048450B">
            <w:pPr>
              <w:jc w:val="center"/>
              <w:rPr>
                <w:rFonts w:eastAsia="Times New Roman"/>
                <w:b/>
                <w:iCs/>
                <w:color w:val="000000"/>
                <w:sz w:val="22"/>
                <w:lang w:eastAsia="lv-LV"/>
              </w:rPr>
            </w:pPr>
          </w:p>
        </w:tc>
        <w:tc>
          <w:tcPr>
            <w:tcW w:w="3969" w:type="dxa"/>
          </w:tcPr>
          <w:p w:rsidR="00280E76" w:rsidRPr="00F14FFB" w:rsidRDefault="00280E76" w:rsidP="00903609">
            <w:pPr>
              <w:ind w:firstLine="567"/>
              <w:jc w:val="both"/>
              <w:rPr>
                <w:rFonts w:eastAsia="Times New Roman"/>
                <w:iCs/>
                <w:color w:val="000000"/>
                <w:sz w:val="22"/>
                <w:lang w:eastAsia="lv-LV"/>
              </w:rPr>
            </w:pPr>
          </w:p>
        </w:tc>
        <w:tc>
          <w:tcPr>
            <w:tcW w:w="1418" w:type="dxa"/>
          </w:tcPr>
          <w:p w:rsidR="00280E76" w:rsidRPr="00F14FFB" w:rsidRDefault="00280E76" w:rsidP="00903609">
            <w:pPr>
              <w:ind w:firstLine="567"/>
              <w:jc w:val="both"/>
              <w:rPr>
                <w:rFonts w:eastAsia="Times New Roman"/>
                <w:iCs/>
                <w:color w:val="000000"/>
                <w:sz w:val="22"/>
                <w:lang w:eastAsia="lv-LV"/>
              </w:rPr>
            </w:pPr>
          </w:p>
        </w:tc>
        <w:tc>
          <w:tcPr>
            <w:tcW w:w="1418" w:type="dxa"/>
          </w:tcPr>
          <w:p w:rsidR="00280E76" w:rsidRPr="00F14FFB" w:rsidRDefault="00280E76" w:rsidP="00903609">
            <w:pPr>
              <w:ind w:firstLine="567"/>
              <w:jc w:val="both"/>
              <w:rPr>
                <w:rFonts w:eastAsia="Times New Roman"/>
                <w:iCs/>
                <w:color w:val="000000"/>
                <w:sz w:val="22"/>
                <w:lang w:eastAsia="lv-LV"/>
              </w:rPr>
            </w:pPr>
          </w:p>
        </w:tc>
      </w:tr>
      <w:tr w:rsidR="00280E76" w:rsidRPr="001B3F41" w:rsidTr="00280E76">
        <w:tc>
          <w:tcPr>
            <w:tcW w:w="3964" w:type="dxa"/>
            <w:shd w:val="clear" w:color="auto" w:fill="auto"/>
          </w:tcPr>
          <w:p w:rsidR="00280E76" w:rsidRPr="001846DF" w:rsidRDefault="00280E76" w:rsidP="006F0AD7">
            <w:pPr>
              <w:ind w:firstLine="567"/>
              <w:jc w:val="both"/>
              <w:rPr>
                <w:sz w:val="22"/>
              </w:rPr>
            </w:pPr>
            <w:r w:rsidRPr="00FF7ACA">
              <w:rPr>
                <w:b/>
                <w:bCs/>
                <w:sz w:val="22"/>
              </w:rPr>
              <w:t>13.</w:t>
            </w:r>
            <w:r w:rsidRPr="00FF7ACA">
              <w:rPr>
                <w:b/>
                <w:bCs/>
                <w:sz w:val="22"/>
                <w:vertAlign w:val="superscript"/>
              </w:rPr>
              <w:t>7</w:t>
            </w:r>
            <w:r w:rsidRPr="00FF7ACA">
              <w:rPr>
                <w:b/>
                <w:bCs/>
                <w:sz w:val="22"/>
              </w:rPr>
              <w:t> pants. Datu valsts inspekcijas amatpersonu (darbinieku) mēnešalga</w:t>
            </w:r>
          </w:p>
        </w:tc>
        <w:tc>
          <w:tcPr>
            <w:tcW w:w="3969" w:type="dxa"/>
            <w:shd w:val="clear" w:color="auto" w:fill="auto"/>
          </w:tcPr>
          <w:p w:rsidR="00280E76" w:rsidRPr="00F14FFB" w:rsidRDefault="00280E76" w:rsidP="00F14FFB">
            <w:pPr>
              <w:ind w:firstLine="567"/>
              <w:jc w:val="both"/>
              <w:rPr>
                <w:rFonts w:eastAsia="Times New Roman"/>
                <w:iCs/>
                <w:color w:val="000000"/>
                <w:sz w:val="22"/>
                <w:lang w:eastAsia="lv-LV"/>
              </w:rPr>
            </w:pPr>
            <w:r w:rsidRPr="00F14FFB">
              <w:rPr>
                <w:rFonts w:eastAsia="Times New Roman"/>
                <w:iCs/>
                <w:color w:val="000000"/>
                <w:sz w:val="22"/>
                <w:lang w:eastAsia="lv-LV"/>
              </w:rPr>
              <w:t>3.  13.</w:t>
            </w:r>
            <w:r w:rsidRPr="00F14FFB">
              <w:rPr>
                <w:rFonts w:eastAsia="Times New Roman"/>
                <w:iCs/>
                <w:color w:val="000000"/>
                <w:sz w:val="22"/>
                <w:vertAlign w:val="superscript"/>
                <w:lang w:eastAsia="lv-LV"/>
              </w:rPr>
              <w:t>7</w:t>
            </w:r>
            <w:r w:rsidRPr="00F14FFB">
              <w:rPr>
                <w:rFonts w:eastAsia="Times New Roman"/>
                <w:iCs/>
                <w:color w:val="000000"/>
                <w:sz w:val="22"/>
                <w:lang w:eastAsia="lv-LV"/>
              </w:rPr>
              <w:t> pantā:</w:t>
            </w:r>
          </w:p>
          <w:p w:rsidR="00280E76" w:rsidRPr="00F14FFB" w:rsidRDefault="00280E76" w:rsidP="00F14FFB">
            <w:pPr>
              <w:ind w:firstLine="567"/>
              <w:jc w:val="both"/>
              <w:rPr>
                <w:rFonts w:eastAsia="Times New Roman"/>
                <w:iCs/>
                <w:color w:val="000000"/>
                <w:sz w:val="22"/>
                <w:lang w:eastAsia="lv-LV"/>
              </w:rPr>
            </w:pPr>
            <w:r w:rsidRPr="00F14FFB">
              <w:rPr>
                <w:rFonts w:eastAsia="Times New Roman"/>
                <w:iCs/>
                <w:color w:val="000000"/>
                <w:sz w:val="22"/>
                <w:lang w:eastAsia="lv-LV"/>
              </w:rPr>
              <w:t>izteikt panta nosaukumu šādā redakcijā:</w:t>
            </w:r>
          </w:p>
          <w:p w:rsidR="00280E76" w:rsidRPr="004F2938" w:rsidRDefault="00280E76" w:rsidP="00F14FFB">
            <w:pPr>
              <w:ind w:firstLine="567"/>
              <w:jc w:val="both"/>
              <w:rPr>
                <w:rFonts w:eastAsia="Times New Roman"/>
                <w:iCs/>
                <w:color w:val="000000"/>
                <w:sz w:val="22"/>
                <w:lang w:eastAsia="lv-LV"/>
              </w:rPr>
            </w:pPr>
            <w:r w:rsidRPr="00F14FFB">
              <w:rPr>
                <w:rFonts w:eastAsia="Times New Roman"/>
                <w:iCs/>
                <w:color w:val="000000"/>
                <w:sz w:val="22"/>
                <w:lang w:eastAsia="lv-LV"/>
              </w:rPr>
              <w:t>"</w:t>
            </w:r>
            <w:r w:rsidRPr="00F14FFB">
              <w:rPr>
                <w:rFonts w:eastAsia="Times New Roman"/>
                <w:b/>
                <w:iCs/>
                <w:color w:val="000000"/>
                <w:sz w:val="22"/>
                <w:lang w:eastAsia="lv-LV"/>
              </w:rPr>
              <w:t>13.</w:t>
            </w:r>
            <w:r w:rsidRPr="00F14FFB">
              <w:rPr>
                <w:rFonts w:eastAsia="Times New Roman"/>
                <w:b/>
                <w:iCs/>
                <w:color w:val="000000"/>
                <w:sz w:val="22"/>
                <w:vertAlign w:val="superscript"/>
                <w:lang w:eastAsia="lv-LV"/>
              </w:rPr>
              <w:t>7</w:t>
            </w:r>
            <w:r w:rsidRPr="00F14FFB">
              <w:rPr>
                <w:rFonts w:eastAsia="Times New Roman"/>
                <w:b/>
                <w:iCs/>
                <w:color w:val="000000"/>
                <w:sz w:val="22"/>
                <w:lang w:eastAsia="lv-LV"/>
              </w:rPr>
              <w:t> pants. Datu valsts inspekcijas direktora un amatpersonu (darbinieku) mēnešalga</w:t>
            </w:r>
            <w:r w:rsidRPr="00F14FFB">
              <w:rPr>
                <w:rFonts w:eastAsia="Times New Roman"/>
                <w:iCs/>
                <w:color w:val="000000"/>
                <w:sz w:val="22"/>
                <w:lang w:eastAsia="lv-LV"/>
              </w:rPr>
              <w:t>";</w:t>
            </w:r>
          </w:p>
        </w:tc>
        <w:tc>
          <w:tcPr>
            <w:tcW w:w="567" w:type="dxa"/>
          </w:tcPr>
          <w:p w:rsidR="00280E76" w:rsidRPr="0048450B" w:rsidRDefault="00280E76" w:rsidP="0048450B">
            <w:pPr>
              <w:jc w:val="center"/>
              <w:rPr>
                <w:rFonts w:eastAsia="Times New Roman"/>
                <w:b/>
                <w:iCs/>
                <w:color w:val="000000"/>
                <w:sz w:val="22"/>
                <w:lang w:eastAsia="lv-LV"/>
              </w:rPr>
            </w:pPr>
          </w:p>
        </w:tc>
        <w:tc>
          <w:tcPr>
            <w:tcW w:w="3969" w:type="dxa"/>
          </w:tcPr>
          <w:p w:rsidR="00280E76" w:rsidRPr="00F14FFB" w:rsidRDefault="00280E76" w:rsidP="00F14FFB">
            <w:pPr>
              <w:ind w:firstLine="567"/>
              <w:jc w:val="both"/>
              <w:rPr>
                <w:rFonts w:eastAsia="Times New Roman"/>
                <w:iCs/>
                <w:color w:val="000000"/>
                <w:sz w:val="22"/>
                <w:lang w:eastAsia="lv-LV"/>
              </w:rPr>
            </w:pPr>
          </w:p>
        </w:tc>
        <w:tc>
          <w:tcPr>
            <w:tcW w:w="1418" w:type="dxa"/>
          </w:tcPr>
          <w:p w:rsidR="00280E76" w:rsidRPr="00F14FFB" w:rsidRDefault="00280E76" w:rsidP="00F14FFB">
            <w:pPr>
              <w:ind w:firstLine="567"/>
              <w:jc w:val="both"/>
              <w:rPr>
                <w:rFonts w:eastAsia="Times New Roman"/>
                <w:iCs/>
                <w:color w:val="000000"/>
                <w:sz w:val="22"/>
                <w:lang w:eastAsia="lv-LV"/>
              </w:rPr>
            </w:pPr>
          </w:p>
        </w:tc>
        <w:tc>
          <w:tcPr>
            <w:tcW w:w="1418" w:type="dxa"/>
          </w:tcPr>
          <w:p w:rsidR="00280E76" w:rsidRPr="00F14FFB" w:rsidRDefault="00280E76" w:rsidP="00F14FFB">
            <w:pPr>
              <w:ind w:firstLine="567"/>
              <w:jc w:val="both"/>
              <w:rPr>
                <w:rFonts w:eastAsia="Times New Roman"/>
                <w:iCs/>
                <w:color w:val="000000"/>
                <w:sz w:val="22"/>
                <w:lang w:eastAsia="lv-LV"/>
              </w:rPr>
            </w:pPr>
          </w:p>
        </w:tc>
      </w:tr>
      <w:tr w:rsidR="00280E76" w:rsidRPr="001B3F41" w:rsidTr="00280E76">
        <w:tc>
          <w:tcPr>
            <w:tcW w:w="3964" w:type="dxa"/>
            <w:shd w:val="clear" w:color="auto" w:fill="auto"/>
          </w:tcPr>
          <w:p w:rsidR="00280E76" w:rsidRPr="00581468" w:rsidRDefault="00280E76" w:rsidP="00DD5CEF">
            <w:pPr>
              <w:ind w:firstLine="567"/>
              <w:jc w:val="both"/>
              <w:rPr>
                <w:sz w:val="22"/>
              </w:rPr>
            </w:pPr>
            <w:r w:rsidRPr="00FF7ACA">
              <w:rPr>
                <w:sz w:val="22"/>
              </w:rPr>
              <w:t xml:space="preserve">Datu valsts inspekcijas amatpersonu (darbinieku) mēnešalgu šīs institūcijas reglamentētajā kārtībā nosaka, ņemot vērā amata vērtību (atbildības līmeni un sarežģītību), konkrētās amatpersonas (darbinieka) individuālās kvalifikācijas un kompetenču novērtējumu, kā arī bāzes mēnešalgas apmēru (4. panta otrā daļa). Datu valsts inspekcijas amatpersonu (darbinieku) mēnešalga nedrīkst pārsniegt bāzes mēnešalgas apmēru (4. panta otrā </w:t>
            </w:r>
            <w:r w:rsidRPr="00FF7ACA">
              <w:rPr>
                <w:sz w:val="22"/>
              </w:rPr>
              <w:lastRenderedPageBreak/>
              <w:t>daļa), kam piemērots koeficients 4,05 un kas noapaļots pilnos e</w:t>
            </w:r>
            <w:r w:rsidRPr="00FF7ACA">
              <w:rPr>
                <w:i/>
                <w:iCs/>
                <w:sz w:val="22"/>
              </w:rPr>
              <w:t>uro</w:t>
            </w:r>
            <w:r w:rsidRPr="00FF7ACA">
              <w:rPr>
                <w:sz w:val="22"/>
              </w:rPr>
              <w:t>.</w:t>
            </w:r>
          </w:p>
        </w:tc>
        <w:tc>
          <w:tcPr>
            <w:tcW w:w="3969" w:type="dxa"/>
            <w:shd w:val="clear" w:color="auto" w:fill="auto"/>
          </w:tcPr>
          <w:p w:rsidR="00280E76" w:rsidRPr="0031734C" w:rsidRDefault="00280E76" w:rsidP="0031734C">
            <w:pPr>
              <w:ind w:firstLine="567"/>
              <w:jc w:val="both"/>
              <w:rPr>
                <w:rFonts w:eastAsia="Times New Roman"/>
                <w:iCs/>
                <w:color w:val="000000"/>
                <w:sz w:val="22"/>
                <w:lang w:eastAsia="lv-LV"/>
              </w:rPr>
            </w:pPr>
            <w:r w:rsidRPr="0031734C">
              <w:rPr>
                <w:rFonts w:eastAsia="Times New Roman"/>
                <w:iCs/>
                <w:color w:val="000000"/>
                <w:sz w:val="22"/>
                <w:lang w:eastAsia="lv-LV"/>
              </w:rPr>
              <w:lastRenderedPageBreak/>
              <w:t>papildināt pantu ar pirmo daļu šādā redakcijā:</w:t>
            </w:r>
          </w:p>
          <w:p w:rsidR="00280E76" w:rsidRDefault="00280E76" w:rsidP="0031734C">
            <w:pPr>
              <w:ind w:firstLine="567"/>
              <w:jc w:val="both"/>
              <w:rPr>
                <w:rFonts w:eastAsia="Times New Roman"/>
                <w:iCs/>
                <w:color w:val="000000"/>
                <w:sz w:val="22"/>
                <w:lang w:eastAsia="lv-LV"/>
              </w:rPr>
            </w:pPr>
            <w:r w:rsidRPr="0031734C">
              <w:rPr>
                <w:rFonts w:eastAsia="Times New Roman"/>
                <w:iCs/>
                <w:color w:val="000000"/>
                <w:sz w:val="22"/>
                <w:lang w:eastAsia="lv-LV"/>
              </w:rPr>
              <w:t>"(1) Datu valsts inspekcijas direktoram mēnešalgu nosaka, bāzes mēnešalgas apmēram (4. panta otrā daļa) piemērojot koeficientu 4,05.";</w:t>
            </w:r>
          </w:p>
          <w:p w:rsidR="00280E76" w:rsidRDefault="00280E76" w:rsidP="0031734C">
            <w:pPr>
              <w:ind w:firstLine="567"/>
              <w:jc w:val="both"/>
              <w:rPr>
                <w:rFonts w:eastAsia="Times New Roman"/>
                <w:iCs/>
                <w:color w:val="000000"/>
                <w:sz w:val="22"/>
                <w:lang w:eastAsia="lv-LV"/>
              </w:rPr>
            </w:pPr>
          </w:p>
          <w:p w:rsidR="00280E76" w:rsidRDefault="00280E76" w:rsidP="0031734C">
            <w:pPr>
              <w:ind w:firstLine="567"/>
              <w:jc w:val="both"/>
              <w:rPr>
                <w:rFonts w:eastAsia="Times New Roman"/>
                <w:iCs/>
                <w:color w:val="000000"/>
                <w:sz w:val="22"/>
                <w:lang w:eastAsia="lv-LV"/>
              </w:rPr>
            </w:pPr>
            <w:r w:rsidRPr="008300DF">
              <w:rPr>
                <w:rFonts w:eastAsia="Times New Roman"/>
                <w:iCs/>
                <w:color w:val="000000"/>
                <w:sz w:val="22"/>
                <w:lang w:eastAsia="lv-LV"/>
              </w:rPr>
              <w:t>uzskatīt līdzšinējo panta tekstu par otro daļu.</w:t>
            </w:r>
          </w:p>
        </w:tc>
        <w:tc>
          <w:tcPr>
            <w:tcW w:w="567" w:type="dxa"/>
          </w:tcPr>
          <w:p w:rsidR="00280E76" w:rsidRPr="0048450B" w:rsidRDefault="00280E76" w:rsidP="0048450B">
            <w:pPr>
              <w:jc w:val="center"/>
              <w:rPr>
                <w:rFonts w:eastAsia="Times New Roman"/>
                <w:b/>
                <w:iCs/>
                <w:color w:val="000000"/>
                <w:sz w:val="22"/>
                <w:lang w:eastAsia="lv-LV"/>
              </w:rPr>
            </w:pPr>
          </w:p>
        </w:tc>
        <w:tc>
          <w:tcPr>
            <w:tcW w:w="3969" w:type="dxa"/>
          </w:tcPr>
          <w:p w:rsidR="00280E76" w:rsidRPr="0031734C" w:rsidRDefault="00280E76" w:rsidP="0031734C">
            <w:pPr>
              <w:ind w:firstLine="567"/>
              <w:jc w:val="both"/>
              <w:rPr>
                <w:rFonts w:eastAsia="Times New Roman"/>
                <w:iCs/>
                <w:color w:val="000000"/>
                <w:sz w:val="22"/>
                <w:lang w:eastAsia="lv-LV"/>
              </w:rPr>
            </w:pPr>
          </w:p>
        </w:tc>
        <w:tc>
          <w:tcPr>
            <w:tcW w:w="1418" w:type="dxa"/>
          </w:tcPr>
          <w:p w:rsidR="00280E76" w:rsidRPr="0031734C" w:rsidRDefault="00280E76" w:rsidP="0031734C">
            <w:pPr>
              <w:ind w:firstLine="567"/>
              <w:jc w:val="both"/>
              <w:rPr>
                <w:rFonts w:eastAsia="Times New Roman"/>
                <w:iCs/>
                <w:color w:val="000000"/>
                <w:sz w:val="22"/>
                <w:lang w:eastAsia="lv-LV"/>
              </w:rPr>
            </w:pPr>
          </w:p>
        </w:tc>
        <w:tc>
          <w:tcPr>
            <w:tcW w:w="1418" w:type="dxa"/>
          </w:tcPr>
          <w:p w:rsidR="00280E76" w:rsidRPr="0031734C" w:rsidRDefault="00280E76" w:rsidP="0031734C">
            <w:pPr>
              <w:ind w:firstLine="567"/>
              <w:jc w:val="both"/>
              <w:rPr>
                <w:rFonts w:eastAsia="Times New Roman"/>
                <w:iCs/>
                <w:color w:val="000000"/>
                <w:sz w:val="22"/>
                <w:lang w:eastAsia="lv-LV"/>
              </w:rPr>
            </w:pPr>
          </w:p>
        </w:tc>
      </w:tr>
      <w:tr w:rsidR="005A167F" w:rsidRPr="001B3F41" w:rsidTr="00280E76">
        <w:tc>
          <w:tcPr>
            <w:tcW w:w="3964" w:type="dxa"/>
            <w:shd w:val="clear" w:color="auto" w:fill="auto"/>
          </w:tcPr>
          <w:p w:rsidR="005A167F" w:rsidRDefault="007A4529" w:rsidP="00DD5CEF">
            <w:pPr>
              <w:ind w:firstLine="567"/>
              <w:jc w:val="both"/>
              <w:rPr>
                <w:b/>
                <w:bCs/>
                <w:sz w:val="22"/>
              </w:rPr>
            </w:pPr>
            <w:r w:rsidRPr="007A4529">
              <w:rPr>
                <w:b/>
                <w:bCs/>
                <w:sz w:val="22"/>
              </w:rPr>
              <w:t>42.</w:t>
            </w:r>
            <w:r>
              <w:rPr>
                <w:b/>
                <w:bCs/>
                <w:sz w:val="22"/>
              </w:rPr>
              <w:t xml:space="preserve"> </w:t>
            </w:r>
            <w:r w:rsidRPr="007A4529">
              <w:rPr>
                <w:b/>
                <w:bCs/>
                <w:sz w:val="22"/>
              </w:rPr>
              <w:t>pants. Apmaksātais papildatvaļinājums</w:t>
            </w:r>
          </w:p>
          <w:p w:rsidR="007A4529" w:rsidRPr="00FF7ACA" w:rsidRDefault="007A4529" w:rsidP="00DD5CEF">
            <w:pPr>
              <w:ind w:firstLine="567"/>
              <w:jc w:val="both"/>
              <w:rPr>
                <w:sz w:val="22"/>
              </w:rPr>
            </w:pPr>
            <w:r w:rsidRPr="007A4529">
              <w:rPr>
                <w:sz w:val="22"/>
              </w:rPr>
              <w:t>(6) Diplomātam, diplomātiskā un konsulārā dienesta amatpersonai (darbiniekam) var piešķirt apmaksātu papildatvaļinājumu, kura ilgumu atkarībā no dienesta apstākļiem nosaka Ārlietu ministrija.</w:t>
            </w:r>
          </w:p>
        </w:tc>
        <w:tc>
          <w:tcPr>
            <w:tcW w:w="3969" w:type="dxa"/>
            <w:shd w:val="clear" w:color="auto" w:fill="auto"/>
          </w:tcPr>
          <w:p w:rsidR="005A167F" w:rsidRPr="0031734C" w:rsidRDefault="005A167F" w:rsidP="0031734C">
            <w:pPr>
              <w:ind w:firstLine="567"/>
              <w:jc w:val="both"/>
              <w:rPr>
                <w:rFonts w:eastAsia="Times New Roman"/>
                <w:iCs/>
                <w:color w:val="000000"/>
                <w:sz w:val="22"/>
                <w:lang w:eastAsia="lv-LV"/>
              </w:rPr>
            </w:pPr>
          </w:p>
        </w:tc>
        <w:tc>
          <w:tcPr>
            <w:tcW w:w="567" w:type="dxa"/>
          </w:tcPr>
          <w:p w:rsidR="005A167F" w:rsidRPr="0048450B" w:rsidRDefault="00057038" w:rsidP="0048450B">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5A167F" w:rsidRDefault="005A167F" w:rsidP="005A167F">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J.Stepaņenko, K.Sprūde, L.Liepiņa, A.Gobzems, D.Šmits</w:t>
            </w:r>
          </w:p>
          <w:p w:rsidR="005A167F" w:rsidRPr="0031734C" w:rsidRDefault="00072869" w:rsidP="0031734C">
            <w:pPr>
              <w:ind w:firstLine="567"/>
              <w:jc w:val="both"/>
              <w:rPr>
                <w:rFonts w:eastAsia="Times New Roman"/>
                <w:iCs/>
                <w:color w:val="000000"/>
                <w:sz w:val="22"/>
                <w:lang w:eastAsia="lv-LV"/>
              </w:rPr>
            </w:pPr>
            <w:r w:rsidRPr="00072869">
              <w:rPr>
                <w:rFonts w:eastAsia="Times New Roman"/>
                <w:iCs/>
                <w:color w:val="000000"/>
                <w:sz w:val="22"/>
                <w:lang w:eastAsia="lv-LV"/>
              </w:rPr>
              <w:t>Izslēgt 42.</w:t>
            </w:r>
            <w:r>
              <w:rPr>
                <w:rFonts w:eastAsia="Times New Roman"/>
                <w:iCs/>
                <w:color w:val="000000"/>
                <w:sz w:val="22"/>
                <w:lang w:eastAsia="lv-LV"/>
              </w:rPr>
              <w:t xml:space="preserve"> </w:t>
            </w:r>
            <w:r w:rsidRPr="00072869">
              <w:rPr>
                <w:rFonts w:eastAsia="Times New Roman"/>
                <w:iCs/>
                <w:color w:val="000000"/>
                <w:sz w:val="22"/>
                <w:lang w:eastAsia="lv-LV"/>
              </w:rPr>
              <w:t>panta (6) daļu.</w:t>
            </w:r>
          </w:p>
        </w:tc>
        <w:tc>
          <w:tcPr>
            <w:tcW w:w="1418" w:type="dxa"/>
          </w:tcPr>
          <w:p w:rsidR="005A167F" w:rsidRPr="0031734C" w:rsidRDefault="005A167F" w:rsidP="0031734C">
            <w:pPr>
              <w:ind w:firstLine="567"/>
              <w:jc w:val="both"/>
              <w:rPr>
                <w:rFonts w:eastAsia="Times New Roman"/>
                <w:iCs/>
                <w:color w:val="000000"/>
                <w:sz w:val="22"/>
                <w:lang w:eastAsia="lv-LV"/>
              </w:rPr>
            </w:pPr>
          </w:p>
        </w:tc>
        <w:tc>
          <w:tcPr>
            <w:tcW w:w="1418" w:type="dxa"/>
          </w:tcPr>
          <w:p w:rsidR="005A167F" w:rsidRPr="0031734C" w:rsidRDefault="005A167F" w:rsidP="0031734C">
            <w:pPr>
              <w:ind w:firstLine="567"/>
              <w:jc w:val="both"/>
              <w:rPr>
                <w:rFonts w:eastAsia="Times New Roman"/>
                <w:iCs/>
                <w:color w:val="000000"/>
                <w:sz w:val="22"/>
                <w:lang w:eastAsia="lv-LV"/>
              </w:rPr>
            </w:pPr>
          </w:p>
        </w:tc>
      </w:tr>
      <w:tr w:rsidR="008B2087" w:rsidRPr="001B3F41" w:rsidTr="00280E76">
        <w:tc>
          <w:tcPr>
            <w:tcW w:w="3964" w:type="dxa"/>
            <w:shd w:val="clear" w:color="auto" w:fill="auto"/>
          </w:tcPr>
          <w:p w:rsidR="008B2087" w:rsidRDefault="008B2087" w:rsidP="00DD5CEF">
            <w:pPr>
              <w:ind w:firstLine="567"/>
              <w:jc w:val="both"/>
              <w:rPr>
                <w:b/>
                <w:sz w:val="22"/>
              </w:rPr>
            </w:pPr>
            <w:r>
              <w:rPr>
                <w:b/>
                <w:sz w:val="22"/>
              </w:rPr>
              <w:t>Pārejas noteikumi</w:t>
            </w:r>
          </w:p>
          <w:p w:rsidR="008B2087" w:rsidRPr="008B2087" w:rsidRDefault="008B2087" w:rsidP="00DD5CEF">
            <w:pPr>
              <w:ind w:firstLine="567"/>
              <w:jc w:val="both"/>
              <w:rPr>
                <w:b/>
                <w:sz w:val="22"/>
              </w:rPr>
            </w:pPr>
          </w:p>
        </w:tc>
        <w:tc>
          <w:tcPr>
            <w:tcW w:w="3969" w:type="dxa"/>
            <w:shd w:val="clear" w:color="auto" w:fill="auto"/>
          </w:tcPr>
          <w:p w:rsidR="008B2087" w:rsidRPr="0031734C" w:rsidRDefault="008B2087" w:rsidP="0031734C">
            <w:pPr>
              <w:ind w:firstLine="567"/>
              <w:jc w:val="both"/>
              <w:rPr>
                <w:rFonts w:eastAsia="Times New Roman"/>
                <w:iCs/>
                <w:color w:val="000000"/>
                <w:sz w:val="22"/>
                <w:lang w:eastAsia="lv-LV"/>
              </w:rPr>
            </w:pPr>
          </w:p>
        </w:tc>
        <w:tc>
          <w:tcPr>
            <w:tcW w:w="567" w:type="dxa"/>
          </w:tcPr>
          <w:p w:rsidR="008B2087" w:rsidRPr="0048450B" w:rsidRDefault="00057038" w:rsidP="0048450B">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8B2087" w:rsidRDefault="008B2087" w:rsidP="0031734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Deputāti R.Dzintars, I.Indriksone, J.Iesalnieks, R.Jansons, R.Naudiņš</w:t>
            </w:r>
          </w:p>
          <w:p w:rsidR="00FE6BAC" w:rsidRPr="00FE6BAC" w:rsidRDefault="00FE6BAC" w:rsidP="00FE6BAC">
            <w:pPr>
              <w:ind w:firstLine="567"/>
              <w:jc w:val="both"/>
              <w:rPr>
                <w:rFonts w:eastAsia="Times New Roman"/>
                <w:iCs/>
                <w:color w:val="000000"/>
                <w:sz w:val="22"/>
                <w:lang w:eastAsia="lv-LV"/>
              </w:rPr>
            </w:pPr>
            <w:r w:rsidRPr="00FE6BAC">
              <w:rPr>
                <w:rFonts w:eastAsia="Times New Roman"/>
                <w:iCs/>
                <w:color w:val="000000"/>
                <w:sz w:val="22"/>
                <w:lang w:eastAsia="lv-LV"/>
              </w:rPr>
              <w:t>Papildināt likuma Pārejas noteikumus ar punktu šādā redakcijā:</w:t>
            </w:r>
          </w:p>
          <w:p w:rsidR="008B2087" w:rsidRPr="008B2087" w:rsidRDefault="00FE6BAC" w:rsidP="00FE6BAC">
            <w:pPr>
              <w:ind w:firstLine="567"/>
              <w:jc w:val="both"/>
              <w:rPr>
                <w:rFonts w:eastAsia="Times New Roman"/>
                <w:iCs/>
                <w:color w:val="000000"/>
                <w:sz w:val="22"/>
                <w:lang w:eastAsia="lv-LV"/>
              </w:rPr>
            </w:pPr>
            <w:r w:rsidRPr="00FE6BAC">
              <w:rPr>
                <w:rFonts w:eastAsia="Times New Roman"/>
                <w:iCs/>
                <w:color w:val="000000"/>
                <w:sz w:val="22"/>
                <w:lang w:eastAsia="lv-LV"/>
              </w:rPr>
              <w:t>“No 2020. gada 1. janvāra līdz 13. Saeimas pilnvaru beigām nosakot Saeimas deputāta mēnešalgu un Saeimas deputāta mēnešalgas daļu tiem deputātiem, kuri pilda kādu no 5.</w:t>
            </w:r>
            <w:r w:rsidRPr="00FE6BAC">
              <w:rPr>
                <w:rFonts w:eastAsia="Times New Roman"/>
                <w:iCs/>
                <w:color w:val="000000"/>
                <w:sz w:val="22"/>
                <w:vertAlign w:val="superscript"/>
                <w:lang w:eastAsia="lv-LV"/>
              </w:rPr>
              <w:t xml:space="preserve">1 </w:t>
            </w:r>
            <w:r w:rsidRPr="00FE6BAC">
              <w:rPr>
                <w:rFonts w:eastAsia="Times New Roman"/>
                <w:iCs/>
                <w:color w:val="000000"/>
                <w:sz w:val="22"/>
                <w:lang w:eastAsia="lv-LV"/>
              </w:rPr>
              <w:t xml:space="preserve">panta otrajā daļā minētajiem amatiem, bāzes mēnešalgas apmērs ir Centrālās statistikas pārvaldes oficiālajā statistikas paziņojumā publicētais valstī strādājošo 2017. gada mēneša vidējās darba samaksas apmērs (926 </w:t>
            </w:r>
            <w:r w:rsidRPr="00FE6BAC">
              <w:rPr>
                <w:rFonts w:eastAsia="Times New Roman"/>
                <w:i/>
                <w:iCs/>
                <w:color w:val="000000"/>
                <w:sz w:val="22"/>
                <w:lang w:eastAsia="lv-LV"/>
              </w:rPr>
              <w:t>euro</w:t>
            </w:r>
            <w:r w:rsidRPr="00FE6BAC">
              <w:rPr>
                <w:rFonts w:eastAsia="Times New Roman"/>
                <w:iCs/>
                <w:color w:val="000000"/>
                <w:sz w:val="22"/>
                <w:lang w:eastAsia="lv-LV"/>
              </w:rPr>
              <w:t>).</w:t>
            </w:r>
          </w:p>
        </w:tc>
        <w:tc>
          <w:tcPr>
            <w:tcW w:w="1418" w:type="dxa"/>
          </w:tcPr>
          <w:p w:rsidR="008B2087" w:rsidRPr="0031734C" w:rsidRDefault="008B2087" w:rsidP="0031734C">
            <w:pPr>
              <w:ind w:firstLine="567"/>
              <w:jc w:val="both"/>
              <w:rPr>
                <w:rFonts w:eastAsia="Times New Roman"/>
                <w:iCs/>
                <w:color w:val="000000"/>
                <w:sz w:val="22"/>
                <w:lang w:eastAsia="lv-LV"/>
              </w:rPr>
            </w:pPr>
          </w:p>
        </w:tc>
        <w:tc>
          <w:tcPr>
            <w:tcW w:w="1418" w:type="dxa"/>
          </w:tcPr>
          <w:p w:rsidR="008B2087" w:rsidRPr="0031734C" w:rsidRDefault="008B2087" w:rsidP="0031734C">
            <w:pPr>
              <w:ind w:firstLine="567"/>
              <w:jc w:val="both"/>
              <w:rPr>
                <w:rFonts w:eastAsia="Times New Roman"/>
                <w:iCs/>
                <w:color w:val="000000"/>
                <w:sz w:val="22"/>
                <w:lang w:eastAsia="lv-LV"/>
              </w:rPr>
            </w:pPr>
          </w:p>
        </w:tc>
      </w:tr>
      <w:tr w:rsidR="00C12A41" w:rsidRPr="001B3F41" w:rsidTr="00280E76">
        <w:tc>
          <w:tcPr>
            <w:tcW w:w="3964" w:type="dxa"/>
            <w:shd w:val="clear" w:color="auto" w:fill="auto"/>
          </w:tcPr>
          <w:p w:rsidR="00C12A41" w:rsidRDefault="00C12A41" w:rsidP="00DD5CEF">
            <w:pPr>
              <w:ind w:firstLine="567"/>
              <w:jc w:val="both"/>
              <w:rPr>
                <w:b/>
                <w:sz w:val="22"/>
              </w:rPr>
            </w:pPr>
          </w:p>
        </w:tc>
        <w:tc>
          <w:tcPr>
            <w:tcW w:w="3969" w:type="dxa"/>
            <w:shd w:val="clear" w:color="auto" w:fill="auto"/>
          </w:tcPr>
          <w:p w:rsidR="00C12A41" w:rsidRPr="0031734C" w:rsidRDefault="00C12A41" w:rsidP="0031734C">
            <w:pPr>
              <w:ind w:firstLine="567"/>
              <w:jc w:val="both"/>
              <w:rPr>
                <w:rFonts w:eastAsia="Times New Roman"/>
                <w:iCs/>
                <w:color w:val="000000"/>
                <w:sz w:val="22"/>
                <w:lang w:eastAsia="lv-LV"/>
              </w:rPr>
            </w:pPr>
          </w:p>
        </w:tc>
        <w:tc>
          <w:tcPr>
            <w:tcW w:w="567" w:type="dxa"/>
          </w:tcPr>
          <w:p w:rsidR="00C12A41" w:rsidRPr="0048450B" w:rsidRDefault="00057038" w:rsidP="0048450B">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C12A41" w:rsidRDefault="00C12A41" w:rsidP="0031734C">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Ļ.Švecova</w:t>
            </w:r>
          </w:p>
          <w:p w:rsidR="00C12A41" w:rsidRPr="00C12A41" w:rsidRDefault="00C12A41" w:rsidP="00C12A41">
            <w:pPr>
              <w:ind w:firstLine="567"/>
              <w:jc w:val="both"/>
              <w:rPr>
                <w:rFonts w:eastAsia="Times New Roman"/>
                <w:iCs/>
                <w:color w:val="000000"/>
                <w:sz w:val="22"/>
                <w:lang w:eastAsia="lv-LV"/>
              </w:rPr>
            </w:pPr>
            <w:r w:rsidRPr="00C12A41">
              <w:rPr>
                <w:rFonts w:eastAsia="Times New Roman"/>
                <w:iCs/>
                <w:color w:val="000000"/>
                <w:sz w:val="22"/>
                <w:lang w:eastAsia="lv-LV"/>
              </w:rPr>
              <w:t>Papildināt likumprojektu ar jaunu pantu šādā redakcijā:</w:t>
            </w:r>
          </w:p>
          <w:p w:rsidR="00C12A41" w:rsidRPr="00C12A41" w:rsidRDefault="00C12A41" w:rsidP="00C12A41">
            <w:pPr>
              <w:ind w:firstLine="567"/>
              <w:jc w:val="both"/>
              <w:rPr>
                <w:rFonts w:eastAsia="Times New Roman"/>
                <w:iCs/>
                <w:color w:val="000000"/>
                <w:sz w:val="22"/>
                <w:lang w:eastAsia="lv-LV"/>
              </w:rPr>
            </w:pPr>
            <w:r w:rsidRPr="00C12A41">
              <w:rPr>
                <w:rFonts w:eastAsia="Times New Roman"/>
                <w:iCs/>
                <w:color w:val="000000"/>
                <w:sz w:val="22"/>
                <w:lang w:eastAsia="lv-LV"/>
              </w:rPr>
              <w:t>“Papildināt pārejas noteikumus ar 46. punktu šādā redakcijā:</w:t>
            </w:r>
          </w:p>
          <w:p w:rsidR="00C12A41" w:rsidRPr="00C12A41" w:rsidRDefault="00C12A41" w:rsidP="00C12A41">
            <w:pPr>
              <w:ind w:firstLine="567"/>
              <w:jc w:val="both"/>
              <w:rPr>
                <w:rFonts w:eastAsia="Times New Roman"/>
                <w:iCs/>
                <w:color w:val="000000"/>
                <w:sz w:val="22"/>
                <w:lang w:eastAsia="lv-LV"/>
              </w:rPr>
            </w:pPr>
            <w:r w:rsidRPr="00C12A41">
              <w:rPr>
                <w:rFonts w:eastAsia="Times New Roman"/>
                <w:iCs/>
                <w:color w:val="000000"/>
                <w:sz w:val="22"/>
                <w:lang w:eastAsia="lv-LV"/>
              </w:rPr>
              <w:t>46. Ministru kabinets līdz 2020. gada 1. martam iesniedz Saeimai likumprojektu par valsts un pašvaldību institūciju amatpersonu un darbinieku atlīdzības sistēmas pilnveidošanu, paredzot konkrētus kritērijus amatpersonu (darbinieku) bāzes mēnešalgas apmēra pieaugumam vienīgi tad, ja pieaudzis iekšējā kopprodukta apmērs uz vienu iedzīvotāju.”</w:t>
            </w:r>
          </w:p>
        </w:tc>
        <w:tc>
          <w:tcPr>
            <w:tcW w:w="1418" w:type="dxa"/>
          </w:tcPr>
          <w:p w:rsidR="00C12A41" w:rsidRPr="0031734C" w:rsidRDefault="00C12A41" w:rsidP="0031734C">
            <w:pPr>
              <w:ind w:firstLine="567"/>
              <w:jc w:val="both"/>
              <w:rPr>
                <w:rFonts w:eastAsia="Times New Roman"/>
                <w:iCs/>
                <w:color w:val="000000"/>
                <w:sz w:val="22"/>
                <w:lang w:eastAsia="lv-LV"/>
              </w:rPr>
            </w:pPr>
          </w:p>
        </w:tc>
        <w:tc>
          <w:tcPr>
            <w:tcW w:w="1418" w:type="dxa"/>
          </w:tcPr>
          <w:p w:rsidR="00C12A41" w:rsidRPr="0031734C" w:rsidRDefault="00C12A41" w:rsidP="0031734C">
            <w:pPr>
              <w:ind w:firstLine="567"/>
              <w:jc w:val="both"/>
              <w:rPr>
                <w:rFonts w:eastAsia="Times New Roman"/>
                <w:iCs/>
                <w:color w:val="000000"/>
                <w:sz w:val="22"/>
                <w:lang w:eastAsia="lv-LV"/>
              </w:rPr>
            </w:pPr>
          </w:p>
        </w:tc>
      </w:tr>
      <w:tr w:rsidR="00280E76" w:rsidRPr="001B3F41" w:rsidTr="00280E76">
        <w:tc>
          <w:tcPr>
            <w:tcW w:w="3964" w:type="dxa"/>
            <w:shd w:val="clear" w:color="auto" w:fill="auto"/>
          </w:tcPr>
          <w:p w:rsidR="00280E76" w:rsidRDefault="00280E76" w:rsidP="00605A7F">
            <w:pPr>
              <w:jc w:val="right"/>
              <w:rPr>
                <w:rFonts w:eastAsia="Times New Roman"/>
                <w:sz w:val="22"/>
                <w:lang w:eastAsia="lv-LV"/>
              </w:rPr>
            </w:pPr>
            <w:r w:rsidRPr="00605A7F">
              <w:rPr>
                <w:rFonts w:eastAsia="Times New Roman"/>
                <w:sz w:val="22"/>
                <w:lang w:eastAsia="lv-LV"/>
              </w:rPr>
              <w:t xml:space="preserve">Valsts un pašvaldību institūciju amatpersonu un </w:t>
            </w:r>
            <w:r w:rsidRPr="00605A7F">
              <w:rPr>
                <w:rFonts w:eastAsia="Times New Roman"/>
                <w:sz w:val="22"/>
                <w:lang w:eastAsia="lv-LV"/>
              </w:rPr>
              <w:br/>
              <w:t>darbinieku atlīdzības likuma</w:t>
            </w:r>
            <w:bookmarkStart w:id="1" w:name="piel-374074"/>
            <w:bookmarkEnd w:id="1"/>
            <w:r>
              <w:rPr>
                <w:rFonts w:eastAsia="Times New Roman"/>
                <w:sz w:val="22"/>
                <w:lang w:eastAsia="lv-LV"/>
              </w:rPr>
              <w:t xml:space="preserve"> </w:t>
            </w:r>
          </w:p>
          <w:p w:rsidR="00280E76" w:rsidRPr="00605A7F" w:rsidRDefault="00280E76" w:rsidP="00605A7F">
            <w:pPr>
              <w:jc w:val="right"/>
              <w:rPr>
                <w:rFonts w:eastAsia="Times New Roman"/>
                <w:sz w:val="22"/>
                <w:lang w:eastAsia="lv-LV"/>
              </w:rPr>
            </w:pPr>
            <w:r>
              <w:rPr>
                <w:rFonts w:eastAsia="Times New Roman"/>
                <w:sz w:val="22"/>
                <w:lang w:eastAsia="lv-LV"/>
              </w:rPr>
              <w:t>1.pielikums</w:t>
            </w:r>
          </w:p>
          <w:p w:rsidR="00280E76" w:rsidRPr="00605A7F" w:rsidRDefault="00280E76" w:rsidP="00605A7F">
            <w:pPr>
              <w:jc w:val="center"/>
              <w:rPr>
                <w:rFonts w:eastAsia="Times New Roman"/>
                <w:b/>
                <w:sz w:val="22"/>
                <w:lang w:eastAsia="lv-LV"/>
              </w:rPr>
            </w:pPr>
            <w:bookmarkStart w:id="2" w:name="676061"/>
            <w:bookmarkStart w:id="3" w:name="n-676061"/>
            <w:bookmarkEnd w:id="2"/>
            <w:bookmarkEnd w:id="3"/>
            <w:r w:rsidRPr="00605A7F">
              <w:rPr>
                <w:rFonts w:eastAsia="Times New Roman"/>
                <w:b/>
                <w:sz w:val="22"/>
                <w:lang w:eastAsia="lv-LV"/>
              </w:rPr>
              <w:t>Valsts un pašvaldību institūciju amatu saimes, apakšsaimes un to apraksts</w:t>
            </w:r>
          </w:p>
          <w:p w:rsidR="00280E76" w:rsidRDefault="00280E76" w:rsidP="00B6215C">
            <w:pPr>
              <w:ind w:firstLine="567"/>
              <w:jc w:val="both"/>
              <w:rPr>
                <w:sz w:val="22"/>
              </w:rPr>
            </w:pPr>
          </w:p>
          <w:p w:rsidR="00280E76" w:rsidRPr="00605A7F" w:rsidRDefault="00280E76" w:rsidP="00605A7F">
            <w:pPr>
              <w:ind w:firstLine="567"/>
              <w:jc w:val="both"/>
              <w:rPr>
                <w:sz w:val="22"/>
              </w:rPr>
            </w:pPr>
            <w:r w:rsidRPr="00605A7F">
              <w:rPr>
                <w:b/>
                <w:bCs/>
                <w:sz w:val="22"/>
              </w:rPr>
              <w:t xml:space="preserve">53.2. Satversmes tiesas darbinieki </w:t>
            </w:r>
          </w:p>
          <w:p w:rsidR="00280E76" w:rsidRPr="00605A7F" w:rsidRDefault="00280E76" w:rsidP="00605A7F">
            <w:pPr>
              <w:ind w:firstLine="567"/>
              <w:jc w:val="both"/>
              <w:rPr>
                <w:sz w:val="22"/>
              </w:rPr>
            </w:pPr>
            <w:r w:rsidRPr="00605A7F">
              <w:rPr>
                <w:sz w:val="22"/>
              </w:rPr>
              <w:t>Šajā apakšsaimē ietilpst amati, kuru pildītāji nodrošina Satversmes tiesas darbību (lietvedību) un sniedz konsultatīvu atbalstu Satversmes tiesas tiesnešiem.</w:t>
            </w:r>
          </w:p>
          <w:p w:rsidR="00280E76" w:rsidRPr="004E0E1C" w:rsidRDefault="00280E76" w:rsidP="00B6215C">
            <w:pPr>
              <w:ind w:firstLine="567"/>
              <w:jc w:val="both"/>
              <w:rPr>
                <w:sz w:val="22"/>
              </w:rPr>
            </w:pPr>
          </w:p>
        </w:tc>
        <w:tc>
          <w:tcPr>
            <w:tcW w:w="3969" w:type="dxa"/>
            <w:shd w:val="clear" w:color="auto" w:fill="auto"/>
          </w:tcPr>
          <w:p w:rsidR="00280E76" w:rsidRDefault="00280E76" w:rsidP="00EC158C">
            <w:pPr>
              <w:ind w:firstLine="567"/>
              <w:jc w:val="both"/>
              <w:rPr>
                <w:rFonts w:eastAsia="Times New Roman"/>
                <w:iCs/>
                <w:color w:val="000000"/>
                <w:sz w:val="22"/>
                <w:lang w:eastAsia="lv-LV"/>
              </w:rPr>
            </w:pPr>
            <w:r w:rsidRPr="008300DF">
              <w:rPr>
                <w:rFonts w:eastAsia="Times New Roman"/>
                <w:iCs/>
                <w:color w:val="000000"/>
                <w:sz w:val="22"/>
                <w:lang w:eastAsia="lv-LV"/>
              </w:rPr>
              <w:t>4. Izslēgt 1. pielikuma 53.2. apakšpunktu.</w:t>
            </w:r>
          </w:p>
        </w:tc>
        <w:tc>
          <w:tcPr>
            <w:tcW w:w="567" w:type="dxa"/>
          </w:tcPr>
          <w:p w:rsidR="00280E76" w:rsidRPr="0048450B" w:rsidRDefault="00280E76" w:rsidP="0048450B">
            <w:pPr>
              <w:jc w:val="center"/>
              <w:rPr>
                <w:rFonts w:eastAsia="Times New Roman"/>
                <w:b/>
                <w:iCs/>
                <w:color w:val="000000"/>
                <w:sz w:val="22"/>
                <w:lang w:eastAsia="lv-LV"/>
              </w:rPr>
            </w:pPr>
          </w:p>
        </w:tc>
        <w:tc>
          <w:tcPr>
            <w:tcW w:w="3969" w:type="dxa"/>
          </w:tcPr>
          <w:p w:rsidR="00280E76" w:rsidRPr="008300DF" w:rsidRDefault="00280E76" w:rsidP="00EC158C">
            <w:pPr>
              <w:ind w:firstLine="567"/>
              <w:jc w:val="both"/>
              <w:rPr>
                <w:rFonts w:eastAsia="Times New Roman"/>
                <w:iCs/>
                <w:color w:val="000000"/>
                <w:sz w:val="22"/>
                <w:lang w:eastAsia="lv-LV"/>
              </w:rPr>
            </w:pPr>
          </w:p>
        </w:tc>
        <w:tc>
          <w:tcPr>
            <w:tcW w:w="1418" w:type="dxa"/>
          </w:tcPr>
          <w:p w:rsidR="00280E76" w:rsidRPr="008300DF" w:rsidRDefault="00280E76" w:rsidP="00EC158C">
            <w:pPr>
              <w:ind w:firstLine="567"/>
              <w:jc w:val="both"/>
              <w:rPr>
                <w:rFonts w:eastAsia="Times New Roman"/>
                <w:iCs/>
                <w:color w:val="000000"/>
                <w:sz w:val="22"/>
                <w:lang w:eastAsia="lv-LV"/>
              </w:rPr>
            </w:pPr>
          </w:p>
        </w:tc>
        <w:tc>
          <w:tcPr>
            <w:tcW w:w="1418" w:type="dxa"/>
          </w:tcPr>
          <w:p w:rsidR="00280E76" w:rsidRPr="008300DF" w:rsidRDefault="00280E76" w:rsidP="00EC158C">
            <w:pPr>
              <w:ind w:firstLine="567"/>
              <w:jc w:val="both"/>
              <w:rPr>
                <w:rFonts w:eastAsia="Times New Roman"/>
                <w:iCs/>
                <w:color w:val="000000"/>
                <w:sz w:val="22"/>
                <w:lang w:eastAsia="lv-LV"/>
              </w:rPr>
            </w:pPr>
          </w:p>
        </w:tc>
      </w:tr>
      <w:tr w:rsidR="00280E76" w:rsidRPr="001B3F41" w:rsidTr="00280E76">
        <w:tc>
          <w:tcPr>
            <w:tcW w:w="3964" w:type="dxa"/>
            <w:shd w:val="clear" w:color="auto" w:fill="auto"/>
          </w:tcPr>
          <w:p w:rsidR="00280E76" w:rsidRDefault="00280E76" w:rsidP="0067226C">
            <w:pPr>
              <w:jc w:val="right"/>
              <w:rPr>
                <w:rFonts w:eastAsia="Times New Roman"/>
                <w:sz w:val="22"/>
                <w:lang w:eastAsia="lv-LV"/>
              </w:rPr>
            </w:pPr>
            <w:r w:rsidRPr="00605A7F">
              <w:rPr>
                <w:rFonts w:eastAsia="Times New Roman"/>
                <w:sz w:val="22"/>
                <w:lang w:eastAsia="lv-LV"/>
              </w:rPr>
              <w:t xml:space="preserve">Valsts un pašvaldību institūciju amatpersonu un </w:t>
            </w:r>
            <w:r w:rsidRPr="00605A7F">
              <w:rPr>
                <w:rFonts w:eastAsia="Times New Roman"/>
                <w:sz w:val="22"/>
                <w:lang w:eastAsia="lv-LV"/>
              </w:rPr>
              <w:br/>
              <w:t>darbinieku atlīdzības likuma</w:t>
            </w:r>
            <w:r>
              <w:rPr>
                <w:rFonts w:eastAsia="Times New Roman"/>
                <w:sz w:val="22"/>
                <w:lang w:eastAsia="lv-LV"/>
              </w:rPr>
              <w:t xml:space="preserve"> </w:t>
            </w:r>
          </w:p>
          <w:p w:rsidR="00280E76" w:rsidRDefault="00280E76" w:rsidP="0067226C">
            <w:pPr>
              <w:ind w:firstLine="567"/>
              <w:jc w:val="right"/>
              <w:rPr>
                <w:rFonts w:eastAsia="Times New Roman"/>
                <w:sz w:val="22"/>
                <w:lang w:eastAsia="lv-LV"/>
              </w:rPr>
            </w:pPr>
            <w:r>
              <w:rPr>
                <w:rFonts w:eastAsia="Times New Roman"/>
                <w:sz w:val="22"/>
                <w:lang w:eastAsia="lv-LV"/>
              </w:rPr>
              <w:t>2.pielikums</w:t>
            </w:r>
          </w:p>
          <w:p w:rsidR="00280E76" w:rsidRDefault="00280E76" w:rsidP="0067226C">
            <w:pPr>
              <w:ind w:firstLine="22"/>
              <w:jc w:val="center"/>
              <w:rPr>
                <w:b/>
                <w:sz w:val="22"/>
              </w:rPr>
            </w:pPr>
            <w:r w:rsidRPr="0067226C">
              <w:rPr>
                <w:b/>
                <w:sz w:val="22"/>
              </w:rPr>
              <w:t>Amatu saimei (apakšsaimei) atbilstošā maksimālā mēnešalgu grupa</w:t>
            </w:r>
          </w:p>
          <w:p w:rsidR="00280E76" w:rsidRDefault="00280E76" w:rsidP="0067226C">
            <w:pPr>
              <w:ind w:firstLine="22"/>
              <w:jc w:val="center"/>
              <w:rPr>
                <w:b/>
                <w:sz w:val="22"/>
              </w:rPr>
            </w:pPr>
          </w:p>
          <w:tbl>
            <w:tblPr>
              <w:tblW w:w="5000" w:type="pct"/>
              <w:tblCellSpacing w:w="15"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764"/>
              <w:gridCol w:w="1540"/>
              <w:gridCol w:w="1411"/>
            </w:tblGrid>
            <w:tr w:rsidR="00280E76" w:rsidRPr="0067226C" w:rsidTr="0067226C">
              <w:trPr>
                <w:trHeight w:val="45"/>
                <w:tblCellSpacing w:w="15" w:type="dxa"/>
              </w:trPr>
              <w:tc>
                <w:tcPr>
                  <w:tcW w:w="1000" w:type="pct"/>
                  <w:tcBorders>
                    <w:top w:val="outset" w:sz="6" w:space="0" w:color="C0C0C0"/>
                    <w:left w:val="outset" w:sz="6" w:space="0" w:color="C0C0C0"/>
                    <w:bottom w:val="outset" w:sz="6" w:space="0" w:color="C0C0C0"/>
                    <w:right w:val="outset" w:sz="6" w:space="0" w:color="C0C0C0"/>
                  </w:tcBorders>
                  <w:shd w:val="clear" w:color="auto" w:fill="FFFFFF"/>
                  <w:hideMark/>
                </w:tcPr>
                <w:p w:rsidR="00280E76" w:rsidRPr="0067226C" w:rsidRDefault="00280E76" w:rsidP="0067226C">
                  <w:pPr>
                    <w:spacing w:before="100" w:beforeAutospacing="1" w:after="100" w:afterAutospacing="1"/>
                    <w:jc w:val="center"/>
                    <w:rPr>
                      <w:rFonts w:eastAsia="Times New Roman"/>
                      <w:b/>
                      <w:bCs/>
                      <w:sz w:val="22"/>
                      <w:lang w:eastAsia="lv-LV"/>
                    </w:rPr>
                  </w:pPr>
                  <w:r w:rsidRPr="0067226C">
                    <w:rPr>
                      <w:rFonts w:eastAsia="Times New Roman"/>
                      <w:b/>
                      <w:bCs/>
                      <w:sz w:val="22"/>
                      <w:lang w:eastAsia="lv-LV"/>
                    </w:rPr>
                    <w:t>Nr. p.k.</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80E76" w:rsidRPr="0067226C" w:rsidRDefault="00280E76" w:rsidP="0067226C">
                  <w:pPr>
                    <w:spacing w:before="100" w:beforeAutospacing="1" w:after="100" w:afterAutospacing="1"/>
                    <w:jc w:val="center"/>
                    <w:rPr>
                      <w:rFonts w:eastAsia="Times New Roman"/>
                      <w:b/>
                      <w:bCs/>
                      <w:sz w:val="22"/>
                      <w:lang w:eastAsia="lv-LV"/>
                    </w:rPr>
                  </w:pPr>
                  <w:r w:rsidRPr="0067226C">
                    <w:rPr>
                      <w:rFonts w:eastAsia="Times New Roman"/>
                      <w:b/>
                      <w:bCs/>
                      <w:sz w:val="22"/>
                      <w:lang w:eastAsia="lv-LV"/>
                    </w:rPr>
                    <w:t>Amatu saimes (apakšsaimes) numurs</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280E76" w:rsidRPr="0067226C" w:rsidRDefault="00280E76" w:rsidP="0067226C">
                  <w:pPr>
                    <w:spacing w:before="100" w:beforeAutospacing="1" w:after="100" w:afterAutospacing="1"/>
                    <w:jc w:val="center"/>
                    <w:rPr>
                      <w:rFonts w:eastAsia="Times New Roman"/>
                      <w:b/>
                      <w:bCs/>
                      <w:sz w:val="22"/>
                      <w:lang w:eastAsia="lv-LV"/>
                    </w:rPr>
                  </w:pPr>
                  <w:r w:rsidRPr="0067226C">
                    <w:rPr>
                      <w:rFonts w:eastAsia="Times New Roman"/>
                      <w:b/>
                      <w:bCs/>
                      <w:sz w:val="22"/>
                      <w:lang w:eastAsia="lv-LV"/>
                    </w:rPr>
                    <w:t>Maksimālā mēnešalgu grupa</w:t>
                  </w:r>
                </w:p>
              </w:tc>
            </w:tr>
            <w:tr w:rsidR="00280E76" w:rsidRPr="0067226C" w:rsidTr="0067226C">
              <w:trPr>
                <w:trHeight w:val="45"/>
                <w:tblCellSpacing w:w="15" w:type="dxa"/>
              </w:trPr>
              <w:tc>
                <w:tcPr>
                  <w:tcW w:w="986" w:type="pct"/>
                  <w:tcBorders>
                    <w:top w:val="outset" w:sz="6" w:space="0" w:color="C0C0C0"/>
                    <w:left w:val="outset" w:sz="6" w:space="0" w:color="C0C0C0"/>
                    <w:bottom w:val="outset" w:sz="6" w:space="0" w:color="C0C0C0"/>
                    <w:right w:val="outset" w:sz="6" w:space="0" w:color="C0C0C0"/>
                  </w:tcBorders>
                  <w:hideMark/>
                </w:tcPr>
                <w:p w:rsidR="00280E76" w:rsidRPr="0067226C" w:rsidRDefault="00280E76" w:rsidP="0067226C">
                  <w:pPr>
                    <w:spacing w:before="100" w:beforeAutospacing="1" w:after="100" w:afterAutospacing="1"/>
                    <w:jc w:val="center"/>
                    <w:rPr>
                      <w:rFonts w:eastAsia="Times New Roman"/>
                      <w:sz w:val="22"/>
                      <w:lang w:eastAsia="lv-LV"/>
                    </w:rPr>
                  </w:pPr>
                  <w:r w:rsidRPr="0067226C">
                    <w:rPr>
                      <w:rFonts w:eastAsia="Times New Roman"/>
                      <w:sz w:val="22"/>
                      <w:lang w:eastAsia="lv-LV"/>
                    </w:rPr>
                    <w:t>80.</w:t>
                  </w:r>
                </w:p>
              </w:tc>
              <w:tc>
                <w:tcPr>
                  <w:tcW w:w="2071" w:type="pct"/>
                  <w:tcBorders>
                    <w:top w:val="outset" w:sz="6" w:space="0" w:color="C0C0C0"/>
                    <w:left w:val="outset" w:sz="6" w:space="0" w:color="C0C0C0"/>
                    <w:bottom w:val="outset" w:sz="6" w:space="0" w:color="C0C0C0"/>
                    <w:right w:val="outset" w:sz="6" w:space="0" w:color="C0C0C0"/>
                  </w:tcBorders>
                  <w:hideMark/>
                </w:tcPr>
                <w:p w:rsidR="00280E76" w:rsidRPr="0067226C" w:rsidRDefault="00280E76" w:rsidP="0067226C">
                  <w:pPr>
                    <w:spacing w:before="100" w:beforeAutospacing="1" w:after="100" w:afterAutospacing="1"/>
                    <w:jc w:val="center"/>
                    <w:rPr>
                      <w:rFonts w:eastAsia="Times New Roman"/>
                      <w:sz w:val="22"/>
                      <w:lang w:eastAsia="lv-LV"/>
                    </w:rPr>
                  </w:pPr>
                  <w:r w:rsidRPr="0067226C">
                    <w:rPr>
                      <w:rFonts w:eastAsia="Times New Roman"/>
                      <w:sz w:val="22"/>
                      <w:lang w:eastAsia="lv-LV"/>
                    </w:rPr>
                    <w:t>53.2</w:t>
                  </w:r>
                </w:p>
              </w:tc>
              <w:tc>
                <w:tcPr>
                  <w:tcW w:w="1874" w:type="pct"/>
                  <w:tcBorders>
                    <w:top w:val="outset" w:sz="6" w:space="0" w:color="C0C0C0"/>
                    <w:left w:val="outset" w:sz="6" w:space="0" w:color="C0C0C0"/>
                    <w:bottom w:val="outset" w:sz="6" w:space="0" w:color="C0C0C0"/>
                    <w:right w:val="outset" w:sz="6" w:space="0" w:color="C0C0C0"/>
                  </w:tcBorders>
                  <w:hideMark/>
                </w:tcPr>
                <w:p w:rsidR="00280E76" w:rsidRPr="0067226C" w:rsidRDefault="00280E76" w:rsidP="0067226C">
                  <w:pPr>
                    <w:spacing w:before="100" w:beforeAutospacing="1" w:after="100" w:afterAutospacing="1"/>
                    <w:jc w:val="center"/>
                    <w:rPr>
                      <w:rFonts w:eastAsia="Times New Roman"/>
                      <w:sz w:val="22"/>
                      <w:lang w:eastAsia="lv-LV"/>
                    </w:rPr>
                  </w:pPr>
                  <w:r w:rsidRPr="0067226C">
                    <w:rPr>
                      <w:rFonts w:eastAsia="Times New Roman"/>
                      <w:sz w:val="22"/>
                      <w:lang w:eastAsia="lv-LV"/>
                    </w:rPr>
                    <w:t>14</w:t>
                  </w:r>
                </w:p>
              </w:tc>
            </w:tr>
          </w:tbl>
          <w:p w:rsidR="00280E76" w:rsidRDefault="00280E76" w:rsidP="0067226C">
            <w:pPr>
              <w:ind w:firstLine="22"/>
              <w:jc w:val="center"/>
              <w:rPr>
                <w:b/>
                <w:sz w:val="22"/>
              </w:rPr>
            </w:pPr>
          </w:p>
        </w:tc>
        <w:tc>
          <w:tcPr>
            <w:tcW w:w="3969" w:type="dxa"/>
            <w:shd w:val="clear" w:color="auto" w:fill="auto"/>
          </w:tcPr>
          <w:p w:rsidR="00280E76" w:rsidRDefault="00280E76" w:rsidP="00EC158C">
            <w:pPr>
              <w:ind w:firstLine="567"/>
              <w:jc w:val="both"/>
              <w:rPr>
                <w:rFonts w:eastAsia="Times New Roman"/>
                <w:iCs/>
                <w:color w:val="000000"/>
                <w:sz w:val="22"/>
                <w:lang w:eastAsia="lv-LV"/>
              </w:rPr>
            </w:pPr>
            <w:r w:rsidRPr="008300DF">
              <w:rPr>
                <w:rFonts w:eastAsia="Times New Roman"/>
                <w:iCs/>
                <w:color w:val="000000"/>
                <w:sz w:val="22"/>
                <w:lang w:eastAsia="lv-LV"/>
              </w:rPr>
              <w:t>5. Izslēgt 2. pielikuma 80. rindu.</w:t>
            </w:r>
          </w:p>
          <w:p w:rsidR="00280E76" w:rsidRDefault="00280E76" w:rsidP="00EC158C">
            <w:pPr>
              <w:ind w:firstLine="567"/>
              <w:jc w:val="both"/>
              <w:rPr>
                <w:rFonts w:eastAsia="Times New Roman"/>
                <w:iCs/>
                <w:color w:val="000000"/>
                <w:sz w:val="22"/>
                <w:lang w:eastAsia="lv-LV"/>
              </w:rPr>
            </w:pPr>
          </w:p>
          <w:p w:rsidR="00280E76" w:rsidRDefault="00280E76" w:rsidP="00EC158C">
            <w:pPr>
              <w:ind w:firstLine="567"/>
              <w:jc w:val="both"/>
              <w:rPr>
                <w:rFonts w:eastAsia="Times New Roman"/>
                <w:iCs/>
                <w:color w:val="000000"/>
                <w:sz w:val="22"/>
                <w:lang w:eastAsia="lv-LV"/>
              </w:rPr>
            </w:pPr>
          </w:p>
          <w:p w:rsidR="00280E76" w:rsidRDefault="00280E76" w:rsidP="00EC158C">
            <w:pPr>
              <w:ind w:firstLine="567"/>
              <w:jc w:val="both"/>
              <w:rPr>
                <w:rFonts w:eastAsia="Times New Roman"/>
                <w:iCs/>
                <w:color w:val="000000"/>
                <w:sz w:val="22"/>
                <w:lang w:eastAsia="lv-LV"/>
              </w:rPr>
            </w:pPr>
          </w:p>
          <w:p w:rsidR="00280E76" w:rsidRDefault="00280E76" w:rsidP="00EC158C">
            <w:pPr>
              <w:ind w:firstLine="567"/>
              <w:jc w:val="both"/>
              <w:rPr>
                <w:rFonts w:eastAsia="Times New Roman"/>
                <w:iCs/>
                <w:color w:val="000000"/>
                <w:sz w:val="22"/>
                <w:lang w:eastAsia="lv-LV"/>
              </w:rPr>
            </w:pPr>
          </w:p>
          <w:p w:rsidR="00280E76" w:rsidRDefault="00280E76" w:rsidP="00EC158C">
            <w:pPr>
              <w:ind w:firstLine="567"/>
              <w:jc w:val="both"/>
              <w:rPr>
                <w:rFonts w:eastAsia="Times New Roman"/>
                <w:iCs/>
                <w:color w:val="000000"/>
                <w:sz w:val="22"/>
                <w:lang w:eastAsia="lv-LV"/>
              </w:rPr>
            </w:pPr>
          </w:p>
          <w:p w:rsidR="00280E76" w:rsidRDefault="00280E76" w:rsidP="00EC158C">
            <w:pPr>
              <w:ind w:firstLine="567"/>
              <w:jc w:val="both"/>
              <w:rPr>
                <w:rFonts w:eastAsia="Times New Roman"/>
                <w:iCs/>
                <w:color w:val="000000"/>
                <w:sz w:val="22"/>
                <w:lang w:eastAsia="lv-LV"/>
              </w:rPr>
            </w:pPr>
          </w:p>
          <w:p w:rsidR="00280E76" w:rsidRDefault="00280E76" w:rsidP="00EC158C">
            <w:pPr>
              <w:ind w:firstLine="567"/>
              <w:jc w:val="both"/>
              <w:rPr>
                <w:rFonts w:eastAsia="Times New Roman"/>
                <w:iCs/>
                <w:color w:val="000000"/>
                <w:sz w:val="22"/>
                <w:lang w:eastAsia="lv-LV"/>
              </w:rPr>
            </w:pPr>
          </w:p>
          <w:p w:rsidR="00280E76" w:rsidRDefault="00280E76" w:rsidP="00EC158C">
            <w:pPr>
              <w:ind w:firstLine="567"/>
              <w:jc w:val="both"/>
              <w:rPr>
                <w:rFonts w:eastAsia="Times New Roman"/>
                <w:iCs/>
                <w:color w:val="000000"/>
                <w:sz w:val="22"/>
                <w:lang w:eastAsia="lv-LV"/>
              </w:rPr>
            </w:pPr>
          </w:p>
          <w:p w:rsidR="00280E76" w:rsidRPr="008300DF" w:rsidRDefault="00280E76" w:rsidP="00EC158C">
            <w:pPr>
              <w:ind w:firstLine="567"/>
              <w:jc w:val="both"/>
              <w:rPr>
                <w:rFonts w:eastAsia="Times New Roman"/>
                <w:iCs/>
                <w:color w:val="000000"/>
                <w:sz w:val="22"/>
                <w:lang w:eastAsia="lv-LV"/>
              </w:rPr>
            </w:pPr>
          </w:p>
        </w:tc>
        <w:tc>
          <w:tcPr>
            <w:tcW w:w="567" w:type="dxa"/>
          </w:tcPr>
          <w:p w:rsidR="00280E76" w:rsidRPr="0048450B" w:rsidRDefault="00280E76" w:rsidP="0048450B">
            <w:pPr>
              <w:jc w:val="center"/>
              <w:rPr>
                <w:rFonts w:eastAsia="Times New Roman"/>
                <w:b/>
                <w:iCs/>
                <w:color w:val="000000"/>
                <w:sz w:val="22"/>
                <w:lang w:eastAsia="lv-LV"/>
              </w:rPr>
            </w:pPr>
          </w:p>
        </w:tc>
        <w:tc>
          <w:tcPr>
            <w:tcW w:w="3969" w:type="dxa"/>
          </w:tcPr>
          <w:p w:rsidR="00280E76" w:rsidRPr="008300DF" w:rsidRDefault="00280E76" w:rsidP="00EC158C">
            <w:pPr>
              <w:ind w:firstLine="567"/>
              <w:jc w:val="both"/>
              <w:rPr>
                <w:rFonts w:eastAsia="Times New Roman"/>
                <w:iCs/>
                <w:color w:val="000000"/>
                <w:sz w:val="22"/>
                <w:lang w:eastAsia="lv-LV"/>
              </w:rPr>
            </w:pPr>
          </w:p>
        </w:tc>
        <w:tc>
          <w:tcPr>
            <w:tcW w:w="1418" w:type="dxa"/>
          </w:tcPr>
          <w:p w:rsidR="00280E76" w:rsidRPr="008300DF" w:rsidRDefault="00280E76" w:rsidP="00EC158C">
            <w:pPr>
              <w:ind w:firstLine="567"/>
              <w:jc w:val="both"/>
              <w:rPr>
                <w:rFonts w:eastAsia="Times New Roman"/>
                <w:iCs/>
                <w:color w:val="000000"/>
                <w:sz w:val="22"/>
                <w:lang w:eastAsia="lv-LV"/>
              </w:rPr>
            </w:pPr>
          </w:p>
        </w:tc>
        <w:tc>
          <w:tcPr>
            <w:tcW w:w="1418" w:type="dxa"/>
          </w:tcPr>
          <w:p w:rsidR="00280E76" w:rsidRPr="008300DF" w:rsidRDefault="00280E76" w:rsidP="00EC158C">
            <w:pPr>
              <w:ind w:firstLine="567"/>
              <w:jc w:val="both"/>
              <w:rPr>
                <w:rFonts w:eastAsia="Times New Roman"/>
                <w:iCs/>
                <w:color w:val="000000"/>
                <w:sz w:val="22"/>
                <w:lang w:eastAsia="lv-LV"/>
              </w:rPr>
            </w:pPr>
          </w:p>
        </w:tc>
      </w:tr>
      <w:tr w:rsidR="00280E76" w:rsidRPr="001B3F41" w:rsidTr="00280E76">
        <w:tc>
          <w:tcPr>
            <w:tcW w:w="3964" w:type="dxa"/>
            <w:shd w:val="clear" w:color="auto" w:fill="auto"/>
          </w:tcPr>
          <w:p w:rsidR="00280E76" w:rsidRDefault="00280E76" w:rsidP="00B6215C">
            <w:pPr>
              <w:ind w:firstLine="567"/>
              <w:jc w:val="both"/>
              <w:rPr>
                <w:b/>
                <w:sz w:val="22"/>
              </w:rPr>
            </w:pPr>
          </w:p>
        </w:tc>
        <w:tc>
          <w:tcPr>
            <w:tcW w:w="3969" w:type="dxa"/>
            <w:shd w:val="clear" w:color="auto" w:fill="auto"/>
          </w:tcPr>
          <w:p w:rsidR="00280E76" w:rsidRPr="008300DF" w:rsidRDefault="00280E76" w:rsidP="00EC158C">
            <w:pPr>
              <w:ind w:firstLine="567"/>
              <w:jc w:val="both"/>
              <w:rPr>
                <w:rFonts w:eastAsia="Times New Roman"/>
                <w:iCs/>
                <w:color w:val="000000"/>
                <w:sz w:val="22"/>
                <w:lang w:eastAsia="lv-LV"/>
              </w:rPr>
            </w:pPr>
            <w:r w:rsidRPr="008300DF">
              <w:rPr>
                <w:rFonts w:eastAsia="Times New Roman"/>
                <w:iCs/>
                <w:color w:val="000000"/>
                <w:sz w:val="22"/>
                <w:lang w:eastAsia="lv-LV"/>
              </w:rPr>
              <w:t>Likums stājas spēkā 2020. gada 1. janvārī.</w:t>
            </w:r>
          </w:p>
        </w:tc>
        <w:tc>
          <w:tcPr>
            <w:tcW w:w="567" w:type="dxa"/>
          </w:tcPr>
          <w:p w:rsidR="00280E76" w:rsidRPr="0048450B" w:rsidRDefault="00280E76" w:rsidP="0048450B">
            <w:pPr>
              <w:jc w:val="center"/>
              <w:rPr>
                <w:rFonts w:eastAsia="Times New Roman"/>
                <w:b/>
                <w:iCs/>
                <w:color w:val="000000"/>
                <w:sz w:val="22"/>
                <w:lang w:eastAsia="lv-LV"/>
              </w:rPr>
            </w:pPr>
          </w:p>
        </w:tc>
        <w:tc>
          <w:tcPr>
            <w:tcW w:w="3969" w:type="dxa"/>
          </w:tcPr>
          <w:p w:rsidR="00280E76" w:rsidRPr="008300DF" w:rsidRDefault="00280E76" w:rsidP="00EC158C">
            <w:pPr>
              <w:ind w:firstLine="567"/>
              <w:jc w:val="both"/>
              <w:rPr>
                <w:rFonts w:eastAsia="Times New Roman"/>
                <w:iCs/>
                <w:color w:val="000000"/>
                <w:sz w:val="22"/>
                <w:lang w:eastAsia="lv-LV"/>
              </w:rPr>
            </w:pPr>
          </w:p>
        </w:tc>
        <w:tc>
          <w:tcPr>
            <w:tcW w:w="1418" w:type="dxa"/>
          </w:tcPr>
          <w:p w:rsidR="00280E76" w:rsidRPr="008300DF" w:rsidRDefault="00280E76" w:rsidP="00EC158C">
            <w:pPr>
              <w:ind w:firstLine="567"/>
              <w:jc w:val="both"/>
              <w:rPr>
                <w:rFonts w:eastAsia="Times New Roman"/>
                <w:iCs/>
                <w:color w:val="000000"/>
                <w:sz w:val="22"/>
                <w:lang w:eastAsia="lv-LV"/>
              </w:rPr>
            </w:pPr>
          </w:p>
        </w:tc>
        <w:tc>
          <w:tcPr>
            <w:tcW w:w="1418" w:type="dxa"/>
          </w:tcPr>
          <w:p w:rsidR="00280E76" w:rsidRPr="008300DF" w:rsidRDefault="00280E76" w:rsidP="00EC158C">
            <w:pPr>
              <w:ind w:firstLine="567"/>
              <w:jc w:val="both"/>
              <w:rPr>
                <w:rFonts w:eastAsia="Times New Roman"/>
                <w:iCs/>
                <w:color w:val="000000"/>
                <w:sz w:val="22"/>
                <w:lang w:eastAsia="lv-LV"/>
              </w:rPr>
            </w:pPr>
          </w:p>
        </w:tc>
      </w:tr>
    </w:tbl>
    <w:p w:rsidR="00A400CF" w:rsidRDefault="00A400CF"/>
    <w:sectPr w:rsidR="00A400CF" w:rsidSect="00495B31">
      <w:footerReference w:type="even" r:id="rId7"/>
      <w:footerReference w:type="default" r:id="rId8"/>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7B" w:rsidRDefault="00BC3C78">
      <w:r>
        <w:separator/>
      </w:r>
    </w:p>
  </w:endnote>
  <w:endnote w:type="continuationSeparator" w:id="0">
    <w:p w:rsidR="0061617B" w:rsidRDefault="00BC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9B2BBB"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576E16"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BBB">
      <w:rPr>
        <w:rStyle w:val="PageNumber"/>
        <w:noProof/>
      </w:rPr>
      <w:t>5</w:t>
    </w:r>
    <w:r>
      <w:rPr>
        <w:rStyle w:val="PageNumber"/>
      </w:rPr>
      <w:fldChar w:fldCharType="end"/>
    </w:r>
  </w:p>
  <w:p w:rsidR="00511D34" w:rsidRDefault="009B2BBB"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7B" w:rsidRDefault="00BC3C78">
      <w:r>
        <w:separator/>
      </w:r>
    </w:p>
  </w:footnote>
  <w:footnote w:type="continuationSeparator" w:id="0">
    <w:p w:rsidR="0061617B" w:rsidRDefault="00BC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1677C"/>
    <w:rsid w:val="00020F85"/>
    <w:rsid w:val="00024868"/>
    <w:rsid w:val="000426CA"/>
    <w:rsid w:val="00046CB8"/>
    <w:rsid w:val="00052EAB"/>
    <w:rsid w:val="00057038"/>
    <w:rsid w:val="000717D3"/>
    <w:rsid w:val="00072869"/>
    <w:rsid w:val="00074B12"/>
    <w:rsid w:val="000767B2"/>
    <w:rsid w:val="000816DA"/>
    <w:rsid w:val="000E159B"/>
    <w:rsid w:val="000E2107"/>
    <w:rsid w:val="000E4D0C"/>
    <w:rsid w:val="000F155D"/>
    <w:rsid w:val="001161F6"/>
    <w:rsid w:val="001248AC"/>
    <w:rsid w:val="001268F5"/>
    <w:rsid w:val="00132BC5"/>
    <w:rsid w:val="00140688"/>
    <w:rsid w:val="00146A84"/>
    <w:rsid w:val="00160883"/>
    <w:rsid w:val="0016168C"/>
    <w:rsid w:val="00161D6D"/>
    <w:rsid w:val="001636B2"/>
    <w:rsid w:val="0016468E"/>
    <w:rsid w:val="001846DF"/>
    <w:rsid w:val="001A1803"/>
    <w:rsid w:val="001A7561"/>
    <w:rsid w:val="001B359D"/>
    <w:rsid w:val="001B4987"/>
    <w:rsid w:val="001C0569"/>
    <w:rsid w:val="001D7290"/>
    <w:rsid w:val="001E7B89"/>
    <w:rsid w:val="001F548E"/>
    <w:rsid w:val="001F5D02"/>
    <w:rsid w:val="0021151F"/>
    <w:rsid w:val="00214FE5"/>
    <w:rsid w:val="0022488C"/>
    <w:rsid w:val="00233759"/>
    <w:rsid w:val="00254016"/>
    <w:rsid w:val="00280E76"/>
    <w:rsid w:val="0029588D"/>
    <w:rsid w:val="002B16C4"/>
    <w:rsid w:val="002C5F5C"/>
    <w:rsid w:val="002C76C3"/>
    <w:rsid w:val="002D05FD"/>
    <w:rsid w:val="002D0C5F"/>
    <w:rsid w:val="002E24FD"/>
    <w:rsid w:val="00303D58"/>
    <w:rsid w:val="0031734C"/>
    <w:rsid w:val="0033023E"/>
    <w:rsid w:val="003446BF"/>
    <w:rsid w:val="00351037"/>
    <w:rsid w:val="00356D43"/>
    <w:rsid w:val="0036461C"/>
    <w:rsid w:val="00375203"/>
    <w:rsid w:val="00376964"/>
    <w:rsid w:val="00382399"/>
    <w:rsid w:val="00386D2A"/>
    <w:rsid w:val="003A0935"/>
    <w:rsid w:val="003A34B5"/>
    <w:rsid w:val="003A5EFA"/>
    <w:rsid w:val="003B4AE7"/>
    <w:rsid w:val="003B4F80"/>
    <w:rsid w:val="003C26A6"/>
    <w:rsid w:val="003D4D14"/>
    <w:rsid w:val="003F13E9"/>
    <w:rsid w:val="003F255F"/>
    <w:rsid w:val="003F30F6"/>
    <w:rsid w:val="00400CE7"/>
    <w:rsid w:val="00401C7C"/>
    <w:rsid w:val="00405A5F"/>
    <w:rsid w:val="00415A04"/>
    <w:rsid w:val="004433B5"/>
    <w:rsid w:val="00457779"/>
    <w:rsid w:val="00457CB6"/>
    <w:rsid w:val="00465888"/>
    <w:rsid w:val="004659C5"/>
    <w:rsid w:val="004677A4"/>
    <w:rsid w:val="00467954"/>
    <w:rsid w:val="0048450B"/>
    <w:rsid w:val="0048560A"/>
    <w:rsid w:val="00486D88"/>
    <w:rsid w:val="00497098"/>
    <w:rsid w:val="00497A0D"/>
    <w:rsid w:val="004C06D8"/>
    <w:rsid w:val="004C733D"/>
    <w:rsid w:val="004E0E1C"/>
    <w:rsid w:val="004E5491"/>
    <w:rsid w:val="004F2938"/>
    <w:rsid w:val="004F718F"/>
    <w:rsid w:val="0050497D"/>
    <w:rsid w:val="00504A68"/>
    <w:rsid w:val="00520099"/>
    <w:rsid w:val="005333B7"/>
    <w:rsid w:val="00546502"/>
    <w:rsid w:val="00572523"/>
    <w:rsid w:val="00576E16"/>
    <w:rsid w:val="00581468"/>
    <w:rsid w:val="00591DDB"/>
    <w:rsid w:val="005A167F"/>
    <w:rsid w:val="005B4453"/>
    <w:rsid w:val="005D37BB"/>
    <w:rsid w:val="005D5F22"/>
    <w:rsid w:val="005E54AA"/>
    <w:rsid w:val="00604032"/>
    <w:rsid w:val="00605A7F"/>
    <w:rsid w:val="00606DBE"/>
    <w:rsid w:val="006131AE"/>
    <w:rsid w:val="0061617B"/>
    <w:rsid w:val="00626465"/>
    <w:rsid w:val="00632DD9"/>
    <w:rsid w:val="00634835"/>
    <w:rsid w:val="00640F9F"/>
    <w:rsid w:val="00653AA9"/>
    <w:rsid w:val="0067226C"/>
    <w:rsid w:val="00681536"/>
    <w:rsid w:val="00687F46"/>
    <w:rsid w:val="006D0779"/>
    <w:rsid w:val="006E0266"/>
    <w:rsid w:val="006F0AD7"/>
    <w:rsid w:val="007044D0"/>
    <w:rsid w:val="00717019"/>
    <w:rsid w:val="00720B41"/>
    <w:rsid w:val="00746C61"/>
    <w:rsid w:val="007674E4"/>
    <w:rsid w:val="00770F0C"/>
    <w:rsid w:val="00772DD6"/>
    <w:rsid w:val="00777B71"/>
    <w:rsid w:val="007A3FFC"/>
    <w:rsid w:val="007A4529"/>
    <w:rsid w:val="007A59BC"/>
    <w:rsid w:val="007A699D"/>
    <w:rsid w:val="007B5EE8"/>
    <w:rsid w:val="007E2C08"/>
    <w:rsid w:val="007E5C18"/>
    <w:rsid w:val="008300DF"/>
    <w:rsid w:val="0084288E"/>
    <w:rsid w:val="00846895"/>
    <w:rsid w:val="0087454D"/>
    <w:rsid w:val="00876AD8"/>
    <w:rsid w:val="00883733"/>
    <w:rsid w:val="00883897"/>
    <w:rsid w:val="00884683"/>
    <w:rsid w:val="008A2A30"/>
    <w:rsid w:val="008A5221"/>
    <w:rsid w:val="008B2087"/>
    <w:rsid w:val="008B6968"/>
    <w:rsid w:val="008D0FC9"/>
    <w:rsid w:val="00903609"/>
    <w:rsid w:val="00903E38"/>
    <w:rsid w:val="00910ABE"/>
    <w:rsid w:val="00927192"/>
    <w:rsid w:val="0094485C"/>
    <w:rsid w:val="00947EED"/>
    <w:rsid w:val="009514F1"/>
    <w:rsid w:val="00953442"/>
    <w:rsid w:val="00955C25"/>
    <w:rsid w:val="009636A8"/>
    <w:rsid w:val="0096593E"/>
    <w:rsid w:val="0098171D"/>
    <w:rsid w:val="00993F1B"/>
    <w:rsid w:val="00996C86"/>
    <w:rsid w:val="009A3D9C"/>
    <w:rsid w:val="009A52CF"/>
    <w:rsid w:val="009B08A6"/>
    <w:rsid w:val="009B2BBB"/>
    <w:rsid w:val="009B729D"/>
    <w:rsid w:val="009C281E"/>
    <w:rsid w:val="009D05D2"/>
    <w:rsid w:val="009D4CA4"/>
    <w:rsid w:val="009D7372"/>
    <w:rsid w:val="009E1CBA"/>
    <w:rsid w:val="00A00B52"/>
    <w:rsid w:val="00A11B18"/>
    <w:rsid w:val="00A169B5"/>
    <w:rsid w:val="00A400CF"/>
    <w:rsid w:val="00AA1600"/>
    <w:rsid w:val="00AA7863"/>
    <w:rsid w:val="00AB03BC"/>
    <w:rsid w:val="00AB1FE4"/>
    <w:rsid w:val="00AB5FE9"/>
    <w:rsid w:val="00AB6891"/>
    <w:rsid w:val="00AE10D0"/>
    <w:rsid w:val="00B12903"/>
    <w:rsid w:val="00B33F56"/>
    <w:rsid w:val="00B36DAB"/>
    <w:rsid w:val="00B6215C"/>
    <w:rsid w:val="00B6582A"/>
    <w:rsid w:val="00B712D1"/>
    <w:rsid w:val="00B7430C"/>
    <w:rsid w:val="00B74AE3"/>
    <w:rsid w:val="00B800F7"/>
    <w:rsid w:val="00B81B3E"/>
    <w:rsid w:val="00B86BB3"/>
    <w:rsid w:val="00BC3C78"/>
    <w:rsid w:val="00BC5607"/>
    <w:rsid w:val="00BC6DFF"/>
    <w:rsid w:val="00BD4090"/>
    <w:rsid w:val="00BE4D1F"/>
    <w:rsid w:val="00BF1E57"/>
    <w:rsid w:val="00C127F1"/>
    <w:rsid w:val="00C12A41"/>
    <w:rsid w:val="00C17839"/>
    <w:rsid w:val="00C24403"/>
    <w:rsid w:val="00C316E1"/>
    <w:rsid w:val="00C34CF9"/>
    <w:rsid w:val="00C44ADF"/>
    <w:rsid w:val="00C55326"/>
    <w:rsid w:val="00C6411C"/>
    <w:rsid w:val="00C757AA"/>
    <w:rsid w:val="00C75A1E"/>
    <w:rsid w:val="00C825DA"/>
    <w:rsid w:val="00CA4D55"/>
    <w:rsid w:val="00CB5CE2"/>
    <w:rsid w:val="00CC37E9"/>
    <w:rsid w:val="00CD26C6"/>
    <w:rsid w:val="00CD34B5"/>
    <w:rsid w:val="00CD5E12"/>
    <w:rsid w:val="00CD5FC9"/>
    <w:rsid w:val="00CF2763"/>
    <w:rsid w:val="00D011AD"/>
    <w:rsid w:val="00D141D1"/>
    <w:rsid w:val="00D238F1"/>
    <w:rsid w:val="00D319E6"/>
    <w:rsid w:val="00D513AD"/>
    <w:rsid w:val="00D664C1"/>
    <w:rsid w:val="00D665E0"/>
    <w:rsid w:val="00D7094B"/>
    <w:rsid w:val="00D74397"/>
    <w:rsid w:val="00D9205B"/>
    <w:rsid w:val="00D92108"/>
    <w:rsid w:val="00DC2434"/>
    <w:rsid w:val="00DD5CEF"/>
    <w:rsid w:val="00DD7FEF"/>
    <w:rsid w:val="00DE4D1D"/>
    <w:rsid w:val="00E0312B"/>
    <w:rsid w:val="00E12F7F"/>
    <w:rsid w:val="00E30D2D"/>
    <w:rsid w:val="00E31A90"/>
    <w:rsid w:val="00E57C68"/>
    <w:rsid w:val="00E708DF"/>
    <w:rsid w:val="00E71869"/>
    <w:rsid w:val="00E86455"/>
    <w:rsid w:val="00E9681F"/>
    <w:rsid w:val="00EA0C03"/>
    <w:rsid w:val="00EA5038"/>
    <w:rsid w:val="00EA52E1"/>
    <w:rsid w:val="00EA5739"/>
    <w:rsid w:val="00EC158C"/>
    <w:rsid w:val="00EC3FEB"/>
    <w:rsid w:val="00EC4586"/>
    <w:rsid w:val="00EF0958"/>
    <w:rsid w:val="00EF3075"/>
    <w:rsid w:val="00EF55C3"/>
    <w:rsid w:val="00F04F02"/>
    <w:rsid w:val="00F10578"/>
    <w:rsid w:val="00F14FFB"/>
    <w:rsid w:val="00F36723"/>
    <w:rsid w:val="00F36B31"/>
    <w:rsid w:val="00F37D82"/>
    <w:rsid w:val="00F5084C"/>
    <w:rsid w:val="00F51CF1"/>
    <w:rsid w:val="00F823B4"/>
    <w:rsid w:val="00F97FB5"/>
    <w:rsid w:val="00FA26C0"/>
    <w:rsid w:val="00FA4FDD"/>
    <w:rsid w:val="00FC3F53"/>
    <w:rsid w:val="00FE50B9"/>
    <w:rsid w:val="00FE6AC7"/>
    <w:rsid w:val="00FE6BAC"/>
    <w:rsid w:val="00FF7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customStyle="1" w:styleId="tvhtml">
    <w:name w:val="tv_html"/>
    <w:basedOn w:val="Normal"/>
    <w:rsid w:val="0067226C"/>
    <w:pPr>
      <w:spacing w:before="100" w:beforeAutospacing="1" w:after="100" w:afterAutospacing="1"/>
    </w:pPr>
    <w:rPr>
      <w:rFonts w:eastAsia="Times New Roman"/>
      <w:szCs w:val="24"/>
      <w:lang w:eastAsia="lv-LV"/>
    </w:rPr>
  </w:style>
  <w:style w:type="character" w:customStyle="1" w:styleId="tvhtml1">
    <w:name w:val="tv_html1"/>
    <w:basedOn w:val="DefaultParagraphFont"/>
    <w:rsid w:val="0067226C"/>
  </w:style>
  <w:style w:type="paragraph" w:styleId="BalloonText">
    <w:name w:val="Balloon Text"/>
    <w:basedOn w:val="Normal"/>
    <w:link w:val="BalloonTextChar"/>
    <w:uiPriority w:val="99"/>
    <w:semiHidden/>
    <w:unhideWhenUsed/>
    <w:rsid w:val="00AB6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843">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09830748">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19213337">
      <w:bodyDiv w:val="1"/>
      <w:marLeft w:val="0"/>
      <w:marRight w:val="0"/>
      <w:marTop w:val="0"/>
      <w:marBottom w:val="0"/>
      <w:divBdr>
        <w:top w:val="none" w:sz="0" w:space="0" w:color="auto"/>
        <w:left w:val="none" w:sz="0" w:space="0" w:color="auto"/>
        <w:bottom w:val="none" w:sz="0" w:space="0" w:color="auto"/>
        <w:right w:val="none" w:sz="0" w:space="0" w:color="auto"/>
      </w:divBdr>
      <w:divsChild>
        <w:div w:id="1772235147">
          <w:marLeft w:val="0"/>
          <w:marRight w:val="0"/>
          <w:marTop w:val="0"/>
          <w:marBottom w:val="0"/>
          <w:divBdr>
            <w:top w:val="none" w:sz="0" w:space="0" w:color="auto"/>
            <w:left w:val="none" w:sz="0" w:space="0" w:color="auto"/>
            <w:bottom w:val="none" w:sz="0" w:space="0" w:color="auto"/>
            <w:right w:val="none" w:sz="0" w:space="0" w:color="auto"/>
          </w:divBdr>
        </w:div>
        <w:div w:id="1538352800">
          <w:marLeft w:val="0"/>
          <w:marRight w:val="0"/>
          <w:marTop w:val="0"/>
          <w:marBottom w:val="0"/>
          <w:divBdr>
            <w:top w:val="none" w:sz="0" w:space="0" w:color="auto"/>
            <w:left w:val="none" w:sz="0" w:space="0" w:color="auto"/>
            <w:bottom w:val="none" w:sz="0" w:space="0" w:color="auto"/>
            <w:right w:val="none" w:sz="0" w:space="0" w:color="auto"/>
          </w:divBdr>
        </w:div>
      </w:divsChild>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792671762">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053697348">
      <w:bodyDiv w:val="1"/>
      <w:marLeft w:val="0"/>
      <w:marRight w:val="0"/>
      <w:marTop w:val="0"/>
      <w:marBottom w:val="0"/>
      <w:divBdr>
        <w:top w:val="none" w:sz="0" w:space="0" w:color="auto"/>
        <w:left w:val="none" w:sz="0" w:space="0" w:color="auto"/>
        <w:bottom w:val="none" w:sz="0" w:space="0" w:color="auto"/>
        <w:right w:val="none" w:sz="0" w:space="0" w:color="auto"/>
      </w:divBdr>
      <w:divsChild>
        <w:div w:id="1183279843">
          <w:marLeft w:val="0"/>
          <w:marRight w:val="0"/>
          <w:marTop w:val="0"/>
          <w:marBottom w:val="0"/>
          <w:divBdr>
            <w:top w:val="none" w:sz="0" w:space="0" w:color="auto"/>
            <w:left w:val="none" w:sz="0" w:space="0" w:color="auto"/>
            <w:bottom w:val="none" w:sz="0" w:space="0" w:color="auto"/>
            <w:right w:val="none" w:sz="0" w:space="0" w:color="auto"/>
          </w:divBdr>
        </w:div>
        <w:div w:id="993727778">
          <w:marLeft w:val="0"/>
          <w:marRight w:val="0"/>
          <w:marTop w:val="0"/>
          <w:marBottom w:val="0"/>
          <w:divBdr>
            <w:top w:val="none" w:sz="0" w:space="0" w:color="auto"/>
            <w:left w:val="none" w:sz="0" w:space="0" w:color="auto"/>
            <w:bottom w:val="none" w:sz="0" w:space="0" w:color="auto"/>
            <w:right w:val="none" w:sz="0" w:space="0" w:color="auto"/>
          </w:divBdr>
        </w:div>
      </w:divsChild>
    </w:div>
    <w:div w:id="1140808405">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4294</Words>
  <Characters>2448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cp:lastPrinted>2019-11-02T11:20:00Z</cp:lastPrinted>
  <dcterms:created xsi:type="dcterms:W3CDTF">2019-11-02T11:20:00Z</dcterms:created>
  <dcterms:modified xsi:type="dcterms:W3CDTF">2019-11-02T11:20:00Z</dcterms:modified>
</cp:coreProperties>
</file>