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5BBA" w:rsidR="00B31052" w:rsidP="00B31052" w:rsidRDefault="00B31052" w14:paraId="107F88E6" w14:textId="5956DDD0">
      <w:pPr>
        <w:pStyle w:val="naisnod"/>
        <w:spacing w:before="0" w:after="0"/>
        <w:ind w:firstLine="720"/>
        <w:rPr>
          <w:color w:val="000000" w:themeColor="text1"/>
          <w:sz w:val="28"/>
          <w:szCs w:val="28"/>
        </w:rPr>
      </w:pPr>
      <w:r w:rsidRPr="001E5BBA">
        <w:rPr>
          <w:color w:val="000000" w:themeColor="text1"/>
          <w:sz w:val="28"/>
          <w:szCs w:val="28"/>
        </w:rPr>
        <w:t>Izziņa par atzinum</w:t>
      </w:r>
      <w:r w:rsidR="002A6260">
        <w:rPr>
          <w:color w:val="000000" w:themeColor="text1"/>
          <w:sz w:val="28"/>
          <w:szCs w:val="28"/>
        </w:rPr>
        <w:t>ā</w:t>
      </w:r>
      <w:r w:rsidRPr="001E5BBA">
        <w:rPr>
          <w:color w:val="000000" w:themeColor="text1"/>
          <w:sz w:val="28"/>
          <w:szCs w:val="28"/>
        </w:rPr>
        <w:t xml:space="preserve"> sniegtajiem iebildumiem</w:t>
      </w:r>
    </w:p>
    <w:p w:rsidRPr="001E5BBA" w:rsidR="00B31052" w:rsidP="00B31052" w:rsidRDefault="00B31052" w14:paraId="07B3A491" w14:textId="77777777">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0188"/>
      </w:tblGrid>
      <w:tr w:rsidRPr="001E5BBA" w:rsidR="001E5BBA" w:rsidTr="006A551B" w14:paraId="1CB4B093" w14:textId="77777777">
        <w:trPr>
          <w:jc w:val="center"/>
        </w:trPr>
        <w:tc>
          <w:tcPr>
            <w:tcW w:w="10188" w:type="dxa"/>
            <w:tcBorders>
              <w:bottom w:val="single" w:color="000000" w:sz="6" w:space="0"/>
            </w:tcBorders>
          </w:tcPr>
          <w:p w:rsidRPr="001E5BBA" w:rsidR="00B31052" w:rsidP="005B78E5" w:rsidRDefault="005B78E5" w14:paraId="11BD0D52" w14:textId="506B3EDE">
            <w:pPr>
              <w:ind w:firstLine="720"/>
              <w:jc w:val="center"/>
              <w:rPr>
                <w:color w:val="000000" w:themeColor="text1"/>
                <w:sz w:val="28"/>
                <w:szCs w:val="28"/>
              </w:rPr>
            </w:pPr>
            <w:r>
              <w:rPr>
                <w:color w:val="000000" w:themeColor="text1"/>
                <w:sz w:val="28"/>
                <w:szCs w:val="28"/>
              </w:rPr>
              <w:t>I</w:t>
            </w:r>
            <w:r w:rsidRPr="00483D49">
              <w:rPr>
                <w:color w:val="000000" w:themeColor="text1"/>
                <w:sz w:val="28"/>
                <w:szCs w:val="28"/>
              </w:rPr>
              <w:t>nformatīvā ziņojuma projekt</w:t>
            </w:r>
            <w:r>
              <w:rPr>
                <w:color w:val="000000" w:themeColor="text1"/>
                <w:sz w:val="28"/>
                <w:szCs w:val="28"/>
              </w:rPr>
              <w:t>s</w:t>
            </w:r>
            <w:r w:rsidRPr="00483D49">
              <w:rPr>
                <w:color w:val="000000" w:themeColor="text1"/>
                <w:sz w:val="28"/>
                <w:szCs w:val="28"/>
              </w:rPr>
              <w:t xml:space="preserve"> </w:t>
            </w:r>
            <w:r w:rsidRPr="006535F0" w:rsidR="006535F0">
              <w:rPr>
                <w:color w:val="000000" w:themeColor="text1"/>
                <w:sz w:val="28"/>
                <w:szCs w:val="28"/>
              </w:rPr>
              <w:t>“Par risinājumu pievienotās vērtības nodokļa kompensēšanai Igaunijai un Lietuvai AS “RB Rail” veikto aktivitāšu ietvaros”</w:t>
            </w:r>
          </w:p>
        </w:tc>
      </w:tr>
    </w:tbl>
    <w:p w:rsidRPr="001E5BBA" w:rsidR="00B31052" w:rsidP="00B31052" w:rsidRDefault="00B31052" w14:paraId="5AE6AA34" w14:textId="77777777">
      <w:pPr>
        <w:pStyle w:val="naisc"/>
        <w:spacing w:before="0" w:after="0"/>
        <w:ind w:firstLine="1080"/>
        <w:rPr>
          <w:color w:val="000000" w:themeColor="text1"/>
        </w:rPr>
      </w:pPr>
      <w:r w:rsidRPr="001E5BBA">
        <w:rPr>
          <w:color w:val="000000" w:themeColor="text1"/>
        </w:rPr>
        <w:t>(dokumenta veids un nosaukums)</w:t>
      </w:r>
    </w:p>
    <w:p w:rsidRPr="001E5BBA" w:rsidR="00B31052" w:rsidP="00B31052" w:rsidRDefault="00B31052" w14:paraId="5E1C6C93" w14:textId="77777777">
      <w:pPr>
        <w:pStyle w:val="naisf"/>
        <w:spacing w:before="0" w:after="0"/>
        <w:ind w:firstLine="720"/>
        <w:rPr>
          <w:color w:val="000000" w:themeColor="text1"/>
        </w:rPr>
      </w:pPr>
    </w:p>
    <w:p w:rsidRPr="001E5BBA" w:rsidR="000647E4" w:rsidP="000647E4" w:rsidRDefault="000351DC" w14:paraId="037E1B86" w14:textId="48AB1D1E">
      <w:pPr>
        <w:pStyle w:val="naisf"/>
        <w:spacing w:before="0" w:after="0"/>
        <w:ind w:firstLine="0"/>
        <w:jc w:val="center"/>
        <w:rPr>
          <w:b/>
          <w:color w:val="000000" w:themeColor="text1"/>
        </w:rPr>
      </w:pPr>
      <w:r w:rsidRPr="001E5BBA">
        <w:rPr>
          <w:b/>
          <w:color w:val="000000" w:themeColor="text1"/>
        </w:rPr>
        <w:t>I</w:t>
      </w:r>
      <w:r w:rsidRPr="001E5BBA" w:rsidR="000647E4">
        <w:rPr>
          <w:b/>
          <w:color w:val="000000" w:themeColor="text1"/>
        </w:rPr>
        <w:t>. Jautājumi, par kuriem saskaņošanā vienošanās nav panākta</w:t>
      </w:r>
    </w:p>
    <w:p w:rsidRPr="001E5BBA" w:rsidR="000647E4" w:rsidP="000647E4" w:rsidRDefault="000647E4" w14:paraId="17F2882C" w14:textId="77777777">
      <w:pPr>
        <w:pStyle w:val="naisf"/>
        <w:spacing w:before="0" w:after="0"/>
        <w:ind w:firstLine="720"/>
        <w:rPr>
          <w:color w:val="000000" w:themeColor="text1"/>
        </w:rPr>
      </w:pPr>
    </w:p>
    <w:tbl>
      <w:tblPr>
        <w:tblW w:w="507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6"/>
        <w:gridCol w:w="3344"/>
        <w:gridCol w:w="3542"/>
        <w:gridCol w:w="3341"/>
        <w:gridCol w:w="3375"/>
      </w:tblGrid>
      <w:tr w:rsidRPr="001E5BBA" w:rsidR="001E5BBA" w:rsidTr="00115AE3" w14:paraId="5CE62C42" w14:textId="77777777">
        <w:tc>
          <w:tcPr>
            <w:tcW w:w="200" w:type="pct"/>
            <w:shd w:val="clear" w:color="auto" w:fill="auto"/>
          </w:tcPr>
          <w:p w:rsidRPr="001E5BBA" w:rsidR="000647E4" w:rsidP="00FD78CF" w:rsidRDefault="000647E4" w14:paraId="4E5EC511" w14:textId="77777777">
            <w:pPr>
              <w:pStyle w:val="naisc"/>
              <w:spacing w:before="0" w:after="0"/>
              <w:rPr>
                <w:color w:val="000000" w:themeColor="text1"/>
                <w:sz w:val="20"/>
                <w:szCs w:val="20"/>
              </w:rPr>
            </w:pPr>
            <w:r w:rsidRPr="001E5BBA">
              <w:rPr>
                <w:color w:val="000000" w:themeColor="text1"/>
                <w:sz w:val="20"/>
                <w:szCs w:val="20"/>
              </w:rPr>
              <w:t>Nr. p.k.</w:t>
            </w:r>
          </w:p>
        </w:tc>
        <w:tc>
          <w:tcPr>
            <w:tcW w:w="1180" w:type="pct"/>
            <w:shd w:val="clear" w:color="auto" w:fill="auto"/>
          </w:tcPr>
          <w:p w:rsidRPr="001E5BBA" w:rsidR="000647E4" w:rsidP="00FD78CF" w:rsidRDefault="000647E4" w14:paraId="24BB0926" w14:textId="77777777">
            <w:pPr>
              <w:pStyle w:val="naisc"/>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50" w:type="pct"/>
            <w:shd w:val="clear" w:color="auto" w:fill="auto"/>
          </w:tcPr>
          <w:p w:rsidRPr="001E5BBA" w:rsidR="000647E4" w:rsidP="00FD78CF" w:rsidRDefault="000647E4" w14:paraId="365AC6D4"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179" w:type="pct"/>
            <w:shd w:val="clear" w:color="auto" w:fill="auto"/>
          </w:tcPr>
          <w:p w:rsidRPr="001E5BBA" w:rsidR="000647E4" w:rsidP="00FD78CF" w:rsidRDefault="000647E4" w14:paraId="538A8C8E" w14:textId="77777777">
            <w:pPr>
              <w:pStyle w:val="naisc"/>
              <w:spacing w:before="0" w:after="0"/>
              <w:ind w:firstLine="21"/>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1" w:type="pct"/>
            <w:shd w:val="clear" w:color="auto" w:fill="auto"/>
          </w:tcPr>
          <w:p w:rsidRPr="001E5BBA" w:rsidR="000647E4" w:rsidP="00FD78CF" w:rsidRDefault="000647E4" w14:paraId="053EFFC0"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1E5BBA" w:rsidTr="00115AE3" w14:paraId="7AB58AF6" w14:textId="77777777">
        <w:tc>
          <w:tcPr>
            <w:tcW w:w="200" w:type="pct"/>
            <w:shd w:val="clear" w:color="auto" w:fill="auto"/>
          </w:tcPr>
          <w:p w:rsidRPr="001E5BBA" w:rsidR="000647E4" w:rsidP="00FD78CF" w:rsidRDefault="000647E4" w14:paraId="053CD312" w14:textId="77777777">
            <w:pPr>
              <w:pStyle w:val="naisc"/>
              <w:spacing w:before="0" w:after="0"/>
              <w:rPr>
                <w:color w:val="000000" w:themeColor="text1"/>
                <w:sz w:val="20"/>
                <w:szCs w:val="20"/>
              </w:rPr>
            </w:pPr>
            <w:r w:rsidRPr="001E5BBA">
              <w:rPr>
                <w:color w:val="000000" w:themeColor="text1"/>
                <w:sz w:val="20"/>
                <w:szCs w:val="20"/>
              </w:rPr>
              <w:t>1</w:t>
            </w:r>
          </w:p>
        </w:tc>
        <w:tc>
          <w:tcPr>
            <w:tcW w:w="1180" w:type="pct"/>
            <w:shd w:val="clear" w:color="auto" w:fill="auto"/>
          </w:tcPr>
          <w:p w:rsidRPr="001E5BBA" w:rsidR="000647E4" w:rsidP="00FD78CF" w:rsidRDefault="000647E4" w14:paraId="097A0D05" w14:textId="77777777">
            <w:pPr>
              <w:pStyle w:val="naisc"/>
              <w:spacing w:before="0" w:after="0"/>
              <w:rPr>
                <w:color w:val="000000" w:themeColor="text1"/>
                <w:sz w:val="20"/>
                <w:szCs w:val="20"/>
              </w:rPr>
            </w:pPr>
            <w:r w:rsidRPr="001E5BBA">
              <w:rPr>
                <w:color w:val="000000" w:themeColor="text1"/>
                <w:sz w:val="20"/>
                <w:szCs w:val="20"/>
              </w:rPr>
              <w:t>2</w:t>
            </w:r>
          </w:p>
        </w:tc>
        <w:tc>
          <w:tcPr>
            <w:tcW w:w="1250" w:type="pct"/>
            <w:shd w:val="clear" w:color="auto" w:fill="auto"/>
          </w:tcPr>
          <w:p w:rsidRPr="001E5BBA" w:rsidR="000647E4" w:rsidP="00FD78CF" w:rsidRDefault="000647E4" w14:paraId="2A522420" w14:textId="77777777">
            <w:pPr>
              <w:pStyle w:val="naisc"/>
              <w:spacing w:before="0" w:after="0"/>
              <w:rPr>
                <w:color w:val="000000" w:themeColor="text1"/>
                <w:sz w:val="20"/>
                <w:szCs w:val="20"/>
              </w:rPr>
            </w:pPr>
            <w:r w:rsidRPr="001E5BBA">
              <w:rPr>
                <w:color w:val="000000" w:themeColor="text1"/>
                <w:sz w:val="20"/>
                <w:szCs w:val="20"/>
              </w:rPr>
              <w:t>3</w:t>
            </w:r>
          </w:p>
        </w:tc>
        <w:tc>
          <w:tcPr>
            <w:tcW w:w="1179" w:type="pct"/>
            <w:shd w:val="clear" w:color="auto" w:fill="auto"/>
          </w:tcPr>
          <w:p w:rsidRPr="001E5BBA" w:rsidR="000647E4" w:rsidP="00FD78CF" w:rsidRDefault="000647E4" w14:paraId="2C40B904" w14:textId="77777777">
            <w:pPr>
              <w:pStyle w:val="naisc"/>
              <w:spacing w:before="0" w:after="0"/>
              <w:rPr>
                <w:color w:val="000000" w:themeColor="text1"/>
                <w:sz w:val="20"/>
                <w:szCs w:val="20"/>
              </w:rPr>
            </w:pPr>
            <w:r w:rsidRPr="001E5BBA">
              <w:rPr>
                <w:color w:val="000000" w:themeColor="text1"/>
                <w:sz w:val="20"/>
                <w:szCs w:val="20"/>
              </w:rPr>
              <w:t>4</w:t>
            </w:r>
          </w:p>
        </w:tc>
        <w:tc>
          <w:tcPr>
            <w:tcW w:w="1191" w:type="pct"/>
            <w:shd w:val="clear" w:color="auto" w:fill="auto"/>
          </w:tcPr>
          <w:p w:rsidRPr="001E5BBA" w:rsidR="000647E4" w:rsidP="00FD78CF" w:rsidRDefault="000647E4" w14:paraId="4A069CAE" w14:textId="77777777">
            <w:pPr>
              <w:jc w:val="center"/>
              <w:rPr>
                <w:color w:val="000000" w:themeColor="text1"/>
                <w:sz w:val="20"/>
                <w:szCs w:val="20"/>
              </w:rPr>
            </w:pPr>
            <w:r w:rsidRPr="001E5BBA">
              <w:rPr>
                <w:color w:val="000000" w:themeColor="text1"/>
                <w:sz w:val="20"/>
                <w:szCs w:val="20"/>
              </w:rPr>
              <w:t>5</w:t>
            </w:r>
          </w:p>
        </w:tc>
      </w:tr>
    </w:tbl>
    <w:p w:rsidRPr="00115AE3" w:rsidR="000647E4" w:rsidP="00F0149F" w:rsidRDefault="000647E4" w14:paraId="686F52D4" w14:textId="327659E7">
      <w:pPr>
        <w:pStyle w:val="naisf"/>
        <w:spacing w:before="0" w:after="0"/>
        <w:ind w:firstLine="0"/>
        <w:rPr>
          <w:color w:val="000000" w:themeColor="text1"/>
        </w:rPr>
      </w:pPr>
    </w:p>
    <w:p w:rsidRPr="001E5BBA" w:rsidR="00B31052" w:rsidP="00B31052" w:rsidRDefault="00B31052" w14:paraId="77218738" w14:textId="77777777">
      <w:pPr>
        <w:pStyle w:val="naisf"/>
        <w:spacing w:before="0" w:after="0"/>
        <w:ind w:firstLine="0"/>
        <w:rPr>
          <w:b/>
          <w:color w:val="000000" w:themeColor="text1"/>
        </w:rPr>
      </w:pPr>
      <w:r w:rsidRPr="001E5BBA">
        <w:rPr>
          <w:b/>
          <w:color w:val="000000" w:themeColor="text1"/>
        </w:rPr>
        <w:t xml:space="preserve">Informācija par starpministriju (starpinstitūciju) sanāksmi vai </w:t>
      </w:r>
      <w:r w:rsidRPr="00F92857">
        <w:rPr>
          <w:b/>
          <w:color w:val="000000" w:themeColor="text1"/>
          <w:u w:val="single"/>
        </w:rPr>
        <w:t>elektronisko saskaņošanu</w:t>
      </w:r>
    </w:p>
    <w:p w:rsidRPr="001E5BBA" w:rsidR="00B31052" w:rsidP="00B31052" w:rsidRDefault="00B31052" w14:paraId="5C4D626F" w14:textId="77777777">
      <w:pPr>
        <w:pStyle w:val="naisf"/>
        <w:spacing w:before="0" w:after="0"/>
        <w:ind w:firstLine="0"/>
        <w:rPr>
          <w:b/>
          <w:color w:val="000000" w:themeColor="text1"/>
        </w:rPr>
      </w:pPr>
    </w:p>
    <w:tbl>
      <w:tblPr>
        <w:tblW w:w="13054" w:type="dxa"/>
        <w:tblLook w:val="00A0" w:firstRow="1" w:lastRow="0" w:firstColumn="1" w:lastColumn="0" w:noHBand="0" w:noVBand="0"/>
      </w:tblPr>
      <w:tblGrid>
        <w:gridCol w:w="6016"/>
        <w:gridCol w:w="339"/>
        <w:gridCol w:w="1523"/>
        <w:gridCol w:w="4940"/>
        <w:gridCol w:w="236"/>
      </w:tblGrid>
      <w:tr w:rsidRPr="001E5BBA" w:rsidR="001E5BBA" w:rsidTr="00EE5F1C" w14:paraId="620EF5D9" w14:textId="77777777">
        <w:trPr>
          <w:gridAfter w:val="1"/>
          <w:wAfter w:w="236" w:type="dxa"/>
        </w:trPr>
        <w:tc>
          <w:tcPr>
            <w:tcW w:w="6016" w:type="dxa"/>
          </w:tcPr>
          <w:p w:rsidRPr="001E5BBA" w:rsidR="00B31052" w:rsidP="006A551B" w:rsidRDefault="00B31052" w14:paraId="1FC6162A" w14:textId="77777777">
            <w:pPr>
              <w:pStyle w:val="naisf"/>
              <w:spacing w:before="0" w:after="0"/>
              <w:ind w:firstLine="0"/>
              <w:rPr>
                <w:color w:val="000000" w:themeColor="text1"/>
              </w:rPr>
            </w:pPr>
            <w:r w:rsidRPr="001E5BBA">
              <w:rPr>
                <w:color w:val="000000" w:themeColor="text1"/>
              </w:rPr>
              <w:t>Datums</w:t>
            </w:r>
          </w:p>
        </w:tc>
        <w:tc>
          <w:tcPr>
            <w:tcW w:w="6802" w:type="dxa"/>
            <w:gridSpan w:val="3"/>
            <w:tcBorders>
              <w:bottom w:val="single" w:color="auto" w:sz="4" w:space="0"/>
            </w:tcBorders>
          </w:tcPr>
          <w:p w:rsidR="008A3801" w:rsidP="00F0149F" w:rsidRDefault="00F0149F" w14:paraId="50A74F15" w14:textId="135723D6">
            <w:pPr>
              <w:pStyle w:val="NormalWeb"/>
              <w:spacing w:before="0" w:beforeAutospacing="0" w:after="0" w:afterAutospacing="0"/>
              <w:rPr>
                <w:color w:val="000000" w:themeColor="text1"/>
              </w:rPr>
            </w:pPr>
            <w:r>
              <w:rPr>
                <w:color w:val="000000" w:themeColor="text1"/>
              </w:rPr>
              <w:t>(</w:t>
            </w:r>
            <w:r w:rsidR="00F00D7B">
              <w:rPr>
                <w:color w:val="000000" w:themeColor="text1"/>
              </w:rPr>
              <w:t>28.10.2019-3</w:t>
            </w:r>
            <w:r w:rsidR="008B060E">
              <w:rPr>
                <w:color w:val="000000" w:themeColor="text1"/>
              </w:rPr>
              <w:t>1</w:t>
            </w:r>
            <w:r w:rsidR="00F00D7B">
              <w:rPr>
                <w:color w:val="000000" w:themeColor="text1"/>
              </w:rPr>
              <w:t>.10.2019</w:t>
            </w:r>
            <w:r>
              <w:rPr>
                <w:color w:val="000000" w:themeColor="text1"/>
              </w:rPr>
              <w:t xml:space="preserve">) </w:t>
            </w:r>
            <w:r w:rsidR="00926C9C">
              <w:rPr>
                <w:color w:val="000000" w:themeColor="text1"/>
              </w:rPr>
              <w:t>E</w:t>
            </w:r>
            <w:r w:rsidRPr="001E5BBA" w:rsidR="008A3801">
              <w:rPr>
                <w:color w:val="000000" w:themeColor="text1"/>
              </w:rPr>
              <w:t>lektroniskā starpministriju</w:t>
            </w:r>
            <w:r w:rsidR="00926C9C">
              <w:rPr>
                <w:color w:val="000000" w:themeColor="text1"/>
              </w:rPr>
              <w:t>/starpinstitūciju</w:t>
            </w:r>
            <w:r w:rsidRPr="001E5BBA" w:rsidR="008A3801">
              <w:rPr>
                <w:color w:val="000000" w:themeColor="text1"/>
              </w:rPr>
              <w:t xml:space="preserve"> saskaņošana</w:t>
            </w:r>
          </w:p>
          <w:p w:rsidRPr="001E5BBA" w:rsidR="00256A55" w:rsidP="00170024" w:rsidRDefault="00256A55" w14:paraId="0D4D1AEF" w14:textId="4BA19E26">
            <w:pPr>
              <w:pStyle w:val="NormalWeb"/>
              <w:spacing w:before="0" w:beforeAutospacing="0" w:after="0" w:afterAutospacing="0"/>
              <w:jc w:val="both"/>
              <w:rPr>
                <w:color w:val="000000" w:themeColor="text1"/>
              </w:rPr>
            </w:pPr>
          </w:p>
        </w:tc>
      </w:tr>
      <w:tr w:rsidRPr="001E5BBA" w:rsidR="001E5BBA" w:rsidTr="00EE5F1C" w14:paraId="7A9151F6" w14:textId="77777777">
        <w:trPr>
          <w:gridAfter w:val="1"/>
          <w:wAfter w:w="236" w:type="dxa"/>
        </w:trPr>
        <w:tc>
          <w:tcPr>
            <w:tcW w:w="6016" w:type="dxa"/>
          </w:tcPr>
          <w:p w:rsidRPr="001E5BBA" w:rsidR="00B31052" w:rsidP="006A551B" w:rsidRDefault="00B31052" w14:paraId="72FA7A6B" w14:textId="42B3E55B">
            <w:pPr>
              <w:pStyle w:val="naisf"/>
              <w:spacing w:before="0" w:after="0"/>
              <w:ind w:firstLine="0"/>
              <w:rPr>
                <w:color w:val="000000" w:themeColor="text1"/>
              </w:rPr>
            </w:pPr>
          </w:p>
        </w:tc>
        <w:tc>
          <w:tcPr>
            <w:tcW w:w="6802" w:type="dxa"/>
            <w:gridSpan w:val="3"/>
            <w:tcBorders>
              <w:top w:val="single" w:color="auto" w:sz="4" w:space="0"/>
            </w:tcBorders>
          </w:tcPr>
          <w:p w:rsidRPr="001E5BBA" w:rsidR="00B31052" w:rsidP="006A551B" w:rsidRDefault="00B31052" w14:paraId="0E374CFE" w14:textId="77777777">
            <w:pPr>
              <w:pStyle w:val="NormalWeb"/>
              <w:spacing w:before="0" w:beforeAutospacing="0" w:after="0" w:afterAutospacing="0"/>
              <w:ind w:firstLine="720"/>
              <w:rPr>
                <w:color w:val="000000" w:themeColor="text1"/>
              </w:rPr>
            </w:pPr>
          </w:p>
        </w:tc>
      </w:tr>
      <w:tr w:rsidRPr="001E5BBA" w:rsidR="001E5BBA" w:rsidTr="00EE5F1C" w14:paraId="5A3E34C8" w14:textId="77777777">
        <w:trPr>
          <w:gridAfter w:val="1"/>
          <w:wAfter w:w="236" w:type="dxa"/>
        </w:trPr>
        <w:tc>
          <w:tcPr>
            <w:tcW w:w="6016" w:type="dxa"/>
          </w:tcPr>
          <w:p w:rsidRPr="001E5BBA" w:rsidR="00B31052" w:rsidP="006A551B" w:rsidRDefault="00B31052" w14:paraId="34023238" w14:textId="77777777">
            <w:pPr>
              <w:pStyle w:val="naiskr"/>
              <w:spacing w:before="0" w:after="0"/>
              <w:rPr>
                <w:color w:val="000000" w:themeColor="text1"/>
              </w:rPr>
            </w:pPr>
            <w:r w:rsidRPr="001E5BBA">
              <w:rPr>
                <w:color w:val="000000" w:themeColor="text1"/>
              </w:rPr>
              <w:t>Saskaņošanas dalībnieki</w:t>
            </w:r>
          </w:p>
        </w:tc>
        <w:tc>
          <w:tcPr>
            <w:tcW w:w="6802" w:type="dxa"/>
            <w:gridSpan w:val="3"/>
            <w:tcBorders>
              <w:bottom w:val="single" w:color="auto" w:sz="4" w:space="0"/>
            </w:tcBorders>
          </w:tcPr>
          <w:p w:rsidRPr="008B060E" w:rsidR="003F00F2" w:rsidP="003F00F2" w:rsidRDefault="00ED2E7B" w14:paraId="403BEBAA" w14:textId="3CFE569E">
            <w:pPr>
              <w:pStyle w:val="NormalWeb"/>
              <w:ind w:right="175"/>
              <w:jc w:val="both"/>
              <w:rPr>
                <w:color w:val="000000" w:themeColor="text1"/>
              </w:rPr>
            </w:pPr>
            <w:r w:rsidRPr="008B060E">
              <w:rPr>
                <w:color w:val="000000" w:themeColor="text1"/>
              </w:rPr>
              <w:t>Tieslietu ministrija, Finanšu ministrija</w:t>
            </w:r>
          </w:p>
          <w:p w:rsidRPr="008B060E" w:rsidR="002C0CBF" w:rsidP="00F0149F" w:rsidRDefault="002C0CBF" w14:paraId="534D5EE4" w14:textId="587FC143">
            <w:pPr>
              <w:pStyle w:val="NormalWeb"/>
              <w:ind w:right="175"/>
              <w:jc w:val="both"/>
              <w:rPr>
                <w:color w:val="000000" w:themeColor="text1"/>
              </w:rPr>
            </w:pPr>
          </w:p>
        </w:tc>
      </w:tr>
      <w:tr w:rsidRPr="001E5BBA" w:rsidR="001E5BBA" w:rsidTr="00EE5F1C" w14:paraId="01F1841F" w14:textId="77777777">
        <w:trPr>
          <w:gridAfter w:val="1"/>
          <w:wAfter w:w="236" w:type="dxa"/>
          <w:trHeight w:val="285"/>
        </w:trPr>
        <w:tc>
          <w:tcPr>
            <w:tcW w:w="6016" w:type="dxa"/>
          </w:tcPr>
          <w:p w:rsidRPr="001E5BBA" w:rsidR="00B31052" w:rsidP="006A551B" w:rsidRDefault="00B31052" w14:paraId="1F7BC256" w14:textId="77777777">
            <w:pPr>
              <w:pStyle w:val="naiskr"/>
              <w:spacing w:before="0" w:after="0"/>
              <w:rPr>
                <w:color w:val="000000" w:themeColor="text1"/>
              </w:rPr>
            </w:pPr>
          </w:p>
        </w:tc>
        <w:tc>
          <w:tcPr>
            <w:tcW w:w="1862" w:type="dxa"/>
            <w:gridSpan w:val="2"/>
            <w:tcBorders>
              <w:top w:val="single" w:color="auto" w:sz="4" w:space="0"/>
            </w:tcBorders>
          </w:tcPr>
          <w:p w:rsidRPr="008B060E" w:rsidR="00B31052" w:rsidP="006A551B" w:rsidRDefault="00B31052" w14:paraId="69DB235F" w14:textId="77777777">
            <w:pPr>
              <w:pStyle w:val="naiskr"/>
              <w:spacing w:before="0" w:after="0"/>
              <w:ind w:firstLine="720"/>
              <w:rPr>
                <w:color w:val="000000" w:themeColor="text1"/>
              </w:rPr>
            </w:pPr>
          </w:p>
        </w:tc>
        <w:tc>
          <w:tcPr>
            <w:tcW w:w="4940" w:type="dxa"/>
            <w:tcBorders>
              <w:top w:val="single" w:color="auto" w:sz="4" w:space="0"/>
            </w:tcBorders>
          </w:tcPr>
          <w:p w:rsidRPr="008B060E" w:rsidR="00B31052" w:rsidP="006A551B" w:rsidRDefault="00B31052" w14:paraId="16E8F451" w14:textId="77777777">
            <w:pPr>
              <w:pStyle w:val="naiskr"/>
              <w:spacing w:before="0" w:after="0"/>
              <w:ind w:firstLine="12"/>
              <w:rPr>
                <w:color w:val="000000" w:themeColor="text1"/>
              </w:rPr>
            </w:pPr>
          </w:p>
        </w:tc>
      </w:tr>
      <w:tr w:rsidRPr="001E5BBA" w:rsidR="001E5BBA" w:rsidTr="008B060E" w14:paraId="37C182C9" w14:textId="77777777">
        <w:trPr>
          <w:trHeight w:val="285"/>
        </w:trPr>
        <w:tc>
          <w:tcPr>
            <w:tcW w:w="6355" w:type="dxa"/>
            <w:gridSpan w:val="2"/>
          </w:tcPr>
          <w:p w:rsidRPr="008B060E" w:rsidR="00B31052" w:rsidP="006A551B" w:rsidRDefault="00B31052" w14:paraId="296651AF" w14:textId="77777777">
            <w:pPr>
              <w:pStyle w:val="naiskr"/>
              <w:spacing w:before="0" w:after="0"/>
              <w:rPr>
                <w:color w:val="000000" w:themeColor="text1"/>
              </w:rPr>
            </w:pPr>
            <w:r w:rsidRPr="008B060E">
              <w:rPr>
                <w:color w:val="000000" w:themeColor="text1"/>
              </w:rPr>
              <w:br w:type="page"/>
              <w:t>Saskaņošanas dalībnieki izskatīja šādu ministriju (citu institūciju) iebildumus</w:t>
            </w:r>
          </w:p>
        </w:tc>
        <w:tc>
          <w:tcPr>
            <w:tcW w:w="6463" w:type="dxa"/>
            <w:gridSpan w:val="2"/>
            <w:tcBorders>
              <w:bottom w:val="single" w:color="auto" w:sz="4" w:space="0"/>
            </w:tcBorders>
            <w:shd w:val="clear" w:color="auto" w:fill="auto"/>
          </w:tcPr>
          <w:p w:rsidRPr="008B060E" w:rsidR="003F00F2" w:rsidP="0091278F" w:rsidRDefault="003F00F2" w14:paraId="40BA8E18" w14:textId="366B869A">
            <w:pPr>
              <w:pStyle w:val="naiskr"/>
              <w:spacing w:before="0" w:after="0"/>
              <w:rPr>
                <w:color w:val="000000" w:themeColor="text1"/>
              </w:rPr>
            </w:pPr>
            <w:r w:rsidRPr="008B060E">
              <w:rPr>
                <w:color w:val="000000" w:themeColor="text1"/>
              </w:rPr>
              <w:t>Finanšu ministrija</w:t>
            </w:r>
            <w:r w:rsidRPr="008B060E" w:rsidR="008B060E">
              <w:rPr>
                <w:color w:val="000000" w:themeColor="text1"/>
              </w:rPr>
              <w:t>, Tieslietu ministrija</w:t>
            </w:r>
          </w:p>
          <w:p w:rsidRPr="008B060E" w:rsidR="00E56C3D" w:rsidP="0091278F" w:rsidRDefault="00E56C3D" w14:paraId="3DF8BA0E" w14:textId="248AA280">
            <w:pPr>
              <w:pStyle w:val="naiskr"/>
              <w:spacing w:before="0" w:after="0"/>
              <w:rPr>
                <w:color w:val="000000" w:themeColor="text1"/>
              </w:rPr>
            </w:pPr>
          </w:p>
        </w:tc>
        <w:tc>
          <w:tcPr>
            <w:tcW w:w="236" w:type="dxa"/>
          </w:tcPr>
          <w:p w:rsidRPr="001E5BBA" w:rsidR="00B31052" w:rsidP="006A551B" w:rsidRDefault="00B31052" w14:paraId="0A0688FA" w14:textId="77777777">
            <w:pPr>
              <w:pStyle w:val="naiskr"/>
              <w:spacing w:before="0" w:after="0"/>
              <w:ind w:firstLine="12"/>
              <w:rPr>
                <w:color w:val="000000" w:themeColor="text1"/>
              </w:rPr>
            </w:pPr>
          </w:p>
        </w:tc>
      </w:tr>
      <w:tr w:rsidRPr="001E5BBA" w:rsidR="001E5BBA" w:rsidTr="00EE5F1C" w14:paraId="7D96E72D" w14:textId="77777777">
        <w:trPr>
          <w:gridAfter w:val="1"/>
          <w:wAfter w:w="236" w:type="dxa"/>
          <w:trHeight w:val="312"/>
        </w:trPr>
        <w:tc>
          <w:tcPr>
            <w:tcW w:w="12818" w:type="dxa"/>
            <w:gridSpan w:val="4"/>
          </w:tcPr>
          <w:p w:rsidRPr="001E5BBA" w:rsidR="00B31052" w:rsidP="006A551B" w:rsidRDefault="00B31052" w14:paraId="15C33A0E" w14:textId="77777777">
            <w:pPr>
              <w:pStyle w:val="naisc"/>
              <w:spacing w:before="0" w:after="0"/>
              <w:ind w:left="4820" w:firstLine="720"/>
              <w:rPr>
                <w:color w:val="000000" w:themeColor="text1"/>
              </w:rPr>
            </w:pPr>
          </w:p>
        </w:tc>
      </w:tr>
      <w:tr w:rsidRPr="001E5BBA" w:rsidR="00B31052" w:rsidTr="00EE5F1C" w14:paraId="4C961EC3" w14:textId="77777777">
        <w:trPr>
          <w:gridAfter w:val="1"/>
          <w:wAfter w:w="236" w:type="dxa"/>
        </w:trPr>
        <w:tc>
          <w:tcPr>
            <w:tcW w:w="6355" w:type="dxa"/>
            <w:gridSpan w:val="2"/>
          </w:tcPr>
          <w:p w:rsidRPr="001E5BBA" w:rsidR="00B31052" w:rsidP="006A551B" w:rsidRDefault="00B31052" w14:paraId="212F9D1D" w14:textId="77777777">
            <w:pPr>
              <w:pStyle w:val="naiskr"/>
              <w:spacing w:before="0" w:after="0"/>
              <w:rPr>
                <w:color w:val="000000" w:themeColor="text1"/>
              </w:rPr>
            </w:pPr>
            <w:r w:rsidRPr="001E5BBA">
              <w:rPr>
                <w:color w:val="000000" w:themeColor="text1"/>
              </w:rPr>
              <w:lastRenderedPageBreak/>
              <w:t>Ministrijas (citas institūcijas), kuras nav ieradušās uz sanāksmi vai kuras nav atbildējušas uz uzaicinājumu piedalīties elektroniskajā saskaņošanā</w:t>
            </w:r>
          </w:p>
        </w:tc>
        <w:tc>
          <w:tcPr>
            <w:tcW w:w="6463" w:type="dxa"/>
            <w:gridSpan w:val="2"/>
            <w:tcBorders>
              <w:bottom w:val="single" w:color="auto" w:sz="4" w:space="0"/>
            </w:tcBorders>
          </w:tcPr>
          <w:p w:rsidRPr="001E5BBA" w:rsidR="0091278F" w:rsidP="0082666B" w:rsidRDefault="0091278F" w14:paraId="37855C29" w14:textId="77777777">
            <w:pPr>
              <w:pStyle w:val="naiskr"/>
              <w:spacing w:before="0" w:after="0"/>
              <w:rPr>
                <w:color w:val="000000" w:themeColor="text1"/>
              </w:rPr>
            </w:pPr>
          </w:p>
          <w:p w:rsidRPr="001E5BBA" w:rsidR="00B31052" w:rsidP="0082666B" w:rsidRDefault="00B31052" w14:paraId="5E931B95" w14:textId="241867DE">
            <w:pPr>
              <w:pStyle w:val="naiskr"/>
              <w:spacing w:before="0" w:after="0"/>
              <w:rPr>
                <w:color w:val="000000" w:themeColor="text1"/>
              </w:rPr>
            </w:pPr>
          </w:p>
        </w:tc>
      </w:tr>
    </w:tbl>
    <w:p w:rsidRPr="001E5BBA" w:rsidR="00B31052" w:rsidP="00B31052" w:rsidRDefault="00B31052" w14:paraId="3626ED71" w14:textId="77777777">
      <w:pPr>
        <w:pStyle w:val="naisf"/>
        <w:spacing w:before="0" w:after="0"/>
        <w:ind w:firstLine="0"/>
        <w:jc w:val="center"/>
        <w:rPr>
          <w:b/>
          <w:color w:val="000000" w:themeColor="text1"/>
        </w:rPr>
      </w:pPr>
    </w:p>
    <w:p w:rsidRPr="001E5BBA" w:rsidR="00B31052" w:rsidP="00B31052" w:rsidRDefault="00B31052" w14:paraId="07EB0896" w14:textId="5754BEA7">
      <w:pPr>
        <w:pStyle w:val="naisf"/>
        <w:spacing w:before="0" w:after="0"/>
        <w:ind w:firstLine="0"/>
        <w:jc w:val="center"/>
        <w:rPr>
          <w:b/>
          <w:color w:val="000000" w:themeColor="text1"/>
        </w:rPr>
      </w:pPr>
      <w:r w:rsidRPr="001E5BBA">
        <w:rPr>
          <w:b/>
          <w:color w:val="000000" w:themeColor="text1"/>
        </w:rPr>
        <w:t>II. Jautājumi, par kuriem saskaņošanā vienošanās ir panākta</w:t>
      </w:r>
    </w:p>
    <w:p w:rsidRPr="001E5BBA" w:rsidR="00B31052" w:rsidP="00B31052" w:rsidRDefault="00B31052" w14:paraId="5EB5258D" w14:textId="77777777">
      <w:pPr>
        <w:pStyle w:val="naisf"/>
        <w:spacing w:before="0" w:after="0"/>
        <w:ind w:firstLine="720"/>
        <w:rPr>
          <w:color w:val="000000" w:themeColor="text1"/>
        </w:rPr>
      </w:pPr>
    </w:p>
    <w:tbl>
      <w:tblPr>
        <w:tblpPr w:leftFromText="180" w:rightFromText="180" w:vertAnchor="text" w:tblpY="1"/>
        <w:tblOverlap w:val="never"/>
        <w:tblW w:w="514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Look w:val="00A0" w:firstRow="1" w:lastRow="0" w:firstColumn="1" w:lastColumn="0" w:noHBand="0" w:noVBand="0"/>
      </w:tblPr>
      <w:tblGrid>
        <w:gridCol w:w="563"/>
        <w:gridCol w:w="2938"/>
        <w:gridCol w:w="1597"/>
        <w:gridCol w:w="1985"/>
        <w:gridCol w:w="3481"/>
        <w:gridCol w:w="3438"/>
        <w:gridCol w:w="359"/>
      </w:tblGrid>
      <w:tr w:rsidRPr="001E5BBA" w:rsidR="001E5BBA" w:rsidTr="00B85D9F" w14:paraId="180FCD98" w14:textId="77777777">
        <w:trPr>
          <w:gridAfter w:val="1"/>
          <w:wAfter w:w="125" w:type="pct"/>
        </w:trPr>
        <w:tc>
          <w:tcPr>
            <w:tcW w:w="196" w:type="pct"/>
            <w:shd w:val="clear" w:color="auto" w:fill="FFFFFF" w:themeFill="background1"/>
          </w:tcPr>
          <w:p w:rsidRPr="001E5BBA" w:rsidR="00B31052" w:rsidP="00686C79" w:rsidRDefault="00B31052" w14:paraId="666E81DD" w14:textId="77777777">
            <w:pPr>
              <w:pStyle w:val="naisc"/>
              <w:spacing w:before="0" w:after="0"/>
              <w:rPr>
                <w:color w:val="000000" w:themeColor="text1"/>
                <w:sz w:val="20"/>
                <w:szCs w:val="20"/>
              </w:rPr>
            </w:pPr>
            <w:r w:rsidRPr="001E5BBA">
              <w:rPr>
                <w:color w:val="000000" w:themeColor="text1"/>
                <w:sz w:val="20"/>
                <w:szCs w:val="20"/>
              </w:rPr>
              <w:t>Nr. p.k.</w:t>
            </w:r>
          </w:p>
        </w:tc>
        <w:tc>
          <w:tcPr>
            <w:tcW w:w="1023" w:type="pct"/>
            <w:shd w:val="clear" w:color="auto" w:fill="FFFFFF" w:themeFill="background1"/>
          </w:tcPr>
          <w:p w:rsidRPr="001E5BBA" w:rsidR="00B31052" w:rsidP="00F26102" w:rsidRDefault="00B31052" w14:paraId="3878EDDA" w14:textId="77777777">
            <w:pPr>
              <w:pStyle w:val="naisc"/>
              <w:tabs>
                <w:tab w:val="left" w:pos="1111"/>
              </w:tabs>
              <w:spacing w:before="0" w:after="0"/>
              <w:ind w:firstLine="12"/>
              <w:rPr>
                <w:color w:val="000000" w:themeColor="text1"/>
                <w:sz w:val="20"/>
                <w:szCs w:val="20"/>
              </w:rPr>
            </w:pPr>
            <w:r w:rsidRPr="001E5BBA">
              <w:rPr>
                <w:color w:val="000000" w:themeColor="text1"/>
                <w:sz w:val="20"/>
                <w:szCs w:val="20"/>
              </w:rPr>
              <w:t>Saskaņošanai nosūtītā projekta redakcija (konkrēta punkta (panta) redakcija)</w:t>
            </w:r>
          </w:p>
        </w:tc>
        <w:tc>
          <w:tcPr>
            <w:tcW w:w="1247" w:type="pct"/>
            <w:gridSpan w:val="2"/>
            <w:shd w:val="clear" w:color="auto" w:fill="FFFFFF" w:themeFill="background1"/>
          </w:tcPr>
          <w:p w:rsidRPr="001E5BBA" w:rsidR="00B31052" w:rsidP="00686C79" w:rsidRDefault="00B31052" w14:paraId="1249939F" w14:textId="77777777">
            <w:pPr>
              <w:pStyle w:val="naisc"/>
              <w:spacing w:before="0" w:after="0"/>
              <w:ind w:right="3"/>
              <w:rPr>
                <w:color w:val="000000" w:themeColor="text1"/>
                <w:sz w:val="20"/>
                <w:szCs w:val="20"/>
              </w:rPr>
            </w:pPr>
            <w:r w:rsidRPr="001E5BBA">
              <w:rPr>
                <w:color w:val="000000" w:themeColor="text1"/>
                <w:sz w:val="20"/>
                <w:szCs w:val="20"/>
              </w:rPr>
              <w:t>Atzinumā norādītais ministrijas (citas institūcijas) iebildums, kā arī saskaņošanā papildus izteiktais iebildums par projekta konkrēto punktu (pantu)</w:t>
            </w:r>
          </w:p>
        </w:tc>
        <w:tc>
          <w:tcPr>
            <w:tcW w:w="1212" w:type="pct"/>
            <w:shd w:val="clear" w:color="auto" w:fill="FFFFFF" w:themeFill="background1"/>
          </w:tcPr>
          <w:p w:rsidRPr="001E5BBA" w:rsidR="00B31052" w:rsidP="00581E1B" w:rsidRDefault="00B31052" w14:paraId="2BB102EB" w14:textId="77777777">
            <w:pPr>
              <w:pStyle w:val="naisc"/>
              <w:spacing w:before="0" w:after="0"/>
              <w:ind w:firstLine="21"/>
              <w:jc w:val="both"/>
              <w:rPr>
                <w:color w:val="000000" w:themeColor="text1"/>
                <w:sz w:val="20"/>
                <w:szCs w:val="20"/>
              </w:rPr>
            </w:pPr>
            <w:r w:rsidRPr="001E5BBA">
              <w:rPr>
                <w:color w:val="000000" w:themeColor="text1"/>
                <w:sz w:val="20"/>
                <w:szCs w:val="20"/>
              </w:rPr>
              <w:t>Atbildīgās ministrijas norāde par to, ka iebildums ir ņemts vērā, vai informācija par saskaņošanā panākto alternatīvo risinājumu</w:t>
            </w:r>
          </w:p>
        </w:tc>
        <w:tc>
          <w:tcPr>
            <w:tcW w:w="1197" w:type="pct"/>
            <w:shd w:val="clear" w:color="auto" w:fill="FFFFFF" w:themeFill="background1"/>
          </w:tcPr>
          <w:p w:rsidRPr="001E5BBA" w:rsidR="00B31052" w:rsidP="00686C79" w:rsidRDefault="00B31052" w14:paraId="40C9C823" w14:textId="77777777">
            <w:pPr>
              <w:jc w:val="center"/>
              <w:rPr>
                <w:color w:val="000000" w:themeColor="text1"/>
                <w:sz w:val="20"/>
                <w:szCs w:val="20"/>
              </w:rPr>
            </w:pPr>
            <w:r w:rsidRPr="001E5BBA">
              <w:rPr>
                <w:color w:val="000000" w:themeColor="text1"/>
                <w:sz w:val="20"/>
                <w:szCs w:val="20"/>
              </w:rPr>
              <w:t>Projekta attiecīgā punkta (panta) galīgā redakcija</w:t>
            </w:r>
          </w:p>
        </w:tc>
      </w:tr>
      <w:tr w:rsidRPr="001E5BBA" w:rsidR="001E5BBA" w:rsidTr="00B85D9F" w14:paraId="2BB0D0FD" w14:textId="77777777">
        <w:trPr>
          <w:gridAfter w:val="1"/>
          <w:wAfter w:w="125" w:type="pct"/>
        </w:trPr>
        <w:tc>
          <w:tcPr>
            <w:tcW w:w="196" w:type="pct"/>
            <w:shd w:val="clear" w:color="auto" w:fill="FFFFFF" w:themeFill="background1"/>
          </w:tcPr>
          <w:p w:rsidRPr="001E5BBA" w:rsidR="00B31052" w:rsidP="00686C79" w:rsidRDefault="00B31052" w14:paraId="314F02C2" w14:textId="77777777">
            <w:pPr>
              <w:pStyle w:val="naisc"/>
              <w:spacing w:before="0" w:after="0"/>
              <w:rPr>
                <w:color w:val="000000" w:themeColor="text1"/>
                <w:sz w:val="20"/>
                <w:szCs w:val="20"/>
              </w:rPr>
            </w:pPr>
            <w:r w:rsidRPr="001E5BBA">
              <w:rPr>
                <w:color w:val="000000" w:themeColor="text1"/>
                <w:sz w:val="20"/>
                <w:szCs w:val="20"/>
              </w:rPr>
              <w:t>1</w:t>
            </w:r>
          </w:p>
        </w:tc>
        <w:tc>
          <w:tcPr>
            <w:tcW w:w="1023" w:type="pct"/>
            <w:shd w:val="clear" w:color="auto" w:fill="FFFFFF" w:themeFill="background1"/>
          </w:tcPr>
          <w:p w:rsidRPr="001E5BBA" w:rsidR="00B31052" w:rsidP="00686C79" w:rsidRDefault="00B31052" w14:paraId="3F298B57" w14:textId="77777777">
            <w:pPr>
              <w:pStyle w:val="naisc"/>
              <w:spacing w:before="0" w:after="0"/>
              <w:rPr>
                <w:color w:val="000000" w:themeColor="text1"/>
                <w:sz w:val="20"/>
                <w:szCs w:val="20"/>
              </w:rPr>
            </w:pPr>
            <w:r w:rsidRPr="001E5BBA">
              <w:rPr>
                <w:color w:val="000000" w:themeColor="text1"/>
                <w:sz w:val="20"/>
                <w:szCs w:val="20"/>
              </w:rPr>
              <w:t>2</w:t>
            </w:r>
          </w:p>
        </w:tc>
        <w:tc>
          <w:tcPr>
            <w:tcW w:w="1247" w:type="pct"/>
            <w:gridSpan w:val="2"/>
            <w:shd w:val="clear" w:color="auto" w:fill="FFFFFF" w:themeFill="background1"/>
          </w:tcPr>
          <w:p w:rsidRPr="001E5BBA" w:rsidR="00B31052" w:rsidP="00686C79" w:rsidRDefault="00B31052" w14:paraId="37D371A8" w14:textId="77777777">
            <w:pPr>
              <w:pStyle w:val="naisc"/>
              <w:spacing w:before="0" w:after="0"/>
              <w:rPr>
                <w:color w:val="000000" w:themeColor="text1"/>
                <w:sz w:val="20"/>
                <w:szCs w:val="20"/>
              </w:rPr>
            </w:pPr>
            <w:r w:rsidRPr="001E5BBA">
              <w:rPr>
                <w:color w:val="000000" w:themeColor="text1"/>
                <w:sz w:val="20"/>
                <w:szCs w:val="20"/>
              </w:rPr>
              <w:t>3</w:t>
            </w:r>
          </w:p>
        </w:tc>
        <w:tc>
          <w:tcPr>
            <w:tcW w:w="1212" w:type="pct"/>
            <w:shd w:val="clear" w:color="auto" w:fill="FFFFFF" w:themeFill="background1"/>
          </w:tcPr>
          <w:p w:rsidRPr="001E5BBA" w:rsidR="00B31052" w:rsidP="00A93D50" w:rsidRDefault="00B31052" w14:paraId="45BC06D5" w14:textId="77777777">
            <w:pPr>
              <w:pStyle w:val="naisc"/>
              <w:spacing w:before="0" w:after="0"/>
              <w:rPr>
                <w:color w:val="000000" w:themeColor="text1"/>
                <w:sz w:val="20"/>
                <w:szCs w:val="20"/>
              </w:rPr>
            </w:pPr>
            <w:r w:rsidRPr="001E5BBA">
              <w:rPr>
                <w:color w:val="000000" w:themeColor="text1"/>
                <w:sz w:val="20"/>
                <w:szCs w:val="20"/>
              </w:rPr>
              <w:t>4</w:t>
            </w:r>
          </w:p>
        </w:tc>
        <w:tc>
          <w:tcPr>
            <w:tcW w:w="1197" w:type="pct"/>
            <w:shd w:val="clear" w:color="auto" w:fill="FFFFFF" w:themeFill="background1"/>
          </w:tcPr>
          <w:p w:rsidRPr="001E5BBA" w:rsidR="00B31052" w:rsidP="00686C79" w:rsidRDefault="00B31052" w14:paraId="595EFA2F" w14:textId="77777777">
            <w:pPr>
              <w:jc w:val="center"/>
              <w:rPr>
                <w:color w:val="000000" w:themeColor="text1"/>
                <w:sz w:val="20"/>
                <w:szCs w:val="20"/>
              </w:rPr>
            </w:pPr>
            <w:r w:rsidRPr="001E5BBA">
              <w:rPr>
                <w:color w:val="000000" w:themeColor="text1"/>
                <w:sz w:val="20"/>
                <w:szCs w:val="20"/>
              </w:rPr>
              <w:t>5</w:t>
            </w:r>
          </w:p>
        </w:tc>
      </w:tr>
      <w:tr w:rsidRPr="001E5BBA" w:rsidR="008B060E" w:rsidTr="00DB0287" w14:paraId="070E7DF6" w14:textId="77777777">
        <w:trPr>
          <w:gridAfter w:val="1"/>
          <w:wAfter w:w="125" w:type="pct"/>
        </w:trPr>
        <w:tc>
          <w:tcPr>
            <w:tcW w:w="196" w:type="pct"/>
            <w:shd w:val="clear" w:color="auto" w:fill="auto"/>
          </w:tcPr>
          <w:p w:rsidRPr="001E5BBA" w:rsidR="008B060E" w:rsidP="008B060E" w:rsidRDefault="008B060E" w14:paraId="5AD336A0" w14:textId="4730E0D6">
            <w:pPr>
              <w:pStyle w:val="naisc"/>
              <w:spacing w:before="0" w:after="0"/>
              <w:rPr>
                <w:color w:val="000000" w:themeColor="text1"/>
                <w:sz w:val="20"/>
                <w:szCs w:val="20"/>
              </w:rPr>
            </w:pPr>
            <w:r w:rsidRPr="00115AE3">
              <w:t>1.</w:t>
            </w:r>
          </w:p>
        </w:tc>
        <w:tc>
          <w:tcPr>
            <w:tcW w:w="1023" w:type="pct"/>
            <w:shd w:val="clear" w:color="auto" w:fill="auto"/>
          </w:tcPr>
          <w:p w:rsidRPr="004A1563" w:rsidR="008B060E" w:rsidP="007C49C6" w:rsidRDefault="008B060E" w14:paraId="73E36C44" w14:textId="392E3CAC">
            <w:pPr>
              <w:pStyle w:val="naisc"/>
              <w:spacing w:before="0" w:after="0"/>
              <w:jc w:val="left"/>
              <w:rPr>
                <w:b/>
                <w:color w:val="000000" w:themeColor="text1"/>
                <w:sz w:val="20"/>
                <w:szCs w:val="20"/>
              </w:rPr>
            </w:pPr>
            <w:r>
              <w:rPr>
                <w:color w:val="000000" w:themeColor="text1"/>
              </w:rPr>
              <w:t>Visā projektā.</w:t>
            </w:r>
          </w:p>
        </w:tc>
        <w:tc>
          <w:tcPr>
            <w:tcW w:w="1247" w:type="pct"/>
            <w:gridSpan w:val="2"/>
            <w:shd w:val="clear" w:color="auto" w:fill="auto"/>
          </w:tcPr>
          <w:p w:rsidRPr="00115AE3" w:rsidR="008B060E" w:rsidP="008B060E" w:rsidRDefault="008B060E" w14:paraId="3DDA5E89" w14:textId="77777777">
            <w:pPr>
              <w:pStyle w:val="ListParagraph"/>
              <w:spacing w:after="0" w:line="240" w:lineRule="auto"/>
              <w:ind w:left="0"/>
              <w:contextualSpacing w:val="0"/>
              <w:jc w:val="both"/>
              <w:rPr>
                <w:rFonts w:ascii="Times New Roman" w:hAnsi="Times New Roman"/>
                <w:sz w:val="24"/>
                <w:szCs w:val="24"/>
              </w:rPr>
            </w:pPr>
            <w:r w:rsidRPr="00115AE3">
              <w:rPr>
                <w:rFonts w:ascii="Times New Roman" w:hAnsi="Times New Roman"/>
                <w:sz w:val="24"/>
                <w:szCs w:val="24"/>
              </w:rPr>
              <w:t>Saskaņā ar iepriekš sniegto informāciju, attiecībā uz RBR aktivitātēm pieteiktais problēmjautājums bija Latvijas valsts budžetā gūtie ieņēmumi no PVN</w:t>
            </w:r>
            <w:r w:rsidRPr="00115AE3">
              <w:rPr>
                <w:rFonts w:ascii="Times New Roman" w:hAnsi="Times New Roman"/>
                <w:iCs/>
                <w:sz w:val="24"/>
                <w:szCs w:val="24"/>
              </w:rPr>
              <w:t>, kas nav atskaitīti kā priekšnodoklis,</w:t>
            </w:r>
            <w:r w:rsidRPr="00115AE3">
              <w:rPr>
                <w:rFonts w:ascii="Times New Roman" w:hAnsi="Times New Roman"/>
                <w:i/>
                <w:iCs/>
                <w:sz w:val="24"/>
                <w:szCs w:val="24"/>
              </w:rPr>
              <w:t xml:space="preserve"> </w:t>
            </w:r>
            <w:r w:rsidRPr="00115AE3">
              <w:rPr>
                <w:rFonts w:ascii="Times New Roman" w:hAnsi="Times New Roman"/>
                <w:sz w:val="24"/>
                <w:szCs w:val="24"/>
              </w:rPr>
              <w:t xml:space="preserve">par aktivitātēm, kuras finansē Igaunijas un Lietuvas puse, tomēr šāds jautājums ziņojumā nav izskatīts un risināts, tā vietā tiek piedāvāts, ka no valsts budžeta ir kompensējami visi PVN maksājumi RBR aktivitātēm. Tādējādi uzskatām, ka ziņojumu nepieciešams precizēt. </w:t>
            </w:r>
          </w:p>
          <w:p w:rsidRPr="006522CC" w:rsidR="008B060E" w:rsidP="008B060E" w:rsidRDefault="008B060E" w14:paraId="76BD6C3A" w14:textId="5CC5EAFA">
            <w:pPr>
              <w:pStyle w:val="naisc"/>
              <w:spacing w:before="0" w:after="0"/>
              <w:jc w:val="both"/>
              <w:rPr>
                <w:b/>
                <w:color w:val="000000" w:themeColor="text1"/>
                <w:sz w:val="20"/>
                <w:szCs w:val="20"/>
              </w:rPr>
            </w:pPr>
          </w:p>
        </w:tc>
        <w:tc>
          <w:tcPr>
            <w:tcW w:w="1212" w:type="pct"/>
            <w:shd w:val="clear" w:color="auto" w:fill="auto"/>
          </w:tcPr>
          <w:p w:rsidRPr="001E5BBA" w:rsidR="008B060E" w:rsidP="008B060E" w:rsidRDefault="008B060E" w14:paraId="5BEDF344" w14:textId="7D69959E">
            <w:pPr>
              <w:pStyle w:val="naisc"/>
              <w:spacing w:before="0" w:after="0"/>
              <w:jc w:val="both"/>
              <w:rPr>
                <w:color w:val="000000" w:themeColor="text1"/>
                <w:sz w:val="20"/>
                <w:szCs w:val="20"/>
              </w:rPr>
            </w:pPr>
            <w:r>
              <w:t>Ieteikums ņemts vērā.</w:t>
            </w:r>
            <w:r w:rsidRPr="00115AE3">
              <w:rPr>
                <w:iCs/>
              </w:rPr>
              <w:t xml:space="preserve"> </w:t>
            </w:r>
          </w:p>
        </w:tc>
        <w:tc>
          <w:tcPr>
            <w:tcW w:w="1197" w:type="pct"/>
            <w:shd w:val="clear" w:color="auto" w:fill="auto"/>
          </w:tcPr>
          <w:p w:rsidRPr="001D0B6B" w:rsidR="008B060E" w:rsidP="007C49C6" w:rsidRDefault="008B060E" w14:paraId="569DC529" w14:textId="77777777">
            <w:pPr>
              <w:spacing w:after="0"/>
              <w:jc w:val="both"/>
              <w:rPr>
                <w:color w:val="000000" w:themeColor="text1"/>
              </w:rPr>
            </w:pPr>
            <w:r w:rsidRPr="001D0B6B">
              <w:rPr>
                <w:color w:val="000000" w:themeColor="text1"/>
              </w:rPr>
              <w:t>Kā jau iepriekš minēts RBR aktivitātes finansē EK un solidāri, katra 5 % apmērā, līdzfinansē Igaunija, Latvija un Lietuva. Tā kā RBR atbilstoši tā dibināšanas līgumam pilda tikai valstu deleģētās funkcijas, tā pakalpojumi netiek aplikti ar PVN, kā rezultātā RBR nevar atgūt piegādātājiem un pakalpojumu sniedzējiem samaksāto PVN Pievienotās vērtības nodokļa likumā noteiktajā kārtībā.</w:t>
            </w:r>
          </w:p>
          <w:p w:rsidRPr="001D0B6B" w:rsidR="008B060E" w:rsidP="008B060E" w:rsidRDefault="008B060E" w14:paraId="7DA18BFC" w14:textId="77777777">
            <w:pPr>
              <w:spacing w:before="120" w:after="120"/>
              <w:jc w:val="both"/>
              <w:rPr>
                <w:color w:val="000000" w:themeColor="text1"/>
              </w:rPr>
            </w:pPr>
            <w:r w:rsidRPr="001D0B6B">
              <w:rPr>
                <w:color w:val="000000" w:themeColor="text1"/>
              </w:rPr>
              <w:t xml:space="preserve">Tā kā RBR ir Latvijā reģistrēts komercuzņēmums, 90 % tā iepirkumu tiek veikti Latvijas teritorijā, kamēr Igaunijas un </w:t>
            </w:r>
            <w:r w:rsidRPr="001D0B6B">
              <w:rPr>
                <w:color w:val="000000" w:themeColor="text1"/>
              </w:rPr>
              <w:lastRenderedPageBreak/>
              <w:t xml:space="preserve">Lietuvas teritorijās, kurās atrodas RBR filiāles kopā tiek veikti 10 % iepirkumu, katrā no tām veicot aptuveni 5 % iepirkumu.  </w:t>
            </w:r>
          </w:p>
          <w:p w:rsidRPr="001D0B6B" w:rsidR="008B060E" w:rsidP="008B060E" w:rsidRDefault="008B060E" w14:paraId="39843770" w14:textId="77777777">
            <w:pPr>
              <w:spacing w:before="120" w:after="120"/>
              <w:jc w:val="both"/>
              <w:rPr>
                <w:color w:val="000000" w:themeColor="text1"/>
              </w:rPr>
            </w:pPr>
            <w:r w:rsidRPr="001D0B6B">
              <w:rPr>
                <w:color w:val="000000" w:themeColor="text1"/>
              </w:rPr>
              <w:t xml:space="preserve">Tādejādi, arī 90 % PVN, kuru ir finansējusi EK, Igaunija, Latvija un Lietuva tiek iemaksāti Latvijas valsts budžetā. RBR ir informējis, ka, īstenojot Projekta horizontālās aktivitātes, laika posmā no 2020.gada līdz 2022.gadam PVN maksājumu veidā Latvijas valsts budžetā tiks iemaksāti 8 015 914 EUR, kamēr Igaunijas un Lietuvas budžetos attiecīgi plānots iemaksāt 890 657 EUR.  </w:t>
            </w:r>
          </w:p>
          <w:p w:rsidRPr="00C515C2" w:rsidR="008B060E" w:rsidP="008B060E" w:rsidRDefault="008B060E" w14:paraId="529A5DD4" w14:textId="20A0936E">
            <w:pPr>
              <w:spacing w:before="120" w:after="120"/>
              <w:rPr>
                <w:color w:val="000000" w:themeColor="text1"/>
                <w:sz w:val="20"/>
                <w:szCs w:val="20"/>
              </w:rPr>
            </w:pPr>
            <w:r w:rsidRPr="001D0B6B">
              <w:rPr>
                <w:color w:val="000000" w:themeColor="text1"/>
              </w:rPr>
              <w:t>Tāpēc nepieciešams rast risinājumu par Latvijas valsts budžetā iemaksātā PVN, kuru ir finansējusi EK, Igaunija, Latvija un Lietuva atgriešanu Projektā un Lietuvas un Igaunijas budžetos.</w:t>
            </w:r>
          </w:p>
        </w:tc>
      </w:tr>
      <w:tr w:rsidRPr="001E5BBA" w:rsidR="008B060E" w:rsidTr="00DB0287" w14:paraId="43612F0A" w14:textId="77777777">
        <w:trPr>
          <w:gridAfter w:val="1"/>
          <w:wAfter w:w="125" w:type="pct"/>
        </w:trPr>
        <w:tc>
          <w:tcPr>
            <w:tcW w:w="196" w:type="pct"/>
            <w:shd w:val="clear" w:color="auto" w:fill="auto"/>
          </w:tcPr>
          <w:p w:rsidRPr="001E5BBA" w:rsidR="008B060E" w:rsidP="008B060E" w:rsidRDefault="008B060E" w14:paraId="51A28439" w14:textId="5C253ABB">
            <w:pPr>
              <w:pStyle w:val="naisc"/>
              <w:spacing w:before="0" w:after="0"/>
              <w:rPr>
                <w:color w:val="000000" w:themeColor="text1"/>
                <w:sz w:val="20"/>
                <w:szCs w:val="20"/>
              </w:rPr>
            </w:pPr>
            <w:r>
              <w:rPr>
                <w:color w:val="000000" w:themeColor="text1"/>
              </w:rPr>
              <w:lastRenderedPageBreak/>
              <w:t>2.</w:t>
            </w:r>
          </w:p>
        </w:tc>
        <w:tc>
          <w:tcPr>
            <w:tcW w:w="1023" w:type="pct"/>
            <w:shd w:val="clear" w:color="auto" w:fill="auto"/>
          </w:tcPr>
          <w:p w:rsidR="008B060E" w:rsidP="007C49C6" w:rsidRDefault="008B060E" w14:paraId="62B76C40" w14:textId="1B4B04BB">
            <w:pPr>
              <w:pStyle w:val="naisc"/>
              <w:spacing w:before="0" w:after="0"/>
              <w:jc w:val="left"/>
              <w:rPr>
                <w:color w:val="000000" w:themeColor="text1"/>
                <w:sz w:val="20"/>
                <w:szCs w:val="20"/>
              </w:rPr>
            </w:pPr>
            <w:r>
              <w:rPr>
                <w:color w:val="000000" w:themeColor="text1"/>
              </w:rPr>
              <w:t>Visā projektā.</w:t>
            </w:r>
          </w:p>
        </w:tc>
        <w:tc>
          <w:tcPr>
            <w:tcW w:w="1247" w:type="pct"/>
            <w:gridSpan w:val="2"/>
            <w:shd w:val="clear" w:color="auto" w:fill="FFFFFF" w:themeFill="background1"/>
          </w:tcPr>
          <w:p w:rsidRPr="00115AE3" w:rsidR="008B060E" w:rsidP="008B060E" w:rsidRDefault="008B060E" w14:paraId="280149E2" w14:textId="77777777">
            <w:pPr>
              <w:pStyle w:val="ListParagraph"/>
              <w:spacing w:after="0" w:line="240" w:lineRule="auto"/>
              <w:ind w:left="0"/>
              <w:contextualSpacing w:val="0"/>
              <w:jc w:val="both"/>
              <w:rPr>
                <w:rFonts w:ascii="Times New Roman" w:hAnsi="Times New Roman"/>
                <w:sz w:val="24"/>
                <w:szCs w:val="24"/>
              </w:rPr>
            </w:pPr>
            <w:r w:rsidRPr="00115AE3">
              <w:rPr>
                <w:rFonts w:ascii="Times New Roman" w:hAnsi="Times New Roman"/>
                <w:sz w:val="24"/>
                <w:szCs w:val="24"/>
              </w:rPr>
              <w:t xml:space="preserve">Norādām, ka RBR aktivitāšu īstenošana nav valsts budžeta ilgtermiņa saistības, to īstenotājs ir RBR, kura ir kapitālsabiedrība, kurā Latvijai pieder tikai 1/3 </w:t>
            </w:r>
            <w:r w:rsidRPr="00115AE3">
              <w:rPr>
                <w:rFonts w:ascii="Times New Roman" w:hAnsi="Times New Roman"/>
                <w:sz w:val="24"/>
                <w:szCs w:val="24"/>
              </w:rPr>
              <w:lastRenderedPageBreak/>
              <w:t xml:space="preserve">kapitāldaļas. Kā norādīts iepriekš, līdzšinēji Latvijas puse RBR aktivitāšu līdzfinansēšanā ir piedalījusies saskaņā ar dalībvalstu vienošanās līgumu, veicot iemaksas SIA “Eiropas dzelzceļa līnijas” pamatkapitālā, nodrošinot proporcionāli vienādu dalībvalstu līdzfinansējumu RBR aktivitāšu īstenošanai (Ministru kabinetam pieņemot lēmumu par katru ieguldījumu pamatkapitālā). Attiecīgi finansējumu RBR aktivitāšu PVN maksājumu segšanai nevar piešķirt no Satiksmes ministrijas budžeta apakšprogrammas 60.07.00 “Eiropas transporta infrastruktūras projekti (Rail Baltica)” vai turpmākajos gados piešķirt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 jo to neparedz spēkā esošais normatīvais </w:t>
            </w:r>
            <w:r w:rsidRPr="00115AE3">
              <w:rPr>
                <w:rFonts w:ascii="Times New Roman" w:hAnsi="Times New Roman"/>
                <w:sz w:val="24"/>
                <w:szCs w:val="24"/>
              </w:rPr>
              <w:lastRenderedPageBreak/>
              <w:t>regulējums. Attiecīgi jāprecizē ziņojuma sadaļa attiecībā uz 2019.gadu un jāsvītro MK protokollēmuma 3., 4., 5., 9. un 10.punkts.</w:t>
            </w:r>
          </w:p>
          <w:p w:rsidRPr="0093737A" w:rsidR="008B060E" w:rsidP="008B060E" w:rsidRDefault="008B060E" w14:paraId="31C0C285" w14:textId="1AE688C1">
            <w:pPr>
              <w:pStyle w:val="naisc"/>
              <w:spacing w:before="0" w:after="0"/>
              <w:jc w:val="both"/>
              <w:rPr>
                <w:sz w:val="20"/>
                <w:szCs w:val="20"/>
              </w:rPr>
            </w:pPr>
          </w:p>
        </w:tc>
        <w:tc>
          <w:tcPr>
            <w:tcW w:w="1212" w:type="pct"/>
            <w:shd w:val="clear" w:color="auto" w:fill="FFFFFF" w:themeFill="background1"/>
          </w:tcPr>
          <w:p w:rsidRPr="0093737A" w:rsidR="008B060E" w:rsidP="008B060E" w:rsidRDefault="008B060E" w14:paraId="4AF3380A" w14:textId="547C35AC">
            <w:pPr>
              <w:pStyle w:val="naisc"/>
              <w:spacing w:before="0" w:after="0"/>
              <w:jc w:val="both"/>
              <w:rPr>
                <w:sz w:val="20"/>
                <w:szCs w:val="20"/>
              </w:rPr>
            </w:pPr>
            <w:r>
              <w:lastRenderedPageBreak/>
              <w:t>Iebildums ir ņemts vērā un iestrādāts protokollēmumā.</w:t>
            </w:r>
          </w:p>
        </w:tc>
        <w:tc>
          <w:tcPr>
            <w:tcW w:w="1197" w:type="pct"/>
            <w:shd w:val="clear" w:color="auto" w:fill="auto"/>
          </w:tcPr>
          <w:p w:rsidR="008B060E" w:rsidP="00027267" w:rsidRDefault="008B060E" w14:paraId="6FB9BBA9" w14:textId="58F08752">
            <w:pPr>
              <w:rPr>
                <w:color w:val="000000" w:themeColor="text1"/>
                <w:sz w:val="20"/>
                <w:szCs w:val="20"/>
              </w:rPr>
            </w:pPr>
            <w:r>
              <w:t>No saskaņošanas</w:t>
            </w:r>
            <w:r w:rsidR="00027267">
              <w:t xml:space="preserve"> </w:t>
            </w:r>
            <w:r w:rsidRPr="00115AE3">
              <w:t xml:space="preserve">protokollēmuma </w:t>
            </w:r>
            <w:r>
              <w:t xml:space="preserve">projekta svītroti </w:t>
            </w:r>
            <w:r w:rsidRPr="00115AE3">
              <w:t>3., 4., 5., 9. un 10.punkts.</w:t>
            </w:r>
          </w:p>
        </w:tc>
      </w:tr>
      <w:tr w:rsidRPr="001E5BBA" w:rsidR="008B060E" w:rsidTr="00DB0287" w14:paraId="4FAFBDA3" w14:textId="77777777">
        <w:trPr>
          <w:gridAfter w:val="1"/>
          <w:wAfter w:w="125" w:type="pct"/>
        </w:trPr>
        <w:tc>
          <w:tcPr>
            <w:tcW w:w="196" w:type="pct"/>
            <w:shd w:val="clear" w:color="auto" w:fill="auto"/>
          </w:tcPr>
          <w:p w:rsidR="008B060E" w:rsidP="008B060E" w:rsidRDefault="008B060E" w14:paraId="487F33B4" w14:textId="77777777">
            <w:pPr>
              <w:pStyle w:val="naisc"/>
              <w:spacing w:before="0" w:after="0"/>
              <w:rPr>
                <w:color w:val="000000" w:themeColor="text1"/>
              </w:rPr>
            </w:pPr>
            <w:r>
              <w:rPr>
                <w:color w:val="000000" w:themeColor="text1"/>
              </w:rPr>
              <w:lastRenderedPageBreak/>
              <w:t>3.</w:t>
            </w:r>
          </w:p>
          <w:p w:rsidR="008B060E" w:rsidP="008B060E" w:rsidRDefault="008B060E" w14:paraId="5A17FA72" w14:textId="77777777">
            <w:pPr>
              <w:pStyle w:val="naisc"/>
              <w:spacing w:before="0" w:after="0"/>
              <w:rPr>
                <w:color w:val="000000" w:themeColor="text1"/>
                <w:sz w:val="20"/>
                <w:szCs w:val="20"/>
              </w:rPr>
            </w:pPr>
          </w:p>
        </w:tc>
        <w:tc>
          <w:tcPr>
            <w:tcW w:w="1023" w:type="pct"/>
            <w:shd w:val="clear" w:color="auto" w:fill="auto"/>
          </w:tcPr>
          <w:p w:rsidRPr="007C49C6" w:rsidR="008B060E" w:rsidP="007C49C6" w:rsidRDefault="007C49C6" w14:paraId="52EF50A3" w14:textId="518C76B1">
            <w:pPr>
              <w:spacing w:after="0"/>
              <w:jc w:val="both"/>
              <w:rPr>
                <w:bCs/>
                <w:noProof/>
                <w:color w:val="000000" w:themeColor="text1"/>
              </w:rPr>
            </w:pPr>
            <w:r w:rsidRPr="007C49C6">
              <w:rPr>
                <w:bCs/>
                <w:noProof/>
                <w:color w:val="000000" w:themeColor="text1"/>
              </w:rPr>
              <w:t>Projektā iekļautā 2.tabula un 4.pielikums (tabula)</w:t>
            </w:r>
            <w:r>
              <w:rPr>
                <w:bCs/>
                <w:noProof/>
                <w:color w:val="000000" w:themeColor="text1"/>
              </w:rPr>
              <w:t>.</w:t>
            </w:r>
          </w:p>
          <w:p w:rsidR="008B060E" w:rsidP="008B060E" w:rsidRDefault="008B060E" w14:paraId="64EFBE2E" w14:textId="1E842D0F">
            <w:pPr>
              <w:pStyle w:val="naisc"/>
              <w:spacing w:before="0" w:after="0"/>
              <w:rPr>
                <w:color w:val="000000" w:themeColor="text1"/>
                <w:sz w:val="20"/>
                <w:szCs w:val="20"/>
              </w:rPr>
            </w:pPr>
          </w:p>
        </w:tc>
        <w:tc>
          <w:tcPr>
            <w:tcW w:w="1247" w:type="pct"/>
            <w:gridSpan w:val="2"/>
            <w:shd w:val="clear" w:color="auto" w:fill="FFFFFF" w:themeFill="background1"/>
          </w:tcPr>
          <w:p w:rsidRPr="00115AE3" w:rsidR="008B060E" w:rsidP="008B060E" w:rsidRDefault="008B060E" w14:paraId="18CC941C" w14:textId="77777777">
            <w:pPr>
              <w:pStyle w:val="ListParagraph"/>
              <w:spacing w:after="0" w:line="240" w:lineRule="auto"/>
              <w:ind w:left="0"/>
              <w:contextualSpacing w:val="0"/>
              <w:jc w:val="both"/>
              <w:rPr>
                <w:rFonts w:ascii="Times New Roman" w:hAnsi="Times New Roman"/>
                <w:sz w:val="24"/>
                <w:szCs w:val="24"/>
              </w:rPr>
            </w:pPr>
            <w:r w:rsidRPr="00115AE3">
              <w:rPr>
                <w:rFonts w:ascii="Times New Roman" w:hAnsi="Times New Roman"/>
                <w:sz w:val="24"/>
                <w:szCs w:val="24"/>
              </w:rPr>
              <w:t>Ievērojot jau iepriekš norādīto, ka RBR aktivitātes nav valsts budžeta ilgtermiņa saistības, ziņojumā nepieciešams sniegt informāciju, kā kopumā līdzšinēji ir nodrošināts un turpmāk tiks nodrošināts finansējums RBR aktivitāšu īstenošanai. Ņemot vērā minēto, jāprecizē ziņojuma 2.tabulā un 4.pielikumā sniegtā informācija, papildinot to ar RBR aktivitāšu izmaksām iepriekšējos gados, kā arī norādot izmaksu finansējuma avotus, tai skaitā Latvijas puses piešķirto finansējumu, kas nodrošināts no iemaksām SIA “Eiropas dzelzceļa līnijas” pamatkapitālā. Vienlaikus informācija jāprecizē, norādot to prognozējamo PVN ieņēmumu, kas netiks atgūti kā priekšnodoklis, apmēru, kas būtu kompensējams Lietuvai un Igaunijai.</w:t>
            </w:r>
          </w:p>
          <w:p w:rsidRPr="0093737A" w:rsidR="008B060E" w:rsidP="008B060E" w:rsidRDefault="008B060E" w14:paraId="5C5FD196" w14:textId="77777777">
            <w:pPr>
              <w:pStyle w:val="naisc"/>
              <w:spacing w:before="0" w:after="0"/>
              <w:jc w:val="both"/>
              <w:rPr>
                <w:sz w:val="20"/>
                <w:szCs w:val="20"/>
              </w:rPr>
            </w:pPr>
          </w:p>
        </w:tc>
        <w:tc>
          <w:tcPr>
            <w:tcW w:w="1212" w:type="pct"/>
            <w:shd w:val="clear" w:color="auto" w:fill="FFFFFF" w:themeFill="background1"/>
          </w:tcPr>
          <w:p w:rsidRPr="0093737A" w:rsidR="008B060E" w:rsidP="008B060E" w:rsidRDefault="008B060E" w14:paraId="62F85064" w14:textId="7B5ABCFA">
            <w:pPr>
              <w:pStyle w:val="naisc"/>
              <w:spacing w:before="0" w:after="0"/>
              <w:jc w:val="both"/>
              <w:rPr>
                <w:sz w:val="20"/>
                <w:szCs w:val="20"/>
              </w:rPr>
            </w:pPr>
            <w:r>
              <w:t xml:space="preserve">Ieteikums ņemts vērā. </w:t>
            </w:r>
          </w:p>
        </w:tc>
        <w:tc>
          <w:tcPr>
            <w:tcW w:w="1197" w:type="pct"/>
            <w:shd w:val="clear" w:color="auto" w:fill="auto"/>
          </w:tcPr>
          <w:p w:rsidR="008B060E" w:rsidP="00027267" w:rsidRDefault="008B060E" w14:paraId="6B30F18E" w14:textId="6310B59C">
            <w:pPr>
              <w:rPr>
                <w:color w:val="000000" w:themeColor="text1"/>
                <w:sz w:val="20"/>
                <w:szCs w:val="20"/>
              </w:rPr>
            </w:pPr>
            <w:r w:rsidRPr="001D0B6B">
              <w:rPr>
                <w:bCs/>
                <w:color w:val="000000" w:themeColor="text1"/>
              </w:rPr>
              <w:t xml:space="preserve">Jautājums tiks </w:t>
            </w:r>
            <w:r>
              <w:rPr>
                <w:bCs/>
                <w:color w:val="000000" w:themeColor="text1"/>
              </w:rPr>
              <w:t>skatīts atsevišķā informatīvajā ziņojumā.</w:t>
            </w:r>
          </w:p>
        </w:tc>
      </w:tr>
      <w:tr w:rsidRPr="001E5BBA" w:rsidR="008B060E" w:rsidTr="00DB0287" w14:paraId="5695860F" w14:textId="77777777">
        <w:trPr>
          <w:gridAfter w:val="1"/>
          <w:wAfter w:w="125" w:type="pct"/>
        </w:trPr>
        <w:tc>
          <w:tcPr>
            <w:tcW w:w="196" w:type="pct"/>
            <w:shd w:val="clear" w:color="auto" w:fill="auto"/>
          </w:tcPr>
          <w:p w:rsidR="008B060E" w:rsidP="008B060E" w:rsidRDefault="008B060E" w14:paraId="13140601" w14:textId="77777777">
            <w:pPr>
              <w:pStyle w:val="naisc"/>
              <w:spacing w:before="0" w:after="0"/>
              <w:rPr>
                <w:color w:val="000000" w:themeColor="text1"/>
              </w:rPr>
            </w:pPr>
            <w:r>
              <w:rPr>
                <w:color w:val="000000" w:themeColor="text1"/>
              </w:rPr>
              <w:lastRenderedPageBreak/>
              <w:t>4.</w:t>
            </w:r>
          </w:p>
          <w:p w:rsidR="008B060E" w:rsidP="008B060E" w:rsidRDefault="008B060E" w14:paraId="240AE32B" w14:textId="77777777">
            <w:pPr>
              <w:pStyle w:val="naisc"/>
              <w:spacing w:before="0" w:after="0"/>
              <w:rPr>
                <w:color w:val="000000" w:themeColor="text1"/>
                <w:sz w:val="20"/>
                <w:szCs w:val="20"/>
              </w:rPr>
            </w:pPr>
          </w:p>
        </w:tc>
        <w:tc>
          <w:tcPr>
            <w:tcW w:w="1023" w:type="pct"/>
            <w:shd w:val="clear" w:color="auto" w:fill="auto"/>
          </w:tcPr>
          <w:p w:rsidR="008B060E" w:rsidP="008B060E" w:rsidRDefault="008B060E" w14:paraId="50B9B100" w14:textId="77777777">
            <w:pPr>
              <w:pStyle w:val="naisc"/>
              <w:spacing w:before="0" w:after="0"/>
              <w:rPr>
                <w:color w:val="000000" w:themeColor="text1"/>
                <w:sz w:val="20"/>
                <w:szCs w:val="20"/>
              </w:rPr>
            </w:pPr>
          </w:p>
        </w:tc>
        <w:tc>
          <w:tcPr>
            <w:tcW w:w="1247" w:type="pct"/>
            <w:gridSpan w:val="2"/>
            <w:shd w:val="clear" w:color="auto" w:fill="FFFFFF" w:themeFill="background1"/>
          </w:tcPr>
          <w:p w:rsidRPr="00191791" w:rsidR="008B060E" w:rsidP="008B060E" w:rsidRDefault="008B060E" w14:paraId="02371029" w14:textId="77777777">
            <w:pPr>
              <w:pStyle w:val="ListParagraph"/>
              <w:spacing w:after="0" w:line="240" w:lineRule="auto"/>
              <w:ind w:left="0"/>
              <w:contextualSpacing w:val="0"/>
              <w:jc w:val="both"/>
              <w:rPr>
                <w:rFonts w:ascii="Times New Roman" w:hAnsi="Times New Roman"/>
                <w:sz w:val="24"/>
                <w:szCs w:val="24"/>
              </w:rPr>
            </w:pPr>
            <w:r w:rsidRPr="00191791">
              <w:rPr>
                <w:rFonts w:ascii="Times New Roman" w:hAnsi="Times New Roman"/>
                <w:sz w:val="24"/>
                <w:szCs w:val="24"/>
              </w:rPr>
              <w:t xml:space="preserve">Uzskatām, ka jautājumu par RBR aktivitāšu PVN maksājumiem, kas nav atgūstami kā priekšnodoklis, nepieciešamo finansējumu 2020.gadā un turpmāk jārisina kā jautājumu par iespēju palielināt apropriāciju Satiksmes ministrijai atbilstoši faktiskajiem/prognozētajiem PVN maksājumiem valsts budžetā, kas nav atgūstami kā priekšnodoklis, attiecīgi sagatavojot priekšlikumu 2.lasījumam par likumprojektā “Par valsts budžetu 2020.gadam” iekļaujamā panta redakciju, ar skaidriem nosacījumiem (Ministru kabineta noteiktā kārtība), tai skaitā paredzot, ka apropriācijas palielināšana iespējama ar atsevišķi Ministru kabineta lēmumu, Saeimas </w:t>
            </w:r>
            <w:r w:rsidRPr="00191791">
              <w:rPr>
                <w:rFonts w:ascii="Times New Roman" w:hAnsi="Times New Roman"/>
                <w:iCs/>
                <w:sz w:val="24"/>
                <w:szCs w:val="24"/>
              </w:rPr>
              <w:t xml:space="preserve">Budžeta un finanšu (nodokļu) komisijas saskaņojumu, kā arī tai ir </w:t>
            </w:r>
            <w:r w:rsidRPr="00191791">
              <w:rPr>
                <w:rFonts w:ascii="Times New Roman" w:hAnsi="Times New Roman"/>
                <w:sz w:val="24"/>
                <w:szCs w:val="24"/>
              </w:rPr>
              <w:t xml:space="preserve">neitrāla ietekmi uz vispārējās valdības budžeta bilanci. Ņemot vērā minēto nepieciešams precizēt ziņojumā sniegto informāciju attiecībā uz 2020.gadu un turpmāk, kā arī jāsvītro MK protokollēmuma </w:t>
            </w:r>
            <w:r w:rsidRPr="00191791">
              <w:rPr>
                <w:rFonts w:ascii="Times New Roman" w:hAnsi="Times New Roman"/>
                <w:sz w:val="24"/>
                <w:szCs w:val="24"/>
              </w:rPr>
              <w:lastRenderedPageBreak/>
              <w:t>6. un 8.punkts, tā vietā paredzot punktu priekšlikumu 2.lasījumam.</w:t>
            </w:r>
          </w:p>
          <w:p w:rsidRPr="0093737A" w:rsidR="008B060E" w:rsidP="008B060E" w:rsidRDefault="008B060E" w14:paraId="7EC838AB" w14:textId="77777777">
            <w:pPr>
              <w:pStyle w:val="naisc"/>
              <w:spacing w:before="0" w:after="0"/>
              <w:jc w:val="both"/>
              <w:rPr>
                <w:sz w:val="20"/>
                <w:szCs w:val="20"/>
              </w:rPr>
            </w:pPr>
          </w:p>
        </w:tc>
        <w:tc>
          <w:tcPr>
            <w:tcW w:w="1212" w:type="pct"/>
            <w:shd w:val="clear" w:color="auto" w:fill="FFFFFF" w:themeFill="background1"/>
          </w:tcPr>
          <w:p w:rsidRPr="0093737A" w:rsidR="008B060E" w:rsidP="008B060E" w:rsidRDefault="008B060E" w14:paraId="6232F8FF" w14:textId="1573A66D">
            <w:pPr>
              <w:pStyle w:val="naisc"/>
              <w:spacing w:before="0" w:after="0"/>
              <w:jc w:val="both"/>
              <w:rPr>
                <w:sz w:val="20"/>
                <w:szCs w:val="20"/>
              </w:rPr>
            </w:pPr>
            <w:r>
              <w:lastRenderedPageBreak/>
              <w:t>Iebildums ir ņemts vērā un iestrādāts protokollēmumā.</w:t>
            </w:r>
          </w:p>
        </w:tc>
        <w:tc>
          <w:tcPr>
            <w:tcW w:w="1197" w:type="pct"/>
            <w:shd w:val="clear" w:color="auto" w:fill="auto"/>
          </w:tcPr>
          <w:p w:rsidRPr="006535F0" w:rsidR="006535F0" w:rsidP="006535F0" w:rsidRDefault="006535F0" w14:paraId="0D08733F" w14:textId="77777777">
            <w:pPr>
              <w:spacing w:after="0"/>
              <w:jc w:val="both"/>
              <w:rPr>
                <w:bCs/>
                <w:color w:val="000000" w:themeColor="text1"/>
              </w:rPr>
            </w:pPr>
            <w:r w:rsidRPr="006535F0">
              <w:rPr>
                <w:bCs/>
                <w:color w:val="000000" w:themeColor="text1"/>
              </w:rPr>
              <w:t>2.</w:t>
            </w:r>
            <w:r w:rsidRPr="006535F0">
              <w:rPr>
                <w:bCs/>
                <w:color w:val="000000" w:themeColor="text1"/>
              </w:rPr>
              <w:tab/>
              <w:t xml:space="preserve">Atbalstīt Satiksmes ministrijas priekšlikumu par likumprojekta “Par valsts budžetu 2020.gadam” papildināšanu ar pantu šādā redakcijā: “Ministru kabinets nosaka kārtību, kādā aprēķina un piešķir nepieciešamā finansējuma apmēru pievienotās vērtības nodokļa summas, kas nav atgūstama kā priekšnodoklis, kompensācijai Igaunijai un Lietuvai AS “RB Rail” veikto aktivitāšu ietvaros. Atļaut finanšu ministram palielināt apropriāciju Satiksmes ministrijai resursiem no dotācijas no vispārējiem ieņēmumiem par pievienotās vērtības nodokļa summu, kas nav atgūstama kā priekšnodoklis, kompensācijai Igaunijai un Lietuvai AS “RB Rail” veikto aktivitāšu ietvaros, ar nosacījumu, ja tiek nodrošināta neitrāla ietekme uz vispārējās valdības budžeta bilanci un ir pieņemts attiecīgs Ministru kabineta lēmums, kā arī Saeimas Budžeta un finanšu (nodokļu) komisija piecu darba dienu laikā no attiecīgās informācijas </w:t>
            </w:r>
            <w:r w:rsidRPr="006535F0">
              <w:rPr>
                <w:bCs/>
                <w:color w:val="000000" w:themeColor="text1"/>
              </w:rPr>
              <w:lastRenderedPageBreak/>
              <w:t>saņemšanas dienas nav iebildusi pret apropriācijas palielinājumu.”.</w:t>
            </w:r>
          </w:p>
          <w:p w:rsidRPr="006535F0" w:rsidR="006535F0" w:rsidP="006535F0" w:rsidRDefault="006535F0" w14:paraId="1839FFAC" w14:textId="77777777">
            <w:pPr>
              <w:spacing w:after="0"/>
              <w:jc w:val="both"/>
              <w:rPr>
                <w:bCs/>
                <w:color w:val="000000" w:themeColor="text1"/>
              </w:rPr>
            </w:pPr>
          </w:p>
          <w:p w:rsidRPr="006535F0" w:rsidR="006535F0" w:rsidP="006535F0" w:rsidRDefault="006535F0" w14:paraId="04121D6A" w14:textId="77777777">
            <w:pPr>
              <w:spacing w:after="0"/>
              <w:jc w:val="both"/>
              <w:rPr>
                <w:bCs/>
                <w:color w:val="000000" w:themeColor="text1"/>
              </w:rPr>
            </w:pPr>
            <w:r w:rsidRPr="006535F0">
              <w:rPr>
                <w:bCs/>
                <w:color w:val="000000" w:themeColor="text1"/>
              </w:rPr>
              <w:t>3.</w:t>
            </w:r>
            <w:r w:rsidRPr="006535F0">
              <w:rPr>
                <w:bCs/>
                <w:color w:val="000000" w:themeColor="text1"/>
              </w:rPr>
              <w:tab/>
              <w:t>Noteikt, ka Satiksmes ministrija izstrādā un līdz 2020.gada 5.martam iesniedz Ministru kabinetā kārtību, kādā aprēķina un piešķir nepieciešamā finansējuma apmēru pievienotās vērtības nodokļa summas, kas nav atgūstama kā priekšnodoklis, kompensācijai Igaunijai un Lietuvai AS “RB Rail” veikto aktivitāšu ietvaros, ievērojot vismaz šādus nosacījumus:</w:t>
            </w:r>
          </w:p>
          <w:p w:rsidRPr="006535F0" w:rsidR="006535F0" w:rsidP="006535F0" w:rsidRDefault="006535F0" w14:paraId="45FF1A43" w14:textId="77777777">
            <w:pPr>
              <w:spacing w:after="0"/>
              <w:jc w:val="both"/>
              <w:rPr>
                <w:bCs/>
                <w:color w:val="000000" w:themeColor="text1"/>
              </w:rPr>
            </w:pPr>
          </w:p>
          <w:p w:rsidRPr="006535F0" w:rsidR="006535F0" w:rsidP="006535F0" w:rsidRDefault="006535F0" w14:paraId="669F635D" w14:textId="77777777">
            <w:pPr>
              <w:spacing w:after="0"/>
              <w:jc w:val="both"/>
              <w:rPr>
                <w:bCs/>
                <w:color w:val="000000" w:themeColor="text1"/>
              </w:rPr>
            </w:pPr>
            <w:r w:rsidRPr="006535F0">
              <w:rPr>
                <w:bCs/>
                <w:color w:val="000000" w:themeColor="text1"/>
              </w:rPr>
              <w:t>3.1.</w:t>
            </w:r>
            <w:r w:rsidRPr="006535F0">
              <w:rPr>
                <w:bCs/>
                <w:color w:val="000000" w:themeColor="text1"/>
              </w:rPr>
              <w:tab/>
              <w:t>Latvija veic kompensācijas maksājumu Lietuvai un Igaunijai par AS “RB Rail” veiktajām aktivitātēm, kas ekvivalents AS “RB Rail” veiktajiem neatgūstamajiem pievienotās vērtības nodokļa maksājumiem Latvijas valsts budžetā;</w:t>
            </w:r>
          </w:p>
          <w:p w:rsidRPr="006535F0" w:rsidR="006535F0" w:rsidP="006535F0" w:rsidRDefault="006535F0" w14:paraId="0BB3DDA0" w14:textId="77777777">
            <w:pPr>
              <w:spacing w:after="0"/>
              <w:jc w:val="both"/>
              <w:rPr>
                <w:bCs/>
                <w:color w:val="000000" w:themeColor="text1"/>
              </w:rPr>
            </w:pPr>
            <w:r w:rsidRPr="006535F0">
              <w:rPr>
                <w:bCs/>
                <w:color w:val="000000" w:themeColor="text1"/>
              </w:rPr>
              <w:t>3.2.</w:t>
            </w:r>
            <w:r w:rsidRPr="006535F0">
              <w:rPr>
                <w:bCs/>
                <w:color w:val="000000" w:themeColor="text1"/>
              </w:rPr>
              <w:tab/>
              <w:t>kompensācijas apmērs katrai valstij nepārsniedz 1/3 no minētajiem pievienotās vērtības nodokļa maksājumiem;</w:t>
            </w:r>
          </w:p>
          <w:p w:rsidRPr="006535F0" w:rsidR="006535F0" w:rsidP="006535F0" w:rsidRDefault="006535F0" w14:paraId="0E49F9C0" w14:textId="77777777">
            <w:pPr>
              <w:spacing w:after="0"/>
              <w:jc w:val="both"/>
              <w:rPr>
                <w:bCs/>
                <w:color w:val="000000" w:themeColor="text1"/>
              </w:rPr>
            </w:pPr>
            <w:r w:rsidRPr="006535F0">
              <w:rPr>
                <w:bCs/>
                <w:color w:val="000000" w:themeColor="text1"/>
              </w:rPr>
              <w:lastRenderedPageBreak/>
              <w:t>3.3.</w:t>
            </w:r>
            <w:r w:rsidRPr="006535F0">
              <w:rPr>
                <w:bCs/>
                <w:color w:val="000000" w:themeColor="text1"/>
              </w:rPr>
              <w:tab/>
              <w:t xml:space="preserve">kompensācijas izmaksa tiek veikta, ja Lietuva un Igaunija ievieš analogu regulējumu, kas nodrošina kompensāciju par Latvijas finansētajiem neatgūstamajiem pievienotās vērtības nodokļa maksājumiem šajās valstīs. </w:t>
            </w:r>
          </w:p>
          <w:p w:rsidRPr="006535F0" w:rsidR="006535F0" w:rsidP="006535F0" w:rsidRDefault="006535F0" w14:paraId="46FEFE2F" w14:textId="77777777">
            <w:pPr>
              <w:spacing w:after="0"/>
              <w:jc w:val="both"/>
              <w:rPr>
                <w:bCs/>
                <w:color w:val="000000" w:themeColor="text1"/>
              </w:rPr>
            </w:pPr>
            <w:r w:rsidRPr="006535F0">
              <w:rPr>
                <w:bCs/>
                <w:color w:val="000000" w:themeColor="text1"/>
              </w:rPr>
              <w:t>3.4.</w:t>
            </w:r>
            <w:r w:rsidRPr="006535F0">
              <w:rPr>
                <w:bCs/>
                <w:color w:val="000000" w:themeColor="text1"/>
              </w:rPr>
              <w:tab/>
              <w:t>kompensācija par AS “RB Rail” aktivitātēm, kas klasificēsies kā komercdarbības atbalsta aktivitātes, tiks veikta ievērojot komercdarbības atbalsta kontroles regulējumu.</w:t>
            </w:r>
          </w:p>
          <w:p w:rsidR="008B060E" w:rsidP="007C49C6" w:rsidRDefault="008B060E" w14:paraId="588738A9" w14:textId="34005D4F">
            <w:pPr>
              <w:spacing w:before="120" w:after="120"/>
              <w:jc w:val="both"/>
              <w:rPr>
                <w:color w:val="000000" w:themeColor="text1"/>
                <w:sz w:val="20"/>
                <w:szCs w:val="20"/>
              </w:rPr>
            </w:pPr>
          </w:p>
        </w:tc>
      </w:tr>
      <w:tr w:rsidRPr="001E5BBA" w:rsidR="008B060E" w:rsidTr="00DB0287" w14:paraId="503057B7" w14:textId="77777777">
        <w:trPr>
          <w:gridAfter w:val="1"/>
          <w:wAfter w:w="125" w:type="pct"/>
        </w:trPr>
        <w:tc>
          <w:tcPr>
            <w:tcW w:w="196" w:type="pct"/>
            <w:shd w:val="clear" w:color="auto" w:fill="auto"/>
          </w:tcPr>
          <w:p w:rsidR="008B060E" w:rsidP="008B060E" w:rsidRDefault="008B060E" w14:paraId="6EBE0CCD" w14:textId="5D0D6BCA">
            <w:pPr>
              <w:pStyle w:val="naisc"/>
              <w:spacing w:before="0" w:after="0"/>
              <w:rPr>
                <w:color w:val="000000" w:themeColor="text1"/>
                <w:sz w:val="20"/>
                <w:szCs w:val="20"/>
              </w:rPr>
            </w:pPr>
            <w:r>
              <w:rPr>
                <w:color w:val="000000" w:themeColor="text1"/>
              </w:rPr>
              <w:lastRenderedPageBreak/>
              <w:t>5.</w:t>
            </w:r>
          </w:p>
        </w:tc>
        <w:tc>
          <w:tcPr>
            <w:tcW w:w="1023" w:type="pct"/>
            <w:shd w:val="clear" w:color="auto" w:fill="auto"/>
          </w:tcPr>
          <w:p w:rsidR="008B060E" w:rsidP="00027267" w:rsidRDefault="008B060E" w14:paraId="66ECFA79" w14:textId="77777777">
            <w:pPr>
              <w:spacing w:after="0"/>
              <w:jc w:val="both"/>
            </w:pPr>
            <w:r>
              <w:t xml:space="preserve">Vienlaikus Latvijas valsts budžeta līdzekļi 4 020 000 EUR apjomā ir investēti EDZL un RBR pamatkapitāla palielināšanai, kas, ņemot vērā uzņēmumu darbības jomu, ir ieguldīti gan projekta attiecināmo izmaksu līdzfinansēšanai, gan ar projektu saistīto netiešo izdevumu segšanai, piem. kopuzņēmuma akciju un uzņēmumu pārvaldībai, </w:t>
            </w:r>
            <w:r>
              <w:lastRenderedPageBreak/>
              <w:t xml:space="preserve">ar projekta plānošanu saistīto pakalpojumu iepirkumiem. </w:t>
            </w:r>
          </w:p>
          <w:p w:rsidR="008B060E" w:rsidP="008B060E" w:rsidRDefault="008B060E" w14:paraId="0BFE0D7C" w14:textId="77777777">
            <w:pPr>
              <w:pStyle w:val="naisc"/>
              <w:spacing w:before="0" w:after="0"/>
              <w:rPr>
                <w:color w:val="000000" w:themeColor="text1"/>
                <w:sz w:val="20"/>
                <w:szCs w:val="20"/>
              </w:rPr>
            </w:pPr>
          </w:p>
        </w:tc>
        <w:tc>
          <w:tcPr>
            <w:tcW w:w="1247" w:type="pct"/>
            <w:gridSpan w:val="2"/>
            <w:shd w:val="clear" w:color="auto" w:fill="FFFFFF" w:themeFill="background1"/>
          </w:tcPr>
          <w:p w:rsidRPr="00191791" w:rsidR="008B060E" w:rsidP="008B060E" w:rsidRDefault="008B060E" w14:paraId="2C51E8D9" w14:textId="77777777">
            <w:pPr>
              <w:pStyle w:val="ListParagraph"/>
              <w:spacing w:after="0" w:line="240" w:lineRule="auto"/>
              <w:ind w:left="0"/>
              <w:contextualSpacing w:val="0"/>
              <w:jc w:val="both"/>
              <w:rPr>
                <w:rFonts w:ascii="Times New Roman" w:hAnsi="Times New Roman"/>
                <w:sz w:val="24"/>
                <w:szCs w:val="24"/>
              </w:rPr>
            </w:pPr>
            <w:r w:rsidRPr="00191791">
              <w:rPr>
                <w:rFonts w:ascii="Times New Roman" w:hAnsi="Times New Roman"/>
                <w:sz w:val="24"/>
                <w:szCs w:val="24"/>
              </w:rPr>
              <w:lastRenderedPageBreak/>
              <w:t>Nepieciešams skaidrot ziņojuma 3.lpp. sniegto informāciju, kāpēc RBR aktivitātēm piešķirtais finansējums ieguldīts arī projekta attiecināmo izmaksu līdzfinansēšanai, ja Rail Baltica projekta aktivitāšu attiecināmo izmaksu finansēšanai finansējums tiek nodrošināts no Satiksmes ministrijas budžeta apakšprogrammā 60.07.00 “Eiropas transporta infrastruktūras projekti (Rail Baltica)” paredzētajiem līdzekļiem.</w:t>
            </w:r>
          </w:p>
          <w:p w:rsidRPr="0093737A" w:rsidR="008B060E" w:rsidP="008B060E" w:rsidRDefault="008B060E" w14:paraId="2C580F03" w14:textId="77777777">
            <w:pPr>
              <w:pStyle w:val="naisc"/>
              <w:spacing w:before="0" w:after="0"/>
              <w:jc w:val="both"/>
              <w:rPr>
                <w:sz w:val="20"/>
                <w:szCs w:val="20"/>
              </w:rPr>
            </w:pPr>
          </w:p>
        </w:tc>
        <w:tc>
          <w:tcPr>
            <w:tcW w:w="1212" w:type="pct"/>
            <w:shd w:val="clear" w:color="auto" w:fill="FFFFFF" w:themeFill="background1"/>
          </w:tcPr>
          <w:p w:rsidRPr="0093737A" w:rsidR="008B060E" w:rsidP="008B060E" w:rsidRDefault="008B060E" w14:paraId="4944AC13" w14:textId="5D5E8E18">
            <w:pPr>
              <w:pStyle w:val="naisc"/>
              <w:spacing w:before="0" w:after="0"/>
              <w:jc w:val="both"/>
              <w:rPr>
                <w:sz w:val="20"/>
                <w:szCs w:val="20"/>
              </w:rPr>
            </w:pPr>
            <w:r w:rsidRPr="00375747">
              <w:lastRenderedPageBreak/>
              <w:t>Ie</w:t>
            </w:r>
            <w:r>
              <w:t>bildums</w:t>
            </w:r>
            <w:r w:rsidRPr="00375747">
              <w:t xml:space="preserve"> ņemts vērā. </w:t>
            </w:r>
          </w:p>
        </w:tc>
        <w:tc>
          <w:tcPr>
            <w:tcW w:w="1197" w:type="pct"/>
            <w:shd w:val="clear" w:color="auto" w:fill="auto"/>
          </w:tcPr>
          <w:p w:rsidR="008B060E" w:rsidP="00027267" w:rsidRDefault="008B060E" w14:paraId="6A8A2167" w14:textId="0F7E1094">
            <w:pPr>
              <w:rPr>
                <w:color w:val="000000" w:themeColor="text1"/>
                <w:sz w:val="20"/>
                <w:szCs w:val="20"/>
              </w:rPr>
            </w:pPr>
            <w:r w:rsidRPr="00375747">
              <w:t>Jautājums tiks skatīts atsevišķā informatīvajā ziņojumā.</w:t>
            </w:r>
          </w:p>
        </w:tc>
      </w:tr>
      <w:tr w:rsidRPr="001E5BBA" w:rsidR="008B060E" w:rsidTr="00DB0287" w14:paraId="5B3EE0FA" w14:textId="77777777">
        <w:trPr>
          <w:gridAfter w:val="1"/>
          <w:wAfter w:w="125" w:type="pct"/>
        </w:trPr>
        <w:tc>
          <w:tcPr>
            <w:tcW w:w="196" w:type="pct"/>
            <w:shd w:val="clear" w:color="auto" w:fill="auto"/>
          </w:tcPr>
          <w:p w:rsidR="008B060E" w:rsidP="008B060E" w:rsidRDefault="008B060E" w14:paraId="724EB9C8" w14:textId="77777777">
            <w:pPr>
              <w:pStyle w:val="naisc"/>
              <w:spacing w:before="0" w:after="0"/>
              <w:rPr>
                <w:color w:val="000000" w:themeColor="text1"/>
              </w:rPr>
            </w:pPr>
            <w:r>
              <w:rPr>
                <w:color w:val="000000" w:themeColor="text1"/>
              </w:rPr>
              <w:t>6.</w:t>
            </w:r>
          </w:p>
          <w:p w:rsidR="008B060E" w:rsidP="008B060E" w:rsidRDefault="008B060E" w14:paraId="69A1E583" w14:textId="77777777">
            <w:pPr>
              <w:pStyle w:val="naisc"/>
              <w:spacing w:before="0" w:after="0"/>
              <w:rPr>
                <w:color w:val="000000" w:themeColor="text1"/>
                <w:sz w:val="20"/>
                <w:szCs w:val="20"/>
              </w:rPr>
            </w:pPr>
          </w:p>
        </w:tc>
        <w:tc>
          <w:tcPr>
            <w:tcW w:w="1023" w:type="pct"/>
            <w:shd w:val="clear" w:color="auto" w:fill="auto"/>
          </w:tcPr>
          <w:p w:rsidRPr="007C49C6" w:rsidR="007C49C6" w:rsidP="007C49C6" w:rsidRDefault="007C49C6" w14:paraId="460C0447" w14:textId="1670E3FE">
            <w:pPr>
              <w:spacing w:after="0"/>
              <w:jc w:val="both"/>
              <w:rPr>
                <w:bCs/>
                <w:noProof/>
                <w:color w:val="000000" w:themeColor="text1"/>
              </w:rPr>
            </w:pPr>
            <w:r w:rsidRPr="007C49C6">
              <w:rPr>
                <w:bCs/>
                <w:noProof/>
                <w:color w:val="000000" w:themeColor="text1"/>
              </w:rPr>
              <w:t xml:space="preserve">Projektā iekļautā </w:t>
            </w:r>
            <w:r>
              <w:rPr>
                <w:bCs/>
                <w:noProof/>
                <w:color w:val="000000" w:themeColor="text1"/>
              </w:rPr>
              <w:t>3</w:t>
            </w:r>
            <w:r w:rsidRPr="007C49C6">
              <w:rPr>
                <w:bCs/>
                <w:noProof/>
                <w:color w:val="000000" w:themeColor="text1"/>
              </w:rPr>
              <w:t>.tabula</w:t>
            </w:r>
            <w:r>
              <w:rPr>
                <w:bCs/>
                <w:noProof/>
                <w:color w:val="000000" w:themeColor="text1"/>
              </w:rPr>
              <w:t>.</w:t>
            </w:r>
          </w:p>
          <w:p w:rsidR="008B060E" w:rsidP="008B060E" w:rsidRDefault="008B060E" w14:paraId="02EED139" w14:textId="1662803B">
            <w:pPr>
              <w:pStyle w:val="naisc"/>
              <w:spacing w:before="0" w:after="0"/>
              <w:rPr>
                <w:color w:val="000000" w:themeColor="text1"/>
                <w:sz w:val="20"/>
                <w:szCs w:val="20"/>
              </w:rPr>
            </w:pPr>
          </w:p>
        </w:tc>
        <w:tc>
          <w:tcPr>
            <w:tcW w:w="1247" w:type="pct"/>
            <w:gridSpan w:val="2"/>
            <w:shd w:val="clear" w:color="auto" w:fill="FFFFFF" w:themeFill="background1"/>
          </w:tcPr>
          <w:p w:rsidRPr="00191791" w:rsidR="008B060E" w:rsidP="008B060E" w:rsidRDefault="008B060E" w14:paraId="2642DC62" w14:textId="77777777">
            <w:pPr>
              <w:pStyle w:val="ListParagraph"/>
              <w:spacing w:after="0" w:line="240" w:lineRule="auto"/>
              <w:ind w:left="0"/>
              <w:contextualSpacing w:val="0"/>
              <w:jc w:val="both"/>
              <w:rPr>
                <w:rFonts w:ascii="Times New Roman" w:hAnsi="Times New Roman"/>
                <w:sz w:val="24"/>
                <w:szCs w:val="24"/>
              </w:rPr>
            </w:pPr>
            <w:r w:rsidRPr="00191791">
              <w:rPr>
                <w:rFonts w:ascii="Times New Roman" w:hAnsi="Times New Roman"/>
                <w:sz w:val="24"/>
                <w:szCs w:val="24"/>
              </w:rPr>
              <w:t>Nepieciešams precizēt ziņojuma 3.tabulā sniegto informāciju, norādot izmaksas par visu projektu kopumā, proti, sākot no projekta sākuma līdz projekta beigām sadalījumā pa CEF-1, CEF-2 un CEF-3 finansēšana līgumiem, tādā veidā norādīt kopējās Rail Baltica projekta aktivitāšu saistības visā projekta īstenošanas laika posmā kopā, t.sk. attiecināmās izmaksas saskaņā ar noslēgtajiem CEF-1, CEF-2 un CEF</w:t>
            </w:r>
            <w:r w:rsidRPr="00191791">
              <w:rPr>
                <w:rFonts w:ascii="Times New Roman" w:hAnsi="Times New Roman"/>
                <w:sz w:val="24"/>
                <w:szCs w:val="24"/>
              </w:rPr>
              <w:noBreakHyphen/>
              <w:t xml:space="preserve">3 finansēšanas līgumiem un neattiecināmās izmaksas PVN maksājumu nodrošināšanai. Vienlaikus norādām, ka no šobrīd ziņojumā sniegtās informācijas, nav skaidrs, kā veidojas Rail Baltica projekta īstenošanai norādītās PVN izmaksas, jo, piemēram, likumprojekta “Par valsts budžetu 2020.gadam” un “Par vidēja  termiņa budžeta ietvaru 2020., 2021. un 2022.gadam” paredzētais finansējums Rail Baltica projekta </w:t>
            </w:r>
            <w:r w:rsidRPr="00191791">
              <w:rPr>
                <w:rFonts w:ascii="Times New Roman" w:hAnsi="Times New Roman"/>
                <w:sz w:val="24"/>
                <w:szCs w:val="24"/>
              </w:rPr>
              <w:lastRenderedPageBreak/>
              <w:t>aktivitāšu īstenošanai 2020.-2022.gadam nesakrīt ar ziņojuma 3.tabulā sniegto informāciju.</w:t>
            </w:r>
          </w:p>
          <w:p w:rsidRPr="0093737A" w:rsidR="008B060E" w:rsidP="008B060E" w:rsidRDefault="008B060E" w14:paraId="1EDD2A23" w14:textId="77777777">
            <w:pPr>
              <w:pStyle w:val="naisc"/>
              <w:spacing w:before="0" w:after="0"/>
              <w:jc w:val="both"/>
              <w:rPr>
                <w:sz w:val="20"/>
                <w:szCs w:val="20"/>
              </w:rPr>
            </w:pPr>
          </w:p>
        </w:tc>
        <w:tc>
          <w:tcPr>
            <w:tcW w:w="1212" w:type="pct"/>
            <w:shd w:val="clear" w:color="auto" w:fill="FFFFFF" w:themeFill="background1"/>
          </w:tcPr>
          <w:p w:rsidRPr="0093737A" w:rsidR="008B060E" w:rsidP="008B060E" w:rsidRDefault="008B060E" w14:paraId="25A63D90" w14:textId="6E0D5EBD">
            <w:pPr>
              <w:pStyle w:val="naisc"/>
              <w:spacing w:before="0" w:after="0"/>
              <w:jc w:val="both"/>
              <w:rPr>
                <w:sz w:val="20"/>
                <w:szCs w:val="20"/>
              </w:rPr>
            </w:pPr>
            <w:r>
              <w:lastRenderedPageBreak/>
              <w:t>Ieteikums ņemts vērā. Tabula ir precizēta.</w:t>
            </w:r>
          </w:p>
        </w:tc>
        <w:tc>
          <w:tcPr>
            <w:tcW w:w="1197" w:type="pct"/>
            <w:shd w:val="clear" w:color="auto" w:fill="auto"/>
          </w:tcPr>
          <w:p w:rsidRPr="007C49C6" w:rsidR="008B060E" w:rsidP="007C49C6" w:rsidRDefault="007C49C6" w14:paraId="7594744F" w14:textId="416348CF">
            <w:pPr>
              <w:jc w:val="both"/>
              <w:rPr>
                <w:color w:val="000000" w:themeColor="text1"/>
              </w:rPr>
            </w:pPr>
            <w:r w:rsidRPr="007C49C6">
              <w:rPr>
                <w:color w:val="000000" w:themeColor="text1"/>
              </w:rPr>
              <w:t>Skat. informatīvā ziņojumā 1.tabulu.</w:t>
            </w:r>
          </w:p>
        </w:tc>
      </w:tr>
      <w:tr w:rsidRPr="001E5BBA" w:rsidR="008B060E" w:rsidTr="00DB0287" w14:paraId="1D388616" w14:textId="77777777">
        <w:trPr>
          <w:gridAfter w:val="1"/>
          <w:wAfter w:w="125" w:type="pct"/>
        </w:trPr>
        <w:tc>
          <w:tcPr>
            <w:tcW w:w="196" w:type="pct"/>
            <w:shd w:val="clear" w:color="auto" w:fill="auto"/>
          </w:tcPr>
          <w:p w:rsidR="008B060E" w:rsidP="008B060E" w:rsidRDefault="008B060E" w14:paraId="1649AE6A" w14:textId="5AE3C02D">
            <w:pPr>
              <w:pStyle w:val="naisc"/>
              <w:spacing w:before="0" w:after="0"/>
              <w:rPr>
                <w:color w:val="000000" w:themeColor="text1"/>
                <w:sz w:val="20"/>
                <w:szCs w:val="20"/>
              </w:rPr>
            </w:pPr>
            <w:r>
              <w:rPr>
                <w:color w:val="000000" w:themeColor="text1"/>
              </w:rPr>
              <w:t>7.</w:t>
            </w:r>
          </w:p>
        </w:tc>
        <w:tc>
          <w:tcPr>
            <w:tcW w:w="1023" w:type="pct"/>
            <w:shd w:val="clear" w:color="auto" w:fill="auto"/>
          </w:tcPr>
          <w:p w:rsidRPr="001D0B6B" w:rsidR="008B060E" w:rsidP="006535F0" w:rsidRDefault="008B060E" w14:paraId="6E506C44" w14:textId="77777777">
            <w:pPr>
              <w:widowControl w:val="0"/>
              <w:spacing w:after="0"/>
              <w:jc w:val="both"/>
              <w:rPr>
                <w:lang w:eastAsia="en-US"/>
              </w:rPr>
            </w:pPr>
            <w:r w:rsidRPr="001D0B6B">
              <w:rPr>
                <w:lang w:eastAsia="en-US"/>
              </w:rPr>
              <w:t>Atļaut Satiksmes ministrijai kompensēt SIA “Eiropas dzelzceļa līnijas” pievienotās vērtības nodokli (turpmāk – PVN) 1 776 971 EUR apmērā par īstenotajām Rail Baltica projekta aktivitātēm.</w:t>
            </w:r>
          </w:p>
          <w:p w:rsidR="008B060E" w:rsidP="006535F0" w:rsidRDefault="008B060E" w14:paraId="23B4D8F3"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93737A" w:rsidR="008B060E" w:rsidP="006535F0" w:rsidRDefault="008B060E" w14:paraId="6BF39DD8" w14:textId="1E565874">
            <w:pPr>
              <w:pStyle w:val="naisc"/>
              <w:spacing w:before="0" w:after="0"/>
              <w:jc w:val="both"/>
              <w:rPr>
                <w:sz w:val="20"/>
                <w:szCs w:val="20"/>
              </w:rPr>
            </w:pPr>
            <w:r w:rsidRPr="008B060E">
              <w:t xml:space="preserve">Nepieciešams precizēt MK protokollēmuma 2.punktu, paredzot tajā atbalstīt Satiksmes priekšlikumu par finansējuma nodrošināšanu PVN maksājumu, kas nav atgūstami kā priekšnodoklis, segšanai Rail Baltica projekta aktivitāšu īstenošanai, norādot visa projekta PVN maksājumu kopsummu, vienlaikus nosakot, ka finansējums PVN maksājumiem, kas nav atgūstami kā priekšnodoklis, nodrošināms no Satiksmes ministrijas budžeta apakšprogrammas 60.07.00 “Eiropas transporta infrastruktūras projekti (Rail Baltica)” līdzekļiem, nepieciešamības gadījumā 2020.gadā un turpmāk pieprasot papildu finansējumu no 74.resora “Gadskārtējā valsts budžeta izpildes procesā pārdalāmais finansējums” budžeta programmas 80.00.00 “Nesadalītais finansējums Eiropas Savienības </w:t>
            </w:r>
            <w:r w:rsidRPr="008B060E">
              <w:lastRenderedPageBreak/>
              <w:t>politiku instrumentu un pārējās ārvalstu finanšu palīdzības līdzfinansēto projektu un pasākumu īstenošanai”.</w:t>
            </w:r>
          </w:p>
        </w:tc>
        <w:tc>
          <w:tcPr>
            <w:tcW w:w="1212" w:type="pct"/>
            <w:shd w:val="clear" w:color="auto" w:fill="FFFFFF" w:themeFill="background1"/>
          </w:tcPr>
          <w:p w:rsidRPr="0093737A" w:rsidR="008B060E" w:rsidP="006535F0" w:rsidRDefault="008B060E" w14:paraId="7BFB50D1" w14:textId="718C1568">
            <w:pPr>
              <w:pStyle w:val="naisc"/>
              <w:spacing w:before="0" w:after="0"/>
              <w:jc w:val="both"/>
              <w:rPr>
                <w:sz w:val="20"/>
                <w:szCs w:val="20"/>
              </w:rPr>
            </w:pPr>
            <w:r w:rsidRPr="008B060E">
              <w:lastRenderedPageBreak/>
              <w:t xml:space="preserve">Iebildums ņemts vērā. </w:t>
            </w:r>
          </w:p>
        </w:tc>
        <w:tc>
          <w:tcPr>
            <w:tcW w:w="1197" w:type="pct"/>
            <w:shd w:val="clear" w:color="auto" w:fill="auto"/>
          </w:tcPr>
          <w:p w:rsidR="008B060E" w:rsidP="006535F0" w:rsidRDefault="008B060E" w14:paraId="73584ABF" w14:textId="261E2A9F">
            <w:pPr>
              <w:jc w:val="both"/>
              <w:rPr>
                <w:color w:val="000000" w:themeColor="text1"/>
                <w:sz w:val="20"/>
                <w:szCs w:val="20"/>
              </w:rPr>
            </w:pPr>
            <w:r w:rsidRPr="008B060E">
              <w:t>Jautājums tiks skatīts atsevišķā informatīvajā ziņojumā. Saskaņošanas protokollēmuma projekta 2.punkts ir svītrots.</w:t>
            </w:r>
          </w:p>
        </w:tc>
      </w:tr>
      <w:tr w:rsidRPr="001E5BBA" w:rsidR="008B060E" w:rsidTr="00DB0287" w14:paraId="269F160F" w14:textId="77777777">
        <w:trPr>
          <w:gridAfter w:val="1"/>
          <w:wAfter w:w="125" w:type="pct"/>
        </w:trPr>
        <w:tc>
          <w:tcPr>
            <w:tcW w:w="196" w:type="pct"/>
            <w:shd w:val="clear" w:color="auto" w:fill="auto"/>
          </w:tcPr>
          <w:p w:rsidR="008B060E" w:rsidP="008B060E" w:rsidRDefault="008B060E" w14:paraId="1C7CC7D8" w14:textId="6E55E8B4">
            <w:pPr>
              <w:pStyle w:val="naisc"/>
              <w:spacing w:before="0" w:after="0"/>
              <w:rPr>
                <w:color w:val="000000" w:themeColor="text1"/>
                <w:sz w:val="20"/>
                <w:szCs w:val="20"/>
              </w:rPr>
            </w:pPr>
            <w:r>
              <w:rPr>
                <w:color w:val="000000" w:themeColor="text1"/>
              </w:rPr>
              <w:t>8.</w:t>
            </w:r>
          </w:p>
        </w:tc>
        <w:tc>
          <w:tcPr>
            <w:tcW w:w="1023" w:type="pct"/>
            <w:shd w:val="clear" w:color="auto" w:fill="auto"/>
          </w:tcPr>
          <w:p w:rsidRPr="00C4241F" w:rsidR="008B060E" w:rsidP="006535F0" w:rsidRDefault="008B060E" w14:paraId="70CD4483" w14:textId="77777777">
            <w:pPr>
              <w:spacing w:after="0"/>
              <w:contextualSpacing/>
              <w:jc w:val="both"/>
              <w:rPr>
                <w:rFonts w:eastAsia="Calibri"/>
                <w:lang w:eastAsia="en-US"/>
              </w:rPr>
            </w:pPr>
            <w:r w:rsidRPr="00C4241F">
              <w:rPr>
                <w:rFonts w:eastAsia="Calibri"/>
                <w:lang w:eastAsia="en-US"/>
              </w:rPr>
              <w:t xml:space="preserve">2018.gadā EK mainīja nostāju PVN attiecināmības jautājumā CEF transporta un enerģētikas projektos, proti, sākot ar 2019.gada 1.janvāri no CEF piešķīruma netiek finansēts PVN, jo tas tiek ieskaitīts dalībvalstu budžetos, savukārt, CEF mērķis ir </w:t>
            </w:r>
            <w:r w:rsidRPr="00C4241F">
              <w:rPr>
                <w:rFonts w:eastAsia="Calibri"/>
                <w:color w:val="000000"/>
                <w:lang w:eastAsia="en-US"/>
              </w:rPr>
              <w:t>veicināt ieguldījumus Eiropas komunikāciju tīklos, piesaistot publiskā un privātā sektora finansējumu</w:t>
            </w:r>
            <w:r w:rsidRPr="00C4241F">
              <w:rPr>
                <w:rFonts w:eastAsia="Calibri"/>
                <w:color w:val="000000"/>
                <w:lang w:val="en-GB" w:eastAsia="en-US"/>
              </w:rPr>
              <w:t xml:space="preserve">, </w:t>
            </w:r>
            <w:r w:rsidRPr="00C4241F">
              <w:rPr>
                <w:rFonts w:eastAsia="Calibri"/>
                <w:lang w:eastAsia="en-US"/>
              </w:rPr>
              <w:t xml:space="preserve">nevis “dotēt” dalībvalstu budžetus. Nosacījums par PVN neattiecināmību tiek iestrādāts visos parakstītajos CEF finansēšanas līgumos to grozījumu ietvarā. 2019.gadā tiek grozīts 2014.gada Finansēšanas līgums, 2020.gadā tiks grozīti 2015.gada un 2016.gada Finansēšanas </w:t>
            </w:r>
            <w:r w:rsidRPr="00C4241F">
              <w:rPr>
                <w:rFonts w:eastAsia="Calibri"/>
                <w:lang w:eastAsia="en-US"/>
              </w:rPr>
              <w:lastRenderedPageBreak/>
              <w:t>līgumi. Vienlaikus EK patur tiesības piemērot minētos grozījumus retrospektīvi.</w:t>
            </w:r>
          </w:p>
          <w:p w:rsidRPr="00C4241F" w:rsidR="008B060E" w:rsidP="006535F0" w:rsidRDefault="008B060E" w14:paraId="0DCA5100" w14:textId="77777777">
            <w:pPr>
              <w:spacing w:after="0"/>
              <w:contextualSpacing/>
              <w:jc w:val="both"/>
              <w:rPr>
                <w:rFonts w:eastAsia="Calibri"/>
                <w:lang w:eastAsia="en-US"/>
              </w:rPr>
            </w:pPr>
            <w:r w:rsidRPr="00C4241F">
              <w:rPr>
                <w:rFonts w:eastAsia="Calibri"/>
                <w:lang w:eastAsia="en-US"/>
              </w:rPr>
              <w:t>Tā kā informācija par PVN neattiecināmību tika saņemta tikai 2019. gadā, plānotie PVN maksājumi nav iekļauti likumā “Par valsts budžetu 2019.gadam” un attiecīgi Satiksmes ministrijas (turpmāk – Ministrija) budžeta programmā 60.07.00 “Eiropas transporta, telekomunikāciju un enerģijas infrastruktūru tīklu un Eiropas infrastruktūras savienošanas instrumenta (CEF) līdzfinansēto projektu un pasākumu īstenošana”.</w:t>
            </w:r>
          </w:p>
          <w:p w:rsidR="008B060E" w:rsidP="006535F0" w:rsidRDefault="008B060E" w14:paraId="7A0B78BD"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8B060E" w:rsidR="008B060E" w:rsidP="006535F0" w:rsidRDefault="008B060E" w14:paraId="259226C6" w14:textId="77777777">
            <w:pPr>
              <w:spacing w:after="0"/>
              <w:jc w:val="both"/>
            </w:pPr>
            <w:r w:rsidRPr="008B060E">
              <w:lastRenderedPageBreak/>
              <w:t xml:space="preserve">Nepieciešams skaidrot, vai normu par PVN neiekļaušanu projekta attiecināmās izmaksas var piemērot ar atpakaļejošu datumu, ņemot vērā ziņojumā sniegto informāciju, ka CEF instrumenta finansēšanas līgumi tikai tiks grozīti. </w:t>
            </w:r>
          </w:p>
          <w:p w:rsidRPr="0093737A" w:rsidR="008B060E" w:rsidP="006535F0" w:rsidRDefault="008B060E" w14:paraId="2523F19C" w14:textId="77777777">
            <w:pPr>
              <w:pStyle w:val="naisc"/>
              <w:spacing w:before="0" w:after="0"/>
              <w:jc w:val="both"/>
              <w:rPr>
                <w:sz w:val="20"/>
                <w:szCs w:val="20"/>
              </w:rPr>
            </w:pPr>
          </w:p>
        </w:tc>
        <w:tc>
          <w:tcPr>
            <w:tcW w:w="1212" w:type="pct"/>
            <w:shd w:val="clear" w:color="auto" w:fill="FFFFFF" w:themeFill="background1"/>
          </w:tcPr>
          <w:p w:rsidRPr="008B060E" w:rsidR="008B060E" w:rsidP="006535F0" w:rsidRDefault="008B060E" w14:paraId="72E62F20" w14:textId="77777777">
            <w:pPr>
              <w:pStyle w:val="naisc"/>
              <w:spacing w:before="0" w:after="0"/>
              <w:jc w:val="both"/>
            </w:pPr>
            <w:r w:rsidRPr="008B060E">
              <w:t>Iebildums ņemts vērā.</w:t>
            </w:r>
          </w:p>
          <w:p w:rsidRPr="0093737A" w:rsidR="008B060E" w:rsidP="006535F0" w:rsidRDefault="008B060E" w14:paraId="6EF8A664" w14:textId="03AADD7C">
            <w:pPr>
              <w:pStyle w:val="naisc"/>
              <w:spacing w:before="0" w:after="0"/>
              <w:jc w:val="both"/>
              <w:rPr>
                <w:sz w:val="20"/>
                <w:szCs w:val="20"/>
              </w:rPr>
            </w:pPr>
            <w:r w:rsidRPr="008B060E">
              <w:t>EK patur tiesības piemērot grozījumus retrospektīvi, tāpēc normu par PVN neiekļaušanu projekta attiecināmajās izmaksās var piemērot ar atpakaļejošu datumu.</w:t>
            </w:r>
          </w:p>
        </w:tc>
        <w:tc>
          <w:tcPr>
            <w:tcW w:w="1197" w:type="pct"/>
            <w:shd w:val="clear" w:color="auto" w:fill="auto"/>
          </w:tcPr>
          <w:p w:rsidRPr="00AC4941" w:rsidR="008B060E" w:rsidP="006535F0" w:rsidRDefault="008B060E" w14:paraId="4CFF7F17" w14:textId="77777777">
            <w:pPr>
              <w:spacing w:after="0"/>
              <w:jc w:val="both"/>
              <w:rPr>
                <w:rFonts w:eastAsia="Calibri"/>
                <w:lang w:eastAsia="en-US"/>
              </w:rPr>
            </w:pPr>
            <w:r w:rsidRPr="00AC4941">
              <w:rPr>
                <w:rFonts w:eastAsia="Calibri"/>
                <w:lang w:eastAsia="en-US"/>
              </w:rPr>
              <w:t xml:space="preserve">2018. gadā EK mainīja nostāju PVN attiecināmības jautājumā CEF transporta un enerģētikas projektos, proti, sākot ar 2019.gada 1.janvāri no CEF piešķīruma netiek finansēts PVN, jo tas tiek ieskaitīts dalībvalstu budžetos, savukārt, CEF mērķis ir veicināt ieguldījumus Eiropas komunikāciju tīklos, piesaistot publiskā un privātā sektora finansējumu, nevis “dotēt” dalībvalstu budžetus. Nosacījums par PVN neattiecināmību tiek iestrādāts visos parakstītajos CEF finansēšanas līgumos to grozījumu ietvarā. 2019.gadā tiek grozīts 2014.gada Finansēšanas līgums, 2020.gadā tiks grozīti 2015.gada un 2016.gada Finansēšanas līgumi. Vienlaikus EK patur tiesības piemērot minētos grozījumus retrospektīvi. </w:t>
            </w:r>
          </w:p>
          <w:p w:rsidR="008B060E" w:rsidP="006535F0" w:rsidRDefault="008B060E" w14:paraId="5414376C" w14:textId="77777777">
            <w:pPr>
              <w:jc w:val="both"/>
              <w:rPr>
                <w:color w:val="000000" w:themeColor="text1"/>
                <w:sz w:val="20"/>
                <w:szCs w:val="20"/>
              </w:rPr>
            </w:pPr>
          </w:p>
        </w:tc>
      </w:tr>
      <w:tr w:rsidRPr="001E5BBA" w:rsidR="008B060E" w:rsidTr="00DB0287" w14:paraId="68769EFB" w14:textId="77777777">
        <w:trPr>
          <w:gridAfter w:val="1"/>
          <w:wAfter w:w="125" w:type="pct"/>
        </w:trPr>
        <w:tc>
          <w:tcPr>
            <w:tcW w:w="196" w:type="pct"/>
            <w:shd w:val="clear" w:color="auto" w:fill="auto"/>
          </w:tcPr>
          <w:p w:rsidR="008B060E" w:rsidP="008B060E" w:rsidRDefault="008B060E" w14:paraId="00BB732B" w14:textId="77777777">
            <w:pPr>
              <w:pStyle w:val="naisc"/>
              <w:spacing w:before="0" w:after="0"/>
              <w:rPr>
                <w:color w:val="000000" w:themeColor="text1"/>
              </w:rPr>
            </w:pPr>
            <w:r>
              <w:rPr>
                <w:color w:val="000000" w:themeColor="text1"/>
              </w:rPr>
              <w:t>9.</w:t>
            </w:r>
          </w:p>
          <w:p w:rsidR="008B060E" w:rsidP="008B060E" w:rsidRDefault="008B060E" w14:paraId="49FD032C" w14:textId="77777777">
            <w:pPr>
              <w:pStyle w:val="naisc"/>
              <w:spacing w:before="0" w:after="0"/>
              <w:rPr>
                <w:color w:val="000000" w:themeColor="text1"/>
                <w:sz w:val="20"/>
                <w:szCs w:val="20"/>
              </w:rPr>
            </w:pPr>
          </w:p>
        </w:tc>
        <w:tc>
          <w:tcPr>
            <w:tcW w:w="1023" w:type="pct"/>
            <w:shd w:val="clear" w:color="auto" w:fill="auto"/>
          </w:tcPr>
          <w:p w:rsidRPr="008B060E" w:rsidR="008B060E" w:rsidP="006535F0" w:rsidRDefault="008B060E" w14:paraId="323DFBFC" w14:textId="77777777">
            <w:pPr>
              <w:spacing w:after="0"/>
              <w:jc w:val="both"/>
            </w:pPr>
            <w:r w:rsidRPr="008B060E">
              <w:t xml:space="preserve">Laika posmā no 2015.gada līdz 2019.gadam, parakstot trīs Finansēšanas līgumus, Baltijas valstis un RBR ir saņēmušas CEF finansējumu 823 563 395 EUR apmērā, t.sk. 296 450 160 EUR CEF </w:t>
            </w:r>
            <w:r w:rsidRPr="008B060E">
              <w:lastRenderedPageBreak/>
              <w:t>piešķīrums ir paredzēts Latvijas aktivitāšu īstenošanai.</w:t>
            </w:r>
          </w:p>
          <w:p w:rsidR="008B060E" w:rsidP="006535F0" w:rsidRDefault="008B060E" w14:paraId="0A6F7D83"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8B060E" w:rsidR="008B060E" w:rsidP="006535F0" w:rsidRDefault="008B060E" w14:paraId="0EF8B157" w14:textId="77777777">
            <w:pPr>
              <w:pStyle w:val="ListParagraph"/>
              <w:spacing w:after="0" w:line="240" w:lineRule="auto"/>
              <w:ind w:left="0"/>
              <w:contextualSpacing w:val="0"/>
              <w:jc w:val="both"/>
              <w:rPr>
                <w:rFonts w:ascii="Times New Roman" w:hAnsi="Times New Roman"/>
                <w:sz w:val="24"/>
                <w:szCs w:val="24"/>
              </w:rPr>
            </w:pPr>
            <w:r w:rsidRPr="008B060E">
              <w:rPr>
                <w:rFonts w:ascii="Times New Roman" w:hAnsi="Times New Roman"/>
                <w:sz w:val="24"/>
                <w:szCs w:val="24"/>
              </w:rPr>
              <w:lastRenderedPageBreak/>
              <w:t xml:space="preserve">Nepieciešams novērst tehniskas neprecizitātes, proti, jāprecizē Satiksmes ministrijas 60.07.00 budžeta apakšprogrammas nosaukums, jo tas ir “Eiropas transporta infrastruktūras projekti (Rail Baltica)”, kā arī jāprecizē ziņojuma 2.lpp. norādītā </w:t>
            </w:r>
            <w:r w:rsidRPr="008B060E">
              <w:rPr>
                <w:rFonts w:ascii="Times New Roman" w:hAnsi="Times New Roman"/>
                <w:sz w:val="24"/>
                <w:szCs w:val="24"/>
              </w:rPr>
              <w:lastRenderedPageBreak/>
              <w:t xml:space="preserve">informācija par </w:t>
            </w:r>
            <w:r w:rsidRPr="008B060E">
              <w:rPr>
                <w:rFonts w:ascii="Times New Roman" w:hAnsi="Times New Roman"/>
                <w:i/>
                <w:sz w:val="24"/>
                <w:szCs w:val="24"/>
              </w:rPr>
              <w:t xml:space="preserve">Connecting Europe Facility </w:t>
            </w:r>
            <w:r w:rsidRPr="008B060E">
              <w:rPr>
                <w:rFonts w:ascii="Times New Roman" w:hAnsi="Times New Roman"/>
                <w:sz w:val="24"/>
                <w:szCs w:val="24"/>
              </w:rPr>
              <w:t>(turpmāk– CEF) piešķīrumu, proti, 823 563 395 EUR ir Rail Baltica projekta visu dalībvalstu aktivitāšu īstenošanas kopējās attiecināmās izmaksas, no kurām CEF piešķīrums ir 682 895 993 EUR un tai skaitā projekta ietvaros Latvijas aktivitāšu īstenošanas attiecināmās izmaksas ir 296 450 160 EUR, no kurām CEF piešķīrums ir 241 498 476 EUR un valsts budžeta līdzfinansējums ir 54 951 684 EUR.</w:t>
            </w:r>
          </w:p>
          <w:p w:rsidRPr="0093737A" w:rsidR="008B060E" w:rsidP="006535F0" w:rsidRDefault="008B060E" w14:paraId="722ECBDA" w14:textId="77777777">
            <w:pPr>
              <w:pStyle w:val="naisc"/>
              <w:spacing w:before="0" w:after="0"/>
              <w:jc w:val="both"/>
              <w:rPr>
                <w:sz w:val="20"/>
                <w:szCs w:val="20"/>
              </w:rPr>
            </w:pPr>
          </w:p>
        </w:tc>
        <w:tc>
          <w:tcPr>
            <w:tcW w:w="1212" w:type="pct"/>
            <w:shd w:val="clear" w:color="auto" w:fill="FFFFFF" w:themeFill="background1"/>
          </w:tcPr>
          <w:p w:rsidRPr="0093737A" w:rsidR="008B060E" w:rsidP="006535F0" w:rsidRDefault="008B060E" w14:paraId="084F4C0E" w14:textId="75B81DD2">
            <w:pPr>
              <w:pStyle w:val="naisc"/>
              <w:spacing w:before="0" w:after="0"/>
              <w:jc w:val="both"/>
              <w:rPr>
                <w:sz w:val="20"/>
                <w:szCs w:val="20"/>
              </w:rPr>
            </w:pPr>
            <w:r w:rsidRPr="008B060E">
              <w:lastRenderedPageBreak/>
              <w:t>Iebildums ir ņemts vērā un iestrādāts informatīvajā  ziņojumā.</w:t>
            </w:r>
          </w:p>
        </w:tc>
        <w:tc>
          <w:tcPr>
            <w:tcW w:w="1197" w:type="pct"/>
            <w:shd w:val="clear" w:color="auto" w:fill="auto"/>
          </w:tcPr>
          <w:p w:rsidR="008B060E" w:rsidP="006535F0" w:rsidRDefault="008B060E" w14:paraId="65257140" w14:textId="5D904DAF">
            <w:pPr>
              <w:jc w:val="both"/>
              <w:rPr>
                <w:color w:val="000000" w:themeColor="text1"/>
                <w:sz w:val="20"/>
                <w:szCs w:val="20"/>
              </w:rPr>
            </w:pPr>
            <w:r w:rsidRPr="008B060E">
              <w:rPr>
                <w:rFonts w:eastAsia="Calibri"/>
                <w:lang w:eastAsia="en-US"/>
              </w:rPr>
              <w:t xml:space="preserve">Laika posmā no 2015.gada līdz 2019.gadam, parakstot trīs Finansēšanas līgumus, Baltijas valstis un RBR ir saņēmušas Eiropas Infrastruktūras savienošanas instrumenta (Connecting Europe Facility, turpmāk tekstā – </w:t>
            </w:r>
            <w:r w:rsidR="00027267">
              <w:rPr>
                <w:rFonts w:eastAsia="Calibri"/>
                <w:lang w:eastAsia="en-US"/>
              </w:rPr>
              <w:t>EISI</w:t>
            </w:r>
            <w:r w:rsidRPr="008B060E">
              <w:rPr>
                <w:rFonts w:eastAsia="Calibri"/>
                <w:lang w:eastAsia="en-US"/>
              </w:rPr>
              <w:t xml:space="preserve">) </w:t>
            </w:r>
            <w:r w:rsidRPr="008B060E">
              <w:rPr>
                <w:rFonts w:eastAsia="Calibri"/>
                <w:lang w:eastAsia="en-US"/>
              </w:rPr>
              <w:lastRenderedPageBreak/>
              <w:t>finansējumu 823 563 395 EUR apmērā, t.sk. RBR ir saņēmis 19 260 353  EUR, no kuriem 16 371 300 EUR ir EK finansējums un 2 889 053 EUR ir plānotais Igaunijas, Latvijas un Lietuvas līdzfinansējums.</w:t>
            </w:r>
          </w:p>
        </w:tc>
      </w:tr>
      <w:tr w:rsidRPr="001E5BBA" w:rsidR="008B060E" w:rsidTr="00DB0287" w14:paraId="7AA6F630" w14:textId="77777777">
        <w:trPr>
          <w:gridAfter w:val="1"/>
          <w:wAfter w:w="125" w:type="pct"/>
        </w:trPr>
        <w:tc>
          <w:tcPr>
            <w:tcW w:w="196" w:type="pct"/>
            <w:shd w:val="clear" w:color="auto" w:fill="auto"/>
          </w:tcPr>
          <w:p w:rsidR="008B060E" w:rsidP="008B060E" w:rsidRDefault="008B060E" w14:paraId="29BDF141" w14:textId="12EAF698">
            <w:pPr>
              <w:pStyle w:val="naisc"/>
              <w:spacing w:before="0" w:after="0"/>
              <w:rPr>
                <w:color w:val="000000" w:themeColor="text1"/>
                <w:sz w:val="20"/>
                <w:szCs w:val="20"/>
              </w:rPr>
            </w:pPr>
            <w:r>
              <w:rPr>
                <w:color w:val="000000" w:themeColor="text1"/>
              </w:rPr>
              <w:lastRenderedPageBreak/>
              <w:t>10.</w:t>
            </w:r>
          </w:p>
        </w:tc>
        <w:tc>
          <w:tcPr>
            <w:tcW w:w="1023" w:type="pct"/>
            <w:shd w:val="clear" w:color="auto" w:fill="auto"/>
          </w:tcPr>
          <w:p w:rsidRPr="008B060E" w:rsidR="008B060E" w:rsidP="006535F0" w:rsidRDefault="008B060E" w14:paraId="5B02D360" w14:textId="77777777">
            <w:pPr>
              <w:tabs>
                <w:tab w:val="left" w:pos="2625"/>
              </w:tabs>
              <w:spacing w:after="0"/>
              <w:jc w:val="both"/>
            </w:pPr>
            <w:r w:rsidRPr="008B060E">
              <w:t>Latvijas aktivitātes, par kuru īstenošanu laika posmā no 2015.gada līdz 2023.gadam ir uzņemtas saistības:</w:t>
            </w:r>
          </w:p>
          <w:p w:rsidRPr="008B060E" w:rsidR="008B060E" w:rsidP="006535F0" w:rsidRDefault="008B060E" w14:paraId="1673DF85" w14:textId="77777777">
            <w:pPr>
              <w:tabs>
                <w:tab w:val="left" w:pos="2625"/>
              </w:tabs>
              <w:spacing w:after="0"/>
              <w:jc w:val="both"/>
            </w:pPr>
            <w:r w:rsidRPr="008B060E">
              <w:t>(1) nekustamo īpašumu atsavināšana;</w:t>
            </w:r>
          </w:p>
          <w:p w:rsidRPr="008B060E" w:rsidR="008B060E" w:rsidP="006535F0" w:rsidRDefault="008B060E" w14:paraId="7652BC64" w14:textId="77777777">
            <w:pPr>
              <w:tabs>
                <w:tab w:val="left" w:pos="2625"/>
              </w:tabs>
              <w:spacing w:after="0"/>
              <w:jc w:val="both"/>
            </w:pPr>
            <w:r w:rsidRPr="008B060E">
              <w:t>(2) Rīgas Centrālā dzelzceļa mezgla un saistītās infrastruktūras projektēšana un pirmo kārtu būvniecība;</w:t>
            </w:r>
          </w:p>
          <w:p w:rsidRPr="008B060E" w:rsidR="008B060E" w:rsidP="006535F0" w:rsidRDefault="008B060E" w14:paraId="5F1248AE" w14:textId="77777777">
            <w:pPr>
              <w:tabs>
                <w:tab w:val="left" w:pos="2625"/>
              </w:tabs>
              <w:spacing w:after="0"/>
              <w:jc w:val="both"/>
            </w:pPr>
            <w:r w:rsidRPr="008B060E">
              <w:t xml:space="preserve">(3) Rail Baltica savienojuma ar starptautisko lidostu “Rīga” projektēšana un pirmo kārtu būvniecība; </w:t>
            </w:r>
          </w:p>
          <w:p w:rsidRPr="008B060E" w:rsidR="008B060E" w:rsidP="006535F0" w:rsidRDefault="008B060E" w14:paraId="5B7B1AE5" w14:textId="77777777">
            <w:pPr>
              <w:tabs>
                <w:tab w:val="left" w:pos="2625"/>
              </w:tabs>
              <w:spacing w:after="0"/>
              <w:jc w:val="both"/>
            </w:pPr>
            <w:r w:rsidRPr="008B060E">
              <w:lastRenderedPageBreak/>
              <w:t>(4) būvprojektu tehniskais novērtējums un projekta atbalsta pasākumi;</w:t>
            </w:r>
          </w:p>
          <w:p w:rsidRPr="008B060E" w:rsidR="008B060E" w:rsidP="006535F0" w:rsidRDefault="008B060E" w14:paraId="1CC39B4F" w14:textId="77777777">
            <w:pPr>
              <w:tabs>
                <w:tab w:val="left" w:pos="2625"/>
              </w:tabs>
              <w:spacing w:after="0"/>
              <w:jc w:val="both"/>
            </w:pPr>
            <w:r w:rsidRPr="008B060E">
              <w:t>(5) plānotās Rail Baltica trases Kultūrvēsturiskā un arheoloģiskā mantojuma izpēte;</w:t>
            </w:r>
          </w:p>
          <w:p w:rsidRPr="008B060E" w:rsidR="008B060E" w:rsidP="006535F0" w:rsidRDefault="008B060E" w14:paraId="1729F08E" w14:textId="77777777">
            <w:pPr>
              <w:tabs>
                <w:tab w:val="left" w:pos="2625"/>
              </w:tabs>
              <w:spacing w:after="0"/>
              <w:jc w:val="both"/>
            </w:pPr>
            <w:r w:rsidRPr="008B060E">
              <w:t>(6) Rail Baltica infrastruktūras ietekme uz starptautiskās lidostas “Rīga” darbību;</w:t>
            </w:r>
          </w:p>
          <w:p w:rsidRPr="008B060E" w:rsidR="008B060E" w:rsidP="006535F0" w:rsidRDefault="008B060E" w14:paraId="3EFE3CAC" w14:textId="77777777">
            <w:pPr>
              <w:tabs>
                <w:tab w:val="left" w:pos="2625"/>
              </w:tabs>
              <w:spacing w:after="0"/>
              <w:jc w:val="both"/>
            </w:pPr>
            <w:r w:rsidRPr="008B060E">
              <w:t xml:space="preserve">(7) Salaspils multimodālā loģistikas centra attīstības koncepcija un Ietekmes uz apkārtējo vidi novērtējums; un </w:t>
            </w:r>
          </w:p>
          <w:p w:rsidRPr="008B060E" w:rsidR="008B060E" w:rsidP="006535F0" w:rsidRDefault="008B060E" w14:paraId="3A6A5818" w14:textId="77777777">
            <w:pPr>
              <w:tabs>
                <w:tab w:val="left" w:pos="2625"/>
              </w:tabs>
              <w:spacing w:after="0"/>
              <w:jc w:val="both"/>
            </w:pPr>
            <w:r w:rsidRPr="008B060E">
              <w:t>(8) pamatlīnijas caur Rīgu un posma Vangaži – Salaspils – Misa projektēšana.</w:t>
            </w:r>
          </w:p>
          <w:p w:rsidRPr="008B060E" w:rsidR="008B060E" w:rsidP="006535F0" w:rsidRDefault="008B060E" w14:paraId="1CC260BF" w14:textId="77777777">
            <w:pPr>
              <w:tabs>
                <w:tab w:val="left" w:pos="2625"/>
              </w:tabs>
              <w:spacing w:after="0"/>
              <w:jc w:val="both"/>
            </w:pPr>
            <w:r w:rsidRPr="008B060E">
              <w:t>Globālā projekta aktivitātes, ko līdzfinansē Latvijas valsts budžets:</w:t>
            </w:r>
          </w:p>
          <w:p w:rsidRPr="008B060E" w:rsidR="008B060E" w:rsidP="006535F0" w:rsidRDefault="008B060E" w14:paraId="68063290" w14:textId="77777777">
            <w:pPr>
              <w:tabs>
                <w:tab w:val="left" w:pos="2625"/>
              </w:tabs>
              <w:spacing w:after="0"/>
              <w:jc w:val="both"/>
            </w:pPr>
            <w:r w:rsidRPr="008B060E">
              <w:t>(1)Rail Baltica projekta Izmaksu – ieguvumu analīze;</w:t>
            </w:r>
          </w:p>
          <w:p w:rsidRPr="008B060E" w:rsidR="008B060E" w:rsidP="006535F0" w:rsidRDefault="008B060E" w14:paraId="50CE9A79" w14:textId="77777777">
            <w:pPr>
              <w:tabs>
                <w:tab w:val="left" w:pos="2625"/>
              </w:tabs>
              <w:spacing w:after="0"/>
              <w:jc w:val="both"/>
            </w:pPr>
            <w:r w:rsidRPr="008B060E">
              <w:t>(2)Rail Baltica dzelzceļa līnijas Operacionālās darbības plāns;</w:t>
            </w:r>
          </w:p>
          <w:p w:rsidRPr="008B060E" w:rsidR="008B060E" w:rsidP="006535F0" w:rsidRDefault="008B060E" w14:paraId="2108FDD5" w14:textId="77777777">
            <w:pPr>
              <w:tabs>
                <w:tab w:val="left" w:pos="2625"/>
              </w:tabs>
              <w:spacing w:after="0"/>
              <w:jc w:val="both"/>
            </w:pPr>
            <w:r w:rsidRPr="008B060E">
              <w:lastRenderedPageBreak/>
              <w:t>(3)Rail Baltica projekta Biznesa plāns;</w:t>
            </w:r>
          </w:p>
          <w:p w:rsidRPr="008B060E" w:rsidR="008B060E" w:rsidP="006535F0" w:rsidRDefault="008B060E" w14:paraId="70FEA11A" w14:textId="77777777">
            <w:pPr>
              <w:tabs>
                <w:tab w:val="left" w:pos="2625"/>
              </w:tabs>
              <w:spacing w:after="0"/>
              <w:jc w:val="both"/>
            </w:pPr>
            <w:r w:rsidRPr="008B060E">
              <w:t>(4)Ral Baltica projekta iepērkamo darbu Līgumslēgšanas shēmas pētījums;</w:t>
            </w:r>
          </w:p>
          <w:p w:rsidRPr="008B060E" w:rsidR="008B060E" w:rsidP="006535F0" w:rsidRDefault="008B060E" w14:paraId="737762A5" w14:textId="77777777">
            <w:pPr>
              <w:tabs>
                <w:tab w:val="left" w:pos="2625"/>
              </w:tabs>
              <w:spacing w:after="0"/>
              <w:jc w:val="both"/>
            </w:pPr>
            <w:r w:rsidRPr="008B060E">
              <w:t>(5)Rail Baltica dzelzceļa līnijas Vienoto tehnisko standartu izstrāde;</w:t>
            </w:r>
          </w:p>
          <w:p w:rsidRPr="008B060E" w:rsidR="008B060E" w:rsidP="006535F0" w:rsidRDefault="008B060E" w14:paraId="46104C0D" w14:textId="77777777">
            <w:pPr>
              <w:tabs>
                <w:tab w:val="left" w:pos="2625"/>
              </w:tabs>
              <w:spacing w:after="0"/>
              <w:jc w:val="both"/>
            </w:pPr>
            <w:r w:rsidRPr="008B060E">
              <w:t>(6)Rail Baltica dzelzceļa līnijas Komercializācijas plāna izstrāde;</w:t>
            </w:r>
          </w:p>
          <w:p w:rsidRPr="008B060E" w:rsidR="008B060E" w:rsidP="006535F0" w:rsidRDefault="008B060E" w14:paraId="7A426F27" w14:textId="77777777">
            <w:pPr>
              <w:tabs>
                <w:tab w:val="left" w:pos="2625"/>
              </w:tabs>
              <w:spacing w:after="0"/>
              <w:jc w:val="both"/>
            </w:pPr>
            <w:r w:rsidRPr="008B060E">
              <w:t>(7)Rail Baltica dzelzceļa līnijas Infrastruktūras pārvaldības modeļa analīze;</w:t>
            </w:r>
          </w:p>
          <w:p w:rsidRPr="008B060E" w:rsidR="008B060E" w:rsidP="006535F0" w:rsidRDefault="008B060E" w14:paraId="61AF229A" w14:textId="77777777">
            <w:pPr>
              <w:tabs>
                <w:tab w:val="left" w:pos="2625"/>
              </w:tabs>
              <w:spacing w:after="0"/>
              <w:jc w:val="both"/>
            </w:pPr>
            <w:r w:rsidRPr="008B060E">
              <w:t>(8)Rail Baltica projekta piegādātāju tirgus izpēte;</w:t>
            </w:r>
          </w:p>
          <w:p w:rsidRPr="008B060E" w:rsidR="008B060E" w:rsidP="006535F0" w:rsidRDefault="008B060E" w14:paraId="16CF5C78" w14:textId="77777777">
            <w:pPr>
              <w:tabs>
                <w:tab w:val="left" w:pos="2625"/>
              </w:tabs>
              <w:spacing w:after="0"/>
              <w:jc w:val="both"/>
            </w:pPr>
            <w:r w:rsidRPr="008B060E">
              <w:t xml:space="preserve">(9)Sākotnējā Rail Baltica tehniskā projekta konsolidācija; un </w:t>
            </w:r>
          </w:p>
          <w:p w:rsidRPr="008B060E" w:rsidR="008B060E" w:rsidP="006535F0" w:rsidRDefault="008B060E" w14:paraId="2C1B1800" w14:textId="77777777">
            <w:pPr>
              <w:tabs>
                <w:tab w:val="left" w:pos="2625"/>
              </w:tabs>
              <w:spacing w:after="0"/>
              <w:jc w:val="both"/>
            </w:pPr>
            <w:r w:rsidRPr="008B060E">
              <w:t>(10) Rail Baltica Projekta ieviešanas atbalsta pasākumi (administratīvie izdevumi).</w:t>
            </w:r>
          </w:p>
          <w:p w:rsidR="008B060E" w:rsidP="006535F0" w:rsidRDefault="008B060E" w14:paraId="76DD1DEE"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8B060E" w:rsidR="008B060E" w:rsidP="006535F0" w:rsidRDefault="008B060E" w14:paraId="26747884" w14:textId="77777777">
            <w:pPr>
              <w:spacing w:after="0"/>
              <w:jc w:val="both"/>
            </w:pPr>
            <w:r w:rsidRPr="008B060E">
              <w:lastRenderedPageBreak/>
              <w:t>Ziņojuma sadaļā “Projekta īstenošana un finansēšana” (3.lp.) nav saprotams, kurš no uzņēmumiem veiks vai nodrošinās Latvijas aktivitātes, par kuru īstenošanu laika posmā no 2015.gada līdz 2023.gadam ir uzņemtas saistības. Tas ir svarīgi, lai izprastu, kādi pakalpojumi tiks veikti un atbilstoši tiem, kā tiks piemērots PVN.</w:t>
            </w:r>
          </w:p>
          <w:p w:rsidRPr="0093737A" w:rsidR="008B060E" w:rsidP="006535F0" w:rsidRDefault="008B060E" w14:paraId="1BD23311" w14:textId="77777777">
            <w:pPr>
              <w:pStyle w:val="naisc"/>
              <w:spacing w:before="0" w:after="0"/>
              <w:jc w:val="both"/>
              <w:rPr>
                <w:sz w:val="20"/>
                <w:szCs w:val="20"/>
              </w:rPr>
            </w:pPr>
          </w:p>
        </w:tc>
        <w:tc>
          <w:tcPr>
            <w:tcW w:w="1212" w:type="pct"/>
            <w:shd w:val="clear" w:color="auto" w:fill="FFFFFF" w:themeFill="background1"/>
          </w:tcPr>
          <w:p w:rsidRPr="0093737A" w:rsidR="008B060E" w:rsidP="006535F0" w:rsidRDefault="008B060E" w14:paraId="69FDD389" w14:textId="5D40227D">
            <w:pPr>
              <w:pStyle w:val="naisc"/>
              <w:spacing w:before="0" w:after="0"/>
              <w:jc w:val="both"/>
              <w:rPr>
                <w:sz w:val="20"/>
                <w:szCs w:val="20"/>
              </w:rPr>
            </w:pPr>
            <w:r w:rsidRPr="008B060E">
              <w:t xml:space="preserve">Iebildums ņemts vērā. </w:t>
            </w:r>
          </w:p>
        </w:tc>
        <w:tc>
          <w:tcPr>
            <w:tcW w:w="1197" w:type="pct"/>
            <w:shd w:val="clear" w:color="auto" w:fill="auto"/>
          </w:tcPr>
          <w:p w:rsidR="008B060E" w:rsidP="006535F0" w:rsidRDefault="008B060E" w14:paraId="49A93018" w14:textId="0077FAA4">
            <w:pPr>
              <w:jc w:val="both"/>
              <w:rPr>
                <w:color w:val="000000" w:themeColor="text1"/>
                <w:sz w:val="20"/>
                <w:szCs w:val="20"/>
              </w:rPr>
            </w:pPr>
            <w:r w:rsidRPr="008B060E">
              <w:t xml:space="preserve">Jautājums tiks skatīts atsevišķā informatīvajā ziņojumā. </w:t>
            </w:r>
          </w:p>
        </w:tc>
      </w:tr>
      <w:tr w:rsidRPr="001E5BBA" w:rsidR="008B060E" w:rsidTr="00DB0287" w14:paraId="610D109F" w14:textId="77777777">
        <w:trPr>
          <w:gridAfter w:val="1"/>
          <w:wAfter w:w="125" w:type="pct"/>
        </w:trPr>
        <w:tc>
          <w:tcPr>
            <w:tcW w:w="196" w:type="pct"/>
            <w:shd w:val="clear" w:color="auto" w:fill="auto"/>
          </w:tcPr>
          <w:p w:rsidR="008B060E" w:rsidP="008B060E" w:rsidRDefault="008B060E" w14:paraId="723F77BC" w14:textId="15D72844">
            <w:pPr>
              <w:pStyle w:val="naisc"/>
              <w:spacing w:before="0" w:after="0"/>
              <w:rPr>
                <w:color w:val="000000" w:themeColor="text1"/>
                <w:sz w:val="20"/>
                <w:szCs w:val="20"/>
              </w:rPr>
            </w:pPr>
            <w:r>
              <w:rPr>
                <w:color w:val="000000" w:themeColor="text1"/>
              </w:rPr>
              <w:lastRenderedPageBreak/>
              <w:t>11.</w:t>
            </w:r>
          </w:p>
        </w:tc>
        <w:tc>
          <w:tcPr>
            <w:tcW w:w="1023" w:type="pct"/>
            <w:shd w:val="clear" w:color="auto" w:fill="auto"/>
          </w:tcPr>
          <w:p w:rsidR="008B060E" w:rsidP="006535F0" w:rsidRDefault="008B060E" w14:paraId="07E16182" w14:textId="4C935AB8">
            <w:pPr>
              <w:pStyle w:val="naisc"/>
              <w:spacing w:before="0" w:after="0"/>
              <w:jc w:val="both"/>
              <w:rPr>
                <w:color w:val="000000" w:themeColor="text1"/>
                <w:sz w:val="20"/>
                <w:szCs w:val="20"/>
              </w:rPr>
            </w:pPr>
            <w:r w:rsidRPr="008B060E">
              <w:rPr>
                <w:b/>
                <w:color w:val="000000" w:themeColor="text1"/>
              </w:rPr>
              <w:t xml:space="preserve">Projekta </w:t>
            </w:r>
            <w:r w:rsidRPr="008B060E">
              <w:t>sadaļ</w:t>
            </w:r>
            <w:r w:rsidR="003774D7">
              <w:t>a</w:t>
            </w:r>
            <w:r w:rsidRPr="008B060E">
              <w:t xml:space="preserve"> “Latvijas aktivitāšu PVN finansēšana”</w:t>
            </w:r>
            <w:r w:rsidR="003774D7">
              <w:t>. Viss teksts.</w:t>
            </w:r>
          </w:p>
        </w:tc>
        <w:tc>
          <w:tcPr>
            <w:tcW w:w="1247" w:type="pct"/>
            <w:gridSpan w:val="2"/>
            <w:shd w:val="clear" w:color="auto" w:fill="FFFFFF" w:themeFill="background1"/>
          </w:tcPr>
          <w:p w:rsidRPr="00027267" w:rsidR="008B060E" w:rsidP="006535F0" w:rsidRDefault="008B060E" w14:paraId="327E922C" w14:textId="77777777">
            <w:pPr>
              <w:spacing w:after="0"/>
              <w:jc w:val="both"/>
            </w:pPr>
            <w:r w:rsidRPr="00027267">
              <w:t xml:space="preserve">Ziņojuma sadaļā “Latvijas aktivitāšu PVN finansēšana”(4.lp.) nav skaidrs, kādēļ SIA “Eiropas dzelzceļa līnijas” nav PVN maksātājs, līdz ar to ir jautājums, </w:t>
            </w:r>
            <w:r w:rsidRPr="00027267">
              <w:lastRenderedPageBreak/>
              <w:t>kurš projektā iesaistītais uzņēmums būs PVN maksātājs. Turklāt tas, vai persona ir vai nav reģistrēts PVN maksātājs, neizriet no ieņēmumu avota veida (skat. 4.lp.). Savukārt ziņojuma 1.tabulā “Latvijas aktivitātēm nepieciešamie PVN maksājumi”, mūsuprāt, būtu jāpapildina ar aprēķiniem par maksājumiem arī Lietuvā un Igaunijā.</w:t>
            </w:r>
          </w:p>
          <w:p w:rsidRPr="0093737A" w:rsidR="008B060E" w:rsidP="006535F0" w:rsidRDefault="008B060E" w14:paraId="6C667597" w14:textId="77777777">
            <w:pPr>
              <w:pStyle w:val="naisc"/>
              <w:spacing w:before="0" w:after="0"/>
              <w:jc w:val="both"/>
              <w:rPr>
                <w:sz w:val="20"/>
                <w:szCs w:val="20"/>
              </w:rPr>
            </w:pPr>
          </w:p>
        </w:tc>
        <w:tc>
          <w:tcPr>
            <w:tcW w:w="1212" w:type="pct"/>
            <w:shd w:val="clear" w:color="auto" w:fill="FFFFFF" w:themeFill="background1"/>
          </w:tcPr>
          <w:p w:rsidRPr="008B060E" w:rsidR="008B060E" w:rsidP="006535F0" w:rsidRDefault="008B060E" w14:paraId="3CBA7E39" w14:textId="77777777">
            <w:pPr>
              <w:pStyle w:val="naisc"/>
              <w:spacing w:before="0" w:after="0"/>
              <w:jc w:val="both"/>
            </w:pPr>
            <w:r w:rsidRPr="008B060E">
              <w:lastRenderedPageBreak/>
              <w:t>Iebildums ņemts vērā.</w:t>
            </w:r>
          </w:p>
          <w:p w:rsidRPr="008B060E" w:rsidR="008B060E" w:rsidP="006535F0" w:rsidRDefault="008B060E" w14:paraId="59891B2F" w14:textId="77777777">
            <w:pPr>
              <w:pStyle w:val="naisc"/>
              <w:spacing w:before="0" w:after="0"/>
              <w:jc w:val="both"/>
            </w:pPr>
          </w:p>
          <w:p w:rsidRPr="0093737A" w:rsidR="008B060E" w:rsidP="006535F0" w:rsidRDefault="008B060E" w14:paraId="31BA18FE" w14:textId="7BE4C90A">
            <w:pPr>
              <w:pStyle w:val="naisc"/>
              <w:spacing w:before="0" w:after="0"/>
              <w:jc w:val="both"/>
              <w:rPr>
                <w:sz w:val="20"/>
                <w:szCs w:val="20"/>
              </w:rPr>
            </w:pPr>
            <w:r w:rsidRPr="008B060E">
              <w:t xml:space="preserve">SIA “Eiropas dzelzceļa līnijas” nav PVN maksātājs,  saskaņā ar Pievienotās vērtības nodokļa </w:t>
            </w:r>
            <w:r w:rsidRPr="008B060E">
              <w:lastRenderedPageBreak/>
              <w:t xml:space="preserve">likuma 3. panta 8. apakšpunktu, un tā paša iemesla dēļ RBR nav iespējams atgūt samaksāto PVN kā priekšnodokli. 1.tabulā “Latvijas aktivitātēm nepieciešamie PVN maksājumi” dati attiecas tikai uz Latvijas aktivitātēm, tie nav attiecināmi uz Lietuvu un Igauniju. </w:t>
            </w:r>
          </w:p>
        </w:tc>
        <w:tc>
          <w:tcPr>
            <w:tcW w:w="1197" w:type="pct"/>
            <w:shd w:val="clear" w:color="auto" w:fill="auto"/>
          </w:tcPr>
          <w:p w:rsidR="008B060E" w:rsidP="006535F0" w:rsidRDefault="008B060E" w14:paraId="4B5D9AEB" w14:textId="13018536">
            <w:pPr>
              <w:jc w:val="both"/>
              <w:rPr>
                <w:color w:val="000000" w:themeColor="text1"/>
                <w:sz w:val="20"/>
                <w:szCs w:val="20"/>
              </w:rPr>
            </w:pPr>
            <w:r w:rsidRPr="008B060E">
              <w:lastRenderedPageBreak/>
              <w:t>Jautājums tiks skatīts atsevišķā informatīvajā ziņojumā.</w:t>
            </w:r>
          </w:p>
        </w:tc>
      </w:tr>
      <w:tr w:rsidRPr="001E5BBA" w:rsidR="008B060E" w:rsidTr="00DB0287" w14:paraId="7B44942A" w14:textId="77777777">
        <w:trPr>
          <w:gridAfter w:val="1"/>
          <w:wAfter w:w="125" w:type="pct"/>
        </w:trPr>
        <w:tc>
          <w:tcPr>
            <w:tcW w:w="196" w:type="pct"/>
            <w:shd w:val="clear" w:color="auto" w:fill="auto"/>
          </w:tcPr>
          <w:p w:rsidR="008B060E" w:rsidP="008B060E" w:rsidRDefault="008B060E" w14:paraId="3C6036C5" w14:textId="77777777">
            <w:pPr>
              <w:pStyle w:val="naisc"/>
              <w:spacing w:before="0" w:after="0"/>
              <w:rPr>
                <w:color w:val="000000" w:themeColor="text1"/>
              </w:rPr>
            </w:pPr>
            <w:r>
              <w:rPr>
                <w:color w:val="000000" w:themeColor="text1"/>
              </w:rPr>
              <w:t>12.</w:t>
            </w:r>
          </w:p>
          <w:p w:rsidR="008B060E" w:rsidP="008B060E" w:rsidRDefault="008B060E" w14:paraId="4D438924" w14:textId="77777777">
            <w:pPr>
              <w:pStyle w:val="naisc"/>
              <w:spacing w:before="0" w:after="0"/>
              <w:rPr>
                <w:color w:val="000000" w:themeColor="text1"/>
                <w:sz w:val="20"/>
                <w:szCs w:val="20"/>
              </w:rPr>
            </w:pPr>
          </w:p>
        </w:tc>
        <w:tc>
          <w:tcPr>
            <w:tcW w:w="1023" w:type="pct"/>
            <w:shd w:val="clear" w:color="auto" w:fill="auto"/>
          </w:tcPr>
          <w:p w:rsidRPr="003774D7" w:rsidR="008B060E" w:rsidP="006535F0" w:rsidRDefault="008B060E" w14:paraId="32F0FAB4" w14:textId="5221E85A">
            <w:pPr>
              <w:pStyle w:val="naisc"/>
              <w:spacing w:before="0" w:after="0"/>
              <w:jc w:val="both"/>
              <w:rPr>
                <w:bCs/>
                <w:color w:val="000000" w:themeColor="text1"/>
                <w:sz w:val="20"/>
                <w:szCs w:val="20"/>
              </w:rPr>
            </w:pPr>
            <w:r w:rsidRPr="003774D7">
              <w:rPr>
                <w:bCs/>
                <w:color w:val="000000" w:themeColor="text1"/>
              </w:rPr>
              <w:t>Viss projekts.</w:t>
            </w:r>
          </w:p>
        </w:tc>
        <w:tc>
          <w:tcPr>
            <w:tcW w:w="1247" w:type="pct"/>
            <w:gridSpan w:val="2"/>
            <w:shd w:val="clear" w:color="auto" w:fill="FFFFFF" w:themeFill="background1"/>
          </w:tcPr>
          <w:p w:rsidRPr="00027267" w:rsidR="008B060E" w:rsidP="006535F0" w:rsidRDefault="008B060E" w14:paraId="79DB94CA" w14:textId="77777777">
            <w:pPr>
              <w:spacing w:after="0"/>
              <w:jc w:val="both"/>
            </w:pPr>
            <w:r w:rsidRPr="00027267">
              <w:t xml:space="preserve">Uzskatām, ka ziņojumā nepieciešams arī Satiksmes ministrijas izvērtējums, vai nepieciešams veikt grozījumus Eiropas infrastruktūras savienošanas instrumenta projektu uzraudzības likumā un Ministru kabineta 2018. gada 3.jūlija noteikumos Nr.395 “Eiropas infrastruktūras savienošanas instrumenta finansēto transporta un telekomunikāciju nozares projektu saskaņošanas un īstenošanas uzraudzības kārtība”, kurā tiek atrunāti īpašie nosacījumi Rail Baltica projekta īstenošanai un RBR aktivitāšu īstenošanai. </w:t>
            </w:r>
          </w:p>
          <w:p w:rsidRPr="0093737A" w:rsidR="008B060E" w:rsidP="006535F0" w:rsidRDefault="008B060E" w14:paraId="61CE8FF3" w14:textId="77777777">
            <w:pPr>
              <w:pStyle w:val="naisc"/>
              <w:spacing w:before="0" w:after="0"/>
              <w:jc w:val="both"/>
              <w:rPr>
                <w:sz w:val="20"/>
                <w:szCs w:val="20"/>
              </w:rPr>
            </w:pPr>
          </w:p>
        </w:tc>
        <w:tc>
          <w:tcPr>
            <w:tcW w:w="1212" w:type="pct"/>
            <w:shd w:val="clear" w:color="auto" w:fill="FFFFFF" w:themeFill="background1"/>
          </w:tcPr>
          <w:p w:rsidRPr="0093737A" w:rsidR="008B060E" w:rsidP="006535F0" w:rsidRDefault="008B060E" w14:paraId="4C753ED5" w14:textId="77E81040">
            <w:pPr>
              <w:pStyle w:val="naisc"/>
              <w:spacing w:before="0" w:after="0"/>
              <w:jc w:val="both"/>
              <w:rPr>
                <w:sz w:val="20"/>
                <w:szCs w:val="20"/>
              </w:rPr>
            </w:pPr>
            <w:r w:rsidRPr="008B060E">
              <w:t>Iebildums ņemts vērā.</w:t>
            </w:r>
          </w:p>
        </w:tc>
        <w:tc>
          <w:tcPr>
            <w:tcW w:w="1197" w:type="pct"/>
            <w:shd w:val="clear" w:color="auto" w:fill="auto"/>
          </w:tcPr>
          <w:p w:rsidR="008B060E" w:rsidP="006535F0" w:rsidRDefault="008B060E" w14:paraId="48F85E40" w14:textId="1CC465A8">
            <w:pPr>
              <w:jc w:val="both"/>
              <w:rPr>
                <w:color w:val="000000" w:themeColor="text1"/>
                <w:sz w:val="20"/>
                <w:szCs w:val="20"/>
              </w:rPr>
            </w:pPr>
            <w:r w:rsidRPr="008B060E">
              <w:t>Jautājums tiks skatīts atsevišķā informatīvajā ziņojumā.</w:t>
            </w:r>
          </w:p>
        </w:tc>
      </w:tr>
      <w:tr w:rsidRPr="001E5BBA" w:rsidR="008B060E" w:rsidTr="00DB0287" w14:paraId="09B5EAB6" w14:textId="77777777">
        <w:trPr>
          <w:gridAfter w:val="1"/>
          <w:wAfter w:w="125" w:type="pct"/>
        </w:trPr>
        <w:tc>
          <w:tcPr>
            <w:tcW w:w="196" w:type="pct"/>
            <w:shd w:val="clear" w:color="auto" w:fill="auto"/>
          </w:tcPr>
          <w:p w:rsidR="008B060E" w:rsidP="008B060E" w:rsidRDefault="008B060E" w14:paraId="10F50413" w14:textId="357CA1FE">
            <w:pPr>
              <w:pStyle w:val="naisc"/>
              <w:spacing w:before="0" w:after="0"/>
              <w:rPr>
                <w:color w:val="000000" w:themeColor="text1"/>
                <w:sz w:val="20"/>
                <w:szCs w:val="20"/>
              </w:rPr>
            </w:pPr>
            <w:r>
              <w:rPr>
                <w:color w:val="000000" w:themeColor="text1"/>
              </w:rPr>
              <w:lastRenderedPageBreak/>
              <w:t>13.</w:t>
            </w:r>
          </w:p>
        </w:tc>
        <w:tc>
          <w:tcPr>
            <w:tcW w:w="1023" w:type="pct"/>
            <w:shd w:val="clear" w:color="auto" w:fill="auto"/>
          </w:tcPr>
          <w:p w:rsidRPr="008B060E" w:rsidR="008B060E" w:rsidP="006535F0" w:rsidRDefault="008B060E" w14:paraId="095F5D73" w14:textId="77777777">
            <w:pPr>
              <w:spacing w:after="0"/>
              <w:jc w:val="both"/>
            </w:pPr>
            <w:r w:rsidRPr="008B060E">
              <w:t>Ņemot vērā iesniegto Informatīvo ziņojumu, atzīt Ministru kabineta 2019.gada 23.aprīļa sēdes protokollēmuma (prot. Nr.21 32.§) Informatīvais ziņojums "Par Rail Baltica projekta ieviešanas gaitu un projektam nepieciešamo finansējumu 2019.gadā" 5.punktā doto uzdevumu par aktualitāti zaudējušu.</w:t>
            </w:r>
          </w:p>
          <w:p w:rsidR="008B060E" w:rsidP="006535F0" w:rsidRDefault="008B060E" w14:paraId="22AA0746"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027267" w:rsidR="008B060E" w:rsidP="006535F0" w:rsidRDefault="008B060E" w14:paraId="2A90C5E4" w14:textId="77777777">
            <w:pPr>
              <w:spacing w:after="0"/>
              <w:jc w:val="both"/>
            </w:pPr>
            <w:r w:rsidRPr="00027267">
              <w:t xml:space="preserve">Norādām, ka MK protokollēmuma 11.punkts ir svītrojams, jo tajā paredzētais uzdevums nav saistīts ar PVN maksājumiem Rail Baltica projekta aktivitāšu vai RBR aktivitāšu īstenošanai, kas tiek apskatīts ziņojumā. </w:t>
            </w:r>
          </w:p>
          <w:p w:rsidRPr="0093737A" w:rsidR="008B060E" w:rsidP="006535F0" w:rsidRDefault="008B060E" w14:paraId="6FE5CF02" w14:textId="77777777">
            <w:pPr>
              <w:pStyle w:val="naisc"/>
              <w:spacing w:before="0" w:after="0"/>
              <w:jc w:val="both"/>
              <w:rPr>
                <w:sz w:val="20"/>
                <w:szCs w:val="20"/>
              </w:rPr>
            </w:pPr>
          </w:p>
        </w:tc>
        <w:tc>
          <w:tcPr>
            <w:tcW w:w="1212" w:type="pct"/>
            <w:shd w:val="clear" w:color="auto" w:fill="FFFFFF" w:themeFill="background1"/>
          </w:tcPr>
          <w:p w:rsidRPr="0093737A" w:rsidR="008B060E" w:rsidP="006535F0" w:rsidRDefault="008B060E" w14:paraId="5E4383F9" w14:textId="0F048FC0">
            <w:pPr>
              <w:pStyle w:val="naisc"/>
              <w:spacing w:before="0" w:after="0"/>
              <w:jc w:val="both"/>
              <w:rPr>
                <w:sz w:val="20"/>
                <w:szCs w:val="20"/>
              </w:rPr>
            </w:pPr>
            <w:r w:rsidRPr="008B060E">
              <w:t>Iebildums ņemts vērā.</w:t>
            </w:r>
          </w:p>
        </w:tc>
        <w:tc>
          <w:tcPr>
            <w:tcW w:w="1197" w:type="pct"/>
            <w:shd w:val="clear" w:color="auto" w:fill="auto"/>
          </w:tcPr>
          <w:p w:rsidR="008B060E" w:rsidP="006535F0" w:rsidRDefault="008B060E" w14:paraId="5F2AD839" w14:textId="3D0B7D03">
            <w:pPr>
              <w:jc w:val="both"/>
              <w:rPr>
                <w:color w:val="000000" w:themeColor="text1"/>
                <w:sz w:val="20"/>
                <w:szCs w:val="20"/>
              </w:rPr>
            </w:pPr>
            <w:r w:rsidRPr="008B060E">
              <w:t>Protokollēmums ir precizēts un attiecīgais punkts svītrots.</w:t>
            </w:r>
          </w:p>
        </w:tc>
      </w:tr>
      <w:tr w:rsidRPr="001E5BBA" w:rsidR="008B060E" w:rsidTr="00DB0287" w14:paraId="531B9900" w14:textId="77777777">
        <w:trPr>
          <w:gridAfter w:val="1"/>
          <w:wAfter w:w="125" w:type="pct"/>
        </w:trPr>
        <w:tc>
          <w:tcPr>
            <w:tcW w:w="196" w:type="pct"/>
            <w:shd w:val="clear" w:color="auto" w:fill="auto"/>
          </w:tcPr>
          <w:p w:rsidR="008B060E" w:rsidP="008B060E" w:rsidRDefault="008B060E" w14:paraId="22FA0017" w14:textId="7CC7A1C5">
            <w:pPr>
              <w:pStyle w:val="naisc"/>
              <w:spacing w:before="0" w:after="0"/>
              <w:rPr>
                <w:color w:val="000000" w:themeColor="text1"/>
                <w:sz w:val="20"/>
                <w:szCs w:val="20"/>
              </w:rPr>
            </w:pPr>
            <w:r>
              <w:rPr>
                <w:color w:val="000000" w:themeColor="text1"/>
              </w:rPr>
              <w:t>14.</w:t>
            </w:r>
          </w:p>
        </w:tc>
        <w:tc>
          <w:tcPr>
            <w:tcW w:w="1023" w:type="pct"/>
            <w:shd w:val="clear" w:color="auto" w:fill="auto"/>
          </w:tcPr>
          <w:p w:rsidR="008B060E" w:rsidP="006535F0" w:rsidRDefault="008B060E" w14:paraId="6BE24021" w14:textId="1195FFED">
            <w:pPr>
              <w:pStyle w:val="naisc"/>
              <w:spacing w:before="0" w:after="0"/>
              <w:jc w:val="both"/>
              <w:rPr>
                <w:color w:val="000000" w:themeColor="text1"/>
                <w:sz w:val="20"/>
                <w:szCs w:val="20"/>
              </w:rPr>
            </w:pPr>
            <w:r w:rsidRPr="008B060E">
              <w:t>VID veic Rail Baltica projekta ietvarā valsts budžetā iemaksātā PVN auditu.</w:t>
            </w:r>
          </w:p>
        </w:tc>
        <w:tc>
          <w:tcPr>
            <w:tcW w:w="1247" w:type="pct"/>
            <w:gridSpan w:val="2"/>
            <w:shd w:val="clear" w:color="auto" w:fill="FFFFFF" w:themeFill="background1"/>
          </w:tcPr>
          <w:p w:rsidRPr="0093737A" w:rsidR="008B060E" w:rsidP="006535F0" w:rsidRDefault="008B060E" w14:paraId="61C320A8" w14:textId="4287D63A">
            <w:pPr>
              <w:pStyle w:val="naisc"/>
              <w:spacing w:before="0" w:after="0"/>
              <w:jc w:val="both"/>
              <w:rPr>
                <w:sz w:val="20"/>
                <w:szCs w:val="20"/>
              </w:rPr>
            </w:pPr>
            <w:r w:rsidRPr="008B060E">
              <w:t xml:space="preserve">Ziņojuma 6.lp. nav saprotams, kādam nolūkam ir plānots Valsts ieņēmumu dienestam (turpmāk – VID) veikt Rail Baltica projekta ietvarā valsts budžetā iemaksātā PVN “auditu” un kādēļ tieši auditu, kā arī par kādiem tieši darījumiem plānots to veikt. Ja ar šo VID tiek doti kādi uzdevumi, tad analītika un to nepieciešamība būtu jāatspoguļo ziņojuma tekstā. Vienlaicīgi norādām, ka VID veic PVN kontroles un administrēšanas pasākumus atbilstoši normatīvajos aktos noteiktajam. Līdz ar to vārds “audits” aizstājams ar vārdiem </w:t>
            </w:r>
            <w:r w:rsidRPr="008B060E">
              <w:lastRenderedPageBreak/>
              <w:t>”kontroles un administrēšanas pasākumus”.</w:t>
            </w:r>
          </w:p>
        </w:tc>
        <w:tc>
          <w:tcPr>
            <w:tcW w:w="1212" w:type="pct"/>
            <w:shd w:val="clear" w:color="auto" w:fill="FFFFFF" w:themeFill="background1"/>
          </w:tcPr>
          <w:p w:rsidRPr="0093737A" w:rsidR="008B060E" w:rsidP="006535F0" w:rsidRDefault="008B060E" w14:paraId="15C8B1D0" w14:textId="70325293">
            <w:pPr>
              <w:pStyle w:val="naisc"/>
              <w:spacing w:before="0" w:after="0"/>
              <w:jc w:val="both"/>
              <w:rPr>
                <w:sz w:val="20"/>
                <w:szCs w:val="20"/>
              </w:rPr>
            </w:pPr>
            <w:r w:rsidRPr="008B060E">
              <w:lastRenderedPageBreak/>
              <w:t>Iebildums ņemts vērā.</w:t>
            </w:r>
          </w:p>
        </w:tc>
        <w:tc>
          <w:tcPr>
            <w:tcW w:w="1197" w:type="pct"/>
            <w:shd w:val="clear" w:color="auto" w:fill="auto"/>
          </w:tcPr>
          <w:p w:rsidR="008B060E" w:rsidP="006535F0" w:rsidRDefault="008B060E" w14:paraId="4F5A37CD" w14:textId="5596B3A2">
            <w:pPr>
              <w:jc w:val="both"/>
              <w:rPr>
                <w:color w:val="000000" w:themeColor="text1"/>
                <w:sz w:val="20"/>
                <w:szCs w:val="20"/>
              </w:rPr>
            </w:pPr>
            <w:r w:rsidRPr="008B060E">
              <w:t>Jautājums tiks skatīts atsevišķā informatīvajā ziņojumā.</w:t>
            </w:r>
          </w:p>
        </w:tc>
      </w:tr>
      <w:tr w:rsidRPr="001E5BBA" w:rsidR="008B060E" w:rsidTr="00DB0287" w14:paraId="5789ED4D" w14:textId="77777777">
        <w:trPr>
          <w:gridAfter w:val="1"/>
          <w:wAfter w:w="125" w:type="pct"/>
        </w:trPr>
        <w:tc>
          <w:tcPr>
            <w:tcW w:w="196" w:type="pct"/>
            <w:shd w:val="clear" w:color="auto" w:fill="auto"/>
          </w:tcPr>
          <w:p w:rsidR="008B060E" w:rsidP="008B060E" w:rsidRDefault="008B060E" w14:paraId="64C9738F" w14:textId="11762CCA">
            <w:pPr>
              <w:pStyle w:val="naisc"/>
              <w:spacing w:before="0" w:after="0"/>
              <w:rPr>
                <w:color w:val="000000" w:themeColor="text1"/>
                <w:sz w:val="20"/>
                <w:szCs w:val="20"/>
              </w:rPr>
            </w:pPr>
            <w:r>
              <w:rPr>
                <w:color w:val="000000" w:themeColor="text1"/>
              </w:rPr>
              <w:t>15.</w:t>
            </w:r>
          </w:p>
        </w:tc>
        <w:tc>
          <w:tcPr>
            <w:tcW w:w="1023" w:type="pct"/>
            <w:shd w:val="clear" w:color="auto" w:fill="auto"/>
          </w:tcPr>
          <w:p w:rsidR="008B060E" w:rsidP="006535F0" w:rsidRDefault="008B060E" w14:paraId="1F6317A2" w14:textId="4C0C2A72">
            <w:pPr>
              <w:pStyle w:val="naisc"/>
              <w:spacing w:before="0" w:after="0"/>
              <w:jc w:val="both"/>
              <w:rPr>
                <w:color w:val="000000" w:themeColor="text1"/>
                <w:sz w:val="20"/>
                <w:szCs w:val="20"/>
              </w:rPr>
            </w:pPr>
            <w:r w:rsidRPr="008B060E">
              <w:rPr>
                <w:bCs/>
                <w:color w:val="000000" w:themeColor="text1"/>
              </w:rPr>
              <w:t>Projekta pielikumi-shēmas Nr.3, Nr.5, Nr.6</w:t>
            </w:r>
            <w:r w:rsidR="003774D7">
              <w:rPr>
                <w:bCs/>
                <w:color w:val="000000" w:themeColor="text1"/>
              </w:rPr>
              <w:t>.</w:t>
            </w:r>
          </w:p>
        </w:tc>
        <w:tc>
          <w:tcPr>
            <w:tcW w:w="1247" w:type="pct"/>
            <w:gridSpan w:val="2"/>
            <w:shd w:val="clear" w:color="auto" w:fill="FFFFFF" w:themeFill="background1"/>
          </w:tcPr>
          <w:p w:rsidRPr="008B060E" w:rsidR="008B060E" w:rsidP="006535F0" w:rsidRDefault="008B060E" w14:paraId="23AA846A" w14:textId="77777777">
            <w:pPr>
              <w:spacing w:after="0"/>
              <w:jc w:val="both"/>
            </w:pPr>
            <w:r w:rsidRPr="008B060E">
              <w:t>Attiecībā uz ziņojumam pievienotajiem pielikumiem, aicinām veikt to shematiskus uzlabojumus, lai skaidrāk būtu izprotama finanšu plūsma un PVN aprite (skat. 3., 5. un 6.pielikumi), kā arī apzīmējumos nepieciešams lietot korektu PVN terminoloģiju, lai nerastos pārpratumi par shēmās atspoguļoto informāciju.</w:t>
            </w:r>
          </w:p>
          <w:p w:rsidRPr="0093737A" w:rsidR="008B060E" w:rsidP="006535F0" w:rsidRDefault="008B060E" w14:paraId="378E5DCC" w14:textId="77777777">
            <w:pPr>
              <w:pStyle w:val="naisc"/>
              <w:spacing w:before="0" w:after="0"/>
              <w:jc w:val="both"/>
              <w:rPr>
                <w:sz w:val="20"/>
                <w:szCs w:val="20"/>
              </w:rPr>
            </w:pPr>
          </w:p>
        </w:tc>
        <w:tc>
          <w:tcPr>
            <w:tcW w:w="1212" w:type="pct"/>
            <w:shd w:val="clear" w:color="auto" w:fill="FFFFFF" w:themeFill="background1"/>
          </w:tcPr>
          <w:p w:rsidRPr="0093737A" w:rsidR="008B060E" w:rsidP="006535F0" w:rsidRDefault="008B060E" w14:paraId="6BB11A92" w14:textId="5FA697EB">
            <w:pPr>
              <w:pStyle w:val="naisc"/>
              <w:spacing w:before="0" w:after="0"/>
              <w:jc w:val="both"/>
              <w:rPr>
                <w:sz w:val="20"/>
                <w:szCs w:val="20"/>
              </w:rPr>
            </w:pPr>
            <w:r w:rsidRPr="008B060E">
              <w:t>Iebildums ņemts vērā.</w:t>
            </w:r>
          </w:p>
        </w:tc>
        <w:tc>
          <w:tcPr>
            <w:tcW w:w="1197" w:type="pct"/>
            <w:shd w:val="clear" w:color="auto" w:fill="auto"/>
          </w:tcPr>
          <w:p w:rsidR="008B060E" w:rsidP="006535F0" w:rsidRDefault="008B060E" w14:paraId="04554D7A" w14:textId="151F022B">
            <w:pPr>
              <w:jc w:val="both"/>
              <w:rPr>
                <w:color w:val="000000" w:themeColor="text1"/>
                <w:sz w:val="20"/>
                <w:szCs w:val="20"/>
              </w:rPr>
            </w:pPr>
            <w:r w:rsidRPr="008B060E">
              <w:t>Jautājums tiks skatīts atsevišķā informatīvajā ziņojumā.</w:t>
            </w:r>
          </w:p>
        </w:tc>
      </w:tr>
      <w:tr w:rsidRPr="001E5BBA" w:rsidR="008B060E" w:rsidTr="00DB0287" w14:paraId="7912A0B8" w14:textId="77777777">
        <w:trPr>
          <w:gridAfter w:val="1"/>
          <w:wAfter w:w="125" w:type="pct"/>
        </w:trPr>
        <w:tc>
          <w:tcPr>
            <w:tcW w:w="196" w:type="pct"/>
            <w:shd w:val="clear" w:color="auto" w:fill="auto"/>
          </w:tcPr>
          <w:p w:rsidR="008B060E" w:rsidP="008B060E" w:rsidRDefault="008B060E" w14:paraId="616194B6" w14:textId="61A2DF65">
            <w:pPr>
              <w:pStyle w:val="naisc"/>
              <w:spacing w:before="0" w:after="0"/>
              <w:rPr>
                <w:color w:val="000000" w:themeColor="text1"/>
                <w:sz w:val="20"/>
                <w:szCs w:val="20"/>
              </w:rPr>
            </w:pPr>
            <w:r>
              <w:rPr>
                <w:color w:val="000000" w:themeColor="text1"/>
              </w:rPr>
              <w:t>16.</w:t>
            </w:r>
          </w:p>
        </w:tc>
        <w:tc>
          <w:tcPr>
            <w:tcW w:w="1023" w:type="pct"/>
            <w:shd w:val="clear" w:color="auto" w:fill="auto"/>
          </w:tcPr>
          <w:p w:rsidR="008B060E" w:rsidP="006535F0" w:rsidRDefault="008B060E" w14:paraId="7792FFFA" w14:textId="4061133D">
            <w:pPr>
              <w:pStyle w:val="naisc"/>
              <w:spacing w:before="0" w:after="0"/>
              <w:jc w:val="both"/>
              <w:rPr>
                <w:color w:val="000000" w:themeColor="text1"/>
                <w:sz w:val="20"/>
                <w:szCs w:val="20"/>
              </w:rPr>
            </w:pPr>
            <w:r w:rsidRPr="008B060E">
              <w:rPr>
                <w:bCs/>
                <w:i/>
                <w:iCs/>
                <w:color w:val="000000" w:themeColor="text1"/>
              </w:rPr>
              <w:t>Neattiecas.</w:t>
            </w:r>
          </w:p>
        </w:tc>
        <w:tc>
          <w:tcPr>
            <w:tcW w:w="1247" w:type="pct"/>
            <w:gridSpan w:val="2"/>
            <w:shd w:val="clear" w:color="auto" w:fill="FFFFFF" w:themeFill="background1"/>
          </w:tcPr>
          <w:p w:rsidRPr="0009474B" w:rsidR="008B060E" w:rsidP="006535F0" w:rsidRDefault="008B060E" w14:paraId="672BD410" w14:textId="77777777">
            <w:pPr>
              <w:spacing w:after="0"/>
              <w:jc w:val="both"/>
            </w:pPr>
            <w:r w:rsidRPr="0009474B">
              <w:t>Vēlamies atzīmēt, ka, mūsuprāt, MK protokollēmumā būtu jānosaka, ka Satiksmes ministrijai vai RBR ir pienākums panākt vienošanos ar Lietuvas un Igaunijas pusēm par analoga regulējuma ieviešanu, lai nodrošinātu vienādus nosacījumus tālākajai sadarbībai visa projekta ietvaros.</w:t>
            </w:r>
          </w:p>
          <w:p w:rsidRPr="0093737A" w:rsidR="008B060E" w:rsidP="006535F0" w:rsidRDefault="008B060E" w14:paraId="5D730F4E" w14:textId="77777777">
            <w:pPr>
              <w:pStyle w:val="naisc"/>
              <w:spacing w:before="0" w:after="0"/>
              <w:jc w:val="both"/>
              <w:rPr>
                <w:sz w:val="20"/>
                <w:szCs w:val="20"/>
              </w:rPr>
            </w:pPr>
          </w:p>
        </w:tc>
        <w:tc>
          <w:tcPr>
            <w:tcW w:w="1212" w:type="pct"/>
            <w:shd w:val="clear" w:color="auto" w:fill="FFFFFF" w:themeFill="background1"/>
          </w:tcPr>
          <w:p w:rsidRPr="008B060E" w:rsidR="008B060E" w:rsidP="006535F0" w:rsidRDefault="008B060E" w14:paraId="17735FE7" w14:textId="77777777">
            <w:pPr>
              <w:pStyle w:val="naisc"/>
              <w:spacing w:before="0" w:after="0"/>
              <w:jc w:val="both"/>
            </w:pPr>
            <w:r w:rsidRPr="008B060E">
              <w:t>Iebildums ņemts vērā. Protokollēmums papildināts.</w:t>
            </w:r>
          </w:p>
          <w:p w:rsidRPr="0093737A" w:rsidR="008B060E" w:rsidP="006535F0" w:rsidRDefault="008B060E" w14:paraId="221F1C59" w14:textId="77777777">
            <w:pPr>
              <w:pStyle w:val="naisc"/>
              <w:spacing w:before="0" w:after="0"/>
              <w:jc w:val="both"/>
              <w:rPr>
                <w:sz w:val="20"/>
                <w:szCs w:val="20"/>
              </w:rPr>
            </w:pPr>
          </w:p>
        </w:tc>
        <w:tc>
          <w:tcPr>
            <w:tcW w:w="1197" w:type="pct"/>
            <w:shd w:val="clear" w:color="auto" w:fill="auto"/>
          </w:tcPr>
          <w:p w:rsidR="008B060E" w:rsidP="006535F0" w:rsidRDefault="008B060E" w14:paraId="1E8F4339" w14:textId="4032DE96">
            <w:pPr>
              <w:jc w:val="both"/>
              <w:rPr>
                <w:color w:val="000000" w:themeColor="text1"/>
                <w:sz w:val="20"/>
                <w:szCs w:val="20"/>
              </w:rPr>
            </w:pPr>
            <w:r w:rsidRPr="008B060E">
              <w:t>3.3. kompensācijas izmaksa tiek veikta, ja Lietuva un Igaunija ievieš analogu regulējumu, kas nodrošina kompensāciju par Latvijas finansētajiem neatgūstamajiem pievienotās vērtības nodokļa maksājumiem šajās valstīs.</w:t>
            </w:r>
          </w:p>
        </w:tc>
      </w:tr>
      <w:tr w:rsidRPr="001E5BBA" w:rsidR="008B060E" w:rsidTr="00DB0287" w14:paraId="0F85123F" w14:textId="77777777">
        <w:trPr>
          <w:gridAfter w:val="1"/>
          <w:wAfter w:w="125" w:type="pct"/>
        </w:trPr>
        <w:tc>
          <w:tcPr>
            <w:tcW w:w="196" w:type="pct"/>
            <w:shd w:val="clear" w:color="auto" w:fill="auto"/>
          </w:tcPr>
          <w:p w:rsidR="008B060E" w:rsidP="008B060E" w:rsidRDefault="008B060E" w14:paraId="17C061A0" w14:textId="7A91E6C6">
            <w:pPr>
              <w:pStyle w:val="naisc"/>
              <w:spacing w:before="0" w:after="0"/>
              <w:rPr>
                <w:color w:val="000000" w:themeColor="text1"/>
                <w:sz w:val="20"/>
                <w:szCs w:val="20"/>
              </w:rPr>
            </w:pPr>
            <w:r>
              <w:rPr>
                <w:color w:val="000000" w:themeColor="text1"/>
              </w:rPr>
              <w:t>17.</w:t>
            </w:r>
          </w:p>
        </w:tc>
        <w:tc>
          <w:tcPr>
            <w:tcW w:w="1023" w:type="pct"/>
            <w:shd w:val="clear" w:color="auto" w:fill="auto"/>
          </w:tcPr>
          <w:p w:rsidRPr="00AC4941" w:rsidR="008B060E" w:rsidP="006535F0" w:rsidRDefault="008B060E" w14:paraId="4A4F224E" w14:textId="77777777">
            <w:pPr>
              <w:tabs>
                <w:tab w:val="left" w:pos="7088"/>
              </w:tabs>
              <w:spacing w:after="0"/>
              <w:contextualSpacing/>
              <w:jc w:val="both"/>
              <w:rPr>
                <w:rFonts w:eastAsia="Calibri"/>
                <w:noProof/>
                <w:lang w:eastAsia="en-US"/>
              </w:rPr>
            </w:pPr>
            <w:r w:rsidRPr="00AC4941">
              <w:rPr>
                <w:rFonts w:eastAsia="Calibri"/>
                <w:lang w:eastAsia="en-US"/>
              </w:rPr>
              <w:t xml:space="preserve">Katra budžeta gada beigās, saņemot nākošā budžeta gada PVN maksājumu plānu, tiek veikta PVN maksājumu plāna izlīdzināšana, izmantojot no </w:t>
            </w:r>
            <w:r w:rsidRPr="00AC4941">
              <w:rPr>
                <w:rFonts w:eastAsia="Calibri"/>
                <w:lang w:eastAsia="en-US"/>
              </w:rPr>
              <w:lastRenderedPageBreak/>
              <w:t>VID saņemto informāciju par valsts budžetā Projekta ietvarā iemaksāto PVN;</w:t>
            </w:r>
          </w:p>
          <w:p w:rsidR="008B060E" w:rsidP="006535F0" w:rsidRDefault="008B060E" w14:paraId="4A6DF17E"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09474B" w:rsidR="008B060E" w:rsidP="006535F0" w:rsidRDefault="008B060E" w14:paraId="58E3E539" w14:textId="77777777">
            <w:pPr>
              <w:spacing w:after="0"/>
              <w:jc w:val="both"/>
            </w:pPr>
            <w:r w:rsidRPr="0009474B">
              <w:lastRenderedPageBreak/>
              <w:t xml:space="preserve">Par ziņojumā minēto PVN maksājumu uzraudzībai un izsekojamībai projekta ietvaros Satiksmes ministrijas piedāvātā mehānisma 5.punktu, kurā norādīts, ka VID sniedz </w:t>
            </w:r>
            <w:r w:rsidRPr="0009474B">
              <w:lastRenderedPageBreak/>
              <w:t>informāciju par valsts budžetā Rail Baltica projekta ietvarā iemaksāto PVN.</w:t>
            </w:r>
          </w:p>
          <w:p w:rsidRPr="0093737A" w:rsidR="008B060E" w:rsidP="006535F0" w:rsidRDefault="008B060E" w14:paraId="76D65BB7" w14:textId="39DDA236">
            <w:pPr>
              <w:pStyle w:val="naisc"/>
              <w:spacing w:before="0" w:after="0"/>
              <w:jc w:val="both"/>
              <w:rPr>
                <w:sz w:val="20"/>
                <w:szCs w:val="20"/>
              </w:rPr>
            </w:pPr>
            <w:r w:rsidRPr="008B060E">
              <w:t>Norādām, ka šāda informācija nebūs VID rīcībā un tā ir pieprasāma no komersantiem. Turklāt atzīmējam, ka komersantu valsts budžetā iemaksājamā PVN summa tiek aprēķināta kā starpība starp taksācijas periodā aprēķināto PVN un priekšnodokļa summu.</w:t>
            </w:r>
          </w:p>
        </w:tc>
        <w:tc>
          <w:tcPr>
            <w:tcW w:w="1212" w:type="pct"/>
            <w:shd w:val="clear" w:color="auto" w:fill="FFFFFF" w:themeFill="background1"/>
          </w:tcPr>
          <w:p w:rsidRPr="0093737A" w:rsidR="008B060E" w:rsidP="006535F0" w:rsidRDefault="008B060E" w14:paraId="18897FBB" w14:textId="06A4B7AE">
            <w:pPr>
              <w:pStyle w:val="naisc"/>
              <w:spacing w:before="0" w:after="0"/>
              <w:jc w:val="both"/>
              <w:rPr>
                <w:sz w:val="20"/>
                <w:szCs w:val="20"/>
              </w:rPr>
            </w:pPr>
            <w:r w:rsidRPr="008B060E">
              <w:lastRenderedPageBreak/>
              <w:t>Iebildums ņemts vērā.</w:t>
            </w:r>
          </w:p>
        </w:tc>
        <w:tc>
          <w:tcPr>
            <w:tcW w:w="1197" w:type="pct"/>
            <w:shd w:val="clear" w:color="auto" w:fill="auto"/>
          </w:tcPr>
          <w:p w:rsidR="008B060E" w:rsidP="006535F0" w:rsidRDefault="008B060E" w14:paraId="6DF5F356" w14:textId="78273B51">
            <w:pPr>
              <w:jc w:val="both"/>
              <w:rPr>
                <w:color w:val="000000" w:themeColor="text1"/>
                <w:sz w:val="20"/>
                <w:szCs w:val="20"/>
              </w:rPr>
            </w:pPr>
            <w:r w:rsidRPr="008B060E">
              <w:t>Jautājums tiks skatīts atsevišķā informatīvajā ziņojumā.</w:t>
            </w:r>
          </w:p>
        </w:tc>
      </w:tr>
      <w:tr w:rsidRPr="001E5BBA" w:rsidR="008B060E" w:rsidTr="00DB0287" w14:paraId="02F4FBE6" w14:textId="77777777">
        <w:trPr>
          <w:gridAfter w:val="1"/>
          <w:wAfter w:w="125" w:type="pct"/>
        </w:trPr>
        <w:tc>
          <w:tcPr>
            <w:tcW w:w="196" w:type="pct"/>
            <w:shd w:val="clear" w:color="auto" w:fill="auto"/>
          </w:tcPr>
          <w:p w:rsidR="008B060E" w:rsidP="008B060E" w:rsidRDefault="008B060E" w14:paraId="7F19B2DB" w14:textId="141B799B">
            <w:pPr>
              <w:pStyle w:val="naisc"/>
              <w:spacing w:before="0" w:after="0"/>
              <w:rPr>
                <w:color w:val="000000" w:themeColor="text1"/>
                <w:sz w:val="20"/>
                <w:szCs w:val="20"/>
              </w:rPr>
            </w:pPr>
            <w:r>
              <w:rPr>
                <w:color w:val="000000" w:themeColor="text1"/>
              </w:rPr>
              <w:t>18.</w:t>
            </w:r>
          </w:p>
        </w:tc>
        <w:tc>
          <w:tcPr>
            <w:tcW w:w="1023" w:type="pct"/>
            <w:shd w:val="clear" w:color="auto" w:fill="auto"/>
          </w:tcPr>
          <w:p w:rsidRPr="008B060E" w:rsidR="008B060E" w:rsidP="006535F0" w:rsidRDefault="008B060E" w14:paraId="7D14E76D" w14:textId="77777777">
            <w:pPr>
              <w:tabs>
                <w:tab w:val="left" w:pos="7088"/>
              </w:tabs>
              <w:spacing w:after="0"/>
              <w:jc w:val="both"/>
              <w:rPr>
                <w:lang w:val="cs-CZ" w:eastAsia="en-US"/>
              </w:rPr>
            </w:pPr>
            <w:r w:rsidRPr="008B060E">
              <w:rPr>
                <w:lang w:val="cs-CZ" w:eastAsia="en-US"/>
              </w:rPr>
              <w:t>Lai nodrošinātu valsts finanšu saistību izpildi Rail Baltica projekta ietvaros, vienlaikus novēršot un nepieļaujot negatīvu ietekmi uz valsts budžetu, Ministrija ierosina šādus papildinājumus valsts budžeta likumprojektā 2020.gadam:</w:t>
            </w:r>
          </w:p>
          <w:p w:rsidRPr="008B060E" w:rsidR="008B060E" w:rsidP="006535F0" w:rsidRDefault="008B060E" w14:paraId="25FF42AD" w14:textId="77777777">
            <w:pPr>
              <w:numPr>
                <w:ilvl w:val="0"/>
                <w:numId w:val="4"/>
              </w:numPr>
              <w:tabs>
                <w:tab w:val="left" w:pos="7088"/>
              </w:tabs>
              <w:spacing w:after="0"/>
              <w:ind w:left="284" w:hanging="284"/>
              <w:contextualSpacing/>
              <w:jc w:val="both"/>
              <w:rPr>
                <w:rFonts w:eastAsia="Calibri"/>
                <w:lang w:eastAsia="en-US"/>
              </w:rPr>
            </w:pPr>
            <w:r w:rsidRPr="008B060E">
              <w:rPr>
                <w:rFonts w:eastAsia="Calibri"/>
                <w:lang w:eastAsia="en-US"/>
              </w:rPr>
              <w:t xml:space="preserve">Apropriācijas pārdale starp ekonomiskās klasifikācijas kodiem neietekmē projekta kopējo attiecināmo izdevumu kopsummu un 2019.gadā samaksātā PVN daļa tiek iestrādāta </w:t>
            </w:r>
            <w:r w:rsidRPr="008B060E">
              <w:rPr>
                <w:rFonts w:eastAsia="Calibri"/>
                <w:lang w:eastAsia="en-US"/>
              </w:rPr>
              <w:lastRenderedPageBreak/>
              <w:t>budžetā atbilstoši projekta ieviešanas gaitai;</w:t>
            </w:r>
            <w:r w:rsidRPr="008B060E" w:rsidDel="000A5C1E">
              <w:rPr>
                <w:rFonts w:eastAsia="Calibri"/>
                <w:lang w:eastAsia="en-US"/>
              </w:rPr>
              <w:t xml:space="preserve"> </w:t>
            </w:r>
          </w:p>
          <w:p w:rsidRPr="008B060E" w:rsidR="008B060E" w:rsidP="006535F0" w:rsidRDefault="008B060E" w14:paraId="4CADA6E9" w14:textId="77777777">
            <w:pPr>
              <w:numPr>
                <w:ilvl w:val="0"/>
                <w:numId w:val="4"/>
              </w:numPr>
              <w:spacing w:after="0"/>
              <w:ind w:left="284" w:hanging="284"/>
              <w:contextualSpacing/>
              <w:jc w:val="both"/>
              <w:rPr>
                <w:rFonts w:eastAsia="Calibri"/>
                <w:lang w:eastAsia="en-US"/>
              </w:rPr>
            </w:pPr>
            <w:r w:rsidRPr="008B060E">
              <w:rPr>
                <w:rFonts w:eastAsia="Calibri"/>
                <w:lang w:eastAsia="en-US"/>
              </w:rPr>
              <w:t xml:space="preserve">Satiksmes ministrijas iesniegtais priekšlikums likumprojektam “Par valsts budžetu 2020.gadam” 2.lasījumam paredz pārdali no Finanšu ministrijas 80.00.00 programmas “Nesadalītais finansējums ES politiku instrumentu un pārējās ārvalstu finanšu palīdzības līdzfinansēto projektu un pasākumu īstenošanai” PVN apmaksai 2020.gadā 15 253 845 EUR apmērā. </w:t>
            </w:r>
          </w:p>
          <w:p w:rsidRPr="008B060E" w:rsidR="008B060E" w:rsidP="006535F0" w:rsidRDefault="008B060E" w14:paraId="3CE91E19" w14:textId="77777777">
            <w:pPr>
              <w:numPr>
                <w:ilvl w:val="0"/>
                <w:numId w:val="4"/>
              </w:numPr>
              <w:tabs>
                <w:tab w:val="left" w:pos="7088"/>
              </w:tabs>
              <w:spacing w:after="0"/>
              <w:ind w:left="284" w:hanging="284"/>
              <w:contextualSpacing/>
              <w:jc w:val="both"/>
              <w:rPr>
                <w:rFonts w:eastAsia="Calibri"/>
                <w:lang w:eastAsia="en-US"/>
              </w:rPr>
            </w:pPr>
            <w:r w:rsidRPr="008B060E">
              <w:rPr>
                <w:rFonts w:eastAsia="Calibri"/>
                <w:lang w:eastAsia="en-US"/>
              </w:rPr>
              <w:t xml:space="preserve">Satiksmes ministrijai un Valsts ieņēmumu dienestam izstrādāt kārtību, kādā veicama PVN maksājumu kontrole un uzraudzība Rail Baltica projekta ietvaros, un nodrošināt Rail Baltica projekta </w:t>
            </w:r>
            <w:r w:rsidRPr="008B060E">
              <w:rPr>
                <w:rFonts w:eastAsia="Calibri"/>
                <w:lang w:eastAsia="en-US"/>
              </w:rPr>
              <w:lastRenderedPageBreak/>
              <w:t xml:space="preserve">ietvaros valsts budžetā veikto PVN iemaksu kontroli.   </w:t>
            </w:r>
          </w:p>
          <w:p w:rsidR="008B060E" w:rsidP="006535F0" w:rsidRDefault="008B060E" w14:paraId="17EF6FB3"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09474B" w:rsidR="008B060E" w:rsidP="006535F0" w:rsidRDefault="008B060E" w14:paraId="56347CAC" w14:textId="77777777">
            <w:pPr>
              <w:spacing w:after="0"/>
              <w:jc w:val="both"/>
            </w:pPr>
            <w:r w:rsidRPr="0009474B">
              <w:lastRenderedPageBreak/>
              <w:t xml:space="preserve">Par ziņojumā ierosināto 3.punktā minēto papildinājumu valsts budžeta likumprojektam 2020.gadam, ka Satiksmes ministrijai un VID jāizstrādā kārtība, kādā veicama PVN maksājumu kontrole un uzraudzība Rail Baltica projekta ietvaros, un jānodrošina Rail Baltica projekta ietvaros valsts budžetā veikto PVN iemaksu kontroli.   </w:t>
            </w:r>
          </w:p>
          <w:p w:rsidRPr="0009474B" w:rsidR="008B060E" w:rsidP="006535F0" w:rsidRDefault="008B060E" w14:paraId="369FB949" w14:textId="77777777">
            <w:pPr>
              <w:spacing w:after="0"/>
              <w:jc w:val="both"/>
            </w:pPr>
            <w:r w:rsidRPr="0009474B">
              <w:t xml:space="preserve">Saistībā ar to, ka Satiksmes ministrijai tiks uzdots izstrādāt tiesību aktu, kas paredzēs kārtību PVN kompensēšanai, nav lietderīgi izstrādāt atsevišķu kārtību PVN maksājumu kontrolei un uzraudzībai. Norādām, ka minētā </w:t>
            </w:r>
            <w:r w:rsidRPr="0009474B">
              <w:lastRenderedPageBreak/>
              <w:t>PVN iemaksu kontroles un uzraudzības kārtība ir nosakāma Ministru kabineta noteikumos.</w:t>
            </w:r>
          </w:p>
          <w:p w:rsidRPr="0093737A" w:rsidR="008B060E" w:rsidP="006535F0" w:rsidRDefault="008B060E" w14:paraId="579CEE7B" w14:textId="77777777">
            <w:pPr>
              <w:pStyle w:val="naisc"/>
              <w:spacing w:before="0" w:after="0"/>
              <w:jc w:val="both"/>
              <w:rPr>
                <w:sz w:val="20"/>
                <w:szCs w:val="20"/>
              </w:rPr>
            </w:pPr>
          </w:p>
        </w:tc>
        <w:tc>
          <w:tcPr>
            <w:tcW w:w="1212" w:type="pct"/>
            <w:shd w:val="clear" w:color="auto" w:fill="FFFFFF" w:themeFill="background1"/>
          </w:tcPr>
          <w:p w:rsidRPr="008B060E" w:rsidR="008B060E" w:rsidP="006535F0" w:rsidRDefault="008B060E" w14:paraId="28940774" w14:textId="77777777">
            <w:pPr>
              <w:pStyle w:val="naisc"/>
              <w:spacing w:before="0" w:after="0"/>
              <w:jc w:val="both"/>
            </w:pPr>
            <w:r w:rsidRPr="008B060E">
              <w:lastRenderedPageBreak/>
              <w:t>Iebildums ņemts vērā. Protokollēmums papildināts.</w:t>
            </w:r>
          </w:p>
          <w:p w:rsidRPr="0093737A" w:rsidR="008B060E" w:rsidP="006535F0" w:rsidRDefault="008B060E" w14:paraId="3A75D753" w14:textId="77777777">
            <w:pPr>
              <w:pStyle w:val="naisc"/>
              <w:spacing w:before="0" w:after="0"/>
              <w:jc w:val="both"/>
              <w:rPr>
                <w:sz w:val="20"/>
                <w:szCs w:val="20"/>
              </w:rPr>
            </w:pPr>
          </w:p>
        </w:tc>
        <w:tc>
          <w:tcPr>
            <w:tcW w:w="1197" w:type="pct"/>
            <w:shd w:val="clear" w:color="auto" w:fill="auto"/>
          </w:tcPr>
          <w:p w:rsidR="006535F0" w:rsidP="006535F0" w:rsidRDefault="006535F0" w14:paraId="6DE7D39B" w14:textId="77777777">
            <w:pPr>
              <w:spacing w:after="0"/>
              <w:jc w:val="both"/>
            </w:pPr>
            <w:r>
              <w:t>3.</w:t>
            </w:r>
            <w:r>
              <w:tab/>
              <w:t>Noteikt, ka Satiksmes ministrija izstrādā un līdz 2020.gada 5.martam iesniedz Ministru kabinetā kārtību, kādā aprēķina un piešķir nepieciešamā finansējuma apmēru pievienotās vērtības nodokļa summas, kas nav atgūstama kā priekšnodoklis, kompensācijai Igaunijai un Lietuvai AS “RB Rail” veikto aktivitāšu ietvaros, ievērojot vismaz šādus nosacījumus:</w:t>
            </w:r>
          </w:p>
          <w:p w:rsidR="006535F0" w:rsidP="006535F0" w:rsidRDefault="006535F0" w14:paraId="3463EAED" w14:textId="77777777">
            <w:pPr>
              <w:spacing w:after="0"/>
              <w:jc w:val="both"/>
            </w:pPr>
            <w:r>
              <w:t>3.1.</w:t>
            </w:r>
            <w:r>
              <w:tab/>
              <w:t xml:space="preserve">Latvija veic kompensācijas maksājumu Lietuvai un Igaunijai par AS “RB Rail” veiktajām aktivitātēm, kas ekvivalents AS “RB Rail” veiktajiem neatgūstamajiem </w:t>
            </w:r>
            <w:r>
              <w:lastRenderedPageBreak/>
              <w:t>pievienotās vērtības nodokļa maksājumiem Latvijas valsts budžetā;</w:t>
            </w:r>
          </w:p>
          <w:p w:rsidR="006535F0" w:rsidP="006535F0" w:rsidRDefault="006535F0" w14:paraId="783847F5" w14:textId="77777777">
            <w:pPr>
              <w:spacing w:after="0"/>
              <w:jc w:val="both"/>
            </w:pPr>
            <w:r>
              <w:t>3.2.</w:t>
            </w:r>
            <w:r>
              <w:tab/>
              <w:t>kompensācijas apmērs katrai valstij nepārsniedz 1/3 no minētajiem pievienotās vērtības nodokļa maksājumiem;</w:t>
            </w:r>
          </w:p>
          <w:p w:rsidR="006535F0" w:rsidP="006535F0" w:rsidRDefault="006535F0" w14:paraId="222D753F" w14:textId="77777777">
            <w:pPr>
              <w:spacing w:after="0"/>
              <w:jc w:val="both"/>
            </w:pPr>
            <w:r>
              <w:t>3.3.</w:t>
            </w:r>
            <w:r>
              <w:tab/>
              <w:t xml:space="preserve">kompensācijas izmaksa tiek veikta, ja Lietuva un Igaunija ievieš analogu regulējumu, kas nodrošina kompensāciju par Latvijas finansētajiem neatgūstamajiem pievienotās vērtības nodokļa maksājumiem šajās valstīs. </w:t>
            </w:r>
          </w:p>
          <w:p w:rsidR="00450004" w:rsidP="006535F0" w:rsidRDefault="006535F0" w14:paraId="55D2618B" w14:textId="44F7B373">
            <w:pPr>
              <w:jc w:val="both"/>
              <w:rPr>
                <w:color w:val="000000" w:themeColor="text1"/>
                <w:sz w:val="20"/>
                <w:szCs w:val="20"/>
              </w:rPr>
            </w:pPr>
            <w:r>
              <w:t>3.4.</w:t>
            </w:r>
            <w:r>
              <w:tab/>
              <w:t>kompensācija par AS “RB Rail” aktivitātēm, kas klasificēsies kā komercdarbības atbalsta aktivitātes, tiks veikta ievērojot komercdarbības atbalsta kontroles regulējumu.</w:t>
            </w:r>
          </w:p>
        </w:tc>
      </w:tr>
      <w:tr w:rsidRPr="001E5BBA" w:rsidR="008B060E" w:rsidTr="00DB0287" w14:paraId="58D8D613" w14:textId="77777777">
        <w:trPr>
          <w:gridAfter w:val="1"/>
          <w:wAfter w:w="125" w:type="pct"/>
        </w:trPr>
        <w:tc>
          <w:tcPr>
            <w:tcW w:w="196" w:type="pct"/>
            <w:shd w:val="clear" w:color="auto" w:fill="auto"/>
          </w:tcPr>
          <w:p w:rsidR="008B060E" w:rsidP="008B060E" w:rsidRDefault="008B060E" w14:paraId="0B705756" w14:textId="4CE7A44D">
            <w:pPr>
              <w:pStyle w:val="naisc"/>
              <w:spacing w:before="0" w:after="0"/>
              <w:rPr>
                <w:color w:val="000000" w:themeColor="text1"/>
                <w:sz w:val="20"/>
                <w:szCs w:val="20"/>
              </w:rPr>
            </w:pPr>
            <w:r>
              <w:rPr>
                <w:color w:val="000000" w:themeColor="text1"/>
              </w:rPr>
              <w:lastRenderedPageBreak/>
              <w:t>19.</w:t>
            </w:r>
          </w:p>
        </w:tc>
        <w:tc>
          <w:tcPr>
            <w:tcW w:w="1023" w:type="pct"/>
            <w:shd w:val="clear" w:color="auto" w:fill="auto"/>
          </w:tcPr>
          <w:p w:rsidR="008B060E" w:rsidP="006535F0" w:rsidRDefault="008B060E" w14:paraId="6FD33B3C" w14:textId="6D96EE4B">
            <w:pPr>
              <w:pStyle w:val="naisc"/>
              <w:spacing w:before="0" w:after="0"/>
              <w:jc w:val="both"/>
              <w:rPr>
                <w:color w:val="000000" w:themeColor="text1"/>
                <w:sz w:val="20"/>
                <w:szCs w:val="20"/>
              </w:rPr>
            </w:pPr>
            <w:r w:rsidRPr="008B060E">
              <w:rPr>
                <w:bCs/>
                <w:color w:val="000000" w:themeColor="text1"/>
              </w:rPr>
              <w:t>Vis</w:t>
            </w:r>
            <w:r>
              <w:rPr>
                <w:bCs/>
                <w:color w:val="000000" w:themeColor="text1"/>
              </w:rPr>
              <w:t>ā</w:t>
            </w:r>
            <w:r w:rsidRPr="008B060E">
              <w:rPr>
                <w:bCs/>
                <w:color w:val="000000" w:themeColor="text1"/>
              </w:rPr>
              <w:t xml:space="preserve"> </w:t>
            </w:r>
            <w:r>
              <w:rPr>
                <w:bCs/>
                <w:color w:val="000000" w:themeColor="text1"/>
              </w:rPr>
              <w:t>projektā</w:t>
            </w:r>
            <w:r w:rsidRPr="008B060E">
              <w:rPr>
                <w:bCs/>
                <w:color w:val="000000" w:themeColor="text1"/>
              </w:rPr>
              <w:t>.</w:t>
            </w:r>
          </w:p>
        </w:tc>
        <w:tc>
          <w:tcPr>
            <w:tcW w:w="1247" w:type="pct"/>
            <w:gridSpan w:val="2"/>
            <w:shd w:val="clear" w:color="auto" w:fill="FFFFFF" w:themeFill="background1"/>
          </w:tcPr>
          <w:p w:rsidRPr="00450004" w:rsidR="008B060E" w:rsidP="006535F0" w:rsidRDefault="008B060E" w14:paraId="5240A8A8" w14:textId="77777777">
            <w:pPr>
              <w:spacing w:after="0"/>
              <w:jc w:val="both"/>
            </w:pPr>
            <w:r w:rsidRPr="00450004">
              <w:t>Noslēgumā vēršam uzmanību, ka ziņojumā sniegtā informācija par projekta būtību un tā ietvaros veicamajiem pakalpojumiem ir neskaidra, kā arī ir grūti uztverams ziņojuma teksts un nav lietota atbilstoša PVN jomas terminoloģija. Lūdzam rast iespēju uzlabot ziņojumu.</w:t>
            </w:r>
          </w:p>
          <w:p w:rsidRPr="0093737A" w:rsidR="008B060E" w:rsidP="006535F0" w:rsidRDefault="008B060E" w14:paraId="15945816" w14:textId="77777777">
            <w:pPr>
              <w:pStyle w:val="naisc"/>
              <w:spacing w:before="0" w:after="0"/>
              <w:jc w:val="both"/>
              <w:rPr>
                <w:sz w:val="20"/>
                <w:szCs w:val="20"/>
              </w:rPr>
            </w:pPr>
          </w:p>
        </w:tc>
        <w:tc>
          <w:tcPr>
            <w:tcW w:w="1212" w:type="pct"/>
            <w:shd w:val="clear" w:color="auto" w:fill="FFFFFF" w:themeFill="background1"/>
          </w:tcPr>
          <w:p w:rsidRPr="0093737A" w:rsidR="008B060E" w:rsidP="006535F0" w:rsidRDefault="008B060E" w14:paraId="770412E3" w14:textId="15932726">
            <w:pPr>
              <w:pStyle w:val="naisc"/>
              <w:spacing w:before="0" w:after="0"/>
              <w:jc w:val="both"/>
              <w:rPr>
                <w:sz w:val="20"/>
                <w:szCs w:val="20"/>
              </w:rPr>
            </w:pPr>
            <w:r w:rsidRPr="008B060E">
              <w:t>Iebildums ir ņemts vērā.</w:t>
            </w:r>
          </w:p>
        </w:tc>
        <w:tc>
          <w:tcPr>
            <w:tcW w:w="1197" w:type="pct"/>
            <w:shd w:val="clear" w:color="auto" w:fill="auto"/>
          </w:tcPr>
          <w:p w:rsidR="008B060E" w:rsidP="006535F0" w:rsidRDefault="008B060E" w14:paraId="725598EE" w14:textId="4951A8C8">
            <w:pPr>
              <w:jc w:val="both"/>
              <w:rPr>
                <w:color w:val="000000" w:themeColor="text1"/>
                <w:sz w:val="20"/>
                <w:szCs w:val="20"/>
              </w:rPr>
            </w:pPr>
            <w:r w:rsidRPr="008B060E">
              <w:rPr>
                <w:bCs/>
                <w:color w:val="000000" w:themeColor="text1"/>
              </w:rPr>
              <w:t>Informatīvais ziņojums precizēts samazinātā tvērumā. Vairāki jautājumi tiks skatīti atsevišķā informatīvā ziņojumā.</w:t>
            </w:r>
          </w:p>
        </w:tc>
      </w:tr>
      <w:tr w:rsidRPr="001E5BBA" w:rsidR="008B060E" w:rsidTr="00DB0287" w14:paraId="4E4573CE" w14:textId="77777777">
        <w:trPr>
          <w:gridAfter w:val="1"/>
          <w:wAfter w:w="125" w:type="pct"/>
        </w:trPr>
        <w:tc>
          <w:tcPr>
            <w:tcW w:w="196" w:type="pct"/>
            <w:shd w:val="clear" w:color="auto" w:fill="auto"/>
          </w:tcPr>
          <w:p w:rsidR="008B060E" w:rsidP="008B060E" w:rsidRDefault="008B060E" w14:paraId="11997B3C" w14:textId="5CC4E189">
            <w:pPr>
              <w:pStyle w:val="naisc"/>
              <w:spacing w:before="0" w:after="0"/>
              <w:rPr>
                <w:color w:val="000000" w:themeColor="text1"/>
                <w:sz w:val="20"/>
                <w:szCs w:val="20"/>
              </w:rPr>
            </w:pPr>
            <w:r>
              <w:rPr>
                <w:color w:val="000000" w:themeColor="text1"/>
              </w:rPr>
              <w:t>20.</w:t>
            </w:r>
          </w:p>
        </w:tc>
        <w:tc>
          <w:tcPr>
            <w:tcW w:w="1023" w:type="pct"/>
            <w:shd w:val="clear" w:color="auto" w:fill="auto"/>
          </w:tcPr>
          <w:p w:rsidRPr="008B060E" w:rsidR="008B060E" w:rsidP="006535F0" w:rsidRDefault="008B060E" w14:paraId="080D3FA8" w14:textId="77777777">
            <w:pPr>
              <w:tabs>
                <w:tab w:val="left" w:pos="2625"/>
              </w:tabs>
              <w:spacing w:after="0"/>
              <w:jc w:val="both"/>
              <w:rPr>
                <w:rFonts w:eastAsia="Calibri"/>
                <w:lang w:eastAsia="en-US"/>
              </w:rPr>
            </w:pPr>
            <w:r w:rsidRPr="008B060E">
              <w:rPr>
                <w:rFonts w:eastAsia="Calibri"/>
                <w:lang w:eastAsia="en-US"/>
              </w:rPr>
              <w:t>2.Atļaut Satiksmes ministrijai kompensēt SIA “Eiropas dzelzceļa līnijas” pievienotās vērtības nodokli (turpmāk – PVN) 1 776 971 EUR apmērā par īstenotajām Rail Baltica projekta aktivitātēm.</w:t>
            </w:r>
          </w:p>
          <w:p w:rsidRPr="008B060E" w:rsidR="008B060E" w:rsidP="006535F0" w:rsidRDefault="008B060E" w14:paraId="7F4FBF4F" w14:textId="77777777">
            <w:pPr>
              <w:tabs>
                <w:tab w:val="left" w:pos="2625"/>
              </w:tabs>
              <w:spacing w:after="0"/>
              <w:jc w:val="both"/>
              <w:rPr>
                <w:rFonts w:eastAsia="Calibri"/>
                <w:lang w:eastAsia="en-US"/>
              </w:rPr>
            </w:pPr>
          </w:p>
          <w:p w:rsidRPr="008B060E" w:rsidR="008B060E" w:rsidP="006535F0" w:rsidRDefault="008B060E" w14:paraId="316B2B24" w14:textId="77777777">
            <w:pPr>
              <w:tabs>
                <w:tab w:val="left" w:pos="2625"/>
              </w:tabs>
              <w:spacing w:after="0"/>
              <w:jc w:val="both"/>
              <w:rPr>
                <w:rFonts w:eastAsia="Calibri"/>
                <w:lang w:eastAsia="en-US"/>
              </w:rPr>
            </w:pPr>
            <w:r w:rsidRPr="008B060E">
              <w:rPr>
                <w:rFonts w:eastAsia="Calibri"/>
                <w:lang w:eastAsia="en-US"/>
              </w:rPr>
              <w:t xml:space="preserve">4.Satiksmes ministrijai iesniegt Finanšu ministrijā apropriācijas pārdales pieprasījumu programmā 60.07.00 "Eiropas transporta, telekomunikāciju un </w:t>
            </w:r>
            <w:r w:rsidRPr="008B060E">
              <w:rPr>
                <w:rFonts w:eastAsia="Calibri"/>
                <w:lang w:eastAsia="en-US"/>
              </w:rPr>
              <w:lastRenderedPageBreak/>
              <w:t>enerģijas infrastruktūru tīklu un Eiropas infrastruktūras savienošanas instrumenta (CEF) līdzfinansēto projektu un pasākumu īstenošana" pārdalot protokollēmuma 2. un 3.punktā minētās summas no izdevumu pozīcijas “Pamatkapitāla veidošana” uz  “Preces un pakalpojumi”. Pēc apropriācijas pārdales Satiksmes ministrijai izveidot jaunu  finansēšanas plānu, nodalot  augstāk minētos izdevumus.</w:t>
            </w:r>
          </w:p>
          <w:p w:rsidRPr="008B060E" w:rsidR="008B060E" w:rsidP="006535F0" w:rsidRDefault="008B060E" w14:paraId="7762DE37" w14:textId="77777777">
            <w:pPr>
              <w:tabs>
                <w:tab w:val="left" w:pos="2625"/>
              </w:tabs>
              <w:spacing w:after="0"/>
              <w:jc w:val="both"/>
              <w:rPr>
                <w:rFonts w:eastAsia="Calibri"/>
                <w:lang w:eastAsia="en-US"/>
              </w:rPr>
            </w:pPr>
          </w:p>
          <w:p w:rsidRPr="008B060E" w:rsidR="008B060E" w:rsidP="006535F0" w:rsidRDefault="008B060E" w14:paraId="26F3D187" w14:textId="77777777">
            <w:pPr>
              <w:tabs>
                <w:tab w:val="left" w:pos="2625"/>
              </w:tabs>
              <w:spacing w:after="0"/>
              <w:jc w:val="both"/>
              <w:rPr>
                <w:rFonts w:eastAsia="Calibri"/>
                <w:lang w:eastAsia="en-US"/>
              </w:rPr>
            </w:pPr>
            <w:r w:rsidRPr="008B060E">
              <w:rPr>
                <w:rFonts w:eastAsia="Calibri"/>
                <w:lang w:eastAsia="en-US"/>
              </w:rPr>
              <w:t>7.Valsts ieņēmumu dienestam, konsultējoties ar Satiksmes ministriju, izstrādāt kontroles mehānismu PVN kompensēšanai AS “RB Rail”.</w:t>
            </w:r>
          </w:p>
          <w:p w:rsidRPr="008B060E" w:rsidR="008B060E" w:rsidP="006535F0" w:rsidRDefault="008B060E" w14:paraId="72B9F118" w14:textId="77777777">
            <w:pPr>
              <w:tabs>
                <w:tab w:val="left" w:pos="2625"/>
              </w:tabs>
              <w:spacing w:after="0"/>
              <w:jc w:val="both"/>
              <w:rPr>
                <w:rFonts w:eastAsia="Calibri"/>
                <w:lang w:eastAsia="en-US"/>
              </w:rPr>
            </w:pPr>
          </w:p>
          <w:p w:rsidRPr="008B060E" w:rsidR="008B060E" w:rsidP="006535F0" w:rsidRDefault="008B060E" w14:paraId="626329BE" w14:textId="77777777">
            <w:pPr>
              <w:tabs>
                <w:tab w:val="left" w:pos="2625"/>
              </w:tabs>
              <w:spacing w:after="0"/>
              <w:jc w:val="both"/>
              <w:rPr>
                <w:rFonts w:eastAsia="Calibri"/>
                <w:lang w:eastAsia="en-US"/>
              </w:rPr>
            </w:pPr>
            <w:r w:rsidRPr="008B060E">
              <w:rPr>
                <w:rFonts w:eastAsia="Calibri"/>
                <w:lang w:eastAsia="en-US"/>
              </w:rPr>
              <w:t xml:space="preserve">10.Pieņemt zināšanai, ka projektam PVN maksājumu summa 2020-2022.gadā tiek plānota 56 523 881 EUR </w:t>
            </w:r>
            <w:r w:rsidRPr="008B060E">
              <w:rPr>
                <w:rFonts w:eastAsia="Calibri"/>
                <w:lang w:eastAsia="en-US"/>
              </w:rPr>
              <w:lastRenderedPageBreak/>
              <w:t>apmērā un Satiksmes ministrija sniegs apropriācijas pārdales pieprasījumus no Finanšu ministrijas programmas 80.00.00 “Nesadalītais finansējums ES politiku instrumentu un pārējās ārvalstu finanšu palīdzības līdzfinansēto projektu un pasākumu īstenošanai” minēto izdevumu segšanai atbilstoši projekta ieviešanas gaitai.</w:t>
            </w:r>
          </w:p>
          <w:p w:rsidR="008B060E" w:rsidP="006535F0" w:rsidRDefault="008B060E" w14:paraId="48196897"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93737A" w:rsidR="008B060E" w:rsidP="006535F0" w:rsidRDefault="008B060E" w14:paraId="11CE40C0" w14:textId="114539F7">
            <w:pPr>
              <w:pStyle w:val="naisc"/>
              <w:spacing w:before="0" w:after="0"/>
              <w:jc w:val="both"/>
              <w:rPr>
                <w:sz w:val="20"/>
                <w:szCs w:val="20"/>
              </w:rPr>
            </w:pPr>
            <w:r w:rsidRPr="008B060E">
              <w:lastRenderedPageBreak/>
              <w:t>Lūdzam protokollēmuma 2., 4., 7. un 10. punktā noteikt atbildīgo iestāžu uzdevumu īstenošanas termiņu, tādējādi nodrošinot skaidru un nepārprotamu normu</w:t>
            </w:r>
          </w:p>
        </w:tc>
        <w:tc>
          <w:tcPr>
            <w:tcW w:w="1212" w:type="pct"/>
            <w:shd w:val="clear" w:color="auto" w:fill="FFFFFF" w:themeFill="background1"/>
          </w:tcPr>
          <w:p w:rsidRPr="0093737A" w:rsidR="008B060E" w:rsidP="006535F0" w:rsidRDefault="008B060E" w14:paraId="3096BBB3" w14:textId="27CD6756">
            <w:pPr>
              <w:pStyle w:val="naisc"/>
              <w:spacing w:before="0" w:after="0"/>
              <w:jc w:val="both"/>
              <w:rPr>
                <w:sz w:val="20"/>
                <w:szCs w:val="20"/>
              </w:rPr>
            </w:pPr>
            <w:r w:rsidRPr="008B060E">
              <w:t>Iebildums ir ņemts vērā un iestrādāts protokollēmumā.</w:t>
            </w:r>
          </w:p>
        </w:tc>
        <w:tc>
          <w:tcPr>
            <w:tcW w:w="1197" w:type="pct"/>
            <w:shd w:val="clear" w:color="auto" w:fill="auto"/>
          </w:tcPr>
          <w:p w:rsidR="008B060E" w:rsidP="006535F0" w:rsidRDefault="008B060E" w14:paraId="21AB937A" w14:textId="0E022756">
            <w:pPr>
              <w:jc w:val="both"/>
              <w:rPr>
                <w:color w:val="000000" w:themeColor="text1"/>
                <w:sz w:val="20"/>
                <w:szCs w:val="20"/>
              </w:rPr>
            </w:pPr>
            <w:r w:rsidRPr="008B060E">
              <w:rPr>
                <w:bCs/>
                <w:color w:val="000000" w:themeColor="text1"/>
              </w:rPr>
              <w:t>Protokollēmumā noteikti atbilstoši termiņi.</w:t>
            </w:r>
          </w:p>
        </w:tc>
      </w:tr>
      <w:tr w:rsidRPr="001E5BBA" w:rsidR="008B060E" w:rsidTr="00DB0287" w14:paraId="268B1AFE" w14:textId="77777777">
        <w:trPr>
          <w:gridAfter w:val="1"/>
          <w:wAfter w:w="125" w:type="pct"/>
        </w:trPr>
        <w:tc>
          <w:tcPr>
            <w:tcW w:w="196" w:type="pct"/>
            <w:shd w:val="clear" w:color="auto" w:fill="auto"/>
          </w:tcPr>
          <w:p w:rsidR="008B060E" w:rsidP="008B060E" w:rsidRDefault="008B060E" w14:paraId="5978806C" w14:textId="03ABC099">
            <w:pPr>
              <w:pStyle w:val="naisc"/>
              <w:spacing w:before="0" w:after="0"/>
              <w:rPr>
                <w:color w:val="000000" w:themeColor="text1"/>
                <w:sz w:val="20"/>
                <w:szCs w:val="20"/>
              </w:rPr>
            </w:pPr>
            <w:r>
              <w:rPr>
                <w:color w:val="000000" w:themeColor="text1"/>
              </w:rPr>
              <w:lastRenderedPageBreak/>
              <w:t>21.</w:t>
            </w:r>
          </w:p>
        </w:tc>
        <w:tc>
          <w:tcPr>
            <w:tcW w:w="1023" w:type="pct"/>
            <w:shd w:val="clear" w:color="auto" w:fill="auto"/>
          </w:tcPr>
          <w:p w:rsidRPr="008B060E" w:rsidR="008B060E" w:rsidP="006535F0" w:rsidRDefault="008B060E" w14:paraId="6F086374" w14:textId="77777777">
            <w:pPr>
              <w:tabs>
                <w:tab w:val="left" w:pos="2625"/>
              </w:tabs>
              <w:spacing w:after="0"/>
              <w:jc w:val="both"/>
              <w:rPr>
                <w:rFonts w:eastAsia="Calibri"/>
                <w:lang w:eastAsia="en-US"/>
              </w:rPr>
            </w:pPr>
            <w:r w:rsidRPr="008B060E">
              <w:rPr>
                <w:rFonts w:eastAsia="Calibri"/>
                <w:lang w:eastAsia="en-US"/>
              </w:rPr>
              <w:t xml:space="preserve">6.Satiksmes ministrijai izstrādāt un satiksmes ministram noteiktā kārtībā līdz 2020.gada 5.martam iesniegt izskatīšanai Ministru kabinetā likumprojektu, nosakot, ka Rail Baltica projekta ieviešanai dibinātajai AS “RB Rail” no Latvijas valsts budžeta līdzekļiem kompensē PVN tādā apmērā, kādā par AS “RB Rail” aktivitātēm tas ir samaksāts Latvijā </w:t>
            </w:r>
            <w:r w:rsidRPr="008B060E">
              <w:rPr>
                <w:rFonts w:eastAsia="Calibri"/>
                <w:lang w:eastAsia="en-US"/>
              </w:rPr>
              <w:lastRenderedPageBreak/>
              <w:t>reģistrētiem PVN maksātājiem, un deleģējumu Ministru kabinetam izstrādāt kārtību, kādā  AS “RB Rail” tiek kompensēts PVN.</w:t>
            </w:r>
          </w:p>
          <w:p w:rsidRPr="008B060E" w:rsidR="008B060E" w:rsidP="006535F0" w:rsidRDefault="008B060E" w14:paraId="2FDC49FC" w14:textId="77777777">
            <w:pPr>
              <w:tabs>
                <w:tab w:val="left" w:pos="2625"/>
              </w:tabs>
              <w:spacing w:after="0"/>
              <w:jc w:val="both"/>
              <w:rPr>
                <w:rFonts w:eastAsia="Calibri"/>
                <w:lang w:eastAsia="en-US"/>
              </w:rPr>
            </w:pPr>
          </w:p>
          <w:p w:rsidRPr="008B060E" w:rsidR="008B060E" w:rsidP="006535F0" w:rsidRDefault="008B060E" w14:paraId="310F114E" w14:textId="77777777">
            <w:pPr>
              <w:tabs>
                <w:tab w:val="left" w:pos="2625"/>
              </w:tabs>
              <w:spacing w:after="0"/>
              <w:jc w:val="both"/>
              <w:rPr>
                <w:rFonts w:eastAsia="Calibri"/>
                <w:lang w:eastAsia="en-US"/>
              </w:rPr>
            </w:pPr>
            <w:r w:rsidRPr="008B060E">
              <w:rPr>
                <w:rFonts w:eastAsia="Calibri"/>
                <w:lang w:eastAsia="en-US"/>
              </w:rPr>
              <w:t>8.Finanšu ministrijai nodrošināt likumprojekta un kārtības, kādā  AS “RB Rail” kompensē PVN, atbilstību protokollēmuma 7.punktā minētajam kontroles mehānismam.</w:t>
            </w:r>
          </w:p>
          <w:p w:rsidRPr="008B060E" w:rsidR="008B060E" w:rsidP="006535F0" w:rsidRDefault="008B060E" w14:paraId="2A179F20" w14:textId="77777777">
            <w:pPr>
              <w:tabs>
                <w:tab w:val="left" w:pos="2625"/>
              </w:tabs>
              <w:spacing w:after="0"/>
              <w:jc w:val="both"/>
              <w:rPr>
                <w:rFonts w:eastAsia="Calibri"/>
                <w:lang w:eastAsia="en-US"/>
              </w:rPr>
            </w:pPr>
          </w:p>
          <w:p w:rsidRPr="008B060E" w:rsidR="008B060E" w:rsidP="006535F0" w:rsidRDefault="008B060E" w14:paraId="67405488" w14:textId="77777777">
            <w:pPr>
              <w:tabs>
                <w:tab w:val="left" w:pos="2625"/>
              </w:tabs>
              <w:spacing w:after="0"/>
              <w:jc w:val="both"/>
              <w:rPr>
                <w:rFonts w:eastAsia="Calibri"/>
                <w:lang w:eastAsia="en-US"/>
              </w:rPr>
            </w:pPr>
            <w:r w:rsidRPr="008B060E">
              <w:rPr>
                <w:rFonts w:eastAsia="Calibri"/>
                <w:lang w:eastAsia="en-US"/>
              </w:rPr>
              <w:t xml:space="preserve">9.Atbalstīt Satiksmes ministrijas iesniegto priekšlikumu likumprojektam “Par valsts budžetu 2020.gadam” 2.lasījumam, paredzot pārdali no Finanšu ministrijas 80.00.00 programmas “Nesadalītais finansējums ES politiku instrumentu un pārējās ārvalstu finanšu palīdzības līdzfinansēto projektu un pasākumu īstenošanai” PVN </w:t>
            </w:r>
            <w:r w:rsidRPr="008B060E">
              <w:rPr>
                <w:rFonts w:eastAsia="Calibri"/>
                <w:lang w:eastAsia="en-US"/>
              </w:rPr>
              <w:lastRenderedPageBreak/>
              <w:t>apmaksai 15 253 845 EUR apmērā.</w:t>
            </w:r>
          </w:p>
          <w:p w:rsidR="008B060E" w:rsidP="006535F0" w:rsidRDefault="008B060E" w14:paraId="7EE3A039" w14:textId="77777777">
            <w:pPr>
              <w:pStyle w:val="naisc"/>
              <w:spacing w:before="0" w:after="0"/>
              <w:jc w:val="both"/>
              <w:rPr>
                <w:color w:val="000000" w:themeColor="text1"/>
                <w:sz w:val="20"/>
                <w:szCs w:val="20"/>
              </w:rPr>
            </w:pPr>
          </w:p>
        </w:tc>
        <w:tc>
          <w:tcPr>
            <w:tcW w:w="1247" w:type="pct"/>
            <w:gridSpan w:val="2"/>
            <w:shd w:val="clear" w:color="auto" w:fill="FFFFFF" w:themeFill="background1"/>
          </w:tcPr>
          <w:p w:rsidRPr="0093737A" w:rsidR="008B060E" w:rsidP="006535F0" w:rsidRDefault="008B060E" w14:paraId="7D86A79C" w14:textId="29F7D14E">
            <w:pPr>
              <w:pStyle w:val="naisc"/>
              <w:spacing w:before="0" w:after="0"/>
              <w:jc w:val="both"/>
              <w:rPr>
                <w:sz w:val="20"/>
                <w:szCs w:val="20"/>
              </w:rPr>
            </w:pPr>
            <w:r w:rsidRPr="008B060E">
              <w:lastRenderedPageBreak/>
              <w:t xml:space="preserve">Vēršam uzmanību, ka protokollēmuma 6., 8. un 9. punktā ietverti jautājumi, kas ir likumdevēja kompetencē, kā arī attiecīgo likumprojekta saskaņošanas laikā konkrētais regulējums var mainīties. Ievērojot minēto, uzsveram, ka ar protokollēmumu nav iespējams noteikt konkrētu likumprojekta tvērumu un, pat to nosakot, tam nav nekādas juridiskās slodzes. Ievērojot minēto, lūdzam precizēt protokollēmuma 6., 8. un 9. punktu, atrunājot likumprojektos </w:t>
            </w:r>
            <w:r w:rsidRPr="008B060E">
              <w:lastRenderedPageBreak/>
              <w:t>risināmo jautājumu būtību, nevis likumprojektu tvērumu.</w:t>
            </w:r>
          </w:p>
        </w:tc>
        <w:tc>
          <w:tcPr>
            <w:tcW w:w="1212" w:type="pct"/>
            <w:shd w:val="clear" w:color="auto" w:fill="FFFFFF" w:themeFill="background1"/>
          </w:tcPr>
          <w:p w:rsidRPr="0093737A" w:rsidR="008B060E" w:rsidP="006535F0" w:rsidRDefault="008B060E" w14:paraId="31D90415" w14:textId="23256665">
            <w:pPr>
              <w:pStyle w:val="naisc"/>
              <w:spacing w:before="0" w:after="0"/>
              <w:jc w:val="both"/>
              <w:rPr>
                <w:sz w:val="20"/>
                <w:szCs w:val="20"/>
              </w:rPr>
            </w:pPr>
            <w:r w:rsidRPr="008B060E">
              <w:lastRenderedPageBreak/>
              <w:t>Iebildums ir ņemts vērā. Likumdevēja kompetenca nav skarta, jo nav paredzēta likumprojekta izstrāde.</w:t>
            </w:r>
          </w:p>
        </w:tc>
        <w:tc>
          <w:tcPr>
            <w:tcW w:w="1197" w:type="pct"/>
            <w:shd w:val="clear" w:color="auto" w:fill="auto"/>
          </w:tcPr>
          <w:p w:rsidR="008B060E" w:rsidP="006535F0" w:rsidRDefault="008B060E" w14:paraId="6D7E6F92" w14:textId="6CD5E7FC">
            <w:pPr>
              <w:jc w:val="both"/>
              <w:rPr>
                <w:color w:val="000000" w:themeColor="text1"/>
                <w:sz w:val="20"/>
                <w:szCs w:val="20"/>
              </w:rPr>
            </w:pPr>
            <w:r w:rsidRPr="008B060E">
              <w:rPr>
                <w:bCs/>
                <w:color w:val="000000" w:themeColor="text1"/>
              </w:rPr>
              <w:t>Protokollēmums precizēts.</w:t>
            </w:r>
          </w:p>
        </w:tc>
      </w:tr>
      <w:tr w:rsidRPr="001E5BBA" w:rsidR="008B060E" w:rsidTr="00DB0287" w14:paraId="208F1410" w14:textId="77777777">
        <w:trPr>
          <w:gridAfter w:val="1"/>
          <w:wAfter w:w="125" w:type="pct"/>
        </w:trPr>
        <w:tc>
          <w:tcPr>
            <w:tcW w:w="196" w:type="pct"/>
            <w:shd w:val="clear" w:color="auto" w:fill="auto"/>
          </w:tcPr>
          <w:p w:rsidR="008B060E" w:rsidP="008B060E" w:rsidRDefault="008B060E" w14:paraId="41974BEE" w14:textId="6531B0B2">
            <w:pPr>
              <w:pStyle w:val="naisc"/>
              <w:spacing w:before="0" w:after="0"/>
              <w:rPr>
                <w:color w:val="000000" w:themeColor="text1"/>
                <w:sz w:val="20"/>
                <w:szCs w:val="20"/>
              </w:rPr>
            </w:pPr>
            <w:r>
              <w:rPr>
                <w:color w:val="000000" w:themeColor="text1"/>
              </w:rPr>
              <w:lastRenderedPageBreak/>
              <w:t>22.</w:t>
            </w:r>
          </w:p>
        </w:tc>
        <w:tc>
          <w:tcPr>
            <w:tcW w:w="1023" w:type="pct"/>
            <w:shd w:val="clear" w:color="auto" w:fill="auto"/>
          </w:tcPr>
          <w:p w:rsidR="008B060E" w:rsidP="006535F0" w:rsidRDefault="008B060E" w14:paraId="6448B224" w14:textId="3E548A22">
            <w:pPr>
              <w:pStyle w:val="naisc"/>
              <w:spacing w:before="0" w:after="0"/>
              <w:jc w:val="both"/>
              <w:rPr>
                <w:color w:val="000000" w:themeColor="text1"/>
                <w:sz w:val="20"/>
                <w:szCs w:val="20"/>
              </w:rPr>
            </w:pPr>
            <w:r w:rsidRPr="008B060E">
              <w:rPr>
                <w:rFonts w:eastAsia="Calibri"/>
                <w:lang w:eastAsia="en-US"/>
              </w:rPr>
              <w:t>Eiropas Parlamenta un Padomes 2013. gada 11. decembra Regulas (ES) Nr.13/2013, ar ko izveido Eiropas infrastruktūras savienošanas instrumentu (turpmāk tekstā - CEF), groza Regulu (ES) Nr. 913/2010 un atceļ Regulu (EK) Nr. 680/2007 un Regulu (EK) Nr. 67/2010.</w:t>
            </w:r>
          </w:p>
        </w:tc>
        <w:tc>
          <w:tcPr>
            <w:tcW w:w="1247" w:type="pct"/>
            <w:gridSpan w:val="2"/>
            <w:shd w:val="clear" w:color="auto" w:fill="FFFFFF" w:themeFill="background1"/>
          </w:tcPr>
          <w:p w:rsidRPr="008B060E" w:rsidR="008B060E" w:rsidP="006535F0" w:rsidRDefault="008B060E" w14:paraId="4C4422A7" w14:textId="09C53CF2">
            <w:pPr>
              <w:spacing w:after="0"/>
              <w:ind w:right="12"/>
              <w:jc w:val="both"/>
            </w:pPr>
            <w:r w:rsidRPr="008B060E">
              <w:t xml:space="preserve">Iesakām informatīvā ziņojuma 1. un 2. lapaspusē lietot precīzu Eiropas Parlamenta un Padomes 2013. gada 11. decembra Regulas (ES) Nr. </w:t>
            </w:r>
            <w:r w:rsidRPr="008B060E">
              <w:rPr>
                <w:u w:val="single"/>
              </w:rPr>
              <w:t>1316</w:t>
            </w:r>
            <w:r w:rsidRPr="008B060E">
              <w:t>/2013, ar ko izveido Eiropas infrastruktūras savienošanas instrumentu, groza Regulu (ES) Nr. 913/2010 un atceļ Regulu (EK) Nr. 680/2007 un Regulu (EK) Nr. 67/2010, nosaukumu.</w:t>
            </w:r>
          </w:p>
          <w:p w:rsidRPr="0093737A" w:rsidR="008B060E" w:rsidP="006535F0" w:rsidRDefault="008B060E" w14:paraId="53E6F042" w14:textId="77777777">
            <w:pPr>
              <w:pStyle w:val="naisc"/>
              <w:spacing w:before="0" w:after="0"/>
              <w:jc w:val="both"/>
              <w:rPr>
                <w:sz w:val="20"/>
                <w:szCs w:val="20"/>
              </w:rPr>
            </w:pPr>
          </w:p>
        </w:tc>
        <w:tc>
          <w:tcPr>
            <w:tcW w:w="1212" w:type="pct"/>
            <w:shd w:val="clear" w:color="auto" w:fill="FFFFFF" w:themeFill="background1"/>
          </w:tcPr>
          <w:p w:rsidRPr="0093737A" w:rsidR="008B060E" w:rsidP="006535F0" w:rsidRDefault="008B060E" w14:paraId="5D9C045E" w14:textId="6CF23483">
            <w:pPr>
              <w:pStyle w:val="naisc"/>
              <w:spacing w:before="0" w:after="0"/>
              <w:jc w:val="both"/>
              <w:rPr>
                <w:sz w:val="20"/>
                <w:szCs w:val="20"/>
              </w:rPr>
            </w:pPr>
            <w:r w:rsidRPr="008B060E">
              <w:t xml:space="preserve">Iebildums ir ņemts vērā. </w:t>
            </w:r>
          </w:p>
        </w:tc>
        <w:tc>
          <w:tcPr>
            <w:tcW w:w="1197" w:type="pct"/>
            <w:shd w:val="clear" w:color="auto" w:fill="auto"/>
          </w:tcPr>
          <w:p w:rsidR="008B060E" w:rsidP="006535F0" w:rsidRDefault="008B060E" w14:paraId="456075AC" w14:textId="22D5693F">
            <w:pPr>
              <w:jc w:val="both"/>
              <w:rPr>
                <w:color w:val="000000" w:themeColor="text1"/>
                <w:sz w:val="20"/>
                <w:szCs w:val="20"/>
              </w:rPr>
            </w:pPr>
            <w:r w:rsidRPr="008B060E">
              <w:t>Teksts ar regulas nosaukumu svītrots.</w:t>
            </w:r>
          </w:p>
        </w:tc>
      </w:tr>
      <w:tr w:rsidRPr="001E5BBA" w:rsidR="008B060E" w:rsidTr="00DB0287" w14:paraId="7FA6DE02" w14:textId="77777777">
        <w:trPr>
          <w:gridAfter w:val="1"/>
          <w:wAfter w:w="125" w:type="pct"/>
        </w:trPr>
        <w:tc>
          <w:tcPr>
            <w:tcW w:w="196" w:type="pct"/>
            <w:shd w:val="clear" w:color="auto" w:fill="auto"/>
          </w:tcPr>
          <w:p w:rsidR="008B060E" w:rsidP="008B060E" w:rsidRDefault="008B060E" w14:paraId="2C0175B7" w14:textId="70335FD7">
            <w:pPr>
              <w:pStyle w:val="naisc"/>
              <w:spacing w:before="0" w:after="0"/>
              <w:rPr>
                <w:color w:val="000000" w:themeColor="text1"/>
                <w:sz w:val="20"/>
                <w:szCs w:val="20"/>
              </w:rPr>
            </w:pPr>
            <w:r>
              <w:rPr>
                <w:color w:val="000000" w:themeColor="text1"/>
              </w:rPr>
              <w:t>23</w:t>
            </w:r>
          </w:p>
        </w:tc>
        <w:tc>
          <w:tcPr>
            <w:tcW w:w="1023" w:type="pct"/>
            <w:shd w:val="clear" w:color="auto" w:fill="auto"/>
          </w:tcPr>
          <w:p w:rsidR="008B060E" w:rsidP="006535F0" w:rsidRDefault="008B060E" w14:paraId="4F0DC765" w14:textId="7DF09FA8">
            <w:pPr>
              <w:pStyle w:val="naisc"/>
              <w:spacing w:before="0" w:after="0"/>
              <w:jc w:val="both"/>
              <w:rPr>
                <w:color w:val="000000" w:themeColor="text1"/>
                <w:sz w:val="20"/>
                <w:szCs w:val="20"/>
              </w:rPr>
            </w:pPr>
            <w:r w:rsidRPr="008B060E">
              <w:rPr>
                <w:bCs/>
                <w:color w:val="000000" w:themeColor="text1"/>
              </w:rPr>
              <w:t>Visā projektā.</w:t>
            </w:r>
          </w:p>
        </w:tc>
        <w:tc>
          <w:tcPr>
            <w:tcW w:w="1247" w:type="pct"/>
            <w:gridSpan w:val="2"/>
            <w:shd w:val="clear" w:color="auto" w:fill="FFFFFF" w:themeFill="background1"/>
          </w:tcPr>
          <w:p w:rsidRPr="0093737A" w:rsidR="008B060E" w:rsidP="006535F0" w:rsidRDefault="008B060E" w14:paraId="5EA74654" w14:textId="1329E73F">
            <w:pPr>
              <w:pStyle w:val="naisc"/>
              <w:spacing w:before="0" w:after="0"/>
              <w:jc w:val="both"/>
              <w:rPr>
                <w:sz w:val="20"/>
                <w:szCs w:val="20"/>
              </w:rPr>
            </w:pPr>
            <w:r w:rsidRPr="008B060E">
              <w:t>Atbilstoši juridiskās tehnikas prasībām iesakām informatīvajā ziņojumā atrunāt saīsinājumu “EISI” un “EK”</w:t>
            </w:r>
          </w:p>
        </w:tc>
        <w:tc>
          <w:tcPr>
            <w:tcW w:w="1212" w:type="pct"/>
            <w:shd w:val="clear" w:color="auto" w:fill="FFFFFF" w:themeFill="background1"/>
          </w:tcPr>
          <w:p w:rsidRPr="0093737A" w:rsidR="008B060E" w:rsidP="006535F0" w:rsidRDefault="008B060E" w14:paraId="52420026" w14:textId="49990F10">
            <w:pPr>
              <w:pStyle w:val="naisc"/>
              <w:spacing w:before="0" w:after="0"/>
              <w:jc w:val="both"/>
              <w:rPr>
                <w:sz w:val="20"/>
                <w:szCs w:val="20"/>
              </w:rPr>
            </w:pPr>
            <w:r w:rsidRPr="008B060E">
              <w:t>Iebildums ir ņemts vērā un iestrādāts ziņojumā.</w:t>
            </w:r>
          </w:p>
        </w:tc>
        <w:tc>
          <w:tcPr>
            <w:tcW w:w="1197" w:type="pct"/>
            <w:shd w:val="clear" w:color="auto" w:fill="auto"/>
          </w:tcPr>
          <w:p w:rsidR="008B060E" w:rsidP="006535F0" w:rsidRDefault="008B060E" w14:paraId="490C8067" w14:textId="0FE3B4FA">
            <w:pPr>
              <w:jc w:val="both"/>
              <w:rPr>
                <w:color w:val="000000" w:themeColor="text1"/>
                <w:sz w:val="20"/>
                <w:szCs w:val="20"/>
              </w:rPr>
            </w:pPr>
            <w:r w:rsidRPr="008B060E">
              <w:rPr>
                <w:bCs/>
                <w:color w:val="000000" w:themeColor="text1"/>
              </w:rPr>
              <w:t>Visā projektā.</w:t>
            </w:r>
          </w:p>
        </w:tc>
      </w:tr>
      <w:tr w:rsidRPr="001E5BBA" w:rsidR="00F0149F" w:rsidTr="00B85D9F" w14:paraId="6ACBFE2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98"/>
        </w:trPr>
        <w:tc>
          <w:tcPr>
            <w:tcW w:w="1775" w:type="pct"/>
            <w:gridSpan w:val="3"/>
            <w:shd w:val="clear" w:color="auto" w:fill="FFFFFF" w:themeFill="background1"/>
          </w:tcPr>
          <w:p w:rsidRPr="001E5BBA" w:rsidR="00F0149F" w:rsidP="00F0149F" w:rsidRDefault="00F0149F" w14:paraId="5A6D595E" w14:textId="7504D404">
            <w:pPr>
              <w:rPr>
                <w:color w:val="000000" w:themeColor="text1"/>
                <w:sz w:val="20"/>
                <w:szCs w:val="20"/>
              </w:rPr>
            </w:pPr>
          </w:p>
          <w:p w:rsidRPr="001E5BBA" w:rsidR="00F0149F" w:rsidP="00B85D9F" w:rsidRDefault="00F0149F" w14:paraId="300A5194" w14:textId="77777777">
            <w:pPr>
              <w:jc w:val="center"/>
              <w:rPr>
                <w:color w:val="000000" w:themeColor="text1"/>
                <w:sz w:val="20"/>
                <w:szCs w:val="20"/>
              </w:rPr>
            </w:pPr>
            <w:r w:rsidRPr="001E5BBA">
              <w:rPr>
                <w:color w:val="000000" w:themeColor="text1"/>
                <w:sz w:val="20"/>
                <w:szCs w:val="20"/>
              </w:rPr>
              <w:t>Atbildīgā amatpersona</w:t>
            </w:r>
          </w:p>
        </w:tc>
        <w:tc>
          <w:tcPr>
            <w:tcW w:w="3225" w:type="pct"/>
            <w:gridSpan w:val="4"/>
            <w:shd w:val="clear" w:color="auto" w:fill="FFFFFF" w:themeFill="background1"/>
          </w:tcPr>
          <w:p w:rsidRPr="001E5BBA" w:rsidR="00F0149F" w:rsidP="00F0149F" w:rsidRDefault="00F0149F" w14:paraId="16E859DC" w14:textId="58A9D427">
            <w:pPr>
              <w:ind w:firstLine="720"/>
              <w:jc w:val="both"/>
              <w:rPr>
                <w:color w:val="000000" w:themeColor="text1"/>
                <w:sz w:val="20"/>
                <w:szCs w:val="20"/>
              </w:rPr>
            </w:pPr>
          </w:p>
        </w:tc>
      </w:tr>
    </w:tbl>
    <w:p w:rsidRPr="001E5BBA" w:rsidR="00D764BA" w:rsidP="00D764BA" w:rsidRDefault="00D764BA" w14:paraId="47172038" w14:textId="13725B87">
      <w:pPr>
        <w:jc w:val="both"/>
        <w:rPr>
          <w:color w:val="000000" w:themeColor="text1"/>
        </w:rPr>
      </w:pP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00F0149F">
        <w:rPr>
          <w:color w:val="000000" w:themeColor="text1"/>
        </w:rPr>
        <w:t>Olita Bērziņa</w:t>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r w:rsidRPr="001E5BBA">
        <w:rPr>
          <w:color w:val="000000" w:themeColor="text1"/>
        </w:rPr>
        <w:tab/>
      </w:r>
    </w:p>
    <w:tbl>
      <w:tblPr>
        <w:tblW w:w="0" w:type="auto"/>
        <w:tblLook w:val="00A0" w:firstRow="1" w:lastRow="0" w:firstColumn="1" w:lastColumn="0" w:noHBand="0" w:noVBand="0"/>
      </w:tblPr>
      <w:tblGrid>
        <w:gridCol w:w="8268"/>
      </w:tblGrid>
      <w:tr w:rsidRPr="001E5BBA" w:rsidR="001E5BBA" w:rsidTr="00517D4E" w14:paraId="5BED0C93" w14:textId="77777777">
        <w:tc>
          <w:tcPr>
            <w:tcW w:w="8268" w:type="dxa"/>
            <w:tcBorders>
              <w:top w:val="single" w:color="000000" w:sz="4" w:space="0"/>
            </w:tcBorders>
          </w:tcPr>
          <w:p w:rsidRPr="001E5BBA" w:rsidR="00D764BA" w:rsidP="00D764BA" w:rsidRDefault="00D764BA" w14:paraId="5D3BD87D" w14:textId="77777777">
            <w:pPr>
              <w:jc w:val="center"/>
              <w:rPr>
                <w:color w:val="000000" w:themeColor="text1"/>
              </w:rPr>
            </w:pPr>
            <w:r w:rsidRPr="001E5BBA">
              <w:rPr>
                <w:color w:val="000000" w:themeColor="text1"/>
              </w:rPr>
              <w:t>(par projektu atbildīgās amatpersonas vārds un uzvārds)</w:t>
            </w:r>
          </w:p>
        </w:tc>
      </w:tr>
      <w:tr w:rsidRPr="001E5BBA" w:rsidR="001E5BBA" w:rsidTr="00517D4E" w14:paraId="4373DF19" w14:textId="77777777">
        <w:tc>
          <w:tcPr>
            <w:tcW w:w="8268" w:type="dxa"/>
            <w:tcBorders>
              <w:bottom w:val="single" w:color="000000" w:sz="4" w:space="0"/>
            </w:tcBorders>
          </w:tcPr>
          <w:p w:rsidRPr="001E5BBA" w:rsidR="00144D70" w:rsidP="00D764BA" w:rsidRDefault="00144D70" w14:paraId="30084316" w14:textId="77777777">
            <w:pPr>
              <w:rPr>
                <w:color w:val="000000" w:themeColor="text1"/>
              </w:rPr>
            </w:pPr>
          </w:p>
          <w:p w:rsidRPr="001E5BBA" w:rsidR="00D764BA" w:rsidP="00F0149F" w:rsidRDefault="00F0149F" w14:paraId="19894DA1" w14:textId="04776DEE">
            <w:pPr>
              <w:jc w:val="center"/>
              <w:rPr>
                <w:color w:val="000000" w:themeColor="text1"/>
              </w:rPr>
            </w:pPr>
            <w:r>
              <w:rPr>
                <w:color w:val="000000" w:themeColor="text1"/>
              </w:rPr>
              <w:t>Rail Baltica projekta nodaļas vadītāja</w:t>
            </w:r>
          </w:p>
        </w:tc>
      </w:tr>
      <w:tr w:rsidRPr="001E5BBA" w:rsidR="001E5BBA" w:rsidTr="00517D4E" w14:paraId="47EBEF59" w14:textId="77777777">
        <w:tc>
          <w:tcPr>
            <w:tcW w:w="8268" w:type="dxa"/>
            <w:tcBorders>
              <w:top w:val="single" w:color="000000" w:sz="4" w:space="0"/>
            </w:tcBorders>
          </w:tcPr>
          <w:p w:rsidRPr="001E5BBA" w:rsidR="00D764BA" w:rsidP="00D764BA" w:rsidRDefault="00D764BA" w14:paraId="4F42921B" w14:textId="77777777">
            <w:pPr>
              <w:jc w:val="center"/>
              <w:rPr>
                <w:color w:val="000000" w:themeColor="text1"/>
              </w:rPr>
            </w:pPr>
            <w:r w:rsidRPr="001E5BBA">
              <w:rPr>
                <w:color w:val="000000" w:themeColor="text1"/>
              </w:rPr>
              <w:t>(amats)</w:t>
            </w:r>
          </w:p>
        </w:tc>
      </w:tr>
      <w:tr w:rsidRPr="001E5BBA" w:rsidR="001E5BBA" w:rsidTr="00517D4E" w14:paraId="4FC19CA5" w14:textId="77777777">
        <w:tc>
          <w:tcPr>
            <w:tcW w:w="8268" w:type="dxa"/>
            <w:tcBorders>
              <w:bottom w:val="single" w:color="000000" w:sz="4" w:space="0"/>
            </w:tcBorders>
          </w:tcPr>
          <w:p w:rsidRPr="001E5BBA" w:rsidR="00F0149F" w:rsidP="00F0149F" w:rsidRDefault="00872FE2" w14:paraId="414A057E" w14:textId="22B90C15">
            <w:pPr>
              <w:jc w:val="center"/>
              <w:rPr>
                <w:color w:val="000000" w:themeColor="text1"/>
              </w:rPr>
            </w:pPr>
            <w:r>
              <w:rPr>
                <w:color w:val="000000" w:themeColor="text1"/>
              </w:rPr>
              <w:lastRenderedPageBreak/>
              <w:t>6</w:t>
            </w:r>
            <w:r w:rsidR="00F0149F">
              <w:rPr>
                <w:color w:val="000000" w:themeColor="text1"/>
              </w:rPr>
              <w:t>7028083</w:t>
            </w:r>
          </w:p>
        </w:tc>
      </w:tr>
      <w:tr w:rsidRPr="001E5BBA" w:rsidR="001E5BBA" w:rsidTr="00517D4E" w14:paraId="029B61C0" w14:textId="77777777">
        <w:tc>
          <w:tcPr>
            <w:tcW w:w="8268" w:type="dxa"/>
            <w:tcBorders>
              <w:top w:val="single" w:color="000000" w:sz="4" w:space="0"/>
            </w:tcBorders>
          </w:tcPr>
          <w:p w:rsidRPr="001E5BBA" w:rsidR="00D764BA" w:rsidP="00144D70" w:rsidRDefault="00144D70" w14:paraId="51A35908" w14:textId="77777777">
            <w:pPr>
              <w:jc w:val="center"/>
              <w:rPr>
                <w:color w:val="000000" w:themeColor="text1"/>
              </w:rPr>
            </w:pPr>
            <w:r w:rsidRPr="001E5BBA">
              <w:rPr>
                <w:color w:val="000000" w:themeColor="text1"/>
              </w:rPr>
              <w:t xml:space="preserve">(tālruņa </w:t>
            </w:r>
            <w:r w:rsidRPr="001E5BBA" w:rsidR="00D764BA">
              <w:rPr>
                <w:color w:val="000000" w:themeColor="text1"/>
              </w:rPr>
              <w:t>numurs)</w:t>
            </w:r>
          </w:p>
        </w:tc>
      </w:tr>
      <w:tr w:rsidRPr="001E5BBA" w:rsidR="0066148B" w:rsidTr="00517D4E" w14:paraId="5B4EDCA9" w14:textId="77777777">
        <w:tc>
          <w:tcPr>
            <w:tcW w:w="8268" w:type="dxa"/>
            <w:tcBorders>
              <w:top w:val="single" w:color="000000" w:sz="4" w:space="0"/>
            </w:tcBorders>
          </w:tcPr>
          <w:p w:rsidRPr="001E5BBA" w:rsidR="0066148B" w:rsidP="00D764BA" w:rsidRDefault="0066148B" w14:paraId="68D555F1" w14:textId="77777777">
            <w:pPr>
              <w:jc w:val="center"/>
              <w:rPr>
                <w:color w:val="000000" w:themeColor="text1"/>
              </w:rPr>
            </w:pPr>
            <w:bookmarkStart w:name="_GoBack" w:id="0"/>
            <w:bookmarkEnd w:id="0"/>
          </w:p>
        </w:tc>
      </w:tr>
    </w:tbl>
    <w:p w:rsidR="00872FE2" w:rsidP="00D764BA" w:rsidRDefault="00872FE2" w14:paraId="2E1EF4DE" w14:textId="77777777">
      <w:pPr>
        <w:tabs>
          <w:tab w:val="left" w:pos="6840"/>
        </w:tabs>
        <w:jc w:val="both"/>
        <w:rPr>
          <w:color w:val="000000" w:themeColor="text1"/>
          <w:sz w:val="20"/>
          <w:szCs w:val="20"/>
        </w:rPr>
      </w:pPr>
    </w:p>
    <w:p w:rsidRPr="008B060E" w:rsidR="00B85D9F" w:rsidP="00B85D9F" w:rsidRDefault="00B85D9F" w14:paraId="4CFAA261" w14:textId="77777777">
      <w:pPr>
        <w:widowControl w:val="0"/>
        <w:rPr>
          <w:rFonts w:eastAsia="Calibri"/>
          <w:sz w:val="20"/>
          <w:szCs w:val="20"/>
        </w:rPr>
      </w:pPr>
      <w:r w:rsidRPr="008B060E">
        <w:rPr>
          <w:rFonts w:eastAsia="Calibri"/>
          <w:sz w:val="20"/>
          <w:szCs w:val="20"/>
        </w:rPr>
        <w:t>O.Bērziņa, 67028083</w:t>
      </w:r>
    </w:p>
    <w:p w:rsidRPr="00B85D9F" w:rsidR="00B85D9F" w:rsidP="00B85D9F" w:rsidRDefault="00525194" w14:paraId="46343BCE" w14:textId="77777777">
      <w:pPr>
        <w:widowControl w:val="0"/>
        <w:rPr>
          <w:rFonts w:eastAsia="Calibri"/>
          <w:sz w:val="20"/>
          <w:szCs w:val="20"/>
        </w:rPr>
      </w:pPr>
      <w:hyperlink w:history="1" r:id="rId8">
        <w:r w:rsidRPr="008B060E" w:rsidR="00B85D9F">
          <w:rPr>
            <w:rFonts w:eastAsia="Calibri"/>
            <w:color w:val="0000FF"/>
            <w:sz w:val="20"/>
            <w:szCs w:val="20"/>
            <w:u w:val="single"/>
          </w:rPr>
          <w:t>Olita.Berzina@sam.gov.lv</w:t>
        </w:r>
      </w:hyperlink>
      <w:r w:rsidRPr="00B85D9F" w:rsidR="00B85D9F">
        <w:rPr>
          <w:rFonts w:eastAsia="Calibri"/>
          <w:sz w:val="20"/>
          <w:szCs w:val="20"/>
        </w:rPr>
        <w:t xml:space="preserve"> </w:t>
      </w:r>
    </w:p>
    <w:sectPr w:rsidRPr="00B85D9F" w:rsidR="00B85D9F" w:rsidSect="00376BD8">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42D8" w14:textId="77777777" w:rsidR="00813F76" w:rsidRDefault="00813F76" w:rsidP="00B31052">
      <w:r>
        <w:separator/>
      </w:r>
    </w:p>
  </w:endnote>
  <w:endnote w:type="continuationSeparator" w:id="0">
    <w:p w14:paraId="3455A099" w14:textId="77777777" w:rsidR="00813F76" w:rsidRDefault="00813F76" w:rsidP="00B31052">
      <w:r>
        <w:continuationSeparator/>
      </w:r>
    </w:p>
  </w:endnote>
  <w:endnote w:type="continuationNotice" w:id="1">
    <w:p w14:paraId="73E178D6" w14:textId="77777777" w:rsidR="00813F76" w:rsidRDefault="00813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453" w14:textId="639BA95F" w:rsidR="00480C5A" w:rsidRPr="00425C95" w:rsidRDefault="00425C95" w:rsidP="00425C95">
    <w:pPr>
      <w:pStyle w:val="Footer"/>
    </w:pPr>
    <w:r w:rsidRPr="00425C95">
      <w:rPr>
        <w:sz w:val="20"/>
        <w:szCs w:val="20"/>
      </w:rPr>
      <w:t>SMzino_</w:t>
    </w:r>
    <w:r w:rsidR="007C49C6">
      <w:rPr>
        <w:sz w:val="20"/>
        <w:szCs w:val="20"/>
      </w:rPr>
      <w:t>31</w:t>
    </w:r>
    <w:r w:rsidRPr="00425C95">
      <w:rPr>
        <w:sz w:val="20"/>
        <w:szCs w:val="20"/>
      </w:rPr>
      <w:t>1019_RB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BCB01" w14:textId="7B39C1CB" w:rsidR="00480C5A" w:rsidRDefault="002A6260">
    <w:r>
      <w:rPr>
        <w:sz w:val="20"/>
        <w:szCs w:val="20"/>
      </w:rPr>
      <w:t>SM</w:t>
    </w:r>
    <w:r w:rsidR="00480C5A" w:rsidRPr="00B1065F">
      <w:rPr>
        <w:sz w:val="20"/>
        <w:szCs w:val="20"/>
      </w:rPr>
      <w:t>Izz_</w:t>
    </w:r>
    <w:r w:rsidR="003774D7">
      <w:rPr>
        <w:sz w:val="20"/>
        <w:szCs w:val="20"/>
      </w:rPr>
      <w:t>31</w:t>
    </w:r>
    <w:r w:rsidR="001D0B6B">
      <w:rPr>
        <w:sz w:val="20"/>
        <w:szCs w:val="20"/>
      </w:rPr>
      <w:t>1019</w:t>
    </w:r>
    <w:r>
      <w:rPr>
        <w:sz w:val="20"/>
        <w:szCs w:val="20"/>
      </w:rPr>
      <w:t>_RB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7E5D4" w14:textId="77777777" w:rsidR="00813F76" w:rsidRDefault="00813F76" w:rsidP="00B31052">
      <w:r>
        <w:separator/>
      </w:r>
    </w:p>
  </w:footnote>
  <w:footnote w:type="continuationSeparator" w:id="0">
    <w:p w14:paraId="293C6C7A" w14:textId="77777777" w:rsidR="00813F76" w:rsidRDefault="00813F76" w:rsidP="00B31052">
      <w:r>
        <w:continuationSeparator/>
      </w:r>
    </w:p>
  </w:footnote>
  <w:footnote w:type="continuationNotice" w:id="1">
    <w:p w14:paraId="21878001" w14:textId="77777777" w:rsidR="00813F76" w:rsidRDefault="00813F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82184"/>
      <w:docPartObj>
        <w:docPartGallery w:val="Page Numbers (Top of Page)"/>
        <w:docPartUnique/>
      </w:docPartObj>
    </w:sdtPr>
    <w:sdtEndPr>
      <w:rPr>
        <w:noProof/>
      </w:rPr>
    </w:sdtEndPr>
    <w:sdtContent>
      <w:p w:rsidR="00480C5A" w:rsidRDefault="00480C5A" w14:paraId="74F6CAE4" w14:textId="6AF5ACD7">
        <w:pPr>
          <w:pStyle w:val="Header"/>
          <w:jc w:val="center"/>
        </w:pPr>
        <w:r>
          <w:fldChar w:fldCharType="begin"/>
        </w:r>
        <w:r>
          <w:instrText xml:space="preserve"> PAGE   \* MERGEFORMAT </w:instrText>
        </w:r>
        <w:r>
          <w:fldChar w:fldCharType="separate"/>
        </w:r>
        <w:r w:rsidR="003E6E48">
          <w:rPr>
            <w:noProof/>
          </w:rPr>
          <w:t>2</w:t>
        </w:r>
        <w:r>
          <w:rPr>
            <w:noProof/>
          </w:rPr>
          <w:fldChar w:fldCharType="end"/>
        </w:r>
      </w:p>
    </w:sdtContent>
  </w:sdt>
  <w:p w:rsidR="00480C5A" w:rsidRDefault="00480C5A" w14:paraId="3AD28AD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31147"/>
    <w:multiLevelType w:val="hybridMultilevel"/>
    <w:tmpl w:val="198A06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2" w15:restartNumberingAfterBreak="0">
    <w:nsid w:val="45BE3B91"/>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547E2C98"/>
    <w:multiLevelType w:val="hybridMultilevel"/>
    <w:tmpl w:val="16E6C2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52"/>
    <w:rsid w:val="000006D1"/>
    <w:rsid w:val="00001D8C"/>
    <w:rsid w:val="000024B5"/>
    <w:rsid w:val="000026A3"/>
    <w:rsid w:val="00002B38"/>
    <w:rsid w:val="0000364D"/>
    <w:rsid w:val="00003873"/>
    <w:rsid w:val="00006EC9"/>
    <w:rsid w:val="00010448"/>
    <w:rsid w:val="000112E1"/>
    <w:rsid w:val="00011CD1"/>
    <w:rsid w:val="000123A2"/>
    <w:rsid w:val="000148ED"/>
    <w:rsid w:val="00014A9D"/>
    <w:rsid w:val="000156F3"/>
    <w:rsid w:val="00015B3A"/>
    <w:rsid w:val="00021150"/>
    <w:rsid w:val="00024B34"/>
    <w:rsid w:val="00025CE7"/>
    <w:rsid w:val="00026237"/>
    <w:rsid w:val="00027267"/>
    <w:rsid w:val="0003218D"/>
    <w:rsid w:val="00032324"/>
    <w:rsid w:val="00032D43"/>
    <w:rsid w:val="00034F0D"/>
    <w:rsid w:val="000351DC"/>
    <w:rsid w:val="00035738"/>
    <w:rsid w:val="0003722F"/>
    <w:rsid w:val="00037231"/>
    <w:rsid w:val="000419EE"/>
    <w:rsid w:val="00042BDE"/>
    <w:rsid w:val="0004390A"/>
    <w:rsid w:val="000440E5"/>
    <w:rsid w:val="00044233"/>
    <w:rsid w:val="00044E34"/>
    <w:rsid w:val="000458A4"/>
    <w:rsid w:val="00046278"/>
    <w:rsid w:val="00047800"/>
    <w:rsid w:val="00047852"/>
    <w:rsid w:val="0005197C"/>
    <w:rsid w:val="00052316"/>
    <w:rsid w:val="00052F2D"/>
    <w:rsid w:val="000545FB"/>
    <w:rsid w:val="00054F92"/>
    <w:rsid w:val="00056357"/>
    <w:rsid w:val="00056471"/>
    <w:rsid w:val="0005694B"/>
    <w:rsid w:val="000575EA"/>
    <w:rsid w:val="000576B6"/>
    <w:rsid w:val="00060600"/>
    <w:rsid w:val="00060695"/>
    <w:rsid w:val="000615AA"/>
    <w:rsid w:val="00063D40"/>
    <w:rsid w:val="000647E4"/>
    <w:rsid w:val="000649BA"/>
    <w:rsid w:val="00064D70"/>
    <w:rsid w:val="000655B3"/>
    <w:rsid w:val="0006578E"/>
    <w:rsid w:val="00065DE9"/>
    <w:rsid w:val="00067241"/>
    <w:rsid w:val="000674AC"/>
    <w:rsid w:val="00074AEF"/>
    <w:rsid w:val="00075616"/>
    <w:rsid w:val="00077A48"/>
    <w:rsid w:val="00080308"/>
    <w:rsid w:val="000808E9"/>
    <w:rsid w:val="00081D2E"/>
    <w:rsid w:val="00085AC6"/>
    <w:rsid w:val="000863A8"/>
    <w:rsid w:val="00087A90"/>
    <w:rsid w:val="0009474B"/>
    <w:rsid w:val="000A0D2B"/>
    <w:rsid w:val="000A1107"/>
    <w:rsid w:val="000A3198"/>
    <w:rsid w:val="000A3CB3"/>
    <w:rsid w:val="000A4A1C"/>
    <w:rsid w:val="000A56F7"/>
    <w:rsid w:val="000A749C"/>
    <w:rsid w:val="000B184D"/>
    <w:rsid w:val="000B3928"/>
    <w:rsid w:val="000B3F2C"/>
    <w:rsid w:val="000B3F8A"/>
    <w:rsid w:val="000B5E76"/>
    <w:rsid w:val="000C1529"/>
    <w:rsid w:val="000C16A0"/>
    <w:rsid w:val="000C1BF0"/>
    <w:rsid w:val="000C330B"/>
    <w:rsid w:val="000C5978"/>
    <w:rsid w:val="000C6EB1"/>
    <w:rsid w:val="000C7DE1"/>
    <w:rsid w:val="000D0A74"/>
    <w:rsid w:val="000D1A2D"/>
    <w:rsid w:val="000D225F"/>
    <w:rsid w:val="000D48F0"/>
    <w:rsid w:val="000D62B5"/>
    <w:rsid w:val="000D6ACE"/>
    <w:rsid w:val="000D7CD7"/>
    <w:rsid w:val="000E1E70"/>
    <w:rsid w:val="000E1F14"/>
    <w:rsid w:val="000E341B"/>
    <w:rsid w:val="000E3A9A"/>
    <w:rsid w:val="000E47BC"/>
    <w:rsid w:val="000E5126"/>
    <w:rsid w:val="000E5C15"/>
    <w:rsid w:val="000E679B"/>
    <w:rsid w:val="000E7967"/>
    <w:rsid w:val="000F26E0"/>
    <w:rsid w:val="000F3724"/>
    <w:rsid w:val="000F57E7"/>
    <w:rsid w:val="000F63E0"/>
    <w:rsid w:val="000F6800"/>
    <w:rsid w:val="000F7FA8"/>
    <w:rsid w:val="001007F0"/>
    <w:rsid w:val="00103F90"/>
    <w:rsid w:val="001056F7"/>
    <w:rsid w:val="00107C6A"/>
    <w:rsid w:val="0011360D"/>
    <w:rsid w:val="00114265"/>
    <w:rsid w:val="001142C4"/>
    <w:rsid w:val="00114FAA"/>
    <w:rsid w:val="00115AE3"/>
    <w:rsid w:val="00116DA7"/>
    <w:rsid w:val="0012189F"/>
    <w:rsid w:val="00122EF6"/>
    <w:rsid w:val="001243FC"/>
    <w:rsid w:val="00124727"/>
    <w:rsid w:val="00124916"/>
    <w:rsid w:val="001258AB"/>
    <w:rsid w:val="00125B4F"/>
    <w:rsid w:val="001264F9"/>
    <w:rsid w:val="0013051B"/>
    <w:rsid w:val="00134E78"/>
    <w:rsid w:val="00134FDC"/>
    <w:rsid w:val="0013616F"/>
    <w:rsid w:val="00137165"/>
    <w:rsid w:val="001374D2"/>
    <w:rsid w:val="00137650"/>
    <w:rsid w:val="00141063"/>
    <w:rsid w:val="00141FF5"/>
    <w:rsid w:val="0014266E"/>
    <w:rsid w:val="00142770"/>
    <w:rsid w:val="00144D70"/>
    <w:rsid w:val="001452E1"/>
    <w:rsid w:val="0014660F"/>
    <w:rsid w:val="001477C0"/>
    <w:rsid w:val="001478FE"/>
    <w:rsid w:val="001503EB"/>
    <w:rsid w:val="0015048C"/>
    <w:rsid w:val="00150AE4"/>
    <w:rsid w:val="0015147A"/>
    <w:rsid w:val="001517F9"/>
    <w:rsid w:val="00152BE2"/>
    <w:rsid w:val="001619F5"/>
    <w:rsid w:val="001621D6"/>
    <w:rsid w:val="00165DB3"/>
    <w:rsid w:val="00166EAC"/>
    <w:rsid w:val="00170024"/>
    <w:rsid w:val="001711DA"/>
    <w:rsid w:val="0017342A"/>
    <w:rsid w:val="00175675"/>
    <w:rsid w:val="00175BF4"/>
    <w:rsid w:val="00176E8C"/>
    <w:rsid w:val="00181797"/>
    <w:rsid w:val="001819AE"/>
    <w:rsid w:val="001828C7"/>
    <w:rsid w:val="0018474C"/>
    <w:rsid w:val="00185680"/>
    <w:rsid w:val="00185CA0"/>
    <w:rsid w:val="001865E7"/>
    <w:rsid w:val="00190037"/>
    <w:rsid w:val="00190393"/>
    <w:rsid w:val="001976F6"/>
    <w:rsid w:val="0019780A"/>
    <w:rsid w:val="00197D64"/>
    <w:rsid w:val="001A0C00"/>
    <w:rsid w:val="001A35BF"/>
    <w:rsid w:val="001A7FF9"/>
    <w:rsid w:val="001B05BC"/>
    <w:rsid w:val="001B0F21"/>
    <w:rsid w:val="001B1AD6"/>
    <w:rsid w:val="001B1CDC"/>
    <w:rsid w:val="001B3100"/>
    <w:rsid w:val="001B3F63"/>
    <w:rsid w:val="001B7252"/>
    <w:rsid w:val="001B7DCD"/>
    <w:rsid w:val="001C0ADE"/>
    <w:rsid w:val="001C0AF8"/>
    <w:rsid w:val="001C4332"/>
    <w:rsid w:val="001D0B6B"/>
    <w:rsid w:val="001D1797"/>
    <w:rsid w:val="001D2C57"/>
    <w:rsid w:val="001D4731"/>
    <w:rsid w:val="001D5A56"/>
    <w:rsid w:val="001E228E"/>
    <w:rsid w:val="001E2FA0"/>
    <w:rsid w:val="001E3A18"/>
    <w:rsid w:val="001E4AAB"/>
    <w:rsid w:val="001E4E5F"/>
    <w:rsid w:val="001E5BBA"/>
    <w:rsid w:val="001E6A49"/>
    <w:rsid w:val="001E6B50"/>
    <w:rsid w:val="001F0947"/>
    <w:rsid w:val="001F3394"/>
    <w:rsid w:val="001F35CC"/>
    <w:rsid w:val="001F747F"/>
    <w:rsid w:val="00200427"/>
    <w:rsid w:val="0020131C"/>
    <w:rsid w:val="00201A95"/>
    <w:rsid w:val="002036D5"/>
    <w:rsid w:val="00204402"/>
    <w:rsid w:val="00213C7C"/>
    <w:rsid w:val="002150BC"/>
    <w:rsid w:val="002151D7"/>
    <w:rsid w:val="00215E20"/>
    <w:rsid w:val="002172DA"/>
    <w:rsid w:val="00217692"/>
    <w:rsid w:val="00217CB0"/>
    <w:rsid w:val="0022083A"/>
    <w:rsid w:val="00222E45"/>
    <w:rsid w:val="00225589"/>
    <w:rsid w:val="0022581F"/>
    <w:rsid w:val="00225F1D"/>
    <w:rsid w:val="002276B6"/>
    <w:rsid w:val="00230003"/>
    <w:rsid w:val="00232C2C"/>
    <w:rsid w:val="00235E0F"/>
    <w:rsid w:val="00237835"/>
    <w:rsid w:val="00241303"/>
    <w:rsid w:val="00242331"/>
    <w:rsid w:val="0024541F"/>
    <w:rsid w:val="002456DE"/>
    <w:rsid w:val="00245F1E"/>
    <w:rsid w:val="0024613F"/>
    <w:rsid w:val="0024735C"/>
    <w:rsid w:val="00247A85"/>
    <w:rsid w:val="00252132"/>
    <w:rsid w:val="002523D9"/>
    <w:rsid w:val="00252E5D"/>
    <w:rsid w:val="00253B5F"/>
    <w:rsid w:val="002543C8"/>
    <w:rsid w:val="00254F29"/>
    <w:rsid w:val="00256A2C"/>
    <w:rsid w:val="00256A55"/>
    <w:rsid w:val="00256C8F"/>
    <w:rsid w:val="0025794E"/>
    <w:rsid w:val="002603D5"/>
    <w:rsid w:val="00261B25"/>
    <w:rsid w:val="0026225B"/>
    <w:rsid w:val="00262B57"/>
    <w:rsid w:val="00262EA4"/>
    <w:rsid w:val="0026403B"/>
    <w:rsid w:val="00264F9E"/>
    <w:rsid w:val="00265A3E"/>
    <w:rsid w:val="0026605C"/>
    <w:rsid w:val="00266F88"/>
    <w:rsid w:val="002677F1"/>
    <w:rsid w:val="002702C2"/>
    <w:rsid w:val="00274491"/>
    <w:rsid w:val="00274915"/>
    <w:rsid w:val="00276CD5"/>
    <w:rsid w:val="00276D84"/>
    <w:rsid w:val="002816E3"/>
    <w:rsid w:val="002846C2"/>
    <w:rsid w:val="00284A2D"/>
    <w:rsid w:val="00286C22"/>
    <w:rsid w:val="00287665"/>
    <w:rsid w:val="00287EE3"/>
    <w:rsid w:val="002902B0"/>
    <w:rsid w:val="00291E23"/>
    <w:rsid w:val="00291FBA"/>
    <w:rsid w:val="00292D6A"/>
    <w:rsid w:val="00296599"/>
    <w:rsid w:val="00296AE0"/>
    <w:rsid w:val="00296B4A"/>
    <w:rsid w:val="002A2E58"/>
    <w:rsid w:val="002A2EE5"/>
    <w:rsid w:val="002A3F86"/>
    <w:rsid w:val="002A47D6"/>
    <w:rsid w:val="002A4BD8"/>
    <w:rsid w:val="002A5B8E"/>
    <w:rsid w:val="002A5E22"/>
    <w:rsid w:val="002A6260"/>
    <w:rsid w:val="002A62C8"/>
    <w:rsid w:val="002A701F"/>
    <w:rsid w:val="002B0820"/>
    <w:rsid w:val="002B3324"/>
    <w:rsid w:val="002B497E"/>
    <w:rsid w:val="002B59C6"/>
    <w:rsid w:val="002B5E21"/>
    <w:rsid w:val="002B7E54"/>
    <w:rsid w:val="002C0CBF"/>
    <w:rsid w:val="002C365E"/>
    <w:rsid w:val="002C7D12"/>
    <w:rsid w:val="002D0DF3"/>
    <w:rsid w:val="002D1158"/>
    <w:rsid w:val="002D5104"/>
    <w:rsid w:val="002D6846"/>
    <w:rsid w:val="002E2612"/>
    <w:rsid w:val="002E327F"/>
    <w:rsid w:val="002E40FB"/>
    <w:rsid w:val="002F10B0"/>
    <w:rsid w:val="002F20B0"/>
    <w:rsid w:val="002F237F"/>
    <w:rsid w:val="002F2708"/>
    <w:rsid w:val="002F3F0D"/>
    <w:rsid w:val="003016BD"/>
    <w:rsid w:val="00301856"/>
    <w:rsid w:val="00302232"/>
    <w:rsid w:val="0030496F"/>
    <w:rsid w:val="00305098"/>
    <w:rsid w:val="00306F27"/>
    <w:rsid w:val="003074BB"/>
    <w:rsid w:val="00307A59"/>
    <w:rsid w:val="00307BA3"/>
    <w:rsid w:val="00307DCA"/>
    <w:rsid w:val="00310B25"/>
    <w:rsid w:val="00311019"/>
    <w:rsid w:val="00311204"/>
    <w:rsid w:val="00311318"/>
    <w:rsid w:val="00311A44"/>
    <w:rsid w:val="00313A24"/>
    <w:rsid w:val="00315571"/>
    <w:rsid w:val="00315BEA"/>
    <w:rsid w:val="003168D5"/>
    <w:rsid w:val="00317021"/>
    <w:rsid w:val="00317300"/>
    <w:rsid w:val="00320F87"/>
    <w:rsid w:val="00321150"/>
    <w:rsid w:val="00322F5A"/>
    <w:rsid w:val="00325B8C"/>
    <w:rsid w:val="00326574"/>
    <w:rsid w:val="00326C99"/>
    <w:rsid w:val="00327486"/>
    <w:rsid w:val="00330664"/>
    <w:rsid w:val="0034120B"/>
    <w:rsid w:val="00342411"/>
    <w:rsid w:val="003442DA"/>
    <w:rsid w:val="0034713B"/>
    <w:rsid w:val="00347A4E"/>
    <w:rsid w:val="003503F8"/>
    <w:rsid w:val="00352CD3"/>
    <w:rsid w:val="0035417C"/>
    <w:rsid w:val="003550DD"/>
    <w:rsid w:val="003568D7"/>
    <w:rsid w:val="003568E3"/>
    <w:rsid w:val="00361883"/>
    <w:rsid w:val="00363AAC"/>
    <w:rsid w:val="00371237"/>
    <w:rsid w:val="0037407C"/>
    <w:rsid w:val="00374F3C"/>
    <w:rsid w:val="00375CE5"/>
    <w:rsid w:val="00376BD8"/>
    <w:rsid w:val="003771D0"/>
    <w:rsid w:val="003774D7"/>
    <w:rsid w:val="00380662"/>
    <w:rsid w:val="003806AE"/>
    <w:rsid w:val="003813A0"/>
    <w:rsid w:val="0038324A"/>
    <w:rsid w:val="00383393"/>
    <w:rsid w:val="00387D05"/>
    <w:rsid w:val="0039253E"/>
    <w:rsid w:val="00392B00"/>
    <w:rsid w:val="00392D70"/>
    <w:rsid w:val="00392E7E"/>
    <w:rsid w:val="00393176"/>
    <w:rsid w:val="00393C31"/>
    <w:rsid w:val="00395756"/>
    <w:rsid w:val="00397BBD"/>
    <w:rsid w:val="003A2232"/>
    <w:rsid w:val="003A398F"/>
    <w:rsid w:val="003A3DA8"/>
    <w:rsid w:val="003A7EFF"/>
    <w:rsid w:val="003B241C"/>
    <w:rsid w:val="003B4A25"/>
    <w:rsid w:val="003B5062"/>
    <w:rsid w:val="003B70C4"/>
    <w:rsid w:val="003C3305"/>
    <w:rsid w:val="003C47BE"/>
    <w:rsid w:val="003C6D8C"/>
    <w:rsid w:val="003C6F30"/>
    <w:rsid w:val="003D0E7D"/>
    <w:rsid w:val="003D1358"/>
    <w:rsid w:val="003D1659"/>
    <w:rsid w:val="003D2590"/>
    <w:rsid w:val="003D26E6"/>
    <w:rsid w:val="003D3419"/>
    <w:rsid w:val="003D34AA"/>
    <w:rsid w:val="003D4038"/>
    <w:rsid w:val="003E060F"/>
    <w:rsid w:val="003E104B"/>
    <w:rsid w:val="003E16E5"/>
    <w:rsid w:val="003E23C3"/>
    <w:rsid w:val="003E26CE"/>
    <w:rsid w:val="003E4D1B"/>
    <w:rsid w:val="003E6484"/>
    <w:rsid w:val="003E6E39"/>
    <w:rsid w:val="003E6E48"/>
    <w:rsid w:val="003F00F2"/>
    <w:rsid w:val="003F075C"/>
    <w:rsid w:val="003F2044"/>
    <w:rsid w:val="003F2A3A"/>
    <w:rsid w:val="003F3448"/>
    <w:rsid w:val="003F470C"/>
    <w:rsid w:val="003F47C6"/>
    <w:rsid w:val="003F48B2"/>
    <w:rsid w:val="003F60A1"/>
    <w:rsid w:val="003F638D"/>
    <w:rsid w:val="00401311"/>
    <w:rsid w:val="004027A9"/>
    <w:rsid w:val="004028D6"/>
    <w:rsid w:val="00402F97"/>
    <w:rsid w:val="00403138"/>
    <w:rsid w:val="00405695"/>
    <w:rsid w:val="004075B6"/>
    <w:rsid w:val="00410453"/>
    <w:rsid w:val="00411891"/>
    <w:rsid w:val="00413208"/>
    <w:rsid w:val="00415662"/>
    <w:rsid w:val="00415D65"/>
    <w:rsid w:val="00417014"/>
    <w:rsid w:val="0041720D"/>
    <w:rsid w:val="0041749A"/>
    <w:rsid w:val="004208CF"/>
    <w:rsid w:val="004210F7"/>
    <w:rsid w:val="004211B7"/>
    <w:rsid w:val="00425C95"/>
    <w:rsid w:val="00426148"/>
    <w:rsid w:val="00426FF6"/>
    <w:rsid w:val="00427F59"/>
    <w:rsid w:val="0043232B"/>
    <w:rsid w:val="004329CC"/>
    <w:rsid w:val="0043317E"/>
    <w:rsid w:val="00433A8D"/>
    <w:rsid w:val="00433CF2"/>
    <w:rsid w:val="00434D7E"/>
    <w:rsid w:val="00435EFF"/>
    <w:rsid w:val="004365C0"/>
    <w:rsid w:val="004365D2"/>
    <w:rsid w:val="00443BE3"/>
    <w:rsid w:val="0044411E"/>
    <w:rsid w:val="00444143"/>
    <w:rsid w:val="00445A81"/>
    <w:rsid w:val="004473E2"/>
    <w:rsid w:val="00450004"/>
    <w:rsid w:val="0045020E"/>
    <w:rsid w:val="00451ED2"/>
    <w:rsid w:val="004532E4"/>
    <w:rsid w:val="00453E4B"/>
    <w:rsid w:val="00454118"/>
    <w:rsid w:val="004545A8"/>
    <w:rsid w:val="004560AA"/>
    <w:rsid w:val="00456564"/>
    <w:rsid w:val="0045708A"/>
    <w:rsid w:val="00461300"/>
    <w:rsid w:val="0046180A"/>
    <w:rsid w:val="004638EE"/>
    <w:rsid w:val="00463A40"/>
    <w:rsid w:val="00463DA1"/>
    <w:rsid w:val="004640F0"/>
    <w:rsid w:val="0046662E"/>
    <w:rsid w:val="00467F6D"/>
    <w:rsid w:val="0047012D"/>
    <w:rsid w:val="00471414"/>
    <w:rsid w:val="00471874"/>
    <w:rsid w:val="00473B7A"/>
    <w:rsid w:val="0047456D"/>
    <w:rsid w:val="00477AE8"/>
    <w:rsid w:val="004806A1"/>
    <w:rsid w:val="00480C5A"/>
    <w:rsid w:val="00481B7F"/>
    <w:rsid w:val="004822C9"/>
    <w:rsid w:val="004856F8"/>
    <w:rsid w:val="004860D0"/>
    <w:rsid w:val="004867C8"/>
    <w:rsid w:val="00486873"/>
    <w:rsid w:val="00492B0B"/>
    <w:rsid w:val="00493434"/>
    <w:rsid w:val="00493804"/>
    <w:rsid w:val="00493CCC"/>
    <w:rsid w:val="00495298"/>
    <w:rsid w:val="004963CF"/>
    <w:rsid w:val="004A0D4D"/>
    <w:rsid w:val="004A1563"/>
    <w:rsid w:val="004B098C"/>
    <w:rsid w:val="004B1B76"/>
    <w:rsid w:val="004B508F"/>
    <w:rsid w:val="004B51C7"/>
    <w:rsid w:val="004B7086"/>
    <w:rsid w:val="004C3E2C"/>
    <w:rsid w:val="004C5000"/>
    <w:rsid w:val="004C6E8A"/>
    <w:rsid w:val="004C7E1E"/>
    <w:rsid w:val="004D1A1F"/>
    <w:rsid w:val="004D1ED0"/>
    <w:rsid w:val="004D2FD4"/>
    <w:rsid w:val="004D4875"/>
    <w:rsid w:val="004D4BB0"/>
    <w:rsid w:val="004D6638"/>
    <w:rsid w:val="004E4051"/>
    <w:rsid w:val="004E5C5B"/>
    <w:rsid w:val="004E5E5E"/>
    <w:rsid w:val="004E6B05"/>
    <w:rsid w:val="004E7B37"/>
    <w:rsid w:val="004F03DF"/>
    <w:rsid w:val="004F3261"/>
    <w:rsid w:val="004F3756"/>
    <w:rsid w:val="004F4F1E"/>
    <w:rsid w:val="004F50C1"/>
    <w:rsid w:val="004F52F6"/>
    <w:rsid w:val="004F7D53"/>
    <w:rsid w:val="00500C32"/>
    <w:rsid w:val="0050168E"/>
    <w:rsid w:val="00502190"/>
    <w:rsid w:val="0050362C"/>
    <w:rsid w:val="005063FD"/>
    <w:rsid w:val="00512E38"/>
    <w:rsid w:val="0051415E"/>
    <w:rsid w:val="00514260"/>
    <w:rsid w:val="00517D4E"/>
    <w:rsid w:val="005208D6"/>
    <w:rsid w:val="00523363"/>
    <w:rsid w:val="00525194"/>
    <w:rsid w:val="0052791A"/>
    <w:rsid w:val="00530719"/>
    <w:rsid w:val="0053075F"/>
    <w:rsid w:val="005327E2"/>
    <w:rsid w:val="0053301B"/>
    <w:rsid w:val="00533073"/>
    <w:rsid w:val="00533F5A"/>
    <w:rsid w:val="005340BA"/>
    <w:rsid w:val="00534C28"/>
    <w:rsid w:val="005353DB"/>
    <w:rsid w:val="00536E64"/>
    <w:rsid w:val="00537DC1"/>
    <w:rsid w:val="005416F2"/>
    <w:rsid w:val="00542164"/>
    <w:rsid w:val="005427BB"/>
    <w:rsid w:val="00544F02"/>
    <w:rsid w:val="00551571"/>
    <w:rsid w:val="00551D8F"/>
    <w:rsid w:val="00553E7B"/>
    <w:rsid w:val="0055441B"/>
    <w:rsid w:val="00557ED0"/>
    <w:rsid w:val="00560C3D"/>
    <w:rsid w:val="0056209A"/>
    <w:rsid w:val="005634B7"/>
    <w:rsid w:val="0056493E"/>
    <w:rsid w:val="00565A59"/>
    <w:rsid w:val="00565C69"/>
    <w:rsid w:val="005752C1"/>
    <w:rsid w:val="00580E54"/>
    <w:rsid w:val="00581E1B"/>
    <w:rsid w:val="005822D5"/>
    <w:rsid w:val="00582E11"/>
    <w:rsid w:val="00583CE2"/>
    <w:rsid w:val="00590109"/>
    <w:rsid w:val="0059056D"/>
    <w:rsid w:val="00592F0D"/>
    <w:rsid w:val="00595C26"/>
    <w:rsid w:val="005967C4"/>
    <w:rsid w:val="00596B2C"/>
    <w:rsid w:val="00597FB2"/>
    <w:rsid w:val="005A108F"/>
    <w:rsid w:val="005A2AC3"/>
    <w:rsid w:val="005A2CA7"/>
    <w:rsid w:val="005A36E9"/>
    <w:rsid w:val="005A5D22"/>
    <w:rsid w:val="005B0F1B"/>
    <w:rsid w:val="005B118F"/>
    <w:rsid w:val="005B235E"/>
    <w:rsid w:val="005B559B"/>
    <w:rsid w:val="005B5D2A"/>
    <w:rsid w:val="005B78E5"/>
    <w:rsid w:val="005C01E0"/>
    <w:rsid w:val="005C0239"/>
    <w:rsid w:val="005C2B46"/>
    <w:rsid w:val="005C443B"/>
    <w:rsid w:val="005C4A64"/>
    <w:rsid w:val="005C703C"/>
    <w:rsid w:val="005C7840"/>
    <w:rsid w:val="005D09B3"/>
    <w:rsid w:val="005D1CBB"/>
    <w:rsid w:val="005D415C"/>
    <w:rsid w:val="005D5CB2"/>
    <w:rsid w:val="005D5D1D"/>
    <w:rsid w:val="005D6F5B"/>
    <w:rsid w:val="005E0A53"/>
    <w:rsid w:val="005E1F34"/>
    <w:rsid w:val="005E21D0"/>
    <w:rsid w:val="005E24A1"/>
    <w:rsid w:val="005E3894"/>
    <w:rsid w:val="005E4ADE"/>
    <w:rsid w:val="005E4E19"/>
    <w:rsid w:val="005F0A0B"/>
    <w:rsid w:val="005F199E"/>
    <w:rsid w:val="005F20F5"/>
    <w:rsid w:val="005F3D27"/>
    <w:rsid w:val="005F4ED0"/>
    <w:rsid w:val="005F5340"/>
    <w:rsid w:val="00601117"/>
    <w:rsid w:val="0060340C"/>
    <w:rsid w:val="006036C1"/>
    <w:rsid w:val="00604D41"/>
    <w:rsid w:val="00606E6A"/>
    <w:rsid w:val="00613C38"/>
    <w:rsid w:val="00613D96"/>
    <w:rsid w:val="00614D98"/>
    <w:rsid w:val="00616C43"/>
    <w:rsid w:val="00617E02"/>
    <w:rsid w:val="00623225"/>
    <w:rsid w:val="0062718D"/>
    <w:rsid w:val="006271B6"/>
    <w:rsid w:val="00631B33"/>
    <w:rsid w:val="006347AD"/>
    <w:rsid w:val="006352E1"/>
    <w:rsid w:val="006354F3"/>
    <w:rsid w:val="00635D23"/>
    <w:rsid w:val="00637541"/>
    <w:rsid w:val="00637711"/>
    <w:rsid w:val="00642311"/>
    <w:rsid w:val="0064394C"/>
    <w:rsid w:val="00644B73"/>
    <w:rsid w:val="00644EB4"/>
    <w:rsid w:val="006477C4"/>
    <w:rsid w:val="00650558"/>
    <w:rsid w:val="0065111F"/>
    <w:rsid w:val="00651386"/>
    <w:rsid w:val="00651532"/>
    <w:rsid w:val="00651F1F"/>
    <w:rsid w:val="006522CC"/>
    <w:rsid w:val="00652D96"/>
    <w:rsid w:val="00652FD4"/>
    <w:rsid w:val="006535F0"/>
    <w:rsid w:val="00654CE9"/>
    <w:rsid w:val="00656BC9"/>
    <w:rsid w:val="0065776C"/>
    <w:rsid w:val="00660780"/>
    <w:rsid w:val="006612A3"/>
    <w:rsid w:val="0066148B"/>
    <w:rsid w:val="00664389"/>
    <w:rsid w:val="006647CC"/>
    <w:rsid w:val="00665203"/>
    <w:rsid w:val="00665927"/>
    <w:rsid w:val="00666B9A"/>
    <w:rsid w:val="00670905"/>
    <w:rsid w:val="0067105C"/>
    <w:rsid w:val="0067119A"/>
    <w:rsid w:val="00675EA7"/>
    <w:rsid w:val="006774C2"/>
    <w:rsid w:val="00680806"/>
    <w:rsid w:val="00681A45"/>
    <w:rsid w:val="006827AB"/>
    <w:rsid w:val="006829DE"/>
    <w:rsid w:val="006830A6"/>
    <w:rsid w:val="00683EAB"/>
    <w:rsid w:val="00684E36"/>
    <w:rsid w:val="00685980"/>
    <w:rsid w:val="00685B92"/>
    <w:rsid w:val="00685FC3"/>
    <w:rsid w:val="00686C79"/>
    <w:rsid w:val="006906BE"/>
    <w:rsid w:val="00690A13"/>
    <w:rsid w:val="00691092"/>
    <w:rsid w:val="0069119F"/>
    <w:rsid w:val="006920DE"/>
    <w:rsid w:val="006923F2"/>
    <w:rsid w:val="00693425"/>
    <w:rsid w:val="00693D6F"/>
    <w:rsid w:val="00694CEE"/>
    <w:rsid w:val="00696BB3"/>
    <w:rsid w:val="006A0752"/>
    <w:rsid w:val="006A282A"/>
    <w:rsid w:val="006A551B"/>
    <w:rsid w:val="006A5B58"/>
    <w:rsid w:val="006A68DB"/>
    <w:rsid w:val="006A7CDF"/>
    <w:rsid w:val="006A7D88"/>
    <w:rsid w:val="006B036F"/>
    <w:rsid w:val="006B0A9D"/>
    <w:rsid w:val="006C02EC"/>
    <w:rsid w:val="006C1C06"/>
    <w:rsid w:val="006C2532"/>
    <w:rsid w:val="006C401B"/>
    <w:rsid w:val="006C4F94"/>
    <w:rsid w:val="006C592B"/>
    <w:rsid w:val="006C7618"/>
    <w:rsid w:val="006D05E2"/>
    <w:rsid w:val="006D1142"/>
    <w:rsid w:val="006D212A"/>
    <w:rsid w:val="006D2999"/>
    <w:rsid w:val="006D3C23"/>
    <w:rsid w:val="006D6A05"/>
    <w:rsid w:val="006D784A"/>
    <w:rsid w:val="006E0132"/>
    <w:rsid w:val="006E0367"/>
    <w:rsid w:val="006E0CDC"/>
    <w:rsid w:val="006E281B"/>
    <w:rsid w:val="006E5623"/>
    <w:rsid w:val="006E5A0A"/>
    <w:rsid w:val="006E7A0E"/>
    <w:rsid w:val="006E7A63"/>
    <w:rsid w:val="006F0D98"/>
    <w:rsid w:val="006F2CCA"/>
    <w:rsid w:val="006F2D6C"/>
    <w:rsid w:val="006F39BE"/>
    <w:rsid w:val="006F4B1B"/>
    <w:rsid w:val="006F5620"/>
    <w:rsid w:val="006F5C98"/>
    <w:rsid w:val="00702029"/>
    <w:rsid w:val="00702337"/>
    <w:rsid w:val="00703CD7"/>
    <w:rsid w:val="00704FFC"/>
    <w:rsid w:val="00705A5B"/>
    <w:rsid w:val="007063FE"/>
    <w:rsid w:val="00706DE2"/>
    <w:rsid w:val="007074D4"/>
    <w:rsid w:val="00707C86"/>
    <w:rsid w:val="00707FFE"/>
    <w:rsid w:val="00710523"/>
    <w:rsid w:val="00714367"/>
    <w:rsid w:val="007158BB"/>
    <w:rsid w:val="007165B2"/>
    <w:rsid w:val="00717EC4"/>
    <w:rsid w:val="00720F4E"/>
    <w:rsid w:val="00725AD6"/>
    <w:rsid w:val="0072653B"/>
    <w:rsid w:val="00726983"/>
    <w:rsid w:val="00726BFE"/>
    <w:rsid w:val="00730D82"/>
    <w:rsid w:val="00733355"/>
    <w:rsid w:val="00733F1B"/>
    <w:rsid w:val="00734BD1"/>
    <w:rsid w:val="00734DDA"/>
    <w:rsid w:val="00736173"/>
    <w:rsid w:val="0073634D"/>
    <w:rsid w:val="00736584"/>
    <w:rsid w:val="00736F27"/>
    <w:rsid w:val="00737F1F"/>
    <w:rsid w:val="0074047B"/>
    <w:rsid w:val="00740A0C"/>
    <w:rsid w:val="00741200"/>
    <w:rsid w:val="00741A05"/>
    <w:rsid w:val="007420A6"/>
    <w:rsid w:val="007430C5"/>
    <w:rsid w:val="00745F8B"/>
    <w:rsid w:val="007461D8"/>
    <w:rsid w:val="00747566"/>
    <w:rsid w:val="007478CC"/>
    <w:rsid w:val="00750E9A"/>
    <w:rsid w:val="00751583"/>
    <w:rsid w:val="00754159"/>
    <w:rsid w:val="00755386"/>
    <w:rsid w:val="00756553"/>
    <w:rsid w:val="00760179"/>
    <w:rsid w:val="00761712"/>
    <w:rsid w:val="00762005"/>
    <w:rsid w:val="00762564"/>
    <w:rsid w:val="00763B6C"/>
    <w:rsid w:val="00763D8A"/>
    <w:rsid w:val="00766E77"/>
    <w:rsid w:val="00770326"/>
    <w:rsid w:val="0077240D"/>
    <w:rsid w:val="00772C08"/>
    <w:rsid w:val="0077528B"/>
    <w:rsid w:val="00776AB3"/>
    <w:rsid w:val="00777112"/>
    <w:rsid w:val="0078042F"/>
    <w:rsid w:val="00780502"/>
    <w:rsid w:val="00780BB2"/>
    <w:rsid w:val="00783D09"/>
    <w:rsid w:val="00783F0F"/>
    <w:rsid w:val="00787001"/>
    <w:rsid w:val="0078770E"/>
    <w:rsid w:val="00793015"/>
    <w:rsid w:val="00793392"/>
    <w:rsid w:val="007938A2"/>
    <w:rsid w:val="00794D82"/>
    <w:rsid w:val="00796337"/>
    <w:rsid w:val="007A574A"/>
    <w:rsid w:val="007A7174"/>
    <w:rsid w:val="007A7CA9"/>
    <w:rsid w:val="007A7E1E"/>
    <w:rsid w:val="007B02F2"/>
    <w:rsid w:val="007B19DF"/>
    <w:rsid w:val="007B3FF8"/>
    <w:rsid w:val="007B4E0D"/>
    <w:rsid w:val="007B68B2"/>
    <w:rsid w:val="007B70F5"/>
    <w:rsid w:val="007B77FE"/>
    <w:rsid w:val="007C00C7"/>
    <w:rsid w:val="007C14C4"/>
    <w:rsid w:val="007C29B7"/>
    <w:rsid w:val="007C46F8"/>
    <w:rsid w:val="007C49C6"/>
    <w:rsid w:val="007C6776"/>
    <w:rsid w:val="007D28D5"/>
    <w:rsid w:val="007D2961"/>
    <w:rsid w:val="007D2B38"/>
    <w:rsid w:val="007D2F6F"/>
    <w:rsid w:val="007D3329"/>
    <w:rsid w:val="007D3DF8"/>
    <w:rsid w:val="007D7AE8"/>
    <w:rsid w:val="007D7B91"/>
    <w:rsid w:val="007E0AC2"/>
    <w:rsid w:val="007E2771"/>
    <w:rsid w:val="007E5E1B"/>
    <w:rsid w:val="007E5FBB"/>
    <w:rsid w:val="007E6AC1"/>
    <w:rsid w:val="007F0693"/>
    <w:rsid w:val="007F1724"/>
    <w:rsid w:val="007F279C"/>
    <w:rsid w:val="007F403E"/>
    <w:rsid w:val="007F471D"/>
    <w:rsid w:val="007F4E23"/>
    <w:rsid w:val="007F50FA"/>
    <w:rsid w:val="007F6076"/>
    <w:rsid w:val="007F6A3B"/>
    <w:rsid w:val="007F6FA2"/>
    <w:rsid w:val="007F7705"/>
    <w:rsid w:val="007F7AE0"/>
    <w:rsid w:val="00804282"/>
    <w:rsid w:val="008068FF"/>
    <w:rsid w:val="00806EE9"/>
    <w:rsid w:val="00806EF6"/>
    <w:rsid w:val="00807E3A"/>
    <w:rsid w:val="00810151"/>
    <w:rsid w:val="008109F1"/>
    <w:rsid w:val="008113F2"/>
    <w:rsid w:val="008124B4"/>
    <w:rsid w:val="00813F76"/>
    <w:rsid w:val="008142F6"/>
    <w:rsid w:val="00814811"/>
    <w:rsid w:val="00816245"/>
    <w:rsid w:val="00816C1D"/>
    <w:rsid w:val="0081769A"/>
    <w:rsid w:val="0082133B"/>
    <w:rsid w:val="00821466"/>
    <w:rsid w:val="00821D8A"/>
    <w:rsid w:val="00824DA1"/>
    <w:rsid w:val="0082666B"/>
    <w:rsid w:val="0082669F"/>
    <w:rsid w:val="00826EC0"/>
    <w:rsid w:val="008272D2"/>
    <w:rsid w:val="00830167"/>
    <w:rsid w:val="008303FC"/>
    <w:rsid w:val="00831911"/>
    <w:rsid w:val="0084597A"/>
    <w:rsid w:val="00845CE3"/>
    <w:rsid w:val="008515BE"/>
    <w:rsid w:val="008534CE"/>
    <w:rsid w:val="008535F4"/>
    <w:rsid w:val="00854801"/>
    <w:rsid w:val="008557EC"/>
    <w:rsid w:val="00855AFA"/>
    <w:rsid w:val="00856582"/>
    <w:rsid w:val="00861845"/>
    <w:rsid w:val="0086196A"/>
    <w:rsid w:val="00861DBD"/>
    <w:rsid w:val="00865F02"/>
    <w:rsid w:val="0086684E"/>
    <w:rsid w:val="00870132"/>
    <w:rsid w:val="00872507"/>
    <w:rsid w:val="00872FE2"/>
    <w:rsid w:val="00873ABE"/>
    <w:rsid w:val="00880F05"/>
    <w:rsid w:val="00882CD8"/>
    <w:rsid w:val="00882FEF"/>
    <w:rsid w:val="00883911"/>
    <w:rsid w:val="0088447B"/>
    <w:rsid w:val="0089038C"/>
    <w:rsid w:val="00890A68"/>
    <w:rsid w:val="008942F9"/>
    <w:rsid w:val="008952A1"/>
    <w:rsid w:val="00895A9E"/>
    <w:rsid w:val="008A1C4A"/>
    <w:rsid w:val="008A3801"/>
    <w:rsid w:val="008A47EF"/>
    <w:rsid w:val="008A5134"/>
    <w:rsid w:val="008A52DE"/>
    <w:rsid w:val="008A56A1"/>
    <w:rsid w:val="008A66AA"/>
    <w:rsid w:val="008A6D88"/>
    <w:rsid w:val="008A74A1"/>
    <w:rsid w:val="008B060E"/>
    <w:rsid w:val="008B223A"/>
    <w:rsid w:val="008B73DA"/>
    <w:rsid w:val="008B780B"/>
    <w:rsid w:val="008C1961"/>
    <w:rsid w:val="008C29C0"/>
    <w:rsid w:val="008C348F"/>
    <w:rsid w:val="008C39C2"/>
    <w:rsid w:val="008C4380"/>
    <w:rsid w:val="008C4769"/>
    <w:rsid w:val="008C5813"/>
    <w:rsid w:val="008C7E6A"/>
    <w:rsid w:val="008D0C5E"/>
    <w:rsid w:val="008D30D5"/>
    <w:rsid w:val="008D369F"/>
    <w:rsid w:val="008D4A80"/>
    <w:rsid w:val="008D542E"/>
    <w:rsid w:val="008D5D24"/>
    <w:rsid w:val="008D5DB2"/>
    <w:rsid w:val="008D7D7C"/>
    <w:rsid w:val="008E01D2"/>
    <w:rsid w:val="008E0B48"/>
    <w:rsid w:val="008E24CE"/>
    <w:rsid w:val="008E2A70"/>
    <w:rsid w:val="008E3D80"/>
    <w:rsid w:val="008E465A"/>
    <w:rsid w:val="008E6745"/>
    <w:rsid w:val="008E796F"/>
    <w:rsid w:val="008F0E9E"/>
    <w:rsid w:val="008F1A7F"/>
    <w:rsid w:val="008F4087"/>
    <w:rsid w:val="008F5BCF"/>
    <w:rsid w:val="0090023D"/>
    <w:rsid w:val="009009AF"/>
    <w:rsid w:val="00901F6B"/>
    <w:rsid w:val="00903E38"/>
    <w:rsid w:val="00904376"/>
    <w:rsid w:val="00906528"/>
    <w:rsid w:val="00907848"/>
    <w:rsid w:val="00907B71"/>
    <w:rsid w:val="0091278F"/>
    <w:rsid w:val="00914837"/>
    <w:rsid w:val="00915537"/>
    <w:rsid w:val="009165AF"/>
    <w:rsid w:val="00916ABB"/>
    <w:rsid w:val="0092022E"/>
    <w:rsid w:val="0092041F"/>
    <w:rsid w:val="00920479"/>
    <w:rsid w:val="00921035"/>
    <w:rsid w:val="009210E4"/>
    <w:rsid w:val="00921D35"/>
    <w:rsid w:val="009226FA"/>
    <w:rsid w:val="009227FA"/>
    <w:rsid w:val="00922CE8"/>
    <w:rsid w:val="00923D50"/>
    <w:rsid w:val="00924A4E"/>
    <w:rsid w:val="00926C9C"/>
    <w:rsid w:val="009305AB"/>
    <w:rsid w:val="00930824"/>
    <w:rsid w:val="00932C75"/>
    <w:rsid w:val="009330A9"/>
    <w:rsid w:val="009332BC"/>
    <w:rsid w:val="0093737A"/>
    <w:rsid w:val="00942A79"/>
    <w:rsid w:val="00943329"/>
    <w:rsid w:val="0094352B"/>
    <w:rsid w:val="009458FC"/>
    <w:rsid w:val="009459E5"/>
    <w:rsid w:val="00946022"/>
    <w:rsid w:val="00947245"/>
    <w:rsid w:val="0095013D"/>
    <w:rsid w:val="009514E3"/>
    <w:rsid w:val="00951AFB"/>
    <w:rsid w:val="009529B5"/>
    <w:rsid w:val="00953002"/>
    <w:rsid w:val="00954024"/>
    <w:rsid w:val="009555D9"/>
    <w:rsid w:val="00956388"/>
    <w:rsid w:val="00961871"/>
    <w:rsid w:val="00964E55"/>
    <w:rsid w:val="009669C3"/>
    <w:rsid w:val="009707B3"/>
    <w:rsid w:val="009716A2"/>
    <w:rsid w:val="009719D4"/>
    <w:rsid w:val="009733F6"/>
    <w:rsid w:val="0097408F"/>
    <w:rsid w:val="00974C2F"/>
    <w:rsid w:val="009768BC"/>
    <w:rsid w:val="0097799F"/>
    <w:rsid w:val="009802D0"/>
    <w:rsid w:val="00980E8D"/>
    <w:rsid w:val="0098590F"/>
    <w:rsid w:val="00990CFE"/>
    <w:rsid w:val="009926E5"/>
    <w:rsid w:val="00994CEF"/>
    <w:rsid w:val="00995208"/>
    <w:rsid w:val="009A08D4"/>
    <w:rsid w:val="009A1C56"/>
    <w:rsid w:val="009A2D8A"/>
    <w:rsid w:val="009A4056"/>
    <w:rsid w:val="009A43EC"/>
    <w:rsid w:val="009A4E37"/>
    <w:rsid w:val="009A6569"/>
    <w:rsid w:val="009B3399"/>
    <w:rsid w:val="009B351C"/>
    <w:rsid w:val="009B3E83"/>
    <w:rsid w:val="009B501D"/>
    <w:rsid w:val="009B5F0C"/>
    <w:rsid w:val="009B66D1"/>
    <w:rsid w:val="009C1EAE"/>
    <w:rsid w:val="009C28EC"/>
    <w:rsid w:val="009C3C0D"/>
    <w:rsid w:val="009C4240"/>
    <w:rsid w:val="009C484E"/>
    <w:rsid w:val="009C4D34"/>
    <w:rsid w:val="009C5499"/>
    <w:rsid w:val="009D0011"/>
    <w:rsid w:val="009D05B0"/>
    <w:rsid w:val="009D5291"/>
    <w:rsid w:val="009D6179"/>
    <w:rsid w:val="009D62C8"/>
    <w:rsid w:val="009D6662"/>
    <w:rsid w:val="009D7749"/>
    <w:rsid w:val="009D7B4B"/>
    <w:rsid w:val="009E0CD0"/>
    <w:rsid w:val="009E1F47"/>
    <w:rsid w:val="009E3CD7"/>
    <w:rsid w:val="009E5CA1"/>
    <w:rsid w:val="009E712A"/>
    <w:rsid w:val="009E7AA2"/>
    <w:rsid w:val="009F0C24"/>
    <w:rsid w:val="009F6ED0"/>
    <w:rsid w:val="009F7E0B"/>
    <w:rsid w:val="00A007C9"/>
    <w:rsid w:val="00A01B5B"/>
    <w:rsid w:val="00A03499"/>
    <w:rsid w:val="00A03540"/>
    <w:rsid w:val="00A05488"/>
    <w:rsid w:val="00A05B35"/>
    <w:rsid w:val="00A05FF6"/>
    <w:rsid w:val="00A060FB"/>
    <w:rsid w:val="00A06C97"/>
    <w:rsid w:val="00A076FD"/>
    <w:rsid w:val="00A10510"/>
    <w:rsid w:val="00A1109A"/>
    <w:rsid w:val="00A115FC"/>
    <w:rsid w:val="00A12DE4"/>
    <w:rsid w:val="00A1320A"/>
    <w:rsid w:val="00A14F01"/>
    <w:rsid w:val="00A1517E"/>
    <w:rsid w:val="00A152A1"/>
    <w:rsid w:val="00A157F1"/>
    <w:rsid w:val="00A17485"/>
    <w:rsid w:val="00A17CA3"/>
    <w:rsid w:val="00A20BF3"/>
    <w:rsid w:val="00A2126C"/>
    <w:rsid w:val="00A23542"/>
    <w:rsid w:val="00A261AE"/>
    <w:rsid w:val="00A26CF7"/>
    <w:rsid w:val="00A30096"/>
    <w:rsid w:val="00A32572"/>
    <w:rsid w:val="00A35452"/>
    <w:rsid w:val="00A365C3"/>
    <w:rsid w:val="00A365FD"/>
    <w:rsid w:val="00A40315"/>
    <w:rsid w:val="00A45166"/>
    <w:rsid w:val="00A45972"/>
    <w:rsid w:val="00A504DA"/>
    <w:rsid w:val="00A5527D"/>
    <w:rsid w:val="00A61F3D"/>
    <w:rsid w:val="00A64CD5"/>
    <w:rsid w:val="00A6548F"/>
    <w:rsid w:val="00A65A8C"/>
    <w:rsid w:val="00A7113B"/>
    <w:rsid w:val="00A73A97"/>
    <w:rsid w:val="00A753CF"/>
    <w:rsid w:val="00A76E76"/>
    <w:rsid w:val="00A82BE5"/>
    <w:rsid w:val="00A83012"/>
    <w:rsid w:val="00A8404C"/>
    <w:rsid w:val="00A85233"/>
    <w:rsid w:val="00A865C0"/>
    <w:rsid w:val="00A871A7"/>
    <w:rsid w:val="00A927AC"/>
    <w:rsid w:val="00A93D50"/>
    <w:rsid w:val="00A9447E"/>
    <w:rsid w:val="00A94659"/>
    <w:rsid w:val="00A963FC"/>
    <w:rsid w:val="00AA1031"/>
    <w:rsid w:val="00AA1F5A"/>
    <w:rsid w:val="00AA544E"/>
    <w:rsid w:val="00AA636A"/>
    <w:rsid w:val="00AA6AB5"/>
    <w:rsid w:val="00AA6E0B"/>
    <w:rsid w:val="00AA7245"/>
    <w:rsid w:val="00AB0560"/>
    <w:rsid w:val="00AB1085"/>
    <w:rsid w:val="00AB1B49"/>
    <w:rsid w:val="00AB25A5"/>
    <w:rsid w:val="00AB3267"/>
    <w:rsid w:val="00AB53F2"/>
    <w:rsid w:val="00AB73C9"/>
    <w:rsid w:val="00AB78E3"/>
    <w:rsid w:val="00AC2830"/>
    <w:rsid w:val="00AC4941"/>
    <w:rsid w:val="00AC5360"/>
    <w:rsid w:val="00AC5385"/>
    <w:rsid w:val="00AC74E8"/>
    <w:rsid w:val="00AD0510"/>
    <w:rsid w:val="00AD08AC"/>
    <w:rsid w:val="00AD2C8C"/>
    <w:rsid w:val="00AD7463"/>
    <w:rsid w:val="00AD7F8E"/>
    <w:rsid w:val="00AE0709"/>
    <w:rsid w:val="00AE1731"/>
    <w:rsid w:val="00AE2188"/>
    <w:rsid w:val="00AE22F5"/>
    <w:rsid w:val="00AE231D"/>
    <w:rsid w:val="00AE3A47"/>
    <w:rsid w:val="00AE3B38"/>
    <w:rsid w:val="00AF3A96"/>
    <w:rsid w:val="00AF44C0"/>
    <w:rsid w:val="00AF5BBF"/>
    <w:rsid w:val="00AF63C1"/>
    <w:rsid w:val="00AF7CAE"/>
    <w:rsid w:val="00B00662"/>
    <w:rsid w:val="00B01240"/>
    <w:rsid w:val="00B03EE1"/>
    <w:rsid w:val="00B040FF"/>
    <w:rsid w:val="00B0504A"/>
    <w:rsid w:val="00B05121"/>
    <w:rsid w:val="00B05D98"/>
    <w:rsid w:val="00B066D0"/>
    <w:rsid w:val="00B07045"/>
    <w:rsid w:val="00B1065F"/>
    <w:rsid w:val="00B110D5"/>
    <w:rsid w:val="00B11BED"/>
    <w:rsid w:val="00B12A20"/>
    <w:rsid w:val="00B135A0"/>
    <w:rsid w:val="00B149BB"/>
    <w:rsid w:val="00B158CC"/>
    <w:rsid w:val="00B16E54"/>
    <w:rsid w:val="00B17DEA"/>
    <w:rsid w:val="00B17E0B"/>
    <w:rsid w:val="00B21BC0"/>
    <w:rsid w:val="00B220CD"/>
    <w:rsid w:val="00B24BA8"/>
    <w:rsid w:val="00B27B60"/>
    <w:rsid w:val="00B27CD9"/>
    <w:rsid w:val="00B30353"/>
    <w:rsid w:val="00B31052"/>
    <w:rsid w:val="00B31129"/>
    <w:rsid w:val="00B31146"/>
    <w:rsid w:val="00B31921"/>
    <w:rsid w:val="00B328E3"/>
    <w:rsid w:val="00B33B8F"/>
    <w:rsid w:val="00B349E2"/>
    <w:rsid w:val="00B356EC"/>
    <w:rsid w:val="00B35C86"/>
    <w:rsid w:val="00B37EB6"/>
    <w:rsid w:val="00B41CB9"/>
    <w:rsid w:val="00B4268F"/>
    <w:rsid w:val="00B4491E"/>
    <w:rsid w:val="00B4542A"/>
    <w:rsid w:val="00B4564C"/>
    <w:rsid w:val="00B458A0"/>
    <w:rsid w:val="00B45F8F"/>
    <w:rsid w:val="00B46516"/>
    <w:rsid w:val="00B5154F"/>
    <w:rsid w:val="00B52BCA"/>
    <w:rsid w:val="00B53609"/>
    <w:rsid w:val="00B545CE"/>
    <w:rsid w:val="00B54F66"/>
    <w:rsid w:val="00B56D74"/>
    <w:rsid w:val="00B6092F"/>
    <w:rsid w:val="00B62B1C"/>
    <w:rsid w:val="00B63749"/>
    <w:rsid w:val="00B7026D"/>
    <w:rsid w:val="00B7148A"/>
    <w:rsid w:val="00B73C67"/>
    <w:rsid w:val="00B77869"/>
    <w:rsid w:val="00B77A2E"/>
    <w:rsid w:val="00B80B62"/>
    <w:rsid w:val="00B825F5"/>
    <w:rsid w:val="00B8393A"/>
    <w:rsid w:val="00B84615"/>
    <w:rsid w:val="00B849F3"/>
    <w:rsid w:val="00B8590A"/>
    <w:rsid w:val="00B85A38"/>
    <w:rsid w:val="00B85D9F"/>
    <w:rsid w:val="00B865AC"/>
    <w:rsid w:val="00B86B47"/>
    <w:rsid w:val="00B90ADB"/>
    <w:rsid w:val="00B91EAC"/>
    <w:rsid w:val="00B94CB2"/>
    <w:rsid w:val="00BA2E1E"/>
    <w:rsid w:val="00BA65CF"/>
    <w:rsid w:val="00BA7C14"/>
    <w:rsid w:val="00BB0A66"/>
    <w:rsid w:val="00BB1FED"/>
    <w:rsid w:val="00BB3507"/>
    <w:rsid w:val="00BB45F6"/>
    <w:rsid w:val="00BB5F4F"/>
    <w:rsid w:val="00BB70D3"/>
    <w:rsid w:val="00BC0D69"/>
    <w:rsid w:val="00BC207D"/>
    <w:rsid w:val="00BC28C8"/>
    <w:rsid w:val="00BC6E49"/>
    <w:rsid w:val="00BD0D23"/>
    <w:rsid w:val="00BD207F"/>
    <w:rsid w:val="00BD2A2E"/>
    <w:rsid w:val="00BD3B64"/>
    <w:rsid w:val="00BD636D"/>
    <w:rsid w:val="00BD7052"/>
    <w:rsid w:val="00BE0108"/>
    <w:rsid w:val="00BE19C1"/>
    <w:rsid w:val="00BE2D77"/>
    <w:rsid w:val="00BE33B5"/>
    <w:rsid w:val="00BE3A85"/>
    <w:rsid w:val="00BE4802"/>
    <w:rsid w:val="00BE5051"/>
    <w:rsid w:val="00BF1213"/>
    <w:rsid w:val="00BF1BEF"/>
    <w:rsid w:val="00BF214E"/>
    <w:rsid w:val="00BF2D02"/>
    <w:rsid w:val="00BF50EB"/>
    <w:rsid w:val="00BF5A80"/>
    <w:rsid w:val="00BF6017"/>
    <w:rsid w:val="00BF6CE6"/>
    <w:rsid w:val="00C005AB"/>
    <w:rsid w:val="00C010A7"/>
    <w:rsid w:val="00C01695"/>
    <w:rsid w:val="00C02669"/>
    <w:rsid w:val="00C02814"/>
    <w:rsid w:val="00C03AD1"/>
    <w:rsid w:val="00C03BA2"/>
    <w:rsid w:val="00C04A10"/>
    <w:rsid w:val="00C04A8E"/>
    <w:rsid w:val="00C0532B"/>
    <w:rsid w:val="00C057D0"/>
    <w:rsid w:val="00C05BB6"/>
    <w:rsid w:val="00C10CCA"/>
    <w:rsid w:val="00C121FC"/>
    <w:rsid w:val="00C1474F"/>
    <w:rsid w:val="00C14C17"/>
    <w:rsid w:val="00C15B06"/>
    <w:rsid w:val="00C15D9D"/>
    <w:rsid w:val="00C1610D"/>
    <w:rsid w:val="00C16826"/>
    <w:rsid w:val="00C17890"/>
    <w:rsid w:val="00C22B78"/>
    <w:rsid w:val="00C22E3B"/>
    <w:rsid w:val="00C262A3"/>
    <w:rsid w:val="00C26CA9"/>
    <w:rsid w:val="00C309F2"/>
    <w:rsid w:val="00C32747"/>
    <w:rsid w:val="00C32A86"/>
    <w:rsid w:val="00C338A9"/>
    <w:rsid w:val="00C34782"/>
    <w:rsid w:val="00C37DB1"/>
    <w:rsid w:val="00C4241F"/>
    <w:rsid w:val="00C42973"/>
    <w:rsid w:val="00C42A7F"/>
    <w:rsid w:val="00C42EE8"/>
    <w:rsid w:val="00C42FFF"/>
    <w:rsid w:val="00C430F7"/>
    <w:rsid w:val="00C43520"/>
    <w:rsid w:val="00C44089"/>
    <w:rsid w:val="00C44C12"/>
    <w:rsid w:val="00C4538C"/>
    <w:rsid w:val="00C46CB1"/>
    <w:rsid w:val="00C51347"/>
    <w:rsid w:val="00C51463"/>
    <w:rsid w:val="00C515C2"/>
    <w:rsid w:val="00C530B9"/>
    <w:rsid w:val="00C54593"/>
    <w:rsid w:val="00C54988"/>
    <w:rsid w:val="00C57822"/>
    <w:rsid w:val="00C57B35"/>
    <w:rsid w:val="00C63656"/>
    <w:rsid w:val="00C6428C"/>
    <w:rsid w:val="00C64D79"/>
    <w:rsid w:val="00C67498"/>
    <w:rsid w:val="00C709DF"/>
    <w:rsid w:val="00C71CAB"/>
    <w:rsid w:val="00C7287B"/>
    <w:rsid w:val="00C733E1"/>
    <w:rsid w:val="00C73674"/>
    <w:rsid w:val="00C74985"/>
    <w:rsid w:val="00C7702D"/>
    <w:rsid w:val="00C7770E"/>
    <w:rsid w:val="00C81845"/>
    <w:rsid w:val="00C81CAF"/>
    <w:rsid w:val="00C82066"/>
    <w:rsid w:val="00C824BB"/>
    <w:rsid w:val="00C837AE"/>
    <w:rsid w:val="00C84633"/>
    <w:rsid w:val="00C84814"/>
    <w:rsid w:val="00C849F7"/>
    <w:rsid w:val="00C85891"/>
    <w:rsid w:val="00C85FFA"/>
    <w:rsid w:val="00C928D8"/>
    <w:rsid w:val="00C929CB"/>
    <w:rsid w:val="00C93C40"/>
    <w:rsid w:val="00C959C2"/>
    <w:rsid w:val="00C95D24"/>
    <w:rsid w:val="00C97DE6"/>
    <w:rsid w:val="00CA1A30"/>
    <w:rsid w:val="00CA1B24"/>
    <w:rsid w:val="00CA3283"/>
    <w:rsid w:val="00CA43D5"/>
    <w:rsid w:val="00CA6329"/>
    <w:rsid w:val="00CA6A51"/>
    <w:rsid w:val="00CB0C44"/>
    <w:rsid w:val="00CB1E2A"/>
    <w:rsid w:val="00CB2157"/>
    <w:rsid w:val="00CB24B1"/>
    <w:rsid w:val="00CB3454"/>
    <w:rsid w:val="00CB44B3"/>
    <w:rsid w:val="00CB6B2A"/>
    <w:rsid w:val="00CB76B7"/>
    <w:rsid w:val="00CC0129"/>
    <w:rsid w:val="00CC0987"/>
    <w:rsid w:val="00CC4515"/>
    <w:rsid w:val="00CC4523"/>
    <w:rsid w:val="00CC5ECB"/>
    <w:rsid w:val="00CC6E2F"/>
    <w:rsid w:val="00CD0068"/>
    <w:rsid w:val="00CD192B"/>
    <w:rsid w:val="00CD517E"/>
    <w:rsid w:val="00CD5234"/>
    <w:rsid w:val="00CD606A"/>
    <w:rsid w:val="00CE0195"/>
    <w:rsid w:val="00CE1206"/>
    <w:rsid w:val="00CE1974"/>
    <w:rsid w:val="00CE1C36"/>
    <w:rsid w:val="00CE22E1"/>
    <w:rsid w:val="00CE461C"/>
    <w:rsid w:val="00CE6420"/>
    <w:rsid w:val="00CE7526"/>
    <w:rsid w:val="00CE7C23"/>
    <w:rsid w:val="00CF023A"/>
    <w:rsid w:val="00CF2120"/>
    <w:rsid w:val="00CF2883"/>
    <w:rsid w:val="00CF41A2"/>
    <w:rsid w:val="00CF4389"/>
    <w:rsid w:val="00D03181"/>
    <w:rsid w:val="00D0379A"/>
    <w:rsid w:val="00D04E35"/>
    <w:rsid w:val="00D05F7D"/>
    <w:rsid w:val="00D06278"/>
    <w:rsid w:val="00D06AC4"/>
    <w:rsid w:val="00D07628"/>
    <w:rsid w:val="00D109A4"/>
    <w:rsid w:val="00D144F9"/>
    <w:rsid w:val="00D148C7"/>
    <w:rsid w:val="00D20128"/>
    <w:rsid w:val="00D2088E"/>
    <w:rsid w:val="00D21212"/>
    <w:rsid w:val="00D22A36"/>
    <w:rsid w:val="00D22D23"/>
    <w:rsid w:val="00D24006"/>
    <w:rsid w:val="00D248EC"/>
    <w:rsid w:val="00D258F5"/>
    <w:rsid w:val="00D31B31"/>
    <w:rsid w:val="00D3245A"/>
    <w:rsid w:val="00D32F06"/>
    <w:rsid w:val="00D33043"/>
    <w:rsid w:val="00D33DA4"/>
    <w:rsid w:val="00D345F5"/>
    <w:rsid w:val="00D34A8B"/>
    <w:rsid w:val="00D34B27"/>
    <w:rsid w:val="00D366ED"/>
    <w:rsid w:val="00D4103A"/>
    <w:rsid w:val="00D42BD4"/>
    <w:rsid w:val="00D42E88"/>
    <w:rsid w:val="00D438F8"/>
    <w:rsid w:val="00D439C0"/>
    <w:rsid w:val="00D443A2"/>
    <w:rsid w:val="00D4585A"/>
    <w:rsid w:val="00D475D9"/>
    <w:rsid w:val="00D51AE5"/>
    <w:rsid w:val="00D53303"/>
    <w:rsid w:val="00D54D7D"/>
    <w:rsid w:val="00D558C3"/>
    <w:rsid w:val="00D56AAD"/>
    <w:rsid w:val="00D603CC"/>
    <w:rsid w:val="00D604BA"/>
    <w:rsid w:val="00D61096"/>
    <w:rsid w:val="00D6133C"/>
    <w:rsid w:val="00D63B8A"/>
    <w:rsid w:val="00D6408A"/>
    <w:rsid w:val="00D64A9D"/>
    <w:rsid w:val="00D665B5"/>
    <w:rsid w:val="00D674DD"/>
    <w:rsid w:val="00D7114A"/>
    <w:rsid w:val="00D72374"/>
    <w:rsid w:val="00D7316D"/>
    <w:rsid w:val="00D73598"/>
    <w:rsid w:val="00D73672"/>
    <w:rsid w:val="00D74FA8"/>
    <w:rsid w:val="00D764BA"/>
    <w:rsid w:val="00D814D5"/>
    <w:rsid w:val="00D826F0"/>
    <w:rsid w:val="00D85344"/>
    <w:rsid w:val="00D8665F"/>
    <w:rsid w:val="00D905A6"/>
    <w:rsid w:val="00D92245"/>
    <w:rsid w:val="00D9354D"/>
    <w:rsid w:val="00D9682F"/>
    <w:rsid w:val="00DA0A6C"/>
    <w:rsid w:val="00DA0E6B"/>
    <w:rsid w:val="00DA1250"/>
    <w:rsid w:val="00DA1B98"/>
    <w:rsid w:val="00DA2FC3"/>
    <w:rsid w:val="00DA34CB"/>
    <w:rsid w:val="00DA4713"/>
    <w:rsid w:val="00DA5AD1"/>
    <w:rsid w:val="00DA6EF0"/>
    <w:rsid w:val="00DA7A02"/>
    <w:rsid w:val="00DB1A70"/>
    <w:rsid w:val="00DB6BA2"/>
    <w:rsid w:val="00DB7175"/>
    <w:rsid w:val="00DC00FE"/>
    <w:rsid w:val="00DC041A"/>
    <w:rsid w:val="00DC04AF"/>
    <w:rsid w:val="00DC1C79"/>
    <w:rsid w:val="00DC2FB2"/>
    <w:rsid w:val="00DC3F59"/>
    <w:rsid w:val="00DC5294"/>
    <w:rsid w:val="00DC6203"/>
    <w:rsid w:val="00DC664B"/>
    <w:rsid w:val="00DC7296"/>
    <w:rsid w:val="00DC74DE"/>
    <w:rsid w:val="00DD0063"/>
    <w:rsid w:val="00DD0792"/>
    <w:rsid w:val="00DD1EED"/>
    <w:rsid w:val="00DD2152"/>
    <w:rsid w:val="00DD32D4"/>
    <w:rsid w:val="00DD4898"/>
    <w:rsid w:val="00DD66F5"/>
    <w:rsid w:val="00DD6982"/>
    <w:rsid w:val="00DE17C8"/>
    <w:rsid w:val="00DE27F1"/>
    <w:rsid w:val="00DE2E7B"/>
    <w:rsid w:val="00DE37BC"/>
    <w:rsid w:val="00DE463F"/>
    <w:rsid w:val="00DE58C2"/>
    <w:rsid w:val="00DE59E1"/>
    <w:rsid w:val="00DE5E24"/>
    <w:rsid w:val="00DE66A3"/>
    <w:rsid w:val="00DE72A9"/>
    <w:rsid w:val="00DF0620"/>
    <w:rsid w:val="00DF093E"/>
    <w:rsid w:val="00DF38FC"/>
    <w:rsid w:val="00DF5608"/>
    <w:rsid w:val="00DF5C94"/>
    <w:rsid w:val="00DF5EFE"/>
    <w:rsid w:val="00DF6BED"/>
    <w:rsid w:val="00E02815"/>
    <w:rsid w:val="00E062DF"/>
    <w:rsid w:val="00E06A8B"/>
    <w:rsid w:val="00E11288"/>
    <w:rsid w:val="00E12517"/>
    <w:rsid w:val="00E13145"/>
    <w:rsid w:val="00E14522"/>
    <w:rsid w:val="00E168A9"/>
    <w:rsid w:val="00E172D3"/>
    <w:rsid w:val="00E17E18"/>
    <w:rsid w:val="00E219A4"/>
    <w:rsid w:val="00E22D5C"/>
    <w:rsid w:val="00E22DAF"/>
    <w:rsid w:val="00E2349A"/>
    <w:rsid w:val="00E24F68"/>
    <w:rsid w:val="00E26392"/>
    <w:rsid w:val="00E278D8"/>
    <w:rsid w:val="00E3254C"/>
    <w:rsid w:val="00E339EB"/>
    <w:rsid w:val="00E35E8F"/>
    <w:rsid w:val="00E36097"/>
    <w:rsid w:val="00E36D45"/>
    <w:rsid w:val="00E36D75"/>
    <w:rsid w:val="00E37651"/>
    <w:rsid w:val="00E37F88"/>
    <w:rsid w:val="00E42062"/>
    <w:rsid w:val="00E44B5E"/>
    <w:rsid w:val="00E4559D"/>
    <w:rsid w:val="00E458F3"/>
    <w:rsid w:val="00E464A3"/>
    <w:rsid w:val="00E46A5E"/>
    <w:rsid w:val="00E46E68"/>
    <w:rsid w:val="00E50432"/>
    <w:rsid w:val="00E50FF0"/>
    <w:rsid w:val="00E5210C"/>
    <w:rsid w:val="00E545B5"/>
    <w:rsid w:val="00E54F07"/>
    <w:rsid w:val="00E55573"/>
    <w:rsid w:val="00E56492"/>
    <w:rsid w:val="00E56C3D"/>
    <w:rsid w:val="00E5771A"/>
    <w:rsid w:val="00E57904"/>
    <w:rsid w:val="00E61C9E"/>
    <w:rsid w:val="00E63426"/>
    <w:rsid w:val="00E64898"/>
    <w:rsid w:val="00E6525D"/>
    <w:rsid w:val="00E6595B"/>
    <w:rsid w:val="00E71B5D"/>
    <w:rsid w:val="00E72022"/>
    <w:rsid w:val="00E7340A"/>
    <w:rsid w:val="00E75C1E"/>
    <w:rsid w:val="00E770D8"/>
    <w:rsid w:val="00E806D5"/>
    <w:rsid w:val="00E80C17"/>
    <w:rsid w:val="00E80DB8"/>
    <w:rsid w:val="00E812CB"/>
    <w:rsid w:val="00E82B04"/>
    <w:rsid w:val="00E83F75"/>
    <w:rsid w:val="00E86277"/>
    <w:rsid w:val="00E92EDD"/>
    <w:rsid w:val="00E94645"/>
    <w:rsid w:val="00E97203"/>
    <w:rsid w:val="00EA050E"/>
    <w:rsid w:val="00EA2D9C"/>
    <w:rsid w:val="00EA7E45"/>
    <w:rsid w:val="00EB368D"/>
    <w:rsid w:val="00EB4571"/>
    <w:rsid w:val="00EB4E96"/>
    <w:rsid w:val="00EB5D66"/>
    <w:rsid w:val="00EB6997"/>
    <w:rsid w:val="00EB7781"/>
    <w:rsid w:val="00EB78B2"/>
    <w:rsid w:val="00EB7F18"/>
    <w:rsid w:val="00EC0A1F"/>
    <w:rsid w:val="00EC4FB1"/>
    <w:rsid w:val="00EC553E"/>
    <w:rsid w:val="00EC5DA3"/>
    <w:rsid w:val="00EC7B8F"/>
    <w:rsid w:val="00ED1199"/>
    <w:rsid w:val="00ED2E7B"/>
    <w:rsid w:val="00ED4DB9"/>
    <w:rsid w:val="00ED5551"/>
    <w:rsid w:val="00ED7BD8"/>
    <w:rsid w:val="00EE02C1"/>
    <w:rsid w:val="00EE06D3"/>
    <w:rsid w:val="00EE16AA"/>
    <w:rsid w:val="00EE18C0"/>
    <w:rsid w:val="00EE3D31"/>
    <w:rsid w:val="00EE4CDA"/>
    <w:rsid w:val="00EE5ABA"/>
    <w:rsid w:val="00EE5F1C"/>
    <w:rsid w:val="00EE6E0D"/>
    <w:rsid w:val="00EE7D93"/>
    <w:rsid w:val="00EE7F38"/>
    <w:rsid w:val="00EF0583"/>
    <w:rsid w:val="00EF198C"/>
    <w:rsid w:val="00EF2665"/>
    <w:rsid w:val="00EF3477"/>
    <w:rsid w:val="00EF432B"/>
    <w:rsid w:val="00EF4E6D"/>
    <w:rsid w:val="00F0012A"/>
    <w:rsid w:val="00F00D7B"/>
    <w:rsid w:val="00F0149F"/>
    <w:rsid w:val="00F033E3"/>
    <w:rsid w:val="00F035FB"/>
    <w:rsid w:val="00F0374A"/>
    <w:rsid w:val="00F037C8"/>
    <w:rsid w:val="00F03E60"/>
    <w:rsid w:val="00F0566F"/>
    <w:rsid w:val="00F066E5"/>
    <w:rsid w:val="00F1246C"/>
    <w:rsid w:val="00F127F2"/>
    <w:rsid w:val="00F12CEB"/>
    <w:rsid w:val="00F133B5"/>
    <w:rsid w:val="00F133F8"/>
    <w:rsid w:val="00F13F96"/>
    <w:rsid w:val="00F150AC"/>
    <w:rsid w:val="00F15734"/>
    <w:rsid w:val="00F1635E"/>
    <w:rsid w:val="00F229F4"/>
    <w:rsid w:val="00F23FAE"/>
    <w:rsid w:val="00F26102"/>
    <w:rsid w:val="00F27070"/>
    <w:rsid w:val="00F31517"/>
    <w:rsid w:val="00F317D4"/>
    <w:rsid w:val="00F31A87"/>
    <w:rsid w:val="00F33473"/>
    <w:rsid w:val="00F354B2"/>
    <w:rsid w:val="00F35911"/>
    <w:rsid w:val="00F4112F"/>
    <w:rsid w:val="00F418DA"/>
    <w:rsid w:val="00F42AB5"/>
    <w:rsid w:val="00F42F34"/>
    <w:rsid w:val="00F43869"/>
    <w:rsid w:val="00F43A55"/>
    <w:rsid w:val="00F43D13"/>
    <w:rsid w:val="00F4522B"/>
    <w:rsid w:val="00F45398"/>
    <w:rsid w:val="00F453A8"/>
    <w:rsid w:val="00F46812"/>
    <w:rsid w:val="00F46F04"/>
    <w:rsid w:val="00F51A82"/>
    <w:rsid w:val="00F51F2F"/>
    <w:rsid w:val="00F546FA"/>
    <w:rsid w:val="00F54B24"/>
    <w:rsid w:val="00F55569"/>
    <w:rsid w:val="00F562D0"/>
    <w:rsid w:val="00F57167"/>
    <w:rsid w:val="00F6151A"/>
    <w:rsid w:val="00F62EB1"/>
    <w:rsid w:val="00F6336F"/>
    <w:rsid w:val="00F63931"/>
    <w:rsid w:val="00F640BA"/>
    <w:rsid w:val="00F6481C"/>
    <w:rsid w:val="00F656C8"/>
    <w:rsid w:val="00F6679B"/>
    <w:rsid w:val="00F67002"/>
    <w:rsid w:val="00F674CD"/>
    <w:rsid w:val="00F709C5"/>
    <w:rsid w:val="00F70BB0"/>
    <w:rsid w:val="00F71703"/>
    <w:rsid w:val="00F71EEA"/>
    <w:rsid w:val="00F7230E"/>
    <w:rsid w:val="00F73FAA"/>
    <w:rsid w:val="00F7421B"/>
    <w:rsid w:val="00F756E7"/>
    <w:rsid w:val="00F764BF"/>
    <w:rsid w:val="00F8153B"/>
    <w:rsid w:val="00F819AC"/>
    <w:rsid w:val="00F81FFB"/>
    <w:rsid w:val="00F82826"/>
    <w:rsid w:val="00F828B6"/>
    <w:rsid w:val="00F8306A"/>
    <w:rsid w:val="00F8402B"/>
    <w:rsid w:val="00F85A3F"/>
    <w:rsid w:val="00F85DC4"/>
    <w:rsid w:val="00F87058"/>
    <w:rsid w:val="00F8748F"/>
    <w:rsid w:val="00F91649"/>
    <w:rsid w:val="00F92563"/>
    <w:rsid w:val="00F92857"/>
    <w:rsid w:val="00F93FF1"/>
    <w:rsid w:val="00F9516D"/>
    <w:rsid w:val="00FA0177"/>
    <w:rsid w:val="00FA39BE"/>
    <w:rsid w:val="00FA63AB"/>
    <w:rsid w:val="00FA6BCA"/>
    <w:rsid w:val="00FA714F"/>
    <w:rsid w:val="00FB0B6D"/>
    <w:rsid w:val="00FB3211"/>
    <w:rsid w:val="00FB40FB"/>
    <w:rsid w:val="00FB4152"/>
    <w:rsid w:val="00FB5F7F"/>
    <w:rsid w:val="00FB63EF"/>
    <w:rsid w:val="00FB6DF3"/>
    <w:rsid w:val="00FC02BC"/>
    <w:rsid w:val="00FC17EC"/>
    <w:rsid w:val="00FC2146"/>
    <w:rsid w:val="00FC214B"/>
    <w:rsid w:val="00FC22C9"/>
    <w:rsid w:val="00FC23DA"/>
    <w:rsid w:val="00FC5741"/>
    <w:rsid w:val="00FD2061"/>
    <w:rsid w:val="00FD36C2"/>
    <w:rsid w:val="00FD38CD"/>
    <w:rsid w:val="00FD78CF"/>
    <w:rsid w:val="00FD7ACA"/>
    <w:rsid w:val="00FD7D74"/>
    <w:rsid w:val="00FE0010"/>
    <w:rsid w:val="00FE15B4"/>
    <w:rsid w:val="00FE1F2F"/>
    <w:rsid w:val="00FE3808"/>
    <w:rsid w:val="00FF04DD"/>
    <w:rsid w:val="00FF0BFD"/>
    <w:rsid w:val="00FF17D8"/>
    <w:rsid w:val="00FF698C"/>
    <w:rsid w:val="00FF6FE4"/>
    <w:rsid w:val="00FF71C7"/>
    <w:rsid w:val="00FF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43EE4"/>
  <w15:docId w15:val="{1F155C6D-791A-4B26-B60E-AE9341C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5D9F"/>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03BA2"/>
    <w:pPr>
      <w:keepNext/>
      <w:spacing w:before="360" w:after="240"/>
      <w:jc w:val="center"/>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1052"/>
    <w:pPr>
      <w:spacing w:before="100" w:beforeAutospacing="1" w:after="100" w:afterAutospacing="1"/>
    </w:pPr>
  </w:style>
  <w:style w:type="paragraph" w:customStyle="1" w:styleId="naisf">
    <w:name w:val="naisf"/>
    <w:basedOn w:val="Normal"/>
    <w:rsid w:val="00B31052"/>
    <w:pPr>
      <w:spacing w:before="75" w:after="75"/>
      <w:ind w:firstLine="375"/>
      <w:jc w:val="both"/>
    </w:pPr>
  </w:style>
  <w:style w:type="paragraph" w:customStyle="1" w:styleId="naisnod">
    <w:name w:val="naisnod"/>
    <w:basedOn w:val="Normal"/>
    <w:uiPriority w:val="99"/>
    <w:rsid w:val="00B31052"/>
    <w:pPr>
      <w:spacing w:before="150" w:after="150"/>
      <w:jc w:val="center"/>
    </w:pPr>
    <w:rPr>
      <w:b/>
      <w:bCs/>
    </w:rPr>
  </w:style>
  <w:style w:type="paragraph" w:customStyle="1" w:styleId="naislab">
    <w:name w:val="naislab"/>
    <w:basedOn w:val="Normal"/>
    <w:uiPriority w:val="99"/>
    <w:rsid w:val="00B31052"/>
    <w:pPr>
      <w:spacing w:before="75" w:after="75"/>
      <w:jc w:val="right"/>
    </w:pPr>
  </w:style>
  <w:style w:type="paragraph" w:customStyle="1" w:styleId="naiskr">
    <w:name w:val="naiskr"/>
    <w:basedOn w:val="Normal"/>
    <w:rsid w:val="00B31052"/>
    <w:pPr>
      <w:spacing w:before="75" w:after="75"/>
    </w:pPr>
  </w:style>
  <w:style w:type="paragraph" w:customStyle="1" w:styleId="naisc">
    <w:name w:val="naisc"/>
    <w:basedOn w:val="Normal"/>
    <w:rsid w:val="00B31052"/>
    <w:pPr>
      <w:spacing w:before="75" w:after="75"/>
      <w:jc w:val="center"/>
    </w:pPr>
  </w:style>
  <w:style w:type="paragraph" w:customStyle="1" w:styleId="tv213">
    <w:name w:val="tv213"/>
    <w:basedOn w:val="Normal"/>
    <w:rsid w:val="00B31052"/>
    <w:pPr>
      <w:spacing w:before="100" w:beforeAutospacing="1" w:after="100" w:afterAutospacing="1"/>
    </w:pPr>
  </w:style>
  <w:style w:type="paragraph" w:styleId="Header">
    <w:name w:val="header"/>
    <w:basedOn w:val="Normal"/>
    <w:link w:val="HeaderChar"/>
    <w:uiPriority w:val="99"/>
    <w:unhideWhenUsed/>
    <w:rsid w:val="00B31052"/>
    <w:pPr>
      <w:tabs>
        <w:tab w:val="center" w:pos="4153"/>
        <w:tab w:val="right" w:pos="8306"/>
      </w:tabs>
    </w:pPr>
  </w:style>
  <w:style w:type="character" w:customStyle="1" w:styleId="HeaderChar">
    <w:name w:val="Header Char"/>
    <w:basedOn w:val="DefaultParagraphFont"/>
    <w:link w:val="Header"/>
    <w:uiPriority w:val="99"/>
    <w:rsid w:val="00B3105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31052"/>
    <w:pPr>
      <w:tabs>
        <w:tab w:val="center" w:pos="4153"/>
        <w:tab w:val="right" w:pos="8306"/>
      </w:tabs>
    </w:pPr>
  </w:style>
  <w:style w:type="character" w:customStyle="1" w:styleId="FooterChar">
    <w:name w:val="Footer Char"/>
    <w:basedOn w:val="DefaultParagraphFont"/>
    <w:link w:val="Footer"/>
    <w:uiPriority w:val="99"/>
    <w:rsid w:val="00B31052"/>
    <w:rPr>
      <w:rFonts w:ascii="Times New Roman" w:eastAsia="Times New Roman" w:hAnsi="Times New Roman" w:cs="Times New Roman"/>
      <w:sz w:val="24"/>
      <w:szCs w:val="24"/>
      <w:lang w:eastAsia="lv-LV"/>
    </w:rPr>
  </w:style>
  <w:style w:type="paragraph" w:styleId="ListParagraph">
    <w:name w:val="List Paragraph"/>
    <w:aliases w:val="2,Strip,Párrafo de lista,Normal bullet 2,Bullet list,List Paragraph1"/>
    <w:basedOn w:val="Normal"/>
    <w:link w:val="ListParagraphChar"/>
    <w:uiPriority w:val="34"/>
    <w:qFormat/>
    <w:rsid w:val="00736173"/>
    <w:pPr>
      <w:spacing w:after="200" w:line="276" w:lineRule="auto"/>
      <w:ind w:left="720"/>
      <w:contextualSpacing/>
    </w:pPr>
    <w:rPr>
      <w:rFonts w:ascii="Calibri" w:hAnsi="Calibri"/>
      <w:sz w:val="22"/>
      <w:szCs w:val="22"/>
      <w:lang w:eastAsia="en-US"/>
    </w:rPr>
  </w:style>
  <w:style w:type="character" w:styleId="Hyperlink">
    <w:name w:val="Hyperlink"/>
    <w:uiPriority w:val="99"/>
    <w:semiHidden/>
    <w:rsid w:val="0026605C"/>
    <w:rPr>
      <w:rFonts w:cs="Times New Roman"/>
      <w:color w:val="0000FF"/>
      <w:u w:val="single"/>
    </w:rPr>
  </w:style>
  <w:style w:type="paragraph" w:styleId="CommentText">
    <w:name w:val="annotation text"/>
    <w:basedOn w:val="Normal"/>
    <w:link w:val="CommentTextChar"/>
    <w:uiPriority w:val="99"/>
    <w:unhideWhenUsed/>
    <w:rsid w:val="0026605C"/>
    <w:rPr>
      <w:sz w:val="20"/>
      <w:szCs w:val="20"/>
    </w:rPr>
  </w:style>
  <w:style w:type="character" w:customStyle="1" w:styleId="CommentTextChar">
    <w:name w:val="Comment Text Char"/>
    <w:basedOn w:val="DefaultParagraphFont"/>
    <w:link w:val="CommentText"/>
    <w:uiPriority w:val="99"/>
    <w:rsid w:val="0026605C"/>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0026A3"/>
    <w:rPr>
      <w:sz w:val="16"/>
      <w:szCs w:val="16"/>
    </w:rPr>
  </w:style>
  <w:style w:type="paragraph" w:styleId="BalloonText">
    <w:name w:val="Balloon Text"/>
    <w:basedOn w:val="Normal"/>
    <w:link w:val="BalloonTextChar"/>
    <w:uiPriority w:val="99"/>
    <w:semiHidden/>
    <w:unhideWhenUsed/>
    <w:rsid w:val="0000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A3"/>
    <w:rPr>
      <w:rFonts w:ascii="Segoe UI" w:eastAsia="Times New Roman" w:hAnsi="Segoe UI" w:cs="Segoe UI"/>
      <w:sz w:val="18"/>
      <w:szCs w:val="18"/>
      <w:lang w:eastAsia="lv-LV"/>
    </w:rPr>
  </w:style>
  <w:style w:type="paragraph" w:styleId="Revision">
    <w:name w:val="Revision"/>
    <w:hidden/>
    <w:uiPriority w:val="99"/>
    <w:semiHidden/>
    <w:rsid w:val="005D09B3"/>
    <w:pPr>
      <w:spacing w:after="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F31A87"/>
    <w:rPr>
      <w:b/>
      <w:bCs/>
    </w:rPr>
  </w:style>
  <w:style w:type="character" w:customStyle="1" w:styleId="CommentSubjectChar">
    <w:name w:val="Comment Subject Char"/>
    <w:basedOn w:val="CommentTextChar"/>
    <w:link w:val="CommentSubject"/>
    <w:uiPriority w:val="99"/>
    <w:semiHidden/>
    <w:rsid w:val="00F31A87"/>
    <w:rPr>
      <w:rFonts w:ascii="Times New Roman" w:eastAsia="Times New Roman" w:hAnsi="Times New Roman" w:cs="Times New Roman"/>
      <w:b/>
      <w:bCs/>
      <w:sz w:val="20"/>
      <w:szCs w:val="20"/>
      <w:lang w:eastAsia="lv-LV"/>
    </w:rPr>
  </w:style>
  <w:style w:type="paragraph" w:styleId="EnvelopeAddress">
    <w:name w:val="envelope address"/>
    <w:basedOn w:val="Normal"/>
    <w:next w:val="Subtitle"/>
    <w:rsid w:val="0045708A"/>
    <w:pPr>
      <w:keepNext/>
      <w:keepLines/>
      <w:widowControl w:val="0"/>
      <w:spacing w:before="60" w:after="60"/>
      <w:ind w:left="5103"/>
    </w:pPr>
    <w:rPr>
      <w:sz w:val="26"/>
      <w:szCs w:val="20"/>
      <w:lang w:eastAsia="en-US"/>
    </w:rPr>
  </w:style>
  <w:style w:type="paragraph" w:styleId="Subtitle">
    <w:name w:val="Subtitle"/>
    <w:basedOn w:val="Normal"/>
    <w:next w:val="Normal"/>
    <w:link w:val="SubtitleChar"/>
    <w:uiPriority w:val="11"/>
    <w:qFormat/>
    <w:rsid w:val="0045708A"/>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708A"/>
    <w:rPr>
      <w:rFonts w:eastAsiaTheme="minorEastAsia"/>
      <w:color w:val="5A5A5A" w:themeColor="text1" w:themeTint="A5"/>
      <w:spacing w:val="15"/>
      <w:lang w:eastAsia="lv-LV"/>
    </w:rPr>
  </w:style>
  <w:style w:type="table" w:styleId="TableGrid">
    <w:name w:val="Table Grid"/>
    <w:basedOn w:val="TableNormal"/>
    <w:rsid w:val="00D366ED"/>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5AC"/>
    <w:pPr>
      <w:autoSpaceDE w:val="0"/>
      <w:autoSpaceDN w:val="0"/>
      <w:adjustRightInd w:val="0"/>
      <w:spacing w:after="0"/>
    </w:pPr>
    <w:rPr>
      <w:rFonts w:ascii="Times New Roman" w:hAnsi="Times New Roman" w:cs="Times New Roman"/>
      <w:color w:val="000000"/>
      <w:sz w:val="24"/>
      <w:szCs w:val="24"/>
    </w:rPr>
  </w:style>
  <w:style w:type="character" w:customStyle="1" w:styleId="ColorfulList-Accent1Char">
    <w:name w:val="Colorful List - Accent 1 Char"/>
    <w:link w:val="ColorfulList-Accent1"/>
    <w:uiPriority w:val="34"/>
    <w:rsid w:val="007D7AE8"/>
    <w:rPr>
      <w:rFonts w:eastAsia="Calibri"/>
      <w:sz w:val="24"/>
      <w:szCs w:val="22"/>
      <w:lang w:val="lv-LV"/>
    </w:rPr>
  </w:style>
  <w:style w:type="table" w:styleId="ColorfulList-Accent1">
    <w:name w:val="Colorful List Accent 1"/>
    <w:basedOn w:val="TableNormal"/>
    <w:link w:val="ColorfulList-Accent1Char"/>
    <w:uiPriority w:val="34"/>
    <w:semiHidden/>
    <w:unhideWhenUsed/>
    <w:rsid w:val="007D7AE8"/>
    <w:pPr>
      <w:spacing w:after="0"/>
    </w:pPr>
    <w:rPr>
      <w:rFonts w:eastAsia="Calibri"/>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C03BA2"/>
    <w:rPr>
      <w:rFonts w:ascii="Times New Roman" w:eastAsia="Times New Roman" w:hAnsi="Times New Roman" w:cs="Times New Roman"/>
      <w:b/>
      <w:color w:val="000000"/>
      <w:sz w:val="28"/>
      <w:szCs w:val="28"/>
      <w:lang w:eastAsia="lv-LV"/>
    </w:rPr>
  </w:style>
  <w:style w:type="paragraph" w:customStyle="1" w:styleId="Punkts1Lmenis">
    <w:name w:val="Punkts 1.Līmenis"/>
    <w:basedOn w:val="Normal"/>
    <w:link w:val="Punkts1LmenisChar"/>
    <w:qFormat/>
    <w:rsid w:val="006D3C23"/>
    <w:pPr>
      <w:keepLines/>
      <w:numPr>
        <w:numId w:val="1"/>
      </w:numPr>
      <w:shd w:val="clear" w:color="auto" w:fill="FFFFFF"/>
      <w:spacing w:after="120"/>
      <w:jc w:val="both"/>
    </w:pPr>
    <w:rPr>
      <w:lang w:val="x-none" w:eastAsia="x-none"/>
    </w:rPr>
  </w:style>
  <w:style w:type="paragraph" w:customStyle="1" w:styleId="Punkts2Lmenis">
    <w:name w:val="Punkts 2.Līmenis"/>
    <w:basedOn w:val="Punkts1Lmenis"/>
    <w:link w:val="Punkts2LmenisChar"/>
    <w:qFormat/>
    <w:rsid w:val="006D3C23"/>
    <w:pPr>
      <w:numPr>
        <w:ilvl w:val="1"/>
      </w:numPr>
      <w:tabs>
        <w:tab w:val="clear" w:pos="2468"/>
      </w:tabs>
      <w:ind w:left="1440" w:hanging="360"/>
    </w:pPr>
  </w:style>
  <w:style w:type="paragraph" w:customStyle="1" w:styleId="Punkts3Lmenis">
    <w:name w:val="Punkts 3.Līmenis"/>
    <w:basedOn w:val="Punkts2Lmenis"/>
    <w:qFormat/>
    <w:rsid w:val="006D3C23"/>
    <w:pPr>
      <w:numPr>
        <w:ilvl w:val="2"/>
      </w:numPr>
      <w:tabs>
        <w:tab w:val="clear" w:pos="2184"/>
      </w:tabs>
      <w:ind w:left="2160" w:hanging="180"/>
    </w:pPr>
    <w:rPr>
      <w:lang w:eastAsia="en-US"/>
    </w:rPr>
  </w:style>
  <w:style w:type="character" w:customStyle="1" w:styleId="Punkts1LmenisChar">
    <w:name w:val="Punkts 1.Līmenis Char"/>
    <w:link w:val="Punkts1Lmenis"/>
    <w:locked/>
    <w:rsid w:val="006D3C23"/>
    <w:rPr>
      <w:rFonts w:ascii="Times New Roman" w:eastAsia="Times New Roman" w:hAnsi="Times New Roman" w:cs="Times New Roman"/>
      <w:sz w:val="24"/>
      <w:szCs w:val="24"/>
      <w:shd w:val="clear" w:color="auto" w:fill="FFFFFF"/>
      <w:lang w:val="x-none" w:eastAsia="x-none"/>
    </w:rPr>
  </w:style>
  <w:style w:type="paragraph" w:customStyle="1" w:styleId="a">
    <w:name w:val="a"/>
    <w:basedOn w:val="Normal"/>
    <w:uiPriority w:val="99"/>
    <w:rsid w:val="00417014"/>
    <w:pPr>
      <w:spacing w:before="100" w:beforeAutospacing="1" w:after="100" w:afterAutospacing="1"/>
    </w:pPr>
    <w:rPr>
      <w:color w:val="306060"/>
    </w:rPr>
  </w:style>
  <w:style w:type="character" w:customStyle="1" w:styleId="Punkts2LmenisChar">
    <w:name w:val="Punkts 2.Līmenis Char"/>
    <w:link w:val="Punkts2Lmenis"/>
    <w:locked/>
    <w:rsid w:val="002B5E21"/>
    <w:rPr>
      <w:rFonts w:ascii="Times New Roman" w:eastAsia="Times New Roman" w:hAnsi="Times New Roman" w:cs="Times New Roman"/>
      <w:sz w:val="24"/>
      <w:szCs w:val="24"/>
      <w:shd w:val="clear" w:color="auto" w:fill="FFFFFF"/>
      <w:lang w:val="x-none" w:eastAsia="x-none"/>
    </w:rPr>
  </w:style>
  <w:style w:type="character" w:customStyle="1" w:styleId="apple-converted-space">
    <w:name w:val="apple-converted-space"/>
    <w:basedOn w:val="DefaultParagraphFont"/>
    <w:rsid w:val="00262EA4"/>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uiPriority w:val="99"/>
    <w:qFormat/>
    <w:rsid w:val="00796337"/>
    <w:pPr>
      <w:ind w:firstLine="567"/>
      <w:jc w:val="both"/>
    </w:pPr>
    <w:rPr>
      <w:sz w:val="20"/>
      <w:szCs w:val="20"/>
      <w:lang w:val="en-GB"/>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96337"/>
    <w:rPr>
      <w:rFonts w:ascii="Times New Roman" w:eastAsia="Times New Roman" w:hAnsi="Times New Roman" w:cs="Times New Roman"/>
      <w:sz w:val="20"/>
      <w:szCs w:val="20"/>
      <w:lang w:val="en-GB" w:eastAsia="lv-LV"/>
    </w:rPr>
  </w:style>
  <w:style w:type="character" w:styleId="PlaceholderText">
    <w:name w:val="Placeholder Text"/>
    <w:basedOn w:val="DefaultParagraphFont"/>
    <w:uiPriority w:val="99"/>
    <w:semiHidden/>
    <w:rsid w:val="00DA34CB"/>
    <w:rPr>
      <w:color w:val="808080"/>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074AEF"/>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074AEF"/>
    <w:pPr>
      <w:spacing w:line="240" w:lineRule="exact"/>
      <w:ind w:firstLine="567"/>
      <w:jc w:val="both"/>
      <w:textAlignment w:val="baseline"/>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rsid w:val="00FF698C"/>
    <w:pPr>
      <w:spacing w:before="150" w:after="75" w:line="270" w:lineRule="atLeast"/>
      <w:jc w:val="right"/>
    </w:pPr>
    <w:rPr>
      <w:b/>
      <w:sz w:val="28"/>
      <w:szCs w:val="20"/>
      <w:lang w:eastAsia="en-US"/>
    </w:rPr>
  </w:style>
  <w:style w:type="character" w:customStyle="1" w:styleId="BodyTextChar">
    <w:name w:val="Body Text Char"/>
    <w:basedOn w:val="DefaultParagraphFont"/>
    <w:link w:val="BodyText"/>
    <w:rsid w:val="00FF698C"/>
    <w:rPr>
      <w:rFonts w:ascii="Times New Roman" w:eastAsia="Times New Roman" w:hAnsi="Times New Roman" w:cs="Times New Roman"/>
      <w:b/>
      <w:sz w:val="28"/>
      <w:szCs w:val="20"/>
    </w:rPr>
  </w:style>
  <w:style w:type="character" w:customStyle="1" w:styleId="ListParagraphChar">
    <w:name w:val="List Paragraph Char"/>
    <w:aliases w:val="2 Char,Strip Char,Párrafo de lista Char,Normal bullet 2 Char,Bullet list Char,List Paragraph1 Char"/>
    <w:link w:val="ListParagraph"/>
    <w:uiPriority w:val="34"/>
    <w:locked/>
    <w:rsid w:val="002F20B0"/>
    <w:rPr>
      <w:rFonts w:ascii="Calibri" w:eastAsia="Times New Roman" w:hAnsi="Calibri" w:cs="Times New Roman"/>
    </w:rPr>
  </w:style>
  <w:style w:type="character" w:customStyle="1" w:styleId="Mention1">
    <w:name w:val="Mention1"/>
    <w:basedOn w:val="DefaultParagraphFont"/>
    <w:uiPriority w:val="99"/>
    <w:semiHidden/>
    <w:unhideWhenUsed/>
    <w:rsid w:val="0066148B"/>
    <w:rPr>
      <w:color w:val="2B579A"/>
      <w:shd w:val="clear" w:color="auto" w:fill="E6E6E6"/>
    </w:rPr>
  </w:style>
  <w:style w:type="character" w:customStyle="1" w:styleId="Mention2">
    <w:name w:val="Mention2"/>
    <w:basedOn w:val="DefaultParagraphFont"/>
    <w:uiPriority w:val="99"/>
    <w:semiHidden/>
    <w:unhideWhenUsed/>
    <w:rsid w:val="00397BBD"/>
    <w:rPr>
      <w:color w:val="2B579A"/>
      <w:shd w:val="clear" w:color="auto" w:fill="E6E6E6"/>
    </w:rPr>
  </w:style>
  <w:style w:type="character" w:styleId="Mention">
    <w:name w:val="Mention"/>
    <w:basedOn w:val="DefaultParagraphFont"/>
    <w:uiPriority w:val="99"/>
    <w:semiHidden/>
    <w:unhideWhenUsed/>
    <w:rsid w:val="006D2999"/>
    <w:rPr>
      <w:color w:val="2B579A"/>
      <w:shd w:val="clear" w:color="auto" w:fill="E6E6E6"/>
    </w:rPr>
  </w:style>
  <w:style w:type="paragraph" w:customStyle="1" w:styleId="h1">
    <w:name w:val="h1"/>
    <w:basedOn w:val="Normal"/>
    <w:uiPriority w:val="99"/>
    <w:rsid w:val="00631B33"/>
    <w:pPr>
      <w:spacing w:after="150"/>
    </w:pPr>
    <w:rPr>
      <w:color w:val="30606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1462">
      <w:bodyDiv w:val="1"/>
      <w:marLeft w:val="0"/>
      <w:marRight w:val="0"/>
      <w:marTop w:val="0"/>
      <w:marBottom w:val="0"/>
      <w:divBdr>
        <w:top w:val="none" w:sz="0" w:space="0" w:color="auto"/>
        <w:left w:val="none" w:sz="0" w:space="0" w:color="auto"/>
        <w:bottom w:val="none" w:sz="0" w:space="0" w:color="auto"/>
        <w:right w:val="none" w:sz="0" w:space="0" w:color="auto"/>
      </w:divBdr>
    </w:div>
    <w:div w:id="32311264">
      <w:bodyDiv w:val="1"/>
      <w:marLeft w:val="0"/>
      <w:marRight w:val="0"/>
      <w:marTop w:val="0"/>
      <w:marBottom w:val="0"/>
      <w:divBdr>
        <w:top w:val="none" w:sz="0" w:space="0" w:color="auto"/>
        <w:left w:val="none" w:sz="0" w:space="0" w:color="auto"/>
        <w:bottom w:val="none" w:sz="0" w:space="0" w:color="auto"/>
        <w:right w:val="none" w:sz="0" w:space="0" w:color="auto"/>
      </w:divBdr>
    </w:div>
    <w:div w:id="75714426">
      <w:bodyDiv w:val="1"/>
      <w:marLeft w:val="0"/>
      <w:marRight w:val="0"/>
      <w:marTop w:val="0"/>
      <w:marBottom w:val="0"/>
      <w:divBdr>
        <w:top w:val="none" w:sz="0" w:space="0" w:color="auto"/>
        <w:left w:val="none" w:sz="0" w:space="0" w:color="auto"/>
        <w:bottom w:val="none" w:sz="0" w:space="0" w:color="auto"/>
        <w:right w:val="none" w:sz="0" w:space="0" w:color="auto"/>
      </w:divBdr>
    </w:div>
    <w:div w:id="152527296">
      <w:bodyDiv w:val="1"/>
      <w:marLeft w:val="0"/>
      <w:marRight w:val="0"/>
      <w:marTop w:val="0"/>
      <w:marBottom w:val="0"/>
      <w:divBdr>
        <w:top w:val="none" w:sz="0" w:space="0" w:color="auto"/>
        <w:left w:val="none" w:sz="0" w:space="0" w:color="auto"/>
        <w:bottom w:val="none" w:sz="0" w:space="0" w:color="auto"/>
        <w:right w:val="none" w:sz="0" w:space="0" w:color="auto"/>
      </w:divBdr>
    </w:div>
    <w:div w:id="159467565">
      <w:bodyDiv w:val="1"/>
      <w:marLeft w:val="0"/>
      <w:marRight w:val="0"/>
      <w:marTop w:val="0"/>
      <w:marBottom w:val="0"/>
      <w:divBdr>
        <w:top w:val="none" w:sz="0" w:space="0" w:color="auto"/>
        <w:left w:val="none" w:sz="0" w:space="0" w:color="auto"/>
        <w:bottom w:val="none" w:sz="0" w:space="0" w:color="auto"/>
        <w:right w:val="none" w:sz="0" w:space="0" w:color="auto"/>
      </w:divBdr>
    </w:div>
    <w:div w:id="224265075">
      <w:bodyDiv w:val="1"/>
      <w:marLeft w:val="0"/>
      <w:marRight w:val="0"/>
      <w:marTop w:val="0"/>
      <w:marBottom w:val="0"/>
      <w:divBdr>
        <w:top w:val="none" w:sz="0" w:space="0" w:color="auto"/>
        <w:left w:val="none" w:sz="0" w:space="0" w:color="auto"/>
        <w:bottom w:val="none" w:sz="0" w:space="0" w:color="auto"/>
        <w:right w:val="none" w:sz="0" w:space="0" w:color="auto"/>
      </w:divBdr>
    </w:div>
    <w:div w:id="224949892">
      <w:bodyDiv w:val="1"/>
      <w:marLeft w:val="0"/>
      <w:marRight w:val="0"/>
      <w:marTop w:val="0"/>
      <w:marBottom w:val="0"/>
      <w:divBdr>
        <w:top w:val="none" w:sz="0" w:space="0" w:color="auto"/>
        <w:left w:val="none" w:sz="0" w:space="0" w:color="auto"/>
        <w:bottom w:val="none" w:sz="0" w:space="0" w:color="auto"/>
        <w:right w:val="none" w:sz="0" w:space="0" w:color="auto"/>
      </w:divBdr>
    </w:div>
    <w:div w:id="277951018">
      <w:bodyDiv w:val="1"/>
      <w:marLeft w:val="0"/>
      <w:marRight w:val="0"/>
      <w:marTop w:val="0"/>
      <w:marBottom w:val="0"/>
      <w:divBdr>
        <w:top w:val="none" w:sz="0" w:space="0" w:color="auto"/>
        <w:left w:val="none" w:sz="0" w:space="0" w:color="auto"/>
        <w:bottom w:val="none" w:sz="0" w:space="0" w:color="auto"/>
        <w:right w:val="none" w:sz="0" w:space="0" w:color="auto"/>
      </w:divBdr>
    </w:div>
    <w:div w:id="485512177">
      <w:bodyDiv w:val="1"/>
      <w:marLeft w:val="0"/>
      <w:marRight w:val="0"/>
      <w:marTop w:val="0"/>
      <w:marBottom w:val="0"/>
      <w:divBdr>
        <w:top w:val="none" w:sz="0" w:space="0" w:color="auto"/>
        <w:left w:val="none" w:sz="0" w:space="0" w:color="auto"/>
        <w:bottom w:val="none" w:sz="0" w:space="0" w:color="auto"/>
        <w:right w:val="none" w:sz="0" w:space="0" w:color="auto"/>
      </w:divBdr>
    </w:div>
    <w:div w:id="558438413">
      <w:bodyDiv w:val="1"/>
      <w:marLeft w:val="0"/>
      <w:marRight w:val="0"/>
      <w:marTop w:val="0"/>
      <w:marBottom w:val="0"/>
      <w:divBdr>
        <w:top w:val="none" w:sz="0" w:space="0" w:color="auto"/>
        <w:left w:val="none" w:sz="0" w:space="0" w:color="auto"/>
        <w:bottom w:val="none" w:sz="0" w:space="0" w:color="auto"/>
        <w:right w:val="none" w:sz="0" w:space="0" w:color="auto"/>
      </w:divBdr>
    </w:div>
    <w:div w:id="615212618">
      <w:bodyDiv w:val="1"/>
      <w:marLeft w:val="0"/>
      <w:marRight w:val="0"/>
      <w:marTop w:val="0"/>
      <w:marBottom w:val="0"/>
      <w:divBdr>
        <w:top w:val="none" w:sz="0" w:space="0" w:color="auto"/>
        <w:left w:val="none" w:sz="0" w:space="0" w:color="auto"/>
        <w:bottom w:val="none" w:sz="0" w:space="0" w:color="auto"/>
        <w:right w:val="none" w:sz="0" w:space="0" w:color="auto"/>
      </w:divBdr>
    </w:div>
    <w:div w:id="622998482">
      <w:bodyDiv w:val="1"/>
      <w:marLeft w:val="0"/>
      <w:marRight w:val="0"/>
      <w:marTop w:val="0"/>
      <w:marBottom w:val="0"/>
      <w:divBdr>
        <w:top w:val="none" w:sz="0" w:space="0" w:color="auto"/>
        <w:left w:val="none" w:sz="0" w:space="0" w:color="auto"/>
        <w:bottom w:val="none" w:sz="0" w:space="0" w:color="auto"/>
        <w:right w:val="none" w:sz="0" w:space="0" w:color="auto"/>
      </w:divBdr>
    </w:div>
    <w:div w:id="715005168">
      <w:bodyDiv w:val="1"/>
      <w:marLeft w:val="0"/>
      <w:marRight w:val="0"/>
      <w:marTop w:val="0"/>
      <w:marBottom w:val="0"/>
      <w:divBdr>
        <w:top w:val="none" w:sz="0" w:space="0" w:color="auto"/>
        <w:left w:val="none" w:sz="0" w:space="0" w:color="auto"/>
        <w:bottom w:val="none" w:sz="0" w:space="0" w:color="auto"/>
        <w:right w:val="none" w:sz="0" w:space="0" w:color="auto"/>
      </w:divBdr>
    </w:div>
    <w:div w:id="762914771">
      <w:bodyDiv w:val="1"/>
      <w:marLeft w:val="0"/>
      <w:marRight w:val="0"/>
      <w:marTop w:val="0"/>
      <w:marBottom w:val="0"/>
      <w:divBdr>
        <w:top w:val="none" w:sz="0" w:space="0" w:color="auto"/>
        <w:left w:val="none" w:sz="0" w:space="0" w:color="auto"/>
        <w:bottom w:val="none" w:sz="0" w:space="0" w:color="auto"/>
        <w:right w:val="none" w:sz="0" w:space="0" w:color="auto"/>
      </w:divBdr>
    </w:div>
    <w:div w:id="774520172">
      <w:bodyDiv w:val="1"/>
      <w:marLeft w:val="0"/>
      <w:marRight w:val="0"/>
      <w:marTop w:val="0"/>
      <w:marBottom w:val="0"/>
      <w:divBdr>
        <w:top w:val="none" w:sz="0" w:space="0" w:color="auto"/>
        <w:left w:val="none" w:sz="0" w:space="0" w:color="auto"/>
        <w:bottom w:val="none" w:sz="0" w:space="0" w:color="auto"/>
        <w:right w:val="none" w:sz="0" w:space="0" w:color="auto"/>
      </w:divBdr>
    </w:div>
    <w:div w:id="884606807">
      <w:bodyDiv w:val="1"/>
      <w:marLeft w:val="0"/>
      <w:marRight w:val="0"/>
      <w:marTop w:val="0"/>
      <w:marBottom w:val="0"/>
      <w:divBdr>
        <w:top w:val="none" w:sz="0" w:space="0" w:color="auto"/>
        <w:left w:val="none" w:sz="0" w:space="0" w:color="auto"/>
        <w:bottom w:val="none" w:sz="0" w:space="0" w:color="auto"/>
        <w:right w:val="none" w:sz="0" w:space="0" w:color="auto"/>
      </w:divBdr>
    </w:div>
    <w:div w:id="1042483653">
      <w:bodyDiv w:val="1"/>
      <w:marLeft w:val="0"/>
      <w:marRight w:val="0"/>
      <w:marTop w:val="0"/>
      <w:marBottom w:val="0"/>
      <w:divBdr>
        <w:top w:val="none" w:sz="0" w:space="0" w:color="auto"/>
        <w:left w:val="none" w:sz="0" w:space="0" w:color="auto"/>
        <w:bottom w:val="none" w:sz="0" w:space="0" w:color="auto"/>
        <w:right w:val="none" w:sz="0" w:space="0" w:color="auto"/>
      </w:divBdr>
    </w:div>
    <w:div w:id="1117407349">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
    <w:div w:id="1291088554">
      <w:bodyDiv w:val="1"/>
      <w:marLeft w:val="0"/>
      <w:marRight w:val="0"/>
      <w:marTop w:val="0"/>
      <w:marBottom w:val="0"/>
      <w:divBdr>
        <w:top w:val="none" w:sz="0" w:space="0" w:color="auto"/>
        <w:left w:val="none" w:sz="0" w:space="0" w:color="auto"/>
        <w:bottom w:val="none" w:sz="0" w:space="0" w:color="auto"/>
        <w:right w:val="none" w:sz="0" w:space="0" w:color="auto"/>
      </w:divBdr>
    </w:div>
    <w:div w:id="1324043903">
      <w:bodyDiv w:val="1"/>
      <w:marLeft w:val="0"/>
      <w:marRight w:val="0"/>
      <w:marTop w:val="0"/>
      <w:marBottom w:val="0"/>
      <w:divBdr>
        <w:top w:val="none" w:sz="0" w:space="0" w:color="auto"/>
        <w:left w:val="none" w:sz="0" w:space="0" w:color="auto"/>
        <w:bottom w:val="none" w:sz="0" w:space="0" w:color="auto"/>
        <w:right w:val="none" w:sz="0" w:space="0" w:color="auto"/>
      </w:divBdr>
    </w:div>
    <w:div w:id="1420061558">
      <w:bodyDiv w:val="1"/>
      <w:marLeft w:val="0"/>
      <w:marRight w:val="0"/>
      <w:marTop w:val="0"/>
      <w:marBottom w:val="0"/>
      <w:divBdr>
        <w:top w:val="none" w:sz="0" w:space="0" w:color="auto"/>
        <w:left w:val="none" w:sz="0" w:space="0" w:color="auto"/>
        <w:bottom w:val="none" w:sz="0" w:space="0" w:color="auto"/>
        <w:right w:val="none" w:sz="0" w:space="0" w:color="auto"/>
      </w:divBdr>
    </w:div>
    <w:div w:id="1495297527">
      <w:bodyDiv w:val="1"/>
      <w:marLeft w:val="0"/>
      <w:marRight w:val="0"/>
      <w:marTop w:val="0"/>
      <w:marBottom w:val="0"/>
      <w:divBdr>
        <w:top w:val="none" w:sz="0" w:space="0" w:color="auto"/>
        <w:left w:val="none" w:sz="0" w:space="0" w:color="auto"/>
        <w:bottom w:val="none" w:sz="0" w:space="0" w:color="auto"/>
        <w:right w:val="none" w:sz="0" w:space="0" w:color="auto"/>
      </w:divBdr>
    </w:div>
    <w:div w:id="1563057143">
      <w:bodyDiv w:val="1"/>
      <w:marLeft w:val="0"/>
      <w:marRight w:val="0"/>
      <w:marTop w:val="0"/>
      <w:marBottom w:val="0"/>
      <w:divBdr>
        <w:top w:val="none" w:sz="0" w:space="0" w:color="auto"/>
        <w:left w:val="none" w:sz="0" w:space="0" w:color="auto"/>
        <w:bottom w:val="none" w:sz="0" w:space="0" w:color="auto"/>
        <w:right w:val="none" w:sz="0" w:space="0" w:color="auto"/>
      </w:divBdr>
    </w:div>
    <w:div w:id="1571498587">
      <w:bodyDiv w:val="1"/>
      <w:marLeft w:val="0"/>
      <w:marRight w:val="0"/>
      <w:marTop w:val="0"/>
      <w:marBottom w:val="0"/>
      <w:divBdr>
        <w:top w:val="none" w:sz="0" w:space="0" w:color="auto"/>
        <w:left w:val="none" w:sz="0" w:space="0" w:color="auto"/>
        <w:bottom w:val="none" w:sz="0" w:space="0" w:color="auto"/>
        <w:right w:val="none" w:sz="0" w:space="0" w:color="auto"/>
      </w:divBdr>
    </w:div>
    <w:div w:id="1660502704">
      <w:bodyDiv w:val="1"/>
      <w:marLeft w:val="0"/>
      <w:marRight w:val="0"/>
      <w:marTop w:val="0"/>
      <w:marBottom w:val="0"/>
      <w:divBdr>
        <w:top w:val="none" w:sz="0" w:space="0" w:color="auto"/>
        <w:left w:val="none" w:sz="0" w:space="0" w:color="auto"/>
        <w:bottom w:val="none" w:sz="0" w:space="0" w:color="auto"/>
        <w:right w:val="none" w:sz="0" w:space="0" w:color="auto"/>
      </w:divBdr>
    </w:div>
    <w:div w:id="1662999876">
      <w:bodyDiv w:val="1"/>
      <w:marLeft w:val="0"/>
      <w:marRight w:val="0"/>
      <w:marTop w:val="0"/>
      <w:marBottom w:val="0"/>
      <w:divBdr>
        <w:top w:val="none" w:sz="0" w:space="0" w:color="auto"/>
        <w:left w:val="none" w:sz="0" w:space="0" w:color="auto"/>
        <w:bottom w:val="none" w:sz="0" w:space="0" w:color="auto"/>
        <w:right w:val="none" w:sz="0" w:space="0" w:color="auto"/>
      </w:divBdr>
    </w:div>
    <w:div w:id="1727604603">
      <w:bodyDiv w:val="1"/>
      <w:marLeft w:val="0"/>
      <w:marRight w:val="0"/>
      <w:marTop w:val="0"/>
      <w:marBottom w:val="0"/>
      <w:divBdr>
        <w:top w:val="none" w:sz="0" w:space="0" w:color="auto"/>
        <w:left w:val="none" w:sz="0" w:space="0" w:color="auto"/>
        <w:bottom w:val="none" w:sz="0" w:space="0" w:color="auto"/>
        <w:right w:val="none" w:sz="0" w:space="0" w:color="auto"/>
      </w:divBdr>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
    <w:div w:id="2045665794">
      <w:bodyDiv w:val="1"/>
      <w:marLeft w:val="0"/>
      <w:marRight w:val="0"/>
      <w:marTop w:val="0"/>
      <w:marBottom w:val="0"/>
      <w:divBdr>
        <w:top w:val="none" w:sz="0" w:space="0" w:color="auto"/>
        <w:left w:val="none" w:sz="0" w:space="0" w:color="auto"/>
        <w:bottom w:val="none" w:sz="0" w:space="0" w:color="auto"/>
        <w:right w:val="none" w:sz="0" w:space="0" w:color="auto"/>
      </w:divBdr>
    </w:div>
    <w:div w:id="208588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Berzina@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479D-53D8-44C7-B2BB-ED9E7976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18776</Words>
  <Characters>10703</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Par informatīvo ziņojumu “Par Rail Baltica projekta ieviešanas gaitu un projektam nepieciešamo finansējumu 2019. gadā” (TA - 718-IP)</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risinājumu pievienotās vērtības nodokļa kompensēšanai Igaunijai un Lietuvai AS “RB Rail” veikto aktivitāšu ietvaros”</dc:title>
  <dc:creator>Olita.Berzina@sam.gov.lv</dc:creator>
  <cp:keywords>Izziņa</cp:keywords>
  <dc:description>olita.berzina@sam.gov.lv</dc:description>
  <cp:lastModifiedBy>Kārlis Enģelis</cp:lastModifiedBy>
  <cp:revision>5</cp:revision>
  <cp:lastPrinted>2019-04-18T10:35:00Z</cp:lastPrinted>
  <dcterms:created xsi:type="dcterms:W3CDTF">2019-11-01T07:03:00Z</dcterms:created>
  <dcterms:modified xsi:type="dcterms:W3CDTF">2019-11-01T09:35:00Z</dcterms:modified>
</cp:coreProperties>
</file>