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45B7A" w:rsidR="00945B7A" w:rsidP="00945B7A" w:rsidRDefault="00945B7A" w14:paraId="11511BFA" w14:textId="77777777">
      <w:pPr>
        <w:pStyle w:val="naisnod"/>
        <w:spacing w:before="0" w:after="0"/>
      </w:pPr>
      <w:r w:rsidRPr="00945B7A">
        <w:t xml:space="preserve">Izziņa par atzinumos sniegtajiem iebildumiem par Ministru kabineta noteikumu projektu </w:t>
      </w:r>
    </w:p>
    <w:p w:rsidRPr="00945B7A" w:rsidR="00945B7A" w:rsidP="00945B7A" w:rsidRDefault="00945B7A" w14:paraId="6FAAF566" w14:textId="77777777">
      <w:pPr>
        <w:pStyle w:val="naisnod"/>
        <w:tabs>
          <w:tab w:val="left" w:pos="9072"/>
        </w:tabs>
        <w:spacing w:before="0" w:after="0"/>
        <w:rPr>
          <w:bCs w:val="0"/>
        </w:rPr>
      </w:pPr>
      <w:r w:rsidRPr="00945B7A">
        <w:rPr>
          <w:bCs w:val="0"/>
        </w:rPr>
        <w:t>"M</w:t>
      </w:r>
      <w:r w:rsidRPr="00945B7A">
        <w:rPr>
          <w:rFonts w:eastAsia="Calibri"/>
          <w:lang w:eastAsia="en-US"/>
        </w:rPr>
        <w:t>antojuma inventāra saraksta sastādīšanas kārtība</w:t>
      </w:r>
      <w:r w:rsidRPr="00945B7A">
        <w:rPr>
          <w:bCs w:val="0"/>
        </w:rPr>
        <w:t>" (VSS-529)</w:t>
      </w:r>
    </w:p>
    <w:p w:rsidRPr="00945B7A" w:rsidR="00945B7A" w:rsidP="00945B7A" w:rsidRDefault="00945B7A" w14:paraId="0C953102" w14:textId="77777777">
      <w:pPr>
        <w:spacing w:after="0" w:line="240" w:lineRule="auto"/>
        <w:ind w:firstLine="720"/>
        <w:jc w:val="both"/>
        <w:rPr>
          <w:rFonts w:ascii="Times New Roman" w:hAnsi="Times New Roman" w:eastAsia="Times New Roman" w:cs="Times New Roman"/>
          <w:sz w:val="24"/>
          <w:szCs w:val="24"/>
          <w:lang w:eastAsia="lv-LV"/>
        </w:rPr>
      </w:pPr>
    </w:p>
    <w:p w:rsidRPr="00945B7A" w:rsidR="00945B7A" w:rsidP="00945B7A" w:rsidRDefault="00945B7A" w14:paraId="5285E361" w14:textId="77777777">
      <w:pPr>
        <w:spacing w:after="0" w:line="240" w:lineRule="auto"/>
        <w:jc w:val="center"/>
        <w:rPr>
          <w:rFonts w:ascii="Times New Roman" w:hAnsi="Times New Roman" w:eastAsia="Times New Roman" w:cs="Times New Roman"/>
          <w:b/>
          <w:sz w:val="24"/>
          <w:szCs w:val="24"/>
          <w:lang w:eastAsia="lv-LV"/>
        </w:rPr>
      </w:pPr>
      <w:r w:rsidRPr="00945B7A">
        <w:rPr>
          <w:rFonts w:ascii="Times New Roman" w:hAnsi="Times New Roman" w:eastAsia="Times New Roman" w:cs="Times New Roman"/>
          <w:b/>
          <w:sz w:val="24"/>
          <w:szCs w:val="24"/>
          <w:lang w:eastAsia="lv-LV"/>
        </w:rPr>
        <w:t>I. Jautājumi, par kuriem saskaņošanā vienošanās nav panākta</w:t>
      </w:r>
    </w:p>
    <w:p w:rsidR="00945B7A" w:rsidP="00945B7A" w:rsidRDefault="00945B7A" w14:paraId="7570EF47" w14:textId="500B4351">
      <w:pPr>
        <w:spacing w:after="0" w:line="240" w:lineRule="auto"/>
        <w:ind w:firstLine="720"/>
        <w:jc w:val="both"/>
        <w:rPr>
          <w:rFonts w:ascii="Times New Roman" w:hAnsi="Times New Roman" w:eastAsia="Times New Roman" w:cs="Times New Roman"/>
          <w:sz w:val="24"/>
          <w:szCs w:val="24"/>
          <w:lang w:eastAsia="lv-LV"/>
        </w:rPr>
      </w:pPr>
    </w:p>
    <w:p w:rsidR="00B04786" w:rsidP="00945B7A" w:rsidRDefault="00B04786" w14:paraId="5B225A55" w14:textId="4925F04B">
      <w:pPr>
        <w:spacing w:after="0" w:line="240" w:lineRule="auto"/>
        <w:ind w:firstLine="720"/>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 attiecināms.</w:t>
      </w:r>
    </w:p>
    <w:p w:rsidRPr="00945B7A" w:rsidR="00945B7A" w:rsidP="00945B7A" w:rsidRDefault="00945B7A" w14:paraId="08AC8CCB" w14:textId="77777777">
      <w:pPr>
        <w:spacing w:after="0" w:line="240" w:lineRule="auto"/>
        <w:jc w:val="center"/>
        <w:rPr>
          <w:rFonts w:ascii="Times New Roman" w:hAnsi="Times New Roman" w:eastAsia="Times New Roman" w:cs="Times New Roman"/>
          <w:b/>
          <w:sz w:val="24"/>
          <w:szCs w:val="24"/>
          <w:lang w:eastAsia="lv-LV"/>
        </w:rPr>
      </w:pPr>
    </w:p>
    <w:p w:rsidRPr="00945B7A" w:rsidR="00945B7A" w:rsidP="00945B7A" w:rsidRDefault="00945B7A" w14:paraId="5EA2002A" w14:textId="77777777">
      <w:pPr>
        <w:spacing w:after="0" w:line="240" w:lineRule="auto"/>
        <w:jc w:val="both"/>
        <w:rPr>
          <w:rFonts w:ascii="Times New Roman" w:hAnsi="Times New Roman" w:eastAsia="Times New Roman" w:cs="Times New Roman"/>
          <w:b/>
          <w:sz w:val="24"/>
          <w:szCs w:val="24"/>
          <w:lang w:eastAsia="lv-LV"/>
        </w:rPr>
      </w:pPr>
      <w:r w:rsidRPr="00945B7A">
        <w:rPr>
          <w:rFonts w:ascii="Times New Roman" w:hAnsi="Times New Roman" w:eastAsia="Times New Roman" w:cs="Times New Roman"/>
          <w:b/>
          <w:sz w:val="24"/>
          <w:szCs w:val="24"/>
          <w:lang w:eastAsia="lv-LV"/>
        </w:rPr>
        <w:t>Informācija par starpministriju (starpinstitūciju) sanāksmi vai elektronisko saskaņošanu</w:t>
      </w:r>
    </w:p>
    <w:p w:rsidRPr="00945B7A" w:rsidR="00945B7A" w:rsidP="00945B7A" w:rsidRDefault="00945B7A" w14:paraId="07ED42D9" w14:textId="77777777">
      <w:pPr>
        <w:spacing w:after="0" w:line="240" w:lineRule="auto"/>
        <w:jc w:val="both"/>
        <w:rPr>
          <w:rFonts w:ascii="Times New Roman" w:hAnsi="Times New Roman" w:eastAsia="Times New Roman" w:cs="Times New Roman"/>
          <w:b/>
          <w:sz w:val="24"/>
          <w:szCs w:val="24"/>
          <w:lang w:eastAsia="lv-LV"/>
        </w:rPr>
      </w:pPr>
    </w:p>
    <w:tbl>
      <w:tblPr>
        <w:tblW w:w="14034" w:type="dxa"/>
        <w:tblLook w:val="00A0" w:firstRow="1" w:lastRow="0" w:firstColumn="1" w:lastColumn="0" w:noHBand="0" w:noVBand="0"/>
      </w:tblPr>
      <w:tblGrid>
        <w:gridCol w:w="6345"/>
        <w:gridCol w:w="363"/>
        <w:gridCol w:w="840"/>
        <w:gridCol w:w="6486"/>
      </w:tblGrid>
      <w:tr w:rsidRPr="00945B7A" w:rsidR="00945B7A" w:rsidTr="00945B7A" w14:paraId="1FBDDD97" w14:textId="77777777">
        <w:tc>
          <w:tcPr>
            <w:tcW w:w="6345" w:type="dxa"/>
          </w:tcPr>
          <w:p w:rsidRPr="00945B7A" w:rsidR="00945B7A" w:rsidP="00945B7A" w:rsidRDefault="00945B7A" w14:paraId="342A2E6A" w14:textId="77777777">
            <w:pPr>
              <w:spacing w:after="0" w:line="240" w:lineRule="auto"/>
              <w:jc w:val="both"/>
              <w:rPr>
                <w:rFonts w:ascii="Times New Roman" w:hAnsi="Times New Roman" w:eastAsia="Times New Roman" w:cs="Times New Roman"/>
                <w:sz w:val="24"/>
                <w:szCs w:val="24"/>
                <w:lang w:eastAsia="lv-LV"/>
              </w:rPr>
            </w:pPr>
            <w:r w:rsidRPr="00945B7A">
              <w:rPr>
                <w:rFonts w:ascii="Times New Roman" w:hAnsi="Times New Roman" w:eastAsia="Times New Roman" w:cs="Times New Roman"/>
                <w:sz w:val="24"/>
                <w:szCs w:val="24"/>
                <w:lang w:eastAsia="lv-LV"/>
              </w:rPr>
              <w:t>Datums</w:t>
            </w:r>
          </w:p>
        </w:tc>
        <w:tc>
          <w:tcPr>
            <w:tcW w:w="7689" w:type="dxa"/>
            <w:gridSpan w:val="3"/>
            <w:tcBorders>
              <w:bottom w:val="single" w:color="auto" w:sz="4" w:space="0"/>
            </w:tcBorders>
          </w:tcPr>
          <w:p w:rsidRPr="00B04786" w:rsidR="00945B7A" w:rsidP="00945B7A" w:rsidRDefault="00945B7A" w14:paraId="51435918" w14:textId="1321E347">
            <w:pPr>
              <w:spacing w:after="0" w:line="240" w:lineRule="auto"/>
              <w:ind w:firstLine="720"/>
              <w:rPr>
                <w:rFonts w:ascii="Times New Roman" w:hAnsi="Times New Roman" w:eastAsia="Times New Roman" w:cs="Times New Roman"/>
                <w:sz w:val="28"/>
                <w:szCs w:val="28"/>
                <w:lang w:eastAsia="lv-LV"/>
              </w:rPr>
            </w:pPr>
            <w:r w:rsidRPr="00945B7A">
              <w:rPr>
                <w:rFonts w:ascii="Times New Roman" w:hAnsi="Times New Roman" w:cs="Times New Roman"/>
                <w:sz w:val="24"/>
                <w:szCs w:val="24"/>
              </w:rPr>
              <w:t>2019. gada 16. jūlijā</w:t>
            </w:r>
            <w:r w:rsidR="00B04786">
              <w:rPr>
                <w:rFonts w:ascii="Times New Roman" w:hAnsi="Times New Roman" w:cs="Times New Roman"/>
                <w:sz w:val="24"/>
                <w:szCs w:val="24"/>
              </w:rPr>
              <w:t xml:space="preserve"> un</w:t>
            </w:r>
            <w:r w:rsidRPr="00945B7A">
              <w:rPr>
                <w:rFonts w:ascii="Times New Roman" w:hAnsi="Times New Roman" w:cs="Times New Roman"/>
                <w:sz w:val="24"/>
                <w:szCs w:val="24"/>
              </w:rPr>
              <w:t xml:space="preserve"> </w:t>
            </w:r>
            <w:r w:rsidR="00B04786">
              <w:rPr>
                <w:rFonts w:ascii="Times New Roman" w:hAnsi="Times New Roman" w:cs="Times New Roman"/>
                <w:sz w:val="24"/>
                <w:szCs w:val="24"/>
              </w:rPr>
              <w:t xml:space="preserve">2019. gada 20. septembrī </w:t>
            </w:r>
            <w:r w:rsidRPr="00945B7A">
              <w:rPr>
                <w:rFonts w:ascii="Times New Roman" w:hAnsi="Times New Roman" w:cs="Times New Roman"/>
                <w:sz w:val="24"/>
                <w:szCs w:val="24"/>
              </w:rPr>
              <w:t>noteikumu projekts elektroniski nosūtīts saskaņošanai.</w:t>
            </w:r>
            <w:r w:rsidR="00B04786">
              <w:rPr>
                <w:rFonts w:ascii="Times New Roman" w:hAnsi="Times New Roman" w:cs="Times New Roman"/>
                <w:sz w:val="24"/>
                <w:szCs w:val="24"/>
              </w:rPr>
              <w:t xml:space="preserve"> </w:t>
            </w:r>
          </w:p>
        </w:tc>
      </w:tr>
      <w:tr w:rsidRPr="00945B7A" w:rsidR="00945B7A" w:rsidTr="00945B7A" w14:paraId="314AF502" w14:textId="77777777">
        <w:tc>
          <w:tcPr>
            <w:tcW w:w="6345" w:type="dxa"/>
          </w:tcPr>
          <w:p w:rsidRPr="00945B7A" w:rsidR="00945B7A" w:rsidP="00945B7A" w:rsidRDefault="00945B7A" w14:paraId="51EAA499" w14:textId="77777777">
            <w:pPr>
              <w:spacing w:after="0" w:line="240" w:lineRule="auto"/>
              <w:jc w:val="both"/>
              <w:rPr>
                <w:rFonts w:ascii="Times New Roman" w:hAnsi="Times New Roman" w:eastAsia="Times New Roman" w:cs="Times New Roman"/>
                <w:sz w:val="24"/>
                <w:szCs w:val="24"/>
                <w:lang w:eastAsia="lv-LV"/>
              </w:rPr>
            </w:pPr>
          </w:p>
        </w:tc>
        <w:tc>
          <w:tcPr>
            <w:tcW w:w="7689" w:type="dxa"/>
            <w:gridSpan w:val="3"/>
            <w:tcBorders>
              <w:top w:val="single" w:color="auto" w:sz="4" w:space="0"/>
            </w:tcBorders>
          </w:tcPr>
          <w:p w:rsidRPr="00945B7A" w:rsidR="00945B7A" w:rsidP="00945B7A" w:rsidRDefault="00945B7A" w14:paraId="31B96B02" w14:textId="77777777">
            <w:pPr>
              <w:spacing w:after="0" w:line="240" w:lineRule="auto"/>
              <w:ind w:firstLine="720"/>
              <w:rPr>
                <w:rFonts w:ascii="Times New Roman" w:hAnsi="Times New Roman" w:eastAsia="Times New Roman" w:cs="Times New Roman"/>
                <w:sz w:val="24"/>
                <w:szCs w:val="24"/>
                <w:lang w:eastAsia="lv-LV"/>
              </w:rPr>
            </w:pPr>
          </w:p>
        </w:tc>
      </w:tr>
      <w:tr w:rsidRPr="00945B7A" w:rsidR="00945B7A" w:rsidTr="00945B7A" w14:paraId="67974487" w14:textId="77777777">
        <w:tc>
          <w:tcPr>
            <w:tcW w:w="6345" w:type="dxa"/>
          </w:tcPr>
          <w:p w:rsidRPr="00945B7A" w:rsidR="00945B7A" w:rsidP="00945B7A" w:rsidRDefault="00945B7A" w14:paraId="23A619EE" w14:textId="77777777">
            <w:pPr>
              <w:spacing w:after="0" w:line="240" w:lineRule="auto"/>
              <w:rPr>
                <w:rFonts w:ascii="Times New Roman" w:hAnsi="Times New Roman" w:eastAsia="Times New Roman" w:cs="Times New Roman"/>
                <w:sz w:val="24"/>
                <w:szCs w:val="24"/>
                <w:lang w:eastAsia="lv-LV"/>
              </w:rPr>
            </w:pPr>
            <w:r w:rsidRPr="00945B7A">
              <w:rPr>
                <w:rFonts w:ascii="Times New Roman" w:hAnsi="Times New Roman" w:eastAsia="Times New Roman" w:cs="Times New Roman"/>
                <w:sz w:val="24"/>
                <w:szCs w:val="24"/>
                <w:lang w:eastAsia="lv-LV"/>
              </w:rPr>
              <w:t>Saskaņošanas dalībnieki</w:t>
            </w:r>
          </w:p>
        </w:tc>
        <w:tc>
          <w:tcPr>
            <w:tcW w:w="7689" w:type="dxa"/>
            <w:gridSpan w:val="3"/>
          </w:tcPr>
          <w:p w:rsidR="00945B7A" w:rsidP="00945B7A" w:rsidRDefault="00945B7A" w14:paraId="363D8EE3" w14:textId="77777777">
            <w:pPr>
              <w:spacing w:after="0" w:line="240" w:lineRule="auto"/>
              <w:ind w:firstLine="720"/>
              <w:rPr>
                <w:rFonts w:ascii="Times New Roman" w:hAnsi="Times New Roman" w:cs="Times New Roman"/>
                <w:sz w:val="24"/>
                <w:szCs w:val="24"/>
              </w:rPr>
            </w:pPr>
            <w:r w:rsidRPr="00945B7A">
              <w:rPr>
                <w:rFonts w:ascii="Times New Roman" w:hAnsi="Times New Roman" w:cs="Times New Roman"/>
                <w:sz w:val="24"/>
                <w:szCs w:val="24"/>
              </w:rPr>
              <w:t>Vides aizsardzības un reģionālās attīstības ministrija, Finanšu ministrija</w:t>
            </w:r>
          </w:p>
          <w:p w:rsidRPr="00945B7A" w:rsidR="00945B7A" w:rsidP="00945B7A" w:rsidRDefault="00945B7A" w14:paraId="729F629E" w14:textId="77777777">
            <w:pPr>
              <w:spacing w:after="0" w:line="240" w:lineRule="auto"/>
              <w:ind w:firstLine="720"/>
              <w:rPr>
                <w:rFonts w:ascii="Times New Roman" w:hAnsi="Times New Roman" w:eastAsia="Times New Roman" w:cs="Times New Roman"/>
                <w:sz w:val="24"/>
                <w:szCs w:val="24"/>
                <w:lang w:eastAsia="lv-LV"/>
              </w:rPr>
            </w:pPr>
          </w:p>
        </w:tc>
      </w:tr>
      <w:tr w:rsidRPr="00945B7A" w:rsidR="00945B7A" w:rsidTr="00945B7A" w14:paraId="37BADBB4" w14:textId="77777777">
        <w:trPr>
          <w:trHeight w:val="285"/>
        </w:trPr>
        <w:tc>
          <w:tcPr>
            <w:tcW w:w="6345" w:type="dxa"/>
          </w:tcPr>
          <w:p w:rsidRPr="00945B7A" w:rsidR="00945B7A" w:rsidP="00945B7A" w:rsidRDefault="00945B7A" w14:paraId="312CD612" w14:textId="77777777">
            <w:pPr>
              <w:spacing w:after="0" w:line="240" w:lineRule="auto"/>
              <w:rPr>
                <w:rFonts w:ascii="Times New Roman" w:hAnsi="Times New Roman" w:eastAsia="Times New Roman" w:cs="Times New Roman"/>
                <w:sz w:val="24"/>
                <w:szCs w:val="24"/>
                <w:lang w:eastAsia="lv-LV"/>
              </w:rPr>
            </w:pPr>
            <w:r w:rsidRPr="00945B7A">
              <w:rPr>
                <w:rFonts w:ascii="Times New Roman" w:hAnsi="Times New Roman" w:eastAsia="Times New Roman" w:cs="Times New Roman"/>
                <w:sz w:val="24"/>
                <w:szCs w:val="24"/>
                <w:lang w:eastAsia="lv-LV"/>
              </w:rPr>
              <w:t>Saskaņošanas dalībnieki izskatīja šādu ministriju (citu institūciju) iebildumus</w:t>
            </w:r>
          </w:p>
        </w:tc>
        <w:tc>
          <w:tcPr>
            <w:tcW w:w="1203" w:type="dxa"/>
            <w:gridSpan w:val="2"/>
          </w:tcPr>
          <w:p w:rsidRPr="00945B7A" w:rsidR="00945B7A" w:rsidP="00945B7A" w:rsidRDefault="00945B7A" w14:paraId="201D4104" w14:textId="77777777">
            <w:pPr>
              <w:spacing w:after="0" w:line="240" w:lineRule="auto"/>
              <w:ind w:firstLine="720"/>
              <w:rPr>
                <w:rFonts w:ascii="Times New Roman" w:hAnsi="Times New Roman" w:eastAsia="Times New Roman" w:cs="Times New Roman"/>
                <w:sz w:val="24"/>
                <w:szCs w:val="24"/>
                <w:lang w:eastAsia="lv-LV"/>
              </w:rPr>
            </w:pPr>
          </w:p>
        </w:tc>
        <w:tc>
          <w:tcPr>
            <w:tcW w:w="6486" w:type="dxa"/>
          </w:tcPr>
          <w:p w:rsidRPr="00945B7A" w:rsidR="00945B7A" w:rsidP="00945B7A" w:rsidRDefault="00945B7A" w14:paraId="1D53ED14" w14:textId="77777777">
            <w:pPr>
              <w:spacing w:after="0" w:line="240" w:lineRule="auto"/>
              <w:ind w:firstLine="12"/>
              <w:rPr>
                <w:rFonts w:ascii="Times New Roman" w:hAnsi="Times New Roman" w:eastAsia="Times New Roman" w:cs="Times New Roman"/>
                <w:sz w:val="24"/>
                <w:szCs w:val="24"/>
                <w:lang w:eastAsia="lv-LV"/>
              </w:rPr>
            </w:pPr>
          </w:p>
        </w:tc>
      </w:tr>
      <w:tr w:rsidRPr="00945B7A" w:rsidR="00945B7A" w:rsidTr="00945B7A" w14:paraId="7018617F" w14:textId="77777777">
        <w:trPr>
          <w:trHeight w:val="465"/>
        </w:trPr>
        <w:tc>
          <w:tcPr>
            <w:tcW w:w="6708" w:type="dxa"/>
            <w:gridSpan w:val="2"/>
          </w:tcPr>
          <w:p w:rsidRPr="00945B7A" w:rsidR="00945B7A" w:rsidP="00945B7A" w:rsidRDefault="00945B7A" w14:paraId="168B4E27" w14:textId="77777777">
            <w:pPr>
              <w:spacing w:after="0" w:line="240" w:lineRule="auto"/>
              <w:ind w:firstLine="720"/>
              <w:rPr>
                <w:rFonts w:ascii="Times New Roman" w:hAnsi="Times New Roman" w:eastAsia="Times New Roman" w:cs="Times New Roman"/>
                <w:sz w:val="24"/>
                <w:szCs w:val="24"/>
                <w:lang w:eastAsia="lv-LV"/>
              </w:rPr>
            </w:pPr>
          </w:p>
        </w:tc>
        <w:tc>
          <w:tcPr>
            <w:tcW w:w="7326" w:type="dxa"/>
            <w:gridSpan w:val="2"/>
            <w:tcBorders>
              <w:top w:val="single" w:color="000000" w:sz="6" w:space="0"/>
              <w:bottom w:val="single" w:color="000000" w:sz="6" w:space="0"/>
            </w:tcBorders>
          </w:tcPr>
          <w:p w:rsidRPr="00945B7A" w:rsidR="00945B7A" w:rsidP="00945B7A" w:rsidRDefault="00945B7A" w14:paraId="7941E5C3" w14:textId="77777777">
            <w:pPr>
              <w:spacing w:after="0" w:line="240" w:lineRule="auto"/>
              <w:ind w:firstLine="720"/>
              <w:rPr>
                <w:rFonts w:ascii="Times New Roman" w:hAnsi="Times New Roman" w:eastAsia="Times New Roman" w:cs="Times New Roman"/>
                <w:sz w:val="24"/>
                <w:szCs w:val="24"/>
                <w:lang w:eastAsia="lv-LV"/>
              </w:rPr>
            </w:pPr>
            <w:r w:rsidRPr="00945B7A">
              <w:rPr>
                <w:rFonts w:ascii="Times New Roman" w:hAnsi="Times New Roman" w:cs="Times New Roman"/>
                <w:sz w:val="24"/>
                <w:szCs w:val="24"/>
              </w:rPr>
              <w:t>Vides aizsardzības un reģionālās attīstības ministrija, Finanšu ministrija</w:t>
            </w:r>
            <w:r w:rsidR="00766BF6">
              <w:rPr>
                <w:rFonts w:ascii="Times New Roman" w:hAnsi="Times New Roman" w:cs="Times New Roman"/>
                <w:sz w:val="24"/>
                <w:szCs w:val="24"/>
              </w:rPr>
              <w:t xml:space="preserve"> </w:t>
            </w:r>
          </w:p>
        </w:tc>
      </w:tr>
      <w:tr w:rsidRPr="00945B7A" w:rsidR="00945B7A" w:rsidTr="00945B7A" w14:paraId="7ADE7888" w14:textId="77777777">
        <w:tc>
          <w:tcPr>
            <w:tcW w:w="6708" w:type="dxa"/>
            <w:gridSpan w:val="2"/>
          </w:tcPr>
          <w:p w:rsidR="00784551" w:rsidP="00945B7A" w:rsidRDefault="00784551" w14:paraId="56E70400" w14:textId="77777777">
            <w:pPr>
              <w:spacing w:after="0" w:line="240" w:lineRule="auto"/>
              <w:rPr>
                <w:rFonts w:ascii="Times New Roman" w:hAnsi="Times New Roman" w:eastAsia="Times New Roman" w:cs="Times New Roman"/>
                <w:sz w:val="24"/>
                <w:szCs w:val="24"/>
                <w:lang w:eastAsia="lv-LV"/>
              </w:rPr>
            </w:pPr>
          </w:p>
          <w:p w:rsidRPr="00945B7A" w:rsidR="00945B7A" w:rsidP="00945B7A" w:rsidRDefault="00945B7A" w14:paraId="7261487C" w14:textId="45AE9DC2">
            <w:pPr>
              <w:spacing w:after="0" w:line="240" w:lineRule="auto"/>
              <w:rPr>
                <w:rFonts w:ascii="Times New Roman" w:hAnsi="Times New Roman" w:eastAsia="Times New Roman" w:cs="Times New Roman"/>
                <w:sz w:val="24"/>
                <w:szCs w:val="24"/>
                <w:lang w:eastAsia="lv-LV"/>
              </w:rPr>
            </w:pPr>
            <w:r w:rsidRPr="00945B7A">
              <w:rPr>
                <w:rFonts w:ascii="Times New Roman" w:hAnsi="Times New Roman" w:eastAsia="Times New Roman" w:cs="Times New Roman"/>
                <w:sz w:val="24"/>
                <w:szCs w:val="24"/>
                <w:lang w:eastAsia="lv-LV"/>
              </w:rPr>
              <w:t>Ministrijas (citas institūcijas), kuras nav ieradušās uz sanāksmi vai kuras nav atbildējušas uz uzaicinājumu piedalīties elektroniskajā saskaņošanā</w:t>
            </w:r>
          </w:p>
        </w:tc>
        <w:tc>
          <w:tcPr>
            <w:tcW w:w="7326" w:type="dxa"/>
            <w:gridSpan w:val="2"/>
          </w:tcPr>
          <w:p w:rsidRPr="00945B7A" w:rsidR="00945B7A" w:rsidP="00945B7A" w:rsidRDefault="00945B7A" w14:paraId="1926A6EC" w14:textId="1674A5F3">
            <w:pPr>
              <w:spacing w:after="0" w:line="240" w:lineRule="auto"/>
              <w:ind w:firstLine="720"/>
              <w:rPr>
                <w:rFonts w:ascii="Times New Roman" w:hAnsi="Times New Roman" w:eastAsia="Times New Roman" w:cs="Times New Roman"/>
                <w:sz w:val="24"/>
                <w:szCs w:val="24"/>
                <w:lang w:eastAsia="lv-LV"/>
              </w:rPr>
            </w:pPr>
          </w:p>
        </w:tc>
      </w:tr>
      <w:tr w:rsidRPr="00945B7A" w:rsidR="00945B7A" w:rsidTr="00945B7A" w14:paraId="532B2C30" w14:textId="77777777">
        <w:tc>
          <w:tcPr>
            <w:tcW w:w="6708" w:type="dxa"/>
            <w:gridSpan w:val="2"/>
          </w:tcPr>
          <w:p w:rsidRPr="00945B7A" w:rsidR="00945B7A" w:rsidP="00945B7A" w:rsidRDefault="00945B7A" w14:paraId="43C30094" w14:textId="77777777">
            <w:pPr>
              <w:spacing w:after="0" w:line="240" w:lineRule="auto"/>
              <w:ind w:firstLine="720"/>
              <w:rPr>
                <w:rFonts w:ascii="Times New Roman" w:hAnsi="Times New Roman" w:eastAsia="Times New Roman" w:cs="Times New Roman"/>
                <w:sz w:val="24"/>
                <w:szCs w:val="24"/>
                <w:lang w:eastAsia="lv-LV"/>
              </w:rPr>
            </w:pPr>
          </w:p>
        </w:tc>
        <w:tc>
          <w:tcPr>
            <w:tcW w:w="7326" w:type="dxa"/>
            <w:gridSpan w:val="2"/>
            <w:tcBorders>
              <w:top w:val="single" w:color="000000" w:sz="6" w:space="0"/>
              <w:bottom w:val="single" w:color="000000" w:sz="6" w:space="0"/>
            </w:tcBorders>
          </w:tcPr>
          <w:p w:rsidRPr="00945B7A" w:rsidR="00945B7A" w:rsidP="00945B7A" w:rsidRDefault="00784551" w14:paraId="2AF9FB51" w14:textId="140F1B32">
            <w:pPr>
              <w:spacing w:after="0" w:line="240" w:lineRule="auto"/>
              <w:ind w:firstLine="720"/>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 attiecināms.</w:t>
            </w:r>
          </w:p>
        </w:tc>
      </w:tr>
    </w:tbl>
    <w:p w:rsidR="00945B7A" w:rsidP="00945B7A" w:rsidRDefault="00945B7A" w14:paraId="3A4B1E81" w14:textId="77777777">
      <w:pPr>
        <w:spacing w:after="0" w:line="240" w:lineRule="auto"/>
        <w:jc w:val="center"/>
        <w:rPr>
          <w:rFonts w:ascii="Times New Roman" w:hAnsi="Times New Roman" w:eastAsia="Times New Roman" w:cs="Times New Roman"/>
          <w:b/>
          <w:sz w:val="24"/>
          <w:szCs w:val="24"/>
          <w:lang w:eastAsia="lv-LV"/>
        </w:rPr>
      </w:pPr>
    </w:p>
    <w:p w:rsidRPr="00945B7A" w:rsidR="00945B7A" w:rsidP="00945B7A" w:rsidRDefault="00945B7A" w14:paraId="6EDE185F" w14:textId="4A67A732">
      <w:pPr>
        <w:spacing w:after="0" w:line="240" w:lineRule="auto"/>
        <w:jc w:val="center"/>
        <w:rPr>
          <w:rFonts w:ascii="Times New Roman" w:hAnsi="Times New Roman" w:eastAsia="Times New Roman" w:cs="Times New Roman"/>
          <w:b/>
          <w:sz w:val="24"/>
          <w:szCs w:val="24"/>
          <w:lang w:eastAsia="lv-LV"/>
        </w:rPr>
      </w:pPr>
      <w:r w:rsidRPr="00945B7A">
        <w:rPr>
          <w:rFonts w:ascii="Times New Roman" w:hAnsi="Times New Roman" w:eastAsia="Times New Roman" w:cs="Times New Roman"/>
          <w:b/>
          <w:sz w:val="24"/>
          <w:szCs w:val="24"/>
          <w:lang w:eastAsia="lv-LV"/>
        </w:rPr>
        <w:t>II. Jautājumi, par kuriem saskaņošanā vienošanās ir panākta</w:t>
      </w:r>
    </w:p>
    <w:p w:rsidRPr="00945B7A" w:rsidR="00945B7A" w:rsidP="00945B7A" w:rsidRDefault="00945B7A" w14:paraId="5959E8B9" w14:textId="77777777">
      <w:pPr>
        <w:spacing w:after="0" w:line="240" w:lineRule="auto"/>
        <w:ind w:firstLine="720"/>
        <w:jc w:val="both"/>
        <w:rPr>
          <w:rFonts w:ascii="Times New Roman" w:hAnsi="Times New Roman" w:eastAsia="Times New Roman" w:cs="Times New Roman"/>
          <w:sz w:val="24"/>
          <w:szCs w:val="24"/>
          <w:lang w:eastAsia="lv-LV"/>
        </w:rPr>
      </w:pPr>
    </w:p>
    <w:tbl>
      <w:tblPr>
        <w:tblW w:w="14201" w:type="dxa"/>
        <w:tblInd w:w="108"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593"/>
        <w:gridCol w:w="2977"/>
        <w:gridCol w:w="4961"/>
        <w:gridCol w:w="2410"/>
        <w:gridCol w:w="3260"/>
      </w:tblGrid>
      <w:tr w:rsidRPr="00945B7A" w:rsidR="00945B7A" w:rsidTr="002578D1" w14:paraId="4EF1D3C6" w14:textId="77777777">
        <w:tc>
          <w:tcPr>
            <w:tcW w:w="593" w:type="dxa"/>
            <w:tcBorders>
              <w:top w:val="single" w:color="000000" w:sz="6" w:space="0"/>
              <w:left w:val="single" w:color="000000" w:sz="6" w:space="0"/>
              <w:bottom w:val="single" w:color="000000" w:sz="6" w:space="0"/>
              <w:right w:val="single" w:color="000000" w:sz="6" w:space="0"/>
            </w:tcBorders>
          </w:tcPr>
          <w:p w:rsidRPr="00945B7A" w:rsidR="00945B7A" w:rsidP="00945B7A" w:rsidRDefault="00945B7A" w14:paraId="6941F6EB" w14:textId="77777777">
            <w:pPr>
              <w:spacing w:after="0" w:line="240" w:lineRule="auto"/>
              <w:ind w:firstLine="12"/>
              <w:jc w:val="center"/>
              <w:rPr>
                <w:rFonts w:ascii="Times New Roman" w:hAnsi="Times New Roman" w:eastAsia="Times New Roman" w:cs="Times New Roman"/>
                <w:sz w:val="24"/>
                <w:szCs w:val="24"/>
                <w:lang w:eastAsia="lv-LV"/>
              </w:rPr>
            </w:pPr>
            <w:proofErr w:type="spellStart"/>
            <w:r w:rsidRPr="00945B7A">
              <w:rPr>
                <w:rFonts w:ascii="Times New Roman" w:hAnsi="Times New Roman" w:eastAsia="Times New Roman" w:cs="Times New Roman"/>
                <w:sz w:val="24"/>
                <w:szCs w:val="24"/>
                <w:lang w:eastAsia="lv-LV"/>
              </w:rPr>
              <w:t>Nr.p.k</w:t>
            </w:r>
            <w:proofErr w:type="spellEnd"/>
            <w:r w:rsidRPr="00945B7A">
              <w:rPr>
                <w:rFonts w:ascii="Times New Roman" w:hAnsi="Times New Roman" w:eastAsia="Times New Roman" w:cs="Times New Roman"/>
                <w:sz w:val="24"/>
                <w:szCs w:val="24"/>
                <w:lang w:eastAsia="lv-LV"/>
              </w:rPr>
              <w:t>.</w:t>
            </w:r>
          </w:p>
        </w:tc>
        <w:tc>
          <w:tcPr>
            <w:tcW w:w="2977" w:type="dxa"/>
            <w:tcBorders>
              <w:top w:val="single" w:color="000000" w:sz="6" w:space="0"/>
              <w:left w:val="single" w:color="000000" w:sz="6" w:space="0"/>
              <w:bottom w:val="single" w:color="000000" w:sz="6" w:space="0"/>
              <w:right w:val="single" w:color="000000" w:sz="6" w:space="0"/>
            </w:tcBorders>
            <w:vAlign w:val="center"/>
          </w:tcPr>
          <w:p w:rsidRPr="00945B7A" w:rsidR="00945B7A" w:rsidP="00945B7A" w:rsidRDefault="00945B7A" w14:paraId="22AA7CED" w14:textId="77777777">
            <w:pPr>
              <w:spacing w:after="0" w:line="240" w:lineRule="auto"/>
              <w:ind w:firstLine="12"/>
              <w:jc w:val="center"/>
              <w:rPr>
                <w:rFonts w:ascii="Times New Roman" w:hAnsi="Times New Roman" w:eastAsia="Times New Roman" w:cs="Times New Roman"/>
                <w:sz w:val="24"/>
                <w:szCs w:val="24"/>
                <w:lang w:eastAsia="lv-LV"/>
              </w:rPr>
            </w:pPr>
            <w:r w:rsidRPr="00945B7A">
              <w:rPr>
                <w:rFonts w:ascii="Times New Roman" w:hAnsi="Times New Roman" w:eastAsia="Times New Roman" w:cs="Times New Roman"/>
                <w:sz w:val="24"/>
                <w:szCs w:val="24"/>
                <w:lang w:eastAsia="lv-LV"/>
              </w:rPr>
              <w:t>Saskaņošanai nosūtītā projekta redakcija (konkrēta punkta (panta) redakcija)</w:t>
            </w:r>
          </w:p>
        </w:tc>
        <w:tc>
          <w:tcPr>
            <w:tcW w:w="4961" w:type="dxa"/>
            <w:tcBorders>
              <w:top w:val="single" w:color="000000" w:sz="6" w:space="0"/>
              <w:left w:val="single" w:color="000000" w:sz="6" w:space="0"/>
              <w:bottom w:val="single" w:color="000000" w:sz="6" w:space="0"/>
              <w:right w:val="single" w:color="000000" w:sz="6" w:space="0"/>
            </w:tcBorders>
            <w:vAlign w:val="center"/>
          </w:tcPr>
          <w:p w:rsidRPr="00945B7A" w:rsidR="00945B7A" w:rsidP="00945B7A" w:rsidRDefault="00945B7A" w14:paraId="018744A0" w14:textId="77777777">
            <w:pPr>
              <w:spacing w:after="0" w:line="240" w:lineRule="auto"/>
              <w:ind w:right="3"/>
              <w:jc w:val="center"/>
              <w:rPr>
                <w:rFonts w:ascii="Times New Roman" w:hAnsi="Times New Roman" w:eastAsia="Times New Roman" w:cs="Times New Roman"/>
                <w:sz w:val="24"/>
                <w:szCs w:val="24"/>
                <w:lang w:eastAsia="lv-LV"/>
              </w:rPr>
            </w:pPr>
            <w:r w:rsidRPr="00945B7A">
              <w:rPr>
                <w:rFonts w:ascii="Times New Roman" w:hAnsi="Times New Roman" w:eastAsia="Times New Roman" w:cs="Times New Roman"/>
                <w:sz w:val="24"/>
                <w:szCs w:val="24"/>
                <w:lang w:eastAsia="lv-LV"/>
              </w:rPr>
              <w:t>Atzinumā norādītais ministrijas (citas institūcijas) iebildums, kā arī saskaņošanā papildus izteiktais iebildums par projekta konkrēto punktu (pantu)</w:t>
            </w:r>
          </w:p>
        </w:tc>
        <w:tc>
          <w:tcPr>
            <w:tcW w:w="2410" w:type="dxa"/>
            <w:tcBorders>
              <w:top w:val="single" w:color="000000" w:sz="6" w:space="0"/>
              <w:left w:val="single" w:color="000000" w:sz="6" w:space="0"/>
              <w:bottom w:val="single" w:color="000000" w:sz="6" w:space="0"/>
              <w:right w:val="single" w:color="000000" w:sz="6" w:space="0"/>
            </w:tcBorders>
            <w:vAlign w:val="center"/>
          </w:tcPr>
          <w:p w:rsidRPr="00945B7A" w:rsidR="00945B7A" w:rsidP="00945B7A" w:rsidRDefault="00945B7A" w14:paraId="3D606E44" w14:textId="77777777">
            <w:pPr>
              <w:spacing w:after="0" w:line="240" w:lineRule="auto"/>
              <w:ind w:firstLine="21"/>
              <w:jc w:val="center"/>
              <w:rPr>
                <w:rFonts w:ascii="Times New Roman" w:hAnsi="Times New Roman" w:eastAsia="Times New Roman" w:cs="Times New Roman"/>
                <w:sz w:val="24"/>
                <w:szCs w:val="24"/>
                <w:lang w:eastAsia="lv-LV"/>
              </w:rPr>
            </w:pPr>
            <w:r w:rsidRPr="00945B7A">
              <w:rPr>
                <w:rFonts w:ascii="Times New Roman" w:hAnsi="Times New Roman" w:eastAsia="Times New Roman" w:cs="Times New Roman"/>
                <w:sz w:val="24"/>
                <w:szCs w:val="24"/>
                <w:lang w:eastAsia="lv-LV"/>
              </w:rPr>
              <w:t xml:space="preserve">Atbildīgās ministrijas norāde par to, ka iebildums ir ņemts vērā, vai informācija par saskaņošanā </w:t>
            </w:r>
            <w:r w:rsidRPr="00945B7A">
              <w:rPr>
                <w:rFonts w:ascii="Times New Roman" w:hAnsi="Times New Roman" w:eastAsia="Times New Roman" w:cs="Times New Roman"/>
                <w:sz w:val="24"/>
                <w:szCs w:val="24"/>
                <w:lang w:eastAsia="lv-LV"/>
              </w:rPr>
              <w:lastRenderedPageBreak/>
              <w:t>panākto alternatīvo risinājumu</w:t>
            </w:r>
          </w:p>
        </w:tc>
        <w:tc>
          <w:tcPr>
            <w:tcW w:w="3260" w:type="dxa"/>
            <w:tcBorders>
              <w:top w:val="single" w:color="auto" w:sz="4" w:space="0"/>
              <w:left w:val="single" w:color="auto" w:sz="4" w:space="0"/>
              <w:bottom w:val="single" w:color="auto" w:sz="4" w:space="0"/>
            </w:tcBorders>
            <w:vAlign w:val="center"/>
          </w:tcPr>
          <w:p w:rsidRPr="00945B7A" w:rsidR="00945B7A" w:rsidP="00945B7A" w:rsidRDefault="00945B7A" w14:paraId="3772ECC3" w14:textId="77777777">
            <w:pPr>
              <w:spacing w:after="0" w:line="240" w:lineRule="auto"/>
              <w:jc w:val="center"/>
              <w:rPr>
                <w:rFonts w:ascii="Times New Roman" w:hAnsi="Times New Roman" w:eastAsia="Times New Roman" w:cs="Times New Roman"/>
                <w:sz w:val="24"/>
                <w:szCs w:val="24"/>
                <w:lang w:eastAsia="lv-LV"/>
              </w:rPr>
            </w:pPr>
            <w:r w:rsidRPr="00945B7A">
              <w:rPr>
                <w:rFonts w:ascii="Times New Roman" w:hAnsi="Times New Roman" w:eastAsia="Times New Roman" w:cs="Times New Roman"/>
                <w:sz w:val="24"/>
                <w:szCs w:val="24"/>
                <w:lang w:eastAsia="lv-LV"/>
              </w:rPr>
              <w:lastRenderedPageBreak/>
              <w:t>Projekta attiecīgā punkta (panta) galīgā redakcija</w:t>
            </w:r>
          </w:p>
        </w:tc>
      </w:tr>
      <w:tr w:rsidRPr="00945B7A" w:rsidR="00945B7A" w:rsidTr="00945B7A" w14:paraId="1346A1BE" w14:textId="77777777">
        <w:tc>
          <w:tcPr>
            <w:tcW w:w="593" w:type="dxa"/>
            <w:tcBorders>
              <w:top w:val="single" w:color="000000" w:sz="6" w:space="0"/>
              <w:left w:val="single" w:color="000000" w:sz="6" w:space="0"/>
              <w:bottom w:val="single" w:color="000000" w:sz="6" w:space="0"/>
              <w:right w:val="single" w:color="000000" w:sz="6" w:space="0"/>
            </w:tcBorders>
            <w:vAlign w:val="center"/>
          </w:tcPr>
          <w:p w:rsidRPr="00945B7A" w:rsidR="00945B7A" w:rsidP="00945B7A" w:rsidRDefault="00945B7A" w14:paraId="2E563217" w14:textId="77777777">
            <w:pPr>
              <w:spacing w:after="0" w:line="240" w:lineRule="auto"/>
              <w:ind w:firstLine="720"/>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1</w:t>
            </w:r>
          </w:p>
        </w:tc>
        <w:tc>
          <w:tcPr>
            <w:tcW w:w="2977" w:type="dxa"/>
            <w:tcBorders>
              <w:top w:val="single" w:color="000000" w:sz="6" w:space="0"/>
              <w:left w:val="single" w:color="000000" w:sz="6" w:space="0"/>
              <w:bottom w:val="single" w:color="000000" w:sz="6" w:space="0"/>
              <w:right w:val="single" w:color="000000" w:sz="6" w:space="0"/>
            </w:tcBorders>
          </w:tcPr>
          <w:p w:rsidRPr="00945B7A" w:rsidR="00945B7A" w:rsidP="00945B7A" w:rsidRDefault="00945B7A" w14:paraId="3BCC6A0F" w14:textId="77777777">
            <w:pPr>
              <w:spacing w:after="0" w:line="240" w:lineRule="auto"/>
              <w:ind w:firstLine="720"/>
              <w:jc w:val="center"/>
              <w:rPr>
                <w:rFonts w:ascii="Times New Roman" w:hAnsi="Times New Roman" w:eastAsia="Times New Roman" w:cs="Times New Roman"/>
                <w:sz w:val="24"/>
                <w:szCs w:val="24"/>
                <w:lang w:eastAsia="lv-LV"/>
              </w:rPr>
            </w:pPr>
            <w:r w:rsidRPr="00945B7A">
              <w:rPr>
                <w:rFonts w:ascii="Times New Roman" w:hAnsi="Times New Roman" w:eastAsia="Times New Roman" w:cs="Times New Roman"/>
                <w:sz w:val="24"/>
                <w:szCs w:val="24"/>
                <w:lang w:eastAsia="lv-LV"/>
              </w:rPr>
              <w:t>2</w:t>
            </w:r>
          </w:p>
        </w:tc>
        <w:tc>
          <w:tcPr>
            <w:tcW w:w="4961" w:type="dxa"/>
            <w:tcBorders>
              <w:top w:val="single" w:color="000000" w:sz="6" w:space="0"/>
              <w:left w:val="single" w:color="000000" w:sz="6" w:space="0"/>
              <w:bottom w:val="single" w:color="000000" w:sz="6" w:space="0"/>
              <w:right w:val="single" w:color="000000" w:sz="6" w:space="0"/>
            </w:tcBorders>
          </w:tcPr>
          <w:p w:rsidRPr="00945B7A" w:rsidR="00945B7A" w:rsidP="00945B7A" w:rsidRDefault="00945B7A" w14:paraId="2C0D82CA" w14:textId="77777777">
            <w:pPr>
              <w:spacing w:after="0" w:line="240" w:lineRule="auto"/>
              <w:ind w:firstLine="720"/>
              <w:jc w:val="center"/>
              <w:rPr>
                <w:rFonts w:ascii="Times New Roman" w:hAnsi="Times New Roman" w:eastAsia="Times New Roman" w:cs="Times New Roman"/>
                <w:sz w:val="24"/>
                <w:szCs w:val="24"/>
                <w:lang w:eastAsia="lv-LV"/>
              </w:rPr>
            </w:pPr>
            <w:r w:rsidRPr="00945B7A">
              <w:rPr>
                <w:rFonts w:ascii="Times New Roman" w:hAnsi="Times New Roman" w:eastAsia="Times New Roman" w:cs="Times New Roman"/>
                <w:sz w:val="24"/>
                <w:szCs w:val="24"/>
                <w:lang w:eastAsia="lv-LV"/>
              </w:rPr>
              <w:t>3</w:t>
            </w:r>
          </w:p>
        </w:tc>
        <w:tc>
          <w:tcPr>
            <w:tcW w:w="2410" w:type="dxa"/>
            <w:tcBorders>
              <w:top w:val="single" w:color="000000" w:sz="6" w:space="0"/>
              <w:left w:val="single" w:color="000000" w:sz="6" w:space="0"/>
              <w:bottom w:val="single" w:color="000000" w:sz="6" w:space="0"/>
              <w:right w:val="single" w:color="000000" w:sz="6" w:space="0"/>
            </w:tcBorders>
          </w:tcPr>
          <w:p w:rsidRPr="00945B7A" w:rsidR="00945B7A" w:rsidP="00945B7A" w:rsidRDefault="00945B7A" w14:paraId="1D5F41D9" w14:textId="77777777">
            <w:pPr>
              <w:spacing w:after="0" w:line="240" w:lineRule="auto"/>
              <w:ind w:firstLine="720"/>
              <w:jc w:val="center"/>
              <w:rPr>
                <w:rFonts w:ascii="Times New Roman" w:hAnsi="Times New Roman" w:eastAsia="Times New Roman" w:cs="Times New Roman"/>
                <w:sz w:val="24"/>
                <w:szCs w:val="24"/>
                <w:lang w:eastAsia="lv-LV"/>
              </w:rPr>
            </w:pPr>
            <w:r w:rsidRPr="00945B7A">
              <w:rPr>
                <w:rFonts w:ascii="Times New Roman" w:hAnsi="Times New Roman" w:eastAsia="Times New Roman" w:cs="Times New Roman"/>
                <w:sz w:val="24"/>
                <w:szCs w:val="24"/>
                <w:lang w:eastAsia="lv-LV"/>
              </w:rPr>
              <w:t>4</w:t>
            </w:r>
          </w:p>
        </w:tc>
        <w:tc>
          <w:tcPr>
            <w:tcW w:w="3260" w:type="dxa"/>
            <w:tcBorders>
              <w:top w:val="single" w:color="auto" w:sz="4" w:space="0"/>
              <w:left w:val="single" w:color="auto" w:sz="4" w:space="0"/>
              <w:bottom w:val="single" w:color="auto" w:sz="4" w:space="0"/>
            </w:tcBorders>
          </w:tcPr>
          <w:p w:rsidRPr="00945B7A" w:rsidR="00945B7A" w:rsidP="00945B7A" w:rsidRDefault="00945B7A" w14:paraId="6A6DD9BA" w14:textId="77777777">
            <w:pPr>
              <w:spacing w:after="0" w:line="240" w:lineRule="auto"/>
              <w:jc w:val="center"/>
              <w:rPr>
                <w:rFonts w:ascii="Times New Roman" w:hAnsi="Times New Roman" w:eastAsia="Times New Roman" w:cs="Times New Roman"/>
                <w:sz w:val="24"/>
                <w:szCs w:val="24"/>
                <w:lang w:eastAsia="lv-LV"/>
              </w:rPr>
            </w:pPr>
            <w:r w:rsidRPr="00945B7A">
              <w:rPr>
                <w:rFonts w:ascii="Times New Roman" w:hAnsi="Times New Roman" w:eastAsia="Times New Roman" w:cs="Times New Roman"/>
                <w:sz w:val="24"/>
                <w:szCs w:val="24"/>
                <w:lang w:eastAsia="lv-LV"/>
              </w:rPr>
              <w:t>5</w:t>
            </w:r>
          </w:p>
        </w:tc>
      </w:tr>
      <w:tr w:rsidRPr="00945B7A" w:rsidR="00945B7A" w:rsidTr="00050683" w14:paraId="7FAB9A1A" w14:textId="77777777">
        <w:tc>
          <w:tcPr>
            <w:tcW w:w="14201" w:type="dxa"/>
            <w:gridSpan w:val="5"/>
            <w:tcBorders>
              <w:top w:val="single" w:color="000000" w:sz="6" w:space="0"/>
              <w:left w:val="single" w:color="000000" w:sz="6" w:space="0"/>
              <w:bottom w:val="single" w:color="000000" w:sz="6" w:space="0"/>
            </w:tcBorders>
          </w:tcPr>
          <w:p w:rsidRPr="00766BF6" w:rsidR="00945B7A" w:rsidP="00945B7A" w:rsidRDefault="00945B7A" w14:paraId="17B7C274" w14:textId="77777777">
            <w:pPr>
              <w:spacing w:after="0" w:line="240" w:lineRule="auto"/>
              <w:jc w:val="center"/>
              <w:rPr>
                <w:rFonts w:ascii="Times New Roman" w:hAnsi="Times New Roman" w:eastAsia="Times New Roman" w:cs="Times New Roman"/>
                <w:sz w:val="24"/>
                <w:szCs w:val="24"/>
                <w:lang w:eastAsia="lv-LV"/>
              </w:rPr>
            </w:pPr>
            <w:r w:rsidRPr="00766BF6">
              <w:rPr>
                <w:rFonts w:ascii="Times New Roman" w:hAnsi="Times New Roman" w:cs="Times New Roman"/>
                <w:b/>
                <w:sz w:val="24"/>
                <w:szCs w:val="24"/>
              </w:rPr>
              <w:t>Vides aizsardzības un reģionālās attīstības ministrija</w:t>
            </w:r>
          </w:p>
        </w:tc>
      </w:tr>
      <w:tr w:rsidRPr="00945B7A" w:rsidR="00945B7A" w:rsidTr="00766BF6" w14:paraId="2127B001" w14:textId="77777777">
        <w:trPr>
          <w:trHeight w:val="5230"/>
        </w:trPr>
        <w:tc>
          <w:tcPr>
            <w:tcW w:w="593" w:type="dxa"/>
            <w:tcBorders>
              <w:left w:val="single" w:color="000000" w:sz="6" w:space="0"/>
              <w:bottom w:val="single" w:color="auto" w:sz="4" w:space="0"/>
              <w:right w:val="single" w:color="000000" w:sz="6" w:space="0"/>
            </w:tcBorders>
          </w:tcPr>
          <w:p w:rsidRPr="00945B7A" w:rsidR="00945B7A" w:rsidP="00945B7A" w:rsidRDefault="00945B7A" w14:paraId="7543DFF6" w14:textId="77777777">
            <w:pPr>
              <w:spacing w:after="0" w:line="240" w:lineRule="auto"/>
              <w:jc w:val="both"/>
              <w:rPr>
                <w:rFonts w:ascii="Times New Roman" w:hAnsi="Times New Roman" w:eastAsia="Times New Roman" w:cs="Times New Roman"/>
                <w:sz w:val="24"/>
                <w:szCs w:val="24"/>
                <w:lang w:eastAsia="lv-LV"/>
              </w:rPr>
            </w:pPr>
            <w:r w:rsidRPr="00945B7A">
              <w:rPr>
                <w:rFonts w:ascii="Times New Roman" w:hAnsi="Times New Roman" w:eastAsia="Times New Roman" w:cs="Times New Roman"/>
                <w:sz w:val="24"/>
                <w:szCs w:val="24"/>
                <w:lang w:eastAsia="lv-LV"/>
              </w:rPr>
              <w:t xml:space="preserve">1. </w:t>
            </w:r>
          </w:p>
        </w:tc>
        <w:tc>
          <w:tcPr>
            <w:tcW w:w="2977" w:type="dxa"/>
            <w:tcBorders>
              <w:top w:val="single" w:color="000000" w:sz="6" w:space="0"/>
              <w:left w:val="single" w:color="000000" w:sz="6" w:space="0"/>
              <w:bottom w:val="single" w:color="000000" w:sz="6" w:space="0"/>
              <w:right w:val="single" w:color="000000" w:sz="6" w:space="0"/>
            </w:tcBorders>
          </w:tcPr>
          <w:p w:rsidRPr="004B0109" w:rsidR="00945B7A" w:rsidP="00945B7A" w:rsidRDefault="00945B7A" w14:paraId="47F3DEC5" w14:textId="77777777">
            <w:pPr>
              <w:pStyle w:val="naisf"/>
              <w:ind w:firstLine="0"/>
            </w:pPr>
            <w:r w:rsidRPr="004B0109">
              <w:t>Noteikumu projekta anotācija.</w:t>
            </w:r>
          </w:p>
          <w:p w:rsidRPr="004B0109" w:rsidR="00945B7A" w:rsidP="00945B7A" w:rsidRDefault="00945B7A" w14:paraId="71B615E3" w14:textId="77777777">
            <w:pPr>
              <w:rPr>
                <w:rFonts w:ascii="Times New Roman" w:hAnsi="Times New Roman" w:cs="Times New Roman"/>
                <w:sz w:val="24"/>
                <w:szCs w:val="24"/>
              </w:rPr>
            </w:pPr>
          </w:p>
          <w:p w:rsidRPr="004B0109" w:rsidR="00945B7A" w:rsidP="00945B7A" w:rsidRDefault="00945B7A" w14:paraId="71729C00" w14:textId="77777777">
            <w:pPr>
              <w:rPr>
                <w:rFonts w:ascii="Times New Roman" w:hAnsi="Times New Roman" w:cs="Times New Roman"/>
                <w:sz w:val="24"/>
                <w:szCs w:val="24"/>
              </w:rPr>
            </w:pPr>
          </w:p>
          <w:p w:rsidRPr="004B0109" w:rsidR="00945B7A" w:rsidP="00945B7A" w:rsidRDefault="00945B7A" w14:paraId="54D793A0" w14:textId="77777777">
            <w:pPr>
              <w:rPr>
                <w:rFonts w:ascii="Times New Roman" w:hAnsi="Times New Roman" w:cs="Times New Roman"/>
                <w:sz w:val="24"/>
                <w:szCs w:val="24"/>
              </w:rPr>
            </w:pPr>
          </w:p>
          <w:p w:rsidRPr="004B0109" w:rsidR="00945B7A" w:rsidP="00945B7A" w:rsidRDefault="00945B7A" w14:paraId="6D47430E" w14:textId="77777777">
            <w:pPr>
              <w:rPr>
                <w:rFonts w:ascii="Times New Roman" w:hAnsi="Times New Roman" w:cs="Times New Roman"/>
                <w:sz w:val="24"/>
                <w:szCs w:val="24"/>
              </w:rPr>
            </w:pPr>
          </w:p>
          <w:p w:rsidRPr="004B0109" w:rsidR="00945B7A" w:rsidP="00945B7A" w:rsidRDefault="00945B7A" w14:paraId="61E4596F" w14:textId="77777777">
            <w:pPr>
              <w:rPr>
                <w:rFonts w:ascii="Times New Roman" w:hAnsi="Times New Roman" w:cs="Times New Roman"/>
                <w:sz w:val="24"/>
                <w:szCs w:val="24"/>
              </w:rPr>
            </w:pPr>
          </w:p>
          <w:p w:rsidRPr="004B0109" w:rsidR="00945B7A" w:rsidP="00945B7A" w:rsidRDefault="00945B7A" w14:paraId="1047E027" w14:textId="77777777">
            <w:pPr>
              <w:rPr>
                <w:rFonts w:ascii="Times New Roman" w:hAnsi="Times New Roman" w:cs="Times New Roman"/>
                <w:sz w:val="24"/>
                <w:szCs w:val="24"/>
              </w:rPr>
            </w:pPr>
          </w:p>
          <w:p w:rsidRPr="004B0109" w:rsidR="00945B7A" w:rsidP="00945B7A" w:rsidRDefault="00945B7A" w14:paraId="306EF011" w14:textId="77777777">
            <w:pPr>
              <w:rPr>
                <w:rFonts w:ascii="Times New Roman" w:hAnsi="Times New Roman" w:cs="Times New Roman"/>
                <w:sz w:val="24"/>
                <w:szCs w:val="24"/>
              </w:rPr>
            </w:pPr>
          </w:p>
          <w:p w:rsidRPr="004B0109" w:rsidR="00945B7A" w:rsidP="00945B7A" w:rsidRDefault="00945B7A" w14:paraId="2AFC82FC" w14:textId="77777777">
            <w:pPr>
              <w:rPr>
                <w:rFonts w:ascii="Times New Roman" w:hAnsi="Times New Roman" w:cs="Times New Roman"/>
                <w:sz w:val="24"/>
                <w:szCs w:val="24"/>
              </w:rPr>
            </w:pPr>
          </w:p>
          <w:p w:rsidRPr="004B0109" w:rsidR="00945B7A" w:rsidP="00945B7A" w:rsidRDefault="00945B7A" w14:paraId="3439C9FA" w14:textId="77777777">
            <w:pPr>
              <w:rPr>
                <w:rFonts w:ascii="Times New Roman" w:hAnsi="Times New Roman" w:cs="Times New Roman"/>
                <w:sz w:val="24"/>
                <w:szCs w:val="24"/>
              </w:rPr>
            </w:pPr>
          </w:p>
          <w:p w:rsidRPr="004B0109" w:rsidR="00945B7A" w:rsidP="00945B7A" w:rsidRDefault="00945B7A" w14:paraId="280639CA" w14:textId="77777777">
            <w:pPr>
              <w:rPr>
                <w:rFonts w:ascii="Times New Roman" w:hAnsi="Times New Roman" w:cs="Times New Roman"/>
                <w:sz w:val="24"/>
                <w:szCs w:val="24"/>
              </w:rPr>
            </w:pPr>
          </w:p>
          <w:p w:rsidRPr="004B0109" w:rsidR="00945B7A" w:rsidP="00945B7A" w:rsidRDefault="00945B7A" w14:paraId="11E3B62E" w14:textId="77777777">
            <w:pPr>
              <w:rPr>
                <w:rFonts w:ascii="Times New Roman" w:hAnsi="Times New Roman" w:cs="Times New Roman"/>
                <w:sz w:val="24"/>
                <w:szCs w:val="24"/>
              </w:rPr>
            </w:pPr>
          </w:p>
          <w:p w:rsidRPr="004B0109" w:rsidR="00945B7A" w:rsidP="00945B7A" w:rsidRDefault="00945B7A" w14:paraId="67D0B43D" w14:textId="77777777">
            <w:pPr>
              <w:rPr>
                <w:rFonts w:ascii="Times New Roman" w:hAnsi="Times New Roman" w:cs="Times New Roman"/>
                <w:sz w:val="24"/>
                <w:szCs w:val="24"/>
              </w:rPr>
            </w:pPr>
          </w:p>
          <w:p w:rsidRPr="004B0109" w:rsidR="00945B7A" w:rsidP="00945B7A" w:rsidRDefault="00945B7A" w14:paraId="4C9F6479" w14:textId="77777777">
            <w:pPr>
              <w:rPr>
                <w:rFonts w:ascii="Times New Roman" w:hAnsi="Times New Roman" w:cs="Times New Roman"/>
                <w:sz w:val="24"/>
                <w:szCs w:val="24"/>
              </w:rPr>
            </w:pPr>
          </w:p>
          <w:p w:rsidRPr="004B0109" w:rsidR="00945B7A" w:rsidP="00945B7A" w:rsidRDefault="00945B7A" w14:paraId="19DE4768" w14:textId="77777777">
            <w:pPr>
              <w:rPr>
                <w:rFonts w:ascii="Times New Roman" w:hAnsi="Times New Roman" w:cs="Times New Roman"/>
                <w:sz w:val="24"/>
                <w:szCs w:val="24"/>
              </w:rPr>
            </w:pPr>
          </w:p>
          <w:p w:rsidRPr="004B0109" w:rsidR="00945B7A" w:rsidP="00945B7A" w:rsidRDefault="00945B7A" w14:paraId="7F662543" w14:textId="77777777">
            <w:pPr>
              <w:rPr>
                <w:rFonts w:ascii="Times New Roman" w:hAnsi="Times New Roman" w:cs="Times New Roman"/>
                <w:sz w:val="24"/>
                <w:szCs w:val="24"/>
              </w:rPr>
            </w:pPr>
            <w:bookmarkStart w:name="_GoBack" w:id="0"/>
            <w:bookmarkEnd w:id="0"/>
          </w:p>
          <w:p w:rsidRPr="004B0109" w:rsidR="00945B7A" w:rsidP="00945B7A" w:rsidRDefault="00945B7A" w14:paraId="0CB07C4B" w14:textId="77777777">
            <w:pPr>
              <w:rPr>
                <w:rFonts w:ascii="Times New Roman" w:hAnsi="Times New Roman" w:cs="Times New Roman"/>
                <w:sz w:val="24"/>
                <w:szCs w:val="24"/>
              </w:rPr>
            </w:pPr>
          </w:p>
          <w:p w:rsidRPr="004B0109" w:rsidR="00945B7A" w:rsidP="00945B7A" w:rsidRDefault="00945B7A" w14:paraId="699D13F3" w14:textId="77777777">
            <w:pPr>
              <w:rPr>
                <w:rFonts w:ascii="Times New Roman" w:hAnsi="Times New Roman" w:cs="Times New Roman"/>
                <w:sz w:val="24"/>
                <w:szCs w:val="24"/>
              </w:rPr>
            </w:pPr>
          </w:p>
          <w:p w:rsidRPr="004B0109" w:rsidR="00945B7A" w:rsidP="00945B7A" w:rsidRDefault="00945B7A" w14:paraId="4A132ECA" w14:textId="77777777">
            <w:pPr>
              <w:rPr>
                <w:rFonts w:ascii="Times New Roman" w:hAnsi="Times New Roman" w:cs="Times New Roman"/>
                <w:sz w:val="24"/>
                <w:szCs w:val="24"/>
              </w:rPr>
            </w:pPr>
          </w:p>
          <w:p w:rsidRPr="004B0109" w:rsidR="00945B7A" w:rsidP="00945B7A" w:rsidRDefault="00945B7A" w14:paraId="5CF6C93B" w14:textId="77777777">
            <w:pPr>
              <w:rPr>
                <w:rFonts w:ascii="Times New Roman" w:hAnsi="Times New Roman" w:cs="Times New Roman"/>
                <w:sz w:val="24"/>
                <w:szCs w:val="24"/>
              </w:rPr>
            </w:pPr>
          </w:p>
          <w:p w:rsidRPr="004B0109" w:rsidR="00945B7A" w:rsidP="00945B7A" w:rsidRDefault="00945B7A" w14:paraId="0292D213" w14:textId="77777777">
            <w:pPr>
              <w:rPr>
                <w:rFonts w:ascii="Times New Roman" w:hAnsi="Times New Roman" w:cs="Times New Roman"/>
                <w:sz w:val="24"/>
                <w:szCs w:val="24"/>
              </w:rPr>
            </w:pPr>
          </w:p>
          <w:p w:rsidRPr="004B0109" w:rsidR="00945B7A" w:rsidP="00945B7A" w:rsidRDefault="00945B7A" w14:paraId="5591DD1F" w14:textId="77777777">
            <w:pPr>
              <w:rPr>
                <w:rFonts w:ascii="Times New Roman" w:hAnsi="Times New Roman" w:cs="Times New Roman"/>
                <w:sz w:val="24"/>
                <w:szCs w:val="24"/>
              </w:rPr>
            </w:pPr>
          </w:p>
          <w:p w:rsidRPr="004B0109" w:rsidR="00945B7A" w:rsidP="00945B7A" w:rsidRDefault="00945B7A" w14:paraId="57DCCD46" w14:textId="77777777">
            <w:pPr>
              <w:rPr>
                <w:rFonts w:ascii="Times New Roman" w:hAnsi="Times New Roman" w:cs="Times New Roman"/>
                <w:sz w:val="24"/>
                <w:szCs w:val="24"/>
              </w:rPr>
            </w:pPr>
          </w:p>
          <w:p w:rsidRPr="004B0109" w:rsidR="00945B7A" w:rsidP="00945B7A" w:rsidRDefault="00945B7A" w14:paraId="4CBBCD32" w14:textId="77777777">
            <w:pPr>
              <w:rPr>
                <w:rFonts w:ascii="Times New Roman" w:hAnsi="Times New Roman" w:cs="Times New Roman"/>
                <w:sz w:val="24"/>
                <w:szCs w:val="24"/>
              </w:rPr>
            </w:pPr>
          </w:p>
          <w:p w:rsidRPr="004B0109" w:rsidR="00945B7A" w:rsidP="00945B7A" w:rsidRDefault="00945B7A" w14:paraId="5BBBDE0A" w14:textId="77777777">
            <w:pPr>
              <w:rPr>
                <w:rFonts w:ascii="Times New Roman" w:hAnsi="Times New Roman" w:cs="Times New Roman"/>
                <w:sz w:val="24"/>
                <w:szCs w:val="24"/>
              </w:rPr>
            </w:pPr>
          </w:p>
        </w:tc>
        <w:tc>
          <w:tcPr>
            <w:tcW w:w="4961" w:type="dxa"/>
            <w:tcBorders>
              <w:top w:val="single" w:color="000000" w:sz="6" w:space="0"/>
              <w:left w:val="single" w:color="000000" w:sz="6" w:space="0"/>
              <w:bottom w:val="single" w:color="000000" w:sz="6" w:space="0"/>
              <w:right w:val="single" w:color="000000" w:sz="6" w:space="0"/>
            </w:tcBorders>
          </w:tcPr>
          <w:p w:rsidRPr="004B0109" w:rsidR="00945B7A" w:rsidP="00945B7A" w:rsidRDefault="00945B7A" w14:paraId="51420E88" w14:textId="77777777">
            <w:pPr>
              <w:pStyle w:val="naisf"/>
              <w:ind w:firstLine="0"/>
            </w:pPr>
            <w:r w:rsidRPr="004B0109">
              <w:lastRenderedPageBreak/>
              <w:t>Lūdzam ņemt vērā, ka Oficiālās elektroniskās adreses likums nosaka, ka oficiālās elektroniskās adreses (turpmāk – e-adreses) lietošana zvērinātiem tiesu izpildītājiem būs noteikta par obligātu, sākot ar 2020. gadu. Papildus 16.05.2019. Valsts sekretāru sanāksmē izsludinātajā likumprojektā "Grozījumi Oficiālās elektroniskās adreses likumā" (VSS-434) ir paredzēts, ka e-adreses lietošana būs obligāta arī zvērinātiem notāriem. Atbilstoši lūdzam papildināt noteikumu projekta anotāciju ar norādi, ka elektroniska saziņa starp zvērinātu tiesu izpildītāju, zvērinātu notāru un ieinteresētu personu veicama, izmantojot e-adresi, sākot ar brīdi, kad tā noteikta par obligātu zvērinātiem tiesu izpildītājiem un zvērinātiem notāriem, un mantojuma inventāra saraksts ieinteresētajai personai izsniedzams e-adresē, ja personai tā ir aktivizēta un persona ir norādījusi iesniegumā, ka vēlas saņemt mantojuma inventāra sarakstu elektroniski.</w:t>
            </w:r>
          </w:p>
        </w:tc>
        <w:tc>
          <w:tcPr>
            <w:tcW w:w="2410" w:type="dxa"/>
            <w:tcBorders>
              <w:top w:val="single" w:color="000000" w:sz="6" w:space="0"/>
              <w:left w:val="single" w:color="000000" w:sz="6" w:space="0"/>
              <w:bottom w:val="single" w:color="000000" w:sz="6" w:space="0"/>
              <w:right w:val="single" w:color="000000" w:sz="6" w:space="0"/>
            </w:tcBorders>
          </w:tcPr>
          <w:p w:rsidRPr="004B0109" w:rsidR="00945B7A" w:rsidP="00945B7A" w:rsidRDefault="00945B7A" w14:paraId="6E345CA2" w14:textId="77777777">
            <w:pPr>
              <w:pStyle w:val="naisf"/>
              <w:ind w:firstLine="0"/>
              <w:jc w:val="center"/>
              <w:rPr>
                <w:bCs/>
              </w:rPr>
            </w:pPr>
            <w:r w:rsidRPr="004B0109">
              <w:rPr>
                <w:b/>
              </w:rPr>
              <w:t>Ņemts vērā</w:t>
            </w:r>
          </w:p>
          <w:p w:rsidRPr="004B0109" w:rsidR="00945B7A" w:rsidP="00945B7A" w:rsidRDefault="00945B7A" w14:paraId="69D29BE6" w14:textId="77777777">
            <w:pPr>
              <w:pStyle w:val="naisf"/>
              <w:ind w:firstLine="0"/>
              <w:rPr>
                <w:bCs/>
              </w:rPr>
            </w:pPr>
            <w:r w:rsidRPr="004B0109">
              <w:rPr>
                <w:bCs/>
              </w:rPr>
              <w:t>Vienlaikus Tieslietu ministrija vērš uzmanību, ka Tiesu izpildītāju likuma 74. panta 2.</w:t>
            </w:r>
            <w:r w:rsidRPr="004B0109">
              <w:rPr>
                <w:bCs/>
                <w:vertAlign w:val="superscript"/>
              </w:rPr>
              <w:t>1</w:t>
            </w:r>
            <w:r w:rsidRPr="004B0109">
              <w:rPr>
                <w:bCs/>
              </w:rPr>
              <w:t xml:space="preserve"> daļā Ministru kabinetam noteiktais deleģējums paredz noteikt vienīgi kārtību, kādā </w:t>
            </w:r>
            <w:r w:rsidRPr="004B0109">
              <w:t xml:space="preserve">zvērināts tiesu izpildītājs sastāda mantojuma inventāra sarakstu. Noteikumu projektā nevar tikt noteikta kārtība, kādā mantojuma lietas ietvaros zvērināts notārs organizē saziņu ar ieinteresētajām personām. </w:t>
            </w:r>
          </w:p>
        </w:tc>
        <w:tc>
          <w:tcPr>
            <w:tcW w:w="3260" w:type="dxa"/>
            <w:tcBorders>
              <w:top w:val="single" w:color="auto" w:sz="4" w:space="0"/>
              <w:left w:val="single" w:color="auto" w:sz="4" w:space="0"/>
              <w:bottom w:val="single" w:color="auto" w:sz="4" w:space="0"/>
            </w:tcBorders>
          </w:tcPr>
          <w:p w:rsidRPr="004B0109" w:rsidR="00945B7A" w:rsidP="00945B7A" w:rsidRDefault="00945B7A" w14:paraId="4FB3B9DE" w14:textId="77777777">
            <w:pPr>
              <w:pStyle w:val="naisf"/>
              <w:ind w:firstLine="0"/>
            </w:pPr>
            <w:r w:rsidRPr="004B0109">
              <w:t>Noteikumu projekta anotācijas I. sadaļas 2. punkts papildināts ar tekstu šādā redakcijā:</w:t>
            </w:r>
          </w:p>
          <w:p w:rsidRPr="004B0109" w:rsidR="00945B7A" w:rsidP="00945B7A" w:rsidRDefault="00784551" w14:paraId="3CEE6865" w14:textId="236D882F">
            <w:pPr>
              <w:pStyle w:val="naisf"/>
              <w:ind w:firstLine="0"/>
            </w:pPr>
            <w:r>
              <w:t>"</w:t>
            </w:r>
            <w:r w:rsidRPr="004B0109" w:rsidR="00945B7A">
              <w:t>Atbilstoši noteikumu projektam (</w:t>
            </w:r>
            <w:r w:rsidRPr="004B0109" w:rsidR="00945B7A">
              <w:rPr>
                <w:b/>
                <w:bCs/>
                <w:i/>
                <w:iCs/>
              </w:rPr>
              <w:t>noteikumu projekta 6. punkts</w:t>
            </w:r>
            <w:r w:rsidRPr="004B0109" w:rsidR="00945B7A">
              <w:t xml:space="preserve">) ieinteresētā persona zvērinātam tiesu izpildītājam adresētajā iesniegumā par mantojuma inventāra saraksta sastādīšanu cita starpā ietver informāciju par veidu, kādā izsniedzams mantojuma inventāra saraksts – papīra formā vai elektroniski, un savu elektronisko pasta adresi, ja mantojuma inventāra saraksts izsniedzams elektroniskā formā parakstīts ar drošu elektronisko parakstu. </w:t>
            </w:r>
            <w:r w:rsidRPr="004B0109" w:rsidR="00945B7A">
              <w:rPr>
                <w:color w:val="000000"/>
              </w:rPr>
              <w:t xml:space="preserve">Saskaņā ar Oficiālās elektroniskās adreses </w:t>
            </w:r>
            <w:r>
              <w:rPr>
                <w:color w:val="000000"/>
              </w:rPr>
              <w:t xml:space="preserve">likuma </w:t>
            </w:r>
            <w:r w:rsidRPr="004B0109" w:rsidR="00945B7A">
              <w:rPr>
                <w:color w:val="000000"/>
              </w:rPr>
              <w:t>1. panta 6. punktu, 5. panta pirmās daļas 1. punktu un pārejas noteikumu 2. punktu z</w:t>
            </w:r>
            <w:r w:rsidRPr="004B0109" w:rsidR="00945B7A">
              <w:t xml:space="preserve">vērinātam tiesu izpildītājam </w:t>
            </w:r>
            <w:r w:rsidRPr="004B0109" w:rsidR="00945B7A">
              <w:rPr>
                <w:color w:val="000000"/>
              </w:rPr>
              <w:t xml:space="preserve">savu amata pienākumu izpildes ietvaros </w:t>
            </w:r>
            <w:r w:rsidRPr="004B0109" w:rsidR="00945B7A">
              <w:t xml:space="preserve">ir pienākums lietot oficiālo elektronisko adresi no 2020. gada 1. janvāra. Līdz ar </w:t>
            </w:r>
            <w:r w:rsidRPr="004B0109" w:rsidR="00945B7A">
              <w:lastRenderedPageBreak/>
              <w:t>to elektroniska saziņa starp zvērinātu tiesu izpildītāju un ieinteresēto personu veicama, izmantojot oficiālo elektronisko adresi, sākot ar brīdi, kad tā noteikta par obligātu zvērinātiem tiesu izpildītājiem, un mantojuma inventāra saraksts ieinteresētajai personai izsniedzams oficiālajā elektroniskajā adresē, ja personai tā ir aktivizēta un persona savā iesniegumā norādījusi, ka mantojuma inventāra sarakstu vēlas saņemt elektroniski.</w:t>
            </w:r>
            <w:r w:rsidR="00216EFB">
              <w:t>"</w:t>
            </w:r>
          </w:p>
        </w:tc>
      </w:tr>
      <w:tr w:rsidRPr="00945B7A" w:rsidR="00B04786" w:rsidTr="00766BF6" w14:paraId="34E9685F" w14:textId="77777777">
        <w:trPr>
          <w:trHeight w:val="5230"/>
        </w:trPr>
        <w:tc>
          <w:tcPr>
            <w:tcW w:w="593" w:type="dxa"/>
            <w:tcBorders>
              <w:left w:val="single" w:color="000000" w:sz="6" w:space="0"/>
              <w:bottom w:val="single" w:color="auto" w:sz="4" w:space="0"/>
              <w:right w:val="single" w:color="000000" w:sz="6" w:space="0"/>
            </w:tcBorders>
          </w:tcPr>
          <w:p w:rsidRPr="00945B7A" w:rsidR="00B04786" w:rsidP="00945B7A" w:rsidRDefault="00B04786" w14:paraId="25C2D740" w14:textId="69F0260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lastRenderedPageBreak/>
              <w:t>2.</w:t>
            </w:r>
          </w:p>
        </w:tc>
        <w:tc>
          <w:tcPr>
            <w:tcW w:w="2977" w:type="dxa"/>
            <w:tcBorders>
              <w:top w:val="single" w:color="000000" w:sz="6" w:space="0"/>
              <w:left w:val="single" w:color="000000" w:sz="6" w:space="0"/>
              <w:bottom w:val="single" w:color="000000" w:sz="6" w:space="0"/>
              <w:right w:val="single" w:color="000000" w:sz="6" w:space="0"/>
            </w:tcBorders>
          </w:tcPr>
          <w:p w:rsidRPr="004B0109" w:rsidR="00B04786" w:rsidP="00945B7A" w:rsidRDefault="00B04786" w14:paraId="3EC88BDD" w14:textId="65F725B4">
            <w:pPr>
              <w:pStyle w:val="naisf"/>
              <w:ind w:firstLine="0"/>
            </w:pPr>
            <w:r>
              <w:t>Noteikumu projekts.</w:t>
            </w:r>
          </w:p>
        </w:tc>
        <w:tc>
          <w:tcPr>
            <w:tcW w:w="4961" w:type="dxa"/>
            <w:tcBorders>
              <w:top w:val="single" w:color="000000" w:sz="6" w:space="0"/>
              <w:left w:val="single" w:color="000000" w:sz="6" w:space="0"/>
              <w:bottom w:val="single" w:color="000000" w:sz="6" w:space="0"/>
              <w:right w:val="single" w:color="000000" w:sz="6" w:space="0"/>
            </w:tcBorders>
          </w:tcPr>
          <w:p w:rsidRPr="008305B5" w:rsidR="00B04786" w:rsidP="00B04786" w:rsidRDefault="00B04786" w14:paraId="2D67B2D4" w14:textId="77777777">
            <w:pPr>
              <w:pStyle w:val="Sarakstarindkopa"/>
              <w:widowControl w:val="0"/>
              <w:spacing w:before="120"/>
              <w:ind w:left="0" w:firstLine="227"/>
              <w:contextualSpacing/>
              <w:jc w:val="both"/>
            </w:pPr>
            <w:r w:rsidRPr="008305B5">
              <w:t>Saskaņā ar Ministru kabineta 2009. gada</w:t>
            </w:r>
            <w:r>
              <w:t xml:space="preserve"> </w:t>
            </w:r>
            <w:r w:rsidRPr="008305B5">
              <w:t>15. decembra</w:t>
            </w:r>
            <w:r>
              <w:t xml:space="preserve"> </w:t>
            </w:r>
            <w:r w:rsidRPr="008305B5">
              <w:t xml:space="preserve">instrukciju Nr. 19 “Tiesību akta projekta sākotnējās ietekmes izvērtēšanas kārtība” (turpmāk – MK instrukcija Nr.19) 14.4. punktu anotācijas I sadaļas 2. punktā jānorāda paredzēto pakalpojumu nosaukumi, ja projekts paredz ieviest jaunus pakalpojumus vai arī pilnveidot esošos, kā arī to, vai pakalpojums tiks sniegts elektroniski (ja pakalpojums nav pieejams elektroniski, vai ir plānots veidot elektronisku kanālu). </w:t>
            </w:r>
          </w:p>
          <w:p w:rsidRPr="004B0109" w:rsidR="00B04786" w:rsidP="00B04786" w:rsidRDefault="00B04786" w14:paraId="2EAA806B" w14:textId="7E443DD6">
            <w:pPr>
              <w:pStyle w:val="naisf"/>
              <w:ind w:firstLine="0"/>
            </w:pPr>
            <w:r>
              <w:t>Noteikumu projektā identificējams tāds valsts pārvaldes pakalpojums kā, piemēram, “Mantojuma inventāra saraksta saņemšana”. L</w:t>
            </w:r>
            <w:r w:rsidRPr="00D43EEE">
              <w:t xml:space="preserve">ūdzam </w:t>
            </w:r>
            <w:r>
              <w:t xml:space="preserve">identificēt valsts pārvaldes pakalpojumu, </w:t>
            </w:r>
            <w:r w:rsidRPr="005E63E7">
              <w:t xml:space="preserve">to nosaukumu veidojot atbilstoši VARAM izstrādātajiem </w:t>
            </w:r>
            <w:r>
              <w:t xml:space="preserve">un 2019. gada 10. aprīlī apstiprinātajiem </w:t>
            </w:r>
            <w:r w:rsidRPr="005E63E7">
              <w:t>metodiskajiem ieteikumiem “Metodiskie ieteikumi valsts pārv</w:t>
            </w:r>
            <w:r>
              <w:t>aldes pakalpojumu pārvaldībai”. Saskaņā ar Ministru kabineta 2017. gada 4. jūlija noteikumu Nr.399 “Valsts pārvaldes pakalpojumu uzskaites, kvalitātes kontroles un sniegšanas kārtība” 17. punktu p</w:t>
            </w:r>
            <w:r w:rsidRPr="007835F0">
              <w:t>akalpojumu pieprasīšanas un saņemšanas kanāli iedalāmi klātienes un neklātienes kanālos. Neklātienes kanāli iedalāmi elektroniskos, telefoniskos un pasta starpniecības kanālos.</w:t>
            </w:r>
            <w:r>
              <w:t xml:space="preserve"> Ņemot vērā minēto, </w:t>
            </w:r>
            <w:r w:rsidRPr="005E63E7">
              <w:rPr>
                <w:color w:val="000000"/>
              </w:rPr>
              <w:t xml:space="preserve">lūdzam sākotnējā ietekmes novērtējuma ziņojuma I sadaļas 2. punktā </w:t>
            </w:r>
            <w:r>
              <w:rPr>
                <w:color w:val="000000"/>
              </w:rPr>
              <w:t xml:space="preserve">norādīt </w:t>
            </w:r>
            <w:r w:rsidRPr="005E63E7">
              <w:rPr>
                <w:color w:val="000000"/>
              </w:rPr>
              <w:t>pakalpojuma sniegšanas kanālus</w:t>
            </w:r>
            <w:r>
              <w:rPr>
                <w:color w:val="000000"/>
              </w:rPr>
              <w:t>.</w:t>
            </w:r>
          </w:p>
        </w:tc>
        <w:tc>
          <w:tcPr>
            <w:tcW w:w="2410" w:type="dxa"/>
            <w:tcBorders>
              <w:top w:val="single" w:color="000000" w:sz="6" w:space="0"/>
              <w:left w:val="single" w:color="000000" w:sz="6" w:space="0"/>
              <w:bottom w:val="single" w:color="000000" w:sz="6" w:space="0"/>
              <w:right w:val="single" w:color="000000" w:sz="6" w:space="0"/>
            </w:tcBorders>
          </w:tcPr>
          <w:p w:rsidRPr="004B0109" w:rsidR="00B04786" w:rsidP="00945B7A" w:rsidRDefault="00B04786" w14:paraId="5E0D4842" w14:textId="4C0FAB1F">
            <w:pPr>
              <w:pStyle w:val="naisf"/>
              <w:ind w:firstLine="0"/>
              <w:jc w:val="center"/>
              <w:rPr>
                <w:b/>
              </w:rPr>
            </w:pPr>
            <w:r>
              <w:rPr>
                <w:b/>
              </w:rPr>
              <w:t>Panākta vienošanās saskaņošanas procesā</w:t>
            </w:r>
          </w:p>
        </w:tc>
        <w:tc>
          <w:tcPr>
            <w:tcW w:w="3260" w:type="dxa"/>
            <w:tcBorders>
              <w:top w:val="single" w:color="auto" w:sz="4" w:space="0"/>
              <w:left w:val="single" w:color="auto" w:sz="4" w:space="0"/>
              <w:bottom w:val="single" w:color="auto" w:sz="4" w:space="0"/>
            </w:tcBorders>
          </w:tcPr>
          <w:p w:rsidRPr="004B0109" w:rsidR="00B04786" w:rsidP="00945B7A" w:rsidRDefault="00B04786" w14:paraId="3E99FF71" w14:textId="03005083">
            <w:pPr>
              <w:pStyle w:val="naisf"/>
              <w:ind w:firstLine="0"/>
            </w:pPr>
            <w:r>
              <w:t>Izmaiņas noteikumu projektā nav veiktas.</w:t>
            </w:r>
          </w:p>
        </w:tc>
      </w:tr>
      <w:tr w:rsidRPr="00945B7A" w:rsidR="00B04786" w:rsidTr="00766BF6" w14:paraId="6A3E01A5" w14:textId="77777777">
        <w:trPr>
          <w:trHeight w:val="5230"/>
        </w:trPr>
        <w:tc>
          <w:tcPr>
            <w:tcW w:w="593" w:type="dxa"/>
            <w:tcBorders>
              <w:left w:val="single" w:color="000000" w:sz="6" w:space="0"/>
              <w:bottom w:val="single" w:color="auto" w:sz="4" w:space="0"/>
              <w:right w:val="single" w:color="000000" w:sz="6" w:space="0"/>
            </w:tcBorders>
          </w:tcPr>
          <w:p w:rsidR="00B04786" w:rsidP="00945B7A" w:rsidRDefault="00B04786" w14:paraId="4EE9E560" w14:textId="476B4D73">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lastRenderedPageBreak/>
              <w:t>3. </w:t>
            </w:r>
          </w:p>
        </w:tc>
        <w:tc>
          <w:tcPr>
            <w:tcW w:w="2977" w:type="dxa"/>
            <w:tcBorders>
              <w:top w:val="single" w:color="000000" w:sz="6" w:space="0"/>
              <w:left w:val="single" w:color="000000" w:sz="6" w:space="0"/>
              <w:bottom w:val="single" w:color="000000" w:sz="6" w:space="0"/>
              <w:right w:val="single" w:color="000000" w:sz="6" w:space="0"/>
            </w:tcBorders>
          </w:tcPr>
          <w:p w:rsidR="00B04786" w:rsidP="00945B7A" w:rsidRDefault="00B04786" w14:paraId="7E117B7F" w14:textId="687FB3D3">
            <w:pPr>
              <w:pStyle w:val="naisf"/>
              <w:ind w:firstLine="0"/>
            </w:pPr>
            <w:r>
              <w:t>Noteikumu projekts.</w:t>
            </w:r>
          </w:p>
        </w:tc>
        <w:tc>
          <w:tcPr>
            <w:tcW w:w="4961" w:type="dxa"/>
            <w:tcBorders>
              <w:top w:val="single" w:color="000000" w:sz="6" w:space="0"/>
              <w:left w:val="single" w:color="000000" w:sz="6" w:space="0"/>
              <w:bottom w:val="single" w:color="000000" w:sz="6" w:space="0"/>
              <w:right w:val="single" w:color="000000" w:sz="6" w:space="0"/>
            </w:tcBorders>
          </w:tcPr>
          <w:p w:rsidRPr="008305B5" w:rsidR="00B04786" w:rsidP="00B04786" w:rsidRDefault="00B04786" w14:paraId="7FBBBF5A" w14:textId="37567780">
            <w:pPr>
              <w:pStyle w:val="Sarakstarindkopa"/>
              <w:widowControl w:val="0"/>
              <w:spacing w:before="120"/>
              <w:ind w:left="0" w:firstLine="227"/>
              <w:contextualSpacing/>
              <w:jc w:val="both"/>
            </w:pPr>
            <w:r w:rsidRPr="00B04786">
              <w:t xml:space="preserve">Pēc Ministru kabineta noteikumu projekta “Mantojuma inventāra saraksta sastādīšanas kārtība” (VSS-529) spēkā stāšanās lūdzam nodrošināt pakalpojuma aprakstīšanu valsts pārvaldes pakalpojumu portālā </w:t>
            </w:r>
            <w:proofErr w:type="spellStart"/>
            <w:r w:rsidRPr="00B04786">
              <w:t>Latvija.lv</w:t>
            </w:r>
            <w:proofErr w:type="spellEnd"/>
            <w:r w:rsidRPr="00B04786">
              <w:t>, iekļaujot Ministru kabineta 2017. gada 4. jūlija noteikumu Nr. 399 “Valsts pārvaldes pakalpojumu uzskaites, kvalitātes kontroles un sniegšanas kārtība” 9. punktā minēto informāciju par pakalpojumu.</w:t>
            </w:r>
          </w:p>
        </w:tc>
        <w:tc>
          <w:tcPr>
            <w:tcW w:w="2410" w:type="dxa"/>
            <w:tcBorders>
              <w:top w:val="single" w:color="000000" w:sz="6" w:space="0"/>
              <w:left w:val="single" w:color="000000" w:sz="6" w:space="0"/>
              <w:bottom w:val="single" w:color="000000" w:sz="6" w:space="0"/>
              <w:right w:val="single" w:color="000000" w:sz="6" w:space="0"/>
            </w:tcBorders>
          </w:tcPr>
          <w:p w:rsidR="00B04786" w:rsidP="00945B7A" w:rsidRDefault="00B04786" w14:paraId="60A8E896" w14:textId="5457C26E">
            <w:pPr>
              <w:pStyle w:val="naisf"/>
              <w:ind w:firstLine="0"/>
              <w:jc w:val="center"/>
              <w:rPr>
                <w:b/>
              </w:rPr>
            </w:pPr>
            <w:r>
              <w:rPr>
                <w:b/>
              </w:rPr>
              <w:t>Panākta vienošanās saskaņošanas procesā</w:t>
            </w:r>
          </w:p>
        </w:tc>
        <w:tc>
          <w:tcPr>
            <w:tcW w:w="3260" w:type="dxa"/>
            <w:tcBorders>
              <w:top w:val="single" w:color="auto" w:sz="4" w:space="0"/>
              <w:left w:val="single" w:color="auto" w:sz="4" w:space="0"/>
              <w:bottom w:val="single" w:color="auto" w:sz="4" w:space="0"/>
            </w:tcBorders>
          </w:tcPr>
          <w:p w:rsidR="00B04786" w:rsidP="00945B7A" w:rsidRDefault="00B04786" w14:paraId="4AEFBD4D" w14:textId="0AC07793">
            <w:pPr>
              <w:pStyle w:val="naisf"/>
              <w:ind w:firstLine="0"/>
            </w:pPr>
            <w:r>
              <w:t>Izmaiņas noteikumu projektā nav veiktas.</w:t>
            </w:r>
          </w:p>
        </w:tc>
      </w:tr>
      <w:tr w:rsidRPr="00945B7A" w:rsidR="00B04786" w:rsidTr="00B04786" w14:paraId="2612EAC3" w14:textId="77777777">
        <w:trPr>
          <w:trHeight w:val="65"/>
        </w:trPr>
        <w:tc>
          <w:tcPr>
            <w:tcW w:w="593" w:type="dxa"/>
            <w:tcBorders>
              <w:left w:val="single" w:color="000000" w:sz="6" w:space="0"/>
              <w:bottom w:val="single" w:color="auto" w:sz="4" w:space="0"/>
              <w:right w:val="single" w:color="000000" w:sz="6" w:space="0"/>
            </w:tcBorders>
          </w:tcPr>
          <w:p w:rsidR="00B04786" w:rsidP="00945B7A" w:rsidRDefault="00B04786" w14:paraId="3C3E5D05" w14:textId="128BDDCD">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4. </w:t>
            </w:r>
          </w:p>
        </w:tc>
        <w:tc>
          <w:tcPr>
            <w:tcW w:w="2977" w:type="dxa"/>
            <w:tcBorders>
              <w:top w:val="single" w:color="000000" w:sz="6" w:space="0"/>
              <w:left w:val="single" w:color="000000" w:sz="6" w:space="0"/>
              <w:bottom w:val="single" w:color="000000" w:sz="6" w:space="0"/>
              <w:right w:val="single" w:color="000000" w:sz="6" w:space="0"/>
            </w:tcBorders>
          </w:tcPr>
          <w:p w:rsidR="00B04786" w:rsidP="00945B7A" w:rsidRDefault="00B04786" w14:paraId="3F834F8D" w14:textId="040C9723">
            <w:pPr>
              <w:pStyle w:val="naisf"/>
              <w:ind w:firstLine="0"/>
            </w:pPr>
            <w:r>
              <w:t>Noteikumu projekts.</w:t>
            </w:r>
          </w:p>
        </w:tc>
        <w:tc>
          <w:tcPr>
            <w:tcW w:w="4961" w:type="dxa"/>
            <w:tcBorders>
              <w:top w:val="single" w:color="000000" w:sz="6" w:space="0"/>
              <w:left w:val="single" w:color="000000" w:sz="6" w:space="0"/>
              <w:bottom w:val="single" w:color="000000" w:sz="6" w:space="0"/>
              <w:right w:val="single" w:color="000000" w:sz="6" w:space="0"/>
            </w:tcBorders>
          </w:tcPr>
          <w:p w:rsidRPr="00B04786" w:rsidR="00B04786" w:rsidP="00216EFB" w:rsidRDefault="00B04786" w14:paraId="2B8F99AF" w14:textId="7A972384">
            <w:pPr>
              <w:pStyle w:val="Sarakstarindkopa"/>
              <w:widowControl w:val="0"/>
              <w:spacing w:before="120"/>
              <w:ind w:left="0" w:firstLine="227"/>
              <w:contextualSpacing/>
              <w:jc w:val="both"/>
            </w:pPr>
            <w:r w:rsidRPr="00C75D87">
              <w:t xml:space="preserve">Ņemot vērā, ka noteikumu projekts paredz </w:t>
            </w:r>
            <w:r>
              <w:t>iesnieguma iesniegšanu zvērinātam notāram, iesniegumā norādot konkrētu informāciju (noteikumu projekta 6. punkts), lūdzam apsvērt iespēju izveidot iesnieguma noteikta parauga veidlapu, ko persona var lejupielādēt, izdrukāt vai aizpildīt tieši tīmekļa vietnē.</w:t>
            </w:r>
          </w:p>
        </w:tc>
        <w:tc>
          <w:tcPr>
            <w:tcW w:w="2410" w:type="dxa"/>
            <w:tcBorders>
              <w:top w:val="single" w:color="000000" w:sz="6" w:space="0"/>
              <w:left w:val="single" w:color="000000" w:sz="6" w:space="0"/>
              <w:bottom w:val="single" w:color="000000" w:sz="6" w:space="0"/>
              <w:right w:val="single" w:color="000000" w:sz="6" w:space="0"/>
            </w:tcBorders>
          </w:tcPr>
          <w:p w:rsidR="00B04786" w:rsidP="00945B7A" w:rsidRDefault="00B04786" w14:paraId="3F0790A9" w14:textId="6F16F324">
            <w:pPr>
              <w:pStyle w:val="naisf"/>
              <w:ind w:firstLine="0"/>
              <w:jc w:val="center"/>
              <w:rPr>
                <w:b/>
              </w:rPr>
            </w:pPr>
            <w:r>
              <w:rPr>
                <w:b/>
              </w:rPr>
              <w:t>Panākta vienošanās saskaņošanas procesā</w:t>
            </w:r>
          </w:p>
        </w:tc>
        <w:tc>
          <w:tcPr>
            <w:tcW w:w="3260" w:type="dxa"/>
            <w:tcBorders>
              <w:top w:val="single" w:color="auto" w:sz="4" w:space="0"/>
              <w:left w:val="single" w:color="auto" w:sz="4" w:space="0"/>
              <w:bottom w:val="single" w:color="auto" w:sz="4" w:space="0"/>
            </w:tcBorders>
          </w:tcPr>
          <w:p w:rsidR="00B04786" w:rsidP="00945B7A" w:rsidRDefault="00B04786" w14:paraId="2045852E" w14:textId="0FABE9FC">
            <w:pPr>
              <w:pStyle w:val="naisf"/>
              <w:ind w:firstLine="0"/>
            </w:pPr>
            <w:r w:rsidRPr="00B04786">
              <w:t>Izmaiņas noteikumu projektā nav veiktas.</w:t>
            </w:r>
          </w:p>
        </w:tc>
      </w:tr>
      <w:tr w:rsidRPr="004B0109" w:rsidR="00945B7A" w:rsidTr="00945B7A" w14:paraId="7C40ED9C" w14:textId="77777777">
        <w:tc>
          <w:tcPr>
            <w:tcW w:w="14201" w:type="dxa"/>
            <w:gridSpan w:val="5"/>
            <w:tcBorders>
              <w:left w:val="single" w:color="000000" w:sz="6" w:space="0"/>
              <w:bottom w:val="single" w:color="auto" w:sz="4" w:space="0"/>
            </w:tcBorders>
            <w:vAlign w:val="center"/>
          </w:tcPr>
          <w:p w:rsidRPr="004B0109" w:rsidR="00945B7A" w:rsidP="00945B7A" w:rsidRDefault="00945B7A" w14:paraId="0A97CA84" w14:textId="77777777">
            <w:pPr>
              <w:pStyle w:val="naisf"/>
              <w:ind w:firstLine="0"/>
              <w:jc w:val="center"/>
              <w:rPr>
                <w:b/>
                <w:bCs/>
              </w:rPr>
            </w:pPr>
            <w:r w:rsidRPr="004B0109">
              <w:rPr>
                <w:b/>
                <w:bCs/>
              </w:rPr>
              <w:t>Finanšu ministrija</w:t>
            </w:r>
          </w:p>
        </w:tc>
      </w:tr>
      <w:tr w:rsidRPr="00945B7A" w:rsidR="00945B7A" w:rsidTr="00945B7A" w14:paraId="0280DE77" w14:textId="77777777">
        <w:tc>
          <w:tcPr>
            <w:tcW w:w="593" w:type="dxa"/>
            <w:tcBorders>
              <w:left w:val="single" w:color="000000" w:sz="6" w:space="0"/>
              <w:bottom w:val="single" w:color="auto" w:sz="4" w:space="0"/>
              <w:right w:val="single" w:color="000000" w:sz="6" w:space="0"/>
            </w:tcBorders>
          </w:tcPr>
          <w:p w:rsidRPr="00945B7A" w:rsidR="00945B7A" w:rsidP="00945B7A" w:rsidRDefault="00B04786" w14:paraId="61E87AB2" w14:textId="6DF071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5</w:t>
            </w:r>
            <w:r w:rsidRPr="00945B7A" w:rsidR="00945B7A">
              <w:rPr>
                <w:rFonts w:ascii="Times New Roman" w:hAnsi="Times New Roman" w:eastAsia="Times New Roman" w:cs="Times New Roman"/>
                <w:sz w:val="24"/>
                <w:szCs w:val="24"/>
                <w:lang w:eastAsia="lv-LV"/>
              </w:rPr>
              <w:t>.</w:t>
            </w:r>
          </w:p>
        </w:tc>
        <w:tc>
          <w:tcPr>
            <w:tcW w:w="2977" w:type="dxa"/>
            <w:tcBorders>
              <w:top w:val="single" w:color="000000" w:sz="6" w:space="0"/>
              <w:left w:val="single" w:color="000000" w:sz="6" w:space="0"/>
              <w:bottom w:val="single" w:color="auto" w:sz="4" w:space="0"/>
              <w:right w:val="single" w:color="000000" w:sz="6" w:space="0"/>
            </w:tcBorders>
          </w:tcPr>
          <w:p w:rsidRPr="004B0109" w:rsidR="00945B7A" w:rsidP="00945B7A" w:rsidRDefault="00945B7A" w14:paraId="2EB7F6C7" w14:textId="77777777">
            <w:pPr>
              <w:pStyle w:val="naisf"/>
              <w:ind w:firstLine="0"/>
            </w:pPr>
            <w:r w:rsidRPr="004B0109">
              <w:t>Noteikumu projekta 9. punkts:</w:t>
            </w:r>
          </w:p>
          <w:p w:rsidRPr="004B0109" w:rsidR="00945B7A" w:rsidP="00945B7A" w:rsidRDefault="00784551" w14:paraId="6282EA49" w14:textId="69F213FE">
            <w:pPr>
              <w:pStyle w:val="naisf"/>
              <w:ind w:firstLine="0"/>
            </w:pPr>
            <w:r>
              <w:t>"</w:t>
            </w:r>
            <w:r w:rsidRPr="004B0109" w:rsidR="00945B7A">
              <w:t xml:space="preserve">9. Sastādot mantojuma inventāra sarakstu, </w:t>
            </w:r>
            <w:r w:rsidRPr="004B0109" w:rsidR="00945B7A">
              <w:lastRenderedPageBreak/>
              <w:t>neatkarīgi no ieinteresētās personas iesniegumā norādītā zvērinātam tiesu izpildītājam ir pienākums pēc ierakstiem publiskajos reģistros pārbaudīt, vai mantojuma atstājējam ir reģistrēta manta, kā arī noskaidrot Kontu reģistrā, vai mantojuma atstājējam ir pieprasījuma noguldījuma, maksājumu vai ieguldījumu konti Latvijā strādājošās kredītiestādēs, krājaizdevu sabiedrībās vai maksājumu pakalpojumu sniedzējā Maksājumu pakalpojumu un elektroniskās naudas likuma izpratnē). Papildus zvērināts tiesu izpildītājs, pieprasot informāciju kredītiestādēm, noskaidro, vai mantojuma atstājējam ir finanšu instrumentu konti vai citas vērtības Latvijā strādājošās kredītiestādēs.</w:t>
            </w:r>
            <w:r>
              <w:t>"</w:t>
            </w:r>
          </w:p>
        </w:tc>
        <w:tc>
          <w:tcPr>
            <w:tcW w:w="4961" w:type="dxa"/>
            <w:tcBorders>
              <w:top w:val="single" w:color="000000" w:sz="6" w:space="0"/>
              <w:left w:val="single" w:color="000000" w:sz="6" w:space="0"/>
              <w:bottom w:val="single" w:color="auto" w:sz="4" w:space="0"/>
              <w:right w:val="single" w:color="000000" w:sz="6" w:space="0"/>
            </w:tcBorders>
          </w:tcPr>
          <w:p w:rsidRPr="004B0109" w:rsidR="00945B7A" w:rsidP="00945B7A" w:rsidRDefault="00945B7A" w14:paraId="5362E2FC" w14:textId="77777777">
            <w:pPr>
              <w:pStyle w:val="naisf"/>
              <w:ind w:firstLine="0"/>
            </w:pPr>
            <w:r w:rsidRPr="004B0109">
              <w:lastRenderedPageBreak/>
              <w:t xml:space="preserve">Aicinām izvērtēt iespēju sadalīt divās daļās vai divos atsevišķos punktos noteikumu projekta 9.punktu tādējādi, ka viens punkts (punkta daļa) attiektos uz informācijas noskaidrošanu par </w:t>
            </w:r>
            <w:r w:rsidRPr="004B0109">
              <w:lastRenderedPageBreak/>
              <w:t>mantojuma atstājēja pieprasījuma noguldījuma, maksājumu vai ieguldījumu kontiem, bet otrs punkts (punkta daļa) attiektos uz informācijas noskaidrošanu par mantojuma atstājēja finanšu instrumentu kontiem. No šobrīd noteikumu projekta 9.punkta piedāvātās redakcijas izriet, ka zvērināts tiesu izpildītājs informāciju par finanšu instrumentiem pieprasa tikai kredītiestādēm. Taču atbilstoši Finanšu instrumentu tirgus likuma 3.</w:t>
            </w:r>
            <w:r w:rsidRPr="004B0109">
              <w:rPr>
                <w:vertAlign w:val="superscript"/>
              </w:rPr>
              <w:t>4</w:t>
            </w:r>
            <w:r w:rsidRPr="004B0109">
              <w:t xml:space="preserve"> pantam finanšu instrumenta konta uzturētājs var būt arī ieguldījumu brokeru sabiedrība. Tā kā mantojuma atstājējam finanšu instrumentu konts var būt atvērts ne tikai kredītiestādē, bet arī ieguldījumu brokeru sabiedrībā, tad zvērinātam tiesu izpildītājam, sastādot mantojuma inventāra sarakstu, būtu attiecīgi arī ieguldījumu brokeru sabiedrībām jāpieprasa informācija, par to vai mantojuma atstājējam tajās ir finanšu instrumentu konti. Saskaņā ar Finanšu un kapitāla tirgus komisijas mājaslapā pieejamo informāciju Latvijā pašlaik ir četras ieguldījumu brokeru sabiedrības. Tāpat vēršam uzmanību uz to, ka praksē joprojām nereti sastopamas tieši Latvijai specifiskas situācijas, kad mantojuma atstājējam akcijas atrodas nevis finanšu instrumentu kontā, bet gan vēl joprojām tās atrodas Nasdaq CSD SE kārtotajā Sākotnējā reģistrā, jo pēc uzņēmuma privatizācijas pabeigšanas mantojuma atstājējs nav atvēris finanšu instrumentu kontu un nav veicis akciju </w:t>
            </w:r>
            <w:proofErr w:type="spellStart"/>
            <w:r w:rsidRPr="004B0109">
              <w:t>dereģistrāciju</w:t>
            </w:r>
            <w:proofErr w:type="spellEnd"/>
            <w:r w:rsidRPr="004B0109">
              <w:t xml:space="preserve">. Tā kā šajā Sākotnējā reģistrā uzkrājas ne tikai akcijas, bet arī uzņēmuma maksātās dividendes, tad zvērinātam </w:t>
            </w:r>
            <w:r w:rsidRPr="004B0109">
              <w:lastRenderedPageBreak/>
              <w:t>tiesu izpildītājam ar attiecīgu informācijas pieprasījumu būtu jāvēršas Nasdaq CSD SE. Atbilstoši Finanšu ministrijas rīcībā esošajai informācijai uz 2019.gada marta mēnesi bija 23 kompānijas, kuru akcionāri sev piederošās akcijas glabāja Sākotnējā reģistrā. Kopumā 34 517 personas tām piederošās akcijas nebija pārvedušas uz finanšu instrumentu kontu. Līdz ar to attiecīgi šīs personas vairāku gadu garumā nav arī saņēmušas dividendes un akciju atpirkšanas rezultātā piešķirtās naudas, kuras Sākotnējā reģistrā 2019.gada marta mēnesī bija uzkrājušās 6 145 521,72 EUR apmērā.</w:t>
            </w:r>
          </w:p>
        </w:tc>
        <w:tc>
          <w:tcPr>
            <w:tcW w:w="2410" w:type="dxa"/>
            <w:tcBorders>
              <w:top w:val="single" w:color="000000" w:sz="6" w:space="0"/>
              <w:left w:val="single" w:color="000000" w:sz="6" w:space="0"/>
              <w:bottom w:val="single" w:color="auto" w:sz="4" w:space="0"/>
              <w:right w:val="single" w:color="000000" w:sz="6" w:space="0"/>
            </w:tcBorders>
          </w:tcPr>
          <w:p w:rsidRPr="004B0109" w:rsidR="00945B7A" w:rsidP="00945B7A" w:rsidRDefault="00945B7A" w14:paraId="13AAD00A" w14:textId="77777777">
            <w:pPr>
              <w:pStyle w:val="naisf"/>
              <w:ind w:firstLine="0"/>
              <w:jc w:val="center"/>
              <w:rPr>
                <w:b/>
              </w:rPr>
            </w:pPr>
            <w:r w:rsidRPr="004B0109">
              <w:rPr>
                <w:b/>
              </w:rPr>
              <w:lastRenderedPageBreak/>
              <w:t>Ņemts vērā</w:t>
            </w:r>
          </w:p>
        </w:tc>
        <w:tc>
          <w:tcPr>
            <w:tcW w:w="3260" w:type="dxa"/>
            <w:tcBorders>
              <w:top w:val="single" w:color="auto" w:sz="4" w:space="0"/>
              <w:left w:val="single" w:color="auto" w:sz="4" w:space="0"/>
              <w:bottom w:val="single" w:color="auto" w:sz="4" w:space="0"/>
            </w:tcBorders>
          </w:tcPr>
          <w:p w:rsidRPr="004B0109" w:rsidR="00945B7A" w:rsidP="00766BF6" w:rsidRDefault="00945B7A" w14:paraId="1AFBD817" w14:textId="77777777">
            <w:pPr>
              <w:pStyle w:val="naisf"/>
              <w:spacing w:before="0" w:after="0"/>
              <w:ind w:firstLine="284"/>
            </w:pPr>
            <w:r w:rsidRPr="004B0109">
              <w:t>Noteikumu projekta 9. punkts izteikts jaunā redakcijā:</w:t>
            </w:r>
          </w:p>
          <w:p w:rsidRPr="004B0109" w:rsidR="00945B7A" w:rsidP="00766BF6" w:rsidRDefault="00784551" w14:paraId="4A9DB6A2" w14:textId="06F5F6CE">
            <w:pPr>
              <w:spacing w:before="120"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w:t>
            </w:r>
            <w:r w:rsidRPr="004B0109" w:rsidR="00945B7A">
              <w:rPr>
                <w:rFonts w:ascii="Times New Roman" w:hAnsi="Times New Roman" w:cs="Times New Roman"/>
                <w:sz w:val="24"/>
                <w:szCs w:val="24"/>
              </w:rPr>
              <w:t>9. Sastādot mantojuma inventāra sarakstu, neatkarīgi no ieinteresētās personas iesniegumā norādītā zvērinātam tiesu izpildītājam ir pienākums noskaidrot, vai mantojuma atstājējam ir:</w:t>
            </w:r>
          </w:p>
          <w:p w:rsidRPr="004B0109" w:rsidR="00945B7A" w:rsidP="00766BF6" w:rsidRDefault="00945B7A" w14:paraId="1F743B3F" w14:textId="77777777">
            <w:pPr>
              <w:spacing w:before="120" w:after="0" w:line="240" w:lineRule="auto"/>
              <w:ind w:firstLine="284"/>
              <w:jc w:val="both"/>
              <w:rPr>
                <w:rFonts w:ascii="Times New Roman" w:hAnsi="Times New Roman" w:cs="Times New Roman"/>
                <w:sz w:val="24"/>
                <w:szCs w:val="24"/>
              </w:rPr>
            </w:pPr>
            <w:r w:rsidRPr="004B0109">
              <w:rPr>
                <w:rFonts w:ascii="Times New Roman" w:hAnsi="Times New Roman" w:cs="Times New Roman"/>
                <w:sz w:val="24"/>
                <w:szCs w:val="24"/>
              </w:rPr>
              <w:t>9.1. publiskajos reģistros  reģistrēta manta;</w:t>
            </w:r>
          </w:p>
          <w:p w:rsidRPr="004B0109" w:rsidR="00945B7A" w:rsidP="00766BF6" w:rsidRDefault="00945B7A" w14:paraId="4911A3EC" w14:textId="77777777">
            <w:pPr>
              <w:spacing w:before="120" w:after="0" w:line="240" w:lineRule="auto"/>
              <w:ind w:firstLine="284"/>
              <w:jc w:val="both"/>
              <w:rPr>
                <w:rFonts w:ascii="Times New Roman" w:hAnsi="Times New Roman" w:cs="Times New Roman"/>
                <w:sz w:val="24"/>
                <w:szCs w:val="24"/>
              </w:rPr>
            </w:pPr>
            <w:r w:rsidRPr="004B0109">
              <w:rPr>
                <w:rFonts w:ascii="Times New Roman" w:hAnsi="Times New Roman" w:cs="Times New Roman"/>
                <w:sz w:val="24"/>
                <w:szCs w:val="24"/>
              </w:rPr>
              <w:t>9.2. pieprasījuma noguldījuma, maksājumu vai ieguldījumu konti Latvijā strādājošās kredītiestādēs, krājaizdevu sabiedrībās vai maksājumu pakalpojumu sniedzējā Maksājumu pakalpojumu un elektroniskās naudas likuma izpratnē;</w:t>
            </w:r>
          </w:p>
          <w:p w:rsidRPr="004B0109" w:rsidR="00945B7A" w:rsidP="00766BF6" w:rsidRDefault="00945B7A" w14:paraId="44CA6BE0" w14:textId="77777777">
            <w:pPr>
              <w:spacing w:before="120" w:after="0" w:line="240" w:lineRule="auto"/>
              <w:ind w:firstLine="284"/>
              <w:jc w:val="both"/>
              <w:rPr>
                <w:rFonts w:ascii="Times New Roman" w:hAnsi="Times New Roman" w:cs="Times New Roman"/>
                <w:sz w:val="24"/>
                <w:szCs w:val="24"/>
              </w:rPr>
            </w:pPr>
            <w:r w:rsidRPr="004B0109">
              <w:rPr>
                <w:rFonts w:ascii="Times New Roman" w:hAnsi="Times New Roman" w:cs="Times New Roman"/>
                <w:sz w:val="24"/>
                <w:szCs w:val="24"/>
              </w:rPr>
              <w:t>9.3. finanšu instrumentu konti kredītiestādēs vai ieguldījumu brokeru sabiedrībās, kā arī finanšu instrumenti centrālā vērtspapīru depozitārija sākotnējā reģistrā;</w:t>
            </w:r>
          </w:p>
          <w:p w:rsidRPr="004B0109" w:rsidR="00945B7A" w:rsidP="00766BF6" w:rsidRDefault="00945B7A" w14:paraId="249953BB" w14:textId="2509F628">
            <w:pPr>
              <w:spacing w:after="0" w:line="240" w:lineRule="auto"/>
              <w:ind w:firstLine="284"/>
              <w:jc w:val="both"/>
              <w:rPr>
                <w:rFonts w:ascii="Times New Roman" w:hAnsi="Times New Roman" w:cs="Times New Roman"/>
                <w:sz w:val="24"/>
                <w:szCs w:val="24"/>
              </w:rPr>
            </w:pPr>
            <w:r w:rsidRPr="004B0109">
              <w:rPr>
                <w:rFonts w:ascii="Times New Roman" w:hAnsi="Times New Roman" w:cs="Times New Roman"/>
                <w:sz w:val="24"/>
                <w:szCs w:val="24"/>
              </w:rPr>
              <w:t>9.4. citas vērtības Latvijā strādājošās kredītiestādēs.</w:t>
            </w:r>
            <w:r w:rsidR="005F60E0">
              <w:rPr>
                <w:rFonts w:ascii="Times New Roman" w:hAnsi="Times New Roman" w:cs="Times New Roman"/>
                <w:sz w:val="24"/>
                <w:szCs w:val="24"/>
              </w:rPr>
              <w:t>"</w:t>
            </w:r>
          </w:p>
          <w:p w:rsidRPr="004B0109" w:rsidR="00945B7A" w:rsidP="00766BF6" w:rsidRDefault="00945B7A" w14:paraId="292E013B" w14:textId="77777777">
            <w:pPr>
              <w:pStyle w:val="naisf"/>
              <w:spacing w:before="0" w:after="0"/>
              <w:ind w:firstLine="284"/>
            </w:pPr>
          </w:p>
          <w:p w:rsidRPr="004B0109" w:rsidR="00945B7A" w:rsidP="00766BF6" w:rsidRDefault="00945B7A" w14:paraId="64F1F52B" w14:textId="77777777">
            <w:pPr>
              <w:pStyle w:val="naisf"/>
              <w:spacing w:before="0" w:after="0"/>
              <w:ind w:firstLine="284"/>
            </w:pPr>
            <w:r w:rsidRPr="004B0109">
              <w:t>Noteikumu projekta anotācijas I. sadaļas 2. punkts papildināts ar teikumu šādā redakcijā:</w:t>
            </w:r>
          </w:p>
          <w:p w:rsidRPr="00766BF6" w:rsidR="00945B7A" w:rsidP="00766BF6" w:rsidRDefault="005F60E0" w14:paraId="3157706D" w14:textId="36318F29">
            <w:pPr>
              <w:suppressAutoHyphens/>
              <w:spacing w:after="0" w:line="240" w:lineRule="auto"/>
              <w:ind w:firstLine="284"/>
              <w:jc w:val="both"/>
              <w:rPr>
                <w:rFonts w:ascii="Times New Roman" w:hAnsi="Times New Roman" w:cs="Times New Roman"/>
                <w:color w:val="414142"/>
                <w:sz w:val="24"/>
                <w:szCs w:val="24"/>
              </w:rPr>
            </w:pPr>
            <w:r>
              <w:rPr>
                <w:rFonts w:ascii="Times New Roman" w:hAnsi="Times New Roman" w:cs="Times New Roman"/>
                <w:sz w:val="24"/>
                <w:szCs w:val="24"/>
              </w:rPr>
              <w:lastRenderedPageBreak/>
              <w:t>"</w:t>
            </w:r>
            <w:r w:rsidRPr="004B0109" w:rsidR="00945B7A">
              <w:rPr>
                <w:rFonts w:ascii="Times New Roman" w:hAnsi="Times New Roman" w:cs="Times New Roman"/>
                <w:sz w:val="24"/>
                <w:szCs w:val="24"/>
              </w:rPr>
              <w:t>Lai noskaidrotu, vai mantojuma atstājējam pieder finanšu instrumenti, zvērināts tiesu izpildītājs kredītiestādēm un ieguldījumu brokeru sabiedrībām pieprasa informāciju par uz mantojuma atstājēja vārda atvērtiem finanšu instrumentu kontiem, kā arī Latvijas Centrālajam vērtspapīru depozitārijam (Nasdaq) par mantojuma atstājēja finanšu instrumentiem, kuri atrodas centrālā vērtspapīru depozitārija sākotnējā reģistrā.</w:t>
            </w:r>
            <w:r>
              <w:rPr>
                <w:rFonts w:ascii="Times New Roman" w:hAnsi="Times New Roman" w:cs="Times New Roman"/>
                <w:sz w:val="24"/>
                <w:szCs w:val="24"/>
              </w:rPr>
              <w:t>"</w:t>
            </w:r>
          </w:p>
        </w:tc>
      </w:tr>
      <w:tr w:rsidRPr="004B0109" w:rsidR="00945B7A" w:rsidTr="00710547" w14:paraId="30062F5E" w14:textId="77777777">
        <w:tc>
          <w:tcPr>
            <w:tcW w:w="593" w:type="dxa"/>
            <w:tcBorders>
              <w:top w:val="single" w:color="auto" w:sz="4" w:space="0"/>
              <w:left w:val="single" w:color="auto" w:sz="4" w:space="0"/>
              <w:bottom w:val="single" w:color="auto" w:sz="4" w:space="0"/>
              <w:right w:val="single" w:color="auto" w:sz="4" w:space="0"/>
            </w:tcBorders>
          </w:tcPr>
          <w:p w:rsidRPr="004B0109" w:rsidR="00945B7A" w:rsidP="00945B7A" w:rsidRDefault="00B04786" w14:paraId="24E33F0B" w14:textId="2AC8E93B">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lastRenderedPageBreak/>
              <w:t>6</w:t>
            </w:r>
            <w:r w:rsidRPr="004B0109" w:rsidR="00945B7A">
              <w:rPr>
                <w:rFonts w:ascii="Times New Roman" w:hAnsi="Times New Roman" w:eastAsia="Times New Roman" w:cs="Times New Roman"/>
                <w:sz w:val="24"/>
                <w:szCs w:val="24"/>
                <w:lang w:eastAsia="lv-LV"/>
              </w:rPr>
              <w:t>.</w:t>
            </w:r>
          </w:p>
        </w:tc>
        <w:tc>
          <w:tcPr>
            <w:tcW w:w="2977" w:type="dxa"/>
            <w:tcBorders>
              <w:top w:val="single" w:color="000000" w:sz="6" w:space="0"/>
              <w:left w:val="single" w:color="000000" w:sz="6" w:space="0"/>
              <w:bottom w:val="single" w:color="000000" w:sz="6" w:space="0"/>
              <w:right w:val="single" w:color="000000" w:sz="6" w:space="0"/>
            </w:tcBorders>
          </w:tcPr>
          <w:p w:rsidRPr="004B0109" w:rsidR="00945B7A" w:rsidP="00945B7A" w:rsidRDefault="00945B7A" w14:paraId="3CF64B3C" w14:textId="77777777">
            <w:pPr>
              <w:pStyle w:val="naisf"/>
              <w:ind w:firstLine="0"/>
            </w:pPr>
            <w:r w:rsidRPr="004B0109">
              <w:t>Noteikumu projekta 13. punkts:</w:t>
            </w:r>
          </w:p>
          <w:p w:rsidRPr="004B0109" w:rsidR="00945B7A" w:rsidP="00945B7A" w:rsidRDefault="005F60E0" w14:paraId="4FB11D27" w14:textId="264DDCFB">
            <w:pPr>
              <w:ind w:firstLine="284"/>
              <w:jc w:val="both"/>
              <w:rPr>
                <w:rFonts w:ascii="Times New Roman" w:hAnsi="Times New Roman" w:cs="Times New Roman"/>
                <w:sz w:val="24"/>
                <w:szCs w:val="24"/>
              </w:rPr>
            </w:pPr>
            <w:r>
              <w:rPr>
                <w:rFonts w:ascii="Times New Roman" w:hAnsi="Times New Roman" w:cs="Times New Roman"/>
                <w:sz w:val="24"/>
                <w:szCs w:val="24"/>
              </w:rPr>
              <w:t>"</w:t>
            </w:r>
            <w:r w:rsidRPr="004B0109" w:rsidR="00945B7A">
              <w:rPr>
                <w:rFonts w:ascii="Times New Roman" w:hAnsi="Times New Roman" w:cs="Times New Roman"/>
                <w:sz w:val="24"/>
                <w:szCs w:val="24"/>
              </w:rPr>
              <w:t>13. Ja šajos noteikumos noteiktajā kārtībā mantas novērtēšanai nav pieaicināts sertificēts vērtētājs vai attiecīgās nozares speciālists, mantojuma inventāra sarakstā iekļautās mantas vērtību nosaka šādā veidā:</w:t>
            </w:r>
          </w:p>
          <w:p w:rsidRPr="004B0109" w:rsidR="00945B7A" w:rsidP="00945B7A" w:rsidRDefault="00945B7A" w14:paraId="58B851A2" w14:textId="77777777">
            <w:pPr>
              <w:ind w:firstLine="284"/>
              <w:jc w:val="both"/>
              <w:rPr>
                <w:rFonts w:ascii="Times New Roman" w:hAnsi="Times New Roman" w:cs="Times New Roman"/>
                <w:sz w:val="24"/>
                <w:szCs w:val="24"/>
              </w:rPr>
            </w:pPr>
            <w:r w:rsidRPr="004B0109">
              <w:rPr>
                <w:rFonts w:ascii="Times New Roman" w:hAnsi="Times New Roman" w:cs="Times New Roman"/>
                <w:sz w:val="24"/>
                <w:szCs w:val="24"/>
              </w:rPr>
              <w:t xml:space="preserve">13.1. nekustamā īpašuma vērtību noteic pēc Valsts zemes dienesta izsniegtās </w:t>
            </w:r>
            <w:r w:rsidRPr="004B0109">
              <w:rPr>
                <w:rFonts w:ascii="Times New Roman" w:hAnsi="Times New Roman" w:cs="Times New Roman"/>
                <w:sz w:val="24"/>
                <w:szCs w:val="24"/>
              </w:rPr>
              <w:lastRenderedPageBreak/>
              <w:t>izziņas par īpašuma kadastrālo vērtību un mežaudzes vērtību vai Nekustamā īpašuma valsts kadastra informācijas sistēmā esošās informācijas, kas aktuāla pēc mantojuma atklāšanās;</w:t>
            </w:r>
          </w:p>
          <w:p w:rsidRPr="004B0109" w:rsidR="00945B7A" w:rsidP="00945B7A" w:rsidRDefault="00945B7A" w14:paraId="3220A658" w14:textId="77777777">
            <w:pPr>
              <w:ind w:firstLine="284"/>
              <w:jc w:val="both"/>
              <w:rPr>
                <w:rFonts w:ascii="Times New Roman" w:hAnsi="Times New Roman" w:cs="Times New Roman"/>
                <w:sz w:val="24"/>
                <w:szCs w:val="24"/>
              </w:rPr>
            </w:pPr>
            <w:r w:rsidRPr="004B0109">
              <w:rPr>
                <w:rFonts w:ascii="Times New Roman" w:hAnsi="Times New Roman" w:cs="Times New Roman"/>
                <w:sz w:val="24"/>
                <w:szCs w:val="24"/>
              </w:rPr>
              <w:t>13.2. kapitālsabiedrības pamatkapitāla daļu, vērtspapīru vai akciju vērtību nosaka pēc to nominālvērtības;</w:t>
            </w:r>
          </w:p>
          <w:p w:rsidRPr="004B0109" w:rsidR="00945B7A" w:rsidP="00945B7A" w:rsidRDefault="00945B7A" w14:paraId="299A466D" w14:textId="77777777">
            <w:pPr>
              <w:ind w:firstLine="284"/>
              <w:jc w:val="both"/>
              <w:rPr>
                <w:rFonts w:ascii="Times New Roman" w:hAnsi="Times New Roman" w:cs="Times New Roman"/>
                <w:sz w:val="24"/>
                <w:szCs w:val="24"/>
              </w:rPr>
            </w:pPr>
            <w:r w:rsidRPr="004B0109">
              <w:rPr>
                <w:rFonts w:ascii="Times New Roman" w:hAnsi="Times New Roman" w:cs="Times New Roman"/>
                <w:sz w:val="24"/>
                <w:szCs w:val="24"/>
              </w:rPr>
              <w:t>13.3. naudas līdzekļu vērtību nosaka pēc tās nominālvērtības saskaņā ar Eiropas Centrālās bankas noteikto valūtas kursu;</w:t>
            </w:r>
          </w:p>
          <w:p w:rsidRPr="004B0109" w:rsidR="00945B7A" w:rsidP="00945B7A" w:rsidRDefault="00945B7A" w14:paraId="1E8C8FE1" w14:textId="14234ECC">
            <w:pPr>
              <w:pStyle w:val="naisf"/>
              <w:ind w:firstLine="284"/>
            </w:pPr>
            <w:r w:rsidRPr="004B0109">
              <w:t>13.4. kustamās mantas novērtējumu izdara zvērināts tiesu izpildītājs pēc šai apvidū esošajām cenām, ievērojot mantas nolietojuma pakāpi.</w:t>
            </w:r>
            <w:r w:rsidR="005F60E0">
              <w:t>"</w:t>
            </w:r>
          </w:p>
        </w:tc>
        <w:tc>
          <w:tcPr>
            <w:tcW w:w="4961" w:type="dxa"/>
            <w:tcBorders>
              <w:top w:val="single" w:color="000000" w:sz="6" w:space="0"/>
              <w:left w:val="single" w:color="000000" w:sz="6" w:space="0"/>
              <w:bottom w:val="single" w:color="000000" w:sz="6" w:space="0"/>
              <w:right w:val="single" w:color="000000" w:sz="6" w:space="0"/>
            </w:tcBorders>
          </w:tcPr>
          <w:p w:rsidRPr="004B0109" w:rsidR="00945B7A" w:rsidP="00945B7A" w:rsidRDefault="00945B7A" w14:paraId="11785AC5" w14:textId="77777777">
            <w:pPr>
              <w:pStyle w:val="naisf"/>
              <w:ind w:firstLine="0"/>
            </w:pPr>
            <w:r w:rsidRPr="004B0109">
              <w:lastRenderedPageBreak/>
              <w:t>Formulējums, kāds ir lietots noteikumu projekta 13.punktā, kas noteic, ka “akciju vērtību nosaka pēc to nominālvērtības”, būtu papildināms ar norādi, ka tās ir tādas akcijas, kuras netiek tirgotas regulētajā tirgū. Tāpat būtu jāparedz regulējums atbilstoši kuram akciju, kas tiek tirgotas regulētajā tirgū, vērtība tiek noteikta pēc iespējas tuvāk to tirgus vērtībai, jo praksē ir vērojamas ļoti izteiktas akcijas nominālvērtības neatbilstības to tirgus vērtībai.  Piemēram, AS “</w:t>
            </w:r>
            <w:proofErr w:type="spellStart"/>
            <w:r w:rsidRPr="004B0109">
              <w:t>HansaMatrix</w:t>
            </w:r>
            <w:proofErr w:type="spellEnd"/>
            <w:r w:rsidRPr="004B0109">
              <w:t xml:space="preserve">” akcijas nominālvērtība ir 1 EUR, taču vienas akcijas vidējā cena 2019.gada 14.jūnija tirdzniecības sesijā bija 6,47 EUR. Līdzīgi arī AS “Olainfarm” vienas akcijas nominālvērtība ir 1,4 EUR, taču vienas akcijas vidējā cena 2019.gada 14.jūnija tirdzniecības sesijā bija 7,16 EUR. Turpretī AS </w:t>
            </w:r>
            <w:r w:rsidRPr="004B0109">
              <w:lastRenderedPageBreak/>
              <w:t>“Rīgas kuģu būvētava” vienas akcijas nominālvērtība ir 1,4 EUR, taču vienas akcijas vidējā cena 2019.gada 13.jūnija tirdzniecības sesijā bija 0,085 EUR. Kā redzams, tad atšķirības starp nominālvērtības un tirgus vērtības mēdz būt ļoti ievērojamas. Līdzīgās situācijās, kad ir jānosaka vienas akcijas vērtība, Finanšu instrumenti tirgus likuma 74.panta pirmās daļas 1.punktā ir minēti trīs pavisam citi akcijas cenas noteikšanas veidi, no kuriem visi daudz objektīvāk par nominālvērtību atspoguļo akcijas cenu. Tāpat arī Civilprocesa likuma 580.</w:t>
            </w:r>
            <w:r w:rsidRPr="004B0109">
              <w:rPr>
                <w:vertAlign w:val="superscript"/>
              </w:rPr>
              <w:t xml:space="preserve">6 </w:t>
            </w:r>
            <w:r w:rsidRPr="004B0109">
              <w:t>pantā tiek nošķirta papīra formas vērtspapīru pārdošana no regulētajā tirgū tirgotu finanšu instrumentu pārdošanas. Minētā panta piektā daļa noteic, ka par sākumcenu tiek noteikta papīra formas vērtspapīru nominālvērtība vai tiesu izpildītāja vai eksperta noteikta piespiedu pārdošanas vērtība, ja tās noteikšanai tiesu izpildītājs pieaicinājis ekspertu. Savukārt minētā panta trešajā daļā noteikts, ka finanšu instrumentus regulētajā tirgū pārdod par šo finanšu instrumentu tirgus cenu. Līdz ar to, ja vērtspapīri tiek tirgoti regulētajos tirgos, t.i. biržās, nebūtu atbalstāms izmantot nominālvērtību šādu mantojuma inventāra sarakstā iekļauto vērtspapīru vērtības noteikšanai.</w:t>
            </w:r>
          </w:p>
        </w:tc>
        <w:tc>
          <w:tcPr>
            <w:tcW w:w="2410" w:type="dxa"/>
            <w:tcBorders>
              <w:top w:val="single" w:color="000000" w:sz="6" w:space="0"/>
              <w:left w:val="single" w:color="000000" w:sz="6" w:space="0"/>
              <w:bottom w:val="single" w:color="000000" w:sz="6" w:space="0"/>
              <w:right w:val="single" w:color="000000" w:sz="6" w:space="0"/>
            </w:tcBorders>
          </w:tcPr>
          <w:p w:rsidRPr="004B0109" w:rsidR="00945B7A" w:rsidP="00945B7A" w:rsidRDefault="00945B7A" w14:paraId="513EFB9A" w14:textId="77777777">
            <w:pPr>
              <w:pStyle w:val="naisf"/>
              <w:ind w:firstLine="0"/>
              <w:jc w:val="center"/>
              <w:rPr>
                <w:b/>
              </w:rPr>
            </w:pPr>
            <w:r w:rsidRPr="004B0109">
              <w:rPr>
                <w:b/>
              </w:rPr>
              <w:lastRenderedPageBreak/>
              <w:t>Ņemts vērā</w:t>
            </w:r>
          </w:p>
        </w:tc>
        <w:tc>
          <w:tcPr>
            <w:tcW w:w="3260" w:type="dxa"/>
            <w:tcBorders>
              <w:top w:val="single" w:color="auto" w:sz="4" w:space="0"/>
              <w:left w:val="single" w:color="auto" w:sz="4" w:space="0"/>
              <w:bottom w:val="single" w:color="auto" w:sz="4" w:space="0"/>
            </w:tcBorders>
          </w:tcPr>
          <w:p w:rsidRPr="004B0109" w:rsidR="00945B7A" w:rsidP="00945B7A" w:rsidRDefault="00945B7A" w14:paraId="78471A15" w14:textId="77777777">
            <w:pPr>
              <w:ind w:firstLine="284"/>
              <w:jc w:val="both"/>
              <w:rPr>
                <w:rFonts w:ascii="Times New Roman" w:hAnsi="Times New Roman" w:cs="Times New Roman"/>
                <w:sz w:val="24"/>
                <w:szCs w:val="24"/>
              </w:rPr>
            </w:pPr>
            <w:r w:rsidRPr="004B0109">
              <w:rPr>
                <w:rFonts w:ascii="Times New Roman" w:hAnsi="Times New Roman" w:cs="Times New Roman"/>
                <w:sz w:val="24"/>
                <w:szCs w:val="24"/>
              </w:rPr>
              <w:t>Noteikumu projekta 13. punkts izteikts šādā redakcijā:</w:t>
            </w:r>
          </w:p>
          <w:p w:rsidRPr="00325FD5" w:rsidR="00945B7A" w:rsidP="00325FD5" w:rsidRDefault="005F60E0" w14:paraId="5AC0A159" w14:textId="299291C5">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Pr="004B0109" w:rsidR="00945B7A">
              <w:rPr>
                <w:rFonts w:ascii="Times New Roman" w:hAnsi="Times New Roman" w:cs="Times New Roman"/>
                <w:sz w:val="24"/>
                <w:szCs w:val="24"/>
              </w:rPr>
              <w:t xml:space="preserve">13. Ja šajos noteikumos noteiktajā kārtībā mantas novērtēšanai nav pieaicināts sertificēts vērtētājs vai attiecīgās nozares speciālists, mantojuma inventāra sarakstā </w:t>
            </w:r>
            <w:r w:rsidRPr="00325FD5" w:rsidR="00945B7A">
              <w:rPr>
                <w:rFonts w:ascii="Times New Roman" w:hAnsi="Times New Roman" w:cs="Times New Roman"/>
                <w:sz w:val="24"/>
                <w:szCs w:val="24"/>
              </w:rPr>
              <w:t>iekļautās mantas vērtību nosaka šādā veidā:</w:t>
            </w:r>
          </w:p>
          <w:p w:rsidRPr="00325FD5" w:rsidR="00945B7A" w:rsidP="00325FD5" w:rsidRDefault="00945B7A" w14:paraId="2AFAA7C7" w14:textId="77777777">
            <w:pPr>
              <w:spacing w:before="120" w:after="0" w:line="240" w:lineRule="auto"/>
              <w:ind w:firstLine="284"/>
              <w:jc w:val="both"/>
              <w:rPr>
                <w:rFonts w:ascii="Times New Roman" w:hAnsi="Times New Roman" w:cs="Times New Roman"/>
                <w:sz w:val="24"/>
                <w:szCs w:val="24"/>
              </w:rPr>
            </w:pPr>
            <w:r w:rsidRPr="00325FD5">
              <w:rPr>
                <w:rFonts w:ascii="Times New Roman" w:hAnsi="Times New Roman" w:cs="Times New Roman"/>
                <w:sz w:val="24"/>
                <w:szCs w:val="24"/>
              </w:rPr>
              <w:t>13.1. </w:t>
            </w:r>
            <w:r w:rsidRPr="00325FD5" w:rsidR="00325FD5">
              <w:rPr>
                <w:rFonts w:ascii="Times New Roman" w:hAnsi="Times New Roman" w:cs="Times New Roman"/>
                <w:color w:val="000000"/>
                <w:sz w:val="24"/>
                <w:szCs w:val="24"/>
              </w:rPr>
              <w:t xml:space="preserve">nekustamā īpašuma vērtību noteic pēc standartizētas formas Nekustamā īpašuma valsts kadastra informācijas </w:t>
            </w:r>
            <w:r w:rsidRPr="00325FD5" w:rsidR="00325FD5">
              <w:rPr>
                <w:rFonts w:ascii="Times New Roman" w:hAnsi="Times New Roman" w:cs="Times New Roman"/>
                <w:color w:val="000000"/>
                <w:sz w:val="24"/>
                <w:szCs w:val="24"/>
              </w:rPr>
              <w:lastRenderedPageBreak/>
              <w:t>sistēmas aktuālajiem datiem par mantojuma atstājējam Nekustamā īpašuma valsts kadastra informācijas sistēmā reģistrētu kadastra objektu</w:t>
            </w:r>
            <w:r w:rsidRPr="00325FD5">
              <w:rPr>
                <w:rFonts w:ascii="Times New Roman" w:hAnsi="Times New Roman" w:cs="Times New Roman"/>
                <w:sz w:val="24"/>
                <w:szCs w:val="24"/>
              </w:rPr>
              <w:t>;</w:t>
            </w:r>
          </w:p>
          <w:p w:rsidRPr="004B0109" w:rsidR="00945B7A" w:rsidP="00325FD5" w:rsidRDefault="00945B7A" w14:paraId="6D034BF7" w14:textId="77777777">
            <w:pPr>
              <w:spacing w:before="120" w:after="0" w:line="240" w:lineRule="auto"/>
              <w:ind w:firstLine="284"/>
              <w:jc w:val="both"/>
              <w:rPr>
                <w:rFonts w:ascii="Times New Roman" w:hAnsi="Times New Roman" w:cs="Times New Roman"/>
                <w:sz w:val="24"/>
                <w:szCs w:val="24"/>
                <w:u w:val="single"/>
              </w:rPr>
            </w:pPr>
            <w:r w:rsidRPr="00325FD5">
              <w:rPr>
                <w:rFonts w:ascii="Times New Roman" w:hAnsi="Times New Roman" w:cs="Times New Roman"/>
                <w:sz w:val="24"/>
                <w:szCs w:val="24"/>
                <w:u w:val="single"/>
              </w:rPr>
              <w:t>13.2. kapitālsabiedrības pamatkapitāla daļu, akciju</w:t>
            </w:r>
            <w:r w:rsidRPr="004B0109">
              <w:rPr>
                <w:rFonts w:ascii="Times New Roman" w:hAnsi="Times New Roman" w:cs="Times New Roman"/>
                <w:sz w:val="24"/>
                <w:szCs w:val="24"/>
                <w:u w:val="single"/>
              </w:rPr>
              <w:t xml:space="preserve"> un kooperatīvās sabiedrības paju</w:t>
            </w:r>
            <w:r w:rsidR="00325FD5">
              <w:rPr>
                <w:rFonts w:ascii="Times New Roman" w:hAnsi="Times New Roman" w:cs="Times New Roman"/>
                <w:sz w:val="24"/>
                <w:szCs w:val="24"/>
                <w:u w:val="single"/>
              </w:rPr>
              <w:t xml:space="preserve">, </w:t>
            </w:r>
            <w:bookmarkStart w:name="_Hlk14166864" w:id="1"/>
            <w:r w:rsidR="00325FD5">
              <w:rPr>
                <w:rFonts w:ascii="Times New Roman" w:hAnsi="Times New Roman" w:cs="Times New Roman"/>
                <w:sz w:val="24"/>
                <w:szCs w:val="24"/>
                <w:u w:val="single"/>
              </w:rPr>
              <w:t>kuras netiek tirgotas regulētajā tirgū,</w:t>
            </w:r>
            <w:bookmarkEnd w:id="1"/>
            <w:r w:rsidRPr="004B0109">
              <w:rPr>
                <w:rFonts w:ascii="Times New Roman" w:hAnsi="Times New Roman" w:cs="Times New Roman"/>
                <w:sz w:val="24"/>
                <w:szCs w:val="24"/>
                <w:u w:val="single"/>
              </w:rPr>
              <w:t xml:space="preserve"> vērtību nosaka pēc to nominālvērtības;</w:t>
            </w:r>
          </w:p>
          <w:p w:rsidRPr="00325FD5" w:rsidR="00945B7A" w:rsidP="00325FD5" w:rsidRDefault="00945B7A" w14:paraId="3286384B" w14:textId="77777777">
            <w:pPr>
              <w:spacing w:before="120" w:after="0" w:line="240" w:lineRule="auto"/>
              <w:ind w:firstLine="284"/>
              <w:jc w:val="both"/>
              <w:rPr>
                <w:rFonts w:ascii="Times New Roman" w:hAnsi="Times New Roman" w:cs="Times New Roman"/>
                <w:sz w:val="24"/>
                <w:szCs w:val="24"/>
                <w:u w:val="single"/>
              </w:rPr>
            </w:pPr>
            <w:r w:rsidRPr="004B0109">
              <w:rPr>
                <w:rFonts w:ascii="Times New Roman" w:hAnsi="Times New Roman" w:cs="Times New Roman"/>
                <w:sz w:val="24"/>
                <w:szCs w:val="24"/>
                <w:u w:val="single"/>
              </w:rPr>
              <w:t>13.3. </w:t>
            </w:r>
            <w:r w:rsidRPr="00325FD5" w:rsidR="00325FD5">
              <w:rPr>
                <w:rFonts w:ascii="Times New Roman" w:hAnsi="Times New Roman" w:eastAsia="Times New Roman" w:cs="Times New Roman"/>
                <w:sz w:val="24"/>
                <w:szCs w:val="24"/>
                <w:u w:val="single"/>
              </w:rPr>
              <w:t xml:space="preserve">finanšu instrumentu, </w:t>
            </w:r>
            <w:r w:rsidRPr="00325FD5" w:rsidR="00325FD5">
              <w:rPr>
                <w:rFonts w:ascii="Times New Roman" w:hAnsi="Times New Roman" w:cs="Times New Roman"/>
                <w:sz w:val="24"/>
                <w:szCs w:val="24"/>
                <w:u w:val="single"/>
              </w:rPr>
              <w:t>kuri tiek turēti mantojuma atstājēja finanšu instrumentu kontā un kuri iekļauti finanšu instrumentus regulētajā tirgū, kā arī finanšu instrumentu, kuri atrodas centrālā vērtspapīru depozitārija sākotnējā reģistrā, vērtību nosaka atbilstoši šo finanšu instrumentu tirgus cenai mantojuma inventāra saraksta sastādīšanas dienā</w:t>
            </w:r>
            <w:r w:rsidRPr="00325FD5">
              <w:rPr>
                <w:rFonts w:ascii="Times New Roman" w:hAnsi="Times New Roman" w:cs="Times New Roman"/>
                <w:sz w:val="24"/>
                <w:szCs w:val="24"/>
                <w:u w:val="single"/>
              </w:rPr>
              <w:t>;</w:t>
            </w:r>
          </w:p>
          <w:p w:rsidRPr="004B0109" w:rsidR="00945B7A" w:rsidP="00325FD5" w:rsidRDefault="00945B7A" w14:paraId="622A6EEF" w14:textId="77777777">
            <w:pPr>
              <w:spacing w:before="120" w:after="0" w:line="240" w:lineRule="auto"/>
              <w:ind w:firstLine="284"/>
              <w:jc w:val="both"/>
              <w:rPr>
                <w:rFonts w:ascii="Times New Roman" w:hAnsi="Times New Roman" w:cs="Times New Roman"/>
                <w:sz w:val="24"/>
                <w:szCs w:val="24"/>
              </w:rPr>
            </w:pPr>
            <w:r w:rsidRPr="004B0109">
              <w:rPr>
                <w:rFonts w:ascii="Times New Roman" w:hAnsi="Times New Roman" w:cs="Times New Roman"/>
                <w:sz w:val="24"/>
                <w:szCs w:val="24"/>
                <w:u w:val="single"/>
              </w:rPr>
              <w:t>13.4.</w:t>
            </w:r>
            <w:r w:rsidRPr="004B0109">
              <w:rPr>
                <w:rFonts w:ascii="Times New Roman" w:hAnsi="Times New Roman" w:cs="Times New Roman"/>
                <w:sz w:val="24"/>
                <w:szCs w:val="24"/>
              </w:rPr>
              <w:t> naudas līdzekļu vērtību nosaka pēc tās nominālvērtības saskaņā ar Eiropas Centrālās bankas noteikto valūtas kursu;</w:t>
            </w:r>
          </w:p>
          <w:p w:rsidRPr="00325FD5" w:rsidR="00945B7A" w:rsidP="00325FD5" w:rsidRDefault="00945B7A" w14:paraId="10EEB0ED" w14:textId="76EF0C1A">
            <w:pPr>
              <w:spacing w:before="120" w:after="0" w:line="240" w:lineRule="auto"/>
              <w:ind w:firstLine="284"/>
              <w:jc w:val="both"/>
              <w:rPr>
                <w:rFonts w:ascii="Times New Roman" w:hAnsi="Times New Roman" w:cs="Times New Roman"/>
                <w:sz w:val="24"/>
                <w:szCs w:val="24"/>
              </w:rPr>
            </w:pPr>
            <w:r w:rsidRPr="004B0109">
              <w:rPr>
                <w:rFonts w:ascii="Times New Roman" w:hAnsi="Times New Roman" w:cs="Times New Roman"/>
                <w:sz w:val="24"/>
                <w:szCs w:val="24"/>
                <w:u w:val="single"/>
              </w:rPr>
              <w:t>13.5.</w:t>
            </w:r>
            <w:r w:rsidRPr="004B0109">
              <w:rPr>
                <w:rFonts w:ascii="Times New Roman" w:hAnsi="Times New Roman" w:cs="Times New Roman"/>
                <w:sz w:val="24"/>
                <w:szCs w:val="24"/>
              </w:rPr>
              <w:t xml:space="preserve"> kustamās mantas novērtējumu izdara zvērināts tiesu izpildītājs pēc šai apvidū </w:t>
            </w:r>
            <w:r w:rsidRPr="004B0109">
              <w:rPr>
                <w:rFonts w:ascii="Times New Roman" w:hAnsi="Times New Roman" w:cs="Times New Roman"/>
                <w:sz w:val="24"/>
                <w:szCs w:val="24"/>
              </w:rPr>
              <w:lastRenderedPageBreak/>
              <w:t>esošajām cenām, ievērojot mantas nolietojuma pakāpi.</w:t>
            </w:r>
            <w:r w:rsidR="005F60E0">
              <w:rPr>
                <w:rFonts w:ascii="Times New Roman" w:hAnsi="Times New Roman" w:cs="Times New Roman"/>
                <w:sz w:val="24"/>
                <w:szCs w:val="24"/>
              </w:rPr>
              <w:t>"</w:t>
            </w:r>
          </w:p>
        </w:tc>
      </w:tr>
      <w:tr w:rsidRPr="004B0109" w:rsidR="00945B7A" w:rsidTr="00710547" w14:paraId="6B6B338A" w14:textId="77777777">
        <w:tc>
          <w:tcPr>
            <w:tcW w:w="593" w:type="dxa"/>
            <w:tcBorders>
              <w:top w:val="single" w:color="auto" w:sz="4" w:space="0"/>
              <w:left w:val="single" w:color="auto" w:sz="4" w:space="0"/>
              <w:bottom w:val="single" w:color="auto" w:sz="4" w:space="0"/>
              <w:right w:val="single" w:color="auto" w:sz="4" w:space="0"/>
            </w:tcBorders>
          </w:tcPr>
          <w:p w:rsidRPr="004B0109" w:rsidR="00945B7A" w:rsidP="00945B7A" w:rsidRDefault="00B04786" w14:paraId="7853F69F" w14:textId="6B72FF13">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lastRenderedPageBreak/>
              <w:t>7</w:t>
            </w:r>
            <w:r w:rsidRPr="004B0109" w:rsidR="00945B7A">
              <w:rPr>
                <w:rFonts w:ascii="Times New Roman" w:hAnsi="Times New Roman" w:eastAsia="Times New Roman" w:cs="Times New Roman"/>
                <w:sz w:val="24"/>
                <w:szCs w:val="24"/>
                <w:lang w:eastAsia="lv-LV"/>
              </w:rPr>
              <w:t>.</w:t>
            </w:r>
          </w:p>
        </w:tc>
        <w:tc>
          <w:tcPr>
            <w:tcW w:w="2977" w:type="dxa"/>
            <w:tcBorders>
              <w:top w:val="single" w:color="000000" w:sz="6" w:space="0"/>
              <w:left w:val="single" w:color="000000" w:sz="6" w:space="0"/>
              <w:bottom w:val="single" w:color="000000" w:sz="6" w:space="0"/>
              <w:right w:val="single" w:color="000000" w:sz="6" w:space="0"/>
            </w:tcBorders>
          </w:tcPr>
          <w:p w:rsidR="00D57323" w:rsidP="00945B7A" w:rsidRDefault="00D57323" w14:paraId="3B164183" w14:textId="2E0B35C4">
            <w:pPr>
              <w:pStyle w:val="naisf"/>
              <w:spacing w:before="0" w:after="0"/>
              <w:ind w:firstLine="284"/>
            </w:pPr>
            <w:r>
              <w:t>Noteikumu projekta 8. punkts:</w:t>
            </w:r>
          </w:p>
          <w:p w:rsidRPr="00D57323" w:rsidR="00D57323" w:rsidP="00945B7A" w:rsidRDefault="005F60E0" w14:paraId="7F1A6462" w14:textId="442C6B1E">
            <w:pPr>
              <w:pStyle w:val="naisf"/>
              <w:spacing w:before="0" w:after="0"/>
              <w:ind w:firstLine="284"/>
            </w:pPr>
            <w:r>
              <w:t>"</w:t>
            </w:r>
            <w:r w:rsidRPr="00D57323" w:rsidR="00D57323">
              <w:t>8. Zvērināts tiesu izpildītājs</w:t>
            </w:r>
            <w:r w:rsidR="00D57323">
              <w:t xml:space="preserve"> </w:t>
            </w:r>
            <w:r w:rsidRPr="00D57323" w:rsidR="00D57323">
              <w:t>mantojuma inventāra sarakstā iekļauj to mantojuma atstājēja mantu, kas norādīta ieinteresētās personas iesniegumā un par kuras esību zvērināts tiesu izpildītājs pārliecinājies dabā vai veicot pārbaudes publiskos reģistros. Ja zvērināts tiesu izpildītājs konstatē arī citu ieinteresētās personas iesniegumā nenorādītu mantojuma atstājēja mantu, to iekļauj mantojuma inventāra sarakstā.</w:t>
            </w:r>
            <w:r>
              <w:t>"</w:t>
            </w:r>
          </w:p>
          <w:p w:rsidR="00D57323" w:rsidP="00945B7A" w:rsidRDefault="00D57323" w14:paraId="1B42D2E2" w14:textId="77777777">
            <w:pPr>
              <w:pStyle w:val="naisf"/>
              <w:spacing w:before="0" w:after="0"/>
              <w:ind w:firstLine="284"/>
            </w:pPr>
          </w:p>
          <w:p w:rsidRPr="004B0109" w:rsidR="00945B7A" w:rsidP="00945B7A" w:rsidRDefault="00945B7A" w14:paraId="48292AEC" w14:textId="5FDC234B">
            <w:pPr>
              <w:pStyle w:val="naisf"/>
              <w:spacing w:before="0" w:after="0"/>
              <w:ind w:firstLine="284"/>
            </w:pPr>
            <w:r w:rsidRPr="004B0109">
              <w:t>Noteikumu projekta 10. punkts:</w:t>
            </w:r>
          </w:p>
          <w:p w:rsidRPr="004B0109" w:rsidR="00945B7A" w:rsidP="00945B7A" w:rsidRDefault="005F60E0" w14:paraId="6E606EA2" w14:textId="2A84BDE9">
            <w:pPr>
              <w:pStyle w:val="naisf"/>
              <w:spacing w:before="0" w:after="0"/>
              <w:ind w:firstLine="284"/>
            </w:pPr>
            <w:r>
              <w:t>"</w:t>
            </w:r>
            <w:r w:rsidRPr="004B0109" w:rsidR="00945B7A">
              <w:t xml:space="preserve">10. Zvērināts tiesu izpildītājs mantojuma inventāra sarakstā neiekļauj mantu, kuras iekļaušanai inventāra sarakstā nepieciešams veikt darbības ārpus tās apgabaltiesas darbības teritorijas, pie kuras </w:t>
            </w:r>
            <w:r w:rsidRPr="004B0109" w:rsidR="00945B7A">
              <w:lastRenderedPageBreak/>
              <w:t>viņš pastāv. Par šādu mantu zvērināts tiesu izpildītājs informē ieinteresēto personu, izskaidrojot tiesības tai vērsties pie attiecīgā apgabaltiesā praktizējoša zvērināta tiesu izpildītāja.</w:t>
            </w:r>
            <w:r>
              <w:t>"</w:t>
            </w:r>
          </w:p>
          <w:p w:rsidRPr="004B0109" w:rsidR="00945B7A" w:rsidP="00945B7A" w:rsidRDefault="00945B7A" w14:paraId="048120F6" w14:textId="77777777">
            <w:pPr>
              <w:pStyle w:val="naisf"/>
              <w:spacing w:before="0" w:after="0"/>
              <w:ind w:firstLine="284"/>
            </w:pPr>
          </w:p>
          <w:p w:rsidRPr="004B0109" w:rsidR="00945B7A" w:rsidP="00945B7A" w:rsidRDefault="00945B7A" w14:paraId="68DA2441" w14:textId="77777777">
            <w:pPr>
              <w:pStyle w:val="naisf"/>
              <w:spacing w:before="0" w:after="0"/>
              <w:ind w:firstLine="284"/>
            </w:pPr>
            <w:r w:rsidRPr="004B0109">
              <w:t>Noteikumu projekta 16. punkts:</w:t>
            </w:r>
          </w:p>
          <w:p w:rsidRPr="004B0109" w:rsidR="00945B7A" w:rsidP="00945B7A" w:rsidRDefault="005F60E0" w14:paraId="13ADB5DF" w14:textId="76394C64">
            <w:pPr>
              <w:pStyle w:val="naisf"/>
              <w:spacing w:before="0" w:after="0"/>
              <w:ind w:firstLine="284"/>
            </w:pPr>
            <w:r>
              <w:t>"</w:t>
            </w:r>
            <w:r w:rsidRPr="004B0109" w:rsidR="00945B7A">
              <w:t>16. Vienā mantojuma lietā zvērināts tiesu izpildītājs sastāda tikai vienu mantojuma inventāra sarakstu. Vienu mantojuma inventāra sarakstu sastāda arī tajos gadījumos, ja pie zvērināta tiesu izpildītāja vienas un tās pašas mantojuma lietas ietvaros vēršas vairākas ieinteresētas personas.</w:t>
            </w:r>
            <w:r>
              <w:t>"</w:t>
            </w:r>
          </w:p>
        </w:tc>
        <w:tc>
          <w:tcPr>
            <w:tcW w:w="4961" w:type="dxa"/>
            <w:tcBorders>
              <w:top w:val="single" w:color="000000" w:sz="6" w:space="0"/>
              <w:left w:val="single" w:color="000000" w:sz="6" w:space="0"/>
              <w:bottom w:val="single" w:color="000000" w:sz="6" w:space="0"/>
              <w:right w:val="single" w:color="000000" w:sz="6" w:space="0"/>
            </w:tcBorders>
          </w:tcPr>
          <w:p w:rsidR="00945B7A" w:rsidP="00216EFB" w:rsidRDefault="00945B7A" w14:paraId="709927C5" w14:textId="77777777">
            <w:pPr>
              <w:pStyle w:val="naisf"/>
              <w:spacing w:before="0" w:after="0"/>
              <w:ind w:firstLine="0"/>
            </w:pPr>
            <w:r w:rsidRPr="004B0109">
              <w:lastRenderedPageBreak/>
              <w:t xml:space="preserve">Lūdzam novērst pretrunu starp noteikumu projekta 16. punktu, kas paredz ka vienā mantojuma lietā ir tikai viens mantojuma inventāra saraksts un noteikumu projekta 10. punktu, kas pasaka, ka citā administratīvā teritorijā atrodošos lietu (kustamu un nekustamu mantu) zvērināts tiesu izpildītājs mantojuma inventāra sarakstā neiekļauj un aicina vērsties pie tajā teritorijā praktizējoša zvērināta tiesu izpildītāja. Ja mantojuma atstājējam būs dzīvoklis Rīgā un lauku īpašums Kurzemē, tad būs divi mantojuma inventāra saraksti, kas nav uz klientu orientēta pieeja un rada papildu slogu gan ieinteresētajai personai, gan arī notāram un pārējiem mantojuma lietā iesaistītajiem. Finanšu ministrija izsaka atbalstu tam, ka vienā mantojuma lietā ir tikai viens mantojuma inventāra saraksts un rosina rast risinājumu tam, kā divās Latvijas apgabaltiesas darbības teritorijās strādājoši zvērināti tiesu izpildītāji sadarbojas savā starpā, lai šo sarakstu sastādītu. Noteikumu projekts skaidri neparedz, vai mantojuma inventāra sarakstā iekļaujama manta, kuras iekļaušanai mantojuma inventāra sarakstā nepieciešams veikt darbības ārpus tās apgabaltiesas darbības teritorijas, pie kuras pastāv zvērināts tiesu izpildītājs, kurš aicināts/lūgts sastādīt mantojuma inventāra sarakstu. Tiesiskās skaidrības nodrošināšanai, ja arī minēto mantu ir paredzēts iekļaut mantojuma inventāra sarakstā, </w:t>
            </w:r>
            <w:r w:rsidRPr="004B0109">
              <w:lastRenderedPageBreak/>
              <w:t>noteikumu projektā tas būtu jānorāda, kā arī, jāparedz, kādā veidā notiks sadarbība starp zvērinātiem tiesu izpildītājiem, lai sastādītu vienu mantojuma inventāra sarakstu, ja mantojamās mantas vai tās daļas atrašanās vieta ir dažādās apgabaltiesas darbības teritorijās (cita zvērināta tiesu izpildītāja amata vietai noteiktajās robežās (iecirknī)).</w:t>
            </w:r>
          </w:p>
          <w:p w:rsidR="00D57323" w:rsidP="00216EFB" w:rsidRDefault="00D57323" w14:paraId="5B70F261" w14:textId="77777777">
            <w:pPr>
              <w:pStyle w:val="naisf"/>
              <w:spacing w:before="0" w:after="0"/>
              <w:ind w:firstLine="0"/>
            </w:pPr>
          </w:p>
          <w:p w:rsidRPr="00D57323" w:rsidR="00D57323" w:rsidP="00216EFB" w:rsidRDefault="00D57323" w14:paraId="3C5838CD" w14:textId="302E6FDD">
            <w:pPr>
              <w:pStyle w:val="naisf"/>
              <w:spacing w:before="0" w:after="0"/>
              <w:ind w:firstLine="0"/>
              <w:rPr>
                <w:b/>
                <w:bCs/>
                <w:i/>
                <w:iCs/>
              </w:rPr>
            </w:pPr>
            <w:r w:rsidRPr="00D57323">
              <w:rPr>
                <w:b/>
                <w:bCs/>
                <w:i/>
                <w:iCs/>
              </w:rPr>
              <w:t>Finanšu ministrijas 26.07.2019. vēstule Nr. 10.1-6/7-1/767</w:t>
            </w:r>
          </w:p>
          <w:p w:rsidRPr="00D57323" w:rsidR="00D57323" w:rsidP="00D57323" w:rsidRDefault="00D57323" w14:paraId="78FFBB17" w14:textId="3A5A2AF3">
            <w:pPr>
              <w:spacing w:after="0" w:line="240" w:lineRule="auto"/>
              <w:jc w:val="both"/>
              <w:rPr>
                <w:rFonts w:ascii="Times New Roman" w:hAnsi="Times New Roman" w:cs="Times New Roman"/>
                <w:sz w:val="24"/>
                <w:szCs w:val="24"/>
              </w:rPr>
            </w:pPr>
            <w:r w:rsidRPr="00D57323">
              <w:rPr>
                <w:rFonts w:ascii="Times New Roman" w:hAnsi="Times New Roman" w:cs="Times New Roman"/>
                <w:sz w:val="24"/>
                <w:szCs w:val="24"/>
              </w:rPr>
              <w:t>Finanšu ministrija atbilstoši kompetencei ir izskatījusi Tieslietu ministrijas precizēto Ministru kabineta noteikumu projektu “Mantojuma inventāra saraksta sastādīšanas kārtība” (turpmāk – noteikumu projekts), tā sākotnējās ietekmes novērtējuma ziņojumu (anotāciju) un izziņu par atzinumos sniegtajiem iebildumiem un informē, ka uztur Finanšu ministrijas 2019.gada 25.jūnija atzinuma Nr.12/A-7/2951 3.iebildumu (izziņas par atzinumos sniegtajiem iebildumiem II sadaļas 4.punkts).</w:t>
            </w:r>
          </w:p>
          <w:p w:rsidRPr="00D57323" w:rsidR="00D57323" w:rsidP="00D57323" w:rsidRDefault="00D57323" w14:paraId="05B9574C" w14:textId="77777777">
            <w:pPr>
              <w:spacing w:after="0" w:line="240" w:lineRule="auto"/>
              <w:jc w:val="both"/>
              <w:rPr>
                <w:rFonts w:ascii="Times New Roman" w:hAnsi="Times New Roman" w:cs="Times New Roman"/>
                <w:sz w:val="24"/>
                <w:szCs w:val="24"/>
              </w:rPr>
            </w:pPr>
            <w:r w:rsidRPr="00D57323">
              <w:rPr>
                <w:rFonts w:ascii="Times New Roman" w:hAnsi="Times New Roman" w:cs="Times New Roman"/>
                <w:sz w:val="24"/>
                <w:szCs w:val="24"/>
              </w:rPr>
              <w:t xml:space="preserve">No noteikumu projekta 8.punkta izriet, ka zvērināts tiesu izpildītājs mantojuma inventāra sarakstā iekļauj to mantu, kas norādīta ieinteresētās personas iesniegumā un par kuras esību zvērināts tiesu izpildītājs pārliecinājies dabā vai vecot pārbaudes publiskos reģistros un gadījumā, ja tiek konstatēta ieinteresētās personas iesniegumā nenorādīta manta, arī to iekļauj mantojuma inventāra sarakstā. Noteikumu projekta 16.punkts noteic, ka vienā mantojuma </w:t>
            </w:r>
            <w:r w:rsidRPr="00D57323">
              <w:rPr>
                <w:rFonts w:ascii="Times New Roman" w:hAnsi="Times New Roman" w:cs="Times New Roman"/>
                <w:sz w:val="24"/>
                <w:szCs w:val="24"/>
              </w:rPr>
              <w:lastRenderedPageBreak/>
              <w:t xml:space="preserve">inventāra saraksta sastādīšanas lietā zvērināts tiesu izpildītājs attiecībā uz mantojuma atstājēja mantu, kuru tas konstatējis lietas ietvaros, sastāda tikai vienu mantojuma inventāra sarakstu. Savukārt atbilstoši noteikumu projekta 10.punktam zvērināts tiesu izpildītājs mantojuma inventāra sarakstā neiekļauj mantu, kuras iekļaušanai inventāra sarakstā nepieciešams veikt darbības ārpus tās apgabaltiesas darbības teritorijas, pie kuras viņš pastāv. Par šādu mantu zvērināts tiesu izpildītājs informē ieinteresēto personu, izskaidrojot tai tiesības vērsties pie attiecīgā apgabaltiesā praktizējoša zvērināta tiesu izpildītāja.  </w:t>
            </w:r>
          </w:p>
          <w:p w:rsidRPr="00D57323" w:rsidR="00D57323" w:rsidP="00D57323" w:rsidRDefault="00D57323" w14:paraId="3256AE7D" w14:textId="77777777">
            <w:pPr>
              <w:spacing w:after="0" w:line="240" w:lineRule="auto"/>
              <w:jc w:val="both"/>
              <w:rPr>
                <w:rFonts w:ascii="Times New Roman" w:hAnsi="Times New Roman" w:cs="Times New Roman"/>
                <w:sz w:val="24"/>
                <w:szCs w:val="24"/>
              </w:rPr>
            </w:pPr>
            <w:r w:rsidRPr="00D57323">
              <w:rPr>
                <w:rFonts w:ascii="Times New Roman" w:hAnsi="Times New Roman" w:cs="Times New Roman"/>
                <w:sz w:val="24"/>
                <w:szCs w:val="24"/>
              </w:rPr>
              <w:t>Tādējādi secināms, ka starp minētajiem punktiem pastāv pretrunas, jo no noteikumu projekta 8.un 16.punkta saprotams, ka pēc ieinteresētās personas iesnieguma tiks sastādīts viens mantojuma inventāra saraksts (neatkarīgi no mantas atrašanās vietas), taču no 10.punkta izriet, ka zvērināts tiesu izpildītājs mantojuma inventāra saraksta izveidē darbojas konkrētās apgabaltiesas darbības teritorijā. Līdz ar to lūdzam skaidrot noteikumu projekta 8., 10.un 16.punktu un tos attiecīgi precizēt.</w:t>
            </w:r>
          </w:p>
          <w:p w:rsidRPr="00D57323" w:rsidR="00D57323" w:rsidP="00D57323" w:rsidRDefault="00D57323" w14:paraId="0A26E0D7" w14:textId="01586803">
            <w:pPr>
              <w:spacing w:after="0" w:line="240" w:lineRule="auto"/>
              <w:jc w:val="both"/>
              <w:rPr>
                <w:rFonts w:ascii="Times New Roman" w:hAnsi="Times New Roman" w:cs="Times New Roman"/>
                <w:sz w:val="24"/>
                <w:szCs w:val="24"/>
              </w:rPr>
            </w:pPr>
            <w:r w:rsidRPr="00D57323">
              <w:rPr>
                <w:rFonts w:ascii="Times New Roman" w:hAnsi="Times New Roman" w:cs="Times New Roman"/>
                <w:sz w:val="24"/>
                <w:szCs w:val="24"/>
              </w:rPr>
              <w:t>Tāpat vēršam uzmanību, ka no noteikumu projekta 10.punkt</w:t>
            </w:r>
            <w:r w:rsidR="00062366">
              <w:rPr>
                <w:rFonts w:ascii="Times New Roman" w:hAnsi="Times New Roman" w:cs="Times New Roman"/>
                <w:sz w:val="24"/>
                <w:szCs w:val="24"/>
              </w:rPr>
              <w:t>ā</w:t>
            </w:r>
            <w:r w:rsidRPr="00D57323">
              <w:rPr>
                <w:rFonts w:ascii="Times New Roman" w:hAnsi="Times New Roman" w:cs="Times New Roman"/>
                <w:sz w:val="24"/>
                <w:szCs w:val="24"/>
              </w:rPr>
              <w:t xml:space="preserve"> nav saprotams, kādas darbības ir jāveic ieinteresētajai personai attiecībā uz mantu, kas atrodas cita zvērināta tiesu izpildītāja apgabaltiesas darbības teritorijā, kā arī nav skaidra noteikumu projekta 10.punkta piemērošana kontekstā ar noteikumu projekta </w:t>
            </w:r>
            <w:r w:rsidRPr="00D57323">
              <w:rPr>
                <w:rFonts w:ascii="Times New Roman" w:hAnsi="Times New Roman" w:cs="Times New Roman"/>
                <w:sz w:val="24"/>
                <w:szCs w:val="24"/>
              </w:rPr>
              <w:lastRenderedPageBreak/>
              <w:t>16.punktu – vai citā apgabaltiesas teritorijā praktizējošs zvērināts tiesu izpildītājs varēs papildināt mantojuma inventāra sarakstu? Lūdzam atbilstoši precizēt noteikumu projektu un tā anotāciju, vienlaikus aprakstot tās darbības, kuras ir jāveic ieinteresētajai personai pēc 10.punktā minētās informācijas saņemšanas, lai zvērināts tiesu izpildītājs varētu sastādīt vienu inventāra sarakstu, kurā ir iekļauta informācija par visu mantojuma atstājējam piederējušo mantu neatkarīgi no tās atrašanās teritorijas.</w:t>
            </w:r>
          </w:p>
        </w:tc>
        <w:tc>
          <w:tcPr>
            <w:tcW w:w="2410" w:type="dxa"/>
            <w:tcBorders>
              <w:top w:val="single" w:color="000000" w:sz="6" w:space="0"/>
              <w:left w:val="single" w:color="000000" w:sz="6" w:space="0"/>
              <w:bottom w:val="single" w:color="000000" w:sz="6" w:space="0"/>
              <w:right w:val="single" w:color="000000" w:sz="6" w:space="0"/>
            </w:tcBorders>
          </w:tcPr>
          <w:p w:rsidRPr="004B0109" w:rsidR="00945B7A" w:rsidP="00945B7A" w:rsidRDefault="00945B7A" w14:paraId="108C4DC2" w14:textId="77777777">
            <w:pPr>
              <w:pStyle w:val="naisf"/>
              <w:ind w:firstLine="0"/>
              <w:jc w:val="center"/>
              <w:rPr>
                <w:b/>
              </w:rPr>
            </w:pPr>
            <w:r w:rsidRPr="004B0109">
              <w:rPr>
                <w:b/>
              </w:rPr>
              <w:lastRenderedPageBreak/>
              <w:t>Ņemts vērā</w:t>
            </w:r>
          </w:p>
        </w:tc>
        <w:tc>
          <w:tcPr>
            <w:tcW w:w="3260" w:type="dxa"/>
            <w:tcBorders>
              <w:top w:val="single" w:color="auto" w:sz="4" w:space="0"/>
              <w:left w:val="single" w:color="auto" w:sz="4" w:space="0"/>
              <w:bottom w:val="single" w:color="auto" w:sz="4" w:space="0"/>
            </w:tcBorders>
          </w:tcPr>
          <w:p w:rsidR="00D57323" w:rsidP="00945B7A" w:rsidRDefault="00D57323" w14:paraId="7317C81D" w14:textId="30533774">
            <w:pPr>
              <w:pStyle w:val="naisf"/>
              <w:spacing w:before="0" w:after="0"/>
              <w:ind w:firstLine="284"/>
            </w:pPr>
            <w:r>
              <w:t>Noteikumu projekta 8. punkts:</w:t>
            </w:r>
          </w:p>
          <w:p w:rsidRPr="00D57323" w:rsidR="00D57323" w:rsidP="00945B7A" w:rsidRDefault="005F60E0" w14:paraId="03831D95" w14:textId="3C0102A4">
            <w:pPr>
              <w:pStyle w:val="naisf"/>
              <w:spacing w:before="0" w:after="0"/>
              <w:ind w:firstLine="284"/>
            </w:pPr>
            <w:r>
              <w:t>"</w:t>
            </w:r>
            <w:r w:rsidRPr="00D57323" w:rsidR="00D57323">
              <w:t xml:space="preserve">8. Zvērināts tiesu izpildītājs, </w:t>
            </w:r>
            <w:r w:rsidRPr="00D57323" w:rsidR="00D57323">
              <w:rPr>
                <w:u w:val="single"/>
              </w:rPr>
              <w:t>ievērojot šo noteikumu 10. punktā noteikto ierobežojumu</w:t>
            </w:r>
            <w:r w:rsidRPr="00D57323" w:rsidR="00D57323">
              <w:t xml:space="preserve">, mantojuma inventāra sarakstā iekļauj to mantojuma atstājēja mantu, kas norādīta ieinteresētās personas iesniegumā un par kuras esību zvērināts tiesu izpildītājs pārliecinājies dabā vai veicot pārbaudes publiskos reģistros. Ja zvērināts tiesu izpildītājs konstatē arī citu ieinteresētās personas iesniegumā nenorādītu mantojuma atstājēja mantu, </w:t>
            </w:r>
            <w:r w:rsidRPr="00D57323" w:rsidR="00D57323">
              <w:rPr>
                <w:u w:val="single"/>
              </w:rPr>
              <w:t xml:space="preserve">kuras iekļaušanai </w:t>
            </w:r>
            <w:r>
              <w:rPr>
                <w:u w:val="single"/>
              </w:rPr>
              <w:t xml:space="preserve">mantojuma </w:t>
            </w:r>
            <w:r w:rsidRPr="00D57323" w:rsidR="00D57323">
              <w:rPr>
                <w:u w:val="single"/>
              </w:rPr>
              <w:t>inventāra sarakstā nav nepieciešams veikt darbības ārpus tās apgabaltiesas darbības teritorijas, pie kuras viņš pastāv,</w:t>
            </w:r>
            <w:r w:rsidRPr="00D57323" w:rsidR="00D57323">
              <w:t xml:space="preserve"> to iekļauj mantojuma inventāra sarakstā.</w:t>
            </w:r>
            <w:r>
              <w:t>"</w:t>
            </w:r>
          </w:p>
          <w:p w:rsidR="00D57323" w:rsidP="00D57323" w:rsidRDefault="00D57323" w14:paraId="0463ACA0" w14:textId="395ED4D4">
            <w:pPr>
              <w:pStyle w:val="naisf"/>
              <w:spacing w:before="0" w:after="0"/>
              <w:ind w:firstLine="0"/>
            </w:pPr>
          </w:p>
          <w:p w:rsidRPr="00D57323" w:rsidR="00D57323" w:rsidP="00D57323" w:rsidRDefault="00D57323" w14:paraId="06179812" w14:textId="4CD40F32">
            <w:pPr>
              <w:pStyle w:val="naisf"/>
              <w:spacing w:before="0" w:after="0"/>
              <w:ind w:firstLine="0"/>
            </w:pPr>
            <w:r w:rsidRPr="00D57323">
              <w:t>Noteikumu projekta 10. punkts:</w:t>
            </w:r>
          </w:p>
          <w:p w:rsidRPr="00D57323" w:rsidR="00D57323" w:rsidP="00D57323" w:rsidRDefault="005F60E0" w14:paraId="7E57CE5F" w14:textId="6024FA29">
            <w:pPr>
              <w:pStyle w:val="naisf"/>
              <w:spacing w:before="0" w:after="0"/>
              <w:ind w:firstLine="0"/>
            </w:pPr>
            <w:r>
              <w:t>"</w:t>
            </w:r>
            <w:r w:rsidRPr="00D57323" w:rsidR="00D57323">
              <w:t xml:space="preserve">10. Zvērināts tiesu izpildītājs mantojuma inventāra sarakstā neiekļauj mantu, kuras iekļaušanai </w:t>
            </w:r>
            <w:r>
              <w:t xml:space="preserve">mantojuma </w:t>
            </w:r>
            <w:r w:rsidRPr="00D57323" w:rsidR="00D57323">
              <w:lastRenderedPageBreak/>
              <w:t xml:space="preserve">inventāra sarakstā nepieciešams veikt darbības ārpus tās apgabaltiesas darbības teritorijas, pie kuras viņš pastāv. Par šādu mantu zvērināts tiesu izpildītājs informē ieinteresēto personu, izskaidrojot tiesības </w:t>
            </w:r>
            <w:r w:rsidRPr="00D57323" w:rsidR="00D57323">
              <w:rPr>
                <w:u w:val="single"/>
              </w:rPr>
              <w:t xml:space="preserve">tai vērsties pie zvērināta notāra ar lūgumu uzdot sagatavot </w:t>
            </w:r>
            <w:r>
              <w:rPr>
                <w:u w:val="single"/>
              </w:rPr>
              <w:t xml:space="preserve">mantojuma </w:t>
            </w:r>
            <w:r w:rsidRPr="00D57323" w:rsidR="00D57323">
              <w:rPr>
                <w:u w:val="single"/>
              </w:rPr>
              <w:t>inventāra sarakstu attiecīgā apgabaltiesā praktizējošam zvērinātam tiesu izpildītājam</w:t>
            </w:r>
            <w:r w:rsidRPr="00D57323" w:rsidR="00D57323">
              <w:t>.</w:t>
            </w:r>
            <w:r>
              <w:t>"</w:t>
            </w:r>
          </w:p>
          <w:p w:rsidR="00D57323" w:rsidP="00D57323" w:rsidRDefault="00D57323" w14:paraId="52688991" w14:textId="77777777">
            <w:pPr>
              <w:pStyle w:val="naisf"/>
              <w:spacing w:before="0" w:after="0"/>
              <w:ind w:firstLine="0"/>
            </w:pPr>
          </w:p>
          <w:p w:rsidRPr="004B0109" w:rsidR="00945B7A" w:rsidP="00945B7A" w:rsidRDefault="00945B7A" w14:paraId="718FC10C" w14:textId="29DC52DD">
            <w:pPr>
              <w:pStyle w:val="naisf"/>
              <w:spacing w:before="0" w:after="0"/>
              <w:ind w:firstLine="284"/>
            </w:pPr>
            <w:r w:rsidRPr="004B0109">
              <w:t>Noteikumu projekta 16. punkts:</w:t>
            </w:r>
          </w:p>
          <w:p w:rsidRPr="004B0109" w:rsidR="00945B7A" w:rsidP="00945B7A" w:rsidRDefault="005F60E0" w14:paraId="32EDE4B1" w14:textId="6B3A2638">
            <w:pPr>
              <w:pStyle w:val="naisf"/>
              <w:spacing w:before="0" w:after="0"/>
              <w:ind w:firstLine="284"/>
            </w:pPr>
            <w:r>
              <w:t>"</w:t>
            </w:r>
            <w:r w:rsidRPr="00D57323" w:rsidR="00945B7A">
              <w:t xml:space="preserve">16. Vienā mantojuma </w:t>
            </w:r>
            <w:r w:rsidRPr="00D57323" w:rsidR="00945B7A">
              <w:rPr>
                <w:u w:val="single"/>
              </w:rPr>
              <w:t>inventāra saraksta sastādīšanas</w:t>
            </w:r>
            <w:r w:rsidRPr="00D57323" w:rsidR="00945B7A">
              <w:t xml:space="preserve"> lietā zvērināts tiesu izpildītājs </w:t>
            </w:r>
            <w:r w:rsidRPr="00D57323" w:rsidR="00945B7A">
              <w:rPr>
                <w:u w:val="single"/>
              </w:rPr>
              <w:t>attiecībā uz mantojuma atstājēja mantu, kuru tas</w:t>
            </w:r>
            <w:r w:rsidRPr="00D57323" w:rsidR="00D57323">
              <w:rPr>
                <w:u w:val="single"/>
              </w:rPr>
              <w:t>, ievērojot šo noteikumu 10. punktā noteikto ierobežojumu,</w:t>
            </w:r>
            <w:r w:rsidRPr="004B0109" w:rsidR="00945B7A">
              <w:rPr>
                <w:u w:val="single"/>
              </w:rPr>
              <w:t xml:space="preserve"> konstatējis lietas ietvaros,</w:t>
            </w:r>
            <w:r w:rsidRPr="004B0109" w:rsidR="00945B7A">
              <w:t xml:space="preserve"> sastāda tikai vienu mantojuma inventāra sarakstu. Vienu mantojuma inventāra sarakstu sastāda arī </w:t>
            </w:r>
            <w:r w:rsidR="00980B87">
              <w:t>tad</w:t>
            </w:r>
            <w:r w:rsidRPr="004B0109" w:rsidR="00945B7A">
              <w:t>, ja pie zvērināta tiesu izpildītāja vienas un tās pašas mantojuma lietas ietvaros vēršas vairākas ieinteresētas personas.</w:t>
            </w:r>
            <w:r>
              <w:t>"</w:t>
            </w:r>
          </w:p>
        </w:tc>
      </w:tr>
      <w:tr w:rsidRPr="004B0109" w:rsidR="00062366" w:rsidTr="00710547" w14:paraId="6CE896DD" w14:textId="77777777">
        <w:tc>
          <w:tcPr>
            <w:tcW w:w="593" w:type="dxa"/>
            <w:tcBorders>
              <w:top w:val="single" w:color="auto" w:sz="4" w:space="0"/>
              <w:left w:val="single" w:color="auto" w:sz="4" w:space="0"/>
              <w:bottom w:val="single" w:color="auto" w:sz="4" w:space="0"/>
              <w:right w:val="single" w:color="auto" w:sz="4" w:space="0"/>
            </w:tcBorders>
          </w:tcPr>
          <w:p w:rsidR="00062366" w:rsidP="00945B7A" w:rsidRDefault="00062366" w14:paraId="7CE2F147" w14:textId="130BAB33">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lastRenderedPageBreak/>
              <w:t>8. </w:t>
            </w:r>
          </w:p>
        </w:tc>
        <w:tc>
          <w:tcPr>
            <w:tcW w:w="2977" w:type="dxa"/>
            <w:tcBorders>
              <w:top w:val="single" w:color="000000" w:sz="6" w:space="0"/>
              <w:left w:val="single" w:color="000000" w:sz="6" w:space="0"/>
              <w:bottom w:val="single" w:color="000000" w:sz="6" w:space="0"/>
              <w:right w:val="single" w:color="000000" w:sz="6" w:space="0"/>
            </w:tcBorders>
          </w:tcPr>
          <w:p w:rsidR="00062366" w:rsidP="00945B7A" w:rsidRDefault="00062366" w14:paraId="294F35DE" w14:textId="77777777">
            <w:pPr>
              <w:pStyle w:val="naisf"/>
              <w:spacing w:before="0" w:after="0"/>
              <w:ind w:firstLine="284"/>
            </w:pPr>
          </w:p>
        </w:tc>
        <w:tc>
          <w:tcPr>
            <w:tcW w:w="4961" w:type="dxa"/>
            <w:tcBorders>
              <w:top w:val="single" w:color="000000" w:sz="6" w:space="0"/>
              <w:left w:val="single" w:color="000000" w:sz="6" w:space="0"/>
              <w:bottom w:val="single" w:color="000000" w:sz="6" w:space="0"/>
              <w:right w:val="single" w:color="000000" w:sz="6" w:space="0"/>
            </w:tcBorders>
          </w:tcPr>
          <w:p w:rsidRPr="00D57323" w:rsidR="00062366" w:rsidP="00062366" w:rsidRDefault="00062366" w14:paraId="723B7451" w14:textId="77777777">
            <w:pPr>
              <w:pStyle w:val="naisf"/>
              <w:ind w:firstLine="0"/>
              <w:rPr>
                <w:b/>
                <w:bCs/>
                <w:i/>
                <w:iCs/>
              </w:rPr>
            </w:pPr>
            <w:r w:rsidRPr="00D57323">
              <w:rPr>
                <w:b/>
                <w:bCs/>
                <w:i/>
                <w:iCs/>
              </w:rPr>
              <w:t>Finanšu ministrijas 26.07.2019. vēstule Nr. 10.1-6/7-1/767</w:t>
            </w:r>
          </w:p>
          <w:p w:rsidRPr="004B0109" w:rsidR="00062366" w:rsidP="00945B7A" w:rsidRDefault="00062366" w14:paraId="5ED24FE7" w14:textId="5D36E75E">
            <w:pPr>
              <w:pStyle w:val="naisf"/>
              <w:ind w:firstLine="0"/>
            </w:pPr>
            <w:r>
              <w:t>Anotācijas 4.lapaspusē vārdus “Latvijas Centrālais depozitārijs” aizstāt ar vārdiem “centrālais vērtspapīru depozitārijs” atbilstoši Finanšu instrumentu tirgus likumā lietotajai terminoloģijai no 2017.gada, kad Latvijas centrālais depozitārijs kļuva par centrālo vērtspapīru depozitāriju, kurš pilda visu trīs Baltijas valstu centrālā depozitārija funkcijas.</w:t>
            </w:r>
          </w:p>
        </w:tc>
        <w:tc>
          <w:tcPr>
            <w:tcW w:w="2410" w:type="dxa"/>
            <w:tcBorders>
              <w:top w:val="single" w:color="000000" w:sz="6" w:space="0"/>
              <w:left w:val="single" w:color="000000" w:sz="6" w:space="0"/>
              <w:bottom w:val="single" w:color="000000" w:sz="6" w:space="0"/>
              <w:right w:val="single" w:color="000000" w:sz="6" w:space="0"/>
            </w:tcBorders>
          </w:tcPr>
          <w:p w:rsidRPr="004B0109" w:rsidR="00062366" w:rsidP="00945B7A" w:rsidRDefault="00062366" w14:paraId="45502AFB" w14:textId="2DD4AAFE">
            <w:pPr>
              <w:pStyle w:val="naisf"/>
              <w:ind w:firstLine="0"/>
              <w:jc w:val="center"/>
              <w:rPr>
                <w:b/>
              </w:rPr>
            </w:pPr>
            <w:r>
              <w:rPr>
                <w:b/>
              </w:rPr>
              <w:t>Ņemts vērā</w:t>
            </w:r>
          </w:p>
        </w:tc>
        <w:tc>
          <w:tcPr>
            <w:tcW w:w="3260" w:type="dxa"/>
            <w:tcBorders>
              <w:top w:val="single" w:color="auto" w:sz="4" w:space="0"/>
              <w:left w:val="single" w:color="auto" w:sz="4" w:space="0"/>
              <w:bottom w:val="single" w:color="auto" w:sz="4" w:space="0"/>
            </w:tcBorders>
          </w:tcPr>
          <w:p w:rsidR="00062366" w:rsidP="00945B7A" w:rsidRDefault="00062366" w14:paraId="2F8DC5C3" w14:textId="55063CF9">
            <w:pPr>
              <w:pStyle w:val="naisf"/>
              <w:spacing w:before="0" w:after="0"/>
              <w:ind w:firstLine="284"/>
            </w:pPr>
            <w:r>
              <w:t>Precizēta noteikumu projekta anotācija.</w:t>
            </w:r>
          </w:p>
        </w:tc>
      </w:tr>
    </w:tbl>
    <w:p w:rsidRPr="00945B7A" w:rsidR="00945B7A" w:rsidP="00945B7A" w:rsidRDefault="00945B7A" w14:paraId="187ABEFD" w14:textId="77777777">
      <w:pPr>
        <w:spacing w:after="0" w:line="240" w:lineRule="auto"/>
        <w:jc w:val="both"/>
        <w:rPr>
          <w:rFonts w:ascii="Times New Roman" w:hAnsi="Times New Roman" w:eastAsia="Times New Roman" w:cs="Times New Roman"/>
          <w:sz w:val="24"/>
          <w:szCs w:val="20"/>
          <w:lang w:eastAsia="lv-LV"/>
        </w:rPr>
      </w:pPr>
    </w:p>
    <w:tbl>
      <w:tblPr>
        <w:tblW w:w="14175" w:type="dxa"/>
        <w:tblInd w:w="108" w:type="dxa"/>
        <w:tblLayout w:type="fixed"/>
        <w:tblLook w:val="00A0" w:firstRow="1" w:lastRow="0" w:firstColumn="1" w:lastColumn="0" w:noHBand="0" w:noVBand="0"/>
      </w:tblPr>
      <w:tblGrid>
        <w:gridCol w:w="3119"/>
        <w:gridCol w:w="2663"/>
        <w:gridCol w:w="5730"/>
        <w:gridCol w:w="2663"/>
      </w:tblGrid>
      <w:tr w:rsidRPr="00945B7A" w:rsidR="00945B7A" w:rsidTr="002578D1" w14:paraId="18F98F1E" w14:textId="77777777">
        <w:tc>
          <w:tcPr>
            <w:tcW w:w="5782" w:type="dxa"/>
            <w:gridSpan w:val="2"/>
          </w:tcPr>
          <w:p w:rsidRPr="00945B7A" w:rsidR="00945B7A" w:rsidP="00945B7A" w:rsidRDefault="00945B7A" w14:paraId="37FDB31F" w14:textId="77777777">
            <w:pPr>
              <w:spacing w:before="75" w:after="75" w:line="240" w:lineRule="auto"/>
              <w:jc w:val="both"/>
              <w:rPr>
                <w:rFonts w:ascii="Times New Roman" w:hAnsi="Times New Roman" w:eastAsia="Times New Roman" w:cs="Times New Roman"/>
                <w:sz w:val="24"/>
                <w:szCs w:val="20"/>
                <w:lang w:eastAsia="lv-LV"/>
              </w:rPr>
            </w:pPr>
            <w:r w:rsidRPr="00945B7A">
              <w:rPr>
                <w:rFonts w:ascii="Times New Roman" w:hAnsi="Times New Roman" w:eastAsia="Times New Roman" w:cs="Times New Roman"/>
                <w:sz w:val="24"/>
                <w:szCs w:val="20"/>
                <w:lang w:eastAsia="lv-LV"/>
              </w:rPr>
              <w:t>Atbildīgā amatpersona</w:t>
            </w:r>
          </w:p>
        </w:tc>
        <w:tc>
          <w:tcPr>
            <w:tcW w:w="8393" w:type="dxa"/>
            <w:gridSpan w:val="2"/>
          </w:tcPr>
          <w:p w:rsidRPr="00945B7A" w:rsidR="00945B7A" w:rsidP="00945B7A" w:rsidRDefault="00945B7A" w14:paraId="1ACD837B" w14:textId="77777777">
            <w:pPr>
              <w:spacing w:before="75" w:after="75" w:line="240" w:lineRule="auto"/>
              <w:jc w:val="both"/>
              <w:rPr>
                <w:rFonts w:ascii="Times New Roman" w:hAnsi="Times New Roman" w:eastAsia="Times New Roman" w:cs="Times New Roman"/>
                <w:sz w:val="24"/>
                <w:szCs w:val="20"/>
                <w:lang w:eastAsia="lv-LV"/>
              </w:rPr>
            </w:pPr>
          </w:p>
          <w:p w:rsidRPr="00945B7A" w:rsidR="00945B7A" w:rsidP="00945B7A" w:rsidRDefault="00945B7A" w14:paraId="5939C9A4" w14:textId="77777777">
            <w:pPr>
              <w:spacing w:after="0" w:line="240" w:lineRule="auto"/>
              <w:rPr>
                <w:rFonts w:ascii="Times New Roman" w:hAnsi="Times New Roman" w:eastAsia="Times New Roman" w:cs="Times New Roman"/>
                <w:sz w:val="24"/>
                <w:szCs w:val="24"/>
                <w:lang w:eastAsia="lv-LV"/>
              </w:rPr>
            </w:pPr>
          </w:p>
        </w:tc>
      </w:tr>
      <w:tr w:rsidRPr="00945B7A" w:rsidR="00945B7A" w:rsidTr="002578D1" w14:paraId="75CD0D59" w14:textId="77777777">
        <w:trPr>
          <w:gridAfter w:val="1"/>
          <w:wAfter w:w="2663" w:type="dxa"/>
        </w:trPr>
        <w:tc>
          <w:tcPr>
            <w:tcW w:w="3119" w:type="dxa"/>
          </w:tcPr>
          <w:p w:rsidRPr="00945B7A" w:rsidR="00945B7A" w:rsidP="00945B7A" w:rsidRDefault="00945B7A" w14:paraId="38F43303" w14:textId="77777777">
            <w:pPr>
              <w:spacing w:before="75" w:after="75" w:line="240" w:lineRule="auto"/>
              <w:ind w:firstLine="375"/>
              <w:jc w:val="both"/>
              <w:rPr>
                <w:rFonts w:ascii="Times New Roman" w:hAnsi="Times New Roman" w:eastAsia="Times New Roman" w:cs="Times New Roman"/>
                <w:sz w:val="24"/>
                <w:szCs w:val="20"/>
                <w:lang w:eastAsia="lv-LV"/>
              </w:rPr>
            </w:pPr>
          </w:p>
        </w:tc>
        <w:tc>
          <w:tcPr>
            <w:tcW w:w="8393" w:type="dxa"/>
            <w:gridSpan w:val="2"/>
            <w:tcBorders>
              <w:top w:val="single" w:color="000000" w:sz="6" w:space="0"/>
            </w:tcBorders>
          </w:tcPr>
          <w:p w:rsidRPr="00945B7A" w:rsidR="00945B7A" w:rsidP="00945B7A" w:rsidRDefault="00945B7A" w14:paraId="0B55CE03" w14:textId="77777777">
            <w:pPr>
              <w:spacing w:before="75" w:after="75" w:line="240" w:lineRule="auto"/>
              <w:ind w:firstLine="375"/>
              <w:jc w:val="both"/>
              <w:rPr>
                <w:rFonts w:ascii="Times New Roman" w:hAnsi="Times New Roman" w:eastAsia="Times New Roman" w:cs="Times New Roman"/>
                <w:sz w:val="24"/>
                <w:szCs w:val="20"/>
                <w:lang w:eastAsia="lv-LV"/>
              </w:rPr>
            </w:pPr>
            <w:r w:rsidRPr="00945B7A">
              <w:rPr>
                <w:rFonts w:ascii="Times New Roman" w:hAnsi="Times New Roman" w:eastAsia="Times New Roman" w:cs="Times New Roman"/>
                <w:sz w:val="24"/>
                <w:szCs w:val="20"/>
                <w:lang w:eastAsia="lv-LV"/>
              </w:rPr>
              <w:t>(paraksts)</w:t>
            </w:r>
          </w:p>
        </w:tc>
      </w:tr>
    </w:tbl>
    <w:p w:rsidRPr="00945B7A" w:rsidR="00945B7A" w:rsidP="00945B7A" w:rsidRDefault="00945B7A" w14:paraId="5685FB61" w14:textId="77777777">
      <w:pPr>
        <w:spacing w:after="0" w:line="240" w:lineRule="auto"/>
        <w:jc w:val="both"/>
        <w:rPr>
          <w:rFonts w:ascii="Times New Roman" w:hAnsi="Times New Roman" w:eastAsia="Times New Roman" w:cs="Times New Roman"/>
          <w:sz w:val="24"/>
          <w:szCs w:val="20"/>
          <w:lang w:eastAsia="lv-LV"/>
        </w:rPr>
      </w:pPr>
      <w:r w:rsidRPr="00945B7A">
        <w:rPr>
          <w:rFonts w:ascii="Times New Roman" w:hAnsi="Times New Roman" w:eastAsia="Times New Roman" w:cs="Times New Roman"/>
          <w:sz w:val="24"/>
          <w:szCs w:val="20"/>
          <w:lang w:eastAsia="lv-LV"/>
        </w:rPr>
        <w:t>Inita Ilgaža</w:t>
      </w:r>
    </w:p>
    <w:p w:rsidRPr="00945B7A" w:rsidR="00945B7A" w:rsidP="00945B7A" w:rsidRDefault="00945B7A" w14:paraId="6D098F61" w14:textId="77777777">
      <w:pPr>
        <w:spacing w:after="0" w:line="240" w:lineRule="auto"/>
        <w:jc w:val="both"/>
        <w:rPr>
          <w:rFonts w:ascii="Times New Roman" w:hAnsi="Times New Roman" w:eastAsia="Times New Roman" w:cs="Times New Roman"/>
          <w:sz w:val="24"/>
          <w:szCs w:val="20"/>
          <w:lang w:eastAsia="lv-LV"/>
        </w:rPr>
      </w:pPr>
      <w:r w:rsidRPr="00945B7A">
        <w:rPr>
          <w:rFonts w:ascii="Times New Roman" w:hAnsi="Times New Roman" w:eastAsia="Times New Roman" w:cs="Times New Roman"/>
          <w:sz w:val="24"/>
          <w:szCs w:val="20"/>
          <w:lang w:eastAsia="lv-LV"/>
        </w:rPr>
        <w:t>Tieslietu ministrijas</w:t>
      </w:r>
    </w:p>
    <w:p w:rsidRPr="00945B7A" w:rsidR="00945B7A" w:rsidP="00945B7A" w:rsidRDefault="00945B7A" w14:paraId="22CE5F98" w14:textId="77777777">
      <w:pPr>
        <w:spacing w:after="0" w:line="240" w:lineRule="auto"/>
        <w:jc w:val="both"/>
        <w:rPr>
          <w:rFonts w:ascii="Times New Roman" w:hAnsi="Times New Roman" w:eastAsia="Times New Roman" w:cs="Times New Roman"/>
          <w:sz w:val="24"/>
          <w:szCs w:val="20"/>
          <w:lang w:eastAsia="lv-LV"/>
        </w:rPr>
      </w:pPr>
      <w:r w:rsidRPr="00945B7A">
        <w:rPr>
          <w:rFonts w:ascii="Times New Roman" w:hAnsi="Times New Roman" w:eastAsia="Times New Roman" w:cs="Times New Roman"/>
          <w:sz w:val="24"/>
          <w:szCs w:val="20"/>
          <w:lang w:eastAsia="lv-LV"/>
        </w:rPr>
        <w:t>Tiesu sistēmas politikas departamenta direktore</w:t>
      </w:r>
    </w:p>
    <w:p w:rsidRPr="00945B7A" w:rsidR="00945B7A" w:rsidP="00945B7A" w:rsidRDefault="00945B7A" w14:paraId="62361EA9" w14:textId="77777777">
      <w:pPr>
        <w:spacing w:after="0" w:line="240" w:lineRule="auto"/>
        <w:jc w:val="both"/>
        <w:rPr>
          <w:rFonts w:ascii="Times New Roman" w:hAnsi="Times New Roman" w:eastAsia="Times New Roman" w:cs="Times New Roman"/>
          <w:sz w:val="24"/>
          <w:szCs w:val="20"/>
          <w:lang w:eastAsia="lv-LV"/>
        </w:rPr>
      </w:pPr>
      <w:proofErr w:type="spellStart"/>
      <w:r w:rsidRPr="00945B7A">
        <w:rPr>
          <w:rFonts w:ascii="Times New Roman" w:hAnsi="Times New Roman" w:eastAsia="Times New Roman" w:cs="Times New Roman"/>
          <w:sz w:val="24"/>
          <w:szCs w:val="20"/>
          <w:lang w:eastAsia="lv-LV"/>
        </w:rPr>
        <w:t>Tālr</w:t>
      </w:r>
      <w:proofErr w:type="spellEnd"/>
      <w:r w:rsidRPr="00945B7A">
        <w:rPr>
          <w:rFonts w:ascii="Times New Roman" w:hAnsi="Times New Roman" w:eastAsia="Times New Roman" w:cs="Times New Roman"/>
          <w:sz w:val="24"/>
          <w:szCs w:val="20"/>
          <w:lang w:eastAsia="lv-LV"/>
        </w:rPr>
        <w:t>: 67036814</w:t>
      </w:r>
    </w:p>
    <w:p w:rsidRPr="00216EFB" w:rsidR="00945B7A" w:rsidP="00216EFB" w:rsidRDefault="00945B7A" w14:paraId="19592787" w14:textId="38DC03A1">
      <w:pPr>
        <w:spacing w:after="0" w:line="240" w:lineRule="auto"/>
        <w:jc w:val="both"/>
        <w:rPr>
          <w:rFonts w:ascii="Times New Roman" w:hAnsi="Times New Roman" w:eastAsia="Times New Roman" w:cs="Times New Roman"/>
          <w:sz w:val="24"/>
          <w:szCs w:val="20"/>
          <w:lang w:eastAsia="lv-LV"/>
        </w:rPr>
      </w:pPr>
      <w:r w:rsidRPr="00945B7A">
        <w:rPr>
          <w:rFonts w:ascii="Times New Roman" w:hAnsi="Times New Roman" w:eastAsia="Times New Roman" w:cs="Times New Roman"/>
          <w:sz w:val="24"/>
          <w:szCs w:val="20"/>
          <w:lang w:eastAsia="lv-LV"/>
        </w:rPr>
        <w:t>Inita.Ilgaza@tm.gov.lv</w:t>
      </w:r>
    </w:p>
    <w:sectPr w:rsidRPr="00216EFB" w:rsidR="00945B7A" w:rsidSect="00BB581E">
      <w:headerReference w:type="even" r:id="rId7"/>
      <w:headerReference w:type="default" r:id="rId8"/>
      <w:footerReference w:type="default" r:id="rId9"/>
      <w:footerReference w:type="first" r:id="rId10"/>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896AE" w14:textId="77777777" w:rsidR="004B0109" w:rsidRDefault="004B0109" w:rsidP="004B0109">
      <w:pPr>
        <w:spacing w:after="0" w:line="240" w:lineRule="auto"/>
      </w:pPr>
      <w:r>
        <w:separator/>
      </w:r>
    </w:p>
  </w:endnote>
  <w:endnote w:type="continuationSeparator" w:id="0">
    <w:p w14:paraId="523174C8" w14:textId="77777777" w:rsidR="004B0109" w:rsidRDefault="004B0109" w:rsidP="004B0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C44E2" w14:textId="5F3C1524" w:rsidR="009077AF" w:rsidRPr="004B0109" w:rsidRDefault="001A265F" w:rsidP="001139F6">
    <w:pPr>
      <w:pStyle w:val="Kjene"/>
      <w:rPr>
        <w:rFonts w:ascii="Times New Roman" w:hAnsi="Times New Roman" w:cs="Times New Roman"/>
      </w:rPr>
    </w:pPr>
    <w:r w:rsidRPr="004B0109">
      <w:rPr>
        <w:rFonts w:ascii="Times New Roman" w:hAnsi="Times New Roman" w:cs="Times New Roman"/>
        <w:sz w:val="20"/>
        <w:szCs w:val="20"/>
      </w:rPr>
      <w:t>TMIzz_</w:t>
    </w:r>
    <w:r w:rsidR="00216EFB">
      <w:rPr>
        <w:rFonts w:ascii="Times New Roman" w:hAnsi="Times New Roman" w:cs="Times New Roman"/>
        <w:sz w:val="20"/>
        <w:szCs w:val="20"/>
      </w:rPr>
      <w:t>0</w:t>
    </w:r>
    <w:r w:rsidR="00980B87">
      <w:rPr>
        <w:rFonts w:ascii="Times New Roman" w:hAnsi="Times New Roman" w:cs="Times New Roman"/>
        <w:sz w:val="20"/>
        <w:szCs w:val="20"/>
      </w:rPr>
      <w:t>9</w:t>
    </w:r>
    <w:r w:rsidR="00784551">
      <w:rPr>
        <w:rFonts w:ascii="Times New Roman" w:hAnsi="Times New Roman" w:cs="Times New Roman"/>
        <w:sz w:val="20"/>
        <w:szCs w:val="20"/>
      </w:rPr>
      <w:t>10</w:t>
    </w:r>
    <w:r w:rsidR="00784551" w:rsidRPr="004B0109">
      <w:rPr>
        <w:rFonts w:ascii="Times New Roman" w:hAnsi="Times New Roman" w:cs="Times New Roman"/>
        <w:sz w:val="20"/>
        <w:szCs w:val="20"/>
      </w:rPr>
      <w:t>19</w:t>
    </w:r>
    <w:r w:rsidRPr="004B0109">
      <w:rPr>
        <w:rFonts w:ascii="Times New Roman" w:hAnsi="Times New Roman" w:cs="Times New Roman"/>
        <w:sz w:val="20"/>
        <w:szCs w:val="20"/>
      </w:rPr>
      <w:t>_</w:t>
    </w:r>
    <w:r w:rsidR="004B0109">
      <w:rPr>
        <w:rFonts w:ascii="Times New Roman" w:hAnsi="Times New Roman" w:cs="Times New Roman"/>
        <w:sz w:val="20"/>
        <w:szCs w:val="20"/>
      </w:rPr>
      <w:t>inventars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C8FC5" w14:textId="01116B44" w:rsidR="009077AF" w:rsidRPr="004B0109" w:rsidRDefault="001A265F" w:rsidP="00306619">
    <w:pPr>
      <w:pStyle w:val="Kjene"/>
      <w:rPr>
        <w:rFonts w:ascii="Times New Roman" w:hAnsi="Times New Roman" w:cs="Times New Roman"/>
        <w:sz w:val="20"/>
        <w:szCs w:val="20"/>
      </w:rPr>
    </w:pPr>
    <w:r w:rsidRPr="004B0109">
      <w:rPr>
        <w:rFonts w:ascii="Times New Roman" w:hAnsi="Times New Roman" w:cs="Times New Roman"/>
        <w:sz w:val="20"/>
        <w:szCs w:val="20"/>
      </w:rPr>
      <w:t>TM</w:t>
    </w:r>
    <w:r w:rsidR="00133652">
      <w:rPr>
        <w:rFonts w:ascii="Times New Roman" w:hAnsi="Times New Roman" w:cs="Times New Roman"/>
        <w:sz w:val="20"/>
        <w:szCs w:val="20"/>
      </w:rPr>
      <w:t>i</w:t>
    </w:r>
    <w:r w:rsidRPr="004B0109">
      <w:rPr>
        <w:rFonts w:ascii="Times New Roman" w:hAnsi="Times New Roman" w:cs="Times New Roman"/>
        <w:sz w:val="20"/>
        <w:szCs w:val="20"/>
      </w:rPr>
      <w:t>zz_</w:t>
    </w:r>
    <w:r w:rsidR="00133652">
      <w:rPr>
        <w:rFonts w:ascii="Times New Roman" w:hAnsi="Times New Roman" w:cs="Times New Roman"/>
        <w:sz w:val="20"/>
        <w:szCs w:val="20"/>
      </w:rPr>
      <w:t>0</w:t>
    </w:r>
    <w:r w:rsidR="00980B87">
      <w:rPr>
        <w:rFonts w:ascii="Times New Roman" w:hAnsi="Times New Roman" w:cs="Times New Roman"/>
        <w:sz w:val="20"/>
        <w:szCs w:val="20"/>
      </w:rPr>
      <w:t>9</w:t>
    </w:r>
    <w:r w:rsidR="00133652">
      <w:rPr>
        <w:rFonts w:ascii="Times New Roman" w:hAnsi="Times New Roman" w:cs="Times New Roman"/>
        <w:sz w:val="20"/>
        <w:szCs w:val="20"/>
      </w:rPr>
      <w:t>10</w:t>
    </w:r>
    <w:r w:rsidR="00133652" w:rsidRPr="004B0109">
      <w:rPr>
        <w:rFonts w:ascii="Times New Roman" w:hAnsi="Times New Roman" w:cs="Times New Roman"/>
        <w:sz w:val="20"/>
        <w:szCs w:val="20"/>
      </w:rPr>
      <w:t>19</w:t>
    </w:r>
    <w:r w:rsidRPr="004B0109">
      <w:rPr>
        <w:rFonts w:ascii="Times New Roman" w:hAnsi="Times New Roman" w:cs="Times New Roman"/>
        <w:sz w:val="20"/>
        <w:szCs w:val="20"/>
      </w:rPr>
      <w:t>_</w:t>
    </w:r>
    <w:r w:rsidR="004B0109">
      <w:rPr>
        <w:rFonts w:ascii="Times New Roman" w:hAnsi="Times New Roman" w:cs="Times New Roman"/>
        <w:sz w:val="20"/>
        <w:szCs w:val="20"/>
      </w:rPr>
      <w:t>inventars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62F5D" w14:textId="77777777" w:rsidR="004B0109" w:rsidRDefault="004B0109" w:rsidP="004B0109">
      <w:pPr>
        <w:spacing w:after="0" w:line="240" w:lineRule="auto"/>
      </w:pPr>
      <w:r>
        <w:separator/>
      </w:r>
    </w:p>
  </w:footnote>
  <w:footnote w:type="continuationSeparator" w:id="0">
    <w:p w14:paraId="51D6A225" w14:textId="77777777" w:rsidR="004B0109" w:rsidRDefault="004B0109" w:rsidP="004B01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7AF" w:rsidP="00364BB6" w:rsidRDefault="001A265F" w14:paraId="6B74E1C4"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077AF" w:rsidRDefault="00980B87" w14:paraId="7E060001"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9E41C2" w:rsidR="009077AF" w:rsidP="00364BB6" w:rsidRDefault="001A265F" w14:paraId="42F2DE0B" w14:textId="77777777">
    <w:pPr>
      <w:pStyle w:val="Galvene"/>
      <w:framePr w:wrap="around" w:hAnchor="margin" w:vAnchor="text" w:xAlign="center" w:y="1"/>
      <w:rPr>
        <w:rStyle w:val="Lappusesnumurs"/>
        <w:rFonts w:ascii="Times New Roman" w:hAnsi="Times New Roman"/>
        <w:sz w:val="24"/>
        <w:szCs w:val="24"/>
      </w:rPr>
    </w:pPr>
    <w:r w:rsidRPr="009E41C2">
      <w:rPr>
        <w:rStyle w:val="Lappusesnumurs"/>
        <w:rFonts w:ascii="Times New Roman" w:hAnsi="Times New Roman"/>
        <w:sz w:val="24"/>
        <w:szCs w:val="24"/>
      </w:rPr>
      <w:fldChar w:fldCharType="begin"/>
    </w:r>
    <w:r w:rsidRPr="009E41C2">
      <w:rPr>
        <w:rStyle w:val="Lappusesnumurs"/>
        <w:rFonts w:ascii="Times New Roman" w:hAnsi="Times New Roman"/>
        <w:sz w:val="24"/>
        <w:szCs w:val="24"/>
      </w:rPr>
      <w:instrText xml:space="preserve">PAGE  </w:instrText>
    </w:r>
    <w:r w:rsidRPr="009E41C2">
      <w:rPr>
        <w:rStyle w:val="Lappusesnumurs"/>
        <w:rFonts w:ascii="Times New Roman" w:hAnsi="Times New Roman"/>
        <w:sz w:val="24"/>
        <w:szCs w:val="24"/>
      </w:rPr>
      <w:fldChar w:fldCharType="separate"/>
    </w:r>
    <w:r w:rsidRPr="009E41C2">
      <w:rPr>
        <w:rStyle w:val="Lappusesnumurs"/>
        <w:rFonts w:ascii="Times New Roman" w:hAnsi="Times New Roman"/>
        <w:noProof/>
        <w:sz w:val="24"/>
        <w:szCs w:val="24"/>
      </w:rPr>
      <w:t>2</w:t>
    </w:r>
    <w:r w:rsidRPr="009E41C2">
      <w:rPr>
        <w:rStyle w:val="Lappusesnumurs"/>
        <w:rFonts w:ascii="Times New Roman" w:hAnsi="Times New Roman"/>
        <w:sz w:val="24"/>
        <w:szCs w:val="24"/>
      </w:rPr>
      <w:fldChar w:fldCharType="end"/>
    </w:r>
  </w:p>
  <w:p w:rsidR="009077AF" w:rsidRDefault="00980B87" w14:paraId="7A3D2CA6"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9D1A12"/>
    <w:multiLevelType w:val="hybridMultilevel"/>
    <w:tmpl w:val="B6DCC2CC"/>
    <w:lvl w:ilvl="0" w:tplc="9DFC4B0E">
      <w:start w:val="1"/>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B7A"/>
    <w:rsid w:val="00031877"/>
    <w:rsid w:val="00062366"/>
    <w:rsid w:val="00133652"/>
    <w:rsid w:val="001A265F"/>
    <w:rsid w:val="00216EFB"/>
    <w:rsid w:val="00325FD5"/>
    <w:rsid w:val="004B0109"/>
    <w:rsid w:val="005F60E0"/>
    <w:rsid w:val="006216A3"/>
    <w:rsid w:val="00766BF6"/>
    <w:rsid w:val="00784551"/>
    <w:rsid w:val="00945B7A"/>
    <w:rsid w:val="00980B87"/>
    <w:rsid w:val="009A2F09"/>
    <w:rsid w:val="009E41C2"/>
    <w:rsid w:val="00B04786"/>
    <w:rsid w:val="00D57323"/>
    <w:rsid w:val="00E81F96"/>
    <w:rsid w:val="00F80E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B868C"/>
  <w15:chartTrackingRefBased/>
  <w15:docId w15:val="{FDCCD3B5-994E-46FC-B80D-0BEDC9F8C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45B7A"/>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945B7A"/>
  </w:style>
  <w:style w:type="paragraph" w:styleId="Kjene">
    <w:name w:val="footer"/>
    <w:basedOn w:val="Parasts"/>
    <w:link w:val="KjeneRakstz"/>
    <w:uiPriority w:val="99"/>
    <w:unhideWhenUsed/>
    <w:rsid w:val="00945B7A"/>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945B7A"/>
  </w:style>
  <w:style w:type="character" w:styleId="Lappusesnumurs">
    <w:name w:val="page number"/>
    <w:uiPriority w:val="99"/>
    <w:rsid w:val="00945B7A"/>
    <w:rPr>
      <w:rFonts w:cs="Times New Roman"/>
    </w:rPr>
  </w:style>
  <w:style w:type="paragraph" w:customStyle="1" w:styleId="naisnod">
    <w:name w:val="naisnod"/>
    <w:basedOn w:val="Parasts"/>
    <w:uiPriority w:val="99"/>
    <w:rsid w:val="00945B7A"/>
    <w:pPr>
      <w:spacing w:before="150" w:after="150" w:line="240" w:lineRule="auto"/>
      <w:jc w:val="center"/>
    </w:pPr>
    <w:rPr>
      <w:rFonts w:ascii="Times New Roman" w:eastAsia="Times New Roman" w:hAnsi="Times New Roman" w:cs="Times New Roman"/>
      <w:b/>
      <w:bCs/>
      <w:sz w:val="24"/>
      <w:szCs w:val="24"/>
      <w:lang w:eastAsia="lv-LV"/>
    </w:rPr>
  </w:style>
  <w:style w:type="character" w:styleId="Hipersaite">
    <w:name w:val="Hyperlink"/>
    <w:uiPriority w:val="99"/>
    <w:semiHidden/>
    <w:rsid w:val="00945B7A"/>
    <w:rPr>
      <w:rFonts w:cs="Times New Roman"/>
      <w:color w:val="0000FF"/>
      <w:u w:val="single"/>
    </w:rPr>
  </w:style>
  <w:style w:type="paragraph" w:customStyle="1" w:styleId="naisc">
    <w:name w:val="naisc"/>
    <w:basedOn w:val="Parasts"/>
    <w:rsid w:val="00945B7A"/>
    <w:pPr>
      <w:spacing w:before="75" w:after="75" w:line="240" w:lineRule="auto"/>
      <w:jc w:val="center"/>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945B7A"/>
    <w:pPr>
      <w:spacing w:after="0" w:line="240" w:lineRule="auto"/>
      <w:ind w:left="720"/>
    </w:pPr>
    <w:rPr>
      <w:rFonts w:ascii="Times New Roman" w:eastAsia="Times New Roman" w:hAnsi="Times New Roman" w:cs="Times New Roman"/>
      <w:sz w:val="24"/>
      <w:szCs w:val="24"/>
      <w:lang w:eastAsia="lv-LV"/>
    </w:rPr>
  </w:style>
  <w:style w:type="paragraph" w:customStyle="1" w:styleId="a">
    <w:basedOn w:val="Parasts"/>
    <w:next w:val="Paraststmeklis"/>
    <w:uiPriority w:val="99"/>
    <w:rsid w:val="00945B7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945B7A"/>
    <w:rPr>
      <w:rFonts w:ascii="Times New Roman" w:hAnsi="Times New Roman" w:cs="Times New Roman"/>
      <w:sz w:val="24"/>
      <w:szCs w:val="24"/>
    </w:rPr>
  </w:style>
  <w:style w:type="paragraph" w:customStyle="1" w:styleId="naisf">
    <w:name w:val="naisf"/>
    <w:basedOn w:val="Parasts"/>
    <w:rsid w:val="00945B7A"/>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13365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33652"/>
    <w:rPr>
      <w:rFonts w:ascii="Segoe UI" w:hAnsi="Segoe UI" w:cs="Segoe UI"/>
      <w:sz w:val="18"/>
      <w:szCs w:val="18"/>
    </w:rPr>
  </w:style>
  <w:style w:type="character" w:styleId="Komentraatsauce">
    <w:name w:val="annotation reference"/>
    <w:basedOn w:val="Noklusjumarindkopasfonts"/>
    <w:uiPriority w:val="99"/>
    <w:semiHidden/>
    <w:unhideWhenUsed/>
    <w:rsid w:val="00133652"/>
    <w:rPr>
      <w:sz w:val="16"/>
      <w:szCs w:val="16"/>
    </w:rPr>
  </w:style>
  <w:style w:type="paragraph" w:styleId="Komentrateksts">
    <w:name w:val="annotation text"/>
    <w:basedOn w:val="Parasts"/>
    <w:link w:val="KomentratekstsRakstz"/>
    <w:uiPriority w:val="99"/>
    <w:semiHidden/>
    <w:unhideWhenUsed/>
    <w:rsid w:val="0013365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33652"/>
    <w:rPr>
      <w:sz w:val="20"/>
      <w:szCs w:val="20"/>
    </w:rPr>
  </w:style>
  <w:style w:type="paragraph" w:styleId="Komentratma">
    <w:name w:val="annotation subject"/>
    <w:basedOn w:val="Komentrateksts"/>
    <w:next w:val="Komentrateksts"/>
    <w:link w:val="KomentratmaRakstz"/>
    <w:uiPriority w:val="99"/>
    <w:semiHidden/>
    <w:unhideWhenUsed/>
    <w:rsid w:val="00133652"/>
    <w:rPr>
      <w:b/>
      <w:bCs/>
    </w:rPr>
  </w:style>
  <w:style w:type="character" w:customStyle="1" w:styleId="KomentratmaRakstz">
    <w:name w:val="Komentāra tēma Rakstz."/>
    <w:basedOn w:val="KomentratekstsRakstz"/>
    <w:link w:val="Komentratma"/>
    <w:uiPriority w:val="99"/>
    <w:semiHidden/>
    <w:rsid w:val="001336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885623">
      <w:bodyDiv w:val="1"/>
      <w:marLeft w:val="0"/>
      <w:marRight w:val="0"/>
      <w:marTop w:val="0"/>
      <w:marBottom w:val="0"/>
      <w:divBdr>
        <w:top w:val="none" w:sz="0" w:space="0" w:color="auto"/>
        <w:left w:val="none" w:sz="0" w:space="0" w:color="auto"/>
        <w:bottom w:val="none" w:sz="0" w:space="0" w:color="auto"/>
        <w:right w:val="none" w:sz="0" w:space="0" w:color="auto"/>
      </w:divBdr>
    </w:div>
    <w:div w:id="71161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14645</Words>
  <Characters>8349</Characters>
  <Application>Microsoft Office Word</Application>
  <DocSecurity>0</DocSecurity>
  <Lines>69</Lines>
  <Paragraphs>45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Mantojuma inventāra saraksta sastādīšanas kārtība</vt:lpstr>
      <vt:lpstr>Mantojuma inventāra saraksta sastādīšanas kārtība</vt:lpstr>
    </vt:vector>
  </TitlesOfParts>
  <Company>Tieslietu ministrija</Company>
  <LinksUpToDate>false</LinksUpToDate>
  <CharactersWithSpaces>22949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Mantojuma inventāra saraksta sastādīšanas kārtība</dc:title>
  <dc:subject>Izziņa par atzinumos sniegtajiem iebildumiem</dc:subject>
  <dc:creator>Evija Timpare</dc:creator>
  <cp:keywords/>
  <dc:description>67036829, evija.timpare@tm.gov.lv</dc:description>
  <cp:lastModifiedBy>Lelde Stepanova</cp:lastModifiedBy>
  <cp:revision>3</cp:revision>
  <dcterms:created xsi:type="dcterms:W3CDTF">2019-10-07T13:10:00Z</dcterms:created>
  <dcterms:modified xsi:type="dcterms:W3CDTF">2019-10-09T07:49:00Z</dcterms:modified>
</cp:coreProperties>
</file>