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A5877" w14:textId="77777777" w:rsidR="0031397D" w:rsidRDefault="00B8063D" w:rsidP="0031397D">
      <w:pPr>
        <w:jc w:val="center"/>
        <w:outlineLvl w:val="2"/>
        <w:rPr>
          <w:b/>
          <w:bCs/>
        </w:rPr>
      </w:pPr>
      <w:bookmarkStart w:id="0" w:name="OLE_LINK1"/>
      <w:bookmarkStart w:id="1" w:name="OLE_LINK2"/>
      <w:r>
        <w:rPr>
          <w:b/>
          <w:bCs/>
        </w:rPr>
        <w:t>Ministru kabineta n</w:t>
      </w:r>
      <w:r w:rsidR="007218F3">
        <w:rPr>
          <w:b/>
          <w:bCs/>
        </w:rPr>
        <w:t>oteikumu projekta</w:t>
      </w:r>
    </w:p>
    <w:p w14:paraId="57F5F743" w14:textId="6100B2FB" w:rsidR="00DF70E2" w:rsidRPr="00D1101E" w:rsidRDefault="005028C2" w:rsidP="0031397D">
      <w:pPr>
        <w:jc w:val="center"/>
        <w:outlineLvl w:val="2"/>
        <w:rPr>
          <w:b/>
        </w:rPr>
      </w:pPr>
      <w:r>
        <w:rPr>
          <w:b/>
          <w:bCs/>
        </w:rPr>
        <w:t xml:space="preserve"> </w:t>
      </w:r>
      <w:r w:rsidR="00BD7E3E">
        <w:rPr>
          <w:b/>
          <w:bCs/>
        </w:rPr>
        <w:t>“Grozījumi</w:t>
      </w:r>
      <w:r w:rsidR="00E21F65" w:rsidRPr="00E21F65">
        <w:rPr>
          <w:b/>
          <w:bCs/>
        </w:rPr>
        <w:t xml:space="preserve"> Ministru kabineta 2016. gada 7. jūnija noteikumos Nr.</w:t>
      </w:r>
      <w:r w:rsidR="008D6FF0">
        <w:rPr>
          <w:b/>
          <w:bCs/>
        </w:rPr>
        <w:t> </w:t>
      </w:r>
      <w:r w:rsidR="00E21F65" w:rsidRPr="00E21F65">
        <w:rPr>
          <w:b/>
          <w:bCs/>
        </w:rPr>
        <w:t>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rsidR="00E21F65" w:rsidRPr="00E21F65">
        <w:rPr>
          <w:b/>
        </w:rPr>
        <w:t xml:space="preserve"> sākotnējās ietekmes novērtējuma </w:t>
      </w:r>
      <w:smartTag w:uri="schemas-tilde-lv/tildestengine" w:element="veidnes">
        <w:smartTagPr>
          <w:attr w:name="text" w:val="ziņojums"/>
          <w:attr w:name="baseform" w:val="ziņojums"/>
          <w:attr w:name="id" w:val="-1"/>
        </w:smartTagPr>
        <w:r w:rsidR="00E21F65" w:rsidRPr="00E21F65">
          <w:rPr>
            <w:b/>
          </w:rPr>
          <w:t>ziņojums</w:t>
        </w:r>
      </w:smartTag>
      <w:r w:rsidR="00E21F65" w:rsidRPr="00E21F65">
        <w:rPr>
          <w:b/>
        </w:rPr>
        <w:t xml:space="preserve"> (anotācija)</w:t>
      </w:r>
    </w:p>
    <w:tbl>
      <w:tblPr>
        <w:tblpPr w:leftFromText="180" w:rightFromText="180" w:vertAnchor="text" w:horzAnchor="margin" w:tblpXSpec="center" w:tblpY="14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4"/>
        <w:gridCol w:w="6092"/>
      </w:tblGrid>
      <w:tr w:rsidR="00DC1E8D" w:rsidRPr="00D1101E" w14:paraId="57F5F745" w14:textId="77777777" w:rsidTr="00F7679B">
        <w:trPr>
          <w:trHeight w:val="419"/>
        </w:trPr>
        <w:tc>
          <w:tcPr>
            <w:tcW w:w="9081" w:type="dxa"/>
            <w:gridSpan w:val="2"/>
            <w:vAlign w:val="center"/>
          </w:tcPr>
          <w:p w14:paraId="57F5F744" w14:textId="77777777" w:rsidR="00DC1E8D" w:rsidRPr="00D1101E" w:rsidRDefault="00DC1E8D" w:rsidP="00F7679B">
            <w:pPr>
              <w:pStyle w:val="naisnod"/>
              <w:spacing w:before="0" w:after="0"/>
              <w:ind w:right="57"/>
            </w:pPr>
            <w:r w:rsidRPr="00D1101E">
              <w:t>Tiesību akta projekta anotācijas kopsavilkums</w:t>
            </w:r>
          </w:p>
        </w:tc>
      </w:tr>
      <w:tr w:rsidR="00C96B7D" w:rsidRPr="00D1101E" w14:paraId="57F5F74A" w14:textId="77777777" w:rsidTr="00F7679B">
        <w:trPr>
          <w:trHeight w:val="415"/>
        </w:trPr>
        <w:tc>
          <w:tcPr>
            <w:tcW w:w="3255" w:type="dxa"/>
          </w:tcPr>
          <w:p w14:paraId="57F5F747" w14:textId="24391D11" w:rsidR="00C96B7D" w:rsidRPr="006C0C81" w:rsidRDefault="00C96B7D" w:rsidP="0031397D">
            <w:pPr>
              <w:pStyle w:val="naiskr"/>
              <w:spacing w:before="0" w:after="0"/>
              <w:ind w:left="57" w:right="57"/>
            </w:pPr>
            <w:r w:rsidRPr="00D1101E">
              <w:t>Mērķis, risinājums un projekta spēkā stāšanās laiks (500 zīmes bez atstarpēm)</w:t>
            </w:r>
          </w:p>
        </w:tc>
        <w:tc>
          <w:tcPr>
            <w:tcW w:w="5826" w:type="dxa"/>
          </w:tcPr>
          <w:p w14:paraId="57F5F748" w14:textId="77777777" w:rsidR="00455FA7" w:rsidRDefault="00455FA7" w:rsidP="00124D15">
            <w:pPr>
              <w:pStyle w:val="naislab"/>
              <w:spacing w:before="0" w:after="0"/>
              <w:ind w:right="180" w:firstLine="138"/>
              <w:jc w:val="both"/>
            </w:pPr>
          </w:p>
          <w:p w14:paraId="57F5F749" w14:textId="77777777" w:rsidR="008B54ED" w:rsidRPr="00D1101E" w:rsidRDefault="008B54ED" w:rsidP="00124D15">
            <w:pPr>
              <w:pStyle w:val="naislab"/>
              <w:spacing w:before="0" w:after="0"/>
              <w:ind w:right="180" w:firstLine="138"/>
              <w:jc w:val="both"/>
            </w:pPr>
            <w:r>
              <w:t>Projekts šo jomu neskar.</w:t>
            </w:r>
          </w:p>
        </w:tc>
      </w:tr>
    </w:tbl>
    <w:p w14:paraId="57F5F74C" w14:textId="3E1CE3DA" w:rsidR="00DC1E8D" w:rsidRPr="00211DF0" w:rsidRDefault="00DC1E8D" w:rsidP="00211DF0">
      <w:pPr>
        <w:tabs>
          <w:tab w:val="left" w:pos="1791"/>
        </w:tabs>
      </w:pPr>
    </w:p>
    <w:tbl>
      <w:tblPr>
        <w:tblpPr w:leftFromText="180" w:rightFromText="180" w:vertAnchor="text" w:horzAnchor="margin" w:tblpXSpec="center" w:tblpY="149"/>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014"/>
        <w:gridCol w:w="6116"/>
      </w:tblGrid>
      <w:tr w:rsidR="00093832" w:rsidRPr="00D1101E" w14:paraId="57F5F74E" w14:textId="77777777" w:rsidTr="00116C85">
        <w:trPr>
          <w:trHeight w:val="419"/>
        </w:trPr>
        <w:tc>
          <w:tcPr>
            <w:tcW w:w="5000" w:type="pct"/>
            <w:gridSpan w:val="3"/>
            <w:vAlign w:val="center"/>
          </w:tcPr>
          <w:bookmarkEnd w:id="0"/>
          <w:bookmarkEnd w:id="1"/>
          <w:p w14:paraId="57F5F74D" w14:textId="77777777" w:rsidR="00093832" w:rsidRPr="00D1101E" w:rsidRDefault="00093832" w:rsidP="00D316FB">
            <w:pPr>
              <w:pStyle w:val="naisnod"/>
              <w:spacing w:before="0" w:after="0"/>
              <w:ind w:left="57" w:right="140"/>
            </w:pPr>
            <w:r w:rsidRPr="00D1101E">
              <w:t>I.</w:t>
            </w:r>
            <w:r w:rsidR="00F1700C">
              <w:t> </w:t>
            </w:r>
            <w:r w:rsidRPr="00D1101E">
              <w:t>Tiesību akta projekta izstrādes nepieciešamība</w:t>
            </w:r>
          </w:p>
        </w:tc>
      </w:tr>
      <w:tr w:rsidR="00093832" w:rsidRPr="00D1101E" w14:paraId="57F5F753" w14:textId="77777777" w:rsidTr="00116C85">
        <w:trPr>
          <w:trHeight w:val="415"/>
        </w:trPr>
        <w:tc>
          <w:tcPr>
            <w:tcW w:w="223" w:type="pct"/>
          </w:tcPr>
          <w:p w14:paraId="57F5F74F" w14:textId="77777777" w:rsidR="00093832" w:rsidRPr="00D1101E" w:rsidRDefault="00093832" w:rsidP="00D316FB">
            <w:pPr>
              <w:pStyle w:val="naiskr"/>
              <w:spacing w:before="0" w:after="0"/>
              <w:ind w:left="57" w:right="140"/>
              <w:jc w:val="center"/>
            </w:pPr>
            <w:r w:rsidRPr="00D1101E">
              <w:t>1.</w:t>
            </w:r>
          </w:p>
        </w:tc>
        <w:tc>
          <w:tcPr>
            <w:tcW w:w="1577" w:type="pct"/>
          </w:tcPr>
          <w:p w14:paraId="57F5F750" w14:textId="77777777" w:rsidR="00093832" w:rsidRPr="00D1101E" w:rsidRDefault="00093832" w:rsidP="00D316FB">
            <w:pPr>
              <w:pStyle w:val="naiskr"/>
              <w:spacing w:before="0" w:after="0"/>
              <w:ind w:left="57" w:right="140"/>
            </w:pPr>
            <w:r w:rsidRPr="00D1101E">
              <w:t>Pamatojums</w:t>
            </w:r>
          </w:p>
        </w:tc>
        <w:tc>
          <w:tcPr>
            <w:tcW w:w="3199" w:type="pct"/>
          </w:tcPr>
          <w:p w14:paraId="57F5F751" w14:textId="77777777" w:rsidR="00384129" w:rsidRDefault="00800559" w:rsidP="0061434C">
            <w:pPr>
              <w:pStyle w:val="naislab"/>
              <w:spacing w:before="0" w:after="0"/>
              <w:ind w:right="140"/>
              <w:jc w:val="both"/>
              <w:rPr>
                <w:shd w:val="clear" w:color="auto" w:fill="FFFFFF"/>
              </w:rPr>
            </w:pPr>
            <w:r>
              <w:rPr>
                <w:color w:val="000000"/>
              </w:rPr>
              <w:t xml:space="preserve">Ministru kabineta noteikumu projekts </w:t>
            </w:r>
            <w:r w:rsidR="001A2E91">
              <w:rPr>
                <w:color w:val="000000"/>
              </w:rPr>
              <w:t>“Grozījumi</w:t>
            </w:r>
            <w:r w:rsidRPr="00124D15">
              <w:rPr>
                <w:color w:val="000000"/>
              </w:rPr>
              <w:t xml:space="preserve"> Ministru kabineta 2016. gada 7. jūnija noteikumos Nr. 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r>
              <w:rPr>
                <w:color w:val="000000"/>
              </w:rPr>
              <w:t xml:space="preserve"> (turpmāk </w:t>
            </w:r>
            <w:r>
              <w:rPr>
                <w:color w:val="000000"/>
              </w:rPr>
              <w:noBreakHyphen/>
              <w:t xml:space="preserve"> </w:t>
            </w:r>
            <w:r w:rsidR="006351FA">
              <w:rPr>
                <w:color w:val="000000"/>
              </w:rPr>
              <w:t>Noteikumu projekts</w:t>
            </w:r>
            <w:r>
              <w:rPr>
                <w:color w:val="000000"/>
              </w:rPr>
              <w:t>)</w:t>
            </w:r>
            <w:r w:rsidR="006351FA">
              <w:rPr>
                <w:color w:val="000000"/>
              </w:rPr>
              <w:t xml:space="preserve"> izstrādāts </w:t>
            </w:r>
            <w:r w:rsidR="008B54ED">
              <w:rPr>
                <w:color w:val="000000"/>
              </w:rPr>
              <w:t>pēc Vides aizsardzības un re</w:t>
            </w:r>
            <w:r w:rsidR="0061434C">
              <w:rPr>
                <w:color w:val="000000"/>
              </w:rPr>
              <w:t xml:space="preserve">ģionālās attīstības ministrijas (turpmāk – Ministrija) </w:t>
            </w:r>
            <w:r w:rsidR="008B54ED">
              <w:rPr>
                <w:color w:val="000000"/>
              </w:rPr>
              <w:t>iniciat</w:t>
            </w:r>
            <w:r>
              <w:rPr>
                <w:color w:val="000000"/>
              </w:rPr>
              <w:t>īvas</w:t>
            </w:r>
            <w:r w:rsidR="008B54ED">
              <w:rPr>
                <w:color w:val="000000"/>
              </w:rPr>
              <w:t xml:space="preserve">, lai Latvijas normatīvajā regulējumā ienestu Eiropas Savienības </w:t>
            </w:r>
            <w:r w:rsidR="00431093">
              <w:rPr>
                <w:color w:val="000000"/>
              </w:rPr>
              <w:t>(turpmāk – ES)</w:t>
            </w:r>
            <w:r w:rsidR="008E2968">
              <w:rPr>
                <w:color w:val="000000"/>
              </w:rPr>
              <w:t xml:space="preserve"> </w:t>
            </w:r>
            <w:r w:rsidR="008B54ED">
              <w:rPr>
                <w:color w:val="000000"/>
              </w:rPr>
              <w:t xml:space="preserve">normatīvā regulējuma </w:t>
            </w:r>
            <w:r w:rsidR="00B232CD">
              <w:rPr>
                <w:color w:val="000000"/>
              </w:rPr>
              <w:t xml:space="preserve">izmaiņas, </w:t>
            </w:r>
            <w:r w:rsidR="00042F77">
              <w:rPr>
                <w:color w:val="000000"/>
              </w:rPr>
              <w:t>precizējot</w:t>
            </w:r>
            <w:r w:rsidR="00B232CD">
              <w:rPr>
                <w:color w:val="000000"/>
              </w:rPr>
              <w:t xml:space="preserve"> atsauci uz </w:t>
            </w:r>
            <w:r w:rsidR="00B232CD" w:rsidRPr="00363445">
              <w:rPr>
                <w:shd w:val="clear" w:color="auto" w:fill="FFFFFF"/>
              </w:rPr>
              <w:t xml:space="preserve">Komisijas 2013. gada 18. decembra Regulas (ES) Nr. 1408/2013 par Līguma par Eiropas Savienības darbību 107. un 108. panta piemērošanu </w:t>
            </w:r>
            <w:r w:rsidR="00B232CD" w:rsidRPr="00363445">
              <w:rPr>
                <w:i/>
                <w:shd w:val="clear" w:color="auto" w:fill="FFFFFF"/>
              </w:rPr>
              <w:t>de minimis</w:t>
            </w:r>
            <w:r w:rsidR="00B232CD" w:rsidRPr="00363445">
              <w:rPr>
                <w:shd w:val="clear" w:color="auto" w:fill="FFFFFF"/>
              </w:rPr>
              <w:t xml:space="preserve"> atbalstam lauksaimniecības nozarē </w:t>
            </w:r>
            <w:r w:rsidR="00CC2384">
              <w:rPr>
                <w:shd w:val="clear" w:color="auto" w:fill="FFFFFF"/>
              </w:rPr>
              <w:t>(turpmāk – Regula Nr. </w:t>
            </w:r>
            <w:r w:rsidR="00CC2384" w:rsidRPr="00363445">
              <w:rPr>
                <w:shd w:val="clear" w:color="auto" w:fill="FFFFFF"/>
              </w:rPr>
              <w:t>1408/2013</w:t>
            </w:r>
            <w:r w:rsidR="000149F0">
              <w:rPr>
                <w:shd w:val="clear" w:color="auto" w:fill="FFFFFF"/>
              </w:rPr>
              <w:t>) 3. panta 3.a </w:t>
            </w:r>
            <w:r w:rsidR="00CC2384">
              <w:rPr>
                <w:shd w:val="clear" w:color="auto" w:fill="FFFFFF"/>
              </w:rPr>
              <w:t>punktu.</w:t>
            </w:r>
          </w:p>
          <w:p w14:paraId="57F5F752" w14:textId="77777777" w:rsidR="00C44292" w:rsidRPr="000149F0" w:rsidRDefault="00C44292" w:rsidP="0061434C">
            <w:pPr>
              <w:pStyle w:val="naislab"/>
              <w:spacing w:before="0" w:after="0"/>
              <w:ind w:right="140"/>
              <w:jc w:val="both"/>
              <w:rPr>
                <w:shd w:val="clear" w:color="auto" w:fill="FFFFFF"/>
              </w:rPr>
            </w:pPr>
            <w:r w:rsidRPr="000C37A0">
              <w:t xml:space="preserve">Ministru kabineta 2019. gada 13. septembra </w:t>
            </w:r>
            <w:r>
              <w:t>ārkārtas sēdes protokola Nr. 41 1§ 20. punkts.</w:t>
            </w:r>
          </w:p>
        </w:tc>
      </w:tr>
      <w:tr w:rsidR="00314AD5" w:rsidRPr="00D1101E" w14:paraId="57F5F762" w14:textId="77777777" w:rsidTr="00116C85">
        <w:trPr>
          <w:trHeight w:val="472"/>
        </w:trPr>
        <w:tc>
          <w:tcPr>
            <w:tcW w:w="223" w:type="pct"/>
          </w:tcPr>
          <w:p w14:paraId="57F5F754" w14:textId="77777777" w:rsidR="00093832" w:rsidRPr="00D1101E" w:rsidRDefault="00093832" w:rsidP="00D316FB">
            <w:pPr>
              <w:pStyle w:val="naiskr"/>
              <w:spacing w:before="0" w:after="0"/>
              <w:ind w:left="57" w:right="140"/>
              <w:jc w:val="center"/>
            </w:pPr>
            <w:r w:rsidRPr="00D1101E">
              <w:t>2.</w:t>
            </w:r>
          </w:p>
        </w:tc>
        <w:tc>
          <w:tcPr>
            <w:tcW w:w="1577" w:type="pct"/>
          </w:tcPr>
          <w:p w14:paraId="57F5F755" w14:textId="77777777" w:rsidR="006159C2" w:rsidRPr="00D1101E" w:rsidRDefault="00093832" w:rsidP="00F1700C">
            <w:pPr>
              <w:pStyle w:val="naiskr"/>
              <w:tabs>
                <w:tab w:val="left" w:pos="170"/>
              </w:tabs>
              <w:spacing w:before="0" w:after="0"/>
              <w:ind w:left="57" w:right="140"/>
            </w:pPr>
            <w:r w:rsidRPr="00D1101E">
              <w:t>Pašreizējā situācija un problēmas, kuru risināšanai tiesību akta projekts izstrādāts, tiesiskā regulējuma mērķis un būtība</w:t>
            </w:r>
          </w:p>
          <w:p w14:paraId="57F5F756" w14:textId="72DF3ACC" w:rsidR="00093832" w:rsidRPr="00D1101E" w:rsidRDefault="0031397D" w:rsidP="0031397D">
            <w:pPr>
              <w:tabs>
                <w:tab w:val="left" w:pos="900"/>
              </w:tabs>
              <w:ind w:right="140"/>
            </w:pPr>
            <w:r>
              <w:tab/>
            </w:r>
          </w:p>
        </w:tc>
        <w:tc>
          <w:tcPr>
            <w:tcW w:w="3199" w:type="pct"/>
          </w:tcPr>
          <w:p w14:paraId="57F5F757" w14:textId="77777777" w:rsidR="00B977CA" w:rsidRDefault="006A3B92" w:rsidP="001A2E91">
            <w:pPr>
              <w:jc w:val="both"/>
              <w:rPr>
                <w:shd w:val="clear" w:color="auto" w:fill="FFFFFF"/>
              </w:rPr>
            </w:pPr>
            <w:r w:rsidRPr="00363445">
              <w:t>Spēkā esošo</w:t>
            </w:r>
            <w:r w:rsidR="00186A61" w:rsidRPr="00363445">
              <w:t xml:space="preserve"> M</w:t>
            </w:r>
            <w:r w:rsidR="00BF1014" w:rsidRPr="00363445">
              <w:t>inistru kabineta 201</w:t>
            </w:r>
            <w:r w:rsidR="00204AEA" w:rsidRPr="00363445">
              <w:t>6.</w:t>
            </w:r>
            <w:r w:rsidR="00124228" w:rsidRPr="00363445">
              <w:t> </w:t>
            </w:r>
            <w:r w:rsidR="00204AEA" w:rsidRPr="00363445">
              <w:t xml:space="preserve">gada </w:t>
            </w:r>
            <w:r w:rsidR="00124228" w:rsidRPr="00363445">
              <w:t>7. </w:t>
            </w:r>
            <w:r w:rsidRPr="00363445">
              <w:t>jūnija noteikumu</w:t>
            </w:r>
            <w:r w:rsidR="00204AEA" w:rsidRPr="00363445">
              <w:t xml:space="preserve"> Nr.</w:t>
            </w:r>
            <w:r w:rsidR="0070731A" w:rsidRPr="00363445">
              <w:t> </w:t>
            </w:r>
            <w:r w:rsidR="00204AEA" w:rsidRPr="00363445">
              <w:t>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 (turpmāk – MK noteikumi Nr.</w:t>
            </w:r>
            <w:r w:rsidR="0070731A" w:rsidRPr="00363445">
              <w:t> </w:t>
            </w:r>
            <w:r w:rsidR="00204AEA" w:rsidRPr="00363445">
              <w:t xml:space="preserve">353) </w:t>
            </w:r>
            <w:r w:rsidRPr="00363445">
              <w:t>39.2. apakšpunkts no</w:t>
            </w:r>
            <w:r w:rsidR="008B54ED">
              <w:t>teic</w:t>
            </w:r>
            <w:r w:rsidRPr="00363445">
              <w:t>, ka atbalstu pretendentam piešķir</w:t>
            </w:r>
            <w:r w:rsidR="00431093">
              <w:t>,</w:t>
            </w:r>
            <w:r w:rsidRPr="00363445">
              <w:t xml:space="preserve"> ievērojot </w:t>
            </w:r>
            <w:r w:rsidRPr="00363445">
              <w:rPr>
                <w:shd w:val="clear" w:color="auto" w:fill="FFFFFF"/>
              </w:rPr>
              <w:t xml:space="preserve">Komisijas 2013. gada 18. decembra Regulas (ES) Nr. 1408/2013 par Līguma par Eiropas Savienības darbību 107. un 108. panta piemērošanu </w:t>
            </w:r>
            <w:r w:rsidRPr="00363445">
              <w:rPr>
                <w:i/>
                <w:shd w:val="clear" w:color="auto" w:fill="FFFFFF"/>
              </w:rPr>
              <w:t>de minimis</w:t>
            </w:r>
            <w:r w:rsidRPr="00363445">
              <w:rPr>
                <w:shd w:val="clear" w:color="auto" w:fill="FFFFFF"/>
              </w:rPr>
              <w:t xml:space="preserve"> atbalstam lauksaimniecības nozarē 3. panta 2.</w:t>
            </w:r>
            <w:r w:rsidR="000E593C">
              <w:rPr>
                <w:shd w:val="clear" w:color="auto" w:fill="FFFFFF"/>
              </w:rPr>
              <w:t> </w:t>
            </w:r>
            <w:r w:rsidRPr="00363445">
              <w:rPr>
                <w:shd w:val="clear" w:color="auto" w:fill="FFFFFF"/>
              </w:rPr>
              <w:t>punktā noteikto</w:t>
            </w:r>
            <w:r w:rsidR="00431093">
              <w:rPr>
                <w:shd w:val="clear" w:color="auto" w:fill="FFFFFF"/>
              </w:rPr>
              <w:t xml:space="preserve"> </w:t>
            </w:r>
            <w:r w:rsidRPr="00363445">
              <w:rPr>
                <w:i/>
                <w:iCs/>
                <w:shd w:val="clear" w:color="auto" w:fill="FFFFFF"/>
              </w:rPr>
              <w:t>de minimis</w:t>
            </w:r>
            <w:r w:rsidR="00431093">
              <w:rPr>
                <w:i/>
                <w:iCs/>
                <w:shd w:val="clear" w:color="auto" w:fill="FFFFFF"/>
              </w:rPr>
              <w:t xml:space="preserve"> </w:t>
            </w:r>
            <w:r w:rsidRPr="00363445">
              <w:rPr>
                <w:shd w:val="clear" w:color="auto" w:fill="FFFFFF"/>
              </w:rPr>
              <w:t>atbalsta apmēru</w:t>
            </w:r>
            <w:r w:rsidR="00384129">
              <w:rPr>
                <w:shd w:val="clear" w:color="auto" w:fill="FFFFFF"/>
              </w:rPr>
              <w:t xml:space="preserve"> (turpmāk – Regula </w:t>
            </w:r>
            <w:r w:rsidR="00384129" w:rsidRPr="00363445">
              <w:rPr>
                <w:shd w:val="clear" w:color="auto" w:fill="FFFFFF"/>
              </w:rPr>
              <w:t>Nr. 1408/2013</w:t>
            </w:r>
            <w:r w:rsidR="00384129">
              <w:rPr>
                <w:shd w:val="clear" w:color="auto" w:fill="FFFFFF"/>
              </w:rPr>
              <w:t>)</w:t>
            </w:r>
            <w:r w:rsidRPr="00363445">
              <w:rPr>
                <w:shd w:val="clear" w:color="auto" w:fill="FFFFFF"/>
              </w:rPr>
              <w:t>.</w:t>
            </w:r>
          </w:p>
          <w:p w14:paraId="57F5F758" w14:textId="77777777" w:rsidR="000765C2" w:rsidRDefault="000765C2" w:rsidP="00536292">
            <w:pPr>
              <w:jc w:val="both"/>
              <w:rPr>
                <w:shd w:val="clear" w:color="auto" w:fill="FFFFFF"/>
              </w:rPr>
            </w:pPr>
          </w:p>
          <w:p w14:paraId="57F5F759" w14:textId="77777777" w:rsidR="002E68A1" w:rsidRDefault="000765C2" w:rsidP="001A2E91">
            <w:pPr>
              <w:jc w:val="both"/>
              <w:rPr>
                <w:shd w:val="clear" w:color="auto" w:fill="FFFFFF"/>
              </w:rPr>
            </w:pPr>
            <w:r w:rsidRPr="00E21F65">
              <w:rPr>
                <w:shd w:val="clear" w:color="auto" w:fill="FFFFFF"/>
              </w:rPr>
              <w:t xml:space="preserve">Savukārt, </w:t>
            </w:r>
            <w:r w:rsidRPr="00E21F65">
              <w:t>2019. gada 14.</w:t>
            </w:r>
            <w:r w:rsidR="00431093">
              <w:t> </w:t>
            </w:r>
            <w:r w:rsidRPr="00E21F65">
              <w:t>martā stājās spēkā Regula Nr.</w:t>
            </w:r>
            <w:r w:rsidR="00431093">
              <w:t> </w:t>
            </w:r>
            <w:r w:rsidRPr="00E21F65">
              <w:t xml:space="preserve">2019/316, kas </w:t>
            </w:r>
            <w:r w:rsidR="002E68A1" w:rsidRPr="00733C71">
              <w:rPr>
                <w:shd w:val="clear" w:color="auto" w:fill="FFFFFF"/>
              </w:rPr>
              <w:t>paredz</w:t>
            </w:r>
            <w:r w:rsidR="00431093">
              <w:rPr>
                <w:shd w:val="clear" w:color="auto" w:fill="FFFFFF"/>
              </w:rPr>
              <w:t xml:space="preserve"> grozījumus Regulas </w:t>
            </w:r>
            <w:r w:rsidR="00431093" w:rsidRPr="00363445">
              <w:rPr>
                <w:shd w:val="clear" w:color="auto" w:fill="FFFFFF"/>
              </w:rPr>
              <w:t>Nr. 1408/2013</w:t>
            </w:r>
            <w:r w:rsidR="00431093">
              <w:rPr>
                <w:shd w:val="clear" w:color="auto" w:fill="FFFFFF"/>
              </w:rPr>
              <w:t xml:space="preserve"> 3. pantā</w:t>
            </w:r>
            <w:r w:rsidR="00D03F57">
              <w:rPr>
                <w:shd w:val="clear" w:color="auto" w:fill="FFFFFF"/>
              </w:rPr>
              <w:t>, to izsakot jaunā redakcijā, kas secīgi noteic</w:t>
            </w:r>
            <w:r w:rsidR="002E68A1" w:rsidRPr="00733C71">
              <w:rPr>
                <w:shd w:val="clear" w:color="auto" w:fill="FFFFFF"/>
              </w:rPr>
              <w:t>, ka:</w:t>
            </w:r>
          </w:p>
          <w:p w14:paraId="57F5F75A" w14:textId="77777777" w:rsidR="002E68A1" w:rsidRPr="002E68A1" w:rsidRDefault="00D03F57" w:rsidP="002E68A1">
            <w:pPr>
              <w:jc w:val="both"/>
            </w:pPr>
            <w:r>
              <w:lastRenderedPageBreak/>
              <w:t>1</w:t>
            </w:r>
            <w:r w:rsidR="002E68A1" w:rsidRPr="00C339E4">
              <w:t>.</w:t>
            </w:r>
            <w:r w:rsidR="00431093">
              <w:t> </w:t>
            </w:r>
            <w:r w:rsidR="002E68A1" w:rsidRPr="00C339E4">
              <w:t>K</w:t>
            </w:r>
            <w:r w:rsidR="002E68A1" w:rsidRPr="002E68A1">
              <w:t xml:space="preserve">opējais </w:t>
            </w:r>
            <w:r w:rsidR="002E68A1" w:rsidRPr="00FA4D5C">
              <w:rPr>
                <w:i/>
              </w:rPr>
              <w:t>de minimis</w:t>
            </w:r>
            <w:r w:rsidR="002E68A1" w:rsidRPr="002E68A1">
              <w:t xml:space="preserve"> atbalsts, ko viena </w:t>
            </w:r>
            <w:r w:rsidR="00431093">
              <w:t xml:space="preserve">ES </w:t>
            </w:r>
            <w:r w:rsidR="002E68A1" w:rsidRPr="002E68A1">
              <w:t xml:space="preserve">dalībvalsts piešķīrusi vienam vienotam uzņēmumam, jebkurā trīs fiskālo gadu periodā nepārsniedz </w:t>
            </w:r>
            <w:r w:rsidR="00F0214B">
              <w:rPr>
                <w:b/>
              </w:rPr>
              <w:t>20</w:t>
            </w:r>
            <w:r w:rsidR="00431093">
              <w:rPr>
                <w:b/>
              </w:rPr>
              <w:t> </w:t>
            </w:r>
            <w:r w:rsidR="002E68A1" w:rsidRPr="002E68A1">
              <w:rPr>
                <w:b/>
              </w:rPr>
              <w:t>000</w:t>
            </w:r>
            <w:r w:rsidR="00431093">
              <w:rPr>
                <w:b/>
              </w:rPr>
              <w:t> </w:t>
            </w:r>
            <w:r w:rsidR="00431093" w:rsidRPr="00FA4D5C">
              <w:rPr>
                <w:b/>
                <w:i/>
              </w:rPr>
              <w:t>euro</w:t>
            </w:r>
            <w:r w:rsidR="002E68A1" w:rsidRPr="002E68A1">
              <w:t>.</w:t>
            </w:r>
          </w:p>
          <w:p w14:paraId="57F5F75B" w14:textId="77777777" w:rsidR="002E68A1" w:rsidRPr="002E68A1" w:rsidRDefault="00D03F57" w:rsidP="002E68A1">
            <w:pPr>
              <w:jc w:val="both"/>
            </w:pPr>
            <w:r>
              <w:t>2. </w:t>
            </w:r>
            <w:r w:rsidR="002E68A1" w:rsidRPr="002E68A1">
              <w:t xml:space="preserve">Atkāpjoties no </w:t>
            </w:r>
            <w:r w:rsidRPr="00292E4C">
              <w:rPr>
                <w:color w:val="000000"/>
              </w:rPr>
              <w:t>Regula</w:t>
            </w:r>
            <w:r>
              <w:rPr>
                <w:color w:val="000000"/>
              </w:rPr>
              <w:t>s</w:t>
            </w:r>
            <w:r w:rsidRPr="00292E4C">
              <w:rPr>
                <w:color w:val="000000"/>
              </w:rPr>
              <w:t xml:space="preserve"> Nr. 2019/316</w:t>
            </w:r>
            <w:r>
              <w:rPr>
                <w:color w:val="000000"/>
              </w:rPr>
              <w:t xml:space="preserve"> </w:t>
            </w:r>
            <w:r w:rsidR="002E68A1" w:rsidRPr="002E68A1">
              <w:t>2. un 3.</w:t>
            </w:r>
            <w:r>
              <w:t> </w:t>
            </w:r>
            <w:r w:rsidR="002E68A1" w:rsidRPr="002E68A1">
              <w:t>punkt</w:t>
            </w:r>
            <w:r>
              <w:t>ā noteiktajam robežslieksnim</w:t>
            </w:r>
            <w:r w:rsidR="002E68A1" w:rsidRPr="002E68A1">
              <w:t xml:space="preserve">, </w:t>
            </w:r>
            <w:r>
              <w:t xml:space="preserve">ES </w:t>
            </w:r>
            <w:r w:rsidR="002E68A1" w:rsidRPr="002E68A1">
              <w:t xml:space="preserve">dalībvalsts var nolemt, ka vienam vienotam uzņēmumam piešķirtā </w:t>
            </w:r>
            <w:r w:rsidR="002E68A1" w:rsidRPr="00C339E4">
              <w:rPr>
                <w:i/>
              </w:rPr>
              <w:t>de minimis</w:t>
            </w:r>
            <w:r w:rsidR="002E68A1" w:rsidRPr="002E68A1">
              <w:t xml:space="preserve"> atbalsta kopējā summa jebkurā trīs fiskālo gadu periodā nepārsniedz </w:t>
            </w:r>
            <w:r w:rsidR="00F0214B">
              <w:rPr>
                <w:b/>
              </w:rPr>
              <w:t>25</w:t>
            </w:r>
            <w:r>
              <w:rPr>
                <w:b/>
              </w:rPr>
              <w:t> </w:t>
            </w:r>
            <w:r w:rsidR="002E68A1" w:rsidRPr="002E68A1">
              <w:rPr>
                <w:b/>
              </w:rPr>
              <w:t>000</w:t>
            </w:r>
            <w:r>
              <w:rPr>
                <w:b/>
              </w:rPr>
              <w:t> </w:t>
            </w:r>
            <w:r w:rsidRPr="00FA4D5C">
              <w:rPr>
                <w:b/>
                <w:i/>
              </w:rPr>
              <w:t>euro</w:t>
            </w:r>
            <w:r w:rsidR="002E68A1" w:rsidRPr="002E68A1">
              <w:t xml:space="preserve"> un ka piešķirtais </w:t>
            </w:r>
            <w:r w:rsidR="002E68A1" w:rsidRPr="00C339E4">
              <w:rPr>
                <w:i/>
              </w:rPr>
              <w:t>de minimis</w:t>
            </w:r>
            <w:r w:rsidR="002E68A1" w:rsidRPr="002E68A1">
              <w:t xml:space="preserve"> atbalsta kopējais kumulatīvais apjoms jebkurā trīs fiskālo gadu periodā nepārsniedz </w:t>
            </w:r>
            <w:r>
              <w:rPr>
                <w:shd w:val="clear" w:color="auto" w:fill="FFFFFF"/>
              </w:rPr>
              <w:t xml:space="preserve">Regulas </w:t>
            </w:r>
            <w:r w:rsidRPr="00363445">
              <w:rPr>
                <w:shd w:val="clear" w:color="auto" w:fill="FFFFFF"/>
              </w:rPr>
              <w:t>Nr. 1408/2013</w:t>
            </w:r>
            <w:r>
              <w:rPr>
                <w:shd w:val="clear" w:color="auto" w:fill="FFFFFF"/>
              </w:rPr>
              <w:t xml:space="preserve"> </w:t>
            </w:r>
            <w:r w:rsidR="002E68A1" w:rsidRPr="002E68A1">
              <w:t>II</w:t>
            </w:r>
            <w:r>
              <w:t> </w:t>
            </w:r>
            <w:r w:rsidR="002E68A1" w:rsidRPr="002E68A1">
              <w:t>pielikumā noteikto valsts maksimālo apjomu, ievērojot šādus nosacījumus:</w:t>
            </w:r>
          </w:p>
          <w:p w14:paraId="57F5F75C" w14:textId="77777777" w:rsidR="002E68A1" w:rsidRPr="002E68A1" w:rsidRDefault="002E68A1" w:rsidP="002E68A1">
            <w:pPr>
              <w:ind w:firstLine="720"/>
              <w:jc w:val="both"/>
            </w:pPr>
            <w:r w:rsidRPr="002E68A1">
              <w:t>a)</w:t>
            </w:r>
            <w:r w:rsidR="00D03F57">
              <w:t> </w:t>
            </w:r>
            <w:r w:rsidRPr="002E68A1">
              <w:t xml:space="preserve">attiecībā uz atbalsta pasākumiem, kas dod labumu tikai vienai produktu nozarei, kopējā piešķirtā kumulatīvā atbalsta summa jebkurā trīs fiskālo gadu periodā nepārsniedz </w:t>
            </w:r>
            <w:r w:rsidR="00D03F57">
              <w:rPr>
                <w:shd w:val="clear" w:color="auto" w:fill="FFFFFF"/>
              </w:rPr>
              <w:t xml:space="preserve">Regulas </w:t>
            </w:r>
            <w:r w:rsidR="00D03F57" w:rsidRPr="00363445">
              <w:rPr>
                <w:shd w:val="clear" w:color="auto" w:fill="FFFFFF"/>
              </w:rPr>
              <w:t>Nr. 1408/2013</w:t>
            </w:r>
            <w:r w:rsidR="00D03F57">
              <w:rPr>
                <w:shd w:val="clear" w:color="auto" w:fill="FFFFFF"/>
              </w:rPr>
              <w:t xml:space="preserve"> </w:t>
            </w:r>
            <w:r w:rsidRPr="002E68A1">
              <w:t>2.</w:t>
            </w:r>
            <w:r w:rsidR="00D03F57">
              <w:t> </w:t>
            </w:r>
            <w:r w:rsidRPr="002E68A1">
              <w:t>panta 4.</w:t>
            </w:r>
            <w:r w:rsidR="00D03F57">
              <w:t> </w:t>
            </w:r>
            <w:r w:rsidRPr="002E68A1">
              <w:t>punktā noteikto nozares maksimālo apjomu;</w:t>
            </w:r>
          </w:p>
          <w:p w14:paraId="57F5F75D" w14:textId="77777777" w:rsidR="002E68A1" w:rsidRDefault="00F1700C" w:rsidP="002E68A1">
            <w:pPr>
              <w:ind w:firstLine="720"/>
              <w:jc w:val="both"/>
            </w:pPr>
            <w:r>
              <w:t>b) </w:t>
            </w:r>
            <w:r w:rsidR="00D03F57">
              <w:t xml:space="preserve">saskaņā ar </w:t>
            </w:r>
            <w:r w:rsidR="00D03F57">
              <w:rPr>
                <w:shd w:val="clear" w:color="auto" w:fill="FFFFFF"/>
              </w:rPr>
              <w:t xml:space="preserve">Regulas </w:t>
            </w:r>
            <w:r w:rsidR="00D03F57" w:rsidRPr="00363445">
              <w:rPr>
                <w:shd w:val="clear" w:color="auto" w:fill="FFFFFF"/>
              </w:rPr>
              <w:t>Nr. 1408/2013</w:t>
            </w:r>
            <w:r w:rsidR="00D03F57">
              <w:rPr>
                <w:shd w:val="clear" w:color="auto" w:fill="FFFFFF"/>
              </w:rPr>
              <w:t xml:space="preserve"> 6. panta 2. punktu ES </w:t>
            </w:r>
            <w:r w:rsidR="002E68A1" w:rsidRPr="002E68A1">
              <w:t>dalībvalsts ir izveidojusi valsts centrālo reģistru.</w:t>
            </w:r>
          </w:p>
          <w:p w14:paraId="57F5F75E" w14:textId="77777777" w:rsidR="000A0FD0" w:rsidRDefault="000A0FD0" w:rsidP="000E2C51">
            <w:pPr>
              <w:autoSpaceDE w:val="0"/>
              <w:autoSpaceDN w:val="0"/>
              <w:adjustRightInd w:val="0"/>
              <w:jc w:val="both"/>
              <w:rPr>
                <w:color w:val="000000"/>
              </w:rPr>
            </w:pPr>
          </w:p>
          <w:p w14:paraId="57F5F75F" w14:textId="77777777" w:rsidR="00683D31" w:rsidRPr="009A75E9" w:rsidRDefault="00683D31" w:rsidP="001A2E91">
            <w:pPr>
              <w:pStyle w:val="ListParagraph"/>
              <w:tabs>
                <w:tab w:val="left" w:pos="851"/>
                <w:tab w:val="left" w:pos="993"/>
              </w:tabs>
              <w:spacing w:line="240" w:lineRule="auto"/>
              <w:ind w:left="0"/>
              <w:jc w:val="both"/>
              <w:rPr>
                <w:rFonts w:ascii="Times New Roman" w:eastAsia="Times New Roman" w:hAnsi="Times New Roman"/>
                <w:sz w:val="24"/>
                <w:szCs w:val="24"/>
                <w:lang w:eastAsia="lv-LV"/>
              </w:rPr>
            </w:pPr>
            <w:r w:rsidRPr="009A75E9">
              <w:rPr>
                <w:rFonts w:ascii="Times New Roman" w:eastAsia="Times New Roman" w:hAnsi="Times New Roman"/>
                <w:sz w:val="24"/>
                <w:szCs w:val="24"/>
                <w:lang w:eastAsia="lv-LV"/>
              </w:rPr>
              <w:t xml:space="preserve">Ņemot vērā </w:t>
            </w:r>
            <w:r w:rsidR="00F1700C" w:rsidRPr="0077052C">
              <w:rPr>
                <w:rFonts w:ascii="Times New Roman" w:eastAsia="Times New Roman" w:hAnsi="Times New Roman"/>
                <w:sz w:val="24"/>
                <w:szCs w:val="24"/>
                <w:lang w:eastAsia="lv-LV"/>
              </w:rPr>
              <w:t>Valsts sekretāru</w:t>
            </w:r>
            <w:r w:rsidR="00F1700C" w:rsidRPr="00F1700C">
              <w:rPr>
                <w:rFonts w:ascii="Times New Roman" w:eastAsia="Times New Roman" w:hAnsi="Times New Roman"/>
                <w:sz w:val="24"/>
                <w:szCs w:val="24"/>
                <w:lang w:eastAsia="lv-LV"/>
              </w:rPr>
              <w:t xml:space="preserve"> </w:t>
            </w:r>
            <w:r w:rsidRPr="009A75E9">
              <w:rPr>
                <w:rFonts w:ascii="Times New Roman" w:eastAsia="Times New Roman" w:hAnsi="Times New Roman"/>
                <w:sz w:val="24"/>
                <w:szCs w:val="24"/>
                <w:lang w:eastAsia="lv-LV"/>
              </w:rPr>
              <w:t>2019.gada 4.</w:t>
            </w:r>
            <w:r w:rsidR="00F1700C">
              <w:rPr>
                <w:rFonts w:ascii="Times New Roman" w:eastAsia="Times New Roman" w:hAnsi="Times New Roman"/>
                <w:sz w:val="24"/>
                <w:szCs w:val="24"/>
                <w:lang w:eastAsia="lv-LV"/>
              </w:rPr>
              <w:t> </w:t>
            </w:r>
            <w:r w:rsidRPr="009A75E9">
              <w:rPr>
                <w:rFonts w:ascii="Times New Roman" w:eastAsia="Times New Roman" w:hAnsi="Times New Roman"/>
                <w:sz w:val="24"/>
                <w:szCs w:val="24"/>
                <w:lang w:eastAsia="lv-LV"/>
              </w:rPr>
              <w:t>jūlij</w:t>
            </w:r>
            <w:r w:rsidR="00F1700C">
              <w:rPr>
                <w:rFonts w:ascii="Times New Roman" w:eastAsia="Times New Roman" w:hAnsi="Times New Roman"/>
                <w:sz w:val="24"/>
                <w:szCs w:val="24"/>
                <w:lang w:eastAsia="lv-LV"/>
              </w:rPr>
              <w:t>a</w:t>
            </w:r>
            <w:r w:rsidRPr="009A75E9">
              <w:rPr>
                <w:rFonts w:ascii="Times New Roman" w:eastAsia="Times New Roman" w:hAnsi="Times New Roman"/>
                <w:sz w:val="24"/>
                <w:szCs w:val="24"/>
                <w:lang w:eastAsia="lv-LV"/>
              </w:rPr>
              <w:t xml:space="preserve"> sanāksmē izsludināto Ministru kabineta noteikumu projektu </w:t>
            </w:r>
            <w:r w:rsidR="00F1700C">
              <w:rPr>
                <w:rFonts w:ascii="Times New Roman" w:eastAsia="Times New Roman" w:hAnsi="Times New Roman"/>
                <w:sz w:val="24"/>
                <w:szCs w:val="24"/>
                <w:lang w:eastAsia="lv-LV"/>
              </w:rPr>
              <w:t>“</w:t>
            </w:r>
            <w:r w:rsidRPr="009A75E9">
              <w:rPr>
                <w:rFonts w:ascii="Times New Roman" w:eastAsia="Times New Roman" w:hAnsi="Times New Roman"/>
                <w:sz w:val="24"/>
                <w:szCs w:val="24"/>
                <w:lang w:eastAsia="lv-LV"/>
              </w:rPr>
              <w:t>Grozījums Ministru kabineta 2018.</w:t>
            </w:r>
            <w:r w:rsidR="00F1700C">
              <w:rPr>
                <w:rFonts w:ascii="Times New Roman" w:eastAsia="Times New Roman" w:hAnsi="Times New Roman"/>
                <w:sz w:val="24"/>
                <w:szCs w:val="24"/>
                <w:lang w:eastAsia="lv-LV"/>
              </w:rPr>
              <w:t> </w:t>
            </w:r>
            <w:r w:rsidRPr="009A75E9">
              <w:rPr>
                <w:rFonts w:ascii="Times New Roman" w:eastAsia="Times New Roman" w:hAnsi="Times New Roman"/>
                <w:sz w:val="24"/>
                <w:szCs w:val="24"/>
                <w:lang w:eastAsia="lv-LV"/>
              </w:rPr>
              <w:t>gada 21. novembra noteikumos Nr.</w:t>
            </w:r>
            <w:r w:rsidR="00F1700C">
              <w:rPr>
                <w:rFonts w:ascii="Times New Roman" w:eastAsia="Times New Roman" w:hAnsi="Times New Roman"/>
                <w:sz w:val="24"/>
                <w:szCs w:val="24"/>
                <w:lang w:eastAsia="lv-LV"/>
              </w:rPr>
              <w:t> </w:t>
            </w:r>
            <w:r w:rsidRPr="009A75E9">
              <w:rPr>
                <w:rFonts w:ascii="Times New Roman" w:eastAsia="Times New Roman" w:hAnsi="Times New Roman"/>
                <w:sz w:val="24"/>
                <w:szCs w:val="24"/>
                <w:lang w:eastAsia="lv-LV"/>
              </w:rPr>
              <w:t xml:space="preserve">715 </w:t>
            </w:r>
            <w:r w:rsidR="00F1700C">
              <w:rPr>
                <w:rFonts w:ascii="Times New Roman" w:eastAsia="Times New Roman" w:hAnsi="Times New Roman"/>
                <w:sz w:val="24"/>
                <w:szCs w:val="24"/>
                <w:lang w:eastAsia="lv-LV"/>
              </w:rPr>
              <w:t>“</w:t>
            </w:r>
            <w:r w:rsidRPr="009A75E9">
              <w:rPr>
                <w:rFonts w:ascii="Times New Roman" w:eastAsia="Times New Roman" w:hAnsi="Times New Roman"/>
                <w:sz w:val="24"/>
                <w:szCs w:val="24"/>
                <w:lang w:eastAsia="lv-LV"/>
              </w:rPr>
              <w:t xml:space="preserve">Noteikumi par </w:t>
            </w:r>
            <w:r w:rsidRPr="009A75E9">
              <w:rPr>
                <w:rFonts w:ascii="Times New Roman" w:eastAsia="Times New Roman" w:hAnsi="Times New Roman"/>
                <w:i/>
                <w:sz w:val="24"/>
                <w:szCs w:val="24"/>
                <w:lang w:eastAsia="lv-LV"/>
              </w:rPr>
              <w:t>de minimis</w:t>
            </w:r>
            <w:r w:rsidRPr="009A75E9">
              <w:rPr>
                <w:rFonts w:ascii="Times New Roman" w:eastAsia="Times New Roman" w:hAnsi="Times New Roman"/>
                <w:sz w:val="24"/>
                <w:szCs w:val="24"/>
                <w:lang w:eastAsia="lv-LV"/>
              </w:rPr>
              <w:t xml:space="preserve"> atbalsta uzskaites un piešķiršanas kārtību un </w:t>
            </w:r>
            <w:r w:rsidRPr="009A75E9">
              <w:rPr>
                <w:rFonts w:ascii="Times New Roman" w:eastAsia="Times New Roman" w:hAnsi="Times New Roman"/>
                <w:i/>
                <w:sz w:val="24"/>
                <w:szCs w:val="24"/>
                <w:lang w:eastAsia="lv-LV"/>
              </w:rPr>
              <w:t>de minimis</w:t>
            </w:r>
            <w:r w:rsidRPr="009A75E9">
              <w:rPr>
                <w:rFonts w:ascii="Times New Roman" w:eastAsia="Times New Roman" w:hAnsi="Times New Roman"/>
                <w:sz w:val="24"/>
                <w:szCs w:val="24"/>
                <w:lang w:eastAsia="lv-LV"/>
              </w:rPr>
              <w:t xml:space="preserve"> atbalsta uzskaites veidlapu paraugiem</w:t>
            </w:r>
            <w:r w:rsidR="00F1700C">
              <w:rPr>
                <w:rFonts w:ascii="Times New Roman" w:eastAsia="Times New Roman" w:hAnsi="Times New Roman"/>
                <w:sz w:val="24"/>
                <w:szCs w:val="24"/>
                <w:lang w:eastAsia="lv-LV"/>
              </w:rPr>
              <w:t>””</w:t>
            </w:r>
            <w:r w:rsidRPr="009A75E9">
              <w:rPr>
                <w:rFonts w:ascii="Times New Roman" w:eastAsia="Times New Roman" w:hAnsi="Times New Roman"/>
                <w:sz w:val="24"/>
                <w:szCs w:val="24"/>
                <w:lang w:eastAsia="lv-LV"/>
              </w:rPr>
              <w:t xml:space="preserve"> (VSS-620), Latvija ir izvēlējusies izmantot regulas 1408/2013 3. panta 3.a punktā paredzēto rīcības brīvību noteikt, ka vienam vienotam uzņēmumam piešķirtā </w:t>
            </w:r>
            <w:r w:rsidRPr="009A75E9">
              <w:rPr>
                <w:rFonts w:ascii="Times New Roman" w:eastAsia="Times New Roman" w:hAnsi="Times New Roman"/>
                <w:i/>
                <w:sz w:val="24"/>
                <w:szCs w:val="24"/>
                <w:lang w:eastAsia="lv-LV"/>
              </w:rPr>
              <w:t>de minimis</w:t>
            </w:r>
            <w:r w:rsidRPr="009A75E9">
              <w:rPr>
                <w:rFonts w:ascii="Times New Roman" w:eastAsia="Times New Roman" w:hAnsi="Times New Roman"/>
                <w:sz w:val="24"/>
                <w:szCs w:val="24"/>
                <w:lang w:eastAsia="lv-LV"/>
              </w:rPr>
              <w:t xml:space="preserve"> atbalsta kopējā summa jebkurā trīs fiskālo gadu periodā nepārsniedz </w:t>
            </w:r>
            <w:r w:rsidR="00F1700C">
              <w:rPr>
                <w:rFonts w:ascii="Times New Roman" w:eastAsia="Times New Roman" w:hAnsi="Times New Roman"/>
                <w:sz w:val="24"/>
                <w:szCs w:val="24"/>
                <w:lang w:eastAsia="lv-LV"/>
              </w:rPr>
              <w:t>25 000 </w:t>
            </w:r>
            <w:r w:rsidR="00F1700C" w:rsidRPr="009A75E9">
              <w:rPr>
                <w:rFonts w:ascii="Times New Roman" w:eastAsia="Times New Roman" w:hAnsi="Times New Roman"/>
                <w:i/>
                <w:sz w:val="24"/>
                <w:szCs w:val="24"/>
                <w:lang w:eastAsia="lv-LV"/>
              </w:rPr>
              <w:t>euro</w:t>
            </w:r>
            <w:r w:rsidRPr="009A75E9">
              <w:rPr>
                <w:rFonts w:ascii="Times New Roman" w:eastAsia="Times New Roman" w:hAnsi="Times New Roman"/>
                <w:sz w:val="24"/>
                <w:szCs w:val="24"/>
                <w:lang w:eastAsia="lv-LV"/>
              </w:rPr>
              <w:t xml:space="preserve">. Līdz ar to </w:t>
            </w:r>
            <w:r w:rsidR="00F1700C">
              <w:rPr>
                <w:rFonts w:ascii="Times New Roman" w:eastAsia="Times New Roman" w:hAnsi="Times New Roman"/>
                <w:sz w:val="24"/>
                <w:szCs w:val="24"/>
                <w:lang w:eastAsia="lv-LV"/>
              </w:rPr>
              <w:t>N</w:t>
            </w:r>
            <w:r w:rsidRPr="009A75E9">
              <w:rPr>
                <w:rFonts w:ascii="Times New Roman" w:eastAsia="Times New Roman" w:hAnsi="Times New Roman"/>
                <w:sz w:val="24"/>
                <w:szCs w:val="24"/>
                <w:lang w:eastAsia="lv-LV"/>
              </w:rPr>
              <w:t>oteikumu projektā tiek iekļauta atsauce uz regulas Nr. 1408/2013 3.</w:t>
            </w:r>
            <w:r w:rsidR="00F1700C">
              <w:rPr>
                <w:rFonts w:ascii="Times New Roman" w:eastAsia="Times New Roman" w:hAnsi="Times New Roman"/>
                <w:sz w:val="24"/>
                <w:szCs w:val="24"/>
                <w:lang w:eastAsia="lv-LV"/>
              </w:rPr>
              <w:t> </w:t>
            </w:r>
            <w:r w:rsidRPr="009A75E9">
              <w:rPr>
                <w:rFonts w:ascii="Times New Roman" w:eastAsia="Times New Roman" w:hAnsi="Times New Roman"/>
                <w:sz w:val="24"/>
                <w:szCs w:val="24"/>
                <w:lang w:eastAsia="lv-LV"/>
              </w:rPr>
              <w:t>panta 3.a punktu.</w:t>
            </w:r>
          </w:p>
          <w:p w14:paraId="57F5F760" w14:textId="77777777" w:rsidR="009B510E" w:rsidRDefault="000A0FD0" w:rsidP="0061182C">
            <w:pPr>
              <w:pStyle w:val="ListParagraph"/>
              <w:tabs>
                <w:tab w:val="left" w:pos="851"/>
                <w:tab w:val="left" w:pos="993"/>
              </w:tabs>
              <w:spacing w:line="240" w:lineRule="auto"/>
              <w:ind w:left="0"/>
              <w:jc w:val="both"/>
              <w:rPr>
                <w:rFonts w:ascii="Times New Roman" w:eastAsia="Times New Roman" w:hAnsi="Times New Roman"/>
                <w:sz w:val="24"/>
                <w:szCs w:val="24"/>
                <w:lang w:eastAsia="lv-LV"/>
              </w:rPr>
            </w:pPr>
            <w:r w:rsidRPr="009A75E9">
              <w:rPr>
                <w:rFonts w:ascii="Times New Roman" w:eastAsia="Times New Roman" w:hAnsi="Times New Roman"/>
                <w:sz w:val="24"/>
                <w:szCs w:val="24"/>
                <w:lang w:eastAsia="lv-LV"/>
              </w:rPr>
              <w:t xml:space="preserve">Dabas aizsardzības pārvaldei, pieņemot lēmumu par kompensācijas piešķiršanu, jāpārbauda, vai kompensācijas apmērs nepalielina attiecīgajā fiskālajā gadā, kā arī iepriekšējos divos fiskālajos gados saņemtā </w:t>
            </w:r>
            <w:r w:rsidRPr="009A75E9">
              <w:rPr>
                <w:rFonts w:ascii="Times New Roman" w:eastAsia="Times New Roman" w:hAnsi="Times New Roman"/>
                <w:i/>
                <w:sz w:val="24"/>
                <w:szCs w:val="24"/>
                <w:lang w:eastAsia="lv-LV"/>
              </w:rPr>
              <w:t>de minimis</w:t>
            </w:r>
            <w:r w:rsidRPr="0061182C">
              <w:rPr>
                <w:rFonts w:ascii="Times New Roman" w:eastAsia="Times New Roman" w:hAnsi="Times New Roman"/>
                <w:sz w:val="24"/>
                <w:szCs w:val="24"/>
                <w:lang w:eastAsia="lv-LV"/>
              </w:rPr>
              <w:t xml:space="preserve"> atbalsta kopējo apmēru līdz līmenim, kas pārsniedz regulas Nr.</w:t>
            </w:r>
            <w:r w:rsidR="00F1700C">
              <w:rPr>
                <w:rFonts w:ascii="Times New Roman" w:eastAsia="Times New Roman" w:hAnsi="Times New Roman"/>
                <w:sz w:val="24"/>
                <w:szCs w:val="24"/>
                <w:lang w:eastAsia="lv-LV"/>
              </w:rPr>
              <w:t> </w:t>
            </w:r>
            <w:r w:rsidRPr="0061182C">
              <w:rPr>
                <w:rFonts w:ascii="Times New Roman" w:eastAsia="Times New Roman" w:hAnsi="Times New Roman"/>
                <w:sz w:val="24"/>
                <w:szCs w:val="24"/>
                <w:lang w:eastAsia="lv-LV"/>
              </w:rPr>
              <w:t xml:space="preserve">1408/2013 3. panta 3.a punktā (saimnieciskās darbības veicējiem, kuri nodarbojas ar lauksaimniecības produktu primāro ražošanu) noteikto maksimālo </w:t>
            </w:r>
            <w:r w:rsidRPr="0061182C">
              <w:rPr>
                <w:rFonts w:ascii="Times New Roman" w:eastAsia="Times New Roman" w:hAnsi="Times New Roman"/>
                <w:i/>
                <w:sz w:val="24"/>
                <w:szCs w:val="24"/>
                <w:lang w:eastAsia="lv-LV"/>
              </w:rPr>
              <w:t>de minimis</w:t>
            </w:r>
            <w:r w:rsidRPr="0061182C">
              <w:rPr>
                <w:rFonts w:ascii="Times New Roman" w:eastAsia="Times New Roman" w:hAnsi="Times New Roman"/>
                <w:sz w:val="24"/>
                <w:szCs w:val="24"/>
                <w:lang w:eastAsia="lv-LV"/>
              </w:rPr>
              <w:t xml:space="preserve"> apmēru, proti, 25</w:t>
            </w:r>
            <w:r w:rsidR="00F1700C">
              <w:rPr>
                <w:rFonts w:ascii="Times New Roman" w:eastAsia="Times New Roman" w:hAnsi="Times New Roman"/>
                <w:sz w:val="24"/>
                <w:szCs w:val="24"/>
                <w:lang w:eastAsia="lv-LV"/>
              </w:rPr>
              <w:t> </w:t>
            </w:r>
            <w:r w:rsidRPr="0061182C">
              <w:rPr>
                <w:rFonts w:ascii="Times New Roman" w:eastAsia="Times New Roman" w:hAnsi="Times New Roman"/>
                <w:sz w:val="24"/>
                <w:szCs w:val="24"/>
                <w:lang w:eastAsia="lv-LV"/>
              </w:rPr>
              <w:t>000</w:t>
            </w:r>
            <w:r w:rsidR="00F1700C">
              <w:rPr>
                <w:rFonts w:ascii="Times New Roman" w:eastAsia="Times New Roman" w:hAnsi="Times New Roman"/>
                <w:sz w:val="24"/>
                <w:szCs w:val="24"/>
                <w:lang w:eastAsia="lv-LV"/>
              </w:rPr>
              <w:t> </w:t>
            </w:r>
            <w:r w:rsidR="00F1700C" w:rsidRPr="0061182C">
              <w:rPr>
                <w:rFonts w:ascii="Times New Roman" w:eastAsia="Times New Roman" w:hAnsi="Times New Roman"/>
                <w:i/>
                <w:sz w:val="24"/>
                <w:szCs w:val="24"/>
                <w:lang w:eastAsia="lv-LV"/>
              </w:rPr>
              <w:t>euro</w:t>
            </w:r>
            <w:r w:rsidR="00F1700C" w:rsidRPr="0061182C">
              <w:rPr>
                <w:rFonts w:ascii="Times New Roman" w:eastAsia="Times New Roman" w:hAnsi="Times New Roman"/>
                <w:sz w:val="24"/>
                <w:szCs w:val="24"/>
                <w:lang w:eastAsia="lv-LV"/>
              </w:rPr>
              <w:t>.</w:t>
            </w:r>
          </w:p>
          <w:p w14:paraId="57F5F761" w14:textId="77777777" w:rsidR="00352716" w:rsidRPr="000C37A0" w:rsidRDefault="00352716" w:rsidP="00326797">
            <w:pPr>
              <w:pStyle w:val="ListParagraph"/>
              <w:tabs>
                <w:tab w:val="left" w:pos="851"/>
                <w:tab w:val="left" w:pos="993"/>
              </w:tabs>
              <w:spacing w:line="240" w:lineRule="auto"/>
              <w:ind w:left="0"/>
              <w:jc w:val="both"/>
              <w:rPr>
                <w:b/>
                <w:sz w:val="24"/>
                <w:szCs w:val="24"/>
              </w:rPr>
            </w:pPr>
            <w:r w:rsidRPr="000C37A0">
              <w:rPr>
                <w:rFonts w:ascii="Times New Roman" w:eastAsia="Times New Roman" w:hAnsi="Times New Roman"/>
                <w:sz w:val="24"/>
                <w:szCs w:val="24"/>
                <w:lang w:eastAsia="lv-LV"/>
              </w:rPr>
              <w:t xml:space="preserve">Pamatojoties uz Ministru kabineta 2019. gada 13. septembra </w:t>
            </w:r>
            <w:r w:rsidR="0061434C">
              <w:rPr>
                <w:rFonts w:ascii="Times New Roman" w:eastAsia="Times New Roman" w:hAnsi="Times New Roman"/>
                <w:sz w:val="24"/>
                <w:szCs w:val="24"/>
                <w:lang w:eastAsia="lv-LV"/>
              </w:rPr>
              <w:t xml:space="preserve">ārkārtas </w:t>
            </w:r>
            <w:r w:rsidR="002669AE">
              <w:rPr>
                <w:rFonts w:ascii="Times New Roman" w:eastAsia="Times New Roman" w:hAnsi="Times New Roman"/>
                <w:sz w:val="24"/>
                <w:szCs w:val="24"/>
                <w:lang w:eastAsia="lv-LV"/>
              </w:rPr>
              <w:t>sēdes protokola Nr. 41 1§</w:t>
            </w:r>
            <w:r w:rsidR="00326797">
              <w:rPr>
                <w:rFonts w:ascii="Times New Roman" w:eastAsia="Times New Roman" w:hAnsi="Times New Roman"/>
                <w:sz w:val="24"/>
                <w:szCs w:val="24"/>
                <w:lang w:eastAsia="lv-LV"/>
              </w:rPr>
              <w:t xml:space="preserve"> </w:t>
            </w:r>
            <w:r w:rsidR="00851BBF" w:rsidRPr="000C37A0">
              <w:rPr>
                <w:rFonts w:ascii="Times New Roman" w:eastAsia="Times New Roman" w:hAnsi="Times New Roman"/>
                <w:sz w:val="24"/>
                <w:szCs w:val="24"/>
                <w:lang w:eastAsia="lv-LV"/>
              </w:rPr>
              <w:t xml:space="preserve">20. punktā noteikto, ka valsts budžeta izdevumi, kas tieši saistīti ar minimālo algu, ar 2020.gada 1. janvāri netiek piesaistīti minimālās algas apmēram, </w:t>
            </w:r>
            <w:r w:rsidR="00025938">
              <w:rPr>
                <w:rFonts w:ascii="Times New Roman" w:eastAsia="Times New Roman" w:hAnsi="Times New Roman"/>
                <w:sz w:val="24"/>
                <w:szCs w:val="24"/>
                <w:lang w:eastAsia="lv-LV"/>
              </w:rPr>
              <w:t xml:space="preserve">noteikumu projekta 1. punktā </w:t>
            </w:r>
            <w:r w:rsidR="00851BBF" w:rsidRPr="000C37A0">
              <w:rPr>
                <w:rFonts w:ascii="Times New Roman" w:eastAsia="Times New Roman" w:hAnsi="Times New Roman"/>
                <w:sz w:val="24"/>
                <w:szCs w:val="24"/>
                <w:lang w:eastAsia="lv-LV"/>
              </w:rPr>
              <w:t>tiek</w:t>
            </w:r>
            <w:r w:rsidR="009C79E2">
              <w:rPr>
                <w:rFonts w:ascii="Times New Roman" w:eastAsia="Times New Roman" w:hAnsi="Times New Roman"/>
                <w:sz w:val="24"/>
                <w:szCs w:val="24"/>
                <w:lang w:eastAsia="lv-LV"/>
              </w:rPr>
              <w:t xml:space="preserve"> noteikts</w:t>
            </w:r>
            <w:r w:rsidR="00851BBF" w:rsidRPr="000C37A0">
              <w:rPr>
                <w:rFonts w:ascii="Times New Roman" w:eastAsia="Times New Roman" w:hAnsi="Times New Roman"/>
                <w:sz w:val="24"/>
                <w:szCs w:val="24"/>
                <w:lang w:eastAsia="lv-LV"/>
              </w:rPr>
              <w:t>, ka</w:t>
            </w:r>
            <w:r w:rsidR="000C37A0" w:rsidRPr="000C37A0">
              <w:rPr>
                <w:rFonts w:ascii="Times New Roman" w:eastAsia="Times New Roman" w:hAnsi="Times New Roman"/>
                <w:sz w:val="24"/>
                <w:szCs w:val="24"/>
                <w:lang w:eastAsia="lv-LV"/>
              </w:rPr>
              <w:t xml:space="preserve"> </w:t>
            </w:r>
            <w:r w:rsidR="000C37A0">
              <w:rPr>
                <w:rFonts w:ascii="Times New Roman" w:eastAsia="Times New Roman" w:hAnsi="Times New Roman"/>
                <w:sz w:val="24"/>
                <w:szCs w:val="24"/>
                <w:lang w:eastAsia="lv-LV"/>
              </w:rPr>
              <w:t>nosakot zaudējumu apmēru par putnu sugu un ūdru nodarītajiem postījumiem tiek ņemts vērā 2019. gada minimālās mēnešalgas apmērs</w:t>
            </w:r>
            <w:r w:rsidR="000E593C">
              <w:rPr>
                <w:rFonts w:ascii="Times New Roman" w:eastAsia="Times New Roman" w:hAnsi="Times New Roman"/>
                <w:sz w:val="24"/>
                <w:szCs w:val="24"/>
                <w:lang w:eastAsia="lv-LV"/>
              </w:rPr>
              <w:t>: </w:t>
            </w:r>
            <w:r w:rsidR="009C79E2">
              <w:rPr>
                <w:rFonts w:ascii="Times New Roman" w:eastAsia="Times New Roman" w:hAnsi="Times New Roman"/>
                <w:sz w:val="24"/>
                <w:szCs w:val="24"/>
                <w:lang w:eastAsia="lv-LV"/>
              </w:rPr>
              <w:t>430</w:t>
            </w:r>
            <w:r w:rsidR="000E593C">
              <w:rPr>
                <w:rFonts w:ascii="Times New Roman" w:eastAsia="Times New Roman" w:hAnsi="Times New Roman"/>
                <w:sz w:val="24"/>
                <w:szCs w:val="24"/>
                <w:lang w:eastAsia="lv-LV"/>
              </w:rPr>
              <w:t> </w:t>
            </w:r>
            <w:r w:rsidR="009C79E2" w:rsidRPr="009C79E2">
              <w:rPr>
                <w:rFonts w:ascii="Times New Roman" w:eastAsia="Times New Roman" w:hAnsi="Times New Roman"/>
                <w:i/>
                <w:sz w:val="24"/>
                <w:szCs w:val="24"/>
                <w:lang w:eastAsia="lv-LV"/>
              </w:rPr>
              <w:t>euro.</w:t>
            </w:r>
            <w:r w:rsidR="000C37A0">
              <w:rPr>
                <w:rFonts w:ascii="Times New Roman" w:eastAsia="Times New Roman" w:hAnsi="Times New Roman"/>
                <w:sz w:val="24"/>
                <w:szCs w:val="24"/>
                <w:lang w:eastAsia="lv-LV"/>
              </w:rPr>
              <w:t xml:space="preserve"> </w:t>
            </w:r>
          </w:p>
        </w:tc>
      </w:tr>
      <w:tr w:rsidR="00093832" w:rsidRPr="00D1101E" w14:paraId="57F5F766" w14:textId="77777777" w:rsidTr="00116C85">
        <w:trPr>
          <w:trHeight w:val="476"/>
        </w:trPr>
        <w:tc>
          <w:tcPr>
            <w:tcW w:w="223" w:type="pct"/>
          </w:tcPr>
          <w:p w14:paraId="57F5F763" w14:textId="77777777" w:rsidR="00093832" w:rsidRPr="00D1101E" w:rsidRDefault="00093832" w:rsidP="00CB2254">
            <w:pPr>
              <w:pStyle w:val="naiskr"/>
              <w:spacing w:before="0" w:after="0"/>
              <w:ind w:left="57" w:right="57"/>
              <w:jc w:val="center"/>
            </w:pPr>
            <w:r w:rsidRPr="00D1101E">
              <w:lastRenderedPageBreak/>
              <w:t>3.</w:t>
            </w:r>
          </w:p>
        </w:tc>
        <w:tc>
          <w:tcPr>
            <w:tcW w:w="1577" w:type="pct"/>
          </w:tcPr>
          <w:p w14:paraId="57F5F764" w14:textId="77777777" w:rsidR="00093832" w:rsidRPr="00D1101E" w:rsidRDefault="00093832" w:rsidP="00CB2254">
            <w:pPr>
              <w:pStyle w:val="naiskr"/>
              <w:spacing w:before="0" w:after="0"/>
              <w:ind w:left="57" w:right="57"/>
            </w:pPr>
            <w:r w:rsidRPr="00D1101E">
              <w:t>Projekta izstrādē iesaistītās institūcijas</w:t>
            </w:r>
            <w:r w:rsidR="005C36D0" w:rsidRPr="00D1101E">
              <w:t xml:space="preserve"> un publikas personas kapitālsabiedrības</w:t>
            </w:r>
          </w:p>
        </w:tc>
        <w:tc>
          <w:tcPr>
            <w:tcW w:w="3199" w:type="pct"/>
          </w:tcPr>
          <w:p w14:paraId="57F5F765" w14:textId="77777777" w:rsidR="00093832" w:rsidRPr="00D1101E" w:rsidRDefault="00267AFE" w:rsidP="00363445">
            <w:pPr>
              <w:ind w:left="57" w:right="57"/>
              <w:jc w:val="both"/>
              <w:rPr>
                <w:b/>
              </w:rPr>
            </w:pPr>
            <w:r>
              <w:t>Ministrija</w:t>
            </w:r>
            <w:r w:rsidR="005857BC">
              <w:t>,</w:t>
            </w:r>
            <w:r w:rsidR="005C36D0" w:rsidRPr="00D1101E">
              <w:t xml:space="preserve"> </w:t>
            </w:r>
            <w:r w:rsidR="00453E5E">
              <w:t>Dabas aizsardzības p</w:t>
            </w:r>
            <w:r w:rsidR="00363445">
              <w:t>ārvalde.</w:t>
            </w:r>
          </w:p>
        </w:tc>
      </w:tr>
      <w:tr w:rsidR="00093832" w:rsidRPr="00D1101E" w14:paraId="57F5F76A" w14:textId="77777777" w:rsidTr="00116C85">
        <w:tc>
          <w:tcPr>
            <w:tcW w:w="223" w:type="pct"/>
          </w:tcPr>
          <w:p w14:paraId="57F5F767" w14:textId="77777777" w:rsidR="00093832" w:rsidRPr="00D1101E" w:rsidRDefault="00093832" w:rsidP="00CB2254">
            <w:pPr>
              <w:pStyle w:val="naiskr"/>
              <w:spacing w:before="0" w:after="0"/>
              <w:ind w:left="57" w:right="57"/>
              <w:jc w:val="center"/>
            </w:pPr>
            <w:r w:rsidRPr="00D1101E">
              <w:t>4.</w:t>
            </w:r>
          </w:p>
        </w:tc>
        <w:tc>
          <w:tcPr>
            <w:tcW w:w="1577" w:type="pct"/>
          </w:tcPr>
          <w:p w14:paraId="57F5F768" w14:textId="77777777" w:rsidR="00093832" w:rsidRPr="00D1101E" w:rsidRDefault="00093832" w:rsidP="00CB2254">
            <w:pPr>
              <w:pStyle w:val="naiskr"/>
              <w:spacing w:before="0" w:after="0"/>
              <w:ind w:left="57" w:right="57"/>
            </w:pPr>
            <w:r w:rsidRPr="00D1101E">
              <w:t>Cita informācija</w:t>
            </w:r>
          </w:p>
        </w:tc>
        <w:tc>
          <w:tcPr>
            <w:tcW w:w="3199" w:type="pct"/>
          </w:tcPr>
          <w:p w14:paraId="57F5F769" w14:textId="77777777" w:rsidR="00E564A7" w:rsidRPr="00D1101E" w:rsidRDefault="00C35554" w:rsidP="00C35554">
            <w:pPr>
              <w:ind w:right="26"/>
              <w:jc w:val="both"/>
            </w:pPr>
            <w:r w:rsidRPr="00D1101E">
              <w:t>Nav</w:t>
            </w:r>
          </w:p>
        </w:tc>
      </w:tr>
    </w:tbl>
    <w:p w14:paraId="57F5F76B" w14:textId="77777777" w:rsidR="00E564A7" w:rsidRPr="00D1101E" w:rsidRDefault="00E564A7" w:rsidP="00093832"/>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93832" w:rsidRPr="00D1101E" w14:paraId="57F5F76E" w14:textId="77777777" w:rsidTr="00CB2254">
        <w:trPr>
          <w:trHeight w:val="556"/>
        </w:trPr>
        <w:tc>
          <w:tcPr>
            <w:tcW w:w="9503" w:type="dxa"/>
            <w:gridSpan w:val="3"/>
            <w:vAlign w:val="center"/>
          </w:tcPr>
          <w:p w14:paraId="57F5F76C" w14:textId="77777777" w:rsidR="00093832" w:rsidRPr="00D1101E" w:rsidRDefault="00093832" w:rsidP="00CB2254">
            <w:pPr>
              <w:pStyle w:val="naisnod"/>
              <w:spacing w:before="0" w:after="0"/>
              <w:ind w:left="57" w:right="57"/>
            </w:pPr>
            <w:r w:rsidRPr="00D1101E">
              <w:lastRenderedPageBreak/>
              <w:t>II.</w:t>
            </w:r>
            <w:r w:rsidR="00F1700C">
              <w:t> </w:t>
            </w:r>
            <w:r w:rsidRPr="00D1101E">
              <w:t>Tiesību akta projekta ietekme uz sabiedrību, tautsaimniecības attīstību</w:t>
            </w:r>
          </w:p>
          <w:p w14:paraId="57F5F76D" w14:textId="77777777" w:rsidR="00093832" w:rsidRPr="00D1101E" w:rsidRDefault="00093832" w:rsidP="00CB2254">
            <w:pPr>
              <w:pStyle w:val="naisnod"/>
              <w:spacing w:before="0" w:after="0"/>
              <w:ind w:left="57" w:right="57"/>
              <w:rPr>
                <w:b w:val="0"/>
              </w:rPr>
            </w:pPr>
            <w:r w:rsidRPr="00D1101E">
              <w:t>un administratīvo slogu</w:t>
            </w:r>
          </w:p>
        </w:tc>
      </w:tr>
      <w:tr w:rsidR="00186738" w:rsidRPr="00D1101E" w14:paraId="57F5F772" w14:textId="77777777" w:rsidTr="00CB2254">
        <w:trPr>
          <w:trHeight w:val="467"/>
        </w:trPr>
        <w:tc>
          <w:tcPr>
            <w:tcW w:w="431" w:type="dxa"/>
          </w:tcPr>
          <w:p w14:paraId="57F5F76F" w14:textId="77777777" w:rsidR="00093832" w:rsidRPr="00D1101E" w:rsidRDefault="00093832" w:rsidP="00CB2254">
            <w:pPr>
              <w:pStyle w:val="naiskr"/>
              <w:spacing w:before="0" w:after="0"/>
              <w:ind w:left="57" w:right="57"/>
              <w:jc w:val="both"/>
            </w:pPr>
            <w:r w:rsidRPr="00D1101E">
              <w:t>1.</w:t>
            </w:r>
          </w:p>
        </w:tc>
        <w:tc>
          <w:tcPr>
            <w:tcW w:w="2976" w:type="dxa"/>
          </w:tcPr>
          <w:p w14:paraId="57F5F770" w14:textId="77777777" w:rsidR="00093832" w:rsidRPr="00D1101E" w:rsidRDefault="00093832" w:rsidP="00CB2254">
            <w:pPr>
              <w:pStyle w:val="naiskr"/>
              <w:spacing w:before="0" w:after="0"/>
              <w:ind w:left="57" w:right="57"/>
            </w:pPr>
            <w:r w:rsidRPr="00D1101E">
              <w:t>Sabiedrības mērķgrupas, kuras tiesiskais regulējums ietekmē vai varētu ietekmēt</w:t>
            </w:r>
          </w:p>
        </w:tc>
        <w:tc>
          <w:tcPr>
            <w:tcW w:w="6096" w:type="dxa"/>
          </w:tcPr>
          <w:p w14:paraId="57F5F771" w14:textId="77777777" w:rsidR="00907A8F" w:rsidRPr="00D1101E" w:rsidRDefault="00A45940" w:rsidP="00363445">
            <w:pPr>
              <w:shd w:val="clear" w:color="auto" w:fill="FFFFFF"/>
              <w:ind w:right="57"/>
              <w:jc w:val="both"/>
            </w:pPr>
            <w:bookmarkStart w:id="2" w:name="p21"/>
            <w:bookmarkEnd w:id="2"/>
            <w:r>
              <w:rPr>
                <w:iCs/>
              </w:rPr>
              <w:t>Noteikumu projekts</w:t>
            </w:r>
            <w:r w:rsidRPr="00FA5834">
              <w:rPr>
                <w:iCs/>
              </w:rPr>
              <w:t xml:space="preserve"> </w:t>
            </w:r>
            <w:r>
              <w:rPr>
                <w:iCs/>
              </w:rPr>
              <w:t>skar tos zemes īpašniekus vai lietotājus, kuru</w:t>
            </w:r>
            <w:r w:rsidRPr="00FA5834">
              <w:rPr>
                <w:iCs/>
              </w:rPr>
              <w:t xml:space="preserve"> darbība </w:t>
            </w:r>
            <w:r w:rsidR="00363445">
              <w:rPr>
                <w:iCs/>
              </w:rPr>
              <w:t xml:space="preserve">augkopības nozarē </w:t>
            </w:r>
            <w:r w:rsidRPr="00FA5834">
              <w:rPr>
                <w:iCs/>
              </w:rPr>
              <w:t xml:space="preserve">var tikt ietekmēta no </w:t>
            </w:r>
            <w:r w:rsidRPr="00FA5834">
              <w:t>īpaši aizsargājamo nemedījamo sugu un migrējošo sugu dzīvnieku būtiskiem postījumiem.</w:t>
            </w:r>
          </w:p>
        </w:tc>
      </w:tr>
      <w:tr w:rsidR="00192409" w:rsidRPr="00D1101E" w14:paraId="57F5F777" w14:textId="77777777" w:rsidTr="00CB2254">
        <w:trPr>
          <w:trHeight w:val="523"/>
        </w:trPr>
        <w:tc>
          <w:tcPr>
            <w:tcW w:w="431" w:type="dxa"/>
          </w:tcPr>
          <w:p w14:paraId="57F5F773" w14:textId="77777777" w:rsidR="00093832" w:rsidRPr="00D1101E" w:rsidRDefault="00093832" w:rsidP="00CB2254">
            <w:pPr>
              <w:pStyle w:val="naiskr"/>
              <w:spacing w:before="0" w:after="0"/>
              <w:ind w:left="57" w:right="57"/>
              <w:jc w:val="both"/>
            </w:pPr>
            <w:r w:rsidRPr="00D1101E">
              <w:t>2.</w:t>
            </w:r>
          </w:p>
        </w:tc>
        <w:tc>
          <w:tcPr>
            <w:tcW w:w="2976" w:type="dxa"/>
          </w:tcPr>
          <w:p w14:paraId="57F5F774" w14:textId="77777777" w:rsidR="00093832" w:rsidRPr="00D1101E" w:rsidRDefault="00093832" w:rsidP="00CB2254">
            <w:pPr>
              <w:pStyle w:val="naiskr"/>
              <w:spacing w:before="0" w:after="0"/>
              <w:ind w:left="57" w:right="57"/>
            </w:pPr>
            <w:r w:rsidRPr="00D1101E">
              <w:t>Tiesiskā regulējuma ietekme uz tautsaimniecību un administratīvo slogu</w:t>
            </w:r>
          </w:p>
        </w:tc>
        <w:tc>
          <w:tcPr>
            <w:tcW w:w="6096" w:type="dxa"/>
          </w:tcPr>
          <w:p w14:paraId="57F5F775" w14:textId="77777777" w:rsidR="00800559" w:rsidRDefault="00800559" w:rsidP="006378E1">
            <w:pPr>
              <w:spacing w:after="120"/>
              <w:jc w:val="both"/>
            </w:pPr>
            <w:r>
              <w:t>Kompensāciju izmaksa par īpaši aizsargājamo nemedījamo un migrējošo sugu dzīvnieku nodarītajiem postījumiem pozitīvi ietekmēs tautsaimniecību. Preventīvu aizsardzības pasākumu veikšana var būtiski mazināt vai vispār novērst potenciālos zaudējumus.</w:t>
            </w:r>
          </w:p>
          <w:p w14:paraId="57F5F776" w14:textId="77777777" w:rsidR="00093832" w:rsidRPr="00D1101E" w:rsidRDefault="00800559" w:rsidP="006378E1">
            <w:pPr>
              <w:spacing w:after="120"/>
              <w:jc w:val="both"/>
            </w:pPr>
            <w:r>
              <w:t>Dabas aizsardzības p</w:t>
            </w:r>
            <w:r w:rsidR="00E574A2">
              <w:t>ārvaldei noteikumu projektā noteiktās izmaiņas neradīs papildu administratīvo slogu un papildu administratīvās izmaksas.</w:t>
            </w:r>
          </w:p>
        </w:tc>
      </w:tr>
      <w:tr w:rsidR="00192409" w:rsidRPr="00D1101E" w14:paraId="57F5F77B" w14:textId="77777777" w:rsidTr="00CB2254">
        <w:trPr>
          <w:trHeight w:val="523"/>
        </w:trPr>
        <w:tc>
          <w:tcPr>
            <w:tcW w:w="431" w:type="dxa"/>
          </w:tcPr>
          <w:p w14:paraId="57F5F778" w14:textId="77777777" w:rsidR="00093832" w:rsidRPr="00D1101E" w:rsidRDefault="00093832" w:rsidP="00CB2254">
            <w:pPr>
              <w:pStyle w:val="naiskr"/>
              <w:spacing w:before="0" w:after="0"/>
              <w:ind w:left="57" w:right="57"/>
              <w:jc w:val="both"/>
            </w:pPr>
            <w:r w:rsidRPr="00D1101E">
              <w:t>3.</w:t>
            </w:r>
          </w:p>
        </w:tc>
        <w:tc>
          <w:tcPr>
            <w:tcW w:w="2976" w:type="dxa"/>
          </w:tcPr>
          <w:p w14:paraId="57F5F779" w14:textId="77777777" w:rsidR="00093832" w:rsidRPr="00D1101E" w:rsidRDefault="00093832" w:rsidP="00CB2254">
            <w:pPr>
              <w:pStyle w:val="naiskr"/>
              <w:spacing w:before="0" w:after="0"/>
              <w:ind w:left="57" w:right="57"/>
            </w:pPr>
            <w:r w:rsidRPr="00D1101E">
              <w:t>Administratīvo izmaksu monetārs novērtējums</w:t>
            </w:r>
          </w:p>
        </w:tc>
        <w:tc>
          <w:tcPr>
            <w:tcW w:w="6096" w:type="dxa"/>
          </w:tcPr>
          <w:p w14:paraId="57F5F77A" w14:textId="77777777" w:rsidR="00CF77CE" w:rsidRPr="00D1101E" w:rsidRDefault="007A6A68" w:rsidP="007A6A68">
            <w:r>
              <w:t xml:space="preserve">Novērtējums </w:t>
            </w:r>
            <w:r w:rsidR="009B510E">
              <w:t>n</w:t>
            </w:r>
            <w:r>
              <w:t>av veikts, jo izmaiņas neskars administratīvās izmaksas.</w:t>
            </w:r>
          </w:p>
        </w:tc>
      </w:tr>
      <w:tr w:rsidR="00B044C1" w:rsidRPr="00D1101E" w14:paraId="57F5F77F" w14:textId="77777777" w:rsidTr="00CB2254">
        <w:trPr>
          <w:trHeight w:val="523"/>
        </w:trPr>
        <w:tc>
          <w:tcPr>
            <w:tcW w:w="431" w:type="dxa"/>
          </w:tcPr>
          <w:p w14:paraId="57F5F77C" w14:textId="77777777" w:rsidR="00B044C1" w:rsidRPr="00D1101E" w:rsidRDefault="00FB7AE3" w:rsidP="00CB2254">
            <w:pPr>
              <w:pStyle w:val="naiskr"/>
              <w:spacing w:before="0" w:after="0"/>
              <w:ind w:left="57" w:right="57"/>
              <w:jc w:val="both"/>
            </w:pPr>
            <w:r w:rsidRPr="00D1101E">
              <w:t>4.</w:t>
            </w:r>
          </w:p>
        </w:tc>
        <w:tc>
          <w:tcPr>
            <w:tcW w:w="2976" w:type="dxa"/>
          </w:tcPr>
          <w:p w14:paraId="57F5F77D" w14:textId="77777777" w:rsidR="00B044C1" w:rsidRPr="00D1101E" w:rsidRDefault="00FB7AE3" w:rsidP="00CB2254">
            <w:pPr>
              <w:pStyle w:val="naiskr"/>
              <w:spacing w:before="0" w:after="0"/>
              <w:ind w:left="57" w:right="57"/>
            </w:pPr>
            <w:r w:rsidRPr="00D1101E">
              <w:t>Atbilstības izmaksu</w:t>
            </w:r>
            <w:r w:rsidR="00B044C1" w:rsidRPr="00D1101E">
              <w:t xml:space="preserve"> monetārs novērtējums</w:t>
            </w:r>
          </w:p>
        </w:tc>
        <w:tc>
          <w:tcPr>
            <w:tcW w:w="6096" w:type="dxa"/>
          </w:tcPr>
          <w:p w14:paraId="57F5F77E" w14:textId="77777777" w:rsidR="00B044C1" w:rsidRPr="00D1101E" w:rsidRDefault="003058F6" w:rsidP="008E6AB6">
            <w:pPr>
              <w:shd w:val="clear" w:color="auto" w:fill="FFFFFF"/>
              <w:ind w:right="57"/>
            </w:pPr>
            <w:r>
              <w:t>Noteikumu p</w:t>
            </w:r>
            <w:r w:rsidR="00FB7AE3" w:rsidRPr="00D1101E">
              <w:t>rojekts šo jomu neskar</w:t>
            </w:r>
            <w:r w:rsidR="00E574A2">
              <w:t>.</w:t>
            </w:r>
          </w:p>
        </w:tc>
      </w:tr>
      <w:tr w:rsidR="00093832" w:rsidRPr="00D1101E" w14:paraId="57F5F783" w14:textId="77777777" w:rsidTr="00CB2254">
        <w:trPr>
          <w:trHeight w:val="357"/>
        </w:trPr>
        <w:tc>
          <w:tcPr>
            <w:tcW w:w="431" w:type="dxa"/>
          </w:tcPr>
          <w:p w14:paraId="57F5F780" w14:textId="77777777" w:rsidR="00093832" w:rsidRPr="00D1101E" w:rsidRDefault="00FB7AE3" w:rsidP="00CB2254">
            <w:pPr>
              <w:pStyle w:val="naiskr"/>
              <w:spacing w:before="0" w:after="0"/>
              <w:ind w:left="57" w:right="57"/>
              <w:jc w:val="both"/>
            </w:pPr>
            <w:r w:rsidRPr="00D1101E">
              <w:t>5</w:t>
            </w:r>
            <w:r w:rsidR="00093832" w:rsidRPr="00D1101E">
              <w:t>.</w:t>
            </w:r>
          </w:p>
        </w:tc>
        <w:tc>
          <w:tcPr>
            <w:tcW w:w="2976" w:type="dxa"/>
          </w:tcPr>
          <w:p w14:paraId="57F5F781" w14:textId="77777777" w:rsidR="00093832" w:rsidRPr="00D1101E" w:rsidRDefault="00093832" w:rsidP="00CB2254">
            <w:pPr>
              <w:pStyle w:val="naiskr"/>
              <w:spacing w:before="0" w:after="0"/>
              <w:ind w:left="57" w:right="57"/>
            </w:pPr>
            <w:r w:rsidRPr="00D1101E">
              <w:t>Cita informācija</w:t>
            </w:r>
          </w:p>
        </w:tc>
        <w:tc>
          <w:tcPr>
            <w:tcW w:w="6096" w:type="dxa"/>
          </w:tcPr>
          <w:p w14:paraId="57F5F782" w14:textId="77777777" w:rsidR="00093832" w:rsidRPr="00D1101E" w:rsidRDefault="00093832" w:rsidP="008E6AB6">
            <w:pPr>
              <w:shd w:val="clear" w:color="auto" w:fill="FFFFFF"/>
              <w:ind w:right="57"/>
            </w:pPr>
            <w:r w:rsidRPr="00D1101E">
              <w:t>Nav</w:t>
            </w:r>
          </w:p>
        </w:tc>
      </w:tr>
    </w:tbl>
    <w:p w14:paraId="57F5F784" w14:textId="77777777" w:rsidR="005E3CA3" w:rsidRDefault="005E3CA3" w:rsidP="005E3CA3"/>
    <w:tbl>
      <w:tblPr>
        <w:tblpPr w:leftFromText="180" w:rightFromText="180" w:vertAnchor="text" w:horzAnchor="margin" w:tblpXSpec="center" w:tblpY="11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6"/>
      </w:tblGrid>
      <w:tr w:rsidR="00A93FC4" w:rsidRPr="00D1101E" w14:paraId="57F5F786" w14:textId="77777777" w:rsidTr="007A78C7">
        <w:trPr>
          <w:trHeight w:val="556"/>
        </w:trPr>
        <w:tc>
          <w:tcPr>
            <w:tcW w:w="5000" w:type="pct"/>
            <w:vAlign w:val="center"/>
          </w:tcPr>
          <w:p w14:paraId="57F5F785" w14:textId="77777777" w:rsidR="00A93FC4" w:rsidRPr="00D1101E" w:rsidRDefault="00A93FC4" w:rsidP="007A78C7">
            <w:pPr>
              <w:pStyle w:val="naisnod"/>
              <w:spacing w:before="0" w:after="0"/>
              <w:ind w:left="57" w:right="57"/>
              <w:rPr>
                <w:b w:val="0"/>
              </w:rPr>
            </w:pPr>
            <w:r w:rsidRPr="00D1101E">
              <w:rPr>
                <w:color w:val="000000"/>
              </w:rPr>
              <w:t>III.</w:t>
            </w:r>
            <w:r w:rsidR="00F1700C">
              <w:rPr>
                <w:color w:val="000000"/>
              </w:rPr>
              <w:t> </w:t>
            </w:r>
            <w:r w:rsidRPr="00D1101E">
              <w:rPr>
                <w:color w:val="000000"/>
              </w:rPr>
              <w:t>Tiesību akta projekta ietekme uz valsts budžetu un pašvaldību budžetiem</w:t>
            </w:r>
          </w:p>
        </w:tc>
      </w:tr>
      <w:tr w:rsidR="00A93FC4" w:rsidRPr="00D1101E" w14:paraId="57F5F788" w14:textId="77777777" w:rsidTr="007A78C7">
        <w:trPr>
          <w:trHeight w:val="267"/>
        </w:trPr>
        <w:tc>
          <w:tcPr>
            <w:tcW w:w="5000" w:type="pct"/>
          </w:tcPr>
          <w:p w14:paraId="57F5F787" w14:textId="77777777" w:rsidR="00A93FC4" w:rsidRPr="00D1101E" w:rsidRDefault="00A93FC4" w:rsidP="007A78C7">
            <w:pPr>
              <w:shd w:val="clear" w:color="auto" w:fill="FFFFFF"/>
              <w:ind w:right="57"/>
              <w:jc w:val="center"/>
            </w:pPr>
            <w:r w:rsidRPr="007573D9">
              <w:rPr>
                <w:color w:val="000000"/>
              </w:rPr>
              <w:t>Noteikumu projekts šo</w:t>
            </w:r>
            <w:r w:rsidRPr="00D1101E">
              <w:rPr>
                <w:color w:val="000000"/>
              </w:rPr>
              <w:t xml:space="preserve"> jomu neskar</w:t>
            </w:r>
            <w:r>
              <w:rPr>
                <w:color w:val="000000"/>
              </w:rPr>
              <w:t>.</w:t>
            </w:r>
          </w:p>
        </w:tc>
      </w:tr>
    </w:tbl>
    <w:p w14:paraId="57F5F789" w14:textId="77777777" w:rsidR="0038475A" w:rsidRPr="00D1101E" w:rsidRDefault="0038475A" w:rsidP="005E3CA3"/>
    <w:tbl>
      <w:tblPr>
        <w:tblpPr w:leftFromText="180" w:rightFromText="180" w:vertAnchor="text" w:horzAnchor="margin" w:tblpXSpec="center" w:tblpY="119"/>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6"/>
      </w:tblGrid>
      <w:tr w:rsidR="005E3CA3" w:rsidRPr="00D1101E" w14:paraId="57F5F78B" w14:textId="77777777" w:rsidTr="00F7679B">
        <w:trPr>
          <w:trHeight w:val="556"/>
        </w:trPr>
        <w:tc>
          <w:tcPr>
            <w:tcW w:w="5000" w:type="pct"/>
            <w:vAlign w:val="center"/>
          </w:tcPr>
          <w:p w14:paraId="57F5F78A" w14:textId="77777777" w:rsidR="005E3CA3" w:rsidRPr="00D1101E" w:rsidRDefault="005E3CA3" w:rsidP="005E0122">
            <w:pPr>
              <w:pStyle w:val="naisnod"/>
              <w:spacing w:before="0" w:after="0"/>
              <w:ind w:left="57" w:right="57"/>
              <w:rPr>
                <w:b w:val="0"/>
              </w:rPr>
            </w:pPr>
            <w:r w:rsidRPr="00D1101E">
              <w:rPr>
                <w:color w:val="000000"/>
              </w:rPr>
              <w:t>IV.</w:t>
            </w:r>
            <w:r w:rsidR="00F1700C">
              <w:rPr>
                <w:color w:val="000000"/>
              </w:rPr>
              <w:t> </w:t>
            </w:r>
            <w:r w:rsidRPr="00D1101E">
              <w:t>Tiesību akta projekta ietekme uz spēkā esošo tiesību normu sistēmu</w:t>
            </w:r>
          </w:p>
        </w:tc>
      </w:tr>
      <w:tr w:rsidR="005E3CA3" w:rsidRPr="00D1101E" w14:paraId="57F5F78D" w14:textId="77777777" w:rsidTr="004A1D5D">
        <w:trPr>
          <w:trHeight w:val="280"/>
        </w:trPr>
        <w:tc>
          <w:tcPr>
            <w:tcW w:w="5000" w:type="pct"/>
          </w:tcPr>
          <w:p w14:paraId="57F5F78C" w14:textId="77777777" w:rsidR="005E3CA3" w:rsidRPr="00D1101E" w:rsidRDefault="003058F6" w:rsidP="005E0122">
            <w:pPr>
              <w:shd w:val="clear" w:color="auto" w:fill="FFFFFF"/>
              <w:ind w:right="57"/>
              <w:jc w:val="center"/>
            </w:pPr>
            <w:r>
              <w:rPr>
                <w:color w:val="000000"/>
              </w:rPr>
              <w:t xml:space="preserve">Noteikumu </w:t>
            </w:r>
            <w:r w:rsidR="005E3CA3" w:rsidRPr="00D1101E">
              <w:rPr>
                <w:color w:val="000000"/>
              </w:rPr>
              <w:t>projekts šo jomu neskar</w:t>
            </w:r>
            <w:r w:rsidR="0097277C">
              <w:rPr>
                <w:color w:val="000000"/>
              </w:rPr>
              <w:t>.</w:t>
            </w:r>
          </w:p>
        </w:tc>
      </w:tr>
    </w:tbl>
    <w:p w14:paraId="57F5F78E" w14:textId="77777777" w:rsidR="005E3CA3" w:rsidRPr="00D1101E" w:rsidRDefault="005E3CA3" w:rsidP="005E3CA3"/>
    <w:tbl>
      <w:tblPr>
        <w:tblW w:w="959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931"/>
        <w:gridCol w:w="1592"/>
        <w:gridCol w:w="923"/>
        <w:gridCol w:w="1013"/>
        <w:gridCol w:w="2373"/>
        <w:gridCol w:w="2761"/>
      </w:tblGrid>
      <w:tr w:rsidR="00D5603B" w14:paraId="57F5F790" w14:textId="77777777" w:rsidTr="00D5603B">
        <w:trPr>
          <w:jc w:val="center"/>
        </w:trPr>
        <w:tc>
          <w:tcPr>
            <w:tcW w:w="9593" w:type="dxa"/>
            <w:gridSpan w:val="6"/>
            <w:tcBorders>
              <w:top w:val="outset" w:sz="6" w:space="0" w:color="auto"/>
              <w:left w:val="outset" w:sz="6" w:space="0" w:color="auto"/>
              <w:bottom w:val="outset" w:sz="6" w:space="0" w:color="auto"/>
              <w:right w:val="outset" w:sz="6" w:space="0" w:color="auto"/>
            </w:tcBorders>
            <w:vAlign w:val="center"/>
            <w:hideMark/>
          </w:tcPr>
          <w:p w14:paraId="57F5F78F" w14:textId="77777777" w:rsidR="00D5603B" w:rsidRDefault="00D5603B">
            <w:pPr>
              <w:pStyle w:val="naisf"/>
              <w:ind w:right="71"/>
              <w:rPr>
                <w:b/>
              </w:rPr>
            </w:pPr>
            <w:r>
              <w:rPr>
                <w:b/>
              </w:rPr>
              <w:t>V.</w:t>
            </w:r>
            <w:r w:rsidR="00F1700C">
              <w:rPr>
                <w:b/>
              </w:rPr>
              <w:t> </w:t>
            </w:r>
            <w:r>
              <w:rPr>
                <w:b/>
              </w:rPr>
              <w:t>Tiesību akta projekta atbilstība Latvijas Republikas starptautiskajām saistībām</w:t>
            </w:r>
          </w:p>
        </w:tc>
      </w:tr>
      <w:tr w:rsidR="00D5603B" w14:paraId="57F5F794" w14:textId="77777777" w:rsidTr="00D5603B">
        <w:trPr>
          <w:jc w:val="center"/>
        </w:trPr>
        <w:tc>
          <w:tcPr>
            <w:tcW w:w="948" w:type="dxa"/>
            <w:tcBorders>
              <w:top w:val="outset" w:sz="6" w:space="0" w:color="auto"/>
              <w:left w:val="outset" w:sz="6" w:space="0" w:color="auto"/>
              <w:bottom w:val="outset" w:sz="6" w:space="0" w:color="auto"/>
              <w:right w:val="outset" w:sz="6" w:space="0" w:color="auto"/>
            </w:tcBorders>
            <w:hideMark/>
          </w:tcPr>
          <w:p w14:paraId="57F5F791" w14:textId="77777777" w:rsidR="00D5603B" w:rsidRDefault="00D5603B">
            <w:pPr>
              <w:pStyle w:val="naisf"/>
              <w:ind w:right="71"/>
            </w:pPr>
            <w:r>
              <w:t>1.</w:t>
            </w:r>
          </w:p>
        </w:tc>
        <w:tc>
          <w:tcPr>
            <w:tcW w:w="2360" w:type="dxa"/>
            <w:gridSpan w:val="2"/>
            <w:tcBorders>
              <w:top w:val="outset" w:sz="6" w:space="0" w:color="auto"/>
              <w:left w:val="outset" w:sz="6" w:space="0" w:color="auto"/>
              <w:bottom w:val="outset" w:sz="6" w:space="0" w:color="auto"/>
              <w:right w:val="outset" w:sz="6" w:space="0" w:color="auto"/>
            </w:tcBorders>
            <w:hideMark/>
          </w:tcPr>
          <w:p w14:paraId="57F5F792" w14:textId="77777777" w:rsidR="00D5603B" w:rsidRDefault="00D5603B">
            <w:pPr>
              <w:pStyle w:val="naisf"/>
              <w:ind w:right="71"/>
            </w:pPr>
            <w:r>
              <w:t>Saistības pret Eiropas Savienību</w:t>
            </w:r>
          </w:p>
        </w:tc>
        <w:tc>
          <w:tcPr>
            <w:tcW w:w="6285" w:type="dxa"/>
            <w:gridSpan w:val="3"/>
            <w:tcBorders>
              <w:top w:val="outset" w:sz="6" w:space="0" w:color="auto"/>
              <w:left w:val="outset" w:sz="6" w:space="0" w:color="auto"/>
              <w:bottom w:val="outset" w:sz="6" w:space="0" w:color="auto"/>
              <w:right w:val="outset" w:sz="6" w:space="0" w:color="auto"/>
            </w:tcBorders>
          </w:tcPr>
          <w:p w14:paraId="57F5F793" w14:textId="77777777" w:rsidR="00D5603B" w:rsidRDefault="006711AF" w:rsidP="006711AF">
            <w:pPr>
              <w:pStyle w:val="naisf"/>
              <w:ind w:right="71" w:firstLine="0"/>
            </w:pPr>
            <w:r>
              <w:t>Noteikumu projektā iekļautas normas, kas  nodrošina Komisijas regulas Nr.</w:t>
            </w:r>
            <w:r w:rsidR="00F1700C">
              <w:t> </w:t>
            </w:r>
            <w:r>
              <w:t>1408/2013 prasību izpildi nacionālā līmenī. Eiropas Komisijas Oficiālais vēstnesis (Eiropas Savienības Oficiālais Vēstnesis, 2013.</w:t>
            </w:r>
            <w:r w:rsidR="00F1700C">
              <w:t> </w:t>
            </w:r>
            <w:r>
              <w:t>gada 24.</w:t>
            </w:r>
            <w:r w:rsidR="00F1700C">
              <w:t> </w:t>
            </w:r>
            <w:r>
              <w:t>decembris, Nr. L 352).</w:t>
            </w:r>
          </w:p>
        </w:tc>
      </w:tr>
      <w:tr w:rsidR="00D5603B" w14:paraId="57F5F798" w14:textId="77777777" w:rsidTr="00D5603B">
        <w:trPr>
          <w:jc w:val="center"/>
        </w:trPr>
        <w:tc>
          <w:tcPr>
            <w:tcW w:w="948" w:type="dxa"/>
            <w:tcBorders>
              <w:top w:val="outset" w:sz="6" w:space="0" w:color="auto"/>
              <w:left w:val="outset" w:sz="6" w:space="0" w:color="auto"/>
              <w:bottom w:val="outset" w:sz="6" w:space="0" w:color="auto"/>
              <w:right w:val="outset" w:sz="6" w:space="0" w:color="auto"/>
            </w:tcBorders>
            <w:hideMark/>
          </w:tcPr>
          <w:p w14:paraId="57F5F795" w14:textId="77777777" w:rsidR="00D5603B" w:rsidRDefault="00D5603B">
            <w:pPr>
              <w:pStyle w:val="naisf"/>
              <w:ind w:right="71"/>
            </w:pPr>
            <w:r>
              <w:t>2.</w:t>
            </w:r>
          </w:p>
        </w:tc>
        <w:tc>
          <w:tcPr>
            <w:tcW w:w="2360" w:type="dxa"/>
            <w:gridSpan w:val="2"/>
            <w:tcBorders>
              <w:top w:val="outset" w:sz="6" w:space="0" w:color="auto"/>
              <w:left w:val="outset" w:sz="6" w:space="0" w:color="auto"/>
              <w:bottom w:val="outset" w:sz="6" w:space="0" w:color="auto"/>
              <w:right w:val="outset" w:sz="6" w:space="0" w:color="auto"/>
            </w:tcBorders>
            <w:hideMark/>
          </w:tcPr>
          <w:p w14:paraId="57F5F796" w14:textId="77777777" w:rsidR="00D5603B" w:rsidRDefault="00D5603B">
            <w:pPr>
              <w:pStyle w:val="naisf"/>
              <w:ind w:right="71"/>
            </w:pPr>
            <w:r>
              <w:t>Citas starptautiskās saistības</w:t>
            </w:r>
          </w:p>
        </w:tc>
        <w:tc>
          <w:tcPr>
            <w:tcW w:w="6285" w:type="dxa"/>
            <w:gridSpan w:val="3"/>
            <w:tcBorders>
              <w:top w:val="outset" w:sz="6" w:space="0" w:color="auto"/>
              <w:left w:val="outset" w:sz="6" w:space="0" w:color="auto"/>
              <w:bottom w:val="outset" w:sz="6" w:space="0" w:color="auto"/>
              <w:right w:val="outset" w:sz="6" w:space="0" w:color="auto"/>
            </w:tcBorders>
            <w:hideMark/>
          </w:tcPr>
          <w:p w14:paraId="57F5F797" w14:textId="77777777" w:rsidR="00D5603B" w:rsidRDefault="000E593C" w:rsidP="000149F0">
            <w:pPr>
              <w:pStyle w:val="naisf"/>
              <w:ind w:right="71" w:firstLine="0"/>
            </w:pPr>
            <w:r w:rsidRPr="007573D9">
              <w:rPr>
                <w:color w:val="000000"/>
              </w:rPr>
              <w:t xml:space="preserve">Noteikumu projekts </w:t>
            </w:r>
            <w:r w:rsidR="000149F0">
              <w:t xml:space="preserve"> šo jomu neskar.</w:t>
            </w:r>
          </w:p>
        </w:tc>
      </w:tr>
      <w:tr w:rsidR="00D5603B" w14:paraId="57F5F79C" w14:textId="77777777" w:rsidTr="00D5603B">
        <w:trPr>
          <w:jc w:val="center"/>
        </w:trPr>
        <w:tc>
          <w:tcPr>
            <w:tcW w:w="948" w:type="dxa"/>
            <w:tcBorders>
              <w:top w:val="outset" w:sz="6" w:space="0" w:color="auto"/>
              <w:left w:val="outset" w:sz="6" w:space="0" w:color="auto"/>
              <w:bottom w:val="outset" w:sz="6" w:space="0" w:color="auto"/>
              <w:right w:val="outset" w:sz="6" w:space="0" w:color="auto"/>
            </w:tcBorders>
            <w:hideMark/>
          </w:tcPr>
          <w:p w14:paraId="57F5F799" w14:textId="77777777" w:rsidR="00D5603B" w:rsidRDefault="00D5603B">
            <w:pPr>
              <w:pStyle w:val="naisf"/>
              <w:ind w:right="71"/>
            </w:pPr>
            <w:r>
              <w:t>3.</w:t>
            </w:r>
          </w:p>
        </w:tc>
        <w:tc>
          <w:tcPr>
            <w:tcW w:w="2360" w:type="dxa"/>
            <w:gridSpan w:val="2"/>
            <w:tcBorders>
              <w:top w:val="outset" w:sz="6" w:space="0" w:color="auto"/>
              <w:left w:val="outset" w:sz="6" w:space="0" w:color="auto"/>
              <w:bottom w:val="outset" w:sz="6" w:space="0" w:color="auto"/>
              <w:right w:val="outset" w:sz="6" w:space="0" w:color="auto"/>
            </w:tcBorders>
            <w:hideMark/>
          </w:tcPr>
          <w:p w14:paraId="57F5F79A" w14:textId="77777777" w:rsidR="00D5603B" w:rsidRDefault="00D5603B">
            <w:pPr>
              <w:pStyle w:val="naisf"/>
              <w:ind w:right="71"/>
            </w:pPr>
            <w:r>
              <w:t>Cita informācija</w:t>
            </w:r>
          </w:p>
        </w:tc>
        <w:tc>
          <w:tcPr>
            <w:tcW w:w="6285" w:type="dxa"/>
            <w:gridSpan w:val="3"/>
            <w:tcBorders>
              <w:top w:val="outset" w:sz="6" w:space="0" w:color="auto"/>
              <w:left w:val="outset" w:sz="6" w:space="0" w:color="auto"/>
              <w:bottom w:val="outset" w:sz="6" w:space="0" w:color="auto"/>
              <w:right w:val="outset" w:sz="6" w:space="0" w:color="auto"/>
            </w:tcBorders>
            <w:hideMark/>
          </w:tcPr>
          <w:p w14:paraId="57F5F79B" w14:textId="77777777" w:rsidR="00D5603B" w:rsidRPr="00856D59" w:rsidRDefault="00856D59" w:rsidP="00856D59">
            <w:pPr>
              <w:pStyle w:val="naisf"/>
              <w:ind w:right="71" w:firstLine="0"/>
            </w:pPr>
            <w:r w:rsidRPr="00E21F65">
              <w:t>2019. gada 14.</w:t>
            </w:r>
            <w:r>
              <w:t> </w:t>
            </w:r>
            <w:r w:rsidRPr="00E21F65">
              <w:t>martā stājās spēkā Regula Nr.</w:t>
            </w:r>
            <w:r>
              <w:t> </w:t>
            </w:r>
            <w:r w:rsidRPr="00E21F65">
              <w:t xml:space="preserve">2019/316, kas </w:t>
            </w:r>
            <w:r w:rsidRPr="00733C71">
              <w:rPr>
                <w:shd w:val="clear" w:color="auto" w:fill="FFFFFF"/>
              </w:rPr>
              <w:t>paredz</w:t>
            </w:r>
            <w:r>
              <w:rPr>
                <w:shd w:val="clear" w:color="auto" w:fill="FFFFFF"/>
              </w:rPr>
              <w:t xml:space="preserve"> grozījumus Regulas </w:t>
            </w:r>
            <w:r w:rsidRPr="00363445">
              <w:rPr>
                <w:shd w:val="clear" w:color="auto" w:fill="FFFFFF"/>
              </w:rPr>
              <w:t>Nr. 1408/2013</w:t>
            </w:r>
            <w:r>
              <w:rPr>
                <w:shd w:val="clear" w:color="auto" w:fill="FFFFFF"/>
              </w:rPr>
              <w:t xml:space="preserve"> 3. pantā nosakot, ka </w:t>
            </w:r>
            <w:r w:rsidRPr="002E68A1">
              <w:t xml:space="preserve">vienam vienotam uzņēmumam piešķirtā </w:t>
            </w:r>
            <w:r w:rsidRPr="00C339E4">
              <w:rPr>
                <w:i/>
              </w:rPr>
              <w:t>de minimis</w:t>
            </w:r>
            <w:r w:rsidRPr="002E68A1">
              <w:t xml:space="preserve"> atbalsta kopējā summa jebkurā trīs fiskālo gadu periodā nepārsniedz </w:t>
            </w:r>
            <w:r w:rsidRPr="00856D59">
              <w:t>25 000 </w:t>
            </w:r>
            <w:r w:rsidRPr="00856D59">
              <w:rPr>
                <w:i/>
              </w:rPr>
              <w:t>euro</w:t>
            </w:r>
            <w:r>
              <w:rPr>
                <w:i/>
              </w:rPr>
              <w:t>.</w:t>
            </w:r>
          </w:p>
        </w:tc>
      </w:tr>
      <w:tr w:rsidR="00D5603B" w14:paraId="57F5F79F" w14:textId="77777777" w:rsidTr="00D5603B">
        <w:trPr>
          <w:jc w:val="center"/>
        </w:trPr>
        <w:tc>
          <w:tcPr>
            <w:tcW w:w="9593" w:type="dxa"/>
            <w:gridSpan w:val="6"/>
            <w:tcBorders>
              <w:top w:val="outset" w:sz="6" w:space="0" w:color="auto"/>
              <w:left w:val="outset" w:sz="6" w:space="0" w:color="auto"/>
              <w:bottom w:val="outset" w:sz="6" w:space="0" w:color="auto"/>
              <w:right w:val="outset" w:sz="6" w:space="0" w:color="auto"/>
            </w:tcBorders>
            <w:vAlign w:val="center"/>
            <w:hideMark/>
          </w:tcPr>
          <w:p w14:paraId="57F5F79D" w14:textId="77777777" w:rsidR="00D5603B" w:rsidRDefault="00D5603B">
            <w:pPr>
              <w:pStyle w:val="naisf"/>
              <w:ind w:right="71"/>
              <w:jc w:val="left"/>
              <w:rPr>
                <w:b/>
              </w:rPr>
            </w:pPr>
            <w:r>
              <w:rPr>
                <w:b/>
              </w:rPr>
              <w:t>1.tabula</w:t>
            </w:r>
          </w:p>
          <w:p w14:paraId="57F5F79E" w14:textId="77777777" w:rsidR="00D5603B" w:rsidRDefault="00D5603B">
            <w:pPr>
              <w:pStyle w:val="naisf"/>
              <w:ind w:right="71"/>
              <w:jc w:val="left"/>
            </w:pPr>
            <w:r>
              <w:rPr>
                <w:b/>
              </w:rPr>
              <w:t>Tiesību akta projekta atbilstība ES tiesību aktiem</w:t>
            </w:r>
          </w:p>
        </w:tc>
      </w:tr>
      <w:tr w:rsidR="00D5603B" w14:paraId="57F5F7A2" w14:textId="77777777" w:rsidTr="00D5603B">
        <w:trPr>
          <w:jc w:val="center"/>
        </w:trPr>
        <w:tc>
          <w:tcPr>
            <w:tcW w:w="2572" w:type="dxa"/>
            <w:gridSpan w:val="2"/>
            <w:tcBorders>
              <w:top w:val="outset" w:sz="6" w:space="0" w:color="auto"/>
              <w:left w:val="outset" w:sz="6" w:space="0" w:color="auto"/>
              <w:bottom w:val="outset" w:sz="6" w:space="0" w:color="auto"/>
              <w:right w:val="outset" w:sz="6" w:space="0" w:color="auto"/>
            </w:tcBorders>
            <w:hideMark/>
          </w:tcPr>
          <w:p w14:paraId="57F5F7A0" w14:textId="77777777" w:rsidR="00D5603B" w:rsidRDefault="00D5603B">
            <w:pPr>
              <w:pStyle w:val="naisf"/>
              <w:ind w:right="71"/>
            </w:pPr>
            <w:r>
              <w:lastRenderedPageBreak/>
              <w:t>Attiecīgā ES tiesību akta datums, numurs un nosaukums</w:t>
            </w:r>
          </w:p>
        </w:tc>
        <w:tc>
          <w:tcPr>
            <w:tcW w:w="7021" w:type="dxa"/>
            <w:gridSpan w:val="4"/>
            <w:tcBorders>
              <w:top w:val="outset" w:sz="6" w:space="0" w:color="auto"/>
              <w:left w:val="outset" w:sz="6" w:space="0" w:color="auto"/>
              <w:bottom w:val="outset" w:sz="6" w:space="0" w:color="auto"/>
              <w:right w:val="outset" w:sz="6" w:space="0" w:color="auto"/>
            </w:tcBorders>
          </w:tcPr>
          <w:p w14:paraId="57F5F7A1" w14:textId="77777777" w:rsidR="00D5603B" w:rsidRPr="00D5603B" w:rsidRDefault="000E593C" w:rsidP="00D5603B">
            <w:pPr>
              <w:pStyle w:val="naisf"/>
              <w:ind w:right="71" w:firstLine="0"/>
              <w:rPr>
                <w:color w:val="000000"/>
              </w:rPr>
            </w:pPr>
            <w:r>
              <w:t xml:space="preserve">Eiropas Komisijas </w:t>
            </w:r>
            <w:r w:rsidR="006711AF">
              <w:t>2013.</w:t>
            </w:r>
            <w:r>
              <w:t> </w:t>
            </w:r>
            <w:r w:rsidR="006711AF">
              <w:t>gada 18.</w:t>
            </w:r>
            <w:r>
              <w:t> </w:t>
            </w:r>
            <w:r w:rsidR="006711AF">
              <w:t xml:space="preserve">decembra(ES) </w:t>
            </w:r>
            <w:r>
              <w:t>R</w:t>
            </w:r>
            <w:r w:rsidR="006711AF">
              <w:t>egula Nr.</w:t>
            </w:r>
            <w:r>
              <w:t> </w:t>
            </w:r>
            <w:r w:rsidR="006711AF">
              <w:t>1408/2013 par Līguma par Eiropas Savienības darbību 107. un 108.</w:t>
            </w:r>
            <w:r>
              <w:t> </w:t>
            </w:r>
            <w:r w:rsidR="006711AF">
              <w:t xml:space="preserve">panta piemērošanu </w:t>
            </w:r>
            <w:r w:rsidR="006711AF">
              <w:rPr>
                <w:i/>
              </w:rPr>
              <w:t>de minimis</w:t>
            </w:r>
            <w:r w:rsidR="006711AF">
              <w:t xml:space="preserve"> atbalstam lauksaimniecības nozarē.</w:t>
            </w:r>
          </w:p>
        </w:tc>
      </w:tr>
      <w:tr w:rsidR="00D5603B" w14:paraId="57F5F7A7" w14:textId="77777777" w:rsidTr="00D5603B">
        <w:trPr>
          <w:jc w:val="center"/>
        </w:trPr>
        <w:tc>
          <w:tcPr>
            <w:tcW w:w="2572" w:type="dxa"/>
            <w:gridSpan w:val="2"/>
            <w:tcBorders>
              <w:top w:val="outset" w:sz="6" w:space="0" w:color="auto"/>
              <w:left w:val="outset" w:sz="6" w:space="0" w:color="auto"/>
              <w:bottom w:val="outset" w:sz="6" w:space="0" w:color="auto"/>
              <w:right w:val="outset" w:sz="6" w:space="0" w:color="auto"/>
            </w:tcBorders>
            <w:vAlign w:val="center"/>
            <w:hideMark/>
          </w:tcPr>
          <w:p w14:paraId="57F5F7A3" w14:textId="77777777" w:rsidR="00D5603B" w:rsidRDefault="00D5603B">
            <w:pPr>
              <w:pStyle w:val="naisf"/>
              <w:ind w:right="71"/>
            </w:pPr>
            <w:r>
              <w:t>A</w:t>
            </w:r>
          </w:p>
        </w:tc>
        <w:tc>
          <w:tcPr>
            <w:tcW w:w="1751" w:type="dxa"/>
            <w:gridSpan w:val="2"/>
            <w:tcBorders>
              <w:top w:val="outset" w:sz="6" w:space="0" w:color="auto"/>
              <w:left w:val="outset" w:sz="6" w:space="0" w:color="auto"/>
              <w:bottom w:val="outset" w:sz="6" w:space="0" w:color="auto"/>
              <w:right w:val="outset" w:sz="6" w:space="0" w:color="auto"/>
            </w:tcBorders>
            <w:vAlign w:val="center"/>
            <w:hideMark/>
          </w:tcPr>
          <w:p w14:paraId="57F5F7A4" w14:textId="77777777" w:rsidR="00D5603B" w:rsidRDefault="00D5603B">
            <w:pPr>
              <w:pStyle w:val="naisf"/>
              <w:ind w:right="71"/>
            </w:pPr>
            <w:r>
              <w:t>B</w:t>
            </w:r>
          </w:p>
        </w:tc>
        <w:tc>
          <w:tcPr>
            <w:tcW w:w="2427" w:type="dxa"/>
            <w:tcBorders>
              <w:top w:val="outset" w:sz="6" w:space="0" w:color="auto"/>
              <w:left w:val="outset" w:sz="6" w:space="0" w:color="auto"/>
              <w:bottom w:val="outset" w:sz="6" w:space="0" w:color="auto"/>
              <w:right w:val="outset" w:sz="6" w:space="0" w:color="auto"/>
            </w:tcBorders>
            <w:vAlign w:val="center"/>
            <w:hideMark/>
          </w:tcPr>
          <w:p w14:paraId="57F5F7A5" w14:textId="77777777" w:rsidR="00D5603B" w:rsidRDefault="00D5603B">
            <w:pPr>
              <w:pStyle w:val="naisf"/>
              <w:ind w:right="71"/>
            </w:pPr>
            <w:r>
              <w:t>C</w:t>
            </w:r>
          </w:p>
        </w:tc>
        <w:tc>
          <w:tcPr>
            <w:tcW w:w="2843" w:type="dxa"/>
            <w:tcBorders>
              <w:top w:val="outset" w:sz="6" w:space="0" w:color="auto"/>
              <w:left w:val="outset" w:sz="6" w:space="0" w:color="auto"/>
              <w:bottom w:val="outset" w:sz="6" w:space="0" w:color="auto"/>
              <w:right w:val="outset" w:sz="6" w:space="0" w:color="auto"/>
            </w:tcBorders>
            <w:vAlign w:val="center"/>
            <w:hideMark/>
          </w:tcPr>
          <w:p w14:paraId="57F5F7A6" w14:textId="77777777" w:rsidR="00D5603B" w:rsidRDefault="00D5603B">
            <w:pPr>
              <w:pStyle w:val="naisf"/>
              <w:ind w:right="71"/>
            </w:pPr>
            <w:r>
              <w:t>D</w:t>
            </w:r>
          </w:p>
        </w:tc>
      </w:tr>
      <w:tr w:rsidR="00D5603B" w14:paraId="57F5F7B0" w14:textId="77777777" w:rsidTr="00D5603B">
        <w:trPr>
          <w:jc w:val="center"/>
        </w:trPr>
        <w:tc>
          <w:tcPr>
            <w:tcW w:w="2572" w:type="dxa"/>
            <w:gridSpan w:val="2"/>
            <w:tcBorders>
              <w:top w:val="outset" w:sz="6" w:space="0" w:color="auto"/>
              <w:left w:val="outset" w:sz="6" w:space="0" w:color="auto"/>
              <w:bottom w:val="outset" w:sz="6" w:space="0" w:color="auto"/>
              <w:right w:val="outset" w:sz="6" w:space="0" w:color="auto"/>
            </w:tcBorders>
            <w:hideMark/>
          </w:tcPr>
          <w:p w14:paraId="57F5F7A8" w14:textId="77777777" w:rsidR="00D5603B" w:rsidRDefault="00D5603B">
            <w:pPr>
              <w:pStyle w:val="naisf"/>
              <w:ind w:right="71"/>
            </w:pPr>
            <w:r>
              <w:t>Attiecīgā ES tiesību akta panta numurs (uzskaitot katru tiesību akta vienību – pantu, daļu, punktu, apakšpunktu)</w:t>
            </w:r>
          </w:p>
        </w:tc>
        <w:tc>
          <w:tcPr>
            <w:tcW w:w="1751" w:type="dxa"/>
            <w:gridSpan w:val="2"/>
            <w:tcBorders>
              <w:top w:val="outset" w:sz="6" w:space="0" w:color="auto"/>
              <w:left w:val="outset" w:sz="6" w:space="0" w:color="auto"/>
              <w:bottom w:val="outset" w:sz="6" w:space="0" w:color="auto"/>
              <w:right w:val="outset" w:sz="6" w:space="0" w:color="auto"/>
            </w:tcBorders>
            <w:hideMark/>
          </w:tcPr>
          <w:p w14:paraId="57F5F7A9" w14:textId="77777777" w:rsidR="00D5603B" w:rsidRDefault="00D5603B">
            <w:pPr>
              <w:pStyle w:val="naisf"/>
              <w:ind w:right="71"/>
            </w:pPr>
            <w:r>
              <w:t>Projekta vienība, kas pārņem vai ievieš katru šīs tabulas A ailē minēto ES tiesību akta vienību, vai tiesību akts, kur attiecīgā ES tiesību akta vienība pārņemta vai ieviesta</w:t>
            </w:r>
          </w:p>
        </w:tc>
        <w:tc>
          <w:tcPr>
            <w:tcW w:w="2427" w:type="dxa"/>
            <w:tcBorders>
              <w:top w:val="outset" w:sz="6" w:space="0" w:color="auto"/>
              <w:left w:val="outset" w:sz="6" w:space="0" w:color="auto"/>
              <w:bottom w:val="outset" w:sz="6" w:space="0" w:color="auto"/>
              <w:right w:val="outset" w:sz="6" w:space="0" w:color="auto"/>
            </w:tcBorders>
            <w:hideMark/>
          </w:tcPr>
          <w:p w14:paraId="57F5F7AA" w14:textId="77777777" w:rsidR="00D5603B" w:rsidRDefault="00D5603B">
            <w:pPr>
              <w:pStyle w:val="naisf"/>
              <w:ind w:right="71"/>
            </w:pPr>
            <w:r>
              <w:t>Informācija par to, vai šīs tabulas A ailē minētās ES tiesību akta vienības tiek pārņemtas vai ieviestas pilnībā vai daļēji.</w:t>
            </w:r>
          </w:p>
          <w:p w14:paraId="57F5F7AB" w14:textId="77777777" w:rsidR="00D5603B" w:rsidRDefault="00D5603B">
            <w:pPr>
              <w:pStyle w:val="naisf"/>
              <w:ind w:right="71"/>
            </w:pPr>
            <w:r>
              <w:t>Ja attiecīgā ES tiesību akta vienība tiek pārņemta vai ieviesta daļēji, sniedz attiecīgu skaidrojumu, kā arī precīzi norāda, kad un kādā veidā ES tiesību akta vienība tiks pārņemta vai ieviesta pilnībā.</w:t>
            </w:r>
          </w:p>
          <w:p w14:paraId="57F5F7AC" w14:textId="77777777" w:rsidR="00D5603B" w:rsidRDefault="00D5603B">
            <w:pPr>
              <w:pStyle w:val="naisf"/>
              <w:ind w:right="71"/>
            </w:pPr>
            <w:r>
              <w:t>Norāda institūciju, kas ir atbildīga par šo saistību izpildi pilnībā</w:t>
            </w:r>
          </w:p>
        </w:tc>
        <w:tc>
          <w:tcPr>
            <w:tcW w:w="2843" w:type="dxa"/>
            <w:tcBorders>
              <w:top w:val="outset" w:sz="6" w:space="0" w:color="auto"/>
              <w:left w:val="outset" w:sz="6" w:space="0" w:color="auto"/>
              <w:bottom w:val="outset" w:sz="6" w:space="0" w:color="auto"/>
              <w:right w:val="outset" w:sz="6" w:space="0" w:color="auto"/>
            </w:tcBorders>
            <w:hideMark/>
          </w:tcPr>
          <w:p w14:paraId="57F5F7AD" w14:textId="77777777" w:rsidR="00D5603B" w:rsidRDefault="00D5603B">
            <w:pPr>
              <w:pStyle w:val="naisf"/>
              <w:ind w:right="71"/>
            </w:pPr>
            <w:r>
              <w:t>Informācija par to, vai šīs tabulas B ailē minētās projekta vienības paredz stingrākas prasības nekā šīs tabulas A ailē minētās ES tiesību akta vienības.</w:t>
            </w:r>
          </w:p>
          <w:p w14:paraId="57F5F7AE" w14:textId="77777777" w:rsidR="00D5603B" w:rsidRDefault="00D5603B">
            <w:pPr>
              <w:pStyle w:val="naisf"/>
              <w:ind w:right="71"/>
            </w:pPr>
            <w:r>
              <w:t>Ja projekts satur stingrā</w:t>
            </w:r>
            <w:r>
              <w:softHyphen/>
              <w:t>kas prasības nekā attie</w:t>
            </w:r>
            <w:r>
              <w:softHyphen/>
              <w:t>cīgais ES tiesību akts, norāda pamatojumu un samērīgumu.</w:t>
            </w:r>
          </w:p>
          <w:p w14:paraId="57F5F7AF" w14:textId="77777777" w:rsidR="00D5603B" w:rsidRDefault="00D5603B">
            <w:pPr>
              <w:pStyle w:val="naisf"/>
              <w:ind w:right="71"/>
            </w:pPr>
            <w:r>
              <w:t>Norāda iespējamās alternatīvas (t.sk. alternatīvas, kas neparedz tiesiskā regulējuma izstrādi) – kādos gadījumos būtu iespējams izvairīties no stingrāku prasību noteikšanas, nekā paredzēts attiecīgajos ES tiesību aktos</w:t>
            </w:r>
          </w:p>
        </w:tc>
      </w:tr>
      <w:tr w:rsidR="00D5603B" w14:paraId="57F5F7B5" w14:textId="77777777" w:rsidTr="00D5603B">
        <w:trPr>
          <w:jc w:val="center"/>
        </w:trPr>
        <w:tc>
          <w:tcPr>
            <w:tcW w:w="2572" w:type="dxa"/>
            <w:gridSpan w:val="2"/>
            <w:tcBorders>
              <w:top w:val="outset" w:sz="6" w:space="0" w:color="auto"/>
              <w:left w:val="outset" w:sz="6" w:space="0" w:color="auto"/>
              <w:bottom w:val="outset" w:sz="6" w:space="0" w:color="auto"/>
              <w:right w:val="outset" w:sz="6" w:space="0" w:color="auto"/>
            </w:tcBorders>
            <w:hideMark/>
          </w:tcPr>
          <w:p w14:paraId="57F5F7B1" w14:textId="77777777" w:rsidR="00D5603B" w:rsidRDefault="00D5603B" w:rsidP="00A67A4F">
            <w:pPr>
              <w:pStyle w:val="naisf"/>
              <w:ind w:right="71"/>
            </w:pPr>
            <w:r>
              <w:t xml:space="preserve">Komisijas regulas </w:t>
            </w:r>
            <w:r w:rsidR="00A67A4F">
              <w:t>Nr.1408/2013 3. panta 3.a punkts.</w:t>
            </w:r>
          </w:p>
        </w:tc>
        <w:tc>
          <w:tcPr>
            <w:tcW w:w="1751" w:type="dxa"/>
            <w:gridSpan w:val="2"/>
            <w:tcBorders>
              <w:top w:val="outset" w:sz="6" w:space="0" w:color="auto"/>
              <w:left w:val="outset" w:sz="6" w:space="0" w:color="auto"/>
              <w:bottom w:val="outset" w:sz="6" w:space="0" w:color="auto"/>
              <w:right w:val="outset" w:sz="6" w:space="0" w:color="auto"/>
            </w:tcBorders>
            <w:hideMark/>
          </w:tcPr>
          <w:p w14:paraId="57F5F7B2" w14:textId="77777777" w:rsidR="00D5603B" w:rsidRDefault="00D5603B" w:rsidP="00D5603B">
            <w:pPr>
              <w:pStyle w:val="naisf"/>
              <w:ind w:right="71"/>
            </w:pPr>
            <w:r>
              <w:rPr>
                <w:bCs/>
              </w:rPr>
              <w:t>Noteikumu projekta 39.2.</w:t>
            </w:r>
            <w:r w:rsidR="000E593C">
              <w:rPr>
                <w:bCs/>
              </w:rPr>
              <w:t> </w:t>
            </w:r>
            <w:r>
              <w:rPr>
                <w:bCs/>
              </w:rPr>
              <w:t xml:space="preserve">apakšpunkts. </w:t>
            </w:r>
          </w:p>
        </w:tc>
        <w:tc>
          <w:tcPr>
            <w:tcW w:w="2427" w:type="dxa"/>
            <w:tcBorders>
              <w:top w:val="outset" w:sz="6" w:space="0" w:color="auto"/>
              <w:left w:val="outset" w:sz="6" w:space="0" w:color="auto"/>
              <w:bottom w:val="outset" w:sz="6" w:space="0" w:color="auto"/>
              <w:right w:val="outset" w:sz="6" w:space="0" w:color="auto"/>
            </w:tcBorders>
            <w:hideMark/>
          </w:tcPr>
          <w:p w14:paraId="57F5F7B3" w14:textId="77777777" w:rsidR="00D5603B" w:rsidRDefault="00D5603B">
            <w:pPr>
              <w:pStyle w:val="naisf"/>
              <w:ind w:right="71"/>
            </w:pPr>
            <w:r>
              <w:rPr>
                <w:iCs/>
              </w:rPr>
              <w:t>Tiesību norma ieviesta pilnībā.</w:t>
            </w:r>
          </w:p>
        </w:tc>
        <w:tc>
          <w:tcPr>
            <w:tcW w:w="2843" w:type="dxa"/>
            <w:tcBorders>
              <w:top w:val="outset" w:sz="6" w:space="0" w:color="auto"/>
              <w:left w:val="outset" w:sz="6" w:space="0" w:color="auto"/>
              <w:bottom w:val="outset" w:sz="6" w:space="0" w:color="auto"/>
              <w:right w:val="outset" w:sz="6" w:space="0" w:color="auto"/>
            </w:tcBorders>
            <w:hideMark/>
          </w:tcPr>
          <w:p w14:paraId="57F5F7B4" w14:textId="77777777" w:rsidR="00D5603B" w:rsidRDefault="00D5603B">
            <w:pPr>
              <w:pStyle w:val="naisf"/>
              <w:ind w:right="71"/>
            </w:pPr>
            <w:r>
              <w:t>Stingrākas prasības netiek piemērotas.</w:t>
            </w:r>
          </w:p>
        </w:tc>
      </w:tr>
      <w:tr w:rsidR="00D5603B" w14:paraId="57F5F7B9" w14:textId="77777777" w:rsidTr="00D5603B">
        <w:trPr>
          <w:jc w:val="center"/>
        </w:trPr>
        <w:tc>
          <w:tcPr>
            <w:tcW w:w="2572" w:type="dxa"/>
            <w:gridSpan w:val="2"/>
            <w:tcBorders>
              <w:top w:val="outset" w:sz="6" w:space="0" w:color="auto"/>
              <w:left w:val="outset" w:sz="6" w:space="0" w:color="auto"/>
              <w:bottom w:val="outset" w:sz="6" w:space="0" w:color="auto"/>
              <w:right w:val="outset" w:sz="6" w:space="0" w:color="auto"/>
            </w:tcBorders>
            <w:hideMark/>
          </w:tcPr>
          <w:p w14:paraId="57F5F7B6" w14:textId="77777777" w:rsidR="00D5603B" w:rsidRDefault="00D5603B">
            <w:pPr>
              <w:pStyle w:val="naisf"/>
              <w:ind w:right="71"/>
            </w:pPr>
            <w:r>
              <w:t>Kā ir izmantota ES tiesību aktā paredzētā rīcības brīvība dalīb</w:t>
            </w:r>
            <w:r>
              <w:softHyphen/>
              <w:t>valstij pārņemt vai ieviest noteiktas ES tiesību akta normas?</w:t>
            </w:r>
          </w:p>
          <w:p w14:paraId="57F5F7B7" w14:textId="77777777" w:rsidR="00D5603B" w:rsidRDefault="00D5603B">
            <w:pPr>
              <w:pStyle w:val="naisf"/>
              <w:ind w:right="71"/>
            </w:pPr>
            <w:r>
              <w:t>Kādēļ?</w:t>
            </w:r>
          </w:p>
        </w:tc>
        <w:tc>
          <w:tcPr>
            <w:tcW w:w="7021" w:type="dxa"/>
            <w:gridSpan w:val="4"/>
            <w:tcBorders>
              <w:top w:val="outset" w:sz="6" w:space="0" w:color="auto"/>
              <w:left w:val="outset" w:sz="6" w:space="0" w:color="auto"/>
              <w:bottom w:val="outset" w:sz="6" w:space="0" w:color="auto"/>
              <w:right w:val="outset" w:sz="6" w:space="0" w:color="auto"/>
            </w:tcBorders>
            <w:hideMark/>
          </w:tcPr>
          <w:p w14:paraId="57F5F7B8" w14:textId="77777777" w:rsidR="00D5603B" w:rsidRDefault="00802E2E" w:rsidP="00802E2E">
            <w:pPr>
              <w:pStyle w:val="naisf"/>
              <w:ind w:right="71" w:firstLine="0"/>
            </w:pPr>
            <w:r>
              <w:rPr>
                <w:color w:val="000000"/>
              </w:rPr>
              <w:t xml:space="preserve"> </w:t>
            </w:r>
            <w:r w:rsidR="000E593C" w:rsidRPr="007573D9">
              <w:rPr>
                <w:color w:val="000000"/>
              </w:rPr>
              <w:t xml:space="preserve">Noteikumu projekts </w:t>
            </w:r>
            <w:r w:rsidR="00D5603B">
              <w:t xml:space="preserve"> šo jomu neskar</w:t>
            </w:r>
            <w:r w:rsidR="000E593C">
              <w:t>.</w:t>
            </w:r>
          </w:p>
        </w:tc>
      </w:tr>
      <w:tr w:rsidR="00D5603B" w14:paraId="57F5F7BC" w14:textId="77777777" w:rsidTr="00D5603B">
        <w:trPr>
          <w:jc w:val="center"/>
        </w:trPr>
        <w:tc>
          <w:tcPr>
            <w:tcW w:w="2572" w:type="dxa"/>
            <w:gridSpan w:val="2"/>
            <w:tcBorders>
              <w:top w:val="outset" w:sz="6" w:space="0" w:color="auto"/>
              <w:left w:val="outset" w:sz="6" w:space="0" w:color="auto"/>
              <w:bottom w:val="outset" w:sz="6" w:space="0" w:color="auto"/>
              <w:right w:val="outset" w:sz="6" w:space="0" w:color="auto"/>
            </w:tcBorders>
            <w:hideMark/>
          </w:tcPr>
          <w:p w14:paraId="57F5F7BA" w14:textId="77777777" w:rsidR="00D5603B" w:rsidRDefault="00D5603B">
            <w:pPr>
              <w:pStyle w:val="naisf"/>
              <w:ind w:right="71"/>
            </w:pPr>
            <w:r>
              <w:t>Saistības sniegt paziņojumu ES insti</w:t>
            </w:r>
            <w:r>
              <w:softHyphen/>
              <w:t>tūcijām un ES dalīb</w:t>
            </w:r>
            <w:r>
              <w:softHyphen/>
              <w:t>valstīm atbilstoši normatīvajiem aktiem, kas regulē informā</w:t>
            </w:r>
            <w:r>
              <w:softHyphen/>
              <w:t>cijas sniegšanu par tehnisko noteikumu, valsts atbalsta piešķir</w:t>
            </w:r>
            <w:r>
              <w:softHyphen/>
              <w:t>šanas un finanšu noteikumu (attiecībā uz monetāro politiku) projektiem</w:t>
            </w:r>
          </w:p>
        </w:tc>
        <w:tc>
          <w:tcPr>
            <w:tcW w:w="7021" w:type="dxa"/>
            <w:gridSpan w:val="4"/>
            <w:tcBorders>
              <w:top w:val="outset" w:sz="6" w:space="0" w:color="auto"/>
              <w:left w:val="outset" w:sz="6" w:space="0" w:color="auto"/>
              <w:bottom w:val="outset" w:sz="6" w:space="0" w:color="auto"/>
              <w:right w:val="outset" w:sz="6" w:space="0" w:color="auto"/>
            </w:tcBorders>
            <w:hideMark/>
          </w:tcPr>
          <w:p w14:paraId="57F5F7BB" w14:textId="77777777" w:rsidR="00D5603B" w:rsidRDefault="00802E2E" w:rsidP="00802E2E">
            <w:pPr>
              <w:pStyle w:val="naisf"/>
              <w:ind w:right="71" w:firstLine="0"/>
            </w:pPr>
            <w:r>
              <w:rPr>
                <w:color w:val="000000"/>
              </w:rPr>
              <w:t xml:space="preserve"> </w:t>
            </w:r>
            <w:r w:rsidR="000E593C" w:rsidRPr="007573D9">
              <w:rPr>
                <w:color w:val="000000"/>
              </w:rPr>
              <w:t xml:space="preserve">Noteikumu projekts </w:t>
            </w:r>
            <w:r w:rsidR="00D5603B">
              <w:t xml:space="preserve"> šo jomu neskar</w:t>
            </w:r>
            <w:r w:rsidR="000E593C">
              <w:t>.</w:t>
            </w:r>
          </w:p>
        </w:tc>
      </w:tr>
      <w:tr w:rsidR="00D5603B" w14:paraId="57F5F7BF" w14:textId="77777777" w:rsidTr="00D5603B">
        <w:trPr>
          <w:jc w:val="center"/>
        </w:trPr>
        <w:tc>
          <w:tcPr>
            <w:tcW w:w="2572" w:type="dxa"/>
            <w:gridSpan w:val="2"/>
            <w:tcBorders>
              <w:top w:val="outset" w:sz="6" w:space="0" w:color="auto"/>
              <w:left w:val="outset" w:sz="6" w:space="0" w:color="auto"/>
              <w:bottom w:val="outset" w:sz="6" w:space="0" w:color="auto"/>
              <w:right w:val="outset" w:sz="6" w:space="0" w:color="auto"/>
            </w:tcBorders>
            <w:hideMark/>
          </w:tcPr>
          <w:p w14:paraId="57F5F7BD" w14:textId="77777777" w:rsidR="00D5603B" w:rsidRDefault="00D5603B">
            <w:pPr>
              <w:pStyle w:val="naisf"/>
              <w:ind w:right="71"/>
            </w:pPr>
            <w:r>
              <w:lastRenderedPageBreak/>
              <w:t>Cita informācija</w:t>
            </w:r>
          </w:p>
        </w:tc>
        <w:tc>
          <w:tcPr>
            <w:tcW w:w="7021" w:type="dxa"/>
            <w:gridSpan w:val="4"/>
            <w:tcBorders>
              <w:top w:val="outset" w:sz="6" w:space="0" w:color="auto"/>
              <w:left w:val="outset" w:sz="6" w:space="0" w:color="auto"/>
              <w:bottom w:val="outset" w:sz="6" w:space="0" w:color="auto"/>
              <w:right w:val="outset" w:sz="6" w:space="0" w:color="auto"/>
            </w:tcBorders>
            <w:hideMark/>
          </w:tcPr>
          <w:p w14:paraId="57F5F7BE" w14:textId="77777777" w:rsidR="00D5603B" w:rsidRDefault="00D5603B">
            <w:pPr>
              <w:pStyle w:val="naisf"/>
              <w:ind w:right="71"/>
            </w:pPr>
            <w:r>
              <w:t>Nav</w:t>
            </w:r>
          </w:p>
        </w:tc>
      </w:tr>
    </w:tbl>
    <w:p w14:paraId="57F5F7C0" w14:textId="77777777" w:rsidR="000519F3" w:rsidRPr="00D1101E" w:rsidRDefault="000519F3" w:rsidP="00093832"/>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4"/>
        <w:gridCol w:w="2834"/>
        <w:gridCol w:w="6188"/>
      </w:tblGrid>
      <w:tr w:rsidR="00192409" w:rsidRPr="00D1101E" w14:paraId="57F5F7C2" w14:textId="77777777" w:rsidTr="00F7679B">
        <w:trPr>
          <w:trHeight w:val="421"/>
          <w:jc w:val="center"/>
        </w:trPr>
        <w:tc>
          <w:tcPr>
            <w:tcW w:w="5000" w:type="pct"/>
            <w:gridSpan w:val="3"/>
            <w:vAlign w:val="center"/>
          </w:tcPr>
          <w:p w14:paraId="57F5F7C1" w14:textId="77777777" w:rsidR="00093832" w:rsidRPr="00D1101E" w:rsidRDefault="000149F0" w:rsidP="00CB2254">
            <w:pPr>
              <w:pStyle w:val="naisnod"/>
              <w:spacing w:before="0" w:after="0"/>
              <w:ind w:left="57" w:right="57"/>
            </w:pPr>
            <w:r>
              <w:t>VI. </w:t>
            </w:r>
            <w:r w:rsidR="00093832" w:rsidRPr="00D1101E">
              <w:t>Sabiedrības līdzdalība un komunikācijas aktivitātes</w:t>
            </w:r>
          </w:p>
        </w:tc>
      </w:tr>
      <w:tr w:rsidR="00192409" w:rsidRPr="00D1101E" w14:paraId="57F5F7C6" w14:textId="77777777" w:rsidTr="00F7679B">
        <w:trPr>
          <w:trHeight w:val="553"/>
          <w:jc w:val="center"/>
        </w:trPr>
        <w:tc>
          <w:tcPr>
            <w:tcW w:w="250" w:type="pct"/>
          </w:tcPr>
          <w:p w14:paraId="57F5F7C3" w14:textId="77777777" w:rsidR="00093832" w:rsidRPr="00D1101E" w:rsidRDefault="00093832" w:rsidP="00CB2254">
            <w:pPr>
              <w:ind w:left="57" w:right="57"/>
              <w:jc w:val="both"/>
              <w:rPr>
                <w:bCs/>
              </w:rPr>
            </w:pPr>
            <w:r w:rsidRPr="00D1101E">
              <w:rPr>
                <w:bCs/>
              </w:rPr>
              <w:t>1.</w:t>
            </w:r>
          </w:p>
        </w:tc>
        <w:tc>
          <w:tcPr>
            <w:tcW w:w="1492" w:type="pct"/>
          </w:tcPr>
          <w:p w14:paraId="57F5F7C4" w14:textId="77777777" w:rsidR="00093832" w:rsidRPr="00D1101E" w:rsidRDefault="00093832" w:rsidP="00CB2254">
            <w:pPr>
              <w:tabs>
                <w:tab w:val="left" w:pos="170"/>
              </w:tabs>
              <w:ind w:left="57" w:right="57"/>
            </w:pPr>
            <w:r w:rsidRPr="00D1101E">
              <w:t>Plānotās sabiedrības līdzdalības un komunikācijas aktivitātes saistībā ar projektu</w:t>
            </w:r>
          </w:p>
        </w:tc>
        <w:tc>
          <w:tcPr>
            <w:tcW w:w="3258" w:type="pct"/>
          </w:tcPr>
          <w:p w14:paraId="57F5F7C5" w14:textId="77777777" w:rsidR="00711AA1" w:rsidRPr="00D1101E" w:rsidRDefault="00B74C17" w:rsidP="008D45CE">
            <w:pPr>
              <w:ind w:right="57"/>
              <w:jc w:val="both"/>
            </w:pPr>
            <w:bookmarkStart w:id="3" w:name="p61"/>
            <w:bookmarkEnd w:id="3"/>
            <w:r>
              <w:t>Atbilstoši Ministru kabineta 2009. gada 25. augusta noteikumu Nr.</w:t>
            </w:r>
            <w:r w:rsidR="00F1700C">
              <w:t> </w:t>
            </w:r>
            <w:r>
              <w:t>970 “Sabiedrības līdzdalības kārtība attīstības plānošanas procesā” 5. punktam sabiedrības līdzdalības kārtība ir piemērojama tiesību aktu projektu izstrādē, kas būtiski maina esošo regulējumu vai paredz ieviest jaunas politiskās iniciatīvas. Ņemot vērā, ka noteikumu projekts neatbilst minētajiem kritērijiem, sabiedrības līdzdalības kārtība noteikumu projekta izstrādē netiek piemērota. Noteikumu projekts un tā anotācija pēc tā izsludināšanas Valsts sekretāru sanāksmē publiski pieejami Ministru kabineta tīmekļvietnē – sadaļā/</w:t>
            </w:r>
            <w:r>
              <w:rPr>
                <w:i/>
                <w:iCs/>
              </w:rPr>
              <w:t>Tiesību aktu projekti</w:t>
            </w:r>
            <w:r>
              <w:t>.</w:t>
            </w:r>
          </w:p>
        </w:tc>
      </w:tr>
      <w:tr w:rsidR="00093832" w:rsidRPr="00D1101E" w14:paraId="57F5F7CB" w14:textId="77777777" w:rsidTr="00F7679B">
        <w:trPr>
          <w:trHeight w:val="339"/>
          <w:jc w:val="center"/>
        </w:trPr>
        <w:tc>
          <w:tcPr>
            <w:tcW w:w="250" w:type="pct"/>
          </w:tcPr>
          <w:p w14:paraId="57F5F7C7" w14:textId="77777777" w:rsidR="00093832" w:rsidRPr="00D1101E" w:rsidRDefault="00093832" w:rsidP="00CB2254">
            <w:pPr>
              <w:ind w:left="57" w:right="57"/>
              <w:jc w:val="both"/>
              <w:rPr>
                <w:bCs/>
              </w:rPr>
            </w:pPr>
            <w:r w:rsidRPr="00D1101E">
              <w:rPr>
                <w:bCs/>
              </w:rPr>
              <w:t>2.</w:t>
            </w:r>
          </w:p>
        </w:tc>
        <w:tc>
          <w:tcPr>
            <w:tcW w:w="1492" w:type="pct"/>
          </w:tcPr>
          <w:p w14:paraId="57F5F7C8" w14:textId="77777777" w:rsidR="00093832" w:rsidRPr="00D1101E" w:rsidRDefault="00093832" w:rsidP="00CB2254">
            <w:pPr>
              <w:ind w:left="57" w:right="57"/>
            </w:pPr>
            <w:r w:rsidRPr="00D1101E">
              <w:t>Sabiedrības līdzdalība projekta izstrādē</w:t>
            </w:r>
          </w:p>
        </w:tc>
        <w:tc>
          <w:tcPr>
            <w:tcW w:w="3258" w:type="pct"/>
          </w:tcPr>
          <w:p w14:paraId="57F5F7C9" w14:textId="77777777" w:rsidR="00955983" w:rsidRDefault="00CB7E04" w:rsidP="0006147B">
            <w:pPr>
              <w:pStyle w:val="naisf"/>
              <w:spacing w:before="0" w:after="0"/>
              <w:ind w:firstLine="0"/>
            </w:pPr>
            <w:bookmarkStart w:id="4" w:name="p62"/>
            <w:bookmarkEnd w:id="4"/>
            <w:r>
              <w:t xml:space="preserve">Noteikumu projekts un tā anotācija </w:t>
            </w:r>
            <w:r w:rsidR="00F1700C">
              <w:t>publicēta</w:t>
            </w:r>
            <w:r>
              <w:t xml:space="preserve"> Ministrijas tīmekļvietnē </w:t>
            </w:r>
            <w:r w:rsidR="006011F4">
              <w:t>2019. gada 25. jūnijā:</w:t>
            </w:r>
          </w:p>
          <w:p w14:paraId="57F5F7CA" w14:textId="77777777" w:rsidR="006011F4" w:rsidRPr="00D1101E" w:rsidRDefault="0031397D" w:rsidP="0006147B">
            <w:pPr>
              <w:pStyle w:val="naisf"/>
              <w:spacing w:before="0" w:after="0"/>
              <w:ind w:firstLine="0"/>
            </w:pPr>
            <w:hyperlink r:id="rId8" w:history="1">
              <w:r w:rsidR="006011F4">
                <w:rPr>
                  <w:rStyle w:val="Hyperlink"/>
                </w:rPr>
                <w:t>www.varam.gov.lv</w:t>
              </w:r>
            </w:hyperlink>
            <w:r w:rsidR="000E593C">
              <w:rPr>
                <w:rStyle w:val="Hyperlink"/>
              </w:rPr>
              <w:t xml:space="preserve"> .</w:t>
            </w:r>
          </w:p>
        </w:tc>
      </w:tr>
      <w:tr w:rsidR="00093832" w:rsidRPr="00D1101E" w14:paraId="57F5F7CF" w14:textId="77777777" w:rsidTr="00F7679B">
        <w:trPr>
          <w:trHeight w:val="476"/>
          <w:jc w:val="center"/>
        </w:trPr>
        <w:tc>
          <w:tcPr>
            <w:tcW w:w="250" w:type="pct"/>
          </w:tcPr>
          <w:p w14:paraId="57F5F7CC" w14:textId="77777777" w:rsidR="00093832" w:rsidRPr="00D1101E" w:rsidRDefault="004A1D5D" w:rsidP="00CB2254">
            <w:pPr>
              <w:ind w:left="57" w:right="57"/>
              <w:jc w:val="both"/>
              <w:rPr>
                <w:bCs/>
              </w:rPr>
            </w:pPr>
            <w:r>
              <w:rPr>
                <w:bCs/>
              </w:rPr>
              <w:t>3.</w:t>
            </w:r>
          </w:p>
        </w:tc>
        <w:tc>
          <w:tcPr>
            <w:tcW w:w="1492" w:type="pct"/>
          </w:tcPr>
          <w:p w14:paraId="57F5F7CD" w14:textId="77777777" w:rsidR="00093832" w:rsidRPr="00D1101E" w:rsidRDefault="00093832" w:rsidP="00CB2254">
            <w:pPr>
              <w:ind w:left="57" w:right="57"/>
            </w:pPr>
            <w:r w:rsidRPr="00D1101E">
              <w:t>Sabiedrības līdzdalības rezultāti</w:t>
            </w:r>
          </w:p>
        </w:tc>
        <w:tc>
          <w:tcPr>
            <w:tcW w:w="3258" w:type="pct"/>
          </w:tcPr>
          <w:p w14:paraId="57F5F7CE" w14:textId="77777777" w:rsidR="00F70C07" w:rsidRPr="00424E40" w:rsidRDefault="007326D1" w:rsidP="00212624">
            <w:pPr>
              <w:shd w:val="clear" w:color="auto" w:fill="FFFFFF"/>
              <w:jc w:val="both"/>
            </w:pPr>
            <w:r>
              <w:t>Netika saņemti iebildumi vai priekšlikumi.</w:t>
            </w:r>
          </w:p>
        </w:tc>
      </w:tr>
      <w:tr w:rsidR="00093832" w:rsidRPr="00D1101E" w14:paraId="57F5F7D3" w14:textId="77777777" w:rsidTr="004A1D5D">
        <w:trPr>
          <w:trHeight w:val="208"/>
          <w:jc w:val="center"/>
        </w:trPr>
        <w:tc>
          <w:tcPr>
            <w:tcW w:w="250" w:type="pct"/>
          </w:tcPr>
          <w:p w14:paraId="57F5F7D0" w14:textId="77777777" w:rsidR="00093832" w:rsidRPr="00D1101E" w:rsidRDefault="00093832" w:rsidP="00CB2254">
            <w:pPr>
              <w:ind w:left="57" w:right="57"/>
              <w:jc w:val="both"/>
              <w:rPr>
                <w:bCs/>
              </w:rPr>
            </w:pPr>
            <w:r w:rsidRPr="00D1101E">
              <w:rPr>
                <w:bCs/>
              </w:rPr>
              <w:t>4.</w:t>
            </w:r>
          </w:p>
        </w:tc>
        <w:tc>
          <w:tcPr>
            <w:tcW w:w="1492" w:type="pct"/>
          </w:tcPr>
          <w:p w14:paraId="57F5F7D1" w14:textId="77777777" w:rsidR="00093832" w:rsidRPr="00D1101E" w:rsidRDefault="00093832" w:rsidP="00CB2254">
            <w:pPr>
              <w:ind w:left="57" w:right="57"/>
            </w:pPr>
            <w:r w:rsidRPr="00D1101E">
              <w:t>Cita informācija</w:t>
            </w:r>
          </w:p>
        </w:tc>
        <w:tc>
          <w:tcPr>
            <w:tcW w:w="3258" w:type="pct"/>
          </w:tcPr>
          <w:p w14:paraId="57F5F7D2" w14:textId="77777777" w:rsidR="00093832" w:rsidRPr="00D1101E" w:rsidRDefault="00B74C17" w:rsidP="008E2304">
            <w:pPr>
              <w:jc w:val="both"/>
            </w:pPr>
            <w:r>
              <w:t xml:space="preserve">Saskaņā ar Oficiālo publikāciju un tiesiskās informācijas likuma 2. panta pirmo daļu un 3. panta pirmo daļu tiesību aktus publicē oficiālajā izdevumā “Latvijas Vēstnesis”, tos publicējot elektroniski tīmekļvietnē </w:t>
            </w:r>
            <w:hyperlink r:id="rId9" w:history="1">
              <w:r>
                <w:rPr>
                  <w:rStyle w:val="Hyperlink"/>
                </w:rPr>
                <w:t>www.vestnesis.lv</w:t>
              </w:r>
            </w:hyperlink>
            <w:r>
              <w:t>.</w:t>
            </w:r>
          </w:p>
        </w:tc>
      </w:tr>
    </w:tbl>
    <w:p w14:paraId="57F5F7D4" w14:textId="77777777" w:rsidR="00093832" w:rsidRPr="00D1101E" w:rsidRDefault="00093832" w:rsidP="00093832"/>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00"/>
        <w:gridCol w:w="6159"/>
      </w:tblGrid>
      <w:tr w:rsidR="00192409" w:rsidRPr="00D1101E" w14:paraId="57F5F7D6" w14:textId="77777777" w:rsidTr="00F7679B">
        <w:trPr>
          <w:trHeight w:val="381"/>
          <w:jc w:val="center"/>
        </w:trPr>
        <w:tc>
          <w:tcPr>
            <w:tcW w:w="5000" w:type="pct"/>
            <w:gridSpan w:val="3"/>
            <w:vAlign w:val="center"/>
          </w:tcPr>
          <w:p w14:paraId="57F5F7D5" w14:textId="77777777" w:rsidR="00093832" w:rsidRPr="00D1101E" w:rsidRDefault="00093832" w:rsidP="00CB2254">
            <w:pPr>
              <w:pStyle w:val="naisnod"/>
              <w:spacing w:before="0" w:after="0"/>
              <w:ind w:left="57" w:right="57"/>
            </w:pPr>
            <w:r w:rsidRPr="00D1101E">
              <w:t>VII.</w:t>
            </w:r>
            <w:r w:rsidR="00F1700C">
              <w:t> </w:t>
            </w:r>
            <w:r w:rsidRPr="00D1101E">
              <w:t>Tiesību akta projekta izpildes nodrošināšana un tās ietekme uz institūcijām</w:t>
            </w:r>
          </w:p>
        </w:tc>
      </w:tr>
      <w:tr w:rsidR="00093832" w:rsidRPr="00D1101E" w14:paraId="57F5F7DA" w14:textId="77777777" w:rsidTr="00F7679B">
        <w:trPr>
          <w:trHeight w:val="427"/>
          <w:jc w:val="center"/>
        </w:trPr>
        <w:tc>
          <w:tcPr>
            <w:tcW w:w="230" w:type="pct"/>
          </w:tcPr>
          <w:p w14:paraId="57F5F7D7" w14:textId="77777777" w:rsidR="00093832" w:rsidRPr="00D1101E" w:rsidRDefault="00093832" w:rsidP="00CB2254">
            <w:pPr>
              <w:pStyle w:val="naisnod"/>
              <w:spacing w:before="0" w:after="0"/>
              <w:ind w:left="57" w:right="57"/>
              <w:jc w:val="both"/>
              <w:rPr>
                <w:b w:val="0"/>
              </w:rPr>
            </w:pPr>
            <w:r w:rsidRPr="00D1101E">
              <w:rPr>
                <w:b w:val="0"/>
              </w:rPr>
              <w:t>1.</w:t>
            </w:r>
          </w:p>
        </w:tc>
        <w:tc>
          <w:tcPr>
            <w:tcW w:w="1527" w:type="pct"/>
          </w:tcPr>
          <w:p w14:paraId="57F5F7D8" w14:textId="77777777" w:rsidR="00093832" w:rsidRPr="00D1101E" w:rsidRDefault="00093832" w:rsidP="00A31DF9">
            <w:pPr>
              <w:pStyle w:val="naisf"/>
              <w:spacing w:before="0" w:after="0"/>
              <w:ind w:left="57" w:right="57" w:firstLine="0"/>
            </w:pPr>
            <w:r w:rsidRPr="00D1101E">
              <w:t>Projekta izpildē iesaistītās institūcijas</w:t>
            </w:r>
          </w:p>
        </w:tc>
        <w:tc>
          <w:tcPr>
            <w:tcW w:w="3244" w:type="pct"/>
          </w:tcPr>
          <w:p w14:paraId="57F5F7D9" w14:textId="77777777" w:rsidR="00093832" w:rsidRPr="00D1101E" w:rsidRDefault="00267AFE" w:rsidP="00F44364">
            <w:pPr>
              <w:shd w:val="clear" w:color="auto" w:fill="FFFFFF"/>
              <w:jc w:val="both"/>
            </w:pPr>
            <w:bookmarkStart w:id="5" w:name="p66"/>
            <w:bookmarkStart w:id="6" w:name="p67"/>
            <w:bookmarkStart w:id="7" w:name="p68"/>
            <w:bookmarkStart w:id="8" w:name="p69"/>
            <w:bookmarkEnd w:id="5"/>
            <w:bookmarkEnd w:id="6"/>
            <w:bookmarkEnd w:id="7"/>
            <w:bookmarkEnd w:id="8"/>
            <w:r>
              <w:t>Ministrija</w:t>
            </w:r>
            <w:r w:rsidR="008A79D5">
              <w:t xml:space="preserve">, </w:t>
            </w:r>
            <w:r w:rsidR="00F44364">
              <w:t>Dabas aizsardzības p</w:t>
            </w:r>
            <w:r w:rsidR="004839AB">
              <w:t>ārvalde</w:t>
            </w:r>
            <w:r w:rsidR="00F44364">
              <w:t>.</w:t>
            </w:r>
          </w:p>
        </w:tc>
      </w:tr>
      <w:tr w:rsidR="00093832" w:rsidRPr="00D1101E" w14:paraId="57F5F7E0" w14:textId="77777777" w:rsidTr="00F7679B">
        <w:trPr>
          <w:trHeight w:val="463"/>
          <w:jc w:val="center"/>
        </w:trPr>
        <w:tc>
          <w:tcPr>
            <w:tcW w:w="230" w:type="pct"/>
          </w:tcPr>
          <w:p w14:paraId="57F5F7DB" w14:textId="77777777" w:rsidR="00093832" w:rsidRPr="00D1101E" w:rsidRDefault="00093832" w:rsidP="00CB2254">
            <w:pPr>
              <w:pStyle w:val="naisnod"/>
              <w:spacing w:before="0" w:after="0"/>
              <w:ind w:left="57" w:right="57"/>
              <w:jc w:val="both"/>
              <w:rPr>
                <w:b w:val="0"/>
              </w:rPr>
            </w:pPr>
            <w:r w:rsidRPr="00D1101E">
              <w:rPr>
                <w:b w:val="0"/>
              </w:rPr>
              <w:t>2.</w:t>
            </w:r>
          </w:p>
        </w:tc>
        <w:tc>
          <w:tcPr>
            <w:tcW w:w="1527" w:type="pct"/>
          </w:tcPr>
          <w:p w14:paraId="57F5F7DC" w14:textId="77777777" w:rsidR="00093832" w:rsidRPr="00D1101E" w:rsidRDefault="00093832" w:rsidP="00A31DF9">
            <w:pPr>
              <w:pStyle w:val="naisf"/>
              <w:spacing w:before="0" w:after="0"/>
              <w:ind w:left="57" w:right="57" w:firstLine="0"/>
            </w:pPr>
            <w:r w:rsidRPr="00D1101E">
              <w:t>Projekta izpildes ietekme uz pār</w:t>
            </w:r>
            <w:r w:rsidRPr="00D1101E">
              <w:softHyphen/>
              <w:t>valdes funkcijām un institucionālo struktūru.</w:t>
            </w:r>
          </w:p>
          <w:p w14:paraId="57F5F7DD" w14:textId="77777777" w:rsidR="00093832" w:rsidRPr="00D1101E" w:rsidRDefault="00093832" w:rsidP="00A31DF9">
            <w:pPr>
              <w:pStyle w:val="naisf"/>
              <w:spacing w:before="0" w:after="0"/>
              <w:ind w:left="57" w:right="57" w:firstLine="0"/>
            </w:pPr>
            <w:r w:rsidRPr="00D1101E">
              <w:t>Jaunu institūciju izveide, esošu institūciju likvidācija vai reorga</w:t>
            </w:r>
            <w:r w:rsidRPr="00D1101E">
              <w:softHyphen/>
              <w:t xml:space="preserve">nizācija, to ietekme uz </w:t>
            </w:r>
            <w:r w:rsidR="00A31DF9" w:rsidRPr="00D1101E">
              <w:t xml:space="preserve">institūcijas </w:t>
            </w:r>
            <w:r w:rsidRPr="00D1101E">
              <w:t>cilvēkresursiem</w:t>
            </w:r>
          </w:p>
        </w:tc>
        <w:tc>
          <w:tcPr>
            <w:tcW w:w="3244" w:type="pct"/>
          </w:tcPr>
          <w:p w14:paraId="57F5F7DE" w14:textId="77777777" w:rsidR="00516224" w:rsidRDefault="00464B90" w:rsidP="00CB2254">
            <w:pPr>
              <w:pStyle w:val="naisnod"/>
              <w:spacing w:before="0" w:after="0"/>
              <w:ind w:right="57"/>
              <w:jc w:val="both"/>
            </w:pPr>
            <w:r>
              <w:rPr>
                <w:b w:val="0"/>
              </w:rPr>
              <w:t xml:space="preserve">Noteikumu projekts </w:t>
            </w:r>
            <w:r w:rsidR="00093832" w:rsidRPr="00D1101E">
              <w:rPr>
                <w:b w:val="0"/>
              </w:rPr>
              <w:t>neietekmē iesaistīto institūciju funkcijas un uzdevumus.</w:t>
            </w:r>
            <w:r w:rsidR="00516224">
              <w:t xml:space="preserve"> </w:t>
            </w:r>
          </w:p>
          <w:p w14:paraId="57F5F7DF" w14:textId="77777777" w:rsidR="00093832" w:rsidRPr="00D1101E" w:rsidRDefault="008D097C" w:rsidP="000149F0">
            <w:pPr>
              <w:shd w:val="clear" w:color="auto" w:fill="FFFFFF"/>
              <w:jc w:val="both"/>
            </w:pPr>
            <w:r w:rsidRPr="00D1101E">
              <w:t>Jaunas institūcijas nav jāveido. Esošās institūcijas nav jāreorganizē.</w:t>
            </w:r>
          </w:p>
        </w:tc>
      </w:tr>
      <w:tr w:rsidR="00192409" w:rsidRPr="00D1101E" w14:paraId="57F5F7E4" w14:textId="77777777" w:rsidTr="00F7679B">
        <w:trPr>
          <w:trHeight w:val="402"/>
          <w:jc w:val="center"/>
        </w:trPr>
        <w:tc>
          <w:tcPr>
            <w:tcW w:w="230" w:type="pct"/>
          </w:tcPr>
          <w:p w14:paraId="57F5F7E1" w14:textId="77777777" w:rsidR="00093832" w:rsidRPr="00D1101E" w:rsidRDefault="00093832" w:rsidP="00CB2254">
            <w:pPr>
              <w:pStyle w:val="naisnod"/>
              <w:spacing w:before="0" w:after="0"/>
              <w:ind w:left="57" w:right="57"/>
              <w:jc w:val="both"/>
              <w:rPr>
                <w:b w:val="0"/>
              </w:rPr>
            </w:pPr>
            <w:r w:rsidRPr="00D1101E">
              <w:rPr>
                <w:b w:val="0"/>
              </w:rPr>
              <w:t>3.</w:t>
            </w:r>
          </w:p>
        </w:tc>
        <w:tc>
          <w:tcPr>
            <w:tcW w:w="1527" w:type="pct"/>
          </w:tcPr>
          <w:p w14:paraId="57F5F7E2" w14:textId="77777777" w:rsidR="00093832" w:rsidRPr="00D1101E" w:rsidRDefault="00093832" w:rsidP="0006147B">
            <w:pPr>
              <w:pStyle w:val="naisf"/>
              <w:spacing w:before="0" w:after="0"/>
              <w:ind w:right="57" w:firstLine="0"/>
            </w:pPr>
            <w:r w:rsidRPr="00D1101E">
              <w:t>Cita informācija</w:t>
            </w:r>
          </w:p>
        </w:tc>
        <w:tc>
          <w:tcPr>
            <w:tcW w:w="3244" w:type="pct"/>
          </w:tcPr>
          <w:p w14:paraId="57F5F7E3" w14:textId="77777777" w:rsidR="00093832" w:rsidRPr="00D1101E" w:rsidRDefault="0038013B" w:rsidP="00877F48">
            <w:pPr>
              <w:pStyle w:val="Header"/>
              <w:jc w:val="both"/>
            </w:pPr>
            <w:r>
              <w:t>Nav</w:t>
            </w:r>
          </w:p>
        </w:tc>
      </w:tr>
    </w:tbl>
    <w:p w14:paraId="57F5F7E5" w14:textId="77777777" w:rsidR="00CA6286" w:rsidRPr="00D1101E" w:rsidRDefault="00CA6286" w:rsidP="0047576F">
      <w:pPr>
        <w:pStyle w:val="naisf"/>
        <w:tabs>
          <w:tab w:val="left" w:pos="6804"/>
        </w:tabs>
        <w:spacing w:before="0" w:after="0"/>
        <w:ind w:firstLine="0"/>
      </w:pPr>
    </w:p>
    <w:p w14:paraId="57F5F7E6" w14:textId="77777777" w:rsidR="00E21F65" w:rsidRDefault="00E21F65" w:rsidP="0047576F">
      <w:pPr>
        <w:pStyle w:val="naisf"/>
        <w:tabs>
          <w:tab w:val="left" w:pos="6804"/>
        </w:tabs>
        <w:spacing w:before="0" w:after="0"/>
        <w:ind w:firstLine="0"/>
      </w:pPr>
    </w:p>
    <w:p w14:paraId="57F5F7E7" w14:textId="77777777" w:rsidR="0046030D" w:rsidRPr="00D1101E" w:rsidRDefault="005B324F" w:rsidP="0047576F">
      <w:pPr>
        <w:pStyle w:val="naisf"/>
        <w:tabs>
          <w:tab w:val="left" w:pos="6804"/>
        </w:tabs>
        <w:spacing w:before="0" w:after="0"/>
        <w:ind w:firstLine="0"/>
      </w:pPr>
      <w:r w:rsidRPr="00D1101E">
        <w:t>V</w:t>
      </w:r>
      <w:r w:rsidR="002A4B59" w:rsidRPr="00D1101E">
        <w:t>ides aizsardzības un reģionālās</w:t>
      </w:r>
    </w:p>
    <w:p w14:paraId="57F5F7E8" w14:textId="77777777" w:rsidR="0031397D" w:rsidRDefault="0047576F" w:rsidP="00D0069A">
      <w:pPr>
        <w:pStyle w:val="naisf"/>
        <w:tabs>
          <w:tab w:val="right" w:pos="9090"/>
        </w:tabs>
        <w:spacing w:before="0" w:after="0"/>
        <w:ind w:firstLine="0"/>
      </w:pPr>
      <w:r w:rsidRPr="00D1101E">
        <w:t>attīstības ministr</w:t>
      </w:r>
      <w:r w:rsidR="00E21F65">
        <w:t>s</w:t>
      </w:r>
    </w:p>
    <w:p w14:paraId="57F5F7E9" w14:textId="77777777" w:rsidR="00E21F65" w:rsidRDefault="00E21F65" w:rsidP="00D0069A">
      <w:pPr>
        <w:pStyle w:val="naisf"/>
        <w:tabs>
          <w:tab w:val="right" w:pos="9090"/>
        </w:tabs>
        <w:spacing w:before="0" w:after="0"/>
        <w:ind w:firstLine="0"/>
      </w:pPr>
      <w:r>
        <w:tab/>
      </w:r>
      <w:r w:rsidR="00F44364">
        <w:t>Juris</w:t>
      </w:r>
      <w:r w:rsidR="003F19BB">
        <w:t> </w:t>
      </w:r>
      <w:r w:rsidR="00F44364">
        <w:t>Pūce</w:t>
      </w:r>
    </w:p>
    <w:p w14:paraId="2738C92F" w14:textId="77777777" w:rsidR="0031397D" w:rsidRDefault="0031397D" w:rsidP="00D0069A">
      <w:pPr>
        <w:pStyle w:val="naisf"/>
        <w:tabs>
          <w:tab w:val="right" w:pos="9090"/>
        </w:tabs>
        <w:spacing w:before="0" w:after="0"/>
        <w:ind w:firstLine="0"/>
      </w:pPr>
    </w:p>
    <w:p w14:paraId="488AE1AC" w14:textId="77777777" w:rsidR="0031397D" w:rsidRDefault="0031397D" w:rsidP="00D0069A">
      <w:pPr>
        <w:pStyle w:val="naisf"/>
        <w:tabs>
          <w:tab w:val="right" w:pos="9090"/>
        </w:tabs>
        <w:spacing w:before="0" w:after="0"/>
        <w:ind w:firstLine="0"/>
      </w:pPr>
    </w:p>
    <w:p w14:paraId="130055E9" w14:textId="77777777" w:rsidR="0031397D" w:rsidRPr="00D0069A" w:rsidRDefault="0031397D" w:rsidP="00D0069A">
      <w:pPr>
        <w:pStyle w:val="naisf"/>
        <w:tabs>
          <w:tab w:val="right" w:pos="9090"/>
        </w:tabs>
        <w:spacing w:before="0" w:after="0"/>
        <w:ind w:firstLine="0"/>
      </w:pPr>
      <w:bookmarkStart w:id="9" w:name="_GoBack"/>
      <w:bookmarkEnd w:id="9"/>
    </w:p>
    <w:p w14:paraId="57F5F7EA" w14:textId="77777777" w:rsidR="00337971" w:rsidRPr="00436070" w:rsidRDefault="00C25A33" w:rsidP="0047576F">
      <w:pPr>
        <w:pStyle w:val="NormalWeb"/>
        <w:spacing w:before="0" w:beforeAutospacing="0" w:after="0" w:afterAutospacing="0"/>
        <w:rPr>
          <w:sz w:val="20"/>
          <w:szCs w:val="20"/>
        </w:rPr>
      </w:pPr>
      <w:r>
        <w:rPr>
          <w:sz w:val="20"/>
          <w:szCs w:val="20"/>
        </w:rPr>
        <w:t>Teša</w:t>
      </w:r>
      <w:r w:rsidR="00337971" w:rsidRPr="00436070">
        <w:rPr>
          <w:sz w:val="20"/>
          <w:szCs w:val="20"/>
        </w:rPr>
        <w:t xml:space="preserve"> </w:t>
      </w:r>
      <w:r w:rsidR="00AC3BB1" w:rsidRPr="00436070">
        <w:rPr>
          <w:sz w:val="20"/>
          <w:szCs w:val="20"/>
        </w:rPr>
        <w:t>67026</w:t>
      </w:r>
      <w:r>
        <w:rPr>
          <w:sz w:val="20"/>
          <w:szCs w:val="20"/>
        </w:rPr>
        <w:t>572</w:t>
      </w:r>
    </w:p>
    <w:p w14:paraId="57F5F7EB" w14:textId="77777777" w:rsidR="00337971" w:rsidRPr="00D0069A" w:rsidRDefault="0031397D" w:rsidP="0047576F">
      <w:pPr>
        <w:pStyle w:val="NormalWeb"/>
        <w:spacing w:before="0" w:beforeAutospacing="0" w:after="0" w:afterAutospacing="0"/>
        <w:rPr>
          <w:sz w:val="20"/>
          <w:szCs w:val="20"/>
        </w:rPr>
      </w:pPr>
      <w:hyperlink r:id="rId10" w:history="1">
        <w:r w:rsidR="003F19BB" w:rsidRPr="003F19BB">
          <w:rPr>
            <w:rStyle w:val="Hyperlink"/>
            <w:sz w:val="20"/>
            <w:szCs w:val="20"/>
          </w:rPr>
          <w:t>Linda.Tesa@varam.gov.lv</w:t>
        </w:r>
      </w:hyperlink>
    </w:p>
    <w:sectPr w:rsidR="00337971" w:rsidRPr="00D0069A" w:rsidSect="004A1D5D">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9175" w14:textId="77777777" w:rsidR="0031397D" w:rsidRDefault="0031397D">
      <w:r>
        <w:separator/>
      </w:r>
    </w:p>
  </w:endnote>
  <w:endnote w:type="continuationSeparator" w:id="0">
    <w:p w14:paraId="600CFC9B" w14:textId="77777777" w:rsidR="0031397D" w:rsidRDefault="0031397D">
      <w:r>
        <w:continuationSeparator/>
      </w:r>
    </w:p>
  </w:endnote>
  <w:endnote w:type="continuationNotice" w:id="1">
    <w:p w14:paraId="57E7B204" w14:textId="77777777" w:rsidR="0031397D" w:rsidRDefault="00313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20007A87"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9B91" w14:textId="77777777" w:rsidR="0031397D" w:rsidRDefault="00313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F7F7" w14:textId="6E0A7E30" w:rsidR="0031397D" w:rsidRPr="00C50AD6" w:rsidRDefault="0031397D" w:rsidP="00C93242">
    <w:pPr>
      <w:jc w:val="both"/>
      <w:outlineLvl w:val="2"/>
      <w:rPr>
        <w:sz w:val="20"/>
        <w:szCs w:val="20"/>
      </w:rPr>
    </w:pPr>
    <w:r>
      <w:rPr>
        <w:sz w:val="20"/>
        <w:szCs w:val="20"/>
      </w:rPr>
      <w:t>VARAMAnot_zaudejumi_151019</w:t>
    </w:r>
    <w:r w:rsidRPr="00C50AD6">
      <w:rPr>
        <w:sz w:val="20"/>
        <w:szCs w:val="20"/>
      </w:rPr>
      <w:fldChar w:fldCharType="begin"/>
    </w:r>
    <w:r w:rsidRPr="00C50AD6">
      <w:rPr>
        <w:sz w:val="20"/>
        <w:szCs w:val="20"/>
      </w:rPr>
      <w:instrText xml:space="preserve"> FILENAME   \* MERGEFORMAT </w:instrText>
    </w:r>
    <w:r w:rsidRPr="00C50AD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F7F8" w14:textId="77777777" w:rsidR="0031397D" w:rsidRPr="00C50AD6" w:rsidRDefault="0031397D" w:rsidP="00C93242">
    <w:pPr>
      <w:jc w:val="both"/>
      <w:outlineLvl w:val="2"/>
      <w:rPr>
        <w:sz w:val="20"/>
        <w:szCs w:val="20"/>
      </w:rPr>
    </w:pPr>
    <w:r>
      <w:rPr>
        <w:sz w:val="20"/>
        <w:szCs w:val="20"/>
      </w:rPr>
      <w:t>VARAMAnot_zaudejumi_151019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F4A68" w14:textId="77777777" w:rsidR="0031397D" w:rsidRDefault="0031397D">
      <w:r>
        <w:separator/>
      </w:r>
    </w:p>
  </w:footnote>
  <w:footnote w:type="continuationSeparator" w:id="0">
    <w:p w14:paraId="64A7921F" w14:textId="77777777" w:rsidR="0031397D" w:rsidRDefault="0031397D">
      <w:r>
        <w:continuationSeparator/>
      </w:r>
    </w:p>
  </w:footnote>
  <w:footnote w:type="continuationNotice" w:id="1">
    <w:p w14:paraId="37DD8262" w14:textId="77777777" w:rsidR="0031397D" w:rsidRDefault="003139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F7F2" w14:textId="77777777" w:rsidR="0031397D" w:rsidRDefault="0031397D"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F5F7F3" w14:textId="77777777" w:rsidR="0031397D" w:rsidRDefault="00313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5F7F4" w14:textId="77777777" w:rsidR="0031397D" w:rsidRDefault="0031397D"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351">
      <w:rPr>
        <w:rStyle w:val="PageNumber"/>
        <w:noProof/>
      </w:rPr>
      <w:t>5</w:t>
    </w:r>
    <w:r>
      <w:rPr>
        <w:rStyle w:val="PageNumber"/>
      </w:rPr>
      <w:fldChar w:fldCharType="end"/>
    </w:r>
  </w:p>
  <w:p w14:paraId="57F5F7F5" w14:textId="77777777" w:rsidR="0031397D" w:rsidRPr="00BF347B" w:rsidRDefault="00313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0F8A" w14:textId="77777777" w:rsidR="0031397D" w:rsidRDefault="00313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2E14"/>
    <w:multiLevelType w:val="hybridMultilevel"/>
    <w:tmpl w:val="17A68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D153A"/>
    <w:multiLevelType w:val="hybridMultilevel"/>
    <w:tmpl w:val="14463D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6112FE8"/>
    <w:multiLevelType w:val="hybridMultilevel"/>
    <w:tmpl w:val="BF189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F777D0"/>
    <w:multiLevelType w:val="hybridMultilevel"/>
    <w:tmpl w:val="996671E8"/>
    <w:lvl w:ilvl="0" w:tplc="5FA4A77A">
      <w:start w:val="1"/>
      <w:numFmt w:val="decimal"/>
      <w:lvlText w:val="%1."/>
      <w:lvlJc w:val="left"/>
      <w:pPr>
        <w:ind w:left="647" w:hanging="360"/>
      </w:pPr>
      <w:rPr>
        <w:rFonts w:hint="default"/>
        <w:color w:val="auto"/>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4" w15:restartNumberingAfterBreak="0">
    <w:nsid w:val="28E931BF"/>
    <w:multiLevelType w:val="hybridMultilevel"/>
    <w:tmpl w:val="67AA6042"/>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52A508E"/>
    <w:multiLevelType w:val="hybridMultilevel"/>
    <w:tmpl w:val="E87458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C919C9"/>
    <w:multiLevelType w:val="hybridMultilevel"/>
    <w:tmpl w:val="DBCE2030"/>
    <w:lvl w:ilvl="0" w:tplc="C046E100">
      <w:start w:val="1"/>
      <w:numFmt w:val="bullet"/>
      <w:lvlText w:val="­"/>
      <w:lvlJc w:val="left"/>
      <w:pPr>
        <w:tabs>
          <w:tab w:val="num" w:pos="905"/>
        </w:tabs>
        <w:ind w:left="905" w:hanging="338"/>
      </w:pPr>
      <w:rPr>
        <w:rFonts w:ascii="Courier New" w:hAnsi="Courier New" w:hint="default"/>
      </w:rPr>
    </w:lvl>
    <w:lvl w:ilvl="1" w:tplc="04260003" w:tentative="1">
      <w:start w:val="1"/>
      <w:numFmt w:val="bullet"/>
      <w:lvlText w:val="o"/>
      <w:lvlJc w:val="left"/>
      <w:pPr>
        <w:tabs>
          <w:tab w:val="num" w:pos="1625"/>
        </w:tabs>
        <w:ind w:left="1625" w:hanging="360"/>
      </w:pPr>
      <w:rPr>
        <w:rFonts w:ascii="Courier New" w:hAnsi="Courier New" w:cs="Courier New" w:hint="default"/>
      </w:rPr>
    </w:lvl>
    <w:lvl w:ilvl="2" w:tplc="04260005" w:tentative="1">
      <w:start w:val="1"/>
      <w:numFmt w:val="bullet"/>
      <w:lvlText w:val=""/>
      <w:lvlJc w:val="left"/>
      <w:pPr>
        <w:tabs>
          <w:tab w:val="num" w:pos="2345"/>
        </w:tabs>
        <w:ind w:left="2345" w:hanging="360"/>
      </w:pPr>
      <w:rPr>
        <w:rFonts w:ascii="Wingdings" w:hAnsi="Wingdings" w:hint="default"/>
      </w:rPr>
    </w:lvl>
    <w:lvl w:ilvl="3" w:tplc="04260001" w:tentative="1">
      <w:start w:val="1"/>
      <w:numFmt w:val="bullet"/>
      <w:lvlText w:val=""/>
      <w:lvlJc w:val="left"/>
      <w:pPr>
        <w:tabs>
          <w:tab w:val="num" w:pos="3065"/>
        </w:tabs>
        <w:ind w:left="3065" w:hanging="360"/>
      </w:pPr>
      <w:rPr>
        <w:rFonts w:ascii="Symbol" w:hAnsi="Symbol" w:hint="default"/>
      </w:rPr>
    </w:lvl>
    <w:lvl w:ilvl="4" w:tplc="04260003" w:tentative="1">
      <w:start w:val="1"/>
      <w:numFmt w:val="bullet"/>
      <w:lvlText w:val="o"/>
      <w:lvlJc w:val="left"/>
      <w:pPr>
        <w:tabs>
          <w:tab w:val="num" w:pos="3785"/>
        </w:tabs>
        <w:ind w:left="3785" w:hanging="360"/>
      </w:pPr>
      <w:rPr>
        <w:rFonts w:ascii="Courier New" w:hAnsi="Courier New" w:cs="Courier New" w:hint="default"/>
      </w:rPr>
    </w:lvl>
    <w:lvl w:ilvl="5" w:tplc="04260005" w:tentative="1">
      <w:start w:val="1"/>
      <w:numFmt w:val="bullet"/>
      <w:lvlText w:val=""/>
      <w:lvlJc w:val="left"/>
      <w:pPr>
        <w:tabs>
          <w:tab w:val="num" w:pos="4505"/>
        </w:tabs>
        <w:ind w:left="4505" w:hanging="360"/>
      </w:pPr>
      <w:rPr>
        <w:rFonts w:ascii="Wingdings" w:hAnsi="Wingdings" w:hint="default"/>
      </w:rPr>
    </w:lvl>
    <w:lvl w:ilvl="6" w:tplc="04260001" w:tentative="1">
      <w:start w:val="1"/>
      <w:numFmt w:val="bullet"/>
      <w:lvlText w:val=""/>
      <w:lvlJc w:val="left"/>
      <w:pPr>
        <w:tabs>
          <w:tab w:val="num" w:pos="5225"/>
        </w:tabs>
        <w:ind w:left="5225" w:hanging="360"/>
      </w:pPr>
      <w:rPr>
        <w:rFonts w:ascii="Symbol" w:hAnsi="Symbol" w:hint="default"/>
      </w:rPr>
    </w:lvl>
    <w:lvl w:ilvl="7" w:tplc="04260003" w:tentative="1">
      <w:start w:val="1"/>
      <w:numFmt w:val="bullet"/>
      <w:lvlText w:val="o"/>
      <w:lvlJc w:val="left"/>
      <w:pPr>
        <w:tabs>
          <w:tab w:val="num" w:pos="5945"/>
        </w:tabs>
        <w:ind w:left="5945" w:hanging="360"/>
      </w:pPr>
      <w:rPr>
        <w:rFonts w:ascii="Courier New" w:hAnsi="Courier New" w:cs="Courier New" w:hint="default"/>
      </w:rPr>
    </w:lvl>
    <w:lvl w:ilvl="8" w:tplc="04260005" w:tentative="1">
      <w:start w:val="1"/>
      <w:numFmt w:val="bullet"/>
      <w:lvlText w:val=""/>
      <w:lvlJc w:val="left"/>
      <w:pPr>
        <w:tabs>
          <w:tab w:val="num" w:pos="6665"/>
        </w:tabs>
        <w:ind w:left="6665" w:hanging="360"/>
      </w:pPr>
      <w:rPr>
        <w:rFonts w:ascii="Wingdings" w:hAnsi="Wingdings" w:hint="default"/>
      </w:rPr>
    </w:lvl>
  </w:abstractNum>
  <w:abstractNum w:abstractNumId="7" w15:restartNumberingAfterBreak="0">
    <w:nsid w:val="489A760C"/>
    <w:multiLevelType w:val="hybridMultilevel"/>
    <w:tmpl w:val="0D0AB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C51C35"/>
    <w:multiLevelType w:val="hybridMultilevel"/>
    <w:tmpl w:val="16A2B430"/>
    <w:lvl w:ilvl="0" w:tplc="C046E100">
      <w:start w:val="1"/>
      <w:numFmt w:val="bullet"/>
      <w:lvlText w:val="­"/>
      <w:lvlJc w:val="left"/>
      <w:pPr>
        <w:tabs>
          <w:tab w:val="num" w:pos="1085"/>
        </w:tabs>
        <w:ind w:left="1085" w:hanging="338"/>
      </w:pPr>
      <w:rPr>
        <w:rFonts w:ascii="Courier New" w:hAnsi="Courier New"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FBF083E"/>
    <w:multiLevelType w:val="hybridMultilevel"/>
    <w:tmpl w:val="8D347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EC3033"/>
    <w:multiLevelType w:val="hybridMultilevel"/>
    <w:tmpl w:val="BDDAD392"/>
    <w:lvl w:ilvl="0" w:tplc="CAB8B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84505FE"/>
    <w:multiLevelType w:val="hybridMultilevel"/>
    <w:tmpl w:val="541C134C"/>
    <w:lvl w:ilvl="0" w:tplc="FE0465C2">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CB1780"/>
    <w:multiLevelType w:val="hybridMultilevel"/>
    <w:tmpl w:val="6C78B1C0"/>
    <w:lvl w:ilvl="0" w:tplc="96DCF4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03C6DB1"/>
    <w:multiLevelType w:val="hybridMultilevel"/>
    <w:tmpl w:val="EDA8F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5"/>
  </w:num>
  <w:num w:numId="6">
    <w:abstractNumId w:val="11"/>
  </w:num>
  <w:num w:numId="7">
    <w:abstractNumId w:val="9"/>
  </w:num>
  <w:num w:numId="8">
    <w:abstractNumId w:val="10"/>
  </w:num>
  <w:num w:numId="9">
    <w:abstractNumId w:val="2"/>
  </w:num>
  <w:num w:numId="10">
    <w:abstractNumId w:val="12"/>
  </w:num>
  <w:num w:numId="11">
    <w:abstractNumId w:val="13"/>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6F"/>
    <w:rsid w:val="000003D1"/>
    <w:rsid w:val="00001064"/>
    <w:rsid w:val="0000110B"/>
    <w:rsid w:val="000036CB"/>
    <w:rsid w:val="00007093"/>
    <w:rsid w:val="00007A4F"/>
    <w:rsid w:val="0001154F"/>
    <w:rsid w:val="000134F5"/>
    <w:rsid w:val="000149F0"/>
    <w:rsid w:val="00014DF8"/>
    <w:rsid w:val="00016F99"/>
    <w:rsid w:val="000237E7"/>
    <w:rsid w:val="000238FD"/>
    <w:rsid w:val="00025938"/>
    <w:rsid w:val="000273CE"/>
    <w:rsid w:val="000276D7"/>
    <w:rsid w:val="000278BF"/>
    <w:rsid w:val="00030F9C"/>
    <w:rsid w:val="00041BAA"/>
    <w:rsid w:val="00042F77"/>
    <w:rsid w:val="0004467D"/>
    <w:rsid w:val="0004536A"/>
    <w:rsid w:val="00047B97"/>
    <w:rsid w:val="000519F3"/>
    <w:rsid w:val="000555C1"/>
    <w:rsid w:val="00056BBE"/>
    <w:rsid w:val="00056D1F"/>
    <w:rsid w:val="00060A51"/>
    <w:rsid w:val="0006147B"/>
    <w:rsid w:val="0006305E"/>
    <w:rsid w:val="00063A9C"/>
    <w:rsid w:val="00064E33"/>
    <w:rsid w:val="00066B5E"/>
    <w:rsid w:val="00066BA2"/>
    <w:rsid w:val="00071AA0"/>
    <w:rsid w:val="00071BD6"/>
    <w:rsid w:val="0007202D"/>
    <w:rsid w:val="00072C2C"/>
    <w:rsid w:val="0007357A"/>
    <w:rsid w:val="0007361B"/>
    <w:rsid w:val="0007578C"/>
    <w:rsid w:val="000765C2"/>
    <w:rsid w:val="000817BF"/>
    <w:rsid w:val="0008363D"/>
    <w:rsid w:val="000853D2"/>
    <w:rsid w:val="00085DFF"/>
    <w:rsid w:val="00087B41"/>
    <w:rsid w:val="00087B7D"/>
    <w:rsid w:val="00093832"/>
    <w:rsid w:val="000941F8"/>
    <w:rsid w:val="00094650"/>
    <w:rsid w:val="00094B29"/>
    <w:rsid w:val="000973CB"/>
    <w:rsid w:val="000A0FD0"/>
    <w:rsid w:val="000A1F44"/>
    <w:rsid w:val="000A31BA"/>
    <w:rsid w:val="000A7F5E"/>
    <w:rsid w:val="000B0049"/>
    <w:rsid w:val="000B0557"/>
    <w:rsid w:val="000B27DD"/>
    <w:rsid w:val="000B40C3"/>
    <w:rsid w:val="000B5F13"/>
    <w:rsid w:val="000B5FAA"/>
    <w:rsid w:val="000B6756"/>
    <w:rsid w:val="000B722A"/>
    <w:rsid w:val="000C1B87"/>
    <w:rsid w:val="000C37A0"/>
    <w:rsid w:val="000C4848"/>
    <w:rsid w:val="000C68A8"/>
    <w:rsid w:val="000C73EF"/>
    <w:rsid w:val="000D01BA"/>
    <w:rsid w:val="000D05E0"/>
    <w:rsid w:val="000D494B"/>
    <w:rsid w:val="000D549F"/>
    <w:rsid w:val="000D5E95"/>
    <w:rsid w:val="000D71B1"/>
    <w:rsid w:val="000D79F5"/>
    <w:rsid w:val="000E2158"/>
    <w:rsid w:val="000E2C51"/>
    <w:rsid w:val="000E2D8D"/>
    <w:rsid w:val="000E593C"/>
    <w:rsid w:val="000E638C"/>
    <w:rsid w:val="000E74DB"/>
    <w:rsid w:val="000E7CE7"/>
    <w:rsid w:val="000F07D4"/>
    <w:rsid w:val="000F1F8E"/>
    <w:rsid w:val="000F2B8C"/>
    <w:rsid w:val="000F4D8C"/>
    <w:rsid w:val="000F5C09"/>
    <w:rsid w:val="000F7390"/>
    <w:rsid w:val="001045E7"/>
    <w:rsid w:val="00105CA3"/>
    <w:rsid w:val="00107FD3"/>
    <w:rsid w:val="00113EC9"/>
    <w:rsid w:val="00113EEC"/>
    <w:rsid w:val="001140C9"/>
    <w:rsid w:val="00116C85"/>
    <w:rsid w:val="0011755D"/>
    <w:rsid w:val="001200DD"/>
    <w:rsid w:val="00121D72"/>
    <w:rsid w:val="001239C9"/>
    <w:rsid w:val="00123CEB"/>
    <w:rsid w:val="00123F72"/>
    <w:rsid w:val="00124228"/>
    <w:rsid w:val="001242B8"/>
    <w:rsid w:val="00124D15"/>
    <w:rsid w:val="00125B18"/>
    <w:rsid w:val="00126EC0"/>
    <w:rsid w:val="00130225"/>
    <w:rsid w:val="0013270F"/>
    <w:rsid w:val="00133903"/>
    <w:rsid w:val="00133E85"/>
    <w:rsid w:val="001348A6"/>
    <w:rsid w:val="001353F8"/>
    <w:rsid w:val="001354A9"/>
    <w:rsid w:val="00137E88"/>
    <w:rsid w:val="00140943"/>
    <w:rsid w:val="00143B0E"/>
    <w:rsid w:val="00144586"/>
    <w:rsid w:val="00145A69"/>
    <w:rsid w:val="00150C69"/>
    <w:rsid w:val="001517A5"/>
    <w:rsid w:val="00152922"/>
    <w:rsid w:val="0015499D"/>
    <w:rsid w:val="00154D64"/>
    <w:rsid w:val="001555F3"/>
    <w:rsid w:val="00155F8B"/>
    <w:rsid w:val="00156463"/>
    <w:rsid w:val="0015673E"/>
    <w:rsid w:val="00161507"/>
    <w:rsid w:val="00161BC2"/>
    <w:rsid w:val="00163C78"/>
    <w:rsid w:val="00164549"/>
    <w:rsid w:val="0016650A"/>
    <w:rsid w:val="00166A11"/>
    <w:rsid w:val="00167A9C"/>
    <w:rsid w:val="001725F4"/>
    <w:rsid w:val="00175CBF"/>
    <w:rsid w:val="0018082B"/>
    <w:rsid w:val="00181F13"/>
    <w:rsid w:val="00183B68"/>
    <w:rsid w:val="0018478E"/>
    <w:rsid w:val="00185C30"/>
    <w:rsid w:val="00186738"/>
    <w:rsid w:val="00186A61"/>
    <w:rsid w:val="00186BF2"/>
    <w:rsid w:val="00192409"/>
    <w:rsid w:val="00192D61"/>
    <w:rsid w:val="00193CFC"/>
    <w:rsid w:val="0019436C"/>
    <w:rsid w:val="001944A3"/>
    <w:rsid w:val="00195763"/>
    <w:rsid w:val="001A2E0C"/>
    <w:rsid w:val="001A2E91"/>
    <w:rsid w:val="001B0556"/>
    <w:rsid w:val="001B1066"/>
    <w:rsid w:val="001B213F"/>
    <w:rsid w:val="001B25F5"/>
    <w:rsid w:val="001B4BFD"/>
    <w:rsid w:val="001B5391"/>
    <w:rsid w:val="001B6FB0"/>
    <w:rsid w:val="001B6FD5"/>
    <w:rsid w:val="001C0B89"/>
    <w:rsid w:val="001C3EAA"/>
    <w:rsid w:val="001C60C6"/>
    <w:rsid w:val="001C6A89"/>
    <w:rsid w:val="001D0423"/>
    <w:rsid w:val="001D12AF"/>
    <w:rsid w:val="001D4183"/>
    <w:rsid w:val="001D4D9F"/>
    <w:rsid w:val="001D4F81"/>
    <w:rsid w:val="001D556F"/>
    <w:rsid w:val="001D5B17"/>
    <w:rsid w:val="001D6769"/>
    <w:rsid w:val="001D6BB7"/>
    <w:rsid w:val="001D7798"/>
    <w:rsid w:val="001E08AB"/>
    <w:rsid w:val="001E16A2"/>
    <w:rsid w:val="001E1D60"/>
    <w:rsid w:val="001E2367"/>
    <w:rsid w:val="001E5CAF"/>
    <w:rsid w:val="001E6B89"/>
    <w:rsid w:val="001E6C19"/>
    <w:rsid w:val="001F1672"/>
    <w:rsid w:val="001F2740"/>
    <w:rsid w:val="001F456A"/>
    <w:rsid w:val="001F4C0B"/>
    <w:rsid w:val="001F75E8"/>
    <w:rsid w:val="00201F1B"/>
    <w:rsid w:val="00202E9D"/>
    <w:rsid w:val="0020300A"/>
    <w:rsid w:val="00203DDE"/>
    <w:rsid w:val="00204AEA"/>
    <w:rsid w:val="00210DE5"/>
    <w:rsid w:val="00211DF0"/>
    <w:rsid w:val="00212624"/>
    <w:rsid w:val="00212BE9"/>
    <w:rsid w:val="00212F55"/>
    <w:rsid w:val="00213041"/>
    <w:rsid w:val="00213CFA"/>
    <w:rsid w:val="002143EB"/>
    <w:rsid w:val="002146F0"/>
    <w:rsid w:val="00214B67"/>
    <w:rsid w:val="00215E3F"/>
    <w:rsid w:val="0021779B"/>
    <w:rsid w:val="002217F2"/>
    <w:rsid w:val="002233A5"/>
    <w:rsid w:val="0022342E"/>
    <w:rsid w:val="00224C69"/>
    <w:rsid w:val="00232A59"/>
    <w:rsid w:val="002330EF"/>
    <w:rsid w:val="00233C6F"/>
    <w:rsid w:val="0023447E"/>
    <w:rsid w:val="00234D0F"/>
    <w:rsid w:val="00235125"/>
    <w:rsid w:val="00235AC5"/>
    <w:rsid w:val="002410D3"/>
    <w:rsid w:val="002417D2"/>
    <w:rsid w:val="002419EE"/>
    <w:rsid w:val="00241D34"/>
    <w:rsid w:val="00242B4D"/>
    <w:rsid w:val="00242CA3"/>
    <w:rsid w:val="002461D4"/>
    <w:rsid w:val="0025337D"/>
    <w:rsid w:val="002559A0"/>
    <w:rsid w:val="00256312"/>
    <w:rsid w:val="002600F5"/>
    <w:rsid w:val="00261059"/>
    <w:rsid w:val="0026572F"/>
    <w:rsid w:val="002669AE"/>
    <w:rsid w:val="00266F64"/>
    <w:rsid w:val="00267AFE"/>
    <w:rsid w:val="00267DAC"/>
    <w:rsid w:val="002701A9"/>
    <w:rsid w:val="00271582"/>
    <w:rsid w:val="0027302F"/>
    <w:rsid w:val="002743B9"/>
    <w:rsid w:val="00275059"/>
    <w:rsid w:val="00280064"/>
    <w:rsid w:val="0028678C"/>
    <w:rsid w:val="00286A3A"/>
    <w:rsid w:val="002908AD"/>
    <w:rsid w:val="00290D72"/>
    <w:rsid w:val="0029100C"/>
    <w:rsid w:val="00291D59"/>
    <w:rsid w:val="002968CA"/>
    <w:rsid w:val="00296A5D"/>
    <w:rsid w:val="00297107"/>
    <w:rsid w:val="002971A9"/>
    <w:rsid w:val="002A04B1"/>
    <w:rsid w:val="002A0650"/>
    <w:rsid w:val="002A1643"/>
    <w:rsid w:val="002A17BF"/>
    <w:rsid w:val="002A218E"/>
    <w:rsid w:val="002A2A2B"/>
    <w:rsid w:val="002A4B59"/>
    <w:rsid w:val="002A5B27"/>
    <w:rsid w:val="002A5DF0"/>
    <w:rsid w:val="002B01A0"/>
    <w:rsid w:val="002B35D2"/>
    <w:rsid w:val="002B5A14"/>
    <w:rsid w:val="002B65DD"/>
    <w:rsid w:val="002B6FF7"/>
    <w:rsid w:val="002B7A6A"/>
    <w:rsid w:val="002C1E27"/>
    <w:rsid w:val="002C5959"/>
    <w:rsid w:val="002C7BB8"/>
    <w:rsid w:val="002D3A61"/>
    <w:rsid w:val="002D5679"/>
    <w:rsid w:val="002E0383"/>
    <w:rsid w:val="002E2C1F"/>
    <w:rsid w:val="002E2DB9"/>
    <w:rsid w:val="002E669C"/>
    <w:rsid w:val="002E68A1"/>
    <w:rsid w:val="002E6C6A"/>
    <w:rsid w:val="002E7685"/>
    <w:rsid w:val="002F08AB"/>
    <w:rsid w:val="002F2264"/>
    <w:rsid w:val="002F2FF6"/>
    <w:rsid w:val="002F35A0"/>
    <w:rsid w:val="002F3F58"/>
    <w:rsid w:val="002F71AD"/>
    <w:rsid w:val="0030088A"/>
    <w:rsid w:val="00303F77"/>
    <w:rsid w:val="003058F6"/>
    <w:rsid w:val="0030629E"/>
    <w:rsid w:val="0030728A"/>
    <w:rsid w:val="003075F3"/>
    <w:rsid w:val="00310528"/>
    <w:rsid w:val="00313868"/>
    <w:rsid w:val="0031397D"/>
    <w:rsid w:val="00313B1B"/>
    <w:rsid w:val="00314AD5"/>
    <w:rsid w:val="003168AC"/>
    <w:rsid w:val="00316BF4"/>
    <w:rsid w:val="00317802"/>
    <w:rsid w:val="00320E9B"/>
    <w:rsid w:val="00322BA4"/>
    <w:rsid w:val="00322FDF"/>
    <w:rsid w:val="003241FD"/>
    <w:rsid w:val="003246E9"/>
    <w:rsid w:val="00325F6D"/>
    <w:rsid w:val="00326797"/>
    <w:rsid w:val="0033028B"/>
    <w:rsid w:val="00336884"/>
    <w:rsid w:val="00337810"/>
    <w:rsid w:val="00337971"/>
    <w:rsid w:val="00340A53"/>
    <w:rsid w:val="00340AE8"/>
    <w:rsid w:val="0034281E"/>
    <w:rsid w:val="0034599C"/>
    <w:rsid w:val="003469E8"/>
    <w:rsid w:val="00347A25"/>
    <w:rsid w:val="00347B3A"/>
    <w:rsid w:val="00351FCE"/>
    <w:rsid w:val="00352716"/>
    <w:rsid w:val="0035446D"/>
    <w:rsid w:val="00354DC6"/>
    <w:rsid w:val="00355802"/>
    <w:rsid w:val="00360D6F"/>
    <w:rsid w:val="00363445"/>
    <w:rsid w:val="00364DDA"/>
    <w:rsid w:val="0037084C"/>
    <w:rsid w:val="00370A37"/>
    <w:rsid w:val="00372618"/>
    <w:rsid w:val="00372732"/>
    <w:rsid w:val="00372DA6"/>
    <w:rsid w:val="003739F5"/>
    <w:rsid w:val="00374E02"/>
    <w:rsid w:val="00376F58"/>
    <w:rsid w:val="0038013B"/>
    <w:rsid w:val="00384129"/>
    <w:rsid w:val="0038475A"/>
    <w:rsid w:val="0039004C"/>
    <w:rsid w:val="00392EF5"/>
    <w:rsid w:val="00397442"/>
    <w:rsid w:val="003A2088"/>
    <w:rsid w:val="003A2161"/>
    <w:rsid w:val="003A3467"/>
    <w:rsid w:val="003A45C7"/>
    <w:rsid w:val="003B2E04"/>
    <w:rsid w:val="003B3C55"/>
    <w:rsid w:val="003B4789"/>
    <w:rsid w:val="003B49EF"/>
    <w:rsid w:val="003B730A"/>
    <w:rsid w:val="003C0B4A"/>
    <w:rsid w:val="003C45D6"/>
    <w:rsid w:val="003C7DEE"/>
    <w:rsid w:val="003D0461"/>
    <w:rsid w:val="003D19C1"/>
    <w:rsid w:val="003D21FE"/>
    <w:rsid w:val="003D26F1"/>
    <w:rsid w:val="003D2CB4"/>
    <w:rsid w:val="003D2E32"/>
    <w:rsid w:val="003D3C48"/>
    <w:rsid w:val="003D3C82"/>
    <w:rsid w:val="003D5BBD"/>
    <w:rsid w:val="003D77B4"/>
    <w:rsid w:val="003E0FF1"/>
    <w:rsid w:val="003E1C41"/>
    <w:rsid w:val="003E2028"/>
    <w:rsid w:val="003E2563"/>
    <w:rsid w:val="003E49CE"/>
    <w:rsid w:val="003E639F"/>
    <w:rsid w:val="003E69C7"/>
    <w:rsid w:val="003F097F"/>
    <w:rsid w:val="003F19BB"/>
    <w:rsid w:val="003F48B7"/>
    <w:rsid w:val="003F5965"/>
    <w:rsid w:val="003F624B"/>
    <w:rsid w:val="003F7138"/>
    <w:rsid w:val="003F713C"/>
    <w:rsid w:val="003F7381"/>
    <w:rsid w:val="00400FEC"/>
    <w:rsid w:val="0040156F"/>
    <w:rsid w:val="00402E47"/>
    <w:rsid w:val="004049DE"/>
    <w:rsid w:val="00404C46"/>
    <w:rsid w:val="0040790B"/>
    <w:rsid w:val="00410572"/>
    <w:rsid w:val="00410A0D"/>
    <w:rsid w:val="004110BF"/>
    <w:rsid w:val="004115D7"/>
    <w:rsid w:val="004119DA"/>
    <w:rsid w:val="0041217D"/>
    <w:rsid w:val="0041351D"/>
    <w:rsid w:val="00415D99"/>
    <w:rsid w:val="00417302"/>
    <w:rsid w:val="00420F22"/>
    <w:rsid w:val="00421DE8"/>
    <w:rsid w:val="00421FCD"/>
    <w:rsid w:val="004221E2"/>
    <w:rsid w:val="00422473"/>
    <w:rsid w:val="00422B37"/>
    <w:rsid w:val="004230B4"/>
    <w:rsid w:val="00424E40"/>
    <w:rsid w:val="00431044"/>
    <w:rsid w:val="00431093"/>
    <w:rsid w:val="00431A70"/>
    <w:rsid w:val="004321B4"/>
    <w:rsid w:val="004325C9"/>
    <w:rsid w:val="00436070"/>
    <w:rsid w:val="00444ED7"/>
    <w:rsid w:val="00447D7D"/>
    <w:rsid w:val="00453B7B"/>
    <w:rsid w:val="00453E5E"/>
    <w:rsid w:val="00455FA7"/>
    <w:rsid w:val="00456039"/>
    <w:rsid w:val="0046030D"/>
    <w:rsid w:val="004618FF"/>
    <w:rsid w:val="00461E21"/>
    <w:rsid w:val="00463C0C"/>
    <w:rsid w:val="00464B90"/>
    <w:rsid w:val="00464C82"/>
    <w:rsid w:val="00466909"/>
    <w:rsid w:val="00467073"/>
    <w:rsid w:val="00471F7C"/>
    <w:rsid w:val="004730C1"/>
    <w:rsid w:val="004755B3"/>
    <w:rsid w:val="0047576F"/>
    <w:rsid w:val="00480964"/>
    <w:rsid w:val="00481599"/>
    <w:rsid w:val="004826DF"/>
    <w:rsid w:val="004839AB"/>
    <w:rsid w:val="00483AE7"/>
    <w:rsid w:val="00484CE2"/>
    <w:rsid w:val="00491C37"/>
    <w:rsid w:val="00493046"/>
    <w:rsid w:val="00493613"/>
    <w:rsid w:val="00493D52"/>
    <w:rsid w:val="004A0FE5"/>
    <w:rsid w:val="004A1D5D"/>
    <w:rsid w:val="004A31EE"/>
    <w:rsid w:val="004A6F3F"/>
    <w:rsid w:val="004A7781"/>
    <w:rsid w:val="004B183C"/>
    <w:rsid w:val="004B2ADD"/>
    <w:rsid w:val="004B4E57"/>
    <w:rsid w:val="004B77BC"/>
    <w:rsid w:val="004C3ECD"/>
    <w:rsid w:val="004C6944"/>
    <w:rsid w:val="004C6C6A"/>
    <w:rsid w:val="004D0E05"/>
    <w:rsid w:val="004D4B54"/>
    <w:rsid w:val="004D590C"/>
    <w:rsid w:val="004D5CA0"/>
    <w:rsid w:val="004D69A7"/>
    <w:rsid w:val="004D7664"/>
    <w:rsid w:val="004D7E28"/>
    <w:rsid w:val="004E16AE"/>
    <w:rsid w:val="004E524C"/>
    <w:rsid w:val="004E7D71"/>
    <w:rsid w:val="004F1817"/>
    <w:rsid w:val="004F1F4C"/>
    <w:rsid w:val="004F3F0C"/>
    <w:rsid w:val="004F4EFD"/>
    <w:rsid w:val="004F5E66"/>
    <w:rsid w:val="004F6BF3"/>
    <w:rsid w:val="004F7ED5"/>
    <w:rsid w:val="005015CA"/>
    <w:rsid w:val="00501A10"/>
    <w:rsid w:val="00501DF6"/>
    <w:rsid w:val="005028C2"/>
    <w:rsid w:val="005029EA"/>
    <w:rsid w:val="00502E00"/>
    <w:rsid w:val="00504079"/>
    <w:rsid w:val="00504E3E"/>
    <w:rsid w:val="00505359"/>
    <w:rsid w:val="00505AE2"/>
    <w:rsid w:val="005067CE"/>
    <w:rsid w:val="0050783A"/>
    <w:rsid w:val="00507FD6"/>
    <w:rsid w:val="0051115E"/>
    <w:rsid w:val="00511244"/>
    <w:rsid w:val="005117C9"/>
    <w:rsid w:val="00516224"/>
    <w:rsid w:val="005177F7"/>
    <w:rsid w:val="00517B78"/>
    <w:rsid w:val="00520139"/>
    <w:rsid w:val="00522F95"/>
    <w:rsid w:val="00523403"/>
    <w:rsid w:val="0052372C"/>
    <w:rsid w:val="00524577"/>
    <w:rsid w:val="00527A39"/>
    <w:rsid w:val="00530656"/>
    <w:rsid w:val="0053082F"/>
    <w:rsid w:val="00532244"/>
    <w:rsid w:val="005323A3"/>
    <w:rsid w:val="005331B4"/>
    <w:rsid w:val="00536292"/>
    <w:rsid w:val="005371E4"/>
    <w:rsid w:val="0054035E"/>
    <w:rsid w:val="00540762"/>
    <w:rsid w:val="00544686"/>
    <w:rsid w:val="00547566"/>
    <w:rsid w:val="0054791B"/>
    <w:rsid w:val="0055147B"/>
    <w:rsid w:val="005516F1"/>
    <w:rsid w:val="00554923"/>
    <w:rsid w:val="005568C3"/>
    <w:rsid w:val="00556A4D"/>
    <w:rsid w:val="00556D9A"/>
    <w:rsid w:val="005571FF"/>
    <w:rsid w:val="0056199B"/>
    <w:rsid w:val="00562802"/>
    <w:rsid w:val="005642D9"/>
    <w:rsid w:val="005643C4"/>
    <w:rsid w:val="0056444A"/>
    <w:rsid w:val="00565125"/>
    <w:rsid w:val="005672B6"/>
    <w:rsid w:val="00567D4E"/>
    <w:rsid w:val="00570190"/>
    <w:rsid w:val="005718E3"/>
    <w:rsid w:val="00571BA0"/>
    <w:rsid w:val="005754E9"/>
    <w:rsid w:val="00576534"/>
    <w:rsid w:val="00577E71"/>
    <w:rsid w:val="00580997"/>
    <w:rsid w:val="005822EC"/>
    <w:rsid w:val="005857BC"/>
    <w:rsid w:val="00585BB2"/>
    <w:rsid w:val="0058684D"/>
    <w:rsid w:val="00587085"/>
    <w:rsid w:val="0059255B"/>
    <w:rsid w:val="00592D69"/>
    <w:rsid w:val="005935ED"/>
    <w:rsid w:val="005942D8"/>
    <w:rsid w:val="005A2D6E"/>
    <w:rsid w:val="005A353D"/>
    <w:rsid w:val="005A6E15"/>
    <w:rsid w:val="005A77D4"/>
    <w:rsid w:val="005B0D22"/>
    <w:rsid w:val="005B24F5"/>
    <w:rsid w:val="005B324F"/>
    <w:rsid w:val="005B5EFF"/>
    <w:rsid w:val="005B79E5"/>
    <w:rsid w:val="005C14B2"/>
    <w:rsid w:val="005C2390"/>
    <w:rsid w:val="005C36D0"/>
    <w:rsid w:val="005C4B3F"/>
    <w:rsid w:val="005C509B"/>
    <w:rsid w:val="005C511E"/>
    <w:rsid w:val="005C712C"/>
    <w:rsid w:val="005C7291"/>
    <w:rsid w:val="005C7ED7"/>
    <w:rsid w:val="005D02C1"/>
    <w:rsid w:val="005D28B6"/>
    <w:rsid w:val="005D2EA7"/>
    <w:rsid w:val="005D4206"/>
    <w:rsid w:val="005D472C"/>
    <w:rsid w:val="005E0122"/>
    <w:rsid w:val="005E27BF"/>
    <w:rsid w:val="005E2F42"/>
    <w:rsid w:val="005E3012"/>
    <w:rsid w:val="005E3CA3"/>
    <w:rsid w:val="005E65D6"/>
    <w:rsid w:val="005E7265"/>
    <w:rsid w:val="005F5F48"/>
    <w:rsid w:val="006011F4"/>
    <w:rsid w:val="00601AE0"/>
    <w:rsid w:val="00610975"/>
    <w:rsid w:val="0061182C"/>
    <w:rsid w:val="0061434C"/>
    <w:rsid w:val="0061557F"/>
    <w:rsid w:val="006159C2"/>
    <w:rsid w:val="006159EB"/>
    <w:rsid w:val="00617688"/>
    <w:rsid w:val="00623A7B"/>
    <w:rsid w:val="00623FA8"/>
    <w:rsid w:val="00625B97"/>
    <w:rsid w:val="00626AFA"/>
    <w:rsid w:val="006276CE"/>
    <w:rsid w:val="00632B56"/>
    <w:rsid w:val="006351FA"/>
    <w:rsid w:val="00635253"/>
    <w:rsid w:val="006358F4"/>
    <w:rsid w:val="006378E1"/>
    <w:rsid w:val="00641136"/>
    <w:rsid w:val="0064142B"/>
    <w:rsid w:val="00641909"/>
    <w:rsid w:val="00641CC3"/>
    <w:rsid w:val="00642BCD"/>
    <w:rsid w:val="00642D52"/>
    <w:rsid w:val="0064455F"/>
    <w:rsid w:val="0065164C"/>
    <w:rsid w:val="00651B2A"/>
    <w:rsid w:val="00651CD4"/>
    <w:rsid w:val="006555BB"/>
    <w:rsid w:val="006566F9"/>
    <w:rsid w:val="00662129"/>
    <w:rsid w:val="00662522"/>
    <w:rsid w:val="00663D32"/>
    <w:rsid w:val="00664CA8"/>
    <w:rsid w:val="00666144"/>
    <w:rsid w:val="006662B1"/>
    <w:rsid w:val="00666749"/>
    <w:rsid w:val="006679DA"/>
    <w:rsid w:val="00670075"/>
    <w:rsid w:val="00670F03"/>
    <w:rsid w:val="00670F5A"/>
    <w:rsid w:val="006711AF"/>
    <w:rsid w:val="00671475"/>
    <w:rsid w:val="0067198B"/>
    <w:rsid w:val="006719E8"/>
    <w:rsid w:val="0067246C"/>
    <w:rsid w:val="00672846"/>
    <w:rsid w:val="006749D7"/>
    <w:rsid w:val="006767E0"/>
    <w:rsid w:val="00680E32"/>
    <w:rsid w:val="00683D31"/>
    <w:rsid w:val="00684EAF"/>
    <w:rsid w:val="0068654D"/>
    <w:rsid w:val="0069054E"/>
    <w:rsid w:val="006925F7"/>
    <w:rsid w:val="0069386A"/>
    <w:rsid w:val="0069460F"/>
    <w:rsid w:val="0069464B"/>
    <w:rsid w:val="00697FBD"/>
    <w:rsid w:val="006A3B92"/>
    <w:rsid w:val="006A5C92"/>
    <w:rsid w:val="006A70D1"/>
    <w:rsid w:val="006B021E"/>
    <w:rsid w:val="006B543B"/>
    <w:rsid w:val="006B5C20"/>
    <w:rsid w:val="006B75AD"/>
    <w:rsid w:val="006C0C81"/>
    <w:rsid w:val="006C42C9"/>
    <w:rsid w:val="006C4A33"/>
    <w:rsid w:val="006C4E07"/>
    <w:rsid w:val="006C55E0"/>
    <w:rsid w:val="006C573D"/>
    <w:rsid w:val="006C5C75"/>
    <w:rsid w:val="006C728B"/>
    <w:rsid w:val="006D1CBE"/>
    <w:rsid w:val="006D2F3D"/>
    <w:rsid w:val="006D6048"/>
    <w:rsid w:val="006D73A1"/>
    <w:rsid w:val="006D7BC3"/>
    <w:rsid w:val="006E2FED"/>
    <w:rsid w:val="006E7024"/>
    <w:rsid w:val="006E7DCE"/>
    <w:rsid w:val="006F3E5C"/>
    <w:rsid w:val="006F6631"/>
    <w:rsid w:val="007018BD"/>
    <w:rsid w:val="007042D1"/>
    <w:rsid w:val="007061B4"/>
    <w:rsid w:val="0070662C"/>
    <w:rsid w:val="007067FC"/>
    <w:rsid w:val="0070731A"/>
    <w:rsid w:val="00711AA1"/>
    <w:rsid w:val="0071397C"/>
    <w:rsid w:val="00713F9A"/>
    <w:rsid w:val="00715673"/>
    <w:rsid w:val="00715ACF"/>
    <w:rsid w:val="00716B10"/>
    <w:rsid w:val="00716D03"/>
    <w:rsid w:val="007218F3"/>
    <w:rsid w:val="007302E1"/>
    <w:rsid w:val="007313A6"/>
    <w:rsid w:val="007326D1"/>
    <w:rsid w:val="00732B17"/>
    <w:rsid w:val="00735CFA"/>
    <w:rsid w:val="00742355"/>
    <w:rsid w:val="00742D9B"/>
    <w:rsid w:val="00743E92"/>
    <w:rsid w:val="0074598C"/>
    <w:rsid w:val="007573D9"/>
    <w:rsid w:val="007657DB"/>
    <w:rsid w:val="007663E6"/>
    <w:rsid w:val="00766486"/>
    <w:rsid w:val="00766E7E"/>
    <w:rsid w:val="00775A5E"/>
    <w:rsid w:val="00776447"/>
    <w:rsid w:val="00777281"/>
    <w:rsid w:val="00777806"/>
    <w:rsid w:val="00780587"/>
    <w:rsid w:val="007817CB"/>
    <w:rsid w:val="007938CB"/>
    <w:rsid w:val="007A00E8"/>
    <w:rsid w:val="007A24A7"/>
    <w:rsid w:val="007A2756"/>
    <w:rsid w:val="007A2892"/>
    <w:rsid w:val="007A3047"/>
    <w:rsid w:val="007A5149"/>
    <w:rsid w:val="007A63CF"/>
    <w:rsid w:val="007A64E7"/>
    <w:rsid w:val="007A6A68"/>
    <w:rsid w:val="007A78C7"/>
    <w:rsid w:val="007B001C"/>
    <w:rsid w:val="007B194D"/>
    <w:rsid w:val="007B2C8B"/>
    <w:rsid w:val="007B6971"/>
    <w:rsid w:val="007B7065"/>
    <w:rsid w:val="007B749E"/>
    <w:rsid w:val="007B7EE2"/>
    <w:rsid w:val="007C06AB"/>
    <w:rsid w:val="007C409C"/>
    <w:rsid w:val="007C56DF"/>
    <w:rsid w:val="007C5896"/>
    <w:rsid w:val="007D093D"/>
    <w:rsid w:val="007D2392"/>
    <w:rsid w:val="007D5D27"/>
    <w:rsid w:val="007E1897"/>
    <w:rsid w:val="007E54B3"/>
    <w:rsid w:val="007E66FC"/>
    <w:rsid w:val="007E6884"/>
    <w:rsid w:val="007E7CBE"/>
    <w:rsid w:val="007F0BA5"/>
    <w:rsid w:val="007F3F64"/>
    <w:rsid w:val="007F54C3"/>
    <w:rsid w:val="007F6183"/>
    <w:rsid w:val="007F7760"/>
    <w:rsid w:val="007F7E28"/>
    <w:rsid w:val="00800559"/>
    <w:rsid w:val="008012A3"/>
    <w:rsid w:val="008012C6"/>
    <w:rsid w:val="00802AB0"/>
    <w:rsid w:val="00802E2E"/>
    <w:rsid w:val="0080667F"/>
    <w:rsid w:val="008071E3"/>
    <w:rsid w:val="0080793A"/>
    <w:rsid w:val="00811C5A"/>
    <w:rsid w:val="008248D2"/>
    <w:rsid w:val="008265C3"/>
    <w:rsid w:val="00826781"/>
    <w:rsid w:val="00831717"/>
    <w:rsid w:val="00834C52"/>
    <w:rsid w:val="008363FA"/>
    <w:rsid w:val="00836471"/>
    <w:rsid w:val="00840F47"/>
    <w:rsid w:val="00840FA5"/>
    <w:rsid w:val="00841AE5"/>
    <w:rsid w:val="0084232C"/>
    <w:rsid w:val="008441C6"/>
    <w:rsid w:val="008451BB"/>
    <w:rsid w:val="00845527"/>
    <w:rsid w:val="008506B2"/>
    <w:rsid w:val="00850C3A"/>
    <w:rsid w:val="00851BBF"/>
    <w:rsid w:val="00853CDB"/>
    <w:rsid w:val="008540A4"/>
    <w:rsid w:val="0085493B"/>
    <w:rsid w:val="00855504"/>
    <w:rsid w:val="00855AE6"/>
    <w:rsid w:val="00856A95"/>
    <w:rsid w:val="00856D59"/>
    <w:rsid w:val="00861B85"/>
    <w:rsid w:val="008621AF"/>
    <w:rsid w:val="008626FA"/>
    <w:rsid w:val="00863315"/>
    <w:rsid w:val="008655E9"/>
    <w:rsid w:val="00865B74"/>
    <w:rsid w:val="00866BA7"/>
    <w:rsid w:val="00870115"/>
    <w:rsid w:val="008707CC"/>
    <w:rsid w:val="008725BA"/>
    <w:rsid w:val="00872698"/>
    <w:rsid w:val="0087330B"/>
    <w:rsid w:val="00874D4A"/>
    <w:rsid w:val="00875C25"/>
    <w:rsid w:val="00875EEF"/>
    <w:rsid w:val="008768AE"/>
    <w:rsid w:val="00876B7F"/>
    <w:rsid w:val="00877822"/>
    <w:rsid w:val="00877F48"/>
    <w:rsid w:val="00880B3E"/>
    <w:rsid w:val="008812FE"/>
    <w:rsid w:val="00883B25"/>
    <w:rsid w:val="008961C5"/>
    <w:rsid w:val="00896785"/>
    <w:rsid w:val="00896E8D"/>
    <w:rsid w:val="0089779E"/>
    <w:rsid w:val="008A6567"/>
    <w:rsid w:val="008A79D5"/>
    <w:rsid w:val="008B17D7"/>
    <w:rsid w:val="008B206F"/>
    <w:rsid w:val="008B30C9"/>
    <w:rsid w:val="008B3611"/>
    <w:rsid w:val="008B54ED"/>
    <w:rsid w:val="008C0783"/>
    <w:rsid w:val="008C09E1"/>
    <w:rsid w:val="008C2CC9"/>
    <w:rsid w:val="008C31C5"/>
    <w:rsid w:val="008D01A9"/>
    <w:rsid w:val="008D06A7"/>
    <w:rsid w:val="008D097C"/>
    <w:rsid w:val="008D1046"/>
    <w:rsid w:val="008D14AD"/>
    <w:rsid w:val="008D1C98"/>
    <w:rsid w:val="008D2992"/>
    <w:rsid w:val="008D3186"/>
    <w:rsid w:val="008D3928"/>
    <w:rsid w:val="008D3F06"/>
    <w:rsid w:val="008D448A"/>
    <w:rsid w:val="008D45CE"/>
    <w:rsid w:val="008D4AD2"/>
    <w:rsid w:val="008D5185"/>
    <w:rsid w:val="008D63E0"/>
    <w:rsid w:val="008D686C"/>
    <w:rsid w:val="008D6FF0"/>
    <w:rsid w:val="008E2304"/>
    <w:rsid w:val="008E2968"/>
    <w:rsid w:val="008E3685"/>
    <w:rsid w:val="008E6AB6"/>
    <w:rsid w:val="008E765B"/>
    <w:rsid w:val="008E7EAF"/>
    <w:rsid w:val="008F0BEF"/>
    <w:rsid w:val="008F4811"/>
    <w:rsid w:val="008F6B45"/>
    <w:rsid w:val="008F7DA1"/>
    <w:rsid w:val="009008BE"/>
    <w:rsid w:val="0090487C"/>
    <w:rsid w:val="00905833"/>
    <w:rsid w:val="00907A8F"/>
    <w:rsid w:val="00912763"/>
    <w:rsid w:val="00913157"/>
    <w:rsid w:val="00914F26"/>
    <w:rsid w:val="00914F3A"/>
    <w:rsid w:val="00921012"/>
    <w:rsid w:val="00924225"/>
    <w:rsid w:val="0092511B"/>
    <w:rsid w:val="009312F2"/>
    <w:rsid w:val="00935CA3"/>
    <w:rsid w:val="00936A65"/>
    <w:rsid w:val="00936CA5"/>
    <w:rsid w:val="009416B4"/>
    <w:rsid w:val="00942A73"/>
    <w:rsid w:val="00945C56"/>
    <w:rsid w:val="009467F1"/>
    <w:rsid w:val="00947734"/>
    <w:rsid w:val="00951053"/>
    <w:rsid w:val="00954965"/>
    <w:rsid w:val="00954FF1"/>
    <w:rsid w:val="00955983"/>
    <w:rsid w:val="00960D4D"/>
    <w:rsid w:val="00960F6E"/>
    <w:rsid w:val="00964AD2"/>
    <w:rsid w:val="00965E5B"/>
    <w:rsid w:val="00965EAA"/>
    <w:rsid w:val="00966805"/>
    <w:rsid w:val="00967072"/>
    <w:rsid w:val="0097245F"/>
    <w:rsid w:val="0097277C"/>
    <w:rsid w:val="0097322E"/>
    <w:rsid w:val="009741D4"/>
    <w:rsid w:val="00975380"/>
    <w:rsid w:val="00976115"/>
    <w:rsid w:val="00981B02"/>
    <w:rsid w:val="00982110"/>
    <w:rsid w:val="00982E97"/>
    <w:rsid w:val="009836A1"/>
    <w:rsid w:val="00983AB5"/>
    <w:rsid w:val="00983DCA"/>
    <w:rsid w:val="00983DE4"/>
    <w:rsid w:val="00984316"/>
    <w:rsid w:val="00984904"/>
    <w:rsid w:val="00984AD1"/>
    <w:rsid w:val="009915EF"/>
    <w:rsid w:val="00991B35"/>
    <w:rsid w:val="009949A0"/>
    <w:rsid w:val="009950C8"/>
    <w:rsid w:val="009966D4"/>
    <w:rsid w:val="009A27E9"/>
    <w:rsid w:val="009A2A8B"/>
    <w:rsid w:val="009A2ABD"/>
    <w:rsid w:val="009A44FE"/>
    <w:rsid w:val="009A4E92"/>
    <w:rsid w:val="009A5383"/>
    <w:rsid w:val="009A64D6"/>
    <w:rsid w:val="009A734C"/>
    <w:rsid w:val="009A75E9"/>
    <w:rsid w:val="009A7FA0"/>
    <w:rsid w:val="009B0068"/>
    <w:rsid w:val="009B1784"/>
    <w:rsid w:val="009B2567"/>
    <w:rsid w:val="009B2F7E"/>
    <w:rsid w:val="009B3766"/>
    <w:rsid w:val="009B3BC9"/>
    <w:rsid w:val="009B510E"/>
    <w:rsid w:val="009B5221"/>
    <w:rsid w:val="009C0577"/>
    <w:rsid w:val="009C0885"/>
    <w:rsid w:val="009C0A73"/>
    <w:rsid w:val="009C4E63"/>
    <w:rsid w:val="009C79E2"/>
    <w:rsid w:val="009D1A55"/>
    <w:rsid w:val="009D4184"/>
    <w:rsid w:val="009D4976"/>
    <w:rsid w:val="009D6377"/>
    <w:rsid w:val="009D64EE"/>
    <w:rsid w:val="009E181C"/>
    <w:rsid w:val="009E1C81"/>
    <w:rsid w:val="009E2C46"/>
    <w:rsid w:val="009E4CF6"/>
    <w:rsid w:val="009E58DB"/>
    <w:rsid w:val="009E5ED3"/>
    <w:rsid w:val="009E63A8"/>
    <w:rsid w:val="009E6E49"/>
    <w:rsid w:val="009E7C15"/>
    <w:rsid w:val="009E7ECE"/>
    <w:rsid w:val="009F25DD"/>
    <w:rsid w:val="009F28F1"/>
    <w:rsid w:val="009F2C1C"/>
    <w:rsid w:val="009F6F13"/>
    <w:rsid w:val="00A0095F"/>
    <w:rsid w:val="00A10F6E"/>
    <w:rsid w:val="00A128A2"/>
    <w:rsid w:val="00A1531E"/>
    <w:rsid w:val="00A21B11"/>
    <w:rsid w:val="00A24DC5"/>
    <w:rsid w:val="00A251E5"/>
    <w:rsid w:val="00A265B3"/>
    <w:rsid w:val="00A31DF9"/>
    <w:rsid w:val="00A329F3"/>
    <w:rsid w:val="00A33DE9"/>
    <w:rsid w:val="00A353EF"/>
    <w:rsid w:val="00A360AC"/>
    <w:rsid w:val="00A37594"/>
    <w:rsid w:val="00A4172E"/>
    <w:rsid w:val="00A41895"/>
    <w:rsid w:val="00A4234D"/>
    <w:rsid w:val="00A449C2"/>
    <w:rsid w:val="00A45940"/>
    <w:rsid w:val="00A46626"/>
    <w:rsid w:val="00A46F10"/>
    <w:rsid w:val="00A475F9"/>
    <w:rsid w:val="00A478A8"/>
    <w:rsid w:val="00A47C24"/>
    <w:rsid w:val="00A5230E"/>
    <w:rsid w:val="00A53567"/>
    <w:rsid w:val="00A57FA7"/>
    <w:rsid w:val="00A607FA"/>
    <w:rsid w:val="00A6192E"/>
    <w:rsid w:val="00A630DB"/>
    <w:rsid w:val="00A633AA"/>
    <w:rsid w:val="00A64A32"/>
    <w:rsid w:val="00A64D78"/>
    <w:rsid w:val="00A66122"/>
    <w:rsid w:val="00A66394"/>
    <w:rsid w:val="00A67A4F"/>
    <w:rsid w:val="00A70D46"/>
    <w:rsid w:val="00A71B40"/>
    <w:rsid w:val="00A74BF1"/>
    <w:rsid w:val="00A75B70"/>
    <w:rsid w:val="00A7623F"/>
    <w:rsid w:val="00A773E4"/>
    <w:rsid w:val="00A80D31"/>
    <w:rsid w:val="00A83149"/>
    <w:rsid w:val="00A84C2B"/>
    <w:rsid w:val="00A8548D"/>
    <w:rsid w:val="00A86501"/>
    <w:rsid w:val="00A86F35"/>
    <w:rsid w:val="00A87DEB"/>
    <w:rsid w:val="00A90197"/>
    <w:rsid w:val="00A93FC4"/>
    <w:rsid w:val="00A94308"/>
    <w:rsid w:val="00A964CC"/>
    <w:rsid w:val="00A96CB4"/>
    <w:rsid w:val="00AA0124"/>
    <w:rsid w:val="00AA0CCC"/>
    <w:rsid w:val="00AA1265"/>
    <w:rsid w:val="00AA12C6"/>
    <w:rsid w:val="00AA344A"/>
    <w:rsid w:val="00AA3743"/>
    <w:rsid w:val="00AA3B5D"/>
    <w:rsid w:val="00AA679B"/>
    <w:rsid w:val="00AB02B4"/>
    <w:rsid w:val="00AB0A44"/>
    <w:rsid w:val="00AB111F"/>
    <w:rsid w:val="00AC2394"/>
    <w:rsid w:val="00AC294C"/>
    <w:rsid w:val="00AC37C1"/>
    <w:rsid w:val="00AC3BB1"/>
    <w:rsid w:val="00AC4FAB"/>
    <w:rsid w:val="00AC5649"/>
    <w:rsid w:val="00AD066C"/>
    <w:rsid w:val="00AD233D"/>
    <w:rsid w:val="00AD5F64"/>
    <w:rsid w:val="00AD6209"/>
    <w:rsid w:val="00AD7228"/>
    <w:rsid w:val="00AE0E57"/>
    <w:rsid w:val="00AE12CF"/>
    <w:rsid w:val="00AE1D49"/>
    <w:rsid w:val="00AE603C"/>
    <w:rsid w:val="00AE7461"/>
    <w:rsid w:val="00AF1C8B"/>
    <w:rsid w:val="00AF36AB"/>
    <w:rsid w:val="00B044C1"/>
    <w:rsid w:val="00B048A7"/>
    <w:rsid w:val="00B11EF6"/>
    <w:rsid w:val="00B12B2C"/>
    <w:rsid w:val="00B14A8D"/>
    <w:rsid w:val="00B14AD9"/>
    <w:rsid w:val="00B17BC8"/>
    <w:rsid w:val="00B21577"/>
    <w:rsid w:val="00B21D9E"/>
    <w:rsid w:val="00B22F90"/>
    <w:rsid w:val="00B232CD"/>
    <w:rsid w:val="00B232D9"/>
    <w:rsid w:val="00B24C6D"/>
    <w:rsid w:val="00B25E02"/>
    <w:rsid w:val="00B32CFC"/>
    <w:rsid w:val="00B33CDC"/>
    <w:rsid w:val="00B40737"/>
    <w:rsid w:val="00B40D68"/>
    <w:rsid w:val="00B411A6"/>
    <w:rsid w:val="00B417C1"/>
    <w:rsid w:val="00B41C8F"/>
    <w:rsid w:val="00B43989"/>
    <w:rsid w:val="00B45780"/>
    <w:rsid w:val="00B50E2E"/>
    <w:rsid w:val="00B54EC6"/>
    <w:rsid w:val="00B56B2B"/>
    <w:rsid w:val="00B5744F"/>
    <w:rsid w:val="00B7296A"/>
    <w:rsid w:val="00B734C2"/>
    <w:rsid w:val="00B74C17"/>
    <w:rsid w:val="00B8063D"/>
    <w:rsid w:val="00B81646"/>
    <w:rsid w:val="00B82F78"/>
    <w:rsid w:val="00B8348F"/>
    <w:rsid w:val="00B84D89"/>
    <w:rsid w:val="00B86591"/>
    <w:rsid w:val="00B86F86"/>
    <w:rsid w:val="00B977CA"/>
    <w:rsid w:val="00BA34BF"/>
    <w:rsid w:val="00BA4B2E"/>
    <w:rsid w:val="00BA5A96"/>
    <w:rsid w:val="00BA6E4F"/>
    <w:rsid w:val="00BA7689"/>
    <w:rsid w:val="00BB02D7"/>
    <w:rsid w:val="00BB11B2"/>
    <w:rsid w:val="00BB15B0"/>
    <w:rsid w:val="00BB3945"/>
    <w:rsid w:val="00BB522A"/>
    <w:rsid w:val="00BC16AB"/>
    <w:rsid w:val="00BC411A"/>
    <w:rsid w:val="00BD2146"/>
    <w:rsid w:val="00BD31A1"/>
    <w:rsid w:val="00BD3FE7"/>
    <w:rsid w:val="00BD46D3"/>
    <w:rsid w:val="00BD46EF"/>
    <w:rsid w:val="00BD53CF"/>
    <w:rsid w:val="00BD55EB"/>
    <w:rsid w:val="00BD5CFB"/>
    <w:rsid w:val="00BD72EC"/>
    <w:rsid w:val="00BD792E"/>
    <w:rsid w:val="00BD7E3E"/>
    <w:rsid w:val="00BE0325"/>
    <w:rsid w:val="00BE1085"/>
    <w:rsid w:val="00BE164A"/>
    <w:rsid w:val="00BE1D6F"/>
    <w:rsid w:val="00BE2359"/>
    <w:rsid w:val="00BE2715"/>
    <w:rsid w:val="00BE4883"/>
    <w:rsid w:val="00BE617E"/>
    <w:rsid w:val="00BE7854"/>
    <w:rsid w:val="00BF1014"/>
    <w:rsid w:val="00BF297C"/>
    <w:rsid w:val="00BF347B"/>
    <w:rsid w:val="00BF403C"/>
    <w:rsid w:val="00C00A40"/>
    <w:rsid w:val="00C00D7A"/>
    <w:rsid w:val="00C021FE"/>
    <w:rsid w:val="00C039F6"/>
    <w:rsid w:val="00C0733F"/>
    <w:rsid w:val="00C12EF0"/>
    <w:rsid w:val="00C14F75"/>
    <w:rsid w:val="00C17167"/>
    <w:rsid w:val="00C17745"/>
    <w:rsid w:val="00C20522"/>
    <w:rsid w:val="00C22B13"/>
    <w:rsid w:val="00C240C9"/>
    <w:rsid w:val="00C257FF"/>
    <w:rsid w:val="00C25A33"/>
    <w:rsid w:val="00C27E96"/>
    <w:rsid w:val="00C30374"/>
    <w:rsid w:val="00C30760"/>
    <w:rsid w:val="00C31D8C"/>
    <w:rsid w:val="00C32E43"/>
    <w:rsid w:val="00C339E4"/>
    <w:rsid w:val="00C3457B"/>
    <w:rsid w:val="00C34727"/>
    <w:rsid w:val="00C35554"/>
    <w:rsid w:val="00C3580D"/>
    <w:rsid w:val="00C35A48"/>
    <w:rsid w:val="00C36933"/>
    <w:rsid w:val="00C36C22"/>
    <w:rsid w:val="00C372F7"/>
    <w:rsid w:val="00C37A3C"/>
    <w:rsid w:val="00C37F39"/>
    <w:rsid w:val="00C40DA3"/>
    <w:rsid w:val="00C44292"/>
    <w:rsid w:val="00C471DE"/>
    <w:rsid w:val="00C50AD6"/>
    <w:rsid w:val="00C535E4"/>
    <w:rsid w:val="00C566F0"/>
    <w:rsid w:val="00C571F9"/>
    <w:rsid w:val="00C574CF"/>
    <w:rsid w:val="00C61C87"/>
    <w:rsid w:val="00C67103"/>
    <w:rsid w:val="00C72EE6"/>
    <w:rsid w:val="00C80BA9"/>
    <w:rsid w:val="00C8118F"/>
    <w:rsid w:val="00C819CF"/>
    <w:rsid w:val="00C847AA"/>
    <w:rsid w:val="00C867E8"/>
    <w:rsid w:val="00C90883"/>
    <w:rsid w:val="00C93242"/>
    <w:rsid w:val="00C93F25"/>
    <w:rsid w:val="00C94CCE"/>
    <w:rsid w:val="00C95283"/>
    <w:rsid w:val="00C96B7D"/>
    <w:rsid w:val="00C96EB8"/>
    <w:rsid w:val="00CA0F0D"/>
    <w:rsid w:val="00CA6286"/>
    <w:rsid w:val="00CA68C3"/>
    <w:rsid w:val="00CA6E58"/>
    <w:rsid w:val="00CB1F8E"/>
    <w:rsid w:val="00CB2254"/>
    <w:rsid w:val="00CB23F6"/>
    <w:rsid w:val="00CB3E81"/>
    <w:rsid w:val="00CB4839"/>
    <w:rsid w:val="00CB7E04"/>
    <w:rsid w:val="00CC1AAF"/>
    <w:rsid w:val="00CC2384"/>
    <w:rsid w:val="00CC2FD4"/>
    <w:rsid w:val="00CC49D1"/>
    <w:rsid w:val="00CC792B"/>
    <w:rsid w:val="00CD201A"/>
    <w:rsid w:val="00CD4BA2"/>
    <w:rsid w:val="00CE0A6A"/>
    <w:rsid w:val="00CE1916"/>
    <w:rsid w:val="00CE2046"/>
    <w:rsid w:val="00CE3681"/>
    <w:rsid w:val="00CE3D48"/>
    <w:rsid w:val="00CE61A3"/>
    <w:rsid w:val="00CF2890"/>
    <w:rsid w:val="00CF3BDC"/>
    <w:rsid w:val="00CF3EBE"/>
    <w:rsid w:val="00CF6FFA"/>
    <w:rsid w:val="00CF77CE"/>
    <w:rsid w:val="00D00188"/>
    <w:rsid w:val="00D0069A"/>
    <w:rsid w:val="00D00C87"/>
    <w:rsid w:val="00D021AB"/>
    <w:rsid w:val="00D034F8"/>
    <w:rsid w:val="00D03F57"/>
    <w:rsid w:val="00D05133"/>
    <w:rsid w:val="00D0561C"/>
    <w:rsid w:val="00D0647F"/>
    <w:rsid w:val="00D07108"/>
    <w:rsid w:val="00D077A8"/>
    <w:rsid w:val="00D103C6"/>
    <w:rsid w:val="00D1101E"/>
    <w:rsid w:val="00D17B44"/>
    <w:rsid w:val="00D21DF2"/>
    <w:rsid w:val="00D22EC1"/>
    <w:rsid w:val="00D2341A"/>
    <w:rsid w:val="00D23D90"/>
    <w:rsid w:val="00D241C3"/>
    <w:rsid w:val="00D2493B"/>
    <w:rsid w:val="00D25857"/>
    <w:rsid w:val="00D2628F"/>
    <w:rsid w:val="00D311E3"/>
    <w:rsid w:val="00D316FB"/>
    <w:rsid w:val="00D32EBF"/>
    <w:rsid w:val="00D33146"/>
    <w:rsid w:val="00D36578"/>
    <w:rsid w:val="00D40F4F"/>
    <w:rsid w:val="00D429B0"/>
    <w:rsid w:val="00D439E4"/>
    <w:rsid w:val="00D45D30"/>
    <w:rsid w:val="00D50051"/>
    <w:rsid w:val="00D5325F"/>
    <w:rsid w:val="00D54CE0"/>
    <w:rsid w:val="00D5603B"/>
    <w:rsid w:val="00D61040"/>
    <w:rsid w:val="00D616CB"/>
    <w:rsid w:val="00D62838"/>
    <w:rsid w:val="00D62DA0"/>
    <w:rsid w:val="00D63206"/>
    <w:rsid w:val="00D63FF7"/>
    <w:rsid w:val="00D64943"/>
    <w:rsid w:val="00D67087"/>
    <w:rsid w:val="00D67520"/>
    <w:rsid w:val="00D718E1"/>
    <w:rsid w:val="00D71D77"/>
    <w:rsid w:val="00D73BBB"/>
    <w:rsid w:val="00D73FAE"/>
    <w:rsid w:val="00D740A7"/>
    <w:rsid w:val="00D76D26"/>
    <w:rsid w:val="00D77E29"/>
    <w:rsid w:val="00D80F6D"/>
    <w:rsid w:val="00D83199"/>
    <w:rsid w:val="00D867D9"/>
    <w:rsid w:val="00D86E22"/>
    <w:rsid w:val="00D86E80"/>
    <w:rsid w:val="00D879B6"/>
    <w:rsid w:val="00D94CBB"/>
    <w:rsid w:val="00D9789B"/>
    <w:rsid w:val="00DA0E17"/>
    <w:rsid w:val="00DA1CA3"/>
    <w:rsid w:val="00DA2A52"/>
    <w:rsid w:val="00DA3351"/>
    <w:rsid w:val="00DA464E"/>
    <w:rsid w:val="00DA5D90"/>
    <w:rsid w:val="00DA648E"/>
    <w:rsid w:val="00DA7964"/>
    <w:rsid w:val="00DA7D82"/>
    <w:rsid w:val="00DB142D"/>
    <w:rsid w:val="00DB3391"/>
    <w:rsid w:val="00DB4EA5"/>
    <w:rsid w:val="00DB7632"/>
    <w:rsid w:val="00DB7701"/>
    <w:rsid w:val="00DB7B1A"/>
    <w:rsid w:val="00DC06E0"/>
    <w:rsid w:val="00DC07CD"/>
    <w:rsid w:val="00DC1723"/>
    <w:rsid w:val="00DC1BF2"/>
    <w:rsid w:val="00DC1E8D"/>
    <w:rsid w:val="00DC2ED3"/>
    <w:rsid w:val="00DC5B08"/>
    <w:rsid w:val="00DD1C66"/>
    <w:rsid w:val="00DD454E"/>
    <w:rsid w:val="00DD5999"/>
    <w:rsid w:val="00DD65B2"/>
    <w:rsid w:val="00DE0A75"/>
    <w:rsid w:val="00DE4111"/>
    <w:rsid w:val="00DE5695"/>
    <w:rsid w:val="00DE728F"/>
    <w:rsid w:val="00DE7DD5"/>
    <w:rsid w:val="00DF054C"/>
    <w:rsid w:val="00DF1B83"/>
    <w:rsid w:val="00DF33D3"/>
    <w:rsid w:val="00DF48B9"/>
    <w:rsid w:val="00DF70E2"/>
    <w:rsid w:val="00DF7B65"/>
    <w:rsid w:val="00E0068E"/>
    <w:rsid w:val="00E011DA"/>
    <w:rsid w:val="00E01AC1"/>
    <w:rsid w:val="00E07A4C"/>
    <w:rsid w:val="00E10EA5"/>
    <w:rsid w:val="00E11022"/>
    <w:rsid w:val="00E120FD"/>
    <w:rsid w:val="00E134FB"/>
    <w:rsid w:val="00E14BC7"/>
    <w:rsid w:val="00E152CC"/>
    <w:rsid w:val="00E15F94"/>
    <w:rsid w:val="00E17E98"/>
    <w:rsid w:val="00E2137B"/>
    <w:rsid w:val="00E21F65"/>
    <w:rsid w:val="00E26C39"/>
    <w:rsid w:val="00E3126F"/>
    <w:rsid w:val="00E3261C"/>
    <w:rsid w:val="00E34952"/>
    <w:rsid w:val="00E36267"/>
    <w:rsid w:val="00E375CE"/>
    <w:rsid w:val="00E4107D"/>
    <w:rsid w:val="00E44A47"/>
    <w:rsid w:val="00E45012"/>
    <w:rsid w:val="00E454BA"/>
    <w:rsid w:val="00E45ED5"/>
    <w:rsid w:val="00E47296"/>
    <w:rsid w:val="00E50D7F"/>
    <w:rsid w:val="00E51E33"/>
    <w:rsid w:val="00E5232C"/>
    <w:rsid w:val="00E564A7"/>
    <w:rsid w:val="00E56C4B"/>
    <w:rsid w:val="00E574A2"/>
    <w:rsid w:val="00E57BE7"/>
    <w:rsid w:val="00E57CD8"/>
    <w:rsid w:val="00E6096C"/>
    <w:rsid w:val="00E6101B"/>
    <w:rsid w:val="00E6306E"/>
    <w:rsid w:val="00E653DC"/>
    <w:rsid w:val="00E6710E"/>
    <w:rsid w:val="00E743C4"/>
    <w:rsid w:val="00E74CBB"/>
    <w:rsid w:val="00E75729"/>
    <w:rsid w:val="00E76BCA"/>
    <w:rsid w:val="00E85664"/>
    <w:rsid w:val="00E8594B"/>
    <w:rsid w:val="00E90384"/>
    <w:rsid w:val="00E90E29"/>
    <w:rsid w:val="00E910C3"/>
    <w:rsid w:val="00E9449F"/>
    <w:rsid w:val="00E96B16"/>
    <w:rsid w:val="00E97301"/>
    <w:rsid w:val="00E97948"/>
    <w:rsid w:val="00E97FB0"/>
    <w:rsid w:val="00EA0802"/>
    <w:rsid w:val="00EA1489"/>
    <w:rsid w:val="00EA3FC4"/>
    <w:rsid w:val="00EA5146"/>
    <w:rsid w:val="00EA6300"/>
    <w:rsid w:val="00EA6458"/>
    <w:rsid w:val="00EB0A29"/>
    <w:rsid w:val="00EB11E8"/>
    <w:rsid w:val="00EB1396"/>
    <w:rsid w:val="00EB1DBE"/>
    <w:rsid w:val="00EB33C6"/>
    <w:rsid w:val="00EB3A8A"/>
    <w:rsid w:val="00EB3AA8"/>
    <w:rsid w:val="00EB7EF7"/>
    <w:rsid w:val="00EC4120"/>
    <w:rsid w:val="00EC47B9"/>
    <w:rsid w:val="00EC4FD4"/>
    <w:rsid w:val="00EC54BD"/>
    <w:rsid w:val="00EC73DB"/>
    <w:rsid w:val="00EC7787"/>
    <w:rsid w:val="00ED020D"/>
    <w:rsid w:val="00ED248C"/>
    <w:rsid w:val="00ED2D45"/>
    <w:rsid w:val="00ED70BB"/>
    <w:rsid w:val="00ED711D"/>
    <w:rsid w:val="00ED75F5"/>
    <w:rsid w:val="00ED78D8"/>
    <w:rsid w:val="00EE04F4"/>
    <w:rsid w:val="00EE2481"/>
    <w:rsid w:val="00EE2A92"/>
    <w:rsid w:val="00EE37C9"/>
    <w:rsid w:val="00EE404E"/>
    <w:rsid w:val="00EE414A"/>
    <w:rsid w:val="00EF208E"/>
    <w:rsid w:val="00EF2670"/>
    <w:rsid w:val="00EF4067"/>
    <w:rsid w:val="00EF455C"/>
    <w:rsid w:val="00EF57DB"/>
    <w:rsid w:val="00EF5937"/>
    <w:rsid w:val="00F0214B"/>
    <w:rsid w:val="00F04085"/>
    <w:rsid w:val="00F06A63"/>
    <w:rsid w:val="00F10F65"/>
    <w:rsid w:val="00F159A6"/>
    <w:rsid w:val="00F1700C"/>
    <w:rsid w:val="00F21413"/>
    <w:rsid w:val="00F23A29"/>
    <w:rsid w:val="00F23E2C"/>
    <w:rsid w:val="00F25613"/>
    <w:rsid w:val="00F26599"/>
    <w:rsid w:val="00F321BF"/>
    <w:rsid w:val="00F34C42"/>
    <w:rsid w:val="00F36761"/>
    <w:rsid w:val="00F403B9"/>
    <w:rsid w:val="00F42545"/>
    <w:rsid w:val="00F44364"/>
    <w:rsid w:val="00F44891"/>
    <w:rsid w:val="00F53DAA"/>
    <w:rsid w:val="00F546B9"/>
    <w:rsid w:val="00F549C3"/>
    <w:rsid w:val="00F565D5"/>
    <w:rsid w:val="00F610A7"/>
    <w:rsid w:val="00F616EA"/>
    <w:rsid w:val="00F64399"/>
    <w:rsid w:val="00F64BBE"/>
    <w:rsid w:val="00F66829"/>
    <w:rsid w:val="00F70C07"/>
    <w:rsid w:val="00F73DBC"/>
    <w:rsid w:val="00F7429E"/>
    <w:rsid w:val="00F74E54"/>
    <w:rsid w:val="00F7679B"/>
    <w:rsid w:val="00F77690"/>
    <w:rsid w:val="00F779C2"/>
    <w:rsid w:val="00F77C38"/>
    <w:rsid w:val="00F82676"/>
    <w:rsid w:val="00F82871"/>
    <w:rsid w:val="00F82A73"/>
    <w:rsid w:val="00F83791"/>
    <w:rsid w:val="00F844CE"/>
    <w:rsid w:val="00F84BAE"/>
    <w:rsid w:val="00F91262"/>
    <w:rsid w:val="00F920B4"/>
    <w:rsid w:val="00F97789"/>
    <w:rsid w:val="00F97ABB"/>
    <w:rsid w:val="00F97F7F"/>
    <w:rsid w:val="00FA1F44"/>
    <w:rsid w:val="00FA2299"/>
    <w:rsid w:val="00FA4D5C"/>
    <w:rsid w:val="00FB0544"/>
    <w:rsid w:val="00FB0B96"/>
    <w:rsid w:val="00FB2C9D"/>
    <w:rsid w:val="00FB3B74"/>
    <w:rsid w:val="00FB4421"/>
    <w:rsid w:val="00FB5807"/>
    <w:rsid w:val="00FB7AE3"/>
    <w:rsid w:val="00FC18CD"/>
    <w:rsid w:val="00FC1F38"/>
    <w:rsid w:val="00FC3955"/>
    <w:rsid w:val="00FC51E1"/>
    <w:rsid w:val="00FC5224"/>
    <w:rsid w:val="00FC648B"/>
    <w:rsid w:val="00FC6F7A"/>
    <w:rsid w:val="00FC71E2"/>
    <w:rsid w:val="00FD09C4"/>
    <w:rsid w:val="00FD0B23"/>
    <w:rsid w:val="00FE0763"/>
    <w:rsid w:val="00FE278B"/>
    <w:rsid w:val="00FE4420"/>
    <w:rsid w:val="00FF1706"/>
    <w:rsid w:val="00FF185E"/>
    <w:rsid w:val="00FF22E4"/>
    <w:rsid w:val="00FF2402"/>
    <w:rsid w:val="00FF27C1"/>
    <w:rsid w:val="00FF568A"/>
    <w:rsid w:val="00FF699C"/>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57F5F742"/>
  <w15:chartTrackingRefBased/>
  <w15:docId w15:val="{6CF42B7A-DDCA-4A0C-A9BC-63B5408F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81"/>
    <w:rPr>
      <w:sz w:val="24"/>
      <w:szCs w:val="24"/>
      <w:lang w:val="lv-LV" w:eastAsia="lv-LV"/>
    </w:rPr>
  </w:style>
  <w:style w:type="paragraph" w:styleId="Heading3">
    <w:name w:val="heading 3"/>
    <w:basedOn w:val="Normal"/>
    <w:link w:val="Heading3Char"/>
    <w:uiPriority w:val="9"/>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uiPriority w:val="99"/>
    <w:rsid w:val="0047576F"/>
    <w:pPr>
      <w:spacing w:before="75" w:after="75"/>
      <w:ind w:firstLine="375"/>
      <w:jc w:val="both"/>
    </w:pPr>
  </w:style>
  <w:style w:type="paragraph" w:customStyle="1" w:styleId="naisnod">
    <w:name w:val="naisnod"/>
    <w:basedOn w:val="Normal"/>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semiHidden/>
    <w:rsid w:val="0047576F"/>
    <w:rPr>
      <w:sz w:val="20"/>
      <w:szCs w:val="20"/>
    </w:rPr>
  </w:style>
  <w:style w:type="paragraph" w:styleId="Footer">
    <w:name w:val="footer"/>
    <w:basedOn w:val="Normal"/>
    <w:link w:val="FooterChar"/>
    <w:rsid w:val="0047576F"/>
    <w:pPr>
      <w:tabs>
        <w:tab w:val="center" w:pos="4153"/>
        <w:tab w:val="right" w:pos="8306"/>
      </w:tabs>
    </w:pPr>
  </w:style>
  <w:style w:type="character" w:customStyle="1" w:styleId="FooterChar">
    <w:name w:val="Footer Char"/>
    <w:link w:val="Footer"/>
    <w:semiHidden/>
    <w:rsid w:val="0047576F"/>
    <w:rPr>
      <w:sz w:val="24"/>
      <w:szCs w:val="24"/>
      <w:lang w:val="lv-LV" w:eastAsia="lv-LV" w:bidi="ar-SA"/>
    </w:rPr>
  </w:style>
  <w:style w:type="character" w:styleId="Hyperlink">
    <w:name w:val="Hyperlink"/>
    <w:uiPriority w:val="99"/>
    <w:rsid w:val="0047576F"/>
    <w:rPr>
      <w:color w:val="0000FF"/>
      <w:u w:val="single"/>
    </w:rPr>
  </w:style>
  <w:style w:type="paragraph" w:styleId="NormalWeb">
    <w:name w:val="Normal (Web)"/>
    <w:basedOn w:val="Normal"/>
    <w:uiPriority w:val="99"/>
    <w:rsid w:val="0047576F"/>
    <w:pPr>
      <w:spacing w:before="100" w:beforeAutospacing="1" w:after="100" w:afterAutospacing="1"/>
    </w:pPr>
  </w:style>
  <w:style w:type="paragraph" w:styleId="ListParagraph">
    <w:name w:val="List Paragraph"/>
    <w:basedOn w:val="Normal"/>
    <w:link w:val="ListParagraphChar"/>
    <w:uiPriority w:val="34"/>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uiPriority w:val="9"/>
    <w:locked/>
    <w:rsid w:val="00093832"/>
    <w:rPr>
      <w:b/>
      <w:bCs/>
      <w:sz w:val="27"/>
      <w:szCs w:val="27"/>
      <w:lang w:val="lv-LV" w:eastAsia="lv-LV" w:bidi="ar-SA"/>
    </w:rPr>
  </w:style>
  <w:style w:type="character" w:styleId="CommentReference">
    <w:name w:val="annotation reference"/>
    <w:uiPriority w:val="99"/>
    <w:semiHidden/>
    <w:rsid w:val="00945C56"/>
    <w:rPr>
      <w:sz w:val="16"/>
      <w:szCs w:val="16"/>
    </w:rPr>
  </w:style>
  <w:style w:type="paragraph" w:styleId="CommentText">
    <w:name w:val="annotation text"/>
    <w:basedOn w:val="Normal"/>
    <w:link w:val="CommentTextChar"/>
    <w:uiPriority w:val="99"/>
    <w:semiHidden/>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uiPriority w:val="99"/>
    <w:locked/>
    <w:rsid w:val="00E564A7"/>
    <w:rPr>
      <w:lang w:val="lv-LV" w:eastAsia="lv-LV" w:bidi="ar-SA"/>
    </w:rPr>
  </w:style>
  <w:style w:type="paragraph" w:styleId="CommentSubject">
    <w:name w:val="annotation subject"/>
    <w:basedOn w:val="CommentText"/>
    <w:next w:val="CommentText"/>
    <w:link w:val="CommentSubjectChar"/>
    <w:rsid w:val="005D4206"/>
    <w:rPr>
      <w:b/>
      <w:bCs/>
    </w:rPr>
  </w:style>
  <w:style w:type="character" w:customStyle="1" w:styleId="CommentSubjectChar">
    <w:name w:val="Comment Subject Char"/>
    <w:link w:val="CommentSubject"/>
    <w:rsid w:val="005D4206"/>
    <w:rPr>
      <w:b/>
      <w:bCs/>
      <w:lang w:val="lv-LV" w:eastAsia="lv-LV" w:bidi="ar-SA"/>
    </w:rPr>
  </w:style>
  <w:style w:type="character" w:customStyle="1" w:styleId="result-to">
    <w:name w:val="result-to"/>
    <w:rsid w:val="003F624B"/>
  </w:style>
  <w:style w:type="character" w:customStyle="1" w:styleId="st">
    <w:name w:val="st"/>
    <w:rsid w:val="00913157"/>
  </w:style>
  <w:style w:type="character" w:styleId="Emphasis">
    <w:name w:val="Emphasis"/>
    <w:uiPriority w:val="20"/>
    <w:qFormat/>
    <w:rsid w:val="006719E8"/>
    <w:rPr>
      <w:i/>
      <w:iCs/>
    </w:rPr>
  </w:style>
  <w:style w:type="paragraph" w:styleId="BodyText">
    <w:name w:val="Body Text"/>
    <w:basedOn w:val="Normal"/>
    <w:link w:val="BodyTextChar"/>
    <w:rsid w:val="00186A61"/>
    <w:pPr>
      <w:spacing w:after="120"/>
    </w:pPr>
    <w:rPr>
      <w:rFonts w:ascii="RimTimes" w:hAnsi="RimTimes"/>
      <w:sz w:val="28"/>
      <w:szCs w:val="20"/>
      <w:lang w:eastAsia="en-US"/>
    </w:rPr>
  </w:style>
  <w:style w:type="character" w:customStyle="1" w:styleId="BodyTextChar">
    <w:name w:val="Body Text Char"/>
    <w:link w:val="BodyText"/>
    <w:rsid w:val="00186A61"/>
    <w:rPr>
      <w:rFonts w:ascii="RimTimes" w:hAnsi="RimTimes"/>
      <w:sz w:val="28"/>
      <w:lang w:eastAsia="en-US"/>
    </w:rPr>
  </w:style>
  <w:style w:type="character" w:customStyle="1" w:styleId="multiline">
    <w:name w:val="multiline"/>
    <w:rsid w:val="00D76D26"/>
  </w:style>
  <w:style w:type="character" w:styleId="FootnoteReference">
    <w:name w:val="footnote reference"/>
    <w:rsid w:val="00831717"/>
    <w:rPr>
      <w:vertAlign w:val="superscript"/>
    </w:rPr>
  </w:style>
  <w:style w:type="paragraph" w:customStyle="1" w:styleId="tv213">
    <w:name w:val="tv213"/>
    <w:basedOn w:val="Normal"/>
    <w:rsid w:val="00863315"/>
    <w:pPr>
      <w:spacing w:before="100" w:beforeAutospacing="1" w:after="100" w:afterAutospacing="1"/>
    </w:pPr>
    <w:rPr>
      <w:lang w:val="en-US" w:eastAsia="en-US"/>
    </w:rPr>
  </w:style>
  <w:style w:type="character" w:customStyle="1" w:styleId="ListParagraphChar">
    <w:name w:val="List Paragraph Char"/>
    <w:link w:val="ListParagraph"/>
    <w:uiPriority w:val="34"/>
    <w:rsid w:val="000A0FD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7742">
      <w:bodyDiv w:val="1"/>
      <w:marLeft w:val="0"/>
      <w:marRight w:val="0"/>
      <w:marTop w:val="0"/>
      <w:marBottom w:val="0"/>
      <w:divBdr>
        <w:top w:val="none" w:sz="0" w:space="0" w:color="auto"/>
        <w:left w:val="none" w:sz="0" w:space="0" w:color="auto"/>
        <w:bottom w:val="none" w:sz="0" w:space="0" w:color="auto"/>
        <w:right w:val="none" w:sz="0" w:space="0" w:color="auto"/>
      </w:divBdr>
    </w:div>
    <w:div w:id="490219750">
      <w:bodyDiv w:val="1"/>
      <w:marLeft w:val="0"/>
      <w:marRight w:val="0"/>
      <w:marTop w:val="0"/>
      <w:marBottom w:val="0"/>
      <w:divBdr>
        <w:top w:val="none" w:sz="0" w:space="0" w:color="auto"/>
        <w:left w:val="none" w:sz="0" w:space="0" w:color="auto"/>
        <w:bottom w:val="none" w:sz="0" w:space="0" w:color="auto"/>
        <w:right w:val="none" w:sz="0" w:space="0" w:color="auto"/>
      </w:divBdr>
    </w:div>
    <w:div w:id="565191848">
      <w:bodyDiv w:val="1"/>
      <w:marLeft w:val="0"/>
      <w:marRight w:val="0"/>
      <w:marTop w:val="0"/>
      <w:marBottom w:val="0"/>
      <w:divBdr>
        <w:top w:val="none" w:sz="0" w:space="0" w:color="auto"/>
        <w:left w:val="none" w:sz="0" w:space="0" w:color="auto"/>
        <w:bottom w:val="none" w:sz="0" w:space="0" w:color="auto"/>
        <w:right w:val="none" w:sz="0" w:space="0" w:color="auto"/>
      </w:divBdr>
    </w:div>
    <w:div w:id="587999920">
      <w:bodyDiv w:val="1"/>
      <w:marLeft w:val="0"/>
      <w:marRight w:val="0"/>
      <w:marTop w:val="0"/>
      <w:marBottom w:val="0"/>
      <w:divBdr>
        <w:top w:val="none" w:sz="0" w:space="0" w:color="auto"/>
        <w:left w:val="none" w:sz="0" w:space="0" w:color="auto"/>
        <w:bottom w:val="none" w:sz="0" w:space="0" w:color="auto"/>
        <w:right w:val="none" w:sz="0" w:space="0" w:color="auto"/>
      </w:divBdr>
    </w:div>
    <w:div w:id="700666234">
      <w:bodyDiv w:val="1"/>
      <w:marLeft w:val="0"/>
      <w:marRight w:val="0"/>
      <w:marTop w:val="0"/>
      <w:marBottom w:val="0"/>
      <w:divBdr>
        <w:top w:val="none" w:sz="0" w:space="0" w:color="auto"/>
        <w:left w:val="none" w:sz="0" w:space="0" w:color="auto"/>
        <w:bottom w:val="none" w:sz="0" w:space="0" w:color="auto"/>
        <w:right w:val="none" w:sz="0" w:space="0" w:color="auto"/>
      </w:divBdr>
    </w:div>
    <w:div w:id="900141616">
      <w:bodyDiv w:val="1"/>
      <w:marLeft w:val="0"/>
      <w:marRight w:val="0"/>
      <w:marTop w:val="0"/>
      <w:marBottom w:val="0"/>
      <w:divBdr>
        <w:top w:val="none" w:sz="0" w:space="0" w:color="auto"/>
        <w:left w:val="none" w:sz="0" w:space="0" w:color="auto"/>
        <w:bottom w:val="none" w:sz="0" w:space="0" w:color="auto"/>
        <w:right w:val="none" w:sz="0" w:space="0" w:color="auto"/>
      </w:divBdr>
    </w:div>
    <w:div w:id="996609270">
      <w:bodyDiv w:val="1"/>
      <w:marLeft w:val="0"/>
      <w:marRight w:val="0"/>
      <w:marTop w:val="0"/>
      <w:marBottom w:val="0"/>
      <w:divBdr>
        <w:top w:val="none" w:sz="0" w:space="0" w:color="auto"/>
        <w:left w:val="none" w:sz="0" w:space="0" w:color="auto"/>
        <w:bottom w:val="none" w:sz="0" w:space="0" w:color="auto"/>
        <w:right w:val="none" w:sz="0" w:space="0" w:color="auto"/>
      </w:divBdr>
      <w:divsChild>
        <w:div w:id="2014602992">
          <w:marLeft w:val="0"/>
          <w:marRight w:val="0"/>
          <w:marTop w:val="0"/>
          <w:marBottom w:val="0"/>
          <w:divBdr>
            <w:top w:val="none" w:sz="0" w:space="0" w:color="auto"/>
            <w:left w:val="none" w:sz="0" w:space="0" w:color="auto"/>
            <w:bottom w:val="none" w:sz="0" w:space="0" w:color="auto"/>
            <w:right w:val="none" w:sz="0" w:space="0" w:color="auto"/>
          </w:divBdr>
          <w:divsChild>
            <w:div w:id="1146584506">
              <w:marLeft w:val="0"/>
              <w:marRight w:val="0"/>
              <w:marTop w:val="0"/>
              <w:marBottom w:val="0"/>
              <w:divBdr>
                <w:top w:val="none" w:sz="0" w:space="0" w:color="auto"/>
                <w:left w:val="none" w:sz="0" w:space="0" w:color="auto"/>
                <w:bottom w:val="none" w:sz="0" w:space="0" w:color="auto"/>
                <w:right w:val="none" w:sz="0" w:space="0" w:color="auto"/>
              </w:divBdr>
              <w:divsChild>
                <w:div w:id="2082093655">
                  <w:marLeft w:val="0"/>
                  <w:marRight w:val="0"/>
                  <w:marTop w:val="0"/>
                  <w:marBottom w:val="0"/>
                  <w:divBdr>
                    <w:top w:val="none" w:sz="0" w:space="0" w:color="auto"/>
                    <w:left w:val="none" w:sz="0" w:space="0" w:color="auto"/>
                    <w:bottom w:val="none" w:sz="0" w:space="0" w:color="auto"/>
                    <w:right w:val="none" w:sz="0" w:space="0" w:color="auto"/>
                  </w:divBdr>
                  <w:divsChild>
                    <w:div w:id="1700398797">
                      <w:marLeft w:val="0"/>
                      <w:marRight w:val="0"/>
                      <w:marTop w:val="0"/>
                      <w:marBottom w:val="0"/>
                      <w:divBdr>
                        <w:top w:val="none" w:sz="0" w:space="0" w:color="auto"/>
                        <w:left w:val="none" w:sz="0" w:space="0" w:color="auto"/>
                        <w:bottom w:val="none" w:sz="0" w:space="0" w:color="auto"/>
                        <w:right w:val="none" w:sz="0" w:space="0" w:color="auto"/>
                      </w:divBdr>
                      <w:divsChild>
                        <w:div w:id="399061248">
                          <w:marLeft w:val="0"/>
                          <w:marRight w:val="0"/>
                          <w:marTop w:val="300"/>
                          <w:marBottom w:val="0"/>
                          <w:divBdr>
                            <w:top w:val="none" w:sz="0" w:space="0" w:color="auto"/>
                            <w:left w:val="none" w:sz="0" w:space="0" w:color="auto"/>
                            <w:bottom w:val="none" w:sz="0" w:space="0" w:color="auto"/>
                            <w:right w:val="none" w:sz="0" w:space="0" w:color="auto"/>
                          </w:divBdr>
                          <w:divsChild>
                            <w:div w:id="13465974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18187">
      <w:bodyDiv w:val="1"/>
      <w:marLeft w:val="0"/>
      <w:marRight w:val="0"/>
      <w:marTop w:val="0"/>
      <w:marBottom w:val="0"/>
      <w:divBdr>
        <w:top w:val="none" w:sz="0" w:space="0" w:color="auto"/>
        <w:left w:val="none" w:sz="0" w:space="0" w:color="auto"/>
        <w:bottom w:val="none" w:sz="0" w:space="0" w:color="auto"/>
        <w:right w:val="none" w:sz="0" w:space="0" w:color="auto"/>
      </w:divBdr>
    </w:div>
    <w:div w:id="1432626964">
      <w:bodyDiv w:val="1"/>
      <w:marLeft w:val="0"/>
      <w:marRight w:val="0"/>
      <w:marTop w:val="0"/>
      <w:marBottom w:val="0"/>
      <w:divBdr>
        <w:top w:val="none" w:sz="0" w:space="0" w:color="auto"/>
        <w:left w:val="none" w:sz="0" w:space="0" w:color="auto"/>
        <w:bottom w:val="none" w:sz="0" w:space="0" w:color="auto"/>
        <w:right w:val="none" w:sz="0" w:space="0" w:color="auto"/>
      </w:divBdr>
    </w:div>
    <w:div w:id="1457065245">
      <w:bodyDiv w:val="1"/>
      <w:marLeft w:val="0"/>
      <w:marRight w:val="0"/>
      <w:marTop w:val="0"/>
      <w:marBottom w:val="0"/>
      <w:divBdr>
        <w:top w:val="none" w:sz="0" w:space="0" w:color="auto"/>
        <w:left w:val="none" w:sz="0" w:space="0" w:color="auto"/>
        <w:bottom w:val="none" w:sz="0" w:space="0" w:color="auto"/>
        <w:right w:val="none" w:sz="0" w:space="0" w:color="auto"/>
      </w:divBdr>
    </w:div>
    <w:div w:id="1607616494">
      <w:bodyDiv w:val="1"/>
      <w:marLeft w:val="0"/>
      <w:marRight w:val="0"/>
      <w:marTop w:val="0"/>
      <w:marBottom w:val="0"/>
      <w:divBdr>
        <w:top w:val="none" w:sz="0" w:space="0" w:color="auto"/>
        <w:left w:val="none" w:sz="0" w:space="0" w:color="auto"/>
        <w:bottom w:val="none" w:sz="0" w:space="0" w:color="auto"/>
        <w:right w:val="none" w:sz="0" w:space="0" w:color="auto"/>
      </w:divBdr>
    </w:div>
    <w:div w:id="1670524861">
      <w:bodyDiv w:val="1"/>
      <w:marLeft w:val="0"/>
      <w:marRight w:val="0"/>
      <w:marTop w:val="0"/>
      <w:marBottom w:val="0"/>
      <w:divBdr>
        <w:top w:val="none" w:sz="0" w:space="0" w:color="auto"/>
        <w:left w:val="none" w:sz="0" w:space="0" w:color="auto"/>
        <w:bottom w:val="none" w:sz="0" w:space="0" w:color="auto"/>
        <w:right w:val="none" w:sz="0" w:space="0" w:color="auto"/>
      </w:divBdr>
    </w:div>
    <w:div w:id="1842696354">
      <w:bodyDiv w:val="1"/>
      <w:marLeft w:val="0"/>
      <w:marRight w:val="0"/>
      <w:marTop w:val="0"/>
      <w:marBottom w:val="0"/>
      <w:divBdr>
        <w:top w:val="none" w:sz="0" w:space="0" w:color="auto"/>
        <w:left w:val="none" w:sz="0" w:space="0" w:color="auto"/>
        <w:bottom w:val="none" w:sz="0" w:space="0" w:color="auto"/>
        <w:right w:val="none" w:sz="0" w:space="0" w:color="auto"/>
      </w:divBdr>
    </w:div>
    <w:div w:id="20771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nda.Tesa@varam.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4BA4-9663-4D98-850B-95498AB3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7272</Words>
  <Characters>4146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Grozījumu Ministru kabineta 2006. gada 7. jūnija noteikumos Nr. 353 “Kārtība, kādā zemes īpašniekiem vai lietotājiem nosakāmi to zaudējumu apmēri, kas saistīti ar īpaši aizsargājamo nemedījamo sugu un migrējošo sugu dzīvnieku nodarītajiem būtiskiem postīj</vt:lpstr>
      <vt:lpstr>Grozījumu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VARAM</Company>
  <LinksUpToDate>false</LinksUpToDate>
  <CharactersWithSpaces>11396</CharactersWithSpaces>
  <SharedDoc>false</SharedDoc>
  <HLinks>
    <vt:vector size="18" baseType="variant">
      <vt:variant>
        <vt:i4>6226041</vt:i4>
      </vt:variant>
      <vt:variant>
        <vt:i4>6</vt:i4>
      </vt:variant>
      <vt:variant>
        <vt:i4>0</vt:i4>
      </vt:variant>
      <vt:variant>
        <vt:i4>5</vt:i4>
      </vt:variant>
      <vt:variant>
        <vt:lpwstr>mailto:Linda.Tesa@varam.gov.lv</vt:lpwstr>
      </vt:variant>
      <vt:variant>
        <vt:lpwstr/>
      </vt:variant>
      <vt:variant>
        <vt:i4>196629</vt:i4>
      </vt:variant>
      <vt:variant>
        <vt:i4>3</vt:i4>
      </vt:variant>
      <vt:variant>
        <vt:i4>0</vt:i4>
      </vt:variant>
      <vt:variant>
        <vt:i4>5</vt:i4>
      </vt:variant>
      <vt:variant>
        <vt:lpwstr>http://www.vestnesis.lv/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2006. gada 7. jūnija noteikumos Nr. 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 sākotnējās ietekmes novērtējuma ziņojums (anotācija)</dc:title>
  <dc:subject>Ministru kabineta noteikumu projekta “Grozījumi Ministru kabineta 2016. gada 7. jūnija noteikumos Nr. 353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 sākotnējās ietekmes novērtējuma ziņojums (anotācija)</dc:subject>
  <dc:creator>Linda Teša</dc:creator>
  <cp:keywords>Anotācija</cp:keywords>
  <dc:description>Linda Teša 67026572
Vides aizsardzības un reģionālās attīstības ministrijas
Dabas aizsardzības departamenta
Sugu un biotopu aizsardzības nodaļas vecākā referente
Linda.Tesa@varam.gov.lv</dc:description>
  <cp:lastModifiedBy>Madara Gaile</cp:lastModifiedBy>
  <cp:revision>6</cp:revision>
  <cp:lastPrinted>2015-06-29T06:53:00Z</cp:lastPrinted>
  <dcterms:created xsi:type="dcterms:W3CDTF">2019-10-14T13:22:00Z</dcterms:created>
  <dcterms:modified xsi:type="dcterms:W3CDTF">2019-10-23T08:43:00Z</dcterms:modified>
  <cp:category>Vides politika</cp:category>
</cp:coreProperties>
</file>