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57A4F" w14:textId="77777777" w:rsidR="00FD2EC2" w:rsidRDefault="00FD2EC2" w:rsidP="00C123FE">
      <w:pPr>
        <w:spacing w:after="120"/>
        <w:jc w:val="center"/>
        <w:rPr>
          <w:rFonts w:ascii="Times New Roman" w:eastAsia="Times New Roman" w:hAnsi="Times New Roman" w:cs="Times New Roman"/>
          <w:b/>
          <w:bCs/>
          <w:sz w:val="24"/>
          <w:szCs w:val="24"/>
        </w:rPr>
      </w:pPr>
    </w:p>
    <w:p w14:paraId="25106D7C" w14:textId="17922934" w:rsidR="3D9A9DCD" w:rsidRPr="00867BCF" w:rsidRDefault="3D9A9DCD" w:rsidP="00C123FE">
      <w:pPr>
        <w:spacing w:after="120"/>
        <w:jc w:val="center"/>
        <w:rPr>
          <w:rFonts w:ascii="Times New Roman" w:eastAsia="Times New Roman" w:hAnsi="Times New Roman" w:cs="Times New Roman"/>
          <w:b/>
          <w:bCs/>
          <w:sz w:val="24"/>
          <w:szCs w:val="24"/>
        </w:rPr>
      </w:pPr>
      <w:r w:rsidRPr="00867BCF">
        <w:rPr>
          <w:rFonts w:ascii="Times New Roman" w:eastAsia="Times New Roman" w:hAnsi="Times New Roman" w:cs="Times New Roman"/>
          <w:b/>
          <w:bCs/>
          <w:sz w:val="24"/>
          <w:szCs w:val="24"/>
        </w:rPr>
        <w:t>Esošās situ</w:t>
      </w:r>
      <w:r w:rsidR="00FD2EC2" w:rsidRPr="00867BCF">
        <w:rPr>
          <w:rFonts w:ascii="Times New Roman" w:eastAsia="Times New Roman" w:hAnsi="Times New Roman" w:cs="Times New Roman"/>
          <w:b/>
          <w:bCs/>
          <w:sz w:val="24"/>
          <w:szCs w:val="24"/>
        </w:rPr>
        <w:t>ācijas vispārīgs raksturojums</w:t>
      </w:r>
    </w:p>
    <w:p w14:paraId="21F57F67" w14:textId="1E458943" w:rsidR="00402CE5" w:rsidRPr="00867BCF" w:rsidRDefault="004162A1" w:rsidP="00C123FE">
      <w:pPr>
        <w:spacing w:after="120"/>
        <w:rPr>
          <w:rFonts w:ascii="Times New Roman" w:eastAsia="Times New Roman" w:hAnsi="Times New Roman"/>
          <w:sz w:val="24"/>
          <w:szCs w:val="24"/>
          <w:lang w:eastAsia="lv-LV"/>
        </w:rPr>
      </w:pPr>
      <w:r w:rsidRPr="00867BCF">
        <w:rPr>
          <w:rFonts w:ascii="Times New Roman" w:hAnsi="Times New Roman"/>
          <w:sz w:val="24"/>
          <w:szCs w:val="24"/>
        </w:rPr>
        <w:t xml:space="preserve">Katrā valstī ir teritorijas ar augstiem attīstības rādītājiem un teritorijas, kas atpaliek attīstībā, taču Latvijā pastāv pārāk lielas disproporcijas teritoriju attīstības rādītājos, kas ir ievērojamas arī Eiropas Savienības (turpmāk </w:t>
      </w:r>
      <w:r w:rsidR="00AF2DB2" w:rsidRPr="00867BCF">
        <w:rPr>
          <w:rFonts w:ascii="Times New Roman" w:hAnsi="Times New Roman"/>
          <w:sz w:val="24"/>
          <w:szCs w:val="24"/>
        </w:rPr>
        <w:t xml:space="preserve">– </w:t>
      </w:r>
      <w:r w:rsidRPr="00867BCF">
        <w:rPr>
          <w:rFonts w:ascii="Times New Roman" w:hAnsi="Times New Roman"/>
          <w:sz w:val="24"/>
          <w:szCs w:val="24"/>
        </w:rPr>
        <w:t>ES) mērogā.</w:t>
      </w:r>
      <w:r w:rsidR="006F35EB" w:rsidRPr="00867BCF">
        <w:rPr>
          <w:rFonts w:ascii="Times New Roman" w:hAnsi="Times New Roman"/>
          <w:sz w:val="24"/>
          <w:szCs w:val="24"/>
        </w:rPr>
        <w:t xml:space="preserve"> </w:t>
      </w:r>
      <w:r w:rsidR="00402CE5" w:rsidRPr="00867BCF">
        <w:rPr>
          <w:rFonts w:ascii="Times New Roman" w:hAnsi="Times New Roman"/>
          <w:sz w:val="24"/>
          <w:szCs w:val="24"/>
        </w:rPr>
        <w:t xml:space="preserve">Pēc </w:t>
      </w:r>
      <w:r w:rsidR="00402CE5" w:rsidRPr="00867BCF">
        <w:rPr>
          <w:rFonts w:ascii="Times New Roman" w:eastAsia="Times New Roman" w:hAnsi="Times New Roman"/>
          <w:sz w:val="24"/>
          <w:szCs w:val="24"/>
          <w:lang w:eastAsia="lv-LV"/>
        </w:rPr>
        <w:t xml:space="preserve">reģionālā iekšzemes kopprodukta (turpmāk – IKP) </w:t>
      </w:r>
      <w:r w:rsidR="006F35EB" w:rsidRPr="00867BCF">
        <w:rPr>
          <w:rFonts w:ascii="Times New Roman" w:eastAsia="Times New Roman" w:hAnsi="Times New Roman"/>
          <w:sz w:val="24"/>
          <w:szCs w:val="24"/>
          <w:lang w:eastAsia="lv-LV"/>
        </w:rPr>
        <w:t>Lat</w:t>
      </w:r>
      <w:r w:rsidR="006A083D" w:rsidRPr="00867BCF">
        <w:rPr>
          <w:rFonts w:ascii="Times New Roman" w:eastAsia="Times New Roman" w:hAnsi="Times New Roman"/>
          <w:sz w:val="24"/>
          <w:szCs w:val="24"/>
          <w:lang w:eastAsia="lv-LV"/>
        </w:rPr>
        <w:t xml:space="preserve">vijā reģionālās atšķirības ir trešās </w:t>
      </w:r>
      <w:r w:rsidR="006F35EB" w:rsidRPr="00867BCF">
        <w:rPr>
          <w:rFonts w:ascii="Times New Roman" w:eastAsia="Times New Roman" w:hAnsi="Times New Roman"/>
          <w:sz w:val="24"/>
          <w:szCs w:val="24"/>
          <w:lang w:eastAsia="lv-LV"/>
        </w:rPr>
        <w:t>augstākās</w:t>
      </w:r>
      <w:r w:rsidR="0086382D" w:rsidRPr="00867BCF">
        <w:rPr>
          <w:rFonts w:ascii="Times New Roman" w:eastAsia="Times New Roman" w:hAnsi="Times New Roman"/>
          <w:sz w:val="24"/>
          <w:szCs w:val="24"/>
          <w:lang w:eastAsia="lv-LV"/>
        </w:rPr>
        <w:t xml:space="preserve"> </w:t>
      </w:r>
      <w:r w:rsidR="006A083D" w:rsidRPr="00867BCF">
        <w:rPr>
          <w:rFonts w:ascii="Times New Roman" w:eastAsia="Times New Roman" w:hAnsi="Times New Roman"/>
          <w:sz w:val="24"/>
          <w:szCs w:val="24"/>
          <w:lang w:eastAsia="lv-LV"/>
        </w:rPr>
        <w:t xml:space="preserve">starp Ekonomiskās Sadarbības un Attīstības organizācijas (turpmāk – OECD) valstīm </w:t>
      </w:r>
      <w:r w:rsidR="0086382D" w:rsidRPr="00867BCF">
        <w:rPr>
          <w:rFonts w:ascii="Times New Roman" w:eastAsia="Times New Roman" w:hAnsi="Times New Roman"/>
          <w:sz w:val="24"/>
          <w:szCs w:val="24"/>
          <w:lang w:eastAsia="lv-LV"/>
        </w:rPr>
        <w:t>(sk. 1.attēlu)</w:t>
      </w:r>
      <w:r w:rsidR="006F35EB" w:rsidRPr="00867BCF">
        <w:rPr>
          <w:rFonts w:ascii="Times New Roman" w:eastAsia="Times New Roman" w:hAnsi="Times New Roman"/>
          <w:sz w:val="24"/>
          <w:szCs w:val="24"/>
          <w:lang w:eastAsia="lv-LV"/>
        </w:rPr>
        <w:t>.</w:t>
      </w:r>
    </w:p>
    <w:p w14:paraId="66C553DC" w14:textId="3B2F1084" w:rsidR="00402CE5" w:rsidRPr="00867BCF" w:rsidRDefault="00402CE5" w:rsidP="00362911">
      <w:pPr>
        <w:spacing w:after="120"/>
        <w:jc w:val="center"/>
        <w:rPr>
          <w:rFonts w:ascii="Times New Roman" w:eastAsia="Times New Roman" w:hAnsi="Times New Roman"/>
          <w:sz w:val="24"/>
          <w:szCs w:val="24"/>
          <w:lang w:eastAsia="lv-LV"/>
        </w:rPr>
      </w:pPr>
      <w:r w:rsidRPr="00867BCF">
        <w:rPr>
          <w:noProof/>
          <w:lang w:eastAsia="lv-LV"/>
        </w:rPr>
        <w:drawing>
          <wp:inline distT="0" distB="0" distL="0" distR="0" wp14:anchorId="17995985" wp14:editId="64B52ED1">
            <wp:extent cx="5274310" cy="1953260"/>
            <wp:effectExtent l="0" t="0" r="2540" b="8890"/>
            <wp:docPr id="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953260"/>
                    </a:xfrm>
                    <a:prstGeom prst="rect">
                      <a:avLst/>
                    </a:prstGeom>
                    <a:noFill/>
                    <a:ln>
                      <a:noFill/>
                    </a:ln>
                  </pic:spPr>
                </pic:pic>
              </a:graphicData>
            </a:graphic>
          </wp:inline>
        </w:drawing>
      </w:r>
    </w:p>
    <w:p w14:paraId="525ADBCC" w14:textId="7C935A70" w:rsidR="00402CE5" w:rsidRPr="00867BCF" w:rsidRDefault="00402CE5" w:rsidP="003303D4">
      <w:pPr>
        <w:spacing w:after="120"/>
        <w:jc w:val="center"/>
        <w:rPr>
          <w:rFonts w:ascii="Times New Roman" w:hAnsi="Times New Roman"/>
          <w:i/>
          <w:sz w:val="24"/>
          <w:szCs w:val="24"/>
        </w:rPr>
      </w:pPr>
      <w:r w:rsidRPr="00867BCF">
        <w:rPr>
          <w:rFonts w:ascii="Times New Roman" w:hAnsi="Times New Roman"/>
          <w:i/>
          <w:sz w:val="24"/>
          <w:szCs w:val="24"/>
        </w:rPr>
        <w:t xml:space="preserve">1.attēls. </w:t>
      </w:r>
      <w:r w:rsidRPr="00867BCF">
        <w:rPr>
          <w:rFonts w:ascii="Times New Roman" w:eastAsia="Times New Roman" w:hAnsi="Times New Roman"/>
          <w:i/>
          <w:sz w:val="24"/>
          <w:szCs w:val="24"/>
          <w:lang w:eastAsia="lv-LV"/>
        </w:rPr>
        <w:t>reģionālā iekšzemes kopprodukta (turpmāk – IKP) uz vienu iedzīvotāju dispersija NUTS 3 statistisko reģionu griezumā</w:t>
      </w:r>
      <w:r w:rsidR="0086382D" w:rsidRPr="00867BCF">
        <w:rPr>
          <w:rFonts w:ascii="Times New Roman" w:eastAsia="Times New Roman" w:hAnsi="Times New Roman"/>
          <w:i/>
          <w:sz w:val="24"/>
          <w:szCs w:val="24"/>
          <w:lang w:eastAsia="lv-LV"/>
        </w:rPr>
        <w:t xml:space="preserve"> (OECD dati)</w:t>
      </w:r>
    </w:p>
    <w:p w14:paraId="4A8FBACB" w14:textId="77777777" w:rsidR="00402CE5" w:rsidRPr="00867BCF" w:rsidRDefault="00402CE5" w:rsidP="00C123FE">
      <w:pPr>
        <w:spacing w:after="120"/>
        <w:rPr>
          <w:rFonts w:ascii="Times New Roman" w:hAnsi="Times New Roman"/>
          <w:sz w:val="24"/>
          <w:szCs w:val="24"/>
        </w:rPr>
      </w:pPr>
    </w:p>
    <w:p w14:paraId="1A08D6B0" w14:textId="212DB0B2" w:rsidR="00402CE5" w:rsidRPr="00867BCF" w:rsidRDefault="00402CE5" w:rsidP="00C123FE">
      <w:pPr>
        <w:spacing w:after="120"/>
        <w:rPr>
          <w:rFonts w:ascii="Times New Roman" w:hAnsi="Times New Roman"/>
          <w:sz w:val="24"/>
          <w:szCs w:val="24"/>
        </w:rPr>
      </w:pPr>
      <w:r w:rsidRPr="00867BCF">
        <w:rPr>
          <w:rFonts w:ascii="Times New Roman" w:hAnsi="Times New Roman" w:cs="Times New Roman"/>
          <w:sz w:val="24"/>
        </w:rPr>
        <w:t xml:space="preserve">Iedzīvotāju un ekonomiskās izaugsmes koncentrācija lielo pilsētu reģionos kā vispārēja tendence ir raksturīga parādība arī citās valstīs – OECD valstu 329 metropoļu reģionos (pilsētu teritorijas ar iedzīvotāju skaitu virs 500 000) koncentrējas 55% OECD valstu iedzīvotāju un 60% OECD valstu IKP. OECD Eiropas valstu metropoļu reģionu IKP koncentrācija ir zemāka un </w:t>
      </w:r>
      <w:r w:rsidR="00F506E1" w:rsidRPr="00867BCF">
        <w:rPr>
          <w:rFonts w:ascii="Times New Roman" w:hAnsi="Times New Roman" w:cs="Times New Roman"/>
          <w:sz w:val="24"/>
        </w:rPr>
        <w:t>veido</w:t>
      </w:r>
      <w:r w:rsidRPr="00867BCF">
        <w:rPr>
          <w:rFonts w:ascii="Times New Roman" w:hAnsi="Times New Roman" w:cs="Times New Roman"/>
          <w:sz w:val="24"/>
        </w:rPr>
        <w:t xml:space="preserve"> 48% no OECD Eiropas valstu kopējā IKP.</w:t>
      </w:r>
      <w:r w:rsidRPr="00867BCF">
        <w:rPr>
          <w:rStyle w:val="FootnoteReference"/>
          <w:rFonts w:ascii="Times New Roman" w:hAnsi="Times New Roman" w:cs="Times New Roman"/>
          <w:sz w:val="24"/>
        </w:rPr>
        <w:footnoteReference w:id="2"/>
      </w:r>
      <w:r w:rsidRPr="00867BCF">
        <w:rPr>
          <w:rFonts w:ascii="Times New Roman" w:hAnsi="Times New Roman" w:cs="Times New Roman"/>
          <w:sz w:val="24"/>
        </w:rPr>
        <w:t xml:space="preserve"> Salīdzinājumam Rīgas plānošanas reģionā koncentrējas 52% valsts iedzīvotāju</w:t>
      </w:r>
      <w:r w:rsidRPr="00867BCF">
        <w:rPr>
          <w:rStyle w:val="FootnoteReference"/>
          <w:rFonts w:ascii="Times New Roman" w:hAnsi="Times New Roman" w:cs="Times New Roman"/>
          <w:sz w:val="24"/>
        </w:rPr>
        <w:footnoteReference w:id="3"/>
      </w:r>
      <w:r w:rsidRPr="00867BCF">
        <w:rPr>
          <w:rFonts w:ascii="Times New Roman" w:hAnsi="Times New Roman" w:cs="Times New Roman"/>
          <w:sz w:val="24"/>
        </w:rPr>
        <w:t xml:space="preserve"> un 69% valsts IKP</w:t>
      </w:r>
      <w:r w:rsidRPr="00867BCF">
        <w:rPr>
          <w:rStyle w:val="FootnoteReference"/>
          <w:rFonts w:ascii="Times New Roman" w:hAnsi="Times New Roman" w:cs="Times New Roman"/>
          <w:sz w:val="24"/>
        </w:rPr>
        <w:footnoteReference w:id="4"/>
      </w:r>
      <w:r w:rsidRPr="00867BCF">
        <w:rPr>
          <w:rFonts w:ascii="Times New Roman" w:hAnsi="Times New Roman" w:cs="Times New Roman"/>
          <w:sz w:val="24"/>
        </w:rPr>
        <w:t xml:space="preserve"> (sk. 2. un 3. attēlu). Par salīdzinoši augstām reģionālajām atšķirībām Latvijā liecina OECD dati par galvaspilsētām. OECD valstīs galvaspilsētu reģionos dzīvo 20% visu iedzīvotāju un tajos darbojas 27,5% visu uzņēmumu (2015.gada dati).</w:t>
      </w:r>
      <w:r w:rsidRPr="00867BCF">
        <w:rPr>
          <w:rStyle w:val="FootnoteReference"/>
          <w:rFonts w:ascii="Times New Roman" w:hAnsi="Times New Roman" w:cs="Times New Roman"/>
          <w:sz w:val="24"/>
        </w:rPr>
        <w:footnoteReference w:id="5"/>
      </w:r>
      <w:r w:rsidRPr="00867BCF">
        <w:rPr>
          <w:rFonts w:ascii="Times New Roman" w:hAnsi="Times New Roman" w:cs="Times New Roman"/>
          <w:sz w:val="24"/>
        </w:rPr>
        <w:t xml:space="preserve"> </w:t>
      </w:r>
      <w:r w:rsidRPr="00867BCF">
        <w:rPr>
          <w:rFonts w:ascii="Times New Roman" w:hAnsi="Times New Roman"/>
          <w:sz w:val="24"/>
          <w:szCs w:val="24"/>
        </w:rPr>
        <w:t>Rīgas plānošanas reģionā 2017.gadā darbojas 59,1% ekonomiski aktīvo tirgus sektora statistikas vienību, pārējos reģionos 9,3-11,6%</w:t>
      </w:r>
      <w:r w:rsidRPr="00867BCF">
        <w:rPr>
          <w:rStyle w:val="FootnoteReference"/>
          <w:rFonts w:ascii="Times New Roman" w:hAnsi="Times New Roman"/>
          <w:sz w:val="24"/>
          <w:szCs w:val="24"/>
        </w:rPr>
        <w:footnoteReference w:id="6"/>
      </w:r>
      <w:r w:rsidRPr="00867BCF">
        <w:rPr>
          <w:rFonts w:ascii="Times New Roman" w:hAnsi="Times New Roman"/>
          <w:sz w:val="24"/>
          <w:szCs w:val="24"/>
        </w:rPr>
        <w:t xml:space="preserve">. Kopš 2013.gada (57,7%) Rīgas plānošanas reģiona īpatsvars ir pieaudzis par 1,4 procentpunktiem. </w:t>
      </w:r>
      <w:r w:rsidRPr="00867BCF">
        <w:rPr>
          <w:rFonts w:ascii="Times New Roman" w:hAnsi="Times New Roman" w:cs="Times New Roman"/>
          <w:sz w:val="24"/>
        </w:rPr>
        <w:t xml:space="preserve">No iepriekšminētajiem datiem izriet, ka augstas reģionālās atšķirības tādējādi lielā mērā ir saistītas ar to, ka Latvijā ir tikai viens metropoles reģions. Var secināt, ka iedzīvotāju koncentrācija šajā Latvijas vienīgajā metropoles areālā ir tuva OECD vidējiem skaitļiem par metropoļu reģioniem, savukārt ekonomikas koncentrācija Rīgas plānošanas reģionā ir augstāka nekā OECD valstu metropoļu </w:t>
      </w:r>
      <w:r w:rsidRPr="00867BCF">
        <w:rPr>
          <w:rFonts w:ascii="Times New Roman" w:hAnsi="Times New Roman" w:cs="Times New Roman"/>
          <w:sz w:val="24"/>
        </w:rPr>
        <w:lastRenderedPageBreak/>
        <w:t>reģionos vidēji un ievērojami augstāka nekā OECD Eiropas valstīs. Līdz ar to ir nepieciešami reģionālās attīstības instrumenti Rīgas metropoles areāla potenciāla izmantošanai un līdzvērtīgu ekonomiski spēcīgu attīstības centru veidošanai.</w:t>
      </w:r>
    </w:p>
    <w:p w14:paraId="4C1F3FB6" w14:textId="0D026B28" w:rsidR="00C67D2A" w:rsidRPr="00867BCF" w:rsidRDefault="00C67D2A" w:rsidP="00C123FE">
      <w:pPr>
        <w:spacing w:after="120"/>
        <w:jc w:val="center"/>
        <w:rPr>
          <w:rFonts w:ascii="Times New Roman" w:hAnsi="Times New Roman" w:cs="Times New Roman"/>
          <w:i/>
          <w:iCs/>
          <w:sz w:val="24"/>
          <w:szCs w:val="24"/>
        </w:rPr>
        <w:sectPr w:rsidR="00C67D2A" w:rsidRPr="00867BCF" w:rsidSect="008F7B3E">
          <w:headerReference w:type="default" r:id="rId12"/>
          <w:footerReference w:type="default" r:id="rId13"/>
          <w:type w:val="continuous"/>
          <w:pgSz w:w="11906" w:h="16838"/>
          <w:pgMar w:top="1134" w:right="1134" w:bottom="1134" w:left="1701" w:header="709" w:footer="709" w:gutter="0"/>
          <w:cols w:space="708"/>
          <w:docGrid w:linePitch="360"/>
        </w:sectPr>
      </w:pPr>
    </w:p>
    <w:p w14:paraId="2569D078" w14:textId="3DF17FD3" w:rsidR="00C67D2A" w:rsidRPr="00867BCF" w:rsidRDefault="00C67D2A" w:rsidP="00C123FE">
      <w:pPr>
        <w:spacing w:after="120"/>
        <w:rPr>
          <w:rFonts w:ascii="Times New Roman" w:hAnsi="Times New Roman" w:cs="Times New Roman"/>
          <w:b/>
          <w:sz w:val="24"/>
          <w:szCs w:val="24"/>
        </w:rPr>
        <w:sectPr w:rsidR="00C67D2A" w:rsidRPr="00867BCF" w:rsidSect="00987052">
          <w:headerReference w:type="default" r:id="rId14"/>
          <w:footerReference w:type="default" r:id="rId15"/>
          <w:type w:val="continuous"/>
          <w:pgSz w:w="11906" w:h="16838"/>
          <w:pgMar w:top="1440" w:right="1800" w:bottom="1440" w:left="1800" w:header="708" w:footer="708" w:gutter="0"/>
          <w:cols w:num="2" w:space="708"/>
          <w:docGrid w:linePitch="360"/>
        </w:sectPr>
      </w:pPr>
      <w:r w:rsidRPr="00867BCF">
        <w:rPr>
          <w:noProof/>
          <w:lang w:eastAsia="lv-LV"/>
        </w:rPr>
        <w:drawing>
          <wp:anchor distT="0" distB="0" distL="114300" distR="114300" simplePos="0" relativeHeight="251658240" behindDoc="0" locked="0" layoutInCell="1" allowOverlap="1" wp14:anchorId="46CA1D65" wp14:editId="5E9EA1BF">
            <wp:simplePos x="0" y="0"/>
            <wp:positionH relativeFrom="margin">
              <wp:align>center</wp:align>
            </wp:positionH>
            <wp:positionV relativeFrom="paragraph">
              <wp:posOffset>34925</wp:posOffset>
            </wp:positionV>
            <wp:extent cx="4723200" cy="2703600"/>
            <wp:effectExtent l="0" t="0" r="1270" b="1905"/>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76F45E3" w14:textId="47E2B1B1" w:rsidR="00987052" w:rsidRPr="00867BCF" w:rsidRDefault="00402CE5" w:rsidP="00C123FE">
      <w:pPr>
        <w:spacing w:after="120"/>
        <w:jc w:val="center"/>
        <w:rPr>
          <w:rFonts w:ascii="Times New Roman" w:hAnsi="Times New Roman" w:cs="Times New Roman"/>
          <w:i/>
          <w:sz w:val="24"/>
          <w:szCs w:val="24"/>
        </w:rPr>
      </w:pPr>
      <w:r w:rsidRPr="00867BCF">
        <w:rPr>
          <w:rFonts w:ascii="Times New Roman" w:hAnsi="Times New Roman" w:cs="Times New Roman"/>
          <w:bCs/>
          <w:i/>
          <w:sz w:val="24"/>
          <w:szCs w:val="24"/>
        </w:rPr>
        <w:t>2</w:t>
      </w:r>
      <w:r w:rsidR="00987052" w:rsidRPr="00867BCF">
        <w:rPr>
          <w:rFonts w:ascii="Times New Roman" w:hAnsi="Times New Roman" w:cs="Times New Roman"/>
          <w:bCs/>
          <w:i/>
          <w:sz w:val="24"/>
          <w:szCs w:val="24"/>
        </w:rPr>
        <w:t xml:space="preserve">.attēls. IKP </w:t>
      </w:r>
      <w:r w:rsidR="00EB134F" w:rsidRPr="00867BCF">
        <w:rPr>
          <w:rFonts w:ascii="Times New Roman" w:hAnsi="Times New Roman" w:cs="Times New Roman"/>
          <w:bCs/>
          <w:i/>
          <w:sz w:val="24"/>
          <w:szCs w:val="24"/>
        </w:rPr>
        <w:t xml:space="preserve">īpatsvars </w:t>
      </w:r>
      <w:r w:rsidR="00987052" w:rsidRPr="00867BCF">
        <w:rPr>
          <w:rFonts w:ascii="Times New Roman" w:hAnsi="Times New Roman" w:cs="Times New Roman"/>
          <w:bCs/>
          <w:i/>
          <w:sz w:val="24"/>
          <w:szCs w:val="24"/>
        </w:rPr>
        <w:t xml:space="preserve">plānošanas reģionos </w:t>
      </w:r>
      <w:r w:rsidR="00987052" w:rsidRPr="00867BCF">
        <w:rPr>
          <w:rFonts w:ascii="Times New Roman" w:hAnsi="Times New Roman" w:cs="Times New Roman"/>
          <w:i/>
          <w:iCs/>
          <w:sz w:val="24"/>
          <w:szCs w:val="24"/>
        </w:rPr>
        <w:t xml:space="preserve">(faktiskajās cenās, tūkst. </w:t>
      </w:r>
      <w:proofErr w:type="spellStart"/>
      <w:r w:rsidR="00987052" w:rsidRPr="00867BCF">
        <w:rPr>
          <w:rFonts w:ascii="Times New Roman" w:hAnsi="Times New Roman" w:cs="Times New Roman"/>
          <w:i/>
          <w:iCs/>
          <w:sz w:val="24"/>
          <w:szCs w:val="24"/>
        </w:rPr>
        <w:t>euro</w:t>
      </w:r>
      <w:proofErr w:type="spellEnd"/>
      <w:r w:rsidR="00987052" w:rsidRPr="00867BCF">
        <w:rPr>
          <w:rFonts w:ascii="Times New Roman" w:hAnsi="Times New Roman" w:cs="Times New Roman"/>
          <w:i/>
          <w:iCs/>
          <w:sz w:val="24"/>
          <w:szCs w:val="24"/>
        </w:rPr>
        <w:t>, 2016.g.)</w:t>
      </w:r>
    </w:p>
    <w:p w14:paraId="55A1BA99" w14:textId="77777777" w:rsidR="009F327A" w:rsidRPr="00867BCF" w:rsidRDefault="009F327A" w:rsidP="00C123FE">
      <w:pPr>
        <w:spacing w:after="120"/>
        <w:rPr>
          <w:rFonts w:ascii="Times New Roman" w:hAnsi="Times New Roman"/>
          <w:b/>
          <w:sz w:val="24"/>
          <w:szCs w:val="24"/>
        </w:rPr>
      </w:pPr>
    </w:p>
    <w:p w14:paraId="388075AB" w14:textId="6407FFF8" w:rsidR="009F327A" w:rsidRPr="00867BCF" w:rsidRDefault="00402CE5" w:rsidP="00216433">
      <w:pPr>
        <w:spacing w:after="120"/>
        <w:jc w:val="center"/>
        <w:rPr>
          <w:rFonts w:ascii="Times New Roman" w:hAnsi="Times New Roman"/>
          <w:b/>
          <w:sz w:val="24"/>
          <w:szCs w:val="24"/>
        </w:rPr>
      </w:pPr>
      <w:r w:rsidRPr="00867BCF">
        <w:rPr>
          <w:noProof/>
          <w:lang w:eastAsia="lv-LV"/>
        </w:rPr>
        <w:drawing>
          <wp:inline distT="0" distB="0" distL="0" distR="0" wp14:anchorId="1850E423" wp14:editId="724CD147">
            <wp:extent cx="4552950" cy="2628265"/>
            <wp:effectExtent l="0" t="0" r="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5CEBBC" w14:textId="2FF0713B" w:rsidR="009F327A" w:rsidRPr="00867BCF" w:rsidRDefault="00402CE5" w:rsidP="00C123FE">
      <w:pPr>
        <w:spacing w:after="120"/>
        <w:jc w:val="center"/>
        <w:rPr>
          <w:rFonts w:ascii="Times New Roman" w:hAnsi="Times New Roman" w:cs="Times New Roman"/>
          <w:i/>
          <w:iCs/>
          <w:sz w:val="24"/>
          <w:szCs w:val="24"/>
        </w:rPr>
      </w:pPr>
      <w:r w:rsidRPr="00867BCF">
        <w:rPr>
          <w:rFonts w:ascii="Times New Roman" w:hAnsi="Times New Roman" w:cs="Times New Roman"/>
          <w:i/>
          <w:sz w:val="24"/>
          <w:szCs w:val="24"/>
        </w:rPr>
        <w:t>3</w:t>
      </w:r>
      <w:r w:rsidR="009F327A" w:rsidRPr="00867BCF">
        <w:rPr>
          <w:rFonts w:ascii="Times New Roman" w:hAnsi="Times New Roman" w:cs="Times New Roman"/>
          <w:i/>
          <w:sz w:val="24"/>
          <w:szCs w:val="24"/>
        </w:rPr>
        <w:t xml:space="preserve">.attēls. </w:t>
      </w:r>
      <w:r w:rsidR="009F327A" w:rsidRPr="00867BCF">
        <w:rPr>
          <w:rFonts w:ascii="Times New Roman" w:hAnsi="Times New Roman" w:cs="Times New Roman"/>
          <w:bCs/>
          <w:i/>
          <w:sz w:val="24"/>
          <w:szCs w:val="24"/>
        </w:rPr>
        <w:t xml:space="preserve">Iedzīvotāju īpatsvars plānošanas reģionos </w:t>
      </w:r>
      <w:r w:rsidR="009F327A" w:rsidRPr="00867BCF">
        <w:rPr>
          <w:rFonts w:ascii="Times New Roman" w:hAnsi="Times New Roman" w:cs="Times New Roman"/>
          <w:i/>
          <w:iCs/>
          <w:sz w:val="24"/>
          <w:szCs w:val="24"/>
        </w:rPr>
        <w:t>2018.g.</w:t>
      </w:r>
    </w:p>
    <w:p w14:paraId="63B4DA54" w14:textId="2BB754CE" w:rsidR="009F327A" w:rsidRPr="00867BCF" w:rsidRDefault="009F327A" w:rsidP="00C123FE">
      <w:pPr>
        <w:spacing w:after="120"/>
        <w:jc w:val="center"/>
        <w:rPr>
          <w:rFonts w:ascii="Times New Roman" w:hAnsi="Times New Roman" w:cs="Times New Roman"/>
          <w:i/>
          <w:iCs/>
          <w:sz w:val="24"/>
          <w:szCs w:val="24"/>
        </w:rPr>
      </w:pPr>
    </w:p>
    <w:p w14:paraId="4933000F" w14:textId="7A12B3CC" w:rsidR="00ED4BB9" w:rsidRPr="00867BCF" w:rsidRDefault="006F35EB" w:rsidP="00C123FE">
      <w:pPr>
        <w:spacing w:after="120"/>
        <w:rPr>
          <w:rFonts w:ascii="Times New Roman" w:hAnsi="Times New Roman"/>
          <w:b/>
          <w:sz w:val="24"/>
          <w:szCs w:val="24"/>
        </w:rPr>
      </w:pPr>
      <w:r w:rsidRPr="00867BCF">
        <w:rPr>
          <w:rFonts w:ascii="Times New Roman" w:hAnsi="Times New Roman"/>
          <w:b/>
          <w:sz w:val="24"/>
          <w:szCs w:val="24"/>
        </w:rPr>
        <w:t>Reģionālā ekonomika</w:t>
      </w:r>
    </w:p>
    <w:p w14:paraId="44960967" w14:textId="3DA085B4" w:rsidR="004162A1" w:rsidRPr="00867BCF" w:rsidRDefault="005933C6" w:rsidP="00C123FE">
      <w:pPr>
        <w:spacing w:after="120"/>
        <w:rPr>
          <w:rFonts w:ascii="Times New Roman" w:hAnsi="Times New Roman"/>
          <w:sz w:val="24"/>
          <w:szCs w:val="24"/>
        </w:rPr>
      </w:pPr>
      <w:r w:rsidRPr="00867BCF">
        <w:rPr>
          <w:rFonts w:ascii="Times New Roman" w:hAnsi="Times New Roman"/>
          <w:sz w:val="24"/>
          <w:szCs w:val="24"/>
        </w:rPr>
        <w:t xml:space="preserve">Dati liecina, ka reģionālās attīstības atšķirību mazināšana ir ilgtermiņa izaicinājums. </w:t>
      </w:r>
      <w:r w:rsidR="00914CDB" w:rsidRPr="00867BCF">
        <w:rPr>
          <w:rFonts w:ascii="Times New Roman" w:hAnsi="Times New Roman"/>
          <w:sz w:val="24"/>
          <w:szCs w:val="24"/>
        </w:rPr>
        <w:t>Augstākais IKP nemainīgi ir Rīgas plānošanas reģionā (</w:t>
      </w:r>
      <w:r w:rsidR="00900FE5" w:rsidRPr="00867BCF">
        <w:rPr>
          <w:rFonts w:ascii="Times New Roman" w:hAnsi="Times New Roman"/>
          <w:sz w:val="24"/>
          <w:szCs w:val="24"/>
        </w:rPr>
        <w:t>18 223</w:t>
      </w:r>
      <w:r w:rsidR="00914CDB" w:rsidRPr="00867BCF">
        <w:rPr>
          <w:rFonts w:ascii="Times New Roman" w:hAnsi="Times New Roman"/>
          <w:sz w:val="24"/>
          <w:szCs w:val="24"/>
        </w:rPr>
        <w:t xml:space="preserve"> </w:t>
      </w:r>
      <w:proofErr w:type="spellStart"/>
      <w:r w:rsidR="00914CDB" w:rsidRPr="00867BCF">
        <w:rPr>
          <w:rFonts w:ascii="Times New Roman" w:hAnsi="Times New Roman"/>
          <w:i/>
          <w:iCs/>
          <w:sz w:val="24"/>
          <w:szCs w:val="24"/>
        </w:rPr>
        <w:t>euro</w:t>
      </w:r>
      <w:proofErr w:type="spellEnd"/>
      <w:r w:rsidR="00914CDB" w:rsidRPr="00867BCF">
        <w:rPr>
          <w:rFonts w:ascii="Times New Roman" w:hAnsi="Times New Roman"/>
          <w:sz w:val="24"/>
          <w:szCs w:val="24"/>
        </w:rPr>
        <w:t xml:space="preserve"> uz vienu iedzīvotāju)</w:t>
      </w:r>
      <w:r w:rsidR="006E3D8A" w:rsidRPr="00867BCF">
        <w:rPr>
          <w:rFonts w:ascii="Times New Roman" w:hAnsi="Times New Roman"/>
          <w:sz w:val="24"/>
          <w:szCs w:val="24"/>
        </w:rPr>
        <w:t xml:space="preserve"> – Rīga</w:t>
      </w:r>
      <w:r w:rsidR="00B00906">
        <w:rPr>
          <w:rFonts w:ascii="Times New Roman" w:hAnsi="Times New Roman"/>
          <w:sz w:val="24"/>
          <w:szCs w:val="24"/>
        </w:rPr>
        <w:t>s statistiskais reģions</w:t>
      </w:r>
      <w:r w:rsidR="006E3D8A" w:rsidRPr="00867BCF">
        <w:rPr>
          <w:rFonts w:ascii="Times New Roman" w:hAnsi="Times New Roman"/>
          <w:sz w:val="24"/>
          <w:szCs w:val="24"/>
        </w:rPr>
        <w:t xml:space="preserve"> ir arī vienīgais reģions, kur</w:t>
      </w:r>
      <w:r w:rsidR="00B00906">
        <w:rPr>
          <w:rFonts w:ascii="Times New Roman" w:hAnsi="Times New Roman"/>
          <w:sz w:val="24"/>
          <w:szCs w:val="24"/>
        </w:rPr>
        <w:t>š</w:t>
      </w:r>
      <w:r w:rsidR="006E3D8A" w:rsidRPr="00867BCF">
        <w:rPr>
          <w:rFonts w:ascii="Times New Roman" w:hAnsi="Times New Roman"/>
          <w:sz w:val="24"/>
          <w:szCs w:val="24"/>
        </w:rPr>
        <w:t xml:space="preserve"> ir sasniedzis ES vidējo līmeni IKP uz 1 iedzīvotāju</w:t>
      </w:r>
      <w:r w:rsidR="0086382D" w:rsidRPr="00867BCF">
        <w:rPr>
          <w:rFonts w:ascii="Times New Roman" w:hAnsi="Times New Roman"/>
          <w:sz w:val="24"/>
          <w:szCs w:val="24"/>
        </w:rPr>
        <w:t xml:space="preserve"> (sk. 4.attēlu)</w:t>
      </w:r>
      <w:r w:rsidR="00B00906">
        <w:rPr>
          <w:rFonts w:ascii="Times New Roman" w:hAnsi="Times New Roman"/>
          <w:sz w:val="24"/>
          <w:szCs w:val="24"/>
        </w:rPr>
        <w:t>. Latgales plānošanas reģionā</w:t>
      </w:r>
      <w:r w:rsidR="00914CDB" w:rsidRPr="00867BCF">
        <w:rPr>
          <w:rFonts w:ascii="Times New Roman" w:hAnsi="Times New Roman"/>
          <w:sz w:val="24"/>
          <w:szCs w:val="24"/>
        </w:rPr>
        <w:t xml:space="preserve"> ir zemākais IKP uz vienu iedzīvotāju Latvijā (6 992 </w:t>
      </w:r>
      <w:proofErr w:type="spellStart"/>
      <w:r w:rsidR="00914CDB" w:rsidRPr="00867BCF">
        <w:rPr>
          <w:rFonts w:ascii="Times New Roman" w:hAnsi="Times New Roman"/>
          <w:i/>
          <w:iCs/>
          <w:sz w:val="24"/>
          <w:szCs w:val="24"/>
        </w:rPr>
        <w:t>euro</w:t>
      </w:r>
      <w:proofErr w:type="spellEnd"/>
      <w:r w:rsidR="00914CDB" w:rsidRPr="00867BCF">
        <w:rPr>
          <w:rFonts w:ascii="Times New Roman" w:hAnsi="Times New Roman"/>
          <w:sz w:val="24"/>
          <w:szCs w:val="24"/>
        </w:rPr>
        <w:t xml:space="preserve"> uz vienu iedzīvotāju</w:t>
      </w:r>
      <w:r w:rsidR="00914CDB" w:rsidRPr="00867BCF">
        <w:rPr>
          <w:rStyle w:val="FootnoteReference"/>
          <w:rFonts w:ascii="Times New Roman" w:hAnsi="Times New Roman"/>
          <w:sz w:val="24"/>
          <w:szCs w:val="24"/>
        </w:rPr>
        <w:footnoteReference w:id="7"/>
      </w:r>
      <w:r w:rsidR="00914CDB" w:rsidRPr="00867BCF">
        <w:rPr>
          <w:rFonts w:ascii="Times New Roman" w:hAnsi="Times New Roman"/>
          <w:sz w:val="24"/>
          <w:szCs w:val="24"/>
        </w:rPr>
        <w:t>) un Latgales plānošanas reģiona IKP uz vienu i</w:t>
      </w:r>
      <w:r w:rsidR="00900FE5" w:rsidRPr="00867BCF">
        <w:rPr>
          <w:rFonts w:ascii="Times New Roman" w:hAnsi="Times New Roman"/>
          <w:sz w:val="24"/>
          <w:szCs w:val="24"/>
        </w:rPr>
        <w:t>edzīvotāju 2016.gadā ir tikai 38</w:t>
      </w:r>
      <w:r w:rsidR="00914CDB" w:rsidRPr="00867BCF">
        <w:rPr>
          <w:rFonts w:ascii="Times New Roman" w:hAnsi="Times New Roman"/>
          <w:sz w:val="24"/>
          <w:szCs w:val="24"/>
        </w:rPr>
        <w:t xml:space="preserve">% no Rīgas plānošanas reģiona IKP uz vienu iedzīvotāju. </w:t>
      </w:r>
      <w:r w:rsidR="00914CDB" w:rsidRPr="00867BCF">
        <w:rPr>
          <w:rFonts w:ascii="Times New Roman" w:hAnsi="Times New Roman"/>
          <w:sz w:val="24"/>
          <w:szCs w:val="24"/>
        </w:rPr>
        <w:lastRenderedPageBreak/>
        <w:t>Vienlaikus tas ir vērā ņemams uzlabojums salīdzinājumā ar 2006.gadu, kad Latgales plānošanas reģiona IKP uz vienu iedzīvotāju bija tikai 32% no Rīgas plānošanas reģiona IKP uz vienu iedzīvotāju</w:t>
      </w:r>
      <w:r w:rsidR="00914CDB" w:rsidRPr="00867BCF">
        <w:rPr>
          <w:rStyle w:val="FootnoteReference"/>
          <w:rFonts w:ascii="Times New Roman" w:hAnsi="Times New Roman"/>
          <w:sz w:val="24"/>
          <w:szCs w:val="24"/>
        </w:rPr>
        <w:footnoteReference w:id="8"/>
      </w:r>
      <w:r w:rsidR="0086382D" w:rsidRPr="00867BCF">
        <w:rPr>
          <w:rFonts w:ascii="Times New Roman" w:hAnsi="Times New Roman"/>
          <w:sz w:val="24"/>
          <w:szCs w:val="24"/>
        </w:rPr>
        <w:t>.</w:t>
      </w:r>
    </w:p>
    <w:p w14:paraId="101C7914" w14:textId="10EFFFE1" w:rsidR="006E3D8A" w:rsidRPr="00867BCF" w:rsidRDefault="006E3D8A" w:rsidP="00C123FE">
      <w:pPr>
        <w:spacing w:after="120"/>
        <w:jc w:val="center"/>
        <w:rPr>
          <w:rFonts w:ascii="Times New Roman" w:hAnsi="Times New Roman"/>
          <w:sz w:val="24"/>
          <w:szCs w:val="24"/>
        </w:rPr>
      </w:pPr>
      <w:r w:rsidRPr="00867BCF">
        <w:rPr>
          <w:noProof/>
          <w:lang w:eastAsia="lv-LV"/>
        </w:rPr>
        <w:drawing>
          <wp:inline distT="0" distB="0" distL="0" distR="0" wp14:anchorId="62381209" wp14:editId="5AFC603C">
            <wp:extent cx="4572000" cy="2324100"/>
            <wp:effectExtent l="0" t="0" r="0" b="0"/>
            <wp:docPr id="1349748803" name="Picture 134974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8124" cy="2327213"/>
                    </a:xfrm>
                    <a:prstGeom prst="rect">
                      <a:avLst/>
                    </a:prstGeom>
                  </pic:spPr>
                </pic:pic>
              </a:graphicData>
            </a:graphic>
          </wp:inline>
        </w:drawing>
      </w:r>
    </w:p>
    <w:p w14:paraId="0C4395E8" w14:textId="1F04C4D3" w:rsidR="006E3D8A" w:rsidRPr="00867BCF" w:rsidRDefault="00402CE5" w:rsidP="003303D4">
      <w:pPr>
        <w:spacing w:after="120"/>
        <w:jc w:val="center"/>
        <w:rPr>
          <w:rFonts w:ascii="Times New Roman" w:hAnsi="Times New Roman"/>
          <w:i/>
          <w:sz w:val="24"/>
          <w:szCs w:val="24"/>
        </w:rPr>
      </w:pPr>
      <w:r w:rsidRPr="00867BCF">
        <w:rPr>
          <w:rFonts w:ascii="Times New Roman" w:hAnsi="Times New Roman"/>
          <w:i/>
          <w:sz w:val="24"/>
          <w:szCs w:val="24"/>
        </w:rPr>
        <w:t>4</w:t>
      </w:r>
      <w:r w:rsidR="006E3D8A" w:rsidRPr="00867BCF">
        <w:rPr>
          <w:rFonts w:ascii="Times New Roman" w:hAnsi="Times New Roman"/>
          <w:i/>
          <w:sz w:val="24"/>
          <w:szCs w:val="24"/>
        </w:rPr>
        <w:t>.attēls. IKP uz vienu iedzīvotāju pēc pirktspējas paritātes 2016.gadā, % no ES vidējā (</w:t>
      </w:r>
      <w:proofErr w:type="spellStart"/>
      <w:r w:rsidR="006E3D8A" w:rsidRPr="00867BCF">
        <w:rPr>
          <w:rFonts w:ascii="Times New Roman" w:hAnsi="Times New Roman"/>
          <w:i/>
          <w:sz w:val="24"/>
          <w:szCs w:val="24"/>
        </w:rPr>
        <w:t>Eurostat</w:t>
      </w:r>
      <w:proofErr w:type="spellEnd"/>
      <w:r w:rsidR="006E3D8A" w:rsidRPr="00867BCF">
        <w:rPr>
          <w:rFonts w:ascii="Times New Roman" w:hAnsi="Times New Roman"/>
          <w:i/>
          <w:sz w:val="24"/>
          <w:szCs w:val="24"/>
        </w:rPr>
        <w:t xml:space="preserve"> un AS “Swedbank” dati, sagatavots pēc VARAM pasūtījuma dalībai reģionālajos semināros)</w:t>
      </w:r>
    </w:p>
    <w:p w14:paraId="14FFA321" w14:textId="77777777" w:rsidR="00362911" w:rsidRPr="00867BCF" w:rsidRDefault="00362911" w:rsidP="003303D4">
      <w:pPr>
        <w:spacing w:after="120"/>
        <w:jc w:val="center"/>
        <w:rPr>
          <w:rFonts w:ascii="Times New Roman" w:hAnsi="Times New Roman"/>
          <w:i/>
          <w:sz w:val="24"/>
          <w:szCs w:val="24"/>
        </w:rPr>
      </w:pPr>
    </w:p>
    <w:p w14:paraId="7C66697A" w14:textId="0612A421" w:rsidR="006E3D8A" w:rsidRPr="00867BCF" w:rsidRDefault="0086382D" w:rsidP="00C123FE">
      <w:pPr>
        <w:spacing w:after="120"/>
        <w:rPr>
          <w:rFonts w:ascii="Times New Roman" w:hAnsi="Times New Roman"/>
          <w:sz w:val="24"/>
          <w:szCs w:val="24"/>
        </w:rPr>
      </w:pPr>
      <w:r w:rsidRPr="00867BCF">
        <w:rPr>
          <w:rFonts w:ascii="Times New Roman" w:hAnsi="Times New Roman"/>
          <w:sz w:val="24"/>
          <w:szCs w:val="24"/>
        </w:rPr>
        <w:t>Latgales plānošanas reģiona IKP uz vienu iedzīvotāju 2015.gadā aptuveni atbilst Rīgas plānošanas reģiona IKP uz vienu iedzīvotāju 2004.gadā</w:t>
      </w:r>
      <w:r w:rsidRPr="00867BCF">
        <w:rPr>
          <w:rStyle w:val="FootnoteReference"/>
          <w:rFonts w:ascii="Times New Roman" w:hAnsi="Times New Roman"/>
          <w:sz w:val="24"/>
          <w:szCs w:val="24"/>
        </w:rPr>
        <w:footnoteReference w:id="9"/>
      </w:r>
      <w:r w:rsidRPr="00867BCF">
        <w:rPr>
          <w:rFonts w:ascii="Times New Roman" w:hAnsi="Times New Roman"/>
          <w:sz w:val="24"/>
          <w:szCs w:val="24"/>
        </w:rPr>
        <w:t>. Pārējo plānošanas reģionu IKP uz vienu iedzīvotāju 2016.gadā arī ievērojami atpaliek no Rīgas plānošanas reģiona un ir no 41% Zemgales plānošanas reģionā līdz 52% Kurzemes plānošanas reģionā.</w:t>
      </w:r>
      <w:r w:rsidRPr="00867BCF">
        <w:rPr>
          <w:rStyle w:val="FootnoteReference"/>
          <w:rFonts w:ascii="Times New Roman" w:hAnsi="Times New Roman"/>
          <w:sz w:val="24"/>
          <w:szCs w:val="24"/>
        </w:rPr>
        <w:footnoteReference w:id="10"/>
      </w:r>
    </w:p>
    <w:p w14:paraId="560DE899" w14:textId="55F01020" w:rsidR="006E3D8A" w:rsidRPr="00867BCF" w:rsidRDefault="008A755E" w:rsidP="00C123FE">
      <w:pPr>
        <w:spacing w:after="120"/>
        <w:jc w:val="center"/>
        <w:rPr>
          <w:rFonts w:ascii="Times New Roman" w:eastAsia="Times New Roman" w:hAnsi="Times New Roman" w:cs="Times New Roman"/>
          <w:bCs/>
          <w:iCs/>
          <w:kern w:val="36"/>
          <w:sz w:val="24"/>
          <w:szCs w:val="24"/>
          <w:lang w:eastAsia="lv-LV"/>
        </w:rPr>
      </w:pPr>
      <w:r w:rsidRPr="00867BCF">
        <w:rPr>
          <w:noProof/>
          <w:lang w:eastAsia="lv-LV"/>
        </w:rPr>
        <w:drawing>
          <wp:inline distT="0" distB="0" distL="0" distR="0" wp14:anchorId="75A7883B" wp14:editId="2CFAA123">
            <wp:extent cx="5619750" cy="3076575"/>
            <wp:effectExtent l="0" t="0" r="0" b="9525"/>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858DB3-3DAC-444A-9629-A73D2C68C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A1096D" w14:textId="6297BF73" w:rsidR="006E3D8A" w:rsidRPr="00867BCF" w:rsidRDefault="00402CE5" w:rsidP="00997AD4">
      <w:pPr>
        <w:spacing w:after="60"/>
        <w:jc w:val="center"/>
        <w:rPr>
          <w:rFonts w:ascii="Times New Roman" w:hAnsi="Times New Roman" w:cs="Times New Roman"/>
          <w:i/>
          <w:sz w:val="24"/>
          <w:szCs w:val="24"/>
        </w:rPr>
      </w:pPr>
      <w:r w:rsidRPr="00867BCF">
        <w:rPr>
          <w:rFonts w:ascii="Times New Roman" w:hAnsi="Times New Roman" w:cs="Times New Roman"/>
          <w:i/>
          <w:sz w:val="24"/>
          <w:szCs w:val="24"/>
        </w:rPr>
        <w:t>5</w:t>
      </w:r>
      <w:r w:rsidR="006E3D8A" w:rsidRPr="00867BCF">
        <w:rPr>
          <w:rFonts w:ascii="Times New Roman" w:hAnsi="Times New Roman" w:cs="Times New Roman"/>
          <w:i/>
          <w:sz w:val="24"/>
          <w:szCs w:val="24"/>
        </w:rPr>
        <w:t>.attēls. IKP uz vienu iedzīvotāju statistiskajos reģionos pret Latvijas vidējo 2006.-2016.gadā (CSP dati)</w:t>
      </w:r>
    </w:p>
    <w:p w14:paraId="381A1F62" w14:textId="77777777" w:rsidR="006E3D8A" w:rsidRPr="00867BCF" w:rsidRDefault="006E3D8A" w:rsidP="00C123FE">
      <w:pPr>
        <w:spacing w:after="60"/>
        <w:ind w:left="357"/>
        <w:jc w:val="center"/>
        <w:rPr>
          <w:rFonts w:ascii="Times New Roman" w:hAnsi="Times New Roman" w:cs="Times New Roman"/>
          <w:i/>
          <w:sz w:val="24"/>
          <w:szCs w:val="24"/>
        </w:rPr>
      </w:pPr>
    </w:p>
    <w:p w14:paraId="1FF479A1" w14:textId="22A4C843" w:rsidR="006E3D8A" w:rsidRPr="00867BCF" w:rsidRDefault="006E3D8A" w:rsidP="00C123FE">
      <w:pPr>
        <w:spacing w:after="120"/>
        <w:rPr>
          <w:rFonts w:ascii="Times New Roman" w:eastAsia="Times New Roman" w:hAnsi="Times New Roman" w:cs="Times New Roman"/>
          <w:bCs/>
          <w:iCs/>
          <w:kern w:val="36"/>
          <w:sz w:val="24"/>
          <w:szCs w:val="24"/>
          <w:lang w:eastAsia="lv-LV"/>
        </w:rPr>
      </w:pPr>
      <w:r w:rsidRPr="00867BCF">
        <w:rPr>
          <w:rFonts w:ascii="Times New Roman" w:eastAsia="Times New Roman" w:hAnsi="Times New Roman" w:cs="Times New Roman"/>
          <w:bCs/>
          <w:iCs/>
          <w:kern w:val="36"/>
          <w:sz w:val="24"/>
          <w:szCs w:val="24"/>
          <w:lang w:eastAsia="lv-LV"/>
        </w:rPr>
        <w:t xml:space="preserve">Vērtējot reģionālās attīstības atšķirības pēdējo 10 gadu laikā, reģionālās attīstības atšķirības ir nedaudz samazinājušas </w:t>
      </w:r>
      <w:r w:rsidR="0086382D" w:rsidRPr="00867BCF">
        <w:rPr>
          <w:rFonts w:ascii="Times New Roman" w:eastAsia="Times New Roman" w:hAnsi="Times New Roman" w:cs="Times New Roman"/>
          <w:bCs/>
          <w:iCs/>
          <w:kern w:val="36"/>
          <w:sz w:val="24"/>
          <w:szCs w:val="24"/>
          <w:lang w:eastAsia="lv-LV"/>
        </w:rPr>
        <w:t>(sk.</w:t>
      </w:r>
      <w:r w:rsidRPr="00867BCF">
        <w:rPr>
          <w:rFonts w:ascii="Times New Roman" w:eastAsia="Times New Roman" w:hAnsi="Times New Roman" w:cs="Times New Roman"/>
          <w:bCs/>
          <w:iCs/>
          <w:kern w:val="36"/>
          <w:sz w:val="24"/>
          <w:szCs w:val="24"/>
          <w:lang w:eastAsia="lv-LV"/>
        </w:rPr>
        <w:t xml:space="preserve"> </w:t>
      </w:r>
      <w:r w:rsidR="0086382D" w:rsidRPr="00867BCF">
        <w:rPr>
          <w:rFonts w:ascii="Times New Roman" w:eastAsia="Times New Roman" w:hAnsi="Times New Roman" w:cs="Times New Roman"/>
          <w:bCs/>
          <w:iCs/>
          <w:kern w:val="36"/>
          <w:sz w:val="24"/>
          <w:szCs w:val="24"/>
          <w:lang w:eastAsia="lv-LV"/>
        </w:rPr>
        <w:t>5</w:t>
      </w:r>
      <w:r w:rsidRPr="00867BCF">
        <w:rPr>
          <w:rFonts w:ascii="Times New Roman" w:eastAsia="Times New Roman" w:hAnsi="Times New Roman" w:cs="Times New Roman"/>
          <w:bCs/>
          <w:iCs/>
          <w:kern w:val="36"/>
          <w:sz w:val="24"/>
          <w:szCs w:val="24"/>
          <w:lang w:eastAsia="lv-LV"/>
        </w:rPr>
        <w:t xml:space="preserve">.attēlu) – IKP starpības samazinājums ir no 5% Latgalē līdz 2% Zemgalē. Tas skaidrojams ar to, ka reģioni pēdējos 10 gadus ir auguši straujāk par Latvijas vidējo līmeni, kur Zemgale ir augusi par 3% straujāk, savukārt Latgale līdz pat 11% straujāk. Neskatoties uz izaugsmi, reģionālās attīstības atšķirības vēl joprojām ir salīdzinoši ļoti augstas. Lai samazinātu IKP atšķirības līdz 75% no Latvijas vidējā, reģionos papildus tirgus radītajai izaugsmei būtu nepieciešams no 5 000 līdz 7 000 milj. </w:t>
      </w:r>
      <w:proofErr w:type="spellStart"/>
      <w:r w:rsidRPr="00867BCF">
        <w:rPr>
          <w:rFonts w:ascii="Times New Roman" w:eastAsia="Times New Roman" w:hAnsi="Times New Roman" w:cs="Times New Roman"/>
          <w:bCs/>
          <w:i/>
          <w:iCs/>
          <w:kern w:val="36"/>
          <w:sz w:val="24"/>
          <w:szCs w:val="24"/>
          <w:lang w:eastAsia="lv-LV"/>
        </w:rPr>
        <w:t>euro</w:t>
      </w:r>
      <w:proofErr w:type="spellEnd"/>
      <w:r w:rsidRPr="00867BCF">
        <w:rPr>
          <w:rFonts w:ascii="Times New Roman" w:eastAsia="Times New Roman" w:hAnsi="Times New Roman" w:cs="Times New Roman"/>
          <w:bCs/>
          <w:iCs/>
          <w:kern w:val="36"/>
          <w:sz w:val="24"/>
          <w:szCs w:val="24"/>
          <w:lang w:eastAsia="lv-LV"/>
        </w:rPr>
        <w:t xml:space="preserve"> IKP pieaugums. Salīdzinoši Vidzemes, Zemgales, Kurzemes un Latgales IKP šobrīd kopsummā ir 7 684 milj. </w:t>
      </w:r>
      <w:proofErr w:type="spellStart"/>
      <w:r w:rsidRPr="00867BCF">
        <w:rPr>
          <w:rFonts w:ascii="Times New Roman" w:eastAsia="Times New Roman" w:hAnsi="Times New Roman" w:cs="Times New Roman"/>
          <w:bCs/>
          <w:i/>
          <w:iCs/>
          <w:kern w:val="36"/>
          <w:sz w:val="24"/>
          <w:szCs w:val="24"/>
          <w:lang w:eastAsia="lv-LV"/>
        </w:rPr>
        <w:t>euro</w:t>
      </w:r>
      <w:proofErr w:type="spellEnd"/>
      <w:r w:rsidRPr="00867BCF">
        <w:rPr>
          <w:rFonts w:ascii="Times New Roman" w:eastAsia="Times New Roman" w:hAnsi="Times New Roman" w:cs="Times New Roman"/>
          <w:bCs/>
          <w:iCs/>
          <w:kern w:val="36"/>
          <w:sz w:val="24"/>
          <w:szCs w:val="24"/>
          <w:lang w:eastAsia="lv-LV"/>
        </w:rPr>
        <w:t>.</w:t>
      </w:r>
    </w:p>
    <w:p w14:paraId="00EAEA89" w14:textId="52360DC0" w:rsidR="006E3D8A" w:rsidRPr="00867BCF" w:rsidRDefault="006E3D8A" w:rsidP="00C123FE">
      <w:pPr>
        <w:rPr>
          <w:rFonts w:ascii="Times New Roman" w:eastAsia="Times New Roman" w:hAnsi="Times New Roman" w:cs="Times New Roman"/>
          <w:bCs/>
          <w:iCs/>
          <w:kern w:val="36"/>
          <w:sz w:val="24"/>
          <w:szCs w:val="24"/>
          <w:lang w:eastAsia="lv-LV"/>
        </w:rPr>
      </w:pPr>
      <w:r w:rsidRPr="00867BCF">
        <w:rPr>
          <w:rFonts w:ascii="Times New Roman" w:eastAsia="Times New Roman" w:hAnsi="Times New Roman" w:cs="Times New Roman"/>
          <w:bCs/>
          <w:iCs/>
          <w:kern w:val="36"/>
          <w:sz w:val="24"/>
          <w:szCs w:val="24"/>
          <w:lang w:eastAsia="lv-LV"/>
        </w:rPr>
        <w:t xml:space="preserve">Nedaudz straujāku Latvijas reģionu </w:t>
      </w:r>
      <w:r w:rsidR="0057386D" w:rsidRPr="00867BCF">
        <w:rPr>
          <w:rFonts w:ascii="Times New Roman" w:eastAsia="Times New Roman" w:hAnsi="Times New Roman" w:cs="Times New Roman"/>
          <w:bCs/>
          <w:iCs/>
          <w:kern w:val="36"/>
          <w:sz w:val="24"/>
          <w:szCs w:val="24"/>
          <w:lang w:eastAsia="lv-LV"/>
        </w:rPr>
        <w:t>izaugsmi nodrošināja līdzvērtīga</w:t>
      </w:r>
      <w:r w:rsidRPr="00867BCF">
        <w:rPr>
          <w:rFonts w:ascii="Times New Roman" w:eastAsia="Times New Roman" w:hAnsi="Times New Roman" w:cs="Times New Roman"/>
          <w:bCs/>
          <w:iCs/>
          <w:kern w:val="36"/>
          <w:sz w:val="24"/>
          <w:szCs w:val="24"/>
          <w:lang w:eastAsia="lv-LV"/>
        </w:rPr>
        <w:t xml:space="preserve"> vai pat nedaudz augstāka inv</w:t>
      </w:r>
      <w:r w:rsidR="00216433" w:rsidRPr="00867BCF">
        <w:rPr>
          <w:rFonts w:ascii="Times New Roman" w:eastAsia="Times New Roman" w:hAnsi="Times New Roman" w:cs="Times New Roman"/>
          <w:bCs/>
          <w:iCs/>
          <w:kern w:val="36"/>
          <w:sz w:val="24"/>
          <w:szCs w:val="24"/>
          <w:lang w:eastAsia="lv-LV"/>
        </w:rPr>
        <w:t xml:space="preserve">estīciju </w:t>
      </w:r>
      <w:proofErr w:type="spellStart"/>
      <w:r w:rsidR="00216433" w:rsidRPr="00867BCF">
        <w:rPr>
          <w:rFonts w:ascii="Times New Roman" w:eastAsia="Times New Roman" w:hAnsi="Times New Roman" w:cs="Times New Roman"/>
          <w:bCs/>
          <w:iCs/>
          <w:kern w:val="36"/>
          <w:sz w:val="24"/>
          <w:szCs w:val="24"/>
          <w:lang w:eastAsia="lv-LV"/>
        </w:rPr>
        <w:t>atdeve</w:t>
      </w:r>
      <w:proofErr w:type="spellEnd"/>
      <w:r w:rsidR="00216433" w:rsidRPr="00867BCF">
        <w:rPr>
          <w:rFonts w:ascii="Times New Roman" w:eastAsia="Times New Roman" w:hAnsi="Times New Roman" w:cs="Times New Roman"/>
          <w:bCs/>
          <w:iCs/>
          <w:kern w:val="36"/>
          <w:sz w:val="24"/>
          <w:szCs w:val="24"/>
          <w:lang w:eastAsia="lv-LV"/>
        </w:rPr>
        <w:t xml:space="preserve"> </w:t>
      </w:r>
      <w:r w:rsidR="00B00906">
        <w:rPr>
          <w:rFonts w:ascii="Times New Roman" w:eastAsia="Times New Roman" w:hAnsi="Times New Roman" w:cs="Times New Roman"/>
          <w:bCs/>
          <w:iCs/>
          <w:kern w:val="36"/>
          <w:sz w:val="24"/>
          <w:szCs w:val="24"/>
          <w:lang w:eastAsia="lv-LV"/>
        </w:rPr>
        <w:t xml:space="preserve">statistiskajos </w:t>
      </w:r>
      <w:r w:rsidR="00216433" w:rsidRPr="00867BCF">
        <w:rPr>
          <w:rFonts w:ascii="Times New Roman" w:eastAsia="Times New Roman" w:hAnsi="Times New Roman" w:cs="Times New Roman"/>
          <w:bCs/>
          <w:iCs/>
          <w:kern w:val="36"/>
          <w:sz w:val="24"/>
          <w:szCs w:val="24"/>
          <w:lang w:eastAsia="lv-LV"/>
        </w:rPr>
        <w:t>reģionos (sk.</w:t>
      </w:r>
      <w:r w:rsidRPr="00867BCF">
        <w:rPr>
          <w:rFonts w:ascii="Times New Roman" w:eastAsia="Times New Roman" w:hAnsi="Times New Roman" w:cs="Times New Roman"/>
          <w:bCs/>
          <w:iCs/>
          <w:kern w:val="36"/>
          <w:sz w:val="24"/>
          <w:szCs w:val="24"/>
          <w:lang w:eastAsia="lv-LV"/>
        </w:rPr>
        <w:t xml:space="preserve"> 5.attēlu) – Latvijā no kapitālajiem ieguldījumiem uz 1 </w:t>
      </w:r>
      <w:proofErr w:type="spellStart"/>
      <w:r w:rsidRPr="00867BCF">
        <w:rPr>
          <w:rFonts w:ascii="Times New Roman" w:eastAsia="Times New Roman" w:hAnsi="Times New Roman" w:cs="Times New Roman"/>
          <w:bCs/>
          <w:i/>
          <w:iCs/>
          <w:kern w:val="36"/>
          <w:sz w:val="24"/>
          <w:szCs w:val="24"/>
          <w:lang w:eastAsia="lv-LV"/>
        </w:rPr>
        <w:t>euro</w:t>
      </w:r>
      <w:proofErr w:type="spellEnd"/>
      <w:r w:rsidRPr="00867BCF">
        <w:rPr>
          <w:rFonts w:ascii="Times New Roman" w:eastAsia="Times New Roman" w:hAnsi="Times New Roman" w:cs="Times New Roman"/>
          <w:bCs/>
          <w:iCs/>
          <w:kern w:val="36"/>
          <w:sz w:val="24"/>
          <w:szCs w:val="24"/>
          <w:lang w:eastAsia="lv-LV"/>
        </w:rPr>
        <w:t xml:space="preserve"> vidēji iegūstam 3 </w:t>
      </w:r>
      <w:proofErr w:type="spellStart"/>
      <w:r w:rsidRPr="00867BCF">
        <w:rPr>
          <w:rFonts w:ascii="Times New Roman" w:eastAsia="Times New Roman" w:hAnsi="Times New Roman" w:cs="Times New Roman"/>
          <w:bCs/>
          <w:i/>
          <w:iCs/>
          <w:kern w:val="36"/>
          <w:sz w:val="24"/>
          <w:szCs w:val="24"/>
          <w:lang w:eastAsia="lv-LV"/>
        </w:rPr>
        <w:t>euro</w:t>
      </w:r>
      <w:proofErr w:type="spellEnd"/>
      <w:r w:rsidRPr="00867BCF">
        <w:rPr>
          <w:rFonts w:ascii="Times New Roman" w:eastAsia="Times New Roman" w:hAnsi="Times New Roman" w:cs="Times New Roman"/>
          <w:bCs/>
          <w:iCs/>
          <w:kern w:val="36"/>
          <w:sz w:val="24"/>
          <w:szCs w:val="24"/>
          <w:lang w:eastAsia="lv-LV"/>
        </w:rPr>
        <w:t xml:space="preserve"> pievienotas vērtības, kur Pierīgā 2 </w:t>
      </w:r>
      <w:proofErr w:type="spellStart"/>
      <w:r w:rsidRPr="00867BCF">
        <w:rPr>
          <w:rFonts w:ascii="Times New Roman" w:eastAsia="Times New Roman" w:hAnsi="Times New Roman" w:cs="Times New Roman"/>
          <w:bCs/>
          <w:i/>
          <w:iCs/>
          <w:kern w:val="36"/>
          <w:sz w:val="24"/>
          <w:szCs w:val="24"/>
          <w:lang w:eastAsia="lv-LV"/>
        </w:rPr>
        <w:t>euro</w:t>
      </w:r>
      <w:proofErr w:type="spellEnd"/>
      <w:r w:rsidRPr="00867BCF">
        <w:rPr>
          <w:rFonts w:ascii="Times New Roman" w:eastAsia="Times New Roman" w:hAnsi="Times New Roman" w:cs="Times New Roman"/>
          <w:bCs/>
          <w:iCs/>
          <w:kern w:val="36"/>
          <w:sz w:val="24"/>
          <w:szCs w:val="24"/>
          <w:lang w:eastAsia="lv-LV"/>
        </w:rPr>
        <w:t xml:space="preserve">, Latgalē un Kurzemē 3 </w:t>
      </w:r>
      <w:proofErr w:type="spellStart"/>
      <w:r w:rsidRPr="00867BCF">
        <w:rPr>
          <w:rFonts w:ascii="Times New Roman" w:eastAsia="Times New Roman" w:hAnsi="Times New Roman" w:cs="Times New Roman"/>
          <w:bCs/>
          <w:i/>
          <w:iCs/>
          <w:kern w:val="36"/>
          <w:sz w:val="24"/>
          <w:szCs w:val="24"/>
          <w:lang w:eastAsia="lv-LV"/>
        </w:rPr>
        <w:t>euro</w:t>
      </w:r>
      <w:proofErr w:type="spellEnd"/>
      <w:r w:rsidRPr="00867BCF">
        <w:rPr>
          <w:rFonts w:ascii="Times New Roman" w:eastAsia="Times New Roman" w:hAnsi="Times New Roman" w:cs="Times New Roman"/>
          <w:bCs/>
          <w:iCs/>
          <w:kern w:val="36"/>
          <w:sz w:val="24"/>
          <w:szCs w:val="24"/>
          <w:lang w:eastAsia="lv-LV"/>
        </w:rPr>
        <w:t xml:space="preserve">, bet augstākais Zemgalē un Vidzemē sasniedzot 4 </w:t>
      </w:r>
      <w:proofErr w:type="spellStart"/>
      <w:r w:rsidRPr="00867BCF">
        <w:rPr>
          <w:rFonts w:ascii="Times New Roman" w:eastAsia="Times New Roman" w:hAnsi="Times New Roman" w:cs="Times New Roman"/>
          <w:bCs/>
          <w:i/>
          <w:iCs/>
          <w:kern w:val="36"/>
          <w:sz w:val="24"/>
          <w:szCs w:val="24"/>
          <w:lang w:eastAsia="lv-LV"/>
        </w:rPr>
        <w:t>euro</w:t>
      </w:r>
      <w:proofErr w:type="spellEnd"/>
      <w:r w:rsidRPr="00867BCF">
        <w:rPr>
          <w:rFonts w:ascii="Times New Roman" w:eastAsia="Times New Roman" w:hAnsi="Times New Roman" w:cs="Times New Roman"/>
          <w:bCs/>
          <w:iCs/>
          <w:kern w:val="36"/>
          <w:sz w:val="24"/>
          <w:szCs w:val="24"/>
          <w:lang w:eastAsia="lv-LV"/>
        </w:rPr>
        <w:t xml:space="preserve">. Līdz ar to secināms, ka investīciju </w:t>
      </w:r>
      <w:proofErr w:type="spellStart"/>
      <w:r w:rsidRPr="00867BCF">
        <w:rPr>
          <w:rFonts w:ascii="Times New Roman" w:eastAsia="Times New Roman" w:hAnsi="Times New Roman" w:cs="Times New Roman"/>
          <w:bCs/>
          <w:iCs/>
          <w:kern w:val="36"/>
          <w:sz w:val="24"/>
          <w:szCs w:val="24"/>
          <w:lang w:eastAsia="lv-LV"/>
        </w:rPr>
        <w:t>atdeve</w:t>
      </w:r>
      <w:proofErr w:type="spellEnd"/>
      <w:r w:rsidRPr="00867BCF">
        <w:rPr>
          <w:rFonts w:ascii="Times New Roman" w:eastAsia="Times New Roman" w:hAnsi="Times New Roman" w:cs="Times New Roman"/>
          <w:bCs/>
          <w:iCs/>
          <w:kern w:val="36"/>
          <w:sz w:val="24"/>
          <w:szCs w:val="24"/>
          <w:lang w:eastAsia="lv-LV"/>
        </w:rPr>
        <w:t xml:space="preserve"> no 1 </w:t>
      </w:r>
      <w:proofErr w:type="spellStart"/>
      <w:r w:rsidRPr="00867BCF">
        <w:rPr>
          <w:rFonts w:ascii="Times New Roman" w:eastAsia="Times New Roman" w:hAnsi="Times New Roman" w:cs="Times New Roman"/>
          <w:bCs/>
          <w:i/>
          <w:iCs/>
          <w:kern w:val="36"/>
          <w:sz w:val="24"/>
          <w:szCs w:val="24"/>
          <w:lang w:eastAsia="lv-LV"/>
        </w:rPr>
        <w:t>euro</w:t>
      </w:r>
      <w:proofErr w:type="spellEnd"/>
      <w:r w:rsidRPr="00867BCF">
        <w:rPr>
          <w:rFonts w:ascii="Times New Roman" w:eastAsia="Times New Roman" w:hAnsi="Times New Roman" w:cs="Times New Roman"/>
          <w:bCs/>
          <w:iCs/>
          <w:kern w:val="36"/>
          <w:sz w:val="24"/>
          <w:szCs w:val="24"/>
          <w:lang w:eastAsia="lv-LV"/>
        </w:rPr>
        <w:t xml:space="preserve"> kapitālajiem ieguldījumiem pievienotajā vērtībā ir līdzīga vai pat nedaudz augstāka reģionos.</w:t>
      </w:r>
    </w:p>
    <w:p w14:paraId="4F344377" w14:textId="2F431611" w:rsidR="006E3D8A" w:rsidRPr="00867BCF" w:rsidRDefault="006E3D8A" w:rsidP="00362911">
      <w:pPr>
        <w:spacing w:after="120"/>
        <w:rPr>
          <w:rFonts w:ascii="Times New Roman" w:eastAsia="Times New Roman" w:hAnsi="Times New Roman" w:cs="Times New Roman"/>
          <w:bCs/>
          <w:iCs/>
          <w:kern w:val="36"/>
          <w:sz w:val="24"/>
          <w:szCs w:val="24"/>
          <w:lang w:eastAsia="lv-LV"/>
        </w:rPr>
      </w:pPr>
      <w:r w:rsidRPr="00867BCF">
        <w:rPr>
          <w:rFonts w:ascii="Times New Roman" w:eastAsia="Times New Roman" w:hAnsi="Times New Roman" w:cs="Times New Roman"/>
          <w:bCs/>
          <w:iCs/>
          <w:kern w:val="36"/>
          <w:sz w:val="24"/>
          <w:szCs w:val="24"/>
          <w:lang w:eastAsia="lv-LV"/>
        </w:rPr>
        <w:t>Atšķirības reģionāl</w:t>
      </w:r>
      <w:r w:rsidR="00BF656E" w:rsidRPr="00867BCF">
        <w:rPr>
          <w:rFonts w:ascii="Times New Roman" w:eastAsia="Times New Roman" w:hAnsi="Times New Roman" w:cs="Times New Roman"/>
          <w:bCs/>
          <w:iCs/>
          <w:kern w:val="36"/>
          <w:sz w:val="24"/>
          <w:szCs w:val="24"/>
          <w:lang w:eastAsia="lv-LV"/>
        </w:rPr>
        <w:t>aj</w:t>
      </w:r>
      <w:r w:rsidRPr="00867BCF">
        <w:rPr>
          <w:rFonts w:ascii="Times New Roman" w:eastAsia="Times New Roman" w:hAnsi="Times New Roman" w:cs="Times New Roman"/>
          <w:bCs/>
          <w:iCs/>
          <w:kern w:val="36"/>
          <w:sz w:val="24"/>
          <w:szCs w:val="24"/>
          <w:lang w:eastAsia="lv-LV"/>
        </w:rPr>
        <w:t xml:space="preserve">ā attīstībā veido būtiski atšķirīgs kapitālo ieguldījumu apmērs, kurš līdzīgi kā IKP un pievienotā vērtība atšķiras vairāk kā 2 reizes – augstākie kapitālie ieguldījumi uz vienu nodarbināto ir Pierīgā (7 </w:t>
      </w:r>
      <w:proofErr w:type="spellStart"/>
      <w:r w:rsidRPr="00867BCF">
        <w:rPr>
          <w:rFonts w:ascii="Times New Roman" w:eastAsia="Times New Roman" w:hAnsi="Times New Roman" w:cs="Times New Roman"/>
          <w:bCs/>
          <w:i/>
          <w:iCs/>
          <w:kern w:val="36"/>
          <w:sz w:val="24"/>
          <w:szCs w:val="24"/>
          <w:lang w:eastAsia="lv-LV"/>
        </w:rPr>
        <w:t>euro</w:t>
      </w:r>
      <w:proofErr w:type="spellEnd"/>
      <w:r w:rsidRPr="00867BCF">
        <w:rPr>
          <w:rFonts w:ascii="Times New Roman" w:eastAsia="Times New Roman" w:hAnsi="Times New Roman" w:cs="Times New Roman"/>
          <w:bCs/>
          <w:iCs/>
          <w:kern w:val="36"/>
          <w:sz w:val="24"/>
          <w:szCs w:val="24"/>
          <w:lang w:eastAsia="lv-LV"/>
        </w:rPr>
        <w:t xml:space="preserve"> uz vienu nodarbināto), bet zemākie ir Latgalē (3 </w:t>
      </w:r>
      <w:proofErr w:type="spellStart"/>
      <w:r w:rsidRPr="00867BCF">
        <w:rPr>
          <w:rFonts w:ascii="Times New Roman" w:eastAsia="Times New Roman" w:hAnsi="Times New Roman" w:cs="Times New Roman"/>
          <w:bCs/>
          <w:i/>
          <w:iCs/>
          <w:kern w:val="36"/>
          <w:sz w:val="24"/>
          <w:szCs w:val="24"/>
          <w:lang w:eastAsia="lv-LV"/>
        </w:rPr>
        <w:t>euro</w:t>
      </w:r>
      <w:proofErr w:type="spellEnd"/>
      <w:r w:rsidRPr="00867BCF">
        <w:rPr>
          <w:rFonts w:ascii="Times New Roman" w:eastAsia="Times New Roman" w:hAnsi="Times New Roman" w:cs="Times New Roman"/>
          <w:bCs/>
          <w:iCs/>
          <w:kern w:val="36"/>
          <w:sz w:val="24"/>
          <w:szCs w:val="24"/>
          <w:lang w:eastAsia="lv-LV"/>
        </w:rPr>
        <w:t xml:space="preserve"> uz vienu nodarbināto). Līdzīga tendence ir arī ieguldījumiem personāla izmaksās</w:t>
      </w:r>
      <w:r w:rsidR="0086382D" w:rsidRPr="00867BCF">
        <w:rPr>
          <w:rFonts w:ascii="Times New Roman" w:eastAsia="Times New Roman" w:hAnsi="Times New Roman" w:cs="Times New Roman"/>
          <w:bCs/>
          <w:iCs/>
          <w:kern w:val="36"/>
          <w:sz w:val="24"/>
          <w:szCs w:val="24"/>
          <w:lang w:eastAsia="lv-LV"/>
        </w:rPr>
        <w:t xml:space="preserve"> (sk. 6.attēlu)</w:t>
      </w:r>
      <w:r w:rsidRPr="00867BCF">
        <w:rPr>
          <w:rFonts w:ascii="Times New Roman" w:eastAsia="Times New Roman" w:hAnsi="Times New Roman" w:cs="Times New Roman"/>
          <w:bCs/>
          <w:iCs/>
          <w:kern w:val="36"/>
          <w:sz w:val="24"/>
          <w:szCs w:val="24"/>
          <w:lang w:eastAsia="lv-LV"/>
        </w:rPr>
        <w:t>.</w:t>
      </w:r>
    </w:p>
    <w:p w14:paraId="230D00D4" w14:textId="77777777" w:rsidR="006E3D8A" w:rsidRPr="00867BCF" w:rsidRDefault="006E3D8A" w:rsidP="0030416B">
      <w:pPr>
        <w:spacing w:after="60"/>
        <w:jc w:val="center"/>
      </w:pPr>
      <w:r w:rsidRPr="00867BCF">
        <w:rPr>
          <w:noProof/>
          <w:lang w:eastAsia="lv-LV"/>
        </w:rPr>
        <w:drawing>
          <wp:inline distT="0" distB="0" distL="0" distR="0" wp14:anchorId="346E72E0" wp14:editId="4E7A923D">
            <wp:extent cx="5438775" cy="27622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F6276E" w14:textId="77FE3DAA" w:rsidR="006E3D8A" w:rsidRPr="00867BCF" w:rsidRDefault="00402CE5" w:rsidP="00997AD4">
      <w:pPr>
        <w:spacing w:after="120"/>
        <w:jc w:val="center"/>
        <w:rPr>
          <w:rFonts w:ascii="Times New Roman" w:hAnsi="Times New Roman"/>
          <w:sz w:val="32"/>
          <w:szCs w:val="24"/>
        </w:rPr>
      </w:pPr>
      <w:r w:rsidRPr="00867BCF">
        <w:rPr>
          <w:rFonts w:ascii="Times New Roman" w:hAnsi="Times New Roman" w:cs="Times New Roman"/>
          <w:i/>
          <w:sz w:val="24"/>
          <w:szCs w:val="24"/>
        </w:rPr>
        <w:t>6</w:t>
      </w:r>
      <w:r w:rsidR="0057386D" w:rsidRPr="00867BCF">
        <w:rPr>
          <w:rFonts w:ascii="Times New Roman" w:hAnsi="Times New Roman" w:cs="Times New Roman"/>
          <w:i/>
          <w:sz w:val="24"/>
          <w:szCs w:val="24"/>
        </w:rPr>
        <w:t>.attēls</w:t>
      </w:r>
      <w:r w:rsidR="0030416B" w:rsidRPr="00867BCF">
        <w:rPr>
          <w:rFonts w:ascii="Times New Roman" w:hAnsi="Times New Roman" w:cs="Times New Roman"/>
          <w:i/>
          <w:sz w:val="24"/>
          <w:szCs w:val="24"/>
        </w:rPr>
        <w:t>.</w:t>
      </w:r>
      <w:r w:rsidR="0057386D" w:rsidRPr="00867BCF">
        <w:rPr>
          <w:rFonts w:ascii="Times New Roman" w:hAnsi="Times New Roman" w:cs="Times New Roman"/>
          <w:i/>
          <w:sz w:val="24"/>
          <w:szCs w:val="24"/>
        </w:rPr>
        <w:t xml:space="preserve"> Pievienotā vērtība, kapitāla ieguldījumi un personāla izmaksas 2017.gadā</w:t>
      </w:r>
    </w:p>
    <w:p w14:paraId="764867D8" w14:textId="77777777" w:rsidR="006E3D8A" w:rsidRPr="00867BCF" w:rsidRDefault="006E3D8A" w:rsidP="00C123FE">
      <w:pPr>
        <w:spacing w:after="120"/>
        <w:rPr>
          <w:rFonts w:ascii="Times New Roman" w:hAnsi="Times New Roman"/>
          <w:sz w:val="24"/>
          <w:szCs w:val="24"/>
        </w:rPr>
      </w:pPr>
    </w:p>
    <w:p w14:paraId="4AF398F9" w14:textId="59AE23D2" w:rsidR="006E2FC7" w:rsidRPr="00867BCF" w:rsidRDefault="0057386D" w:rsidP="00C123FE">
      <w:pPr>
        <w:rPr>
          <w:rFonts w:ascii="Times New Roman" w:hAnsi="Times New Roman"/>
          <w:sz w:val="24"/>
          <w:szCs w:val="24"/>
        </w:rPr>
      </w:pPr>
      <w:r w:rsidRPr="00867BCF">
        <w:rPr>
          <w:rFonts w:ascii="Times New Roman" w:hAnsi="Times New Roman"/>
          <w:sz w:val="24"/>
          <w:szCs w:val="24"/>
        </w:rPr>
        <w:t>Kā jau secināts, reģionālo kopproduktu būtiski ietekmē atšķirīgie ieguldījumi pamatlīdzekļos (atšķirības nefinanšu investīcijās uz vienu iedzīvotāju).</w:t>
      </w:r>
      <w:r w:rsidR="007A7ACF" w:rsidRPr="00867BCF">
        <w:rPr>
          <w:rFonts w:ascii="Times New Roman" w:hAnsi="Times New Roman"/>
          <w:sz w:val="24"/>
          <w:szCs w:val="24"/>
        </w:rPr>
        <w:t xml:space="preserve"> Rīgas plānošanas reģions piesaistījis lielāko nefinanšu investīciju apjomu valstī – 2017.gadā tie bija 3</w:t>
      </w:r>
      <w:r w:rsidRPr="00867BCF">
        <w:rPr>
          <w:rFonts w:ascii="Times New Roman" w:hAnsi="Times New Roman"/>
          <w:sz w:val="24"/>
          <w:szCs w:val="24"/>
        </w:rPr>
        <w:t xml:space="preserve"> </w:t>
      </w:r>
      <w:r w:rsidR="007A7ACF" w:rsidRPr="00867BCF">
        <w:rPr>
          <w:rFonts w:ascii="Times New Roman" w:hAnsi="Times New Roman"/>
          <w:sz w:val="24"/>
          <w:szCs w:val="24"/>
        </w:rPr>
        <w:t>264,7</w:t>
      </w:r>
      <w:r w:rsidR="007A7ACF" w:rsidRPr="00867BCF">
        <w:rPr>
          <w:rFonts w:ascii="Calibri" w:eastAsia="Times New Roman" w:hAnsi="Calibri" w:cs="Times New Roman"/>
          <w:color w:val="FF0000"/>
          <w:lang w:eastAsia="lv-LV"/>
        </w:rPr>
        <w:t xml:space="preserve"> </w:t>
      </w:r>
      <w:r w:rsidR="007A7ACF" w:rsidRPr="00867BCF">
        <w:rPr>
          <w:rFonts w:ascii="Times New Roman" w:hAnsi="Times New Roman"/>
          <w:sz w:val="24"/>
          <w:szCs w:val="24"/>
        </w:rPr>
        <w:t xml:space="preserve">milj. </w:t>
      </w:r>
      <w:proofErr w:type="spellStart"/>
      <w:r w:rsidR="007A7ACF" w:rsidRPr="00867BCF">
        <w:rPr>
          <w:rFonts w:ascii="Times New Roman" w:hAnsi="Times New Roman"/>
          <w:i/>
          <w:sz w:val="24"/>
          <w:szCs w:val="24"/>
        </w:rPr>
        <w:t>euro</w:t>
      </w:r>
      <w:proofErr w:type="spellEnd"/>
      <w:r w:rsidR="007A7ACF" w:rsidRPr="00867BCF">
        <w:rPr>
          <w:rFonts w:ascii="Times New Roman" w:hAnsi="Times New Roman"/>
          <w:sz w:val="24"/>
          <w:szCs w:val="24"/>
        </w:rPr>
        <w:t xml:space="preserve"> (2017.gada salīdzināmajās cenās) jeb 76% no visām valstī piesaistītajām nefinanšu investīcijām</w:t>
      </w:r>
      <w:r w:rsidR="007A7ACF" w:rsidRPr="00867BCF">
        <w:rPr>
          <w:rStyle w:val="FootnoteReference"/>
          <w:rFonts w:ascii="Times New Roman" w:hAnsi="Times New Roman"/>
          <w:sz w:val="24"/>
          <w:szCs w:val="24"/>
        </w:rPr>
        <w:footnoteReference w:id="11"/>
      </w:r>
      <w:r w:rsidR="007A7ACF" w:rsidRPr="00867BCF">
        <w:rPr>
          <w:rFonts w:ascii="Times New Roman" w:hAnsi="Times New Roman"/>
          <w:sz w:val="24"/>
          <w:szCs w:val="24"/>
        </w:rPr>
        <w:t xml:space="preserve">. Rīgas plānošanas reģiona piesaistīto investīciju īpatsvars kopš 2011.gada (56%) ir pieaudzis par 21 procentpunktu. Pārējie reģioni 2017.gadā piesaistījuši tikai 4,3-7,1% nefinanšu investīciju. </w:t>
      </w:r>
    </w:p>
    <w:p w14:paraId="7E405927" w14:textId="35E5A8A9" w:rsidR="007A7ACF" w:rsidRPr="00867BCF" w:rsidRDefault="007A7ACF" w:rsidP="001F53BA">
      <w:pPr>
        <w:spacing w:after="120"/>
        <w:rPr>
          <w:rFonts w:ascii="Times New Roman" w:hAnsi="Times New Roman"/>
          <w:sz w:val="24"/>
          <w:szCs w:val="24"/>
        </w:rPr>
      </w:pPr>
      <w:r w:rsidRPr="00867BCF">
        <w:rPr>
          <w:rFonts w:ascii="Times New Roman" w:hAnsi="Times New Roman"/>
          <w:sz w:val="24"/>
          <w:szCs w:val="24"/>
        </w:rPr>
        <w:lastRenderedPageBreak/>
        <w:t>OECD valstīs vērojama tendence, ka metropoļu reģionu iedzīvotāju ienākumi ir par 21% augstāki nekā citu reģionu iedzīvotājiem.</w:t>
      </w:r>
      <w:r w:rsidRPr="00867BCF">
        <w:rPr>
          <w:rStyle w:val="FootnoteReference"/>
          <w:rFonts w:ascii="Times New Roman" w:hAnsi="Times New Roman"/>
          <w:sz w:val="24"/>
          <w:szCs w:val="24"/>
        </w:rPr>
        <w:footnoteReference w:id="12"/>
      </w:r>
      <w:r w:rsidRPr="00867BCF">
        <w:rPr>
          <w:rFonts w:ascii="Times New Roman" w:hAnsi="Times New Roman"/>
          <w:sz w:val="24"/>
          <w:szCs w:val="24"/>
        </w:rPr>
        <w:t xml:space="preserve"> Latvijā pārējo plānošanas reģionu vidējās darba samaksas līmenis </w:t>
      </w:r>
      <w:r w:rsidR="00F506E1" w:rsidRPr="00867BCF">
        <w:rPr>
          <w:rFonts w:ascii="Times New Roman" w:hAnsi="Times New Roman"/>
          <w:sz w:val="24"/>
          <w:szCs w:val="24"/>
        </w:rPr>
        <w:t>veido</w:t>
      </w:r>
      <w:r w:rsidRPr="00867BCF">
        <w:rPr>
          <w:rFonts w:ascii="Times New Roman" w:hAnsi="Times New Roman"/>
          <w:sz w:val="24"/>
          <w:szCs w:val="24"/>
        </w:rPr>
        <w:t xml:space="preserve"> 64-78% no Rīgas plānošanas reģiona vidējās darba samaksas (2017.gada dati), kas nozīmē, ka atšķirības ir lielākas nekā OECD vidēji</w:t>
      </w:r>
      <w:r w:rsidRPr="00867BCF">
        <w:rPr>
          <w:rStyle w:val="FootnoteReference"/>
          <w:rFonts w:ascii="Times New Roman" w:hAnsi="Times New Roman"/>
          <w:sz w:val="24"/>
          <w:szCs w:val="24"/>
        </w:rPr>
        <w:footnoteReference w:id="13"/>
      </w:r>
      <w:r w:rsidRPr="00867BCF">
        <w:rPr>
          <w:rFonts w:ascii="Times New Roman" w:hAnsi="Times New Roman"/>
          <w:sz w:val="24"/>
          <w:szCs w:val="24"/>
        </w:rPr>
        <w:t>.</w:t>
      </w:r>
    </w:p>
    <w:p w14:paraId="05A91F10" w14:textId="4E2EAF7C" w:rsidR="00D20A60" w:rsidRPr="00867BCF" w:rsidRDefault="00D20A60" w:rsidP="00C123FE">
      <w:pPr>
        <w:spacing w:after="120"/>
        <w:rPr>
          <w:rFonts w:ascii="Times New Roman" w:hAnsi="Times New Roman"/>
          <w:sz w:val="24"/>
          <w:szCs w:val="24"/>
        </w:rPr>
      </w:pPr>
      <w:r w:rsidRPr="00867BCF">
        <w:rPr>
          <w:rFonts w:ascii="Times New Roman" w:hAnsi="Times New Roman"/>
          <w:sz w:val="24"/>
          <w:szCs w:val="24"/>
        </w:rPr>
        <w:t>Latgales</w:t>
      </w:r>
      <w:r w:rsidR="00B00906">
        <w:rPr>
          <w:rFonts w:ascii="Times New Roman" w:hAnsi="Times New Roman"/>
          <w:sz w:val="24"/>
          <w:szCs w:val="24"/>
        </w:rPr>
        <w:t xml:space="preserve"> statistiskajā</w:t>
      </w:r>
      <w:r w:rsidRPr="00867BCF">
        <w:rPr>
          <w:rFonts w:ascii="Times New Roman" w:hAnsi="Times New Roman"/>
          <w:sz w:val="24"/>
          <w:szCs w:val="24"/>
        </w:rPr>
        <w:t xml:space="preserve"> reģionā saglabājas augstākais bezdarba līmenis – 14,0% salīdzinot ar vidējo 8,7% bezdarba līmeni Latvijā</w:t>
      </w:r>
      <w:r w:rsidR="00976914" w:rsidRPr="00867BCF">
        <w:rPr>
          <w:rStyle w:val="FootnoteReference"/>
          <w:rFonts w:ascii="Times New Roman" w:hAnsi="Times New Roman"/>
          <w:sz w:val="24"/>
          <w:szCs w:val="24"/>
        </w:rPr>
        <w:footnoteReference w:id="14"/>
      </w:r>
      <w:r w:rsidRPr="00867BCF">
        <w:rPr>
          <w:rFonts w:ascii="Times New Roman" w:hAnsi="Times New Roman"/>
          <w:sz w:val="24"/>
          <w:szCs w:val="24"/>
        </w:rPr>
        <w:t>. Vienlaikus salīdzinot ar 2012.gada rādītāju (20,7%) bezdarbs Latgalē  ir samazinājies par 6,7 procentpunktiem, kamēr vidēji Latvijā – par 6,3 procentpunktiem.</w:t>
      </w:r>
      <w:r w:rsidR="003844D7" w:rsidRPr="00867BCF">
        <w:rPr>
          <w:rFonts w:ascii="Times New Roman" w:hAnsi="Times New Roman"/>
          <w:sz w:val="24"/>
          <w:szCs w:val="24"/>
        </w:rPr>
        <w:t xml:space="preserve"> OECD valstīs atšķirība starp reģionu ar augstāko bezdarbu un reģionu ar zemāko bezdarbu, vidēji ir 6 procentpunkti (2017.gada dati).</w:t>
      </w:r>
      <w:r w:rsidR="003844D7" w:rsidRPr="00867BCF">
        <w:rPr>
          <w:rStyle w:val="FootnoteReference"/>
          <w:rFonts w:ascii="Times New Roman" w:hAnsi="Times New Roman"/>
          <w:sz w:val="24"/>
          <w:szCs w:val="24"/>
        </w:rPr>
        <w:footnoteReference w:id="15"/>
      </w:r>
      <w:r w:rsidR="003C3DB8" w:rsidRPr="00867BCF">
        <w:rPr>
          <w:rFonts w:ascii="Times New Roman" w:hAnsi="Times New Roman"/>
          <w:sz w:val="24"/>
          <w:szCs w:val="24"/>
        </w:rPr>
        <w:t xml:space="preserve"> Atšķirība starp Latgales reģiona (14%) un Rīgas statistiskā reģiona (7,8%) bezdarba līmeni ir 6,2 procentpunkti</w:t>
      </w:r>
      <w:r w:rsidR="001B5151" w:rsidRPr="00867BCF">
        <w:rPr>
          <w:rStyle w:val="FootnoteReference"/>
          <w:rFonts w:ascii="Times New Roman" w:hAnsi="Times New Roman"/>
          <w:sz w:val="24"/>
          <w:szCs w:val="24"/>
        </w:rPr>
        <w:footnoteReference w:id="16"/>
      </w:r>
      <w:r w:rsidR="003C3DB8" w:rsidRPr="00867BCF">
        <w:rPr>
          <w:rFonts w:ascii="Times New Roman" w:hAnsi="Times New Roman"/>
          <w:sz w:val="24"/>
          <w:szCs w:val="24"/>
        </w:rPr>
        <w:t>, t.i. OECD vidējo reģionālo atšķirību līmenī.</w:t>
      </w:r>
      <w:r w:rsidR="00F208F5" w:rsidRPr="00867BCF">
        <w:rPr>
          <w:rFonts w:ascii="Times New Roman" w:hAnsi="Times New Roman"/>
          <w:sz w:val="24"/>
          <w:szCs w:val="24"/>
        </w:rPr>
        <w:t xml:space="preserve"> </w:t>
      </w:r>
      <w:r w:rsidR="00ED4BB9" w:rsidRPr="00867BCF">
        <w:rPr>
          <w:rFonts w:ascii="Times New Roman" w:hAnsi="Times New Roman"/>
          <w:sz w:val="24"/>
          <w:szCs w:val="24"/>
        </w:rPr>
        <w:t>Latvijā s</w:t>
      </w:r>
      <w:r w:rsidR="00F208F5" w:rsidRPr="00867BCF">
        <w:rPr>
          <w:rFonts w:ascii="Times New Roman" w:hAnsi="Times New Roman"/>
          <w:sz w:val="24"/>
          <w:szCs w:val="24"/>
        </w:rPr>
        <w:t>alīdzinoši daudz bezdarbnieku dzīvo laukos: lauku teritorijā dzīvo 39% no nodarbinātajiem un 45% no reģistrētajiem bezdarbniekiem.</w:t>
      </w:r>
      <w:r w:rsidR="00F208F5" w:rsidRPr="00867BCF">
        <w:rPr>
          <w:rStyle w:val="FootnoteReference"/>
          <w:rFonts w:ascii="Times New Roman" w:hAnsi="Times New Roman"/>
          <w:sz w:val="24"/>
          <w:szCs w:val="24"/>
        </w:rPr>
        <w:footnoteReference w:id="17"/>
      </w:r>
    </w:p>
    <w:p w14:paraId="1C804E59" w14:textId="32A96822" w:rsidR="00F208F5" w:rsidRPr="00867BCF" w:rsidRDefault="00F208F5" w:rsidP="00C123FE">
      <w:pPr>
        <w:spacing w:after="120"/>
        <w:rPr>
          <w:rFonts w:ascii="Times New Roman" w:hAnsi="Times New Roman"/>
          <w:sz w:val="24"/>
          <w:szCs w:val="24"/>
        </w:rPr>
      </w:pPr>
      <w:r w:rsidRPr="00867BCF">
        <w:rPr>
          <w:rFonts w:ascii="Times New Roman" w:hAnsi="Times New Roman"/>
          <w:sz w:val="24"/>
          <w:szCs w:val="24"/>
        </w:rPr>
        <w:t>2017.gadā 69,8% aizņemto darbavietu atradās Rīgas plānošanas reģionā</w:t>
      </w:r>
      <w:r w:rsidR="00976914" w:rsidRPr="00867BCF">
        <w:rPr>
          <w:rFonts w:ascii="Times New Roman" w:hAnsi="Times New Roman"/>
          <w:sz w:val="24"/>
          <w:szCs w:val="24"/>
        </w:rPr>
        <w:t>, pārējos reģionos – 6,6%-8,7%</w:t>
      </w:r>
      <w:r w:rsidR="00976914" w:rsidRPr="00867BCF">
        <w:rPr>
          <w:rStyle w:val="FootnoteReference"/>
          <w:rFonts w:ascii="Times New Roman" w:hAnsi="Times New Roman"/>
          <w:sz w:val="24"/>
          <w:szCs w:val="24"/>
        </w:rPr>
        <w:footnoteReference w:id="18"/>
      </w:r>
      <w:r w:rsidRPr="00867BCF">
        <w:rPr>
          <w:rFonts w:ascii="Times New Roman" w:hAnsi="Times New Roman"/>
          <w:sz w:val="24"/>
          <w:szCs w:val="24"/>
        </w:rPr>
        <w:t xml:space="preserve">. </w:t>
      </w:r>
      <w:r w:rsidRPr="00867BCF">
        <w:rPr>
          <w:rFonts w:ascii="Times New Roman" w:hAnsi="Times New Roman"/>
          <w:sz w:val="24"/>
          <w:szCs w:val="24"/>
          <w:lang w:bidi="lo-LA"/>
        </w:rPr>
        <w:t xml:space="preserve">Reģionos ārpus Rīgas </w:t>
      </w:r>
      <w:r w:rsidR="00F21308" w:rsidRPr="00867BCF">
        <w:rPr>
          <w:rFonts w:ascii="Times New Roman" w:hAnsi="Times New Roman"/>
          <w:sz w:val="24"/>
          <w:szCs w:val="24"/>
          <w:lang w:bidi="lo-LA"/>
        </w:rPr>
        <w:t xml:space="preserve">2017.gadā </w:t>
      </w:r>
      <w:r w:rsidRPr="00867BCF">
        <w:rPr>
          <w:rFonts w:ascii="Times New Roman" w:hAnsi="Times New Roman"/>
          <w:sz w:val="24"/>
          <w:szCs w:val="24"/>
          <w:lang w:bidi="lo-LA"/>
        </w:rPr>
        <w:t xml:space="preserve">ir būtiski lielāks </w:t>
      </w:r>
      <w:proofErr w:type="spellStart"/>
      <w:r w:rsidRPr="00867BCF">
        <w:rPr>
          <w:rFonts w:ascii="Times New Roman" w:hAnsi="Times New Roman"/>
          <w:sz w:val="24"/>
          <w:szCs w:val="24"/>
          <w:lang w:bidi="lo-LA"/>
        </w:rPr>
        <w:t>pašnodarbināto</w:t>
      </w:r>
      <w:proofErr w:type="spellEnd"/>
      <w:r w:rsidRPr="00867BCF">
        <w:rPr>
          <w:rFonts w:ascii="Times New Roman" w:hAnsi="Times New Roman"/>
          <w:sz w:val="24"/>
          <w:szCs w:val="24"/>
          <w:lang w:bidi="lo-LA"/>
        </w:rPr>
        <w:t xml:space="preserve"> īpatsvars </w:t>
      </w:r>
      <w:r w:rsidRPr="00867BCF">
        <w:rPr>
          <w:rFonts w:ascii="Times New Roman" w:hAnsi="Times New Roman"/>
          <w:sz w:val="24"/>
          <w:szCs w:val="24"/>
        </w:rPr>
        <w:t xml:space="preserve">(Rīgas plānošanas reģionā </w:t>
      </w:r>
      <w:proofErr w:type="spellStart"/>
      <w:r w:rsidRPr="00867BCF">
        <w:rPr>
          <w:rFonts w:ascii="Times New Roman" w:hAnsi="Times New Roman"/>
          <w:sz w:val="24"/>
          <w:szCs w:val="24"/>
        </w:rPr>
        <w:t>pašnodarbināto</w:t>
      </w:r>
      <w:proofErr w:type="spellEnd"/>
      <w:r w:rsidRPr="00867BCF">
        <w:rPr>
          <w:rFonts w:ascii="Times New Roman" w:hAnsi="Times New Roman"/>
          <w:sz w:val="24"/>
          <w:szCs w:val="24"/>
        </w:rPr>
        <w:t xml:space="preserve"> īpatsvars </w:t>
      </w:r>
      <w:r w:rsidR="00F506E1" w:rsidRPr="00867BCF">
        <w:rPr>
          <w:rFonts w:ascii="Times New Roman" w:hAnsi="Times New Roman"/>
          <w:sz w:val="24"/>
          <w:szCs w:val="24"/>
        </w:rPr>
        <w:t>veido</w:t>
      </w:r>
      <w:r w:rsidRPr="00867BCF">
        <w:rPr>
          <w:rFonts w:ascii="Times New Roman" w:hAnsi="Times New Roman"/>
          <w:sz w:val="24"/>
          <w:szCs w:val="24"/>
        </w:rPr>
        <w:t xml:space="preserve"> </w:t>
      </w:r>
      <w:r w:rsidR="00F21308" w:rsidRPr="00867BCF">
        <w:rPr>
          <w:rFonts w:ascii="Times New Roman" w:hAnsi="Times New Roman"/>
          <w:sz w:val="24"/>
          <w:szCs w:val="24"/>
        </w:rPr>
        <w:t>26</w:t>
      </w:r>
      <w:r w:rsidRPr="00867BCF">
        <w:rPr>
          <w:rFonts w:ascii="Times New Roman" w:hAnsi="Times New Roman"/>
          <w:sz w:val="24"/>
          <w:szCs w:val="24"/>
        </w:rPr>
        <w:t xml:space="preserve">%, pārējos reģionos – </w:t>
      </w:r>
      <w:r w:rsidR="00F21308" w:rsidRPr="00867BCF">
        <w:rPr>
          <w:rFonts w:ascii="Times New Roman" w:hAnsi="Times New Roman"/>
          <w:sz w:val="24"/>
          <w:szCs w:val="24"/>
        </w:rPr>
        <w:t>39</w:t>
      </w:r>
      <w:r w:rsidRPr="00867BCF">
        <w:rPr>
          <w:rFonts w:ascii="Times New Roman" w:hAnsi="Times New Roman"/>
          <w:sz w:val="24"/>
          <w:szCs w:val="24"/>
        </w:rPr>
        <w:t>-</w:t>
      </w:r>
      <w:r w:rsidR="00F21308" w:rsidRPr="00867BCF">
        <w:rPr>
          <w:rFonts w:ascii="Times New Roman" w:hAnsi="Times New Roman"/>
          <w:sz w:val="24"/>
          <w:szCs w:val="24"/>
        </w:rPr>
        <w:t>48</w:t>
      </w:r>
      <w:r w:rsidRPr="00867BCF">
        <w:rPr>
          <w:rFonts w:ascii="Times New Roman" w:hAnsi="Times New Roman"/>
          <w:sz w:val="24"/>
          <w:szCs w:val="24"/>
        </w:rPr>
        <w:t>%)</w:t>
      </w:r>
      <w:r w:rsidR="00F21308" w:rsidRPr="00867BCF">
        <w:rPr>
          <w:rStyle w:val="FootnoteReference"/>
          <w:rFonts w:ascii="Times New Roman" w:hAnsi="Times New Roman"/>
          <w:sz w:val="24"/>
          <w:szCs w:val="24"/>
        </w:rPr>
        <w:footnoteReference w:id="19"/>
      </w:r>
      <w:r w:rsidR="00FC0755" w:rsidRPr="00867BCF">
        <w:rPr>
          <w:rFonts w:ascii="Times New Roman" w:hAnsi="Times New Roman"/>
          <w:sz w:val="24"/>
          <w:szCs w:val="24"/>
        </w:rPr>
        <w:t xml:space="preserve">. </w:t>
      </w:r>
      <w:r w:rsidR="377C3BD2" w:rsidRPr="00867BCF">
        <w:rPr>
          <w:rFonts w:ascii="Times New Roman" w:eastAsia="Times New Roman" w:hAnsi="Times New Roman" w:cs="Times New Roman"/>
          <w:sz w:val="24"/>
          <w:szCs w:val="24"/>
        </w:rPr>
        <w:t>2017.gadā Rīgas pilsētā (Rīgas statistiskajā reģionā) bija 116 tirgus sektora ekonomiski aktīvi uzņēmumi uz 1000 iedzīvotājiem, savukārt pārējos reģionos – 68-88.</w:t>
      </w:r>
      <w:r w:rsidRPr="00867BCF">
        <w:rPr>
          <w:rFonts w:ascii="Times New Roman" w:eastAsia="Times New Roman" w:hAnsi="Times New Roman" w:cs="Times New Roman"/>
          <w:sz w:val="24"/>
          <w:szCs w:val="24"/>
          <w:vertAlign w:val="superscript"/>
        </w:rPr>
        <w:footnoteReference w:id="20"/>
      </w:r>
      <w:r w:rsidR="3D9A9DCD" w:rsidRPr="00867BCF">
        <w:rPr>
          <w:rFonts w:ascii="Times New Roman" w:eastAsia="Times New Roman" w:hAnsi="Times New Roman" w:cs="Times New Roman"/>
          <w:sz w:val="24"/>
          <w:szCs w:val="24"/>
        </w:rPr>
        <w:t xml:space="preserve"> Tas</w:t>
      </w:r>
      <w:r w:rsidR="3D9A9DCD" w:rsidRPr="00867BCF">
        <w:rPr>
          <w:rFonts w:ascii="Times New Roman" w:hAnsi="Times New Roman"/>
          <w:sz w:val="24"/>
          <w:szCs w:val="24"/>
        </w:rPr>
        <w:t xml:space="preserve"> rada pamatu secināt, ka reģionos trūkst darba devēju.</w:t>
      </w:r>
    </w:p>
    <w:p w14:paraId="44A41C50" w14:textId="77C81FBF" w:rsidR="0057386D" w:rsidRPr="00867BCF" w:rsidRDefault="0057386D" w:rsidP="00C123FE">
      <w:pPr>
        <w:spacing w:after="120"/>
        <w:rPr>
          <w:rFonts w:ascii="Times New Roman" w:hAnsi="Times New Roman" w:cs="Times New Roman"/>
          <w:sz w:val="24"/>
        </w:rPr>
      </w:pPr>
      <w:r w:rsidRPr="00867BCF">
        <w:rPr>
          <w:rFonts w:ascii="Times New Roman" w:hAnsi="Times New Roman"/>
          <w:sz w:val="24"/>
          <w:szCs w:val="24"/>
        </w:rPr>
        <w:t xml:space="preserve">Vienlaikus, kaut arī Rīga un Rīgas plānošanas reģions dominē daudzos sociālekonomiskajos rādītājos, nepieciešams stiprināt Rīgas plānošanas reģiona starptautisko konkurētspēju. </w:t>
      </w:r>
      <w:r w:rsidR="00216433" w:rsidRPr="00867BCF">
        <w:rPr>
          <w:rFonts w:ascii="Times New Roman" w:hAnsi="Times New Roman" w:cs="Times New Roman"/>
          <w:sz w:val="24"/>
        </w:rPr>
        <w:t>Lai</w:t>
      </w:r>
      <w:r w:rsidRPr="00867BCF">
        <w:rPr>
          <w:rFonts w:ascii="Times New Roman" w:hAnsi="Times New Roman" w:cs="Times New Roman"/>
          <w:sz w:val="24"/>
        </w:rPr>
        <w:t xml:space="preserve"> arī Rīga ir trešā lielākā pilsēta Baltijas jūras reģionā, Rīgas plānošanas reģionā dzīvo vairāk kā puse Latvijas iedzīvotāju un tas veido ap 69% valsts IKP, Rīgas starptautiskā konkurētspēja atpaliek no līdzvērtīgām pilsētām – tās IKP </w:t>
      </w:r>
      <w:r w:rsidR="00F506E1" w:rsidRPr="00867BCF">
        <w:rPr>
          <w:rFonts w:ascii="Times New Roman" w:hAnsi="Times New Roman" w:cs="Times New Roman"/>
          <w:sz w:val="24"/>
        </w:rPr>
        <w:t>veido</w:t>
      </w:r>
      <w:r w:rsidRPr="00867BCF">
        <w:rPr>
          <w:rFonts w:ascii="Times New Roman" w:hAnsi="Times New Roman" w:cs="Times New Roman"/>
          <w:sz w:val="24"/>
        </w:rPr>
        <w:t xml:space="preserve"> tikai 70% no Baltijas jūras reģiona pilsētu vidējā IKP. Rīgas metropoles areāla IKP arī pieaug lēnāk nekā Tallinas un Viļņas IKP.</w:t>
      </w:r>
      <w:r w:rsidRPr="00867BCF">
        <w:rPr>
          <w:rStyle w:val="FootnoteReference"/>
          <w:rFonts w:ascii="Times New Roman" w:hAnsi="Times New Roman" w:cs="Times New Roman"/>
          <w:sz w:val="24"/>
        </w:rPr>
        <w:footnoteReference w:id="21"/>
      </w:r>
    </w:p>
    <w:p w14:paraId="1027454D" w14:textId="3E85756F" w:rsidR="00402CE5" w:rsidRPr="00867BCF" w:rsidRDefault="00402CE5" w:rsidP="00362911">
      <w:pPr>
        <w:spacing w:after="120"/>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 xml:space="preserve">Statistikas dati liecina, ka 2019.gada vidū 30 Latvijas novados vidējais uzņēmumu pamatkapitāls nesasniedz 10 000 </w:t>
      </w:r>
      <w:proofErr w:type="spellStart"/>
      <w:r w:rsidRPr="00867BCF">
        <w:rPr>
          <w:rFonts w:ascii="Times New Roman" w:eastAsia="Times New Roman" w:hAnsi="Times New Roman" w:cs="Times New Roman"/>
          <w:i/>
          <w:iCs/>
          <w:sz w:val="24"/>
          <w:szCs w:val="24"/>
        </w:rPr>
        <w:t>euro</w:t>
      </w:r>
      <w:proofErr w:type="spellEnd"/>
      <w:r w:rsidRPr="00867BCF">
        <w:rPr>
          <w:rFonts w:ascii="Times New Roman" w:eastAsia="Times New Roman" w:hAnsi="Times New Roman" w:cs="Times New Roman"/>
          <w:i/>
          <w:iCs/>
          <w:sz w:val="24"/>
          <w:szCs w:val="24"/>
        </w:rPr>
        <w:t xml:space="preserve"> </w:t>
      </w:r>
      <w:r w:rsidRPr="00867BCF">
        <w:rPr>
          <w:rFonts w:ascii="Times New Roman" w:eastAsia="Times New Roman" w:hAnsi="Times New Roman" w:cs="Times New Roman"/>
          <w:sz w:val="24"/>
          <w:szCs w:val="24"/>
        </w:rPr>
        <w:t xml:space="preserve">(sk. 7.attēlu). Šobrīd uzņēmumu vidējais pamatkapitāls zem 2 000 </w:t>
      </w:r>
      <w:proofErr w:type="spellStart"/>
      <w:r w:rsidRPr="00867BCF">
        <w:rPr>
          <w:rFonts w:ascii="Times New Roman" w:eastAsia="Times New Roman" w:hAnsi="Times New Roman" w:cs="Times New Roman"/>
          <w:i/>
          <w:iCs/>
          <w:sz w:val="24"/>
          <w:szCs w:val="24"/>
        </w:rPr>
        <w:t>euro</w:t>
      </w:r>
      <w:proofErr w:type="spellEnd"/>
      <w:r w:rsidRPr="00867BCF">
        <w:rPr>
          <w:rFonts w:ascii="Times New Roman" w:eastAsia="Times New Roman" w:hAnsi="Times New Roman" w:cs="Times New Roman"/>
          <w:i/>
          <w:iCs/>
          <w:sz w:val="24"/>
          <w:szCs w:val="24"/>
        </w:rPr>
        <w:t xml:space="preserve"> </w:t>
      </w:r>
      <w:r w:rsidRPr="00867BCF">
        <w:rPr>
          <w:rFonts w:ascii="Times New Roman" w:eastAsia="Times New Roman" w:hAnsi="Times New Roman" w:cs="Times New Roman"/>
          <w:sz w:val="24"/>
          <w:szCs w:val="24"/>
        </w:rPr>
        <w:t xml:space="preserve">sliekšņa ir vairākos Latvijas novados – Alsungas, Baltinavas, Ciblas, Neretas, </w:t>
      </w:r>
      <w:r w:rsidRPr="00867BCF">
        <w:rPr>
          <w:rFonts w:ascii="Times New Roman" w:eastAsia="Times New Roman" w:hAnsi="Times New Roman" w:cs="Times New Roman"/>
          <w:sz w:val="24"/>
          <w:szCs w:val="24"/>
        </w:rPr>
        <w:lastRenderedPageBreak/>
        <w:t xml:space="preserve">Riebiņu, Rugāju un Vārkavas novados. Lielākajā daļā Latvijas novadu vidējais uzņēmumu pamatkapitāls ir līdz 20 000 </w:t>
      </w:r>
      <w:proofErr w:type="spellStart"/>
      <w:r w:rsidRPr="00867BCF">
        <w:rPr>
          <w:rFonts w:ascii="Times New Roman" w:eastAsia="Times New Roman" w:hAnsi="Times New Roman" w:cs="Times New Roman"/>
          <w:i/>
          <w:iCs/>
          <w:sz w:val="24"/>
          <w:szCs w:val="24"/>
        </w:rPr>
        <w:t>euro</w:t>
      </w:r>
      <w:proofErr w:type="spellEnd"/>
      <w:r w:rsidRPr="00867BCF">
        <w:rPr>
          <w:rFonts w:ascii="Times New Roman" w:eastAsia="Times New Roman" w:hAnsi="Times New Roman" w:cs="Times New Roman"/>
          <w:sz w:val="24"/>
          <w:szCs w:val="24"/>
        </w:rPr>
        <w:t xml:space="preserve">. Visaugstākais uzņēmumu reģistrētā pamatkapitāla vidējais apjoms (pārsniedzot 100 000 </w:t>
      </w:r>
      <w:proofErr w:type="spellStart"/>
      <w:r w:rsidRPr="00867BCF">
        <w:rPr>
          <w:rFonts w:ascii="Times New Roman" w:eastAsia="Times New Roman" w:hAnsi="Times New Roman" w:cs="Times New Roman"/>
          <w:i/>
          <w:iCs/>
          <w:sz w:val="24"/>
          <w:szCs w:val="24"/>
        </w:rPr>
        <w:t>euro</w:t>
      </w:r>
      <w:proofErr w:type="spellEnd"/>
      <w:r w:rsidRPr="00867BCF">
        <w:rPr>
          <w:rFonts w:ascii="Times New Roman" w:eastAsia="Times New Roman" w:hAnsi="Times New Roman" w:cs="Times New Roman"/>
          <w:i/>
          <w:iCs/>
          <w:sz w:val="24"/>
          <w:szCs w:val="24"/>
        </w:rPr>
        <w:t>)</w:t>
      </w:r>
      <w:r w:rsidRPr="00867BCF">
        <w:rPr>
          <w:rFonts w:ascii="Times New Roman" w:eastAsia="Times New Roman" w:hAnsi="Times New Roman" w:cs="Times New Roman"/>
          <w:sz w:val="24"/>
          <w:szCs w:val="24"/>
        </w:rPr>
        <w:t xml:space="preserve"> ir vērojams Ventspils pilsētā, Mārupes novadā, Rīgas </w:t>
      </w:r>
      <w:r w:rsidR="00362911" w:rsidRPr="00867BCF">
        <w:rPr>
          <w:rFonts w:ascii="Times New Roman" w:hAnsi="Times New Roman" w:cs="Times New Roman"/>
          <w:noProof/>
          <w:sz w:val="24"/>
          <w:szCs w:val="24"/>
          <w:lang w:eastAsia="lv-LV"/>
        </w:rPr>
        <w:drawing>
          <wp:anchor distT="0" distB="0" distL="114300" distR="114300" simplePos="0" relativeHeight="251658243" behindDoc="1" locked="0" layoutInCell="1" allowOverlap="1" wp14:anchorId="615CFF91" wp14:editId="20F6FE84">
            <wp:simplePos x="0" y="0"/>
            <wp:positionH relativeFrom="margin">
              <wp:align>left</wp:align>
            </wp:positionH>
            <wp:positionV relativeFrom="paragraph">
              <wp:posOffset>600075</wp:posOffset>
            </wp:positionV>
            <wp:extent cx="3686175" cy="2290445"/>
            <wp:effectExtent l="0" t="0" r="9525" b="0"/>
            <wp:wrapTight wrapText="bothSides">
              <wp:wrapPolygon edited="0">
                <wp:start x="0" y="0"/>
                <wp:lineTo x="0" y="21378"/>
                <wp:lineTo x="21544" y="2137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75" cy="229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BCF">
        <w:rPr>
          <w:rFonts w:ascii="Times New Roman" w:eastAsia="Times New Roman" w:hAnsi="Times New Roman" w:cs="Times New Roman"/>
          <w:sz w:val="24"/>
          <w:szCs w:val="24"/>
        </w:rPr>
        <w:t xml:space="preserve">pilsētā, Garkalnes novadā un Ķekavas novadā. </w:t>
      </w:r>
    </w:p>
    <w:tbl>
      <w:tblPr>
        <w:tblpPr w:leftFromText="180" w:rightFromText="180" w:vertAnchor="text" w:horzAnchor="margin" w:tblpXSpec="right" w:tblpY="470"/>
        <w:tblW w:w="2932" w:type="dxa"/>
        <w:tblLook w:val="04A0" w:firstRow="1" w:lastRow="0" w:firstColumn="1" w:lastColumn="0" w:noHBand="0" w:noVBand="1"/>
      </w:tblPr>
      <w:tblGrid>
        <w:gridCol w:w="960"/>
        <w:gridCol w:w="1972"/>
      </w:tblGrid>
      <w:tr w:rsidR="00C123FE" w:rsidRPr="00867BCF" w14:paraId="1EE72A2C" w14:textId="77777777" w:rsidTr="00C123FE">
        <w:trPr>
          <w:trHeight w:val="300"/>
        </w:trPr>
        <w:tc>
          <w:tcPr>
            <w:tcW w:w="293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474321" w14:textId="77777777" w:rsidR="00C123FE" w:rsidRPr="00867BCF" w:rsidRDefault="00C123FE" w:rsidP="00C123FE">
            <w:pPr>
              <w:spacing w:after="60"/>
              <w:jc w:val="center"/>
              <w:rPr>
                <w:rFonts w:ascii="Times New Roman" w:eastAsia="Times New Roman" w:hAnsi="Times New Roman" w:cs="Times New Roman"/>
                <w:b/>
                <w:bCs/>
                <w:color w:val="000000"/>
                <w:sz w:val="24"/>
                <w:szCs w:val="24"/>
              </w:rPr>
            </w:pPr>
            <w:r w:rsidRPr="00867BCF">
              <w:rPr>
                <w:rFonts w:ascii="Times New Roman" w:eastAsia="Times New Roman" w:hAnsi="Times New Roman" w:cs="Times New Roman"/>
                <w:b/>
                <w:bCs/>
                <w:color w:val="000000"/>
                <w:sz w:val="24"/>
                <w:szCs w:val="24"/>
              </w:rPr>
              <w:t>Apzīmējumi</w:t>
            </w:r>
          </w:p>
        </w:tc>
      </w:tr>
      <w:tr w:rsidR="00C123FE" w:rsidRPr="00867BCF" w14:paraId="6BD93D9C" w14:textId="77777777" w:rsidTr="00C123FE">
        <w:trPr>
          <w:trHeight w:val="300"/>
        </w:trPr>
        <w:tc>
          <w:tcPr>
            <w:tcW w:w="960" w:type="dxa"/>
            <w:tcBorders>
              <w:top w:val="nil"/>
              <w:left w:val="single" w:sz="4" w:space="0" w:color="auto"/>
              <w:bottom w:val="single" w:sz="4" w:space="0" w:color="auto"/>
              <w:right w:val="single" w:sz="4" w:space="0" w:color="auto"/>
            </w:tcBorders>
            <w:shd w:val="clear" w:color="000000" w:fill="FFFFCC"/>
            <w:vAlign w:val="bottom"/>
            <w:hideMark/>
          </w:tcPr>
          <w:p w14:paraId="2549A404" w14:textId="77777777" w:rsidR="00C123FE" w:rsidRPr="00867BCF" w:rsidRDefault="00C123FE" w:rsidP="00C123FE">
            <w:pPr>
              <w:spacing w:after="60"/>
              <w:jc w:val="center"/>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 </w:t>
            </w:r>
          </w:p>
        </w:tc>
        <w:tc>
          <w:tcPr>
            <w:tcW w:w="1972" w:type="dxa"/>
            <w:tcBorders>
              <w:top w:val="nil"/>
              <w:left w:val="nil"/>
              <w:bottom w:val="single" w:sz="4" w:space="0" w:color="auto"/>
              <w:right w:val="single" w:sz="4" w:space="0" w:color="auto"/>
            </w:tcBorders>
            <w:shd w:val="clear" w:color="auto" w:fill="auto"/>
            <w:noWrap/>
            <w:vAlign w:val="bottom"/>
            <w:hideMark/>
          </w:tcPr>
          <w:p w14:paraId="1525F29D" w14:textId="77777777" w:rsidR="00C123FE" w:rsidRPr="00867BCF" w:rsidRDefault="00C123FE" w:rsidP="00C123FE">
            <w:pPr>
              <w:spacing w:after="60"/>
              <w:rPr>
                <w:rFonts w:ascii="Times New Roman" w:eastAsia="Times New Roman" w:hAnsi="Times New Roman" w:cs="Times New Roman"/>
                <w:color w:val="000000"/>
                <w:sz w:val="24"/>
                <w:szCs w:val="24"/>
              </w:rPr>
            </w:pPr>
            <w:r w:rsidRPr="00867BCF">
              <w:rPr>
                <w:rFonts w:ascii="Times New Roman" w:eastAsia="Times New Roman" w:hAnsi="Times New Roman" w:cs="Times New Roman"/>
                <w:color w:val="000000"/>
                <w:sz w:val="24"/>
                <w:szCs w:val="24"/>
              </w:rPr>
              <w:t>182 līdz 9 617</w:t>
            </w:r>
          </w:p>
        </w:tc>
      </w:tr>
      <w:tr w:rsidR="00C123FE" w:rsidRPr="00867BCF" w14:paraId="22CA1DF5" w14:textId="77777777" w:rsidTr="00C123FE">
        <w:trPr>
          <w:trHeight w:val="300"/>
        </w:trPr>
        <w:tc>
          <w:tcPr>
            <w:tcW w:w="960" w:type="dxa"/>
            <w:tcBorders>
              <w:top w:val="nil"/>
              <w:left w:val="single" w:sz="4" w:space="0" w:color="auto"/>
              <w:bottom w:val="single" w:sz="4" w:space="0" w:color="auto"/>
              <w:right w:val="single" w:sz="4" w:space="0" w:color="auto"/>
            </w:tcBorders>
            <w:shd w:val="clear" w:color="000000" w:fill="C2E699"/>
            <w:vAlign w:val="bottom"/>
            <w:hideMark/>
          </w:tcPr>
          <w:p w14:paraId="081D7BF1" w14:textId="77777777" w:rsidR="00C123FE" w:rsidRPr="00867BCF" w:rsidRDefault="00C123FE" w:rsidP="00C123FE">
            <w:pPr>
              <w:spacing w:after="60"/>
              <w:jc w:val="center"/>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 </w:t>
            </w:r>
          </w:p>
        </w:tc>
        <w:tc>
          <w:tcPr>
            <w:tcW w:w="1972" w:type="dxa"/>
            <w:tcBorders>
              <w:top w:val="nil"/>
              <w:left w:val="nil"/>
              <w:bottom w:val="single" w:sz="4" w:space="0" w:color="auto"/>
              <w:right w:val="single" w:sz="4" w:space="0" w:color="auto"/>
            </w:tcBorders>
            <w:shd w:val="clear" w:color="auto" w:fill="auto"/>
            <w:noWrap/>
            <w:vAlign w:val="bottom"/>
            <w:hideMark/>
          </w:tcPr>
          <w:p w14:paraId="6E28802D" w14:textId="77777777" w:rsidR="00C123FE" w:rsidRPr="00867BCF" w:rsidRDefault="00C123FE" w:rsidP="00C123FE">
            <w:pPr>
              <w:spacing w:after="60"/>
              <w:rPr>
                <w:rFonts w:ascii="Times New Roman" w:eastAsia="Times New Roman" w:hAnsi="Times New Roman" w:cs="Times New Roman"/>
                <w:color w:val="000000"/>
                <w:sz w:val="24"/>
                <w:szCs w:val="24"/>
              </w:rPr>
            </w:pPr>
            <w:r w:rsidRPr="00867BCF">
              <w:rPr>
                <w:rFonts w:ascii="Times New Roman" w:eastAsia="Times New Roman" w:hAnsi="Times New Roman" w:cs="Times New Roman"/>
                <w:color w:val="000000"/>
                <w:sz w:val="24"/>
                <w:szCs w:val="24"/>
              </w:rPr>
              <w:t>9 617 līdz 12 428</w:t>
            </w:r>
          </w:p>
        </w:tc>
      </w:tr>
      <w:tr w:rsidR="00C123FE" w:rsidRPr="00867BCF" w14:paraId="14895427" w14:textId="77777777" w:rsidTr="00C123FE">
        <w:trPr>
          <w:trHeight w:val="300"/>
        </w:trPr>
        <w:tc>
          <w:tcPr>
            <w:tcW w:w="960" w:type="dxa"/>
            <w:tcBorders>
              <w:top w:val="nil"/>
              <w:left w:val="single" w:sz="4" w:space="0" w:color="auto"/>
              <w:bottom w:val="single" w:sz="4" w:space="0" w:color="auto"/>
              <w:right w:val="single" w:sz="4" w:space="0" w:color="auto"/>
            </w:tcBorders>
            <w:shd w:val="clear" w:color="000000" w:fill="78C679"/>
            <w:vAlign w:val="bottom"/>
            <w:hideMark/>
          </w:tcPr>
          <w:p w14:paraId="3EEC1127" w14:textId="77777777" w:rsidR="00C123FE" w:rsidRPr="00867BCF" w:rsidRDefault="00C123FE" w:rsidP="00C123FE">
            <w:pPr>
              <w:spacing w:after="60"/>
              <w:jc w:val="center"/>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 </w:t>
            </w:r>
          </w:p>
        </w:tc>
        <w:tc>
          <w:tcPr>
            <w:tcW w:w="1972" w:type="dxa"/>
            <w:tcBorders>
              <w:top w:val="nil"/>
              <w:left w:val="nil"/>
              <w:bottom w:val="single" w:sz="4" w:space="0" w:color="auto"/>
              <w:right w:val="single" w:sz="4" w:space="0" w:color="auto"/>
            </w:tcBorders>
            <w:shd w:val="clear" w:color="auto" w:fill="auto"/>
            <w:noWrap/>
            <w:vAlign w:val="bottom"/>
            <w:hideMark/>
          </w:tcPr>
          <w:p w14:paraId="015AD426" w14:textId="77777777" w:rsidR="00C123FE" w:rsidRPr="00867BCF" w:rsidRDefault="00C123FE" w:rsidP="00C123FE">
            <w:pPr>
              <w:spacing w:after="60"/>
              <w:rPr>
                <w:rFonts w:ascii="Times New Roman" w:eastAsia="Times New Roman" w:hAnsi="Times New Roman" w:cs="Times New Roman"/>
                <w:color w:val="000000"/>
                <w:sz w:val="24"/>
                <w:szCs w:val="24"/>
              </w:rPr>
            </w:pPr>
            <w:r w:rsidRPr="00867BCF">
              <w:rPr>
                <w:rFonts w:ascii="Times New Roman" w:eastAsia="Times New Roman" w:hAnsi="Times New Roman" w:cs="Times New Roman"/>
                <w:color w:val="000000"/>
                <w:sz w:val="24"/>
                <w:szCs w:val="24"/>
              </w:rPr>
              <w:t>12 428 līdz 20 874</w:t>
            </w:r>
          </w:p>
        </w:tc>
      </w:tr>
      <w:tr w:rsidR="00C123FE" w:rsidRPr="00867BCF" w14:paraId="1D1D6D17" w14:textId="77777777" w:rsidTr="00C123FE">
        <w:trPr>
          <w:trHeight w:val="300"/>
        </w:trPr>
        <w:tc>
          <w:tcPr>
            <w:tcW w:w="960" w:type="dxa"/>
            <w:tcBorders>
              <w:top w:val="nil"/>
              <w:left w:val="single" w:sz="4" w:space="0" w:color="auto"/>
              <w:bottom w:val="single" w:sz="4" w:space="0" w:color="auto"/>
              <w:right w:val="single" w:sz="4" w:space="0" w:color="auto"/>
            </w:tcBorders>
            <w:shd w:val="clear" w:color="000000" w:fill="31A354"/>
            <w:noWrap/>
            <w:vAlign w:val="bottom"/>
            <w:hideMark/>
          </w:tcPr>
          <w:p w14:paraId="736E254C" w14:textId="77777777" w:rsidR="00C123FE" w:rsidRPr="00867BCF" w:rsidRDefault="00C123FE" w:rsidP="00C123FE">
            <w:pPr>
              <w:spacing w:after="60"/>
              <w:rPr>
                <w:rFonts w:ascii="Times New Roman" w:eastAsia="Times New Roman" w:hAnsi="Times New Roman" w:cs="Times New Roman"/>
                <w:color w:val="000000"/>
                <w:sz w:val="24"/>
                <w:szCs w:val="24"/>
              </w:rPr>
            </w:pPr>
            <w:r w:rsidRPr="00867BCF">
              <w:rPr>
                <w:rFonts w:ascii="Times New Roman" w:eastAsia="Times New Roman" w:hAnsi="Times New Roman" w:cs="Times New Roman"/>
                <w:color w:val="000000"/>
                <w:sz w:val="24"/>
                <w:szCs w:val="24"/>
              </w:rPr>
              <w:t> </w:t>
            </w:r>
          </w:p>
        </w:tc>
        <w:tc>
          <w:tcPr>
            <w:tcW w:w="1972" w:type="dxa"/>
            <w:tcBorders>
              <w:top w:val="nil"/>
              <w:left w:val="nil"/>
              <w:bottom w:val="single" w:sz="4" w:space="0" w:color="auto"/>
              <w:right w:val="single" w:sz="4" w:space="0" w:color="auto"/>
            </w:tcBorders>
            <w:shd w:val="clear" w:color="auto" w:fill="auto"/>
            <w:noWrap/>
            <w:vAlign w:val="bottom"/>
            <w:hideMark/>
          </w:tcPr>
          <w:p w14:paraId="6399C4BD" w14:textId="77777777" w:rsidR="00C123FE" w:rsidRPr="00867BCF" w:rsidRDefault="00C123FE" w:rsidP="00C123FE">
            <w:pPr>
              <w:spacing w:after="60"/>
              <w:rPr>
                <w:rFonts w:ascii="Times New Roman" w:eastAsia="Times New Roman" w:hAnsi="Times New Roman" w:cs="Times New Roman"/>
                <w:color w:val="000000"/>
                <w:sz w:val="24"/>
                <w:szCs w:val="24"/>
              </w:rPr>
            </w:pPr>
            <w:r w:rsidRPr="00867BCF">
              <w:rPr>
                <w:rFonts w:ascii="Times New Roman" w:eastAsia="Times New Roman" w:hAnsi="Times New Roman" w:cs="Times New Roman"/>
                <w:color w:val="000000"/>
                <w:sz w:val="24"/>
                <w:szCs w:val="24"/>
              </w:rPr>
              <w:t>20 874 līdz 36 543</w:t>
            </w:r>
          </w:p>
        </w:tc>
      </w:tr>
      <w:tr w:rsidR="00C123FE" w:rsidRPr="00867BCF" w14:paraId="0EB8C02B" w14:textId="77777777" w:rsidTr="00C123FE">
        <w:trPr>
          <w:trHeight w:val="300"/>
        </w:trPr>
        <w:tc>
          <w:tcPr>
            <w:tcW w:w="960" w:type="dxa"/>
            <w:tcBorders>
              <w:top w:val="nil"/>
              <w:left w:val="single" w:sz="4" w:space="0" w:color="auto"/>
              <w:bottom w:val="single" w:sz="4" w:space="0" w:color="auto"/>
              <w:right w:val="single" w:sz="4" w:space="0" w:color="auto"/>
            </w:tcBorders>
            <w:shd w:val="clear" w:color="000000" w:fill="006837"/>
            <w:noWrap/>
            <w:vAlign w:val="bottom"/>
            <w:hideMark/>
          </w:tcPr>
          <w:p w14:paraId="0CEECA73" w14:textId="77777777" w:rsidR="00C123FE" w:rsidRPr="00867BCF" w:rsidRDefault="00C123FE" w:rsidP="00C123FE">
            <w:pPr>
              <w:spacing w:after="60"/>
              <w:rPr>
                <w:rFonts w:ascii="Times New Roman" w:eastAsia="Times New Roman" w:hAnsi="Times New Roman" w:cs="Times New Roman"/>
                <w:color w:val="000000"/>
                <w:sz w:val="24"/>
                <w:szCs w:val="24"/>
              </w:rPr>
            </w:pPr>
            <w:r w:rsidRPr="00867BCF">
              <w:rPr>
                <w:rFonts w:ascii="Times New Roman" w:eastAsia="Times New Roman" w:hAnsi="Times New Roman" w:cs="Times New Roman"/>
                <w:color w:val="000000"/>
                <w:sz w:val="24"/>
                <w:szCs w:val="24"/>
              </w:rPr>
              <w:t> </w:t>
            </w:r>
          </w:p>
        </w:tc>
        <w:tc>
          <w:tcPr>
            <w:tcW w:w="1972" w:type="dxa"/>
            <w:tcBorders>
              <w:top w:val="nil"/>
              <w:left w:val="nil"/>
              <w:bottom w:val="single" w:sz="4" w:space="0" w:color="auto"/>
              <w:right w:val="single" w:sz="4" w:space="0" w:color="auto"/>
            </w:tcBorders>
            <w:shd w:val="clear" w:color="auto" w:fill="auto"/>
            <w:noWrap/>
            <w:vAlign w:val="bottom"/>
            <w:hideMark/>
          </w:tcPr>
          <w:p w14:paraId="3FD94F01" w14:textId="77777777" w:rsidR="00C123FE" w:rsidRPr="00867BCF" w:rsidRDefault="00C123FE" w:rsidP="00C123FE">
            <w:pPr>
              <w:spacing w:after="60"/>
              <w:rPr>
                <w:rFonts w:ascii="Times New Roman" w:eastAsia="Times New Roman" w:hAnsi="Times New Roman" w:cs="Times New Roman"/>
                <w:color w:val="000000"/>
                <w:sz w:val="24"/>
                <w:szCs w:val="24"/>
              </w:rPr>
            </w:pPr>
            <w:r w:rsidRPr="00867BCF">
              <w:rPr>
                <w:rFonts w:ascii="Times New Roman" w:eastAsia="Times New Roman" w:hAnsi="Times New Roman" w:cs="Times New Roman"/>
                <w:color w:val="000000"/>
                <w:sz w:val="24"/>
                <w:szCs w:val="24"/>
              </w:rPr>
              <w:t>36 543 un vairāk</w:t>
            </w:r>
          </w:p>
        </w:tc>
      </w:tr>
    </w:tbl>
    <w:p w14:paraId="69120087" w14:textId="0B25A707" w:rsidR="0057386D" w:rsidRPr="00867BCF" w:rsidRDefault="0057386D" w:rsidP="00C123FE">
      <w:pPr>
        <w:spacing w:after="120"/>
        <w:rPr>
          <w:rFonts w:ascii="Times New Roman" w:hAnsi="Times New Roman"/>
          <w:sz w:val="24"/>
          <w:szCs w:val="24"/>
        </w:rPr>
      </w:pPr>
    </w:p>
    <w:p w14:paraId="780CCB1D" w14:textId="77777777" w:rsidR="00C123FE" w:rsidRPr="00867BCF" w:rsidRDefault="00C123FE" w:rsidP="00C123FE">
      <w:pPr>
        <w:spacing w:after="60"/>
        <w:ind w:left="720"/>
        <w:rPr>
          <w:rFonts w:ascii="Times New Roman" w:hAnsi="Times New Roman" w:cs="Times New Roman"/>
          <w:i/>
          <w:sz w:val="24"/>
          <w:szCs w:val="24"/>
        </w:rPr>
      </w:pPr>
    </w:p>
    <w:p w14:paraId="1DD9132B" w14:textId="77777777" w:rsidR="00C123FE" w:rsidRPr="00867BCF" w:rsidRDefault="00C123FE" w:rsidP="00C123FE">
      <w:pPr>
        <w:spacing w:after="60"/>
        <w:ind w:left="720"/>
        <w:rPr>
          <w:rFonts w:ascii="Times New Roman" w:hAnsi="Times New Roman" w:cs="Times New Roman"/>
          <w:i/>
          <w:sz w:val="24"/>
          <w:szCs w:val="24"/>
        </w:rPr>
      </w:pPr>
    </w:p>
    <w:p w14:paraId="7FC6731E" w14:textId="15D34815" w:rsidR="0057386D" w:rsidRPr="00867BCF" w:rsidRDefault="00402CE5" w:rsidP="00652477">
      <w:pPr>
        <w:spacing w:after="60"/>
        <w:jc w:val="center"/>
        <w:rPr>
          <w:rFonts w:ascii="Times New Roman" w:hAnsi="Times New Roman" w:cs="Times New Roman"/>
          <w:i/>
          <w:iCs/>
          <w:sz w:val="24"/>
          <w:szCs w:val="24"/>
        </w:rPr>
      </w:pPr>
      <w:r w:rsidRPr="00867BCF">
        <w:rPr>
          <w:rFonts w:ascii="Times New Roman" w:hAnsi="Times New Roman" w:cs="Times New Roman"/>
          <w:i/>
          <w:sz w:val="24"/>
          <w:szCs w:val="24"/>
        </w:rPr>
        <w:t>7</w:t>
      </w:r>
      <w:r w:rsidR="0057386D" w:rsidRPr="00867BCF">
        <w:rPr>
          <w:rFonts w:ascii="Times New Roman" w:hAnsi="Times New Roman" w:cs="Times New Roman"/>
          <w:i/>
          <w:sz w:val="24"/>
          <w:szCs w:val="24"/>
        </w:rPr>
        <w:t xml:space="preserve">.attēls. </w:t>
      </w:r>
      <w:r w:rsidR="0057386D" w:rsidRPr="00867BCF">
        <w:rPr>
          <w:rFonts w:ascii="Times New Roman" w:hAnsi="Times New Roman" w:cs="Times New Roman"/>
          <w:i/>
          <w:sz w:val="24"/>
          <w:szCs w:val="24"/>
          <w:shd w:val="clear" w:color="auto" w:fill="FFFFFF"/>
        </w:rPr>
        <w:t>Uzņēmumu reģistrētā pamatkapitāla vidējais apjoms (EUR) Latvijas pašvaldību griezumā</w:t>
      </w:r>
      <w:r w:rsidR="0057386D" w:rsidRPr="00867BCF">
        <w:rPr>
          <w:rFonts w:ascii="Times New Roman" w:hAnsi="Times New Roman" w:cs="Times New Roman"/>
          <w:i/>
          <w:sz w:val="24"/>
          <w:szCs w:val="24"/>
        </w:rPr>
        <w:t xml:space="preserve"> (Lursoft dati 2019.gada 18.janvārī) (</w:t>
      </w:r>
      <w:r w:rsidR="0057386D" w:rsidRPr="00867BCF">
        <w:rPr>
          <w:rFonts w:ascii="Times New Roman" w:hAnsi="Times New Roman" w:cs="Times New Roman"/>
          <w:i/>
          <w:iCs/>
          <w:sz w:val="24"/>
          <w:szCs w:val="24"/>
        </w:rPr>
        <w:t>VARAM veidots attēls)</w:t>
      </w:r>
    </w:p>
    <w:p w14:paraId="658109F2" w14:textId="77777777" w:rsidR="00362911" w:rsidRPr="00867BCF" w:rsidRDefault="00362911" w:rsidP="00652477">
      <w:pPr>
        <w:spacing w:after="60"/>
        <w:jc w:val="center"/>
        <w:rPr>
          <w:rFonts w:ascii="Times New Roman" w:eastAsia="Times New Roman" w:hAnsi="Times New Roman" w:cs="Times New Roman"/>
          <w:i/>
          <w:iCs/>
          <w:sz w:val="24"/>
          <w:szCs w:val="24"/>
        </w:rPr>
      </w:pPr>
    </w:p>
    <w:p w14:paraId="1D7A43CE" w14:textId="4D99A5CF" w:rsidR="5DE14337" w:rsidRPr="00867BCF" w:rsidRDefault="5DE14337" w:rsidP="00E723EE">
      <w:pPr>
        <w:spacing w:after="60"/>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 xml:space="preserve">Arī nekustamā īpašuma vērtība Latvijas reģionos ir atšķirīga, jo galvenais faktors, kas ietekmē īpašuma vērtību, ir tā atrašanās vieta – vai tas atrodas pieprasītā teritorijā vai attālā teritorijā. Nekustamā īpašuma vērtības līmenis ir atšķirīgs ne tikai reģionāli, bet arī salīdzinoši mazā teritoriālā amplitūdā – jau ārpus Rīgas pilsētas nekustamā īpašuma vērtība ir </w:t>
      </w:r>
      <w:r w:rsidR="0030416B" w:rsidRPr="00867BCF">
        <w:rPr>
          <w:rFonts w:ascii="Times New Roman" w:eastAsia="Times New Roman" w:hAnsi="Times New Roman" w:cs="Times New Roman"/>
          <w:sz w:val="24"/>
          <w:szCs w:val="24"/>
        </w:rPr>
        <w:t xml:space="preserve">ievērojami </w:t>
      </w:r>
      <w:r w:rsidRPr="00867BCF">
        <w:rPr>
          <w:rFonts w:ascii="Times New Roman" w:eastAsia="Times New Roman" w:hAnsi="Times New Roman" w:cs="Times New Roman"/>
          <w:sz w:val="24"/>
          <w:szCs w:val="24"/>
        </w:rPr>
        <w:t xml:space="preserve">mazāka nekā Rīgas pilsētā (sk. 8.attēlu). </w:t>
      </w:r>
      <w:r w:rsidR="00417688" w:rsidRPr="00867BCF">
        <w:rPr>
          <w:rFonts w:ascii="Times New Roman" w:eastAsia="Times New Roman" w:hAnsi="Times New Roman" w:cs="Times New Roman"/>
          <w:sz w:val="24"/>
          <w:szCs w:val="24"/>
        </w:rPr>
        <w:t xml:space="preserve">Piemēram, </w:t>
      </w:r>
      <w:r w:rsidR="00417688" w:rsidRPr="00867BCF">
        <w:rPr>
          <w:rFonts w:ascii="Times New Roman" w:hAnsi="Times New Roman" w:cs="Times New Roman"/>
          <w:sz w:val="24"/>
          <w:szCs w:val="24"/>
        </w:rPr>
        <w:t>ražošanas ēkas bāzes vērtība uz vienu m</w:t>
      </w:r>
      <w:r w:rsidR="00417688" w:rsidRPr="00867BCF">
        <w:rPr>
          <w:rFonts w:ascii="Times New Roman" w:hAnsi="Times New Roman" w:cs="Times New Roman"/>
          <w:sz w:val="24"/>
          <w:szCs w:val="24"/>
          <w:vertAlign w:val="superscript"/>
        </w:rPr>
        <w:t>2</w:t>
      </w:r>
      <w:r w:rsidR="00417688" w:rsidRPr="00867BCF">
        <w:rPr>
          <w:rFonts w:ascii="Times New Roman" w:hAnsi="Times New Roman" w:cs="Times New Roman"/>
          <w:sz w:val="24"/>
          <w:szCs w:val="24"/>
        </w:rPr>
        <w:t xml:space="preserve"> var atšķirties līdz pat 8 reizēm. </w:t>
      </w:r>
      <w:r w:rsidR="00C73FF1" w:rsidRPr="00867BCF">
        <w:rPr>
          <w:rFonts w:ascii="Times New Roman" w:eastAsia="Times New Roman" w:hAnsi="Times New Roman" w:cs="Times New Roman"/>
          <w:sz w:val="24"/>
          <w:szCs w:val="24"/>
        </w:rPr>
        <w:t>Saskaņā ar Valsts zemes dienesta informāciju nekustamā īpašuma kadastrālo jeb masveida tirgus vērtību papildus novietojumam būtiski ietekmē arī nekustamā īpašuma izmantošanas veids, būvju fiziskais stāvoklis, vecums, labiekārtojumi, kā arī apgrūtinājumi, ja tādi ir, un īpašuma lielums</w:t>
      </w:r>
      <w:r w:rsidRPr="00867BCF">
        <w:rPr>
          <w:rFonts w:ascii="Times New Roman" w:eastAsia="Times New Roman" w:hAnsi="Times New Roman" w:cs="Times New Roman"/>
          <w:sz w:val="24"/>
          <w:szCs w:val="24"/>
        </w:rPr>
        <w:t>.</w:t>
      </w:r>
      <w:r w:rsidR="00433044" w:rsidRPr="00867BCF">
        <w:rPr>
          <w:noProof/>
          <w:lang w:eastAsia="lv-LV"/>
        </w:rPr>
        <w:drawing>
          <wp:inline distT="0" distB="0" distL="0" distR="0" wp14:anchorId="6AC265F3" wp14:editId="6F574ABE">
            <wp:extent cx="5245322"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3040" cy="3329702"/>
                    </a:xfrm>
                    <a:prstGeom prst="rect">
                      <a:avLst/>
                    </a:prstGeom>
                  </pic:spPr>
                </pic:pic>
              </a:graphicData>
            </a:graphic>
          </wp:inline>
        </w:drawing>
      </w:r>
    </w:p>
    <w:p w14:paraId="2CE6C394" w14:textId="65150B8B" w:rsidR="5DE14337" w:rsidRPr="00867BCF" w:rsidRDefault="00402CE5" w:rsidP="00652477">
      <w:pPr>
        <w:spacing w:after="60"/>
        <w:jc w:val="center"/>
        <w:rPr>
          <w:rFonts w:ascii="Times New Roman" w:eastAsia="Times New Roman" w:hAnsi="Times New Roman" w:cs="Times New Roman"/>
          <w:i/>
          <w:sz w:val="24"/>
          <w:szCs w:val="24"/>
        </w:rPr>
      </w:pPr>
      <w:r w:rsidRPr="00867BCF">
        <w:rPr>
          <w:rFonts w:ascii="Times New Roman" w:eastAsia="Times New Roman" w:hAnsi="Times New Roman" w:cs="Times New Roman"/>
          <w:i/>
          <w:sz w:val="24"/>
          <w:szCs w:val="24"/>
        </w:rPr>
        <w:t>8</w:t>
      </w:r>
      <w:r w:rsidR="5DE14337" w:rsidRPr="00867BCF">
        <w:rPr>
          <w:rFonts w:ascii="Times New Roman" w:eastAsia="Times New Roman" w:hAnsi="Times New Roman" w:cs="Times New Roman"/>
          <w:i/>
          <w:sz w:val="24"/>
          <w:szCs w:val="24"/>
        </w:rPr>
        <w:t>.attēls. Ražošanas ēku bāzes vērtību valsts pārskata karte (Valsts zemes dienesta sagatavotais “Pārskats par kadastrālo vērtību bāzes izstrādi 2016.gadam”)</w:t>
      </w:r>
    </w:p>
    <w:p w14:paraId="2148C921" w14:textId="6D16F043" w:rsidR="00F76024" w:rsidRPr="00867BCF" w:rsidRDefault="5DE14337" w:rsidP="00F76024">
      <w:pPr>
        <w:spacing w:after="120"/>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lastRenderedPageBreak/>
        <w:t>Abi iepriekš minētie apstākļi (uzņēmumu pamatkapitāla un nekustamā īpašuma vērtības atšķirības reģionos) uzņēmējiem var radīt grūtības savas uzņēmējdarbības attīstībā vai pat uzsākšanā. Proti, no Rīgas attālākajās vietās uzņēmējiem var būt ierobežotas iespējas saņemt aizdevumu, tādējādi ir ierobežotas iespējas celt produktivitāti. Kredītiestādes nereti atsakās kreditēt saimnieciskās darbības uzsācējus, jo tie ir augsta darījuma riska aizdevumi</w:t>
      </w:r>
      <w:r w:rsidR="00F76024" w:rsidRPr="00867BCF">
        <w:rPr>
          <w:rFonts w:ascii="Times New Roman" w:eastAsia="Times New Roman" w:hAnsi="Times New Roman" w:cs="Times New Roman"/>
          <w:sz w:val="24"/>
          <w:szCs w:val="24"/>
        </w:rPr>
        <w:t xml:space="preserve">, </w:t>
      </w:r>
      <w:r w:rsidR="00F76024" w:rsidRPr="00867BCF">
        <w:rPr>
          <w:rFonts w:ascii="Times New Roman" w:eastAsia="Times New Roman" w:hAnsi="Times New Roman" w:cs="Times New Roman"/>
          <w:bCs/>
          <w:color w:val="000000"/>
          <w:sz w:val="24"/>
          <w:szCs w:val="24"/>
        </w:rPr>
        <w:t xml:space="preserve">galvenokārt nepietiekamas </w:t>
      </w:r>
      <w:proofErr w:type="spellStart"/>
      <w:r w:rsidR="00F76024" w:rsidRPr="00867BCF">
        <w:rPr>
          <w:rFonts w:ascii="Times New Roman" w:eastAsia="Times New Roman" w:hAnsi="Times New Roman" w:cs="Times New Roman"/>
          <w:bCs/>
          <w:color w:val="000000"/>
          <w:sz w:val="24"/>
          <w:szCs w:val="24"/>
        </w:rPr>
        <w:t>kredītvēstures</w:t>
      </w:r>
      <w:proofErr w:type="spellEnd"/>
      <w:r w:rsidR="00F76024" w:rsidRPr="00867BCF">
        <w:rPr>
          <w:rFonts w:ascii="Times New Roman" w:eastAsia="Times New Roman" w:hAnsi="Times New Roman" w:cs="Times New Roman"/>
          <w:bCs/>
          <w:color w:val="000000"/>
          <w:sz w:val="24"/>
          <w:szCs w:val="24"/>
        </w:rPr>
        <w:t xml:space="preserve"> dēļ, kā arī tiem ir augstas administratīvās izmaksas pret aizdevuma apmēru.</w:t>
      </w:r>
      <w:r w:rsidR="00F76024" w:rsidRPr="00867BCF">
        <w:rPr>
          <w:rFonts w:ascii="Times New Roman" w:eastAsia="Times New Roman" w:hAnsi="Times New Roman" w:cs="Times New Roman"/>
          <w:bCs/>
          <w:color w:val="000000"/>
          <w:sz w:val="24"/>
          <w:szCs w:val="24"/>
          <w:vertAlign w:val="superscript"/>
        </w:rPr>
        <w:footnoteReference w:id="22"/>
      </w:r>
    </w:p>
    <w:p w14:paraId="6E5A5062" w14:textId="359B0BCD" w:rsidR="00510BE4" w:rsidRPr="00867BCF" w:rsidRDefault="008073E1" w:rsidP="00510BE4">
      <w:pPr>
        <w:spacing w:after="120"/>
        <w:rPr>
          <w:rFonts w:ascii="Times New Roman" w:eastAsia="Times New Roman" w:hAnsi="Times New Roman" w:cs="Times New Roman"/>
          <w:bCs/>
          <w:color w:val="000000"/>
          <w:sz w:val="24"/>
          <w:szCs w:val="24"/>
        </w:rPr>
      </w:pPr>
      <w:r w:rsidRPr="00867BCF">
        <w:rPr>
          <w:rFonts w:ascii="Times New Roman" w:eastAsia="Times New Roman" w:hAnsi="Times New Roman" w:cs="Times New Roman"/>
          <w:bCs/>
          <w:color w:val="000000"/>
          <w:sz w:val="24"/>
          <w:szCs w:val="24"/>
        </w:rPr>
        <w:t>Tomēr s</w:t>
      </w:r>
      <w:r w:rsidR="00510BE4" w:rsidRPr="00867BCF">
        <w:rPr>
          <w:rFonts w:ascii="Times New Roman" w:eastAsia="Times New Roman" w:hAnsi="Times New Roman" w:cs="Times New Roman"/>
          <w:bCs/>
          <w:color w:val="000000"/>
          <w:sz w:val="24"/>
          <w:szCs w:val="24"/>
        </w:rPr>
        <w:t xml:space="preserve">ituācija Latvijas pašvaldībās ir atšķirīga attiecībā uz komersantu spēju sniegt pietiekamu finansiālu nodrošinājumu aizņēmumam. </w:t>
      </w:r>
      <w:r w:rsidR="005E2C81" w:rsidRPr="00867BCF">
        <w:rPr>
          <w:rFonts w:ascii="Times New Roman" w:eastAsia="Times New Roman" w:hAnsi="Times New Roman" w:cs="Times New Roman"/>
          <w:bCs/>
          <w:color w:val="000000"/>
          <w:sz w:val="24"/>
          <w:szCs w:val="24"/>
        </w:rPr>
        <w:t>Līdz ar to n</w:t>
      </w:r>
      <w:r w:rsidR="00510BE4" w:rsidRPr="00867BCF">
        <w:rPr>
          <w:rFonts w:ascii="Times New Roman" w:eastAsia="Times New Roman" w:hAnsi="Times New Roman" w:cs="Times New Roman"/>
          <w:bCs/>
          <w:color w:val="000000"/>
          <w:sz w:val="24"/>
          <w:szCs w:val="24"/>
        </w:rPr>
        <w:t>epieciešams radīt instrumentu kā pašvaldības var atbalstīt vietējos uzņēmējus gadījumos, kad uzņēmuma darbībai (piemēram, paplašināšanai) uzņēmējam nav pietiekams resurss nodrošinājumam.</w:t>
      </w:r>
    </w:p>
    <w:p w14:paraId="0AAF6A2E" w14:textId="57C93F47" w:rsidR="5DE14337" w:rsidRPr="00867BCF" w:rsidRDefault="00510BE4" w:rsidP="002D50C6">
      <w:pPr>
        <w:spacing w:after="120"/>
        <w:rPr>
          <w:rFonts w:ascii="Times New Roman" w:eastAsia="Times New Roman" w:hAnsi="Times New Roman" w:cs="Times New Roman"/>
          <w:bCs/>
          <w:color w:val="000000"/>
          <w:sz w:val="24"/>
          <w:szCs w:val="24"/>
        </w:rPr>
      </w:pPr>
      <w:r w:rsidRPr="00867BCF">
        <w:rPr>
          <w:rFonts w:ascii="Times New Roman" w:eastAsia="Times New Roman" w:hAnsi="Times New Roman" w:cs="Times New Roman"/>
          <w:bCs/>
          <w:color w:val="000000"/>
          <w:sz w:val="24"/>
          <w:szCs w:val="24"/>
        </w:rPr>
        <w:t>Latvijas Bankas Kredītu reģistra (turpmāk – Kredītu reģistrs) dati</w:t>
      </w:r>
      <w:r w:rsidR="007A448A" w:rsidRPr="00867BCF">
        <w:rPr>
          <w:rStyle w:val="FootnoteReference"/>
          <w:rFonts w:ascii="Times New Roman" w:eastAsia="Times New Roman" w:hAnsi="Times New Roman" w:cs="Times New Roman"/>
          <w:bCs/>
          <w:color w:val="000000"/>
          <w:sz w:val="24"/>
          <w:szCs w:val="24"/>
        </w:rPr>
        <w:footnoteReference w:id="23"/>
      </w:r>
      <w:r w:rsidRPr="00867BCF">
        <w:rPr>
          <w:rFonts w:ascii="Times New Roman" w:eastAsia="Times New Roman" w:hAnsi="Times New Roman" w:cs="Times New Roman"/>
          <w:bCs/>
          <w:color w:val="000000"/>
          <w:sz w:val="24"/>
          <w:szCs w:val="24"/>
        </w:rPr>
        <w:t xml:space="preserve"> par komercbanku izsniegtajiem aizdevumiem komersantiem liecina (sk. 9.attēlu), ka laika periodā no 2016. līdz 2018. gadam lielākais izsniegtais aizdevumu apmērs kopumā ir bijis Rīgas statisti</w:t>
      </w:r>
      <w:r w:rsidR="00E723EE">
        <w:rPr>
          <w:rFonts w:ascii="Times New Roman" w:eastAsia="Times New Roman" w:hAnsi="Times New Roman" w:cs="Times New Roman"/>
          <w:bCs/>
          <w:color w:val="000000"/>
          <w:sz w:val="24"/>
          <w:szCs w:val="24"/>
        </w:rPr>
        <w:t>skajā</w:t>
      </w:r>
      <w:r w:rsidRPr="00867BCF">
        <w:rPr>
          <w:rFonts w:ascii="Times New Roman" w:eastAsia="Times New Roman" w:hAnsi="Times New Roman" w:cs="Times New Roman"/>
          <w:bCs/>
          <w:color w:val="000000"/>
          <w:sz w:val="24"/>
          <w:szCs w:val="24"/>
        </w:rPr>
        <w:t xml:space="preserve"> reģionā (2,93 </w:t>
      </w:r>
      <w:r w:rsidR="00C0469F" w:rsidRPr="00867BCF">
        <w:rPr>
          <w:rFonts w:ascii="Times New Roman" w:eastAsia="Times New Roman" w:hAnsi="Times New Roman" w:cs="Times New Roman"/>
          <w:bCs/>
          <w:color w:val="000000"/>
          <w:sz w:val="24"/>
          <w:szCs w:val="24"/>
        </w:rPr>
        <w:t>miljardi</w:t>
      </w:r>
      <w:r w:rsidRPr="00867BCF">
        <w:rPr>
          <w:rFonts w:ascii="Times New Roman" w:eastAsia="Times New Roman" w:hAnsi="Times New Roman" w:cs="Times New Roman"/>
          <w:bCs/>
          <w:color w:val="000000"/>
          <w:sz w:val="24"/>
          <w:szCs w:val="24"/>
        </w:rPr>
        <w:t xml:space="preserve">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 bet mazākais Vidzemes statisti</w:t>
      </w:r>
      <w:r w:rsidR="00E723EE">
        <w:rPr>
          <w:rFonts w:ascii="Times New Roman" w:eastAsia="Times New Roman" w:hAnsi="Times New Roman" w:cs="Times New Roman"/>
          <w:bCs/>
          <w:color w:val="000000"/>
          <w:sz w:val="24"/>
          <w:szCs w:val="24"/>
        </w:rPr>
        <w:t>skajā</w:t>
      </w:r>
      <w:r w:rsidRPr="00867BCF">
        <w:rPr>
          <w:rFonts w:ascii="Times New Roman" w:eastAsia="Times New Roman" w:hAnsi="Times New Roman" w:cs="Times New Roman"/>
          <w:bCs/>
          <w:color w:val="000000"/>
          <w:sz w:val="24"/>
          <w:szCs w:val="24"/>
        </w:rPr>
        <w:t xml:space="preserve"> reģionā (17 reizes mazāks nekā Rīgas kopējais</w:t>
      </w:r>
      <w:r w:rsidR="00E723EE">
        <w:rPr>
          <w:rFonts w:ascii="Times New Roman" w:eastAsia="Times New Roman" w:hAnsi="Times New Roman" w:cs="Times New Roman"/>
          <w:bCs/>
          <w:color w:val="000000"/>
          <w:sz w:val="24"/>
          <w:szCs w:val="24"/>
        </w:rPr>
        <w:t xml:space="preserve"> apjoms) un Latgales statistiskajā</w:t>
      </w:r>
      <w:r w:rsidRPr="00867BCF">
        <w:rPr>
          <w:rFonts w:ascii="Times New Roman" w:eastAsia="Times New Roman" w:hAnsi="Times New Roman" w:cs="Times New Roman"/>
          <w:bCs/>
          <w:color w:val="000000"/>
          <w:sz w:val="24"/>
          <w:szCs w:val="24"/>
        </w:rPr>
        <w:t xml:space="preserve"> reģionā (16 reizes mazāks nekā Rīgas kopējais apjoms un 5,6 reizes mazāks uz vienu nodarbināto).</w:t>
      </w:r>
    </w:p>
    <w:p w14:paraId="42143A3E" w14:textId="77777777" w:rsidR="00761B6C" w:rsidRPr="00867BCF" w:rsidRDefault="00761B6C" w:rsidP="00761B6C">
      <w:pPr>
        <w:spacing w:after="60"/>
        <w:rPr>
          <w:rFonts w:ascii="Times New Roman" w:eastAsia="Times New Roman" w:hAnsi="Times New Roman" w:cs="Times New Roman"/>
          <w:bCs/>
          <w:color w:val="000000"/>
          <w:sz w:val="24"/>
          <w:szCs w:val="24"/>
        </w:rPr>
      </w:pPr>
      <w:r w:rsidRPr="00867BCF">
        <w:rPr>
          <w:noProof/>
          <w:lang w:eastAsia="lv-LV"/>
        </w:rPr>
        <w:drawing>
          <wp:inline distT="0" distB="0" distL="0" distR="0" wp14:anchorId="4FD89A7C" wp14:editId="58A6E418">
            <wp:extent cx="5697855" cy="2724150"/>
            <wp:effectExtent l="0" t="0" r="17145" b="0"/>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0B26B4" w14:textId="77777777" w:rsidR="00761B6C" w:rsidRPr="00867BCF" w:rsidRDefault="00761B6C" w:rsidP="00761B6C">
      <w:pPr>
        <w:spacing w:after="60"/>
        <w:jc w:val="center"/>
        <w:rPr>
          <w:rFonts w:ascii="Times New Roman" w:hAnsi="Times New Roman"/>
          <w:i/>
          <w:sz w:val="24"/>
          <w:szCs w:val="24"/>
        </w:rPr>
      </w:pPr>
      <w:r w:rsidRPr="00867BCF">
        <w:rPr>
          <w:rFonts w:ascii="Times New Roman" w:hAnsi="Times New Roman"/>
          <w:i/>
          <w:sz w:val="24"/>
          <w:szCs w:val="24"/>
        </w:rPr>
        <w:t>9.attēls. K</w:t>
      </w:r>
      <w:r w:rsidRPr="00867BCF">
        <w:rPr>
          <w:rFonts w:ascii="Times New Roman" w:eastAsia="Times New Roman" w:hAnsi="Times New Roman" w:cs="Times New Roman"/>
          <w:bCs/>
          <w:i/>
          <w:color w:val="000000"/>
          <w:sz w:val="24"/>
          <w:szCs w:val="24"/>
        </w:rPr>
        <w:t>omercbanku izsniegtie aizdevumi komersantiem</w:t>
      </w:r>
      <w:r w:rsidRPr="00867BCF">
        <w:rPr>
          <w:rFonts w:ascii="Times New Roman" w:hAnsi="Times New Roman"/>
          <w:i/>
          <w:sz w:val="24"/>
          <w:szCs w:val="24"/>
        </w:rPr>
        <w:t xml:space="preserve"> 2016.-2018.gadā kopā un uz vienu nodarbināto (Kredītu reģistra dati par izsniegtajiem aizdevumiem; CSP dati par nodarbināto skaitu 2018.gadā)</w:t>
      </w:r>
    </w:p>
    <w:p w14:paraId="3BF4A85B" w14:textId="231DF897" w:rsidR="00510BE4" w:rsidRPr="00867BCF" w:rsidRDefault="00510BE4" w:rsidP="00510BE4">
      <w:pPr>
        <w:spacing w:after="60"/>
        <w:rPr>
          <w:rFonts w:ascii="Times New Roman" w:eastAsia="Times New Roman" w:hAnsi="Times New Roman" w:cs="Times New Roman"/>
          <w:sz w:val="24"/>
          <w:szCs w:val="24"/>
        </w:rPr>
      </w:pPr>
    </w:p>
    <w:p w14:paraId="70C1A224" w14:textId="2A726A2D" w:rsidR="00DE594D" w:rsidRPr="00867BCF" w:rsidRDefault="00DE594D" w:rsidP="00DE594D">
      <w:pPr>
        <w:spacing w:after="120"/>
        <w:rPr>
          <w:rFonts w:ascii="Times New Roman" w:eastAsia="Times New Roman" w:hAnsi="Times New Roman" w:cs="Times New Roman"/>
          <w:sz w:val="24"/>
          <w:szCs w:val="24"/>
        </w:rPr>
      </w:pPr>
      <w:r w:rsidRPr="00867BCF">
        <w:rPr>
          <w:rFonts w:ascii="Times New Roman" w:eastAsia="Times New Roman" w:hAnsi="Times New Roman" w:cs="Times New Roman"/>
          <w:bCs/>
          <w:color w:val="000000"/>
          <w:sz w:val="24"/>
          <w:szCs w:val="24"/>
        </w:rPr>
        <w:t xml:space="preserve">Pēc Kredītu reģistra datiem, laika posmā no 2016. līdz 2018. gadam vidējais viena aizdevuma apmērs starp visiem reģioniem bija aptuveni 300 tūkst.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 xml:space="preserve"> – lielākais tas ir Rīgas </w:t>
      </w:r>
      <w:r w:rsidR="00B00906">
        <w:rPr>
          <w:rFonts w:ascii="Times New Roman" w:eastAsia="Times New Roman" w:hAnsi="Times New Roman" w:cs="Times New Roman"/>
          <w:bCs/>
          <w:color w:val="000000"/>
          <w:sz w:val="24"/>
          <w:szCs w:val="24"/>
        </w:rPr>
        <w:t xml:space="preserve">statistiskajā </w:t>
      </w:r>
      <w:r w:rsidRPr="00867BCF">
        <w:rPr>
          <w:rFonts w:ascii="Times New Roman" w:eastAsia="Times New Roman" w:hAnsi="Times New Roman" w:cs="Times New Roman"/>
          <w:bCs/>
          <w:color w:val="000000"/>
          <w:sz w:val="24"/>
          <w:szCs w:val="24"/>
        </w:rPr>
        <w:t xml:space="preserve">reģionā (451 tūkst.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 xml:space="preserve">), bet mazākais Vidzemes </w:t>
      </w:r>
      <w:r w:rsidR="00B00906">
        <w:rPr>
          <w:rFonts w:ascii="Times New Roman" w:eastAsia="Times New Roman" w:hAnsi="Times New Roman" w:cs="Times New Roman"/>
          <w:bCs/>
          <w:color w:val="000000"/>
          <w:sz w:val="24"/>
          <w:szCs w:val="24"/>
        </w:rPr>
        <w:t>statistiskajā</w:t>
      </w:r>
      <w:r w:rsidR="00B00906" w:rsidRPr="00867BCF">
        <w:rPr>
          <w:rFonts w:ascii="Times New Roman" w:eastAsia="Times New Roman" w:hAnsi="Times New Roman" w:cs="Times New Roman"/>
          <w:bCs/>
          <w:color w:val="000000"/>
          <w:sz w:val="24"/>
          <w:szCs w:val="24"/>
        </w:rPr>
        <w:t xml:space="preserve"> </w:t>
      </w:r>
      <w:r w:rsidRPr="00867BCF">
        <w:rPr>
          <w:rFonts w:ascii="Times New Roman" w:eastAsia="Times New Roman" w:hAnsi="Times New Roman" w:cs="Times New Roman"/>
          <w:bCs/>
          <w:color w:val="000000"/>
          <w:sz w:val="24"/>
          <w:szCs w:val="24"/>
        </w:rPr>
        <w:t xml:space="preserve">reģionā (111 tūkst.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 Kurzemes un Latgales</w:t>
      </w:r>
      <w:r w:rsidR="00B00906">
        <w:rPr>
          <w:rFonts w:ascii="Times New Roman" w:eastAsia="Times New Roman" w:hAnsi="Times New Roman" w:cs="Times New Roman"/>
          <w:bCs/>
          <w:color w:val="000000"/>
          <w:sz w:val="24"/>
          <w:szCs w:val="24"/>
        </w:rPr>
        <w:t xml:space="preserve"> statistiskajā</w:t>
      </w:r>
      <w:r w:rsidRPr="00867BCF">
        <w:rPr>
          <w:rFonts w:ascii="Times New Roman" w:eastAsia="Times New Roman" w:hAnsi="Times New Roman" w:cs="Times New Roman"/>
          <w:bCs/>
          <w:color w:val="000000"/>
          <w:sz w:val="24"/>
          <w:szCs w:val="24"/>
        </w:rPr>
        <w:t xml:space="preserve"> reģionā vidējais viena aizdevuma apmērs ir 158 tūkst.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 xml:space="preserve">, bet Pierīgas un Zemgales </w:t>
      </w:r>
      <w:r w:rsidR="00B00906">
        <w:rPr>
          <w:rFonts w:ascii="Times New Roman" w:eastAsia="Times New Roman" w:hAnsi="Times New Roman" w:cs="Times New Roman"/>
          <w:bCs/>
          <w:color w:val="000000"/>
          <w:sz w:val="24"/>
          <w:szCs w:val="24"/>
        </w:rPr>
        <w:t>statistiskajā</w:t>
      </w:r>
      <w:r w:rsidR="00B00906" w:rsidRPr="00867BCF">
        <w:rPr>
          <w:rFonts w:ascii="Times New Roman" w:eastAsia="Times New Roman" w:hAnsi="Times New Roman" w:cs="Times New Roman"/>
          <w:bCs/>
          <w:color w:val="000000"/>
          <w:sz w:val="24"/>
          <w:szCs w:val="24"/>
        </w:rPr>
        <w:t xml:space="preserve"> </w:t>
      </w:r>
      <w:r w:rsidRPr="00867BCF">
        <w:rPr>
          <w:rFonts w:ascii="Times New Roman" w:eastAsia="Times New Roman" w:hAnsi="Times New Roman" w:cs="Times New Roman"/>
          <w:bCs/>
          <w:color w:val="000000"/>
          <w:sz w:val="24"/>
          <w:szCs w:val="24"/>
        </w:rPr>
        <w:t xml:space="preserve">reģionā attiecīgi 225 tūkst.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 xml:space="preserve"> un 258 tūkst.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w:t>
      </w:r>
    </w:p>
    <w:p w14:paraId="4F763F81" w14:textId="77777777" w:rsidR="00DE594D" w:rsidRPr="00867BCF" w:rsidRDefault="00DE594D" w:rsidP="00DE594D">
      <w:pPr>
        <w:spacing w:after="120"/>
        <w:rPr>
          <w:rFonts w:ascii="Times New Roman" w:eastAsia="Times New Roman" w:hAnsi="Times New Roman" w:cs="Times New Roman"/>
          <w:sz w:val="24"/>
          <w:szCs w:val="24"/>
        </w:rPr>
      </w:pPr>
      <w:r w:rsidRPr="00867BCF">
        <w:rPr>
          <w:rFonts w:ascii="Times New Roman" w:eastAsia="Times New Roman" w:hAnsi="Times New Roman" w:cs="Times New Roman"/>
          <w:bCs/>
          <w:color w:val="000000"/>
          <w:sz w:val="24"/>
          <w:szCs w:val="24"/>
        </w:rPr>
        <w:t xml:space="preserve">Būtisku daļu no kopējiem izsniegtajiem komercbanku aizdevumiem komersantiem veido ieguldījumi apgrozāmajos līdzekļos (21% no visiem aizdevumiem) un nekustamajā īpašumā </w:t>
      </w:r>
      <w:r w:rsidRPr="00867BCF">
        <w:rPr>
          <w:rFonts w:ascii="Times New Roman" w:eastAsia="Times New Roman" w:hAnsi="Times New Roman" w:cs="Times New Roman"/>
          <w:bCs/>
          <w:color w:val="000000"/>
          <w:sz w:val="24"/>
          <w:szCs w:val="24"/>
        </w:rPr>
        <w:lastRenderedPageBreak/>
        <w:t>(38% no visiem aizdevumiem). Arī šajos aizdevumos veidojas būtiskas reģionālās attīstības atšķirības – starp Rīgu un Latgali apgrozāmo līdzekļu aizdevumu apmērs uz 1 nodarbināto atšķiras 6 reizes, bet nekustamo īpašumu aizdevumos – pat 13 reizes</w:t>
      </w:r>
      <w:r w:rsidRPr="00867BCF">
        <w:rPr>
          <w:rFonts w:ascii="Times New Roman" w:eastAsia="Times New Roman" w:hAnsi="Times New Roman" w:cs="Times New Roman"/>
          <w:sz w:val="24"/>
          <w:szCs w:val="24"/>
        </w:rPr>
        <w:t>.</w:t>
      </w:r>
    </w:p>
    <w:p w14:paraId="066F1E98" w14:textId="518DF2DC" w:rsidR="00DE594D" w:rsidRPr="00867BCF" w:rsidRDefault="00DE594D" w:rsidP="00DE594D">
      <w:pPr>
        <w:spacing w:after="120"/>
        <w:rPr>
          <w:rFonts w:ascii="Times New Roman" w:hAnsi="Times New Roman" w:cs="Times New Roman"/>
          <w:sz w:val="24"/>
          <w:szCs w:val="24"/>
        </w:rPr>
      </w:pPr>
      <w:r w:rsidRPr="00C270C0">
        <w:rPr>
          <w:rFonts w:ascii="Times New Roman" w:hAnsi="Times New Roman" w:cs="Times New Roman"/>
          <w:sz w:val="24"/>
          <w:szCs w:val="24"/>
        </w:rPr>
        <w:t>Atšķirīgā</w:t>
      </w:r>
      <w:r w:rsidRPr="00867BCF">
        <w:rPr>
          <w:rFonts w:ascii="Times New Roman" w:hAnsi="Times New Roman" w:cs="Times New Roman"/>
          <w:sz w:val="24"/>
          <w:szCs w:val="24"/>
        </w:rPr>
        <w:t xml:space="preserve"> </w:t>
      </w:r>
      <w:r w:rsidR="006C225D" w:rsidRPr="00867BCF">
        <w:rPr>
          <w:rFonts w:ascii="Times New Roman" w:hAnsi="Times New Roman" w:cs="Times New Roman"/>
          <w:sz w:val="24"/>
          <w:szCs w:val="24"/>
        </w:rPr>
        <w:t xml:space="preserve">nekustamā </w:t>
      </w:r>
      <w:r w:rsidRPr="00867BCF">
        <w:rPr>
          <w:rFonts w:ascii="Times New Roman" w:hAnsi="Times New Roman" w:cs="Times New Roman"/>
          <w:sz w:val="24"/>
          <w:szCs w:val="24"/>
        </w:rPr>
        <w:t>īpašuma vērtība lielā mērā raksturo arī būtiskās reģionālās ekonomikas atšķirības – tur, kur koncentrējas tautsaimniecība, tur ir augstāka</w:t>
      </w:r>
      <w:r w:rsidR="006C225D" w:rsidRPr="00867BCF">
        <w:rPr>
          <w:rFonts w:ascii="Times New Roman" w:hAnsi="Times New Roman" w:cs="Times New Roman"/>
          <w:sz w:val="24"/>
          <w:szCs w:val="24"/>
        </w:rPr>
        <w:t xml:space="preserve"> nekustamā</w:t>
      </w:r>
      <w:r w:rsidRPr="00867BCF">
        <w:rPr>
          <w:rFonts w:ascii="Times New Roman" w:hAnsi="Times New Roman" w:cs="Times New Roman"/>
          <w:sz w:val="24"/>
          <w:szCs w:val="24"/>
        </w:rPr>
        <w:t xml:space="preserve"> īpašuma vērtība. Ņemot vērā atšķirīgo</w:t>
      </w:r>
      <w:r w:rsidR="006C225D" w:rsidRPr="00867BCF">
        <w:rPr>
          <w:rFonts w:ascii="Times New Roman" w:hAnsi="Times New Roman" w:cs="Times New Roman"/>
          <w:sz w:val="24"/>
          <w:szCs w:val="24"/>
        </w:rPr>
        <w:t xml:space="preserve"> nekustamā</w:t>
      </w:r>
      <w:r w:rsidRPr="00867BCF">
        <w:rPr>
          <w:rFonts w:ascii="Times New Roman" w:hAnsi="Times New Roman" w:cs="Times New Roman"/>
          <w:sz w:val="24"/>
          <w:szCs w:val="24"/>
        </w:rPr>
        <w:t xml:space="preserve"> īpašuma vērtību, </w:t>
      </w:r>
      <w:r w:rsidR="005B6FF1" w:rsidRPr="00867BCF">
        <w:rPr>
          <w:rFonts w:ascii="Times New Roman" w:hAnsi="Times New Roman" w:cs="Times New Roman"/>
          <w:sz w:val="24"/>
          <w:szCs w:val="24"/>
        </w:rPr>
        <w:t xml:space="preserve">teritorijās ar zemākiem sociālekonomiskajiem rādītājiem un salīdzinoši zemāku nekustamo īpašumu kadastrālo vērtību </w:t>
      </w:r>
      <w:r w:rsidRPr="00867BCF">
        <w:rPr>
          <w:rFonts w:ascii="Times New Roman" w:hAnsi="Times New Roman" w:cs="Times New Roman"/>
          <w:sz w:val="24"/>
          <w:szCs w:val="24"/>
        </w:rPr>
        <w:t xml:space="preserve">privātā kapitāla piesaiste caur finanšu institūcijām un tirgus dalībniekiem ir ierobežota – zemāka vērtība </w:t>
      </w:r>
      <w:r w:rsidR="005B6FF1" w:rsidRPr="00867BCF">
        <w:rPr>
          <w:rFonts w:ascii="Times New Roman" w:hAnsi="Times New Roman" w:cs="Times New Roman"/>
          <w:sz w:val="24"/>
          <w:szCs w:val="24"/>
        </w:rPr>
        <w:t xml:space="preserve">nekustamajam </w:t>
      </w:r>
      <w:r w:rsidRPr="00867BCF">
        <w:rPr>
          <w:rFonts w:ascii="Times New Roman" w:hAnsi="Times New Roman" w:cs="Times New Roman"/>
          <w:sz w:val="24"/>
          <w:szCs w:val="24"/>
        </w:rPr>
        <w:t xml:space="preserve">īpašumam, kas sniedz zemāku nodrošinājumu un paredz augstāku pašu komersantu līdzdalību. Lielāki kapitālie ieguldījumi tiek veikti tur, kur jau šobrīd ir augstāka pievienotā vērtība, kas nodrošina augstāku atlīdzību un patēriņu. Lielāki kapitālie ieguldījumi nodrošina augstāku </w:t>
      </w:r>
      <w:r w:rsidR="003526BD" w:rsidRPr="00867BCF">
        <w:rPr>
          <w:rFonts w:ascii="Times New Roman" w:hAnsi="Times New Roman" w:cs="Times New Roman"/>
          <w:sz w:val="24"/>
          <w:szCs w:val="24"/>
        </w:rPr>
        <w:t xml:space="preserve">nekustamā </w:t>
      </w:r>
      <w:r w:rsidRPr="00867BCF">
        <w:rPr>
          <w:rFonts w:ascii="Times New Roman" w:hAnsi="Times New Roman" w:cs="Times New Roman"/>
          <w:sz w:val="24"/>
          <w:szCs w:val="24"/>
        </w:rPr>
        <w:t>īpašuma vērtību, kas savukārt kalpo par nodrošinājumu privāto investīciju piesaistei. Līdz ar to reģionos veidojas zināms “apburtais loks”:</w:t>
      </w:r>
    </w:p>
    <w:p w14:paraId="6FF561D1" w14:textId="77777777" w:rsidR="00DE594D" w:rsidRPr="00867BCF" w:rsidRDefault="00DE594D" w:rsidP="00DE594D">
      <w:pPr>
        <w:pStyle w:val="ListParagraph"/>
        <w:numPr>
          <w:ilvl w:val="0"/>
          <w:numId w:val="6"/>
        </w:numPr>
        <w:spacing w:after="60"/>
        <w:rPr>
          <w:rFonts w:ascii="Times New Roman" w:hAnsi="Times New Roman" w:cs="Times New Roman"/>
          <w:sz w:val="24"/>
          <w:szCs w:val="24"/>
        </w:rPr>
      </w:pPr>
      <w:r w:rsidRPr="00867BCF">
        <w:rPr>
          <w:rFonts w:ascii="Times New Roman" w:hAnsi="Times New Roman" w:cs="Times New Roman"/>
          <w:sz w:val="24"/>
          <w:szCs w:val="24"/>
        </w:rPr>
        <w:t xml:space="preserve">jo zemāka pievienotā vērtība, jo zemāki ieguldījumi un spēja piesaistīt investīcijas, lai arī </w:t>
      </w:r>
      <w:proofErr w:type="spellStart"/>
      <w:r w:rsidRPr="00867BCF">
        <w:rPr>
          <w:rFonts w:ascii="Times New Roman" w:hAnsi="Times New Roman" w:cs="Times New Roman"/>
          <w:sz w:val="24"/>
          <w:szCs w:val="24"/>
        </w:rPr>
        <w:t>atdeve</w:t>
      </w:r>
      <w:proofErr w:type="spellEnd"/>
      <w:r w:rsidRPr="00867BCF">
        <w:rPr>
          <w:rFonts w:ascii="Times New Roman" w:hAnsi="Times New Roman" w:cs="Times New Roman"/>
          <w:sz w:val="24"/>
          <w:szCs w:val="24"/>
        </w:rPr>
        <w:t xml:space="preserve"> reģionos ir gandrīz vienāda;</w:t>
      </w:r>
    </w:p>
    <w:p w14:paraId="33B67C66" w14:textId="77777777" w:rsidR="00DE594D" w:rsidRPr="00867BCF" w:rsidRDefault="00DE594D" w:rsidP="00DE594D">
      <w:pPr>
        <w:pStyle w:val="ListParagraph"/>
        <w:numPr>
          <w:ilvl w:val="0"/>
          <w:numId w:val="6"/>
        </w:numPr>
        <w:spacing w:after="120"/>
        <w:ind w:left="714" w:hanging="357"/>
        <w:contextualSpacing w:val="0"/>
        <w:rPr>
          <w:rFonts w:ascii="Times New Roman" w:hAnsi="Times New Roman" w:cs="Times New Roman"/>
          <w:sz w:val="24"/>
          <w:szCs w:val="24"/>
        </w:rPr>
      </w:pPr>
      <w:r w:rsidRPr="00867BCF">
        <w:rPr>
          <w:rFonts w:ascii="Times New Roman" w:hAnsi="Times New Roman" w:cs="Times New Roman"/>
          <w:sz w:val="24"/>
          <w:szCs w:val="24"/>
        </w:rPr>
        <w:t>jo zemāki ieguldījumi nekustamā īpašuma tirgū, jo zemāka īpašuma vērtība privāto investīciju piesaistei.</w:t>
      </w:r>
    </w:p>
    <w:p w14:paraId="4FD67133" w14:textId="375E88B6" w:rsidR="00DE594D" w:rsidRPr="00867BCF" w:rsidRDefault="00F70A23" w:rsidP="00215941">
      <w:pPr>
        <w:spacing w:after="120"/>
        <w:rPr>
          <w:rFonts w:ascii="Times New Roman" w:eastAsia="Times New Roman" w:hAnsi="Times New Roman" w:cs="Times New Roman"/>
          <w:bCs/>
          <w:color w:val="000000"/>
          <w:sz w:val="24"/>
          <w:szCs w:val="24"/>
        </w:rPr>
      </w:pPr>
      <w:r w:rsidRPr="00867BCF">
        <w:rPr>
          <w:rFonts w:ascii="Times New Roman" w:eastAsia="Times New Roman" w:hAnsi="Times New Roman" w:cs="Times New Roman"/>
          <w:sz w:val="24"/>
          <w:szCs w:val="24"/>
        </w:rPr>
        <w:t>Savukārt p</w:t>
      </w:r>
      <w:r w:rsidR="00DE594D" w:rsidRPr="00867BCF">
        <w:rPr>
          <w:rFonts w:ascii="Times New Roman" w:eastAsia="Times New Roman" w:hAnsi="Times New Roman" w:cs="Times New Roman"/>
          <w:sz w:val="24"/>
          <w:szCs w:val="24"/>
        </w:rPr>
        <w:t xml:space="preserve">ēc akciju sabiedrības “Attīstības finanšu institūcija ALTUM” </w:t>
      </w:r>
      <w:r w:rsidR="00DE594D" w:rsidRPr="00867BCF">
        <w:rPr>
          <w:rFonts w:ascii="Times New Roman" w:hAnsi="Times New Roman" w:cs="Times New Roman"/>
          <w:sz w:val="24"/>
          <w:szCs w:val="24"/>
        </w:rPr>
        <w:t>(turpmāk – ALTUM) datiem</w:t>
      </w:r>
      <w:r w:rsidR="00846757" w:rsidRPr="00867BCF">
        <w:rPr>
          <w:rStyle w:val="FootnoteReference"/>
          <w:rFonts w:ascii="Times New Roman" w:hAnsi="Times New Roman" w:cs="Times New Roman"/>
          <w:sz w:val="24"/>
          <w:szCs w:val="24"/>
        </w:rPr>
        <w:footnoteReference w:id="24"/>
      </w:r>
      <w:r w:rsidR="00DE594D" w:rsidRPr="00867BCF">
        <w:rPr>
          <w:rFonts w:ascii="Times New Roman" w:hAnsi="Times New Roman" w:cs="Times New Roman"/>
          <w:sz w:val="24"/>
          <w:szCs w:val="24"/>
        </w:rPr>
        <w:t xml:space="preserve">, laika periodā </w:t>
      </w:r>
      <w:r w:rsidR="00DE594D" w:rsidRPr="00867BCF">
        <w:rPr>
          <w:rFonts w:ascii="Times New Roman" w:eastAsia="Times New Roman" w:hAnsi="Times New Roman" w:cs="Times New Roman"/>
          <w:bCs/>
          <w:color w:val="000000"/>
          <w:sz w:val="24"/>
          <w:szCs w:val="24"/>
        </w:rPr>
        <w:t xml:space="preserve">no 2016. līdz 2018. gadam ALTUM </w:t>
      </w:r>
      <w:r w:rsidR="00DE594D" w:rsidRPr="00867BCF">
        <w:rPr>
          <w:rFonts w:ascii="Times New Roman" w:hAnsi="Times New Roman" w:cs="Times New Roman"/>
          <w:sz w:val="24"/>
          <w:szCs w:val="24"/>
        </w:rPr>
        <w:t xml:space="preserve">izsniedza aizdevumus 104,8 milj. </w:t>
      </w:r>
      <w:proofErr w:type="spellStart"/>
      <w:r w:rsidR="00DE594D" w:rsidRPr="00867BCF">
        <w:rPr>
          <w:rFonts w:ascii="Times New Roman" w:hAnsi="Times New Roman" w:cs="Times New Roman"/>
          <w:i/>
          <w:sz w:val="24"/>
          <w:szCs w:val="24"/>
        </w:rPr>
        <w:t>euro</w:t>
      </w:r>
      <w:proofErr w:type="spellEnd"/>
      <w:r w:rsidR="00DE594D" w:rsidRPr="00867BCF">
        <w:rPr>
          <w:rFonts w:ascii="Times New Roman" w:hAnsi="Times New Roman" w:cs="Times New Roman"/>
          <w:sz w:val="24"/>
          <w:szCs w:val="24"/>
        </w:rPr>
        <w:t xml:space="preserve"> vērtībā</w:t>
      </w:r>
      <w:r w:rsidR="00DE594D" w:rsidRPr="00867BCF">
        <w:rPr>
          <w:rFonts w:ascii="Times New Roman" w:eastAsia="Times New Roman" w:hAnsi="Times New Roman" w:cs="Times New Roman"/>
          <w:bCs/>
          <w:color w:val="000000"/>
          <w:sz w:val="24"/>
          <w:szCs w:val="24"/>
        </w:rPr>
        <w:t xml:space="preserve">. </w:t>
      </w:r>
      <w:r w:rsidR="00DE594D" w:rsidRPr="00867BCF">
        <w:rPr>
          <w:rFonts w:ascii="Times New Roman" w:hAnsi="Times New Roman" w:cs="Times New Roman"/>
          <w:sz w:val="24"/>
          <w:szCs w:val="24"/>
        </w:rPr>
        <w:t xml:space="preserve">Kopējais ALTUM piešķirto aizdevumu apmērs un izsniegto aizdevumu skaits trīs gadu laikā ir audzis, norādot, ka aizvien vairāk uzņēmēju izmanto ALTUM piedāvātos finanšu pakalpojumus. Lielākā daļa no ALTUM izsniegtajiem aizdevumiem veikti divās nozarēs – apstrādes rūpniecībā (41,3 milj. </w:t>
      </w:r>
      <w:proofErr w:type="spellStart"/>
      <w:r w:rsidR="00DE594D" w:rsidRPr="00867BCF">
        <w:rPr>
          <w:rFonts w:ascii="Times New Roman" w:hAnsi="Times New Roman" w:cs="Times New Roman"/>
          <w:i/>
          <w:sz w:val="24"/>
          <w:szCs w:val="24"/>
        </w:rPr>
        <w:t>euro</w:t>
      </w:r>
      <w:proofErr w:type="spellEnd"/>
      <w:r w:rsidR="00DE594D" w:rsidRPr="00867BCF">
        <w:rPr>
          <w:rFonts w:ascii="Times New Roman" w:hAnsi="Times New Roman" w:cs="Times New Roman"/>
          <w:sz w:val="24"/>
          <w:szCs w:val="24"/>
        </w:rPr>
        <w:t xml:space="preserve">) un lauksaimniecībā, mežsaimniecībā un zivsaimniecībā (33,3 milj. </w:t>
      </w:r>
      <w:proofErr w:type="spellStart"/>
      <w:r w:rsidR="00DE594D" w:rsidRPr="00867BCF">
        <w:rPr>
          <w:rFonts w:ascii="Times New Roman" w:hAnsi="Times New Roman" w:cs="Times New Roman"/>
          <w:i/>
          <w:sz w:val="24"/>
          <w:szCs w:val="24"/>
        </w:rPr>
        <w:t>euro</w:t>
      </w:r>
      <w:proofErr w:type="spellEnd"/>
      <w:r w:rsidR="00DE594D" w:rsidRPr="00867BCF">
        <w:rPr>
          <w:rFonts w:ascii="Times New Roman" w:hAnsi="Times New Roman" w:cs="Times New Roman"/>
          <w:sz w:val="24"/>
          <w:szCs w:val="24"/>
        </w:rPr>
        <w:t xml:space="preserve">), šīs abas nozares kopā veido 67% no kopējā aizdevumu apmēra starp visām NACE nozarēm. Vienlaikus izsniegto aizdevumu īpatsvars nevienā </w:t>
      </w:r>
      <w:r w:rsidR="00B00906">
        <w:rPr>
          <w:rFonts w:ascii="Times New Roman" w:hAnsi="Times New Roman" w:cs="Times New Roman"/>
          <w:sz w:val="24"/>
          <w:szCs w:val="24"/>
        </w:rPr>
        <w:t xml:space="preserve">statistiskajā </w:t>
      </w:r>
      <w:r w:rsidR="00DE594D" w:rsidRPr="00867BCF">
        <w:rPr>
          <w:rFonts w:ascii="Times New Roman" w:hAnsi="Times New Roman" w:cs="Times New Roman"/>
          <w:sz w:val="24"/>
          <w:szCs w:val="24"/>
        </w:rPr>
        <w:t>reģionā nav lielāks par 21% no kopēja apjoma (</w:t>
      </w:r>
      <w:r w:rsidR="00DE594D" w:rsidRPr="00867BCF">
        <w:rPr>
          <w:rFonts w:ascii="Times New Roman" w:eastAsia="Times New Roman" w:hAnsi="Times New Roman" w:cs="Times New Roman"/>
          <w:bCs/>
          <w:color w:val="000000"/>
          <w:sz w:val="24"/>
          <w:szCs w:val="24"/>
        </w:rPr>
        <w:t>sk. 10.attēlu).</w:t>
      </w:r>
    </w:p>
    <w:p w14:paraId="3D7D54BC" w14:textId="77777777" w:rsidR="000D71A2" w:rsidRPr="00867BCF" w:rsidRDefault="000D71A2" w:rsidP="000D71A2">
      <w:pPr>
        <w:spacing w:after="120"/>
        <w:rPr>
          <w:rFonts w:ascii="Times New Roman" w:eastAsia="Times New Roman" w:hAnsi="Times New Roman" w:cs="Times New Roman"/>
          <w:sz w:val="24"/>
          <w:szCs w:val="24"/>
        </w:rPr>
      </w:pPr>
      <w:r w:rsidRPr="00867BCF">
        <w:rPr>
          <w:noProof/>
          <w:lang w:eastAsia="lv-LV"/>
        </w:rPr>
        <w:drawing>
          <wp:inline distT="0" distB="0" distL="0" distR="0" wp14:anchorId="595F37B8" wp14:editId="34E98402">
            <wp:extent cx="5648325" cy="2419350"/>
            <wp:effectExtent l="0" t="0" r="9525" b="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289095" w14:textId="77777777" w:rsidR="000D71A2" w:rsidRPr="00867BCF" w:rsidRDefault="000D71A2" w:rsidP="000D71A2">
      <w:pPr>
        <w:spacing w:after="120"/>
        <w:jc w:val="center"/>
        <w:rPr>
          <w:rFonts w:ascii="Times New Roman" w:eastAsia="Times New Roman" w:hAnsi="Times New Roman" w:cs="Times New Roman"/>
          <w:sz w:val="24"/>
          <w:szCs w:val="24"/>
        </w:rPr>
      </w:pPr>
      <w:r w:rsidRPr="00867BCF">
        <w:rPr>
          <w:rFonts w:ascii="Times New Roman" w:hAnsi="Times New Roman"/>
          <w:i/>
          <w:sz w:val="24"/>
          <w:szCs w:val="24"/>
        </w:rPr>
        <w:t>10.attēls. ALTUM</w:t>
      </w:r>
      <w:r w:rsidRPr="00867BCF">
        <w:rPr>
          <w:rFonts w:ascii="Times New Roman" w:eastAsia="Times New Roman" w:hAnsi="Times New Roman" w:cs="Times New Roman"/>
          <w:bCs/>
          <w:i/>
          <w:color w:val="000000"/>
          <w:sz w:val="24"/>
          <w:szCs w:val="24"/>
        </w:rPr>
        <w:t xml:space="preserve"> kopējais piešķirto aizdevumu apmērs komersantiem </w:t>
      </w:r>
      <w:r w:rsidRPr="00867BCF">
        <w:rPr>
          <w:rFonts w:ascii="Times New Roman" w:hAnsi="Times New Roman"/>
          <w:i/>
          <w:sz w:val="24"/>
          <w:szCs w:val="24"/>
        </w:rPr>
        <w:t>un vidējais viena aizdevuma apmērs no 2016.-2018.gadam (ALTUM dati)</w:t>
      </w:r>
    </w:p>
    <w:p w14:paraId="0B3F6745" w14:textId="77777777" w:rsidR="000D71A2" w:rsidRPr="00867BCF" w:rsidRDefault="000D71A2" w:rsidP="000D71A2">
      <w:pPr>
        <w:spacing w:after="120"/>
        <w:rPr>
          <w:rFonts w:ascii="Times New Roman" w:hAnsi="Times New Roman" w:cs="Times New Roman"/>
          <w:sz w:val="24"/>
          <w:szCs w:val="24"/>
        </w:rPr>
      </w:pPr>
    </w:p>
    <w:p w14:paraId="52C6FB46" w14:textId="073E2836" w:rsidR="006F5406" w:rsidRPr="00867BCF" w:rsidRDefault="000D71A2" w:rsidP="00345BEB">
      <w:pPr>
        <w:spacing w:after="120"/>
        <w:rPr>
          <w:rFonts w:ascii="Times New Roman" w:eastAsia="Times New Roman" w:hAnsi="Times New Roman" w:cs="Times New Roman"/>
          <w:bCs/>
          <w:color w:val="000000"/>
          <w:sz w:val="24"/>
          <w:szCs w:val="24"/>
        </w:rPr>
      </w:pPr>
      <w:r w:rsidRPr="00867BCF">
        <w:rPr>
          <w:rFonts w:ascii="Times New Roman" w:hAnsi="Times New Roman" w:cs="Times New Roman"/>
          <w:sz w:val="24"/>
          <w:szCs w:val="24"/>
        </w:rPr>
        <w:lastRenderedPageBreak/>
        <w:t>Kā redzams 10.attēlā, tad ALTUM v</w:t>
      </w:r>
      <w:r w:rsidRPr="00867BCF">
        <w:rPr>
          <w:rFonts w:ascii="Times New Roman" w:eastAsia="Times New Roman" w:hAnsi="Times New Roman" w:cs="Times New Roman"/>
          <w:bCs/>
          <w:color w:val="000000"/>
          <w:sz w:val="24"/>
          <w:szCs w:val="24"/>
        </w:rPr>
        <w:t xml:space="preserve">idējais viena aizdevuma apmērs starp visiem reģioniem ir aptuveni 52 tūkst.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 xml:space="preserve"> – lielākais tas ir Pierīgas </w:t>
      </w:r>
      <w:r w:rsidR="00B00906">
        <w:rPr>
          <w:rFonts w:ascii="Times New Roman" w:eastAsia="Times New Roman" w:hAnsi="Times New Roman" w:cs="Times New Roman"/>
          <w:bCs/>
          <w:color w:val="000000"/>
          <w:sz w:val="24"/>
          <w:szCs w:val="24"/>
        </w:rPr>
        <w:t xml:space="preserve">statistiskajā </w:t>
      </w:r>
      <w:r w:rsidRPr="00867BCF">
        <w:rPr>
          <w:rFonts w:ascii="Times New Roman" w:eastAsia="Times New Roman" w:hAnsi="Times New Roman" w:cs="Times New Roman"/>
          <w:bCs/>
          <w:color w:val="000000"/>
          <w:sz w:val="24"/>
          <w:szCs w:val="24"/>
        </w:rPr>
        <w:t xml:space="preserve">reģionā (71,6 tūkst.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 xml:space="preserve">), bet mazākais Latgales </w:t>
      </w:r>
      <w:r w:rsidR="00B00906">
        <w:rPr>
          <w:rFonts w:ascii="Times New Roman" w:eastAsia="Times New Roman" w:hAnsi="Times New Roman" w:cs="Times New Roman"/>
          <w:bCs/>
          <w:color w:val="000000"/>
          <w:sz w:val="24"/>
          <w:szCs w:val="24"/>
        </w:rPr>
        <w:t xml:space="preserve">statistiskajā </w:t>
      </w:r>
      <w:r w:rsidRPr="00867BCF">
        <w:rPr>
          <w:rFonts w:ascii="Times New Roman" w:eastAsia="Times New Roman" w:hAnsi="Times New Roman" w:cs="Times New Roman"/>
          <w:bCs/>
          <w:color w:val="000000"/>
          <w:sz w:val="24"/>
          <w:szCs w:val="24"/>
        </w:rPr>
        <w:t xml:space="preserve">reģionā (35,1 tūkst.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w:t>
      </w:r>
      <w:r w:rsidRPr="00867BCF">
        <w:rPr>
          <w:rFonts w:ascii="Times New Roman" w:eastAsia="Times New Roman" w:hAnsi="Times New Roman" w:cs="Times New Roman"/>
          <w:sz w:val="24"/>
          <w:szCs w:val="24"/>
        </w:rPr>
        <w:t xml:space="preserve"> Šis rādītājs, salīdzinot ar </w:t>
      </w:r>
      <w:r w:rsidRPr="00867BCF">
        <w:rPr>
          <w:rFonts w:ascii="Times New Roman" w:eastAsia="Times New Roman" w:hAnsi="Times New Roman" w:cs="Times New Roman"/>
          <w:bCs/>
          <w:color w:val="000000"/>
          <w:sz w:val="24"/>
          <w:szCs w:val="24"/>
        </w:rPr>
        <w:t xml:space="preserve">Kredītu reģistra datiem, ir aptuveni 6 reizes mazāks. </w:t>
      </w:r>
      <w:r w:rsidR="006F5406" w:rsidRPr="00867BCF">
        <w:rPr>
          <w:rFonts w:ascii="Times New Roman" w:eastAsia="Times New Roman" w:hAnsi="Times New Roman" w:cs="Times New Roman"/>
          <w:bCs/>
          <w:color w:val="000000"/>
          <w:sz w:val="24"/>
          <w:szCs w:val="24"/>
        </w:rPr>
        <w:t>Ņemot vērā, ka ALTUM izsniedz aizdevumus pēc konkrētiem normatīvā regulējuma nosacījumiem, kas ierobežo dažāda veida aizdevuma izsniegšanu komersantiem (dažkārt ne pēc pieprasījuma), veidojas tirgus nepilnība, kuru plānots novērst, izstrādājot likumprojektu “Grozījumi Publiskas personas finanšu līdzekļu un mantas izšķērdēšanas novēršanas likumā” (VSS – 233).</w:t>
      </w:r>
    </w:p>
    <w:p w14:paraId="48A23887" w14:textId="201F3F48" w:rsidR="0060347B" w:rsidRPr="00867BCF" w:rsidRDefault="000D71A2" w:rsidP="00345BEB">
      <w:pPr>
        <w:spacing w:after="120"/>
        <w:rPr>
          <w:rFonts w:ascii="Times New Roman" w:eastAsia="Times New Roman" w:hAnsi="Times New Roman" w:cs="Times New Roman"/>
          <w:bCs/>
          <w:color w:val="000000"/>
          <w:sz w:val="24"/>
          <w:szCs w:val="24"/>
        </w:rPr>
      </w:pPr>
      <w:r w:rsidRPr="00867BCF">
        <w:rPr>
          <w:rFonts w:ascii="Times New Roman" w:eastAsia="Times New Roman" w:hAnsi="Times New Roman" w:cs="Times New Roman"/>
          <w:bCs/>
          <w:color w:val="000000"/>
          <w:sz w:val="24"/>
          <w:szCs w:val="24"/>
        </w:rPr>
        <w:t xml:space="preserve">ALTUM kopumā Latvijas reģionos aizdevumus izsniedz vienmērīgāk un ar zemāku aizdevuma kopējo vērtību, salīdzinot ar komercbankām, kas likumprojekta “Grozījumi Publiskas personas finanšu līdzekļu un mantas izšķērdēšanas novēršanas likumā” (VSS – 233) ietvaros norāda, ka reģionos ir pieprasījums pēc aizdevumiem, kas nepārsniedz 100 tūkst. </w:t>
      </w:r>
      <w:proofErr w:type="spellStart"/>
      <w:r w:rsidRPr="00867BCF">
        <w:rPr>
          <w:rFonts w:ascii="Times New Roman" w:eastAsia="Times New Roman" w:hAnsi="Times New Roman" w:cs="Times New Roman"/>
          <w:bCs/>
          <w:i/>
          <w:color w:val="000000"/>
          <w:sz w:val="24"/>
          <w:szCs w:val="24"/>
        </w:rPr>
        <w:t>euro</w:t>
      </w:r>
      <w:proofErr w:type="spellEnd"/>
      <w:r w:rsidRPr="00867BCF">
        <w:rPr>
          <w:rFonts w:ascii="Times New Roman" w:eastAsia="Times New Roman" w:hAnsi="Times New Roman" w:cs="Times New Roman"/>
          <w:bCs/>
          <w:color w:val="000000"/>
          <w:sz w:val="24"/>
          <w:szCs w:val="24"/>
        </w:rPr>
        <w:t xml:space="preserve"> un kuri potenciāli varētu izmantot pašvaldību piedāvāto galvojumu, lai spētu saņemt ALTUM aizdevumu</w:t>
      </w:r>
      <w:r w:rsidR="007E0273" w:rsidRPr="00867BCF">
        <w:rPr>
          <w:rFonts w:ascii="Times New Roman" w:eastAsia="Times New Roman" w:hAnsi="Times New Roman" w:cs="Times New Roman"/>
          <w:bCs/>
          <w:color w:val="000000"/>
          <w:sz w:val="24"/>
          <w:szCs w:val="24"/>
        </w:rPr>
        <w:t xml:space="preserve">. </w:t>
      </w:r>
      <w:r w:rsidR="0060347B" w:rsidRPr="00867BCF">
        <w:rPr>
          <w:rFonts w:ascii="Times New Roman" w:eastAsia="Times New Roman" w:hAnsi="Times New Roman" w:cs="Times New Roman"/>
          <w:bCs/>
          <w:color w:val="000000"/>
          <w:sz w:val="24"/>
          <w:szCs w:val="24"/>
        </w:rPr>
        <w:t xml:space="preserve">Vienlaicīgi ir vērojams tas, ka pašvaldības reģionos uzņēmējdarbības veicināšanai jau šobrīd komersantiem piešķir finansējumu </w:t>
      </w:r>
      <w:proofErr w:type="spellStart"/>
      <w:r w:rsidR="0060347B" w:rsidRPr="00867BCF">
        <w:rPr>
          <w:rFonts w:ascii="Times New Roman" w:eastAsia="Times New Roman" w:hAnsi="Times New Roman" w:cs="Times New Roman"/>
          <w:bCs/>
          <w:color w:val="000000"/>
          <w:sz w:val="24"/>
          <w:szCs w:val="24"/>
        </w:rPr>
        <w:t>grantu</w:t>
      </w:r>
      <w:proofErr w:type="spellEnd"/>
      <w:r w:rsidR="0060347B" w:rsidRPr="00867BCF">
        <w:rPr>
          <w:rFonts w:ascii="Times New Roman" w:eastAsia="Times New Roman" w:hAnsi="Times New Roman" w:cs="Times New Roman"/>
          <w:bCs/>
          <w:color w:val="000000"/>
          <w:sz w:val="24"/>
          <w:szCs w:val="24"/>
        </w:rPr>
        <w:t xml:space="preserve"> konkursu ietvaros, kas nozīmē, ka komersantiem ir nepieciešamība pēc papildu finansiālā atbalsta no pašvaldību puses.</w:t>
      </w:r>
    </w:p>
    <w:p w14:paraId="65D59532" w14:textId="715AE54E" w:rsidR="0057386D" w:rsidRPr="00867BCF" w:rsidRDefault="0057386D" w:rsidP="005A38F4">
      <w:pPr>
        <w:spacing w:after="120"/>
        <w:rPr>
          <w:rFonts w:ascii="Times New Roman" w:hAnsi="Times New Roman" w:cs="Times New Roman"/>
          <w:sz w:val="24"/>
          <w:szCs w:val="24"/>
        </w:rPr>
      </w:pPr>
      <w:r w:rsidRPr="00867BCF">
        <w:rPr>
          <w:rFonts w:ascii="Times New Roman" w:hAnsi="Times New Roman" w:cs="Times New Roman"/>
          <w:sz w:val="24"/>
          <w:szCs w:val="24"/>
        </w:rPr>
        <w:t xml:space="preserve">Atšķirīga </w:t>
      </w:r>
      <w:r w:rsidR="00BF656E" w:rsidRPr="00867BCF">
        <w:rPr>
          <w:rFonts w:ascii="Times New Roman" w:hAnsi="Times New Roman" w:cs="Times New Roman"/>
          <w:sz w:val="24"/>
          <w:szCs w:val="24"/>
        </w:rPr>
        <w:t>uzņēmējdarbības</w:t>
      </w:r>
      <w:r w:rsidRPr="00867BCF">
        <w:rPr>
          <w:rFonts w:ascii="Times New Roman" w:hAnsi="Times New Roman" w:cs="Times New Roman"/>
          <w:sz w:val="24"/>
          <w:szCs w:val="24"/>
        </w:rPr>
        <w:t xml:space="preserve"> vide un it īpaši “kapitāla” (īpašumu, uzņēmumu u.c.) vērtība reģionos ir radījusi</w:t>
      </w:r>
      <w:r w:rsidR="00010353" w:rsidRPr="00867BCF">
        <w:rPr>
          <w:rFonts w:ascii="Times New Roman" w:hAnsi="Times New Roman" w:cs="Times New Roman"/>
          <w:sz w:val="24"/>
          <w:szCs w:val="24"/>
        </w:rPr>
        <w:t xml:space="preserve"> arī</w:t>
      </w:r>
      <w:r w:rsidRPr="00867BCF">
        <w:rPr>
          <w:rFonts w:ascii="Times New Roman" w:hAnsi="Times New Roman" w:cs="Times New Roman"/>
          <w:sz w:val="24"/>
          <w:szCs w:val="24"/>
        </w:rPr>
        <w:t xml:space="preserve"> būtiski atšķirīgu ietekmi uz nodarbinātību. Salīdzinot nodarbināto īpatsvaru starp 2011. un 2018.gadu, kad vidēji bezdarbs Latvijā bija 2 reizes augstāks (2011.gadā 12% un 2018.gadā 5,9%; CSP</w:t>
      </w:r>
      <w:r w:rsidR="00216433" w:rsidRPr="00867BCF">
        <w:rPr>
          <w:rFonts w:ascii="Times New Roman" w:hAnsi="Times New Roman" w:cs="Times New Roman"/>
          <w:sz w:val="24"/>
          <w:szCs w:val="24"/>
        </w:rPr>
        <w:t xml:space="preserve"> </w:t>
      </w:r>
      <w:r w:rsidR="0086382D" w:rsidRPr="00867BCF">
        <w:rPr>
          <w:rFonts w:ascii="Times New Roman" w:hAnsi="Times New Roman" w:cs="Times New Roman"/>
          <w:sz w:val="24"/>
          <w:szCs w:val="24"/>
        </w:rPr>
        <w:t>dati,</w:t>
      </w:r>
      <w:r w:rsidRPr="00867BCF">
        <w:rPr>
          <w:rFonts w:ascii="Times New Roman" w:hAnsi="Times New Roman" w:cs="Times New Roman"/>
          <w:sz w:val="24"/>
          <w:szCs w:val="24"/>
        </w:rPr>
        <w:t xml:space="preserve"> 15-64 gadu veci iedzīvotāji), tad redzams</w:t>
      </w:r>
      <w:r w:rsidR="00C270C0">
        <w:rPr>
          <w:rFonts w:ascii="Times New Roman" w:hAnsi="Times New Roman" w:cs="Times New Roman"/>
          <w:sz w:val="24"/>
          <w:szCs w:val="24"/>
        </w:rPr>
        <w:t>,</w:t>
      </w:r>
      <w:r w:rsidRPr="00867BCF">
        <w:rPr>
          <w:rFonts w:ascii="Times New Roman" w:hAnsi="Times New Roman" w:cs="Times New Roman"/>
          <w:sz w:val="24"/>
          <w:szCs w:val="24"/>
        </w:rPr>
        <w:t xml:space="preserve"> ka Rīgas un Pierīgas </w:t>
      </w:r>
      <w:r w:rsidR="00B00906">
        <w:rPr>
          <w:rFonts w:ascii="Times New Roman" w:hAnsi="Times New Roman" w:cs="Times New Roman"/>
          <w:sz w:val="24"/>
          <w:szCs w:val="24"/>
        </w:rPr>
        <w:t xml:space="preserve">statistiskajā </w:t>
      </w:r>
      <w:r w:rsidRPr="00867BCF">
        <w:rPr>
          <w:rFonts w:ascii="Times New Roman" w:hAnsi="Times New Roman" w:cs="Times New Roman"/>
          <w:sz w:val="24"/>
          <w:szCs w:val="24"/>
        </w:rPr>
        <w:t>reģionā</w:t>
      </w:r>
      <w:r w:rsidR="00216433" w:rsidRPr="00867BCF">
        <w:rPr>
          <w:rFonts w:ascii="Times New Roman" w:hAnsi="Times New Roman" w:cs="Times New Roman"/>
          <w:sz w:val="24"/>
          <w:szCs w:val="24"/>
        </w:rPr>
        <w:t>,</w:t>
      </w:r>
      <w:r w:rsidRPr="00867BCF">
        <w:rPr>
          <w:rFonts w:ascii="Times New Roman" w:hAnsi="Times New Roman" w:cs="Times New Roman"/>
          <w:sz w:val="24"/>
          <w:szCs w:val="24"/>
        </w:rPr>
        <w:t xml:space="preserve"> samazinoties bezdarbam</w:t>
      </w:r>
      <w:r w:rsidR="00216433" w:rsidRPr="00867BCF">
        <w:rPr>
          <w:rFonts w:ascii="Times New Roman" w:hAnsi="Times New Roman" w:cs="Times New Roman"/>
          <w:sz w:val="24"/>
          <w:szCs w:val="24"/>
        </w:rPr>
        <w:t>,</w:t>
      </w:r>
      <w:r w:rsidRPr="00867BCF">
        <w:rPr>
          <w:rFonts w:ascii="Times New Roman" w:hAnsi="Times New Roman" w:cs="Times New Roman"/>
          <w:sz w:val="24"/>
          <w:szCs w:val="24"/>
        </w:rPr>
        <w:t xml:space="preserve"> ir augusi nodarbinātība</w:t>
      </w:r>
      <w:r w:rsidR="00216433" w:rsidRPr="00867BCF">
        <w:rPr>
          <w:rFonts w:ascii="Times New Roman" w:hAnsi="Times New Roman" w:cs="Times New Roman"/>
          <w:sz w:val="24"/>
          <w:szCs w:val="24"/>
        </w:rPr>
        <w:t>,</w:t>
      </w:r>
      <w:r w:rsidRPr="00867BCF">
        <w:rPr>
          <w:rFonts w:ascii="Times New Roman" w:hAnsi="Times New Roman" w:cs="Times New Roman"/>
          <w:sz w:val="24"/>
          <w:szCs w:val="24"/>
        </w:rPr>
        <w:t xml:space="preserve"> būtiski apsteidzot bezdarba īpatsvaru. Turpretim reģionos nodarbinātība ir augusi minimāli vai pat samazinājusies (Latgalē -4% nodarbināto) </w:t>
      </w:r>
      <w:r w:rsidR="0086382D" w:rsidRPr="00867BCF">
        <w:rPr>
          <w:rFonts w:ascii="Times New Roman" w:hAnsi="Times New Roman" w:cs="Times New Roman"/>
          <w:sz w:val="24"/>
          <w:szCs w:val="24"/>
        </w:rPr>
        <w:t xml:space="preserve">(sk. </w:t>
      </w:r>
      <w:r w:rsidR="00345BEB" w:rsidRPr="00867BCF">
        <w:rPr>
          <w:rFonts w:ascii="Times New Roman" w:hAnsi="Times New Roman" w:cs="Times New Roman"/>
          <w:sz w:val="24"/>
          <w:szCs w:val="24"/>
        </w:rPr>
        <w:t>11</w:t>
      </w:r>
      <w:r w:rsidR="0086382D" w:rsidRPr="00867BCF">
        <w:rPr>
          <w:rFonts w:ascii="Times New Roman" w:hAnsi="Times New Roman" w:cs="Times New Roman"/>
          <w:sz w:val="24"/>
          <w:szCs w:val="24"/>
        </w:rPr>
        <w:t>.attēlu).</w:t>
      </w:r>
    </w:p>
    <w:p w14:paraId="40E7AFD2" w14:textId="77777777" w:rsidR="0057386D" w:rsidRPr="00867BCF" w:rsidRDefault="0057386D" w:rsidP="00345BEB">
      <w:pPr>
        <w:spacing w:after="60"/>
        <w:jc w:val="center"/>
      </w:pPr>
      <w:r w:rsidRPr="00867BCF">
        <w:rPr>
          <w:noProof/>
          <w:lang w:eastAsia="lv-LV"/>
        </w:rPr>
        <w:drawing>
          <wp:inline distT="0" distB="0" distL="0" distR="0" wp14:anchorId="21C930C8" wp14:editId="1E2569FD">
            <wp:extent cx="3972560" cy="3153219"/>
            <wp:effectExtent l="0" t="0" r="8890" b="9525"/>
            <wp:docPr id="333106374" name="Picture 33310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97453" cy="3172978"/>
                    </a:xfrm>
                    <a:prstGeom prst="rect">
                      <a:avLst/>
                    </a:prstGeom>
                  </pic:spPr>
                </pic:pic>
              </a:graphicData>
            </a:graphic>
          </wp:inline>
        </w:drawing>
      </w:r>
    </w:p>
    <w:p w14:paraId="1350E761" w14:textId="3A0BE27D" w:rsidR="0057386D" w:rsidRPr="00867BCF" w:rsidRDefault="00345BEB" w:rsidP="00F34532">
      <w:pPr>
        <w:spacing w:after="60"/>
        <w:jc w:val="center"/>
        <w:rPr>
          <w:rFonts w:ascii="Times New Roman" w:hAnsi="Times New Roman"/>
          <w:i/>
          <w:sz w:val="24"/>
          <w:szCs w:val="24"/>
        </w:rPr>
      </w:pPr>
      <w:r w:rsidRPr="00867BCF">
        <w:rPr>
          <w:rFonts w:ascii="Times New Roman" w:hAnsi="Times New Roman"/>
          <w:i/>
          <w:sz w:val="24"/>
          <w:szCs w:val="24"/>
        </w:rPr>
        <w:t>11</w:t>
      </w:r>
      <w:r w:rsidR="00402CE5" w:rsidRPr="00867BCF">
        <w:rPr>
          <w:rFonts w:ascii="Times New Roman" w:hAnsi="Times New Roman"/>
          <w:i/>
          <w:sz w:val="24"/>
          <w:szCs w:val="24"/>
        </w:rPr>
        <w:t>.</w:t>
      </w:r>
      <w:r w:rsidR="0057386D" w:rsidRPr="00867BCF">
        <w:rPr>
          <w:rFonts w:ascii="Times New Roman" w:hAnsi="Times New Roman"/>
          <w:i/>
          <w:sz w:val="24"/>
          <w:szCs w:val="24"/>
        </w:rPr>
        <w:t>attēls. Izmaiņas nodarbināto skaitā 2018.gads pret 2011.gadu, tūkst. un %.</w:t>
      </w:r>
    </w:p>
    <w:p w14:paraId="75CC3C86" w14:textId="77777777" w:rsidR="0057386D" w:rsidRPr="00867BCF" w:rsidRDefault="0057386D" w:rsidP="00C123FE">
      <w:pPr>
        <w:spacing w:after="60"/>
        <w:rPr>
          <w:rFonts w:ascii="Times New Roman" w:hAnsi="Times New Roman"/>
          <w:sz w:val="24"/>
          <w:szCs w:val="24"/>
        </w:rPr>
      </w:pPr>
    </w:p>
    <w:p w14:paraId="4DDD91FA" w14:textId="176A8BA4" w:rsidR="3C4CDBE0" w:rsidRPr="00867BCF" w:rsidRDefault="3C4CDBE0" w:rsidP="005A38F4">
      <w:pPr>
        <w:spacing w:after="120"/>
        <w:rPr>
          <w:rFonts w:ascii="Times New Roman" w:hAnsi="Times New Roman" w:cs="Times New Roman"/>
          <w:sz w:val="24"/>
          <w:szCs w:val="24"/>
        </w:rPr>
      </w:pPr>
      <w:r w:rsidRPr="00867BCF">
        <w:rPr>
          <w:rFonts w:ascii="Times New Roman" w:hAnsi="Times New Roman" w:cs="Times New Roman"/>
          <w:sz w:val="24"/>
          <w:szCs w:val="24"/>
        </w:rPr>
        <w:t>Pašvaldības jau šobrīd īsteno dažādus atbalsta pasākumus uzņē</w:t>
      </w:r>
      <w:r w:rsidR="0086382D" w:rsidRPr="00867BCF">
        <w:rPr>
          <w:rFonts w:ascii="Times New Roman" w:hAnsi="Times New Roman" w:cs="Times New Roman"/>
          <w:sz w:val="24"/>
          <w:szCs w:val="24"/>
        </w:rPr>
        <w:t>mējdarbības sekmēšanai – skat. 1</w:t>
      </w:r>
      <w:r w:rsidR="00345BEB" w:rsidRPr="00867BCF">
        <w:rPr>
          <w:rFonts w:ascii="Times New Roman" w:hAnsi="Times New Roman" w:cs="Times New Roman"/>
          <w:sz w:val="24"/>
          <w:szCs w:val="24"/>
        </w:rPr>
        <w:t>2</w:t>
      </w:r>
      <w:r w:rsidRPr="00867BCF">
        <w:rPr>
          <w:rFonts w:ascii="Times New Roman" w:hAnsi="Times New Roman" w:cs="Times New Roman"/>
          <w:sz w:val="24"/>
          <w:szCs w:val="24"/>
        </w:rPr>
        <w:t xml:space="preserve">.attēlu. Visbiežāk šie atbalsta pasākumi ir specifiski pielāgoti katras konkrētās pašvaldības situācijai un uzņēmēju vajadzībām. Pašvaldības to veic gan izmantojot ES fondu iespējas, gan veidojot pašvaldību budžeta atbalsta instrumentus. Normatīvajos aktos pastāvošā nepietiekamā pilnvarojuma dēļ pašvaldībām trūkst iespēju uzņēmēju piesaistē īstenot elastīgus </w:t>
      </w:r>
      <w:r w:rsidRPr="00867BCF">
        <w:rPr>
          <w:rFonts w:ascii="Times New Roman" w:hAnsi="Times New Roman" w:cs="Times New Roman"/>
          <w:sz w:val="24"/>
          <w:szCs w:val="24"/>
        </w:rPr>
        <w:lastRenderedPageBreak/>
        <w:t>risinājumus, ņemot vērā specifisko situāciju uz vietas, t.sk. neizmantotos resursus un teritorijas.</w:t>
      </w:r>
    </w:p>
    <w:p w14:paraId="56B41B8F" w14:textId="77777777" w:rsidR="00C123FE" w:rsidRPr="00867BCF" w:rsidRDefault="00C123FE" w:rsidP="005A38F4">
      <w:pPr>
        <w:spacing w:after="120"/>
        <w:rPr>
          <w:rFonts w:ascii="Times New Roman" w:hAnsi="Times New Roman" w:cs="Times New Roman"/>
          <w:sz w:val="24"/>
          <w:szCs w:val="24"/>
        </w:rPr>
      </w:pPr>
      <w:r w:rsidRPr="00867BCF">
        <w:rPr>
          <w:rFonts w:ascii="Times New Roman" w:hAnsi="Times New Roman" w:cs="Times New Roman"/>
          <w:sz w:val="24"/>
          <w:szCs w:val="24"/>
        </w:rPr>
        <w:t>Eiropas Savienības fondu 2014.-2020.gada plānošanas periodā VARAM īsteno atbalsta pasākumus, kuru ietvaros pirmo reizi tiek sniegts atbalsts pašvaldībām uzņēmējdarbības atbalsta infrastruktūras sakārtošanai un attīstīšanai, lai stimulētu jaunu darba vietu radīšanu un nefinanšu investīciju piesaisti reģionos:</w:t>
      </w:r>
    </w:p>
    <w:p w14:paraId="569219C9" w14:textId="77777777" w:rsidR="00C123FE" w:rsidRPr="00867BCF" w:rsidRDefault="00C123FE" w:rsidP="005A38F4">
      <w:pPr>
        <w:numPr>
          <w:ilvl w:val="1"/>
          <w:numId w:val="5"/>
        </w:numPr>
        <w:spacing w:after="120"/>
        <w:ind w:left="1434" w:hanging="357"/>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3.3.1. Specifiskais atbalsta mērķis (turpmāk - SAM) „Palielināt privāto investīciju apjomu reģionos, veicot ieguldījumus uzņēmējdarbības attīstībai atbilstoši pašvaldību attīstības programmās noteiktajai teritoriju ekonomiskajai specializācijai un balstoties uz vietējo uzņēmēju vajadzībām”</w:t>
      </w:r>
      <w:r w:rsidRPr="00867BCF">
        <w:rPr>
          <w:rFonts w:ascii="Times New Roman" w:eastAsia="Times New Roman" w:hAnsi="Times New Roman" w:cs="Times New Roman"/>
          <w:sz w:val="24"/>
          <w:szCs w:val="24"/>
          <w:vertAlign w:val="superscript"/>
        </w:rPr>
        <w:footnoteReference w:id="25"/>
      </w:r>
      <w:r w:rsidRPr="00867BCF">
        <w:rPr>
          <w:rFonts w:ascii="Times New Roman" w:eastAsia="Times New Roman" w:hAnsi="Times New Roman" w:cs="Times New Roman"/>
          <w:sz w:val="24"/>
          <w:szCs w:val="24"/>
        </w:rPr>
        <w:t>;</w:t>
      </w:r>
    </w:p>
    <w:p w14:paraId="3DF40FE2" w14:textId="77777777" w:rsidR="00C123FE" w:rsidRPr="00867BCF" w:rsidRDefault="00C123FE" w:rsidP="005A38F4">
      <w:pPr>
        <w:numPr>
          <w:ilvl w:val="1"/>
          <w:numId w:val="5"/>
        </w:numPr>
        <w:spacing w:after="120"/>
        <w:ind w:left="1434" w:hanging="357"/>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 xml:space="preserve">5.6.2.SAM „Teritoriju </w:t>
      </w:r>
      <w:proofErr w:type="spellStart"/>
      <w:r w:rsidRPr="00867BCF">
        <w:rPr>
          <w:rFonts w:ascii="Times New Roman" w:eastAsia="Times New Roman" w:hAnsi="Times New Roman" w:cs="Times New Roman"/>
          <w:sz w:val="24"/>
          <w:szCs w:val="24"/>
        </w:rPr>
        <w:t>revitalizācija</w:t>
      </w:r>
      <w:proofErr w:type="spellEnd"/>
      <w:r w:rsidRPr="00867BCF">
        <w:rPr>
          <w:rFonts w:ascii="Times New Roman" w:eastAsia="Times New Roman" w:hAnsi="Times New Roman" w:cs="Times New Roman"/>
          <w:sz w:val="24"/>
          <w:szCs w:val="24"/>
        </w:rPr>
        <w:t>, reģenerējot degradētās teritorijas atbilstoši pašvaldību integrētajām attīstības programmām”</w:t>
      </w:r>
      <w:r w:rsidRPr="00867BCF">
        <w:rPr>
          <w:rFonts w:ascii="Times New Roman" w:eastAsia="Times New Roman" w:hAnsi="Times New Roman" w:cs="Times New Roman"/>
          <w:sz w:val="24"/>
          <w:szCs w:val="24"/>
          <w:vertAlign w:val="superscript"/>
        </w:rPr>
        <w:footnoteReference w:id="26"/>
      </w:r>
      <w:r w:rsidRPr="00867BCF">
        <w:rPr>
          <w:rFonts w:ascii="Times New Roman" w:eastAsia="Times New Roman" w:hAnsi="Times New Roman" w:cs="Times New Roman"/>
          <w:sz w:val="24"/>
          <w:szCs w:val="24"/>
        </w:rPr>
        <w:t>.</w:t>
      </w:r>
    </w:p>
    <w:p w14:paraId="57121F1A" w14:textId="77777777" w:rsidR="00C123FE" w:rsidRPr="00867BCF" w:rsidRDefault="00C123FE" w:rsidP="00C123FE">
      <w:pPr>
        <w:spacing w:after="60"/>
        <w:rPr>
          <w:rFonts w:ascii="Times New Roman" w:hAnsi="Times New Roman" w:cs="Times New Roman"/>
          <w:sz w:val="24"/>
          <w:szCs w:val="24"/>
        </w:rPr>
      </w:pPr>
      <w:r w:rsidRPr="00867BCF">
        <w:rPr>
          <w:rFonts w:ascii="Times New Roman" w:hAnsi="Times New Roman" w:cs="Times New Roman"/>
          <w:sz w:val="24"/>
          <w:szCs w:val="24"/>
        </w:rPr>
        <w:t>Šo Eiropas Savienības fondu atbalsta programmu ietvaros tiek līdzfinansēti pašvaldību attīstības programmās noteiktie prioritārie publiskās infrastruktūras investīciju projekti, kas vērsti uz rūpniecisko teritoriju un citu uzņēmējdarbībai plānoto vai izmantoto degradēto teritoriju sakārtošanu.</w:t>
      </w:r>
    </w:p>
    <w:p w14:paraId="17F4356E" w14:textId="0373995E" w:rsidR="000125F0" w:rsidRPr="00867BCF" w:rsidRDefault="000125F0" w:rsidP="00C123FE">
      <w:pPr>
        <w:spacing w:after="120"/>
        <w:rPr>
          <w:rFonts w:ascii="Calibri" w:eastAsia="Calibri" w:hAnsi="Calibri" w:cs="Calibri"/>
        </w:rPr>
        <w:sectPr w:rsidR="000125F0" w:rsidRPr="00867BCF" w:rsidSect="008F7B3E">
          <w:headerReference w:type="default" r:id="rId26"/>
          <w:footerReference w:type="default" r:id="rId27"/>
          <w:type w:val="continuous"/>
          <w:pgSz w:w="11906" w:h="16838"/>
          <w:pgMar w:top="1440" w:right="1133" w:bottom="1440" w:left="1800" w:header="708" w:footer="708" w:gutter="0"/>
          <w:cols w:space="708"/>
          <w:docGrid w:linePitch="360"/>
        </w:sectPr>
      </w:pPr>
    </w:p>
    <w:p w14:paraId="4A301F50" w14:textId="77777777" w:rsidR="00F459AF" w:rsidRPr="00867BCF" w:rsidRDefault="00F459AF" w:rsidP="00CB66F5">
      <w:pPr>
        <w:jc w:val="center"/>
        <w:rPr>
          <w:rFonts w:ascii="Times New Roman" w:eastAsia="Times New Roman" w:hAnsi="Times New Roman" w:cs="Times New Roman"/>
          <w:i/>
          <w:sz w:val="24"/>
          <w:szCs w:val="24"/>
        </w:rPr>
      </w:pPr>
    </w:p>
    <w:p w14:paraId="702E37BC" w14:textId="41F3A70A" w:rsidR="000125F0" w:rsidRPr="00867BCF" w:rsidRDefault="000125F0" w:rsidP="00CB66F5">
      <w:pPr>
        <w:jc w:val="center"/>
        <w:rPr>
          <w:rFonts w:ascii="Times New Roman" w:eastAsia="Times New Roman" w:hAnsi="Times New Roman" w:cs="Times New Roman"/>
          <w:i/>
          <w:sz w:val="24"/>
          <w:szCs w:val="24"/>
        </w:rPr>
        <w:sectPr w:rsidR="000125F0" w:rsidRPr="00867BCF" w:rsidSect="000125F0">
          <w:type w:val="continuous"/>
          <w:pgSz w:w="16838" w:h="11906" w:orient="landscape"/>
          <w:pgMar w:top="1797" w:right="1440" w:bottom="1797" w:left="1440" w:header="709" w:footer="709" w:gutter="0"/>
          <w:cols w:space="708"/>
          <w:docGrid w:linePitch="360"/>
        </w:sectPr>
      </w:pPr>
      <w:r w:rsidRPr="00867BCF">
        <w:rPr>
          <w:b/>
          <w:i/>
          <w:noProof/>
          <w:lang w:eastAsia="lv-LV"/>
        </w:rPr>
        <w:drawing>
          <wp:anchor distT="0" distB="0" distL="114300" distR="114300" simplePos="0" relativeHeight="251658242" behindDoc="1" locked="0" layoutInCell="1" allowOverlap="1" wp14:anchorId="4FF1B91F" wp14:editId="0E94E024">
            <wp:simplePos x="0" y="0"/>
            <wp:positionH relativeFrom="margin">
              <wp:posOffset>1028424</wp:posOffset>
            </wp:positionH>
            <wp:positionV relativeFrom="margin">
              <wp:posOffset>-326279</wp:posOffset>
            </wp:positionV>
            <wp:extent cx="7240270" cy="4657725"/>
            <wp:effectExtent l="0" t="0" r="17780" b="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402CE5" w:rsidRPr="00867BCF">
        <w:rPr>
          <w:rFonts w:ascii="Times New Roman" w:eastAsia="Times New Roman" w:hAnsi="Times New Roman" w:cs="Times New Roman"/>
          <w:i/>
          <w:sz w:val="24"/>
          <w:szCs w:val="24"/>
        </w:rPr>
        <w:t>1</w:t>
      </w:r>
      <w:r w:rsidR="00345BEB" w:rsidRPr="00867BCF">
        <w:rPr>
          <w:rFonts w:ascii="Times New Roman" w:eastAsia="Times New Roman" w:hAnsi="Times New Roman" w:cs="Times New Roman"/>
          <w:i/>
          <w:sz w:val="24"/>
          <w:szCs w:val="24"/>
        </w:rPr>
        <w:t>2</w:t>
      </w:r>
      <w:r w:rsidR="0053367D" w:rsidRPr="00867BCF">
        <w:rPr>
          <w:rFonts w:ascii="Times New Roman" w:eastAsia="Times New Roman" w:hAnsi="Times New Roman" w:cs="Times New Roman"/>
          <w:i/>
          <w:sz w:val="24"/>
          <w:szCs w:val="24"/>
        </w:rPr>
        <w:t>.attēls. Pašvaldīb</w:t>
      </w:r>
      <w:r w:rsidR="00402CE5" w:rsidRPr="00867BCF">
        <w:rPr>
          <w:rFonts w:ascii="Times New Roman" w:eastAsia="Times New Roman" w:hAnsi="Times New Roman" w:cs="Times New Roman"/>
          <w:i/>
          <w:sz w:val="24"/>
          <w:szCs w:val="24"/>
        </w:rPr>
        <w:t>u sniegtais atbalsts uzņēmējiem.</w:t>
      </w:r>
    </w:p>
    <w:p w14:paraId="17019A36" w14:textId="0EB27B3B" w:rsidR="0053367D" w:rsidRPr="00867BCF" w:rsidRDefault="0053367D" w:rsidP="00C123FE">
      <w:pPr>
        <w:spacing w:after="120"/>
        <w:rPr>
          <w:rFonts w:ascii="Times New Roman" w:eastAsia="Times New Roman" w:hAnsi="Times New Roman" w:cs="Times New Roman"/>
          <w:sz w:val="24"/>
          <w:szCs w:val="24"/>
        </w:rPr>
      </w:pPr>
    </w:p>
    <w:p w14:paraId="285B2696" w14:textId="77777777" w:rsidR="00BF656E" w:rsidRPr="00867BCF" w:rsidRDefault="00BF656E" w:rsidP="00C270C0">
      <w:pPr>
        <w:spacing w:after="60"/>
        <w:rPr>
          <w:rFonts w:ascii="Times New Roman" w:hAnsi="Times New Roman" w:cs="Times New Roman"/>
          <w:sz w:val="24"/>
          <w:szCs w:val="24"/>
        </w:rPr>
      </w:pPr>
      <w:r w:rsidRPr="00867BCF">
        <w:rPr>
          <w:rFonts w:ascii="Times New Roman" w:hAnsi="Times New Roman" w:cs="Times New Roman"/>
          <w:sz w:val="24"/>
          <w:szCs w:val="24"/>
        </w:rPr>
        <w:t xml:space="preserve">3.3.1. un 5.6.2 SAM  ES fondu projektos līdz 2023.gadam plānotas 5 tūkstoši jaunas darba vietas un piesaistītu vairāk nekā 300 milj. </w:t>
      </w:r>
      <w:proofErr w:type="spellStart"/>
      <w:r w:rsidRPr="00867BCF">
        <w:rPr>
          <w:rFonts w:ascii="Times New Roman" w:hAnsi="Times New Roman" w:cs="Times New Roman"/>
          <w:i/>
          <w:sz w:val="24"/>
          <w:szCs w:val="24"/>
        </w:rPr>
        <w:t>euro</w:t>
      </w:r>
      <w:proofErr w:type="spellEnd"/>
      <w:r w:rsidRPr="00867BCF">
        <w:rPr>
          <w:rFonts w:ascii="Times New Roman" w:hAnsi="Times New Roman" w:cs="Times New Roman"/>
          <w:sz w:val="24"/>
          <w:szCs w:val="24"/>
        </w:rPr>
        <w:t xml:space="preserve"> </w:t>
      </w:r>
      <w:proofErr w:type="spellStart"/>
      <w:r w:rsidRPr="00867BCF">
        <w:rPr>
          <w:rFonts w:ascii="Times New Roman" w:hAnsi="Times New Roman" w:cs="Times New Roman"/>
          <w:sz w:val="24"/>
          <w:szCs w:val="24"/>
        </w:rPr>
        <w:t>nefinanšu</w:t>
      </w:r>
      <w:proofErr w:type="spellEnd"/>
      <w:r w:rsidRPr="00867BCF">
        <w:rPr>
          <w:rFonts w:ascii="Times New Roman" w:hAnsi="Times New Roman" w:cs="Times New Roman"/>
          <w:sz w:val="24"/>
          <w:szCs w:val="24"/>
        </w:rPr>
        <w:t xml:space="preserve"> investīcijas no privātā sektora puses. Jaunu darba vietu izveide palielina konkurenci starp darba devējiem, tādējādi veicinot vidējās algas un labklājības pieaugumu. Uz 2019.gada 17.jūliju 3.3.1. SAM faktiski sasniegtas 322 jaunradītās darba vietas un 24 299 242 </w:t>
      </w:r>
      <w:proofErr w:type="spellStart"/>
      <w:r w:rsidRPr="00867BCF">
        <w:rPr>
          <w:rFonts w:ascii="Times New Roman" w:hAnsi="Times New Roman" w:cs="Times New Roman"/>
          <w:i/>
          <w:sz w:val="24"/>
          <w:szCs w:val="24"/>
        </w:rPr>
        <w:t>euro</w:t>
      </w:r>
      <w:proofErr w:type="spellEnd"/>
      <w:r w:rsidRPr="00867BCF">
        <w:rPr>
          <w:rFonts w:ascii="Times New Roman" w:hAnsi="Times New Roman" w:cs="Times New Roman"/>
          <w:sz w:val="24"/>
          <w:szCs w:val="24"/>
        </w:rPr>
        <w:t xml:space="preserve"> piesaistītās privātās investīcijas. 5.6.2. SAM faktiski sasniegtas 662 jaunradītas darba vietas un 93 215 216 </w:t>
      </w:r>
      <w:proofErr w:type="spellStart"/>
      <w:r w:rsidRPr="00867BCF">
        <w:rPr>
          <w:rFonts w:ascii="Times New Roman" w:hAnsi="Times New Roman" w:cs="Times New Roman"/>
          <w:i/>
          <w:sz w:val="24"/>
          <w:szCs w:val="24"/>
        </w:rPr>
        <w:t>euro</w:t>
      </w:r>
      <w:proofErr w:type="spellEnd"/>
      <w:r w:rsidRPr="00867BCF">
        <w:rPr>
          <w:rFonts w:ascii="Times New Roman" w:hAnsi="Times New Roman" w:cs="Times New Roman"/>
          <w:sz w:val="24"/>
          <w:szCs w:val="24"/>
        </w:rPr>
        <w:t xml:space="preserve"> piesaistītās privātās investīcijas. Sasniegts arī ievērojams progress projektu ieviešanā, </w:t>
      </w:r>
      <w:r w:rsidRPr="00174EF2">
        <w:rPr>
          <w:rFonts w:ascii="Times New Roman" w:hAnsi="Times New Roman" w:cs="Times New Roman"/>
          <w:sz w:val="24"/>
          <w:szCs w:val="24"/>
        </w:rPr>
        <w:t>sk. 1.tabulu.</w:t>
      </w:r>
    </w:p>
    <w:p w14:paraId="37A8F96B" w14:textId="77777777" w:rsidR="00BF656E" w:rsidRPr="00867BCF" w:rsidRDefault="00BF656E" w:rsidP="00BF656E">
      <w:pPr>
        <w:spacing w:after="60" w:line="259" w:lineRule="auto"/>
        <w:rPr>
          <w:rFonts w:ascii="Times New Roman" w:hAnsi="Times New Roman" w:cs="Times New Roman"/>
          <w:sz w:val="24"/>
          <w:szCs w:val="24"/>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1417"/>
        <w:gridCol w:w="1276"/>
        <w:gridCol w:w="1913"/>
        <w:gridCol w:w="1914"/>
      </w:tblGrid>
      <w:tr w:rsidR="00BF656E" w:rsidRPr="00867BCF" w14:paraId="011A78A6" w14:textId="77777777" w:rsidTr="00A854EB">
        <w:trPr>
          <w:trHeight w:val="533"/>
        </w:trPr>
        <w:tc>
          <w:tcPr>
            <w:tcW w:w="1843" w:type="dxa"/>
            <w:vMerge w:val="restart"/>
            <w:shd w:val="clear" w:color="auto" w:fill="auto"/>
            <w:tcMar>
              <w:top w:w="15" w:type="dxa"/>
              <w:left w:w="15" w:type="dxa"/>
              <w:bottom w:w="0" w:type="dxa"/>
              <w:right w:w="15" w:type="dxa"/>
            </w:tcMar>
            <w:vAlign w:val="center"/>
            <w:hideMark/>
          </w:tcPr>
          <w:p w14:paraId="4BE41E96"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SAM</w:t>
            </w:r>
          </w:p>
        </w:tc>
        <w:tc>
          <w:tcPr>
            <w:tcW w:w="1417" w:type="dxa"/>
            <w:vMerge w:val="restart"/>
            <w:shd w:val="clear" w:color="auto" w:fill="auto"/>
            <w:tcMar>
              <w:top w:w="15" w:type="dxa"/>
              <w:left w:w="15" w:type="dxa"/>
              <w:bottom w:w="0" w:type="dxa"/>
              <w:right w:w="15" w:type="dxa"/>
            </w:tcMar>
            <w:vAlign w:val="center"/>
            <w:hideMark/>
          </w:tcPr>
          <w:p w14:paraId="09762F05"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 xml:space="preserve">ERAF, </w:t>
            </w:r>
            <w:proofErr w:type="spellStart"/>
            <w:r w:rsidRPr="00867BCF">
              <w:rPr>
                <w:rFonts w:ascii="Times New Roman" w:hAnsi="Times New Roman" w:cs="Times New Roman"/>
                <w:b/>
                <w:bCs/>
                <w:i/>
                <w:sz w:val="24"/>
                <w:szCs w:val="24"/>
              </w:rPr>
              <w:t>euro</w:t>
            </w:r>
            <w:proofErr w:type="spellEnd"/>
          </w:p>
        </w:tc>
        <w:tc>
          <w:tcPr>
            <w:tcW w:w="1276" w:type="dxa"/>
            <w:vMerge w:val="restart"/>
            <w:shd w:val="clear" w:color="auto" w:fill="auto"/>
            <w:tcMar>
              <w:top w:w="15" w:type="dxa"/>
              <w:left w:w="15" w:type="dxa"/>
              <w:bottom w:w="0" w:type="dxa"/>
              <w:right w:w="15" w:type="dxa"/>
            </w:tcMar>
            <w:vAlign w:val="center"/>
            <w:hideMark/>
          </w:tcPr>
          <w:p w14:paraId="15F69415"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Plānotais projektu skaits</w:t>
            </w:r>
          </w:p>
        </w:tc>
        <w:tc>
          <w:tcPr>
            <w:tcW w:w="3827" w:type="dxa"/>
            <w:gridSpan w:val="2"/>
            <w:shd w:val="clear" w:color="auto" w:fill="auto"/>
            <w:tcMar>
              <w:top w:w="15" w:type="dxa"/>
              <w:left w:w="15" w:type="dxa"/>
              <w:bottom w:w="0" w:type="dxa"/>
              <w:right w:w="15" w:type="dxa"/>
            </w:tcMar>
            <w:vAlign w:val="center"/>
            <w:hideMark/>
          </w:tcPr>
          <w:p w14:paraId="2F9BA520"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Aktuālie dati uz 03.06.2019.</w:t>
            </w:r>
          </w:p>
        </w:tc>
      </w:tr>
      <w:tr w:rsidR="00BF656E" w:rsidRPr="00867BCF" w14:paraId="74B7A5B6" w14:textId="77777777" w:rsidTr="00A854EB">
        <w:trPr>
          <w:trHeight w:val="724"/>
        </w:trPr>
        <w:tc>
          <w:tcPr>
            <w:tcW w:w="1843" w:type="dxa"/>
            <w:vMerge/>
            <w:vAlign w:val="center"/>
            <w:hideMark/>
          </w:tcPr>
          <w:p w14:paraId="6F93185F" w14:textId="77777777" w:rsidR="00BF656E" w:rsidRPr="00867BCF" w:rsidRDefault="00BF656E" w:rsidP="00A854EB">
            <w:pPr>
              <w:spacing w:after="60"/>
              <w:jc w:val="center"/>
              <w:rPr>
                <w:rFonts w:ascii="Times New Roman" w:hAnsi="Times New Roman" w:cs="Times New Roman"/>
                <w:b/>
                <w:sz w:val="24"/>
                <w:szCs w:val="24"/>
              </w:rPr>
            </w:pPr>
          </w:p>
        </w:tc>
        <w:tc>
          <w:tcPr>
            <w:tcW w:w="1417" w:type="dxa"/>
            <w:vMerge/>
            <w:vAlign w:val="center"/>
            <w:hideMark/>
          </w:tcPr>
          <w:p w14:paraId="791AEAD2" w14:textId="77777777" w:rsidR="00BF656E" w:rsidRPr="00867BCF" w:rsidRDefault="00BF656E" w:rsidP="00A854EB">
            <w:pPr>
              <w:spacing w:after="60"/>
              <w:jc w:val="center"/>
              <w:rPr>
                <w:rFonts w:ascii="Times New Roman" w:hAnsi="Times New Roman" w:cs="Times New Roman"/>
                <w:b/>
                <w:sz w:val="24"/>
                <w:szCs w:val="24"/>
              </w:rPr>
            </w:pPr>
          </w:p>
        </w:tc>
        <w:tc>
          <w:tcPr>
            <w:tcW w:w="1276" w:type="dxa"/>
            <w:vMerge/>
            <w:vAlign w:val="center"/>
            <w:hideMark/>
          </w:tcPr>
          <w:p w14:paraId="18AF7ED7" w14:textId="77777777" w:rsidR="00BF656E" w:rsidRPr="00867BCF" w:rsidRDefault="00BF656E" w:rsidP="00A854EB">
            <w:pPr>
              <w:spacing w:after="60"/>
              <w:jc w:val="center"/>
              <w:rPr>
                <w:rFonts w:ascii="Times New Roman" w:hAnsi="Times New Roman" w:cs="Times New Roman"/>
                <w:b/>
                <w:sz w:val="24"/>
                <w:szCs w:val="24"/>
              </w:rPr>
            </w:pPr>
          </w:p>
        </w:tc>
        <w:tc>
          <w:tcPr>
            <w:tcW w:w="1913" w:type="dxa"/>
            <w:shd w:val="clear" w:color="auto" w:fill="auto"/>
            <w:tcMar>
              <w:top w:w="15" w:type="dxa"/>
              <w:left w:w="15" w:type="dxa"/>
              <w:bottom w:w="0" w:type="dxa"/>
              <w:right w:w="15" w:type="dxa"/>
            </w:tcMar>
            <w:vAlign w:val="center"/>
            <w:hideMark/>
          </w:tcPr>
          <w:p w14:paraId="1FA1BE06"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Projekti</w:t>
            </w:r>
            <w:r w:rsidRPr="00867BCF">
              <w:rPr>
                <w:rStyle w:val="FootnoteReference"/>
                <w:rFonts w:ascii="Times New Roman" w:hAnsi="Times New Roman" w:cs="Times New Roman"/>
                <w:b/>
                <w:bCs/>
                <w:sz w:val="24"/>
                <w:szCs w:val="24"/>
              </w:rPr>
              <w:footnoteReference w:id="27"/>
            </w:r>
          </w:p>
        </w:tc>
        <w:tc>
          <w:tcPr>
            <w:tcW w:w="1914" w:type="dxa"/>
            <w:shd w:val="clear" w:color="auto" w:fill="auto"/>
            <w:tcMar>
              <w:top w:w="15" w:type="dxa"/>
              <w:left w:w="15" w:type="dxa"/>
              <w:bottom w:w="0" w:type="dxa"/>
              <w:right w:w="15" w:type="dxa"/>
            </w:tcMar>
            <w:vAlign w:val="center"/>
            <w:hideMark/>
          </w:tcPr>
          <w:p w14:paraId="1B039D56"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 xml:space="preserve">ERAF, </w:t>
            </w:r>
            <w:proofErr w:type="spellStart"/>
            <w:r w:rsidRPr="00867BCF">
              <w:rPr>
                <w:rFonts w:ascii="Times New Roman" w:hAnsi="Times New Roman" w:cs="Times New Roman"/>
                <w:b/>
                <w:bCs/>
                <w:i/>
                <w:sz w:val="24"/>
                <w:szCs w:val="24"/>
              </w:rPr>
              <w:t>euro</w:t>
            </w:r>
            <w:proofErr w:type="spellEnd"/>
          </w:p>
        </w:tc>
      </w:tr>
      <w:tr w:rsidR="00BF656E" w:rsidRPr="00867BCF" w14:paraId="2672C748" w14:textId="77777777" w:rsidTr="00A854EB">
        <w:trPr>
          <w:trHeight w:val="609"/>
        </w:trPr>
        <w:tc>
          <w:tcPr>
            <w:tcW w:w="1843" w:type="dxa"/>
            <w:shd w:val="clear" w:color="auto" w:fill="auto"/>
            <w:tcMar>
              <w:top w:w="15" w:type="dxa"/>
              <w:left w:w="15" w:type="dxa"/>
              <w:bottom w:w="0" w:type="dxa"/>
              <w:right w:w="15" w:type="dxa"/>
            </w:tcMar>
            <w:vAlign w:val="center"/>
            <w:hideMark/>
          </w:tcPr>
          <w:p w14:paraId="445D1D2B" w14:textId="77777777" w:rsidR="00BF656E" w:rsidRPr="00867BCF" w:rsidRDefault="00BF656E" w:rsidP="00A854EB">
            <w:pPr>
              <w:spacing w:after="60"/>
              <w:rPr>
                <w:rFonts w:ascii="Times New Roman" w:hAnsi="Times New Roman" w:cs="Times New Roman"/>
                <w:b/>
                <w:bCs/>
                <w:sz w:val="24"/>
                <w:szCs w:val="24"/>
              </w:rPr>
            </w:pPr>
            <w:r w:rsidRPr="00867BCF">
              <w:rPr>
                <w:rFonts w:ascii="Times New Roman" w:hAnsi="Times New Roman" w:cs="Times New Roman"/>
                <w:b/>
                <w:bCs/>
                <w:sz w:val="24"/>
                <w:szCs w:val="24"/>
              </w:rPr>
              <w:t>3.3.1.</w:t>
            </w:r>
          </w:p>
        </w:tc>
        <w:tc>
          <w:tcPr>
            <w:tcW w:w="1417" w:type="dxa"/>
            <w:shd w:val="clear" w:color="auto" w:fill="auto"/>
            <w:tcMar>
              <w:top w:w="15" w:type="dxa"/>
              <w:left w:w="15" w:type="dxa"/>
              <w:bottom w:w="0" w:type="dxa"/>
              <w:right w:w="15" w:type="dxa"/>
            </w:tcMar>
            <w:vAlign w:val="center"/>
            <w:hideMark/>
          </w:tcPr>
          <w:p w14:paraId="4334E3BF"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64 219 292</w:t>
            </w:r>
          </w:p>
        </w:tc>
        <w:tc>
          <w:tcPr>
            <w:tcW w:w="1276" w:type="dxa"/>
            <w:shd w:val="clear" w:color="auto" w:fill="auto"/>
            <w:tcMar>
              <w:top w:w="15" w:type="dxa"/>
              <w:left w:w="15" w:type="dxa"/>
              <w:bottom w:w="0" w:type="dxa"/>
              <w:right w:w="15" w:type="dxa"/>
            </w:tcMar>
            <w:vAlign w:val="center"/>
            <w:hideMark/>
          </w:tcPr>
          <w:p w14:paraId="5F11EA28"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96</w:t>
            </w:r>
          </w:p>
        </w:tc>
        <w:tc>
          <w:tcPr>
            <w:tcW w:w="1913" w:type="dxa"/>
            <w:shd w:val="clear" w:color="auto" w:fill="auto"/>
            <w:tcMar>
              <w:top w:w="15" w:type="dxa"/>
              <w:left w:w="15" w:type="dxa"/>
              <w:bottom w:w="0" w:type="dxa"/>
              <w:right w:w="15" w:type="dxa"/>
            </w:tcMar>
            <w:vAlign w:val="center"/>
            <w:hideMark/>
          </w:tcPr>
          <w:p w14:paraId="4D50DD38"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84</w:t>
            </w:r>
          </w:p>
          <w:p w14:paraId="32437B45"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(88%)</w:t>
            </w:r>
          </w:p>
        </w:tc>
        <w:tc>
          <w:tcPr>
            <w:tcW w:w="1914" w:type="dxa"/>
            <w:shd w:val="clear" w:color="auto" w:fill="auto"/>
            <w:tcMar>
              <w:top w:w="15" w:type="dxa"/>
              <w:left w:w="15" w:type="dxa"/>
              <w:bottom w:w="0" w:type="dxa"/>
              <w:right w:w="15" w:type="dxa"/>
            </w:tcMar>
            <w:vAlign w:val="center"/>
            <w:hideMark/>
          </w:tcPr>
          <w:p w14:paraId="61DCDC4F"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53 249 040</w:t>
            </w:r>
          </w:p>
          <w:p w14:paraId="70FC9F28"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(83%)</w:t>
            </w:r>
          </w:p>
        </w:tc>
      </w:tr>
      <w:tr w:rsidR="00BF656E" w:rsidRPr="00867BCF" w14:paraId="63F355B2" w14:textId="77777777" w:rsidTr="00A854EB">
        <w:trPr>
          <w:trHeight w:val="609"/>
        </w:trPr>
        <w:tc>
          <w:tcPr>
            <w:tcW w:w="1843" w:type="dxa"/>
            <w:shd w:val="clear" w:color="auto" w:fill="auto"/>
            <w:tcMar>
              <w:top w:w="15" w:type="dxa"/>
              <w:left w:w="15" w:type="dxa"/>
              <w:bottom w:w="0" w:type="dxa"/>
              <w:right w:w="15" w:type="dxa"/>
            </w:tcMar>
            <w:vAlign w:val="center"/>
            <w:hideMark/>
          </w:tcPr>
          <w:p w14:paraId="1C53D17A" w14:textId="18985E02" w:rsidR="00BF656E" w:rsidRPr="00867BCF" w:rsidRDefault="00B00906" w:rsidP="00A854EB">
            <w:pPr>
              <w:spacing w:after="60"/>
              <w:rPr>
                <w:rFonts w:ascii="Times New Roman" w:hAnsi="Times New Roman" w:cs="Times New Roman"/>
                <w:sz w:val="24"/>
                <w:szCs w:val="24"/>
              </w:rPr>
            </w:pPr>
            <w:r>
              <w:rPr>
                <w:rFonts w:ascii="Times New Roman" w:hAnsi="Times New Roman" w:cs="Times New Roman"/>
                <w:sz w:val="24"/>
                <w:szCs w:val="24"/>
              </w:rPr>
              <w:t xml:space="preserve">Nacionālas nozīmes attīstības </w:t>
            </w:r>
            <w:r w:rsidR="00BF656E" w:rsidRPr="00867BCF">
              <w:rPr>
                <w:rFonts w:ascii="Times New Roman" w:hAnsi="Times New Roman" w:cs="Times New Roman"/>
                <w:sz w:val="24"/>
                <w:szCs w:val="24"/>
              </w:rPr>
              <w:t xml:space="preserve"> centri</w:t>
            </w:r>
          </w:p>
        </w:tc>
        <w:tc>
          <w:tcPr>
            <w:tcW w:w="1417" w:type="dxa"/>
            <w:shd w:val="clear" w:color="auto" w:fill="auto"/>
            <w:tcMar>
              <w:top w:w="15" w:type="dxa"/>
              <w:left w:w="15" w:type="dxa"/>
              <w:bottom w:w="0" w:type="dxa"/>
              <w:right w:w="15" w:type="dxa"/>
            </w:tcMar>
            <w:vAlign w:val="center"/>
            <w:hideMark/>
          </w:tcPr>
          <w:p w14:paraId="5697F143"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16 114 183</w:t>
            </w:r>
          </w:p>
        </w:tc>
        <w:tc>
          <w:tcPr>
            <w:tcW w:w="1276" w:type="dxa"/>
            <w:shd w:val="clear" w:color="auto" w:fill="auto"/>
            <w:tcMar>
              <w:top w:w="15" w:type="dxa"/>
              <w:left w:w="15" w:type="dxa"/>
              <w:bottom w:w="0" w:type="dxa"/>
              <w:right w:w="15" w:type="dxa"/>
            </w:tcMar>
            <w:vAlign w:val="center"/>
            <w:hideMark/>
          </w:tcPr>
          <w:p w14:paraId="1E0F7D2B"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13</w:t>
            </w:r>
          </w:p>
        </w:tc>
        <w:tc>
          <w:tcPr>
            <w:tcW w:w="1913" w:type="dxa"/>
            <w:shd w:val="clear" w:color="auto" w:fill="auto"/>
            <w:tcMar>
              <w:top w:w="15" w:type="dxa"/>
              <w:left w:w="15" w:type="dxa"/>
              <w:bottom w:w="0" w:type="dxa"/>
              <w:right w:w="15" w:type="dxa"/>
            </w:tcMar>
            <w:vAlign w:val="center"/>
            <w:hideMark/>
          </w:tcPr>
          <w:p w14:paraId="5341AEB1"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11</w:t>
            </w:r>
          </w:p>
          <w:p w14:paraId="19D78E80"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(85%)</w:t>
            </w:r>
          </w:p>
        </w:tc>
        <w:tc>
          <w:tcPr>
            <w:tcW w:w="1914" w:type="dxa"/>
            <w:shd w:val="clear" w:color="auto" w:fill="auto"/>
            <w:tcMar>
              <w:top w:w="15" w:type="dxa"/>
              <w:left w:w="15" w:type="dxa"/>
              <w:bottom w:w="0" w:type="dxa"/>
              <w:right w:w="15" w:type="dxa"/>
            </w:tcMar>
            <w:vAlign w:val="center"/>
            <w:hideMark/>
          </w:tcPr>
          <w:p w14:paraId="7D8281F0"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11 895 165</w:t>
            </w:r>
          </w:p>
          <w:p w14:paraId="12BFD24B"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(74%)</w:t>
            </w:r>
          </w:p>
        </w:tc>
      </w:tr>
      <w:tr w:rsidR="00BF656E" w:rsidRPr="00867BCF" w14:paraId="740FC5C5" w14:textId="77777777" w:rsidTr="00A854EB">
        <w:trPr>
          <w:trHeight w:val="609"/>
        </w:trPr>
        <w:tc>
          <w:tcPr>
            <w:tcW w:w="1843" w:type="dxa"/>
            <w:shd w:val="clear" w:color="auto" w:fill="auto"/>
            <w:tcMar>
              <w:top w:w="15" w:type="dxa"/>
              <w:left w:w="15" w:type="dxa"/>
              <w:bottom w:w="0" w:type="dxa"/>
              <w:right w:w="15" w:type="dxa"/>
            </w:tcMar>
            <w:vAlign w:val="center"/>
            <w:hideMark/>
          </w:tcPr>
          <w:p w14:paraId="092B6E53" w14:textId="71D12570" w:rsidR="00BF656E" w:rsidRPr="00867BCF" w:rsidRDefault="00B00906" w:rsidP="00A854EB">
            <w:pPr>
              <w:spacing w:after="60"/>
              <w:rPr>
                <w:rFonts w:ascii="Times New Roman" w:hAnsi="Times New Roman" w:cs="Times New Roman"/>
                <w:sz w:val="24"/>
                <w:szCs w:val="24"/>
              </w:rPr>
            </w:pPr>
            <w:r>
              <w:rPr>
                <w:rFonts w:ascii="Times New Roman" w:hAnsi="Times New Roman" w:cs="Times New Roman"/>
                <w:sz w:val="24"/>
                <w:szCs w:val="24"/>
              </w:rPr>
              <w:t>Reģionālas</w:t>
            </w:r>
            <w:r w:rsidR="00BF656E" w:rsidRPr="00867BCF">
              <w:rPr>
                <w:rFonts w:ascii="Times New Roman" w:hAnsi="Times New Roman" w:cs="Times New Roman"/>
                <w:sz w:val="24"/>
                <w:szCs w:val="24"/>
              </w:rPr>
              <w:t xml:space="preserve"> </w:t>
            </w:r>
            <w:r>
              <w:rPr>
                <w:rFonts w:ascii="Times New Roman" w:hAnsi="Times New Roman" w:cs="Times New Roman"/>
                <w:sz w:val="24"/>
                <w:szCs w:val="24"/>
              </w:rPr>
              <w:t xml:space="preserve">nozīmes attīstības </w:t>
            </w:r>
            <w:r w:rsidRPr="00867BCF">
              <w:rPr>
                <w:rFonts w:ascii="Times New Roman" w:hAnsi="Times New Roman" w:cs="Times New Roman"/>
                <w:sz w:val="24"/>
                <w:szCs w:val="24"/>
              </w:rPr>
              <w:t xml:space="preserve"> centri</w:t>
            </w:r>
          </w:p>
        </w:tc>
        <w:tc>
          <w:tcPr>
            <w:tcW w:w="1417" w:type="dxa"/>
            <w:shd w:val="clear" w:color="auto" w:fill="auto"/>
            <w:tcMar>
              <w:top w:w="15" w:type="dxa"/>
              <w:left w:w="15" w:type="dxa"/>
              <w:bottom w:w="0" w:type="dxa"/>
              <w:right w:w="15" w:type="dxa"/>
            </w:tcMar>
            <w:vAlign w:val="center"/>
            <w:hideMark/>
          </w:tcPr>
          <w:p w14:paraId="623425C4"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10 911 633</w:t>
            </w:r>
          </w:p>
        </w:tc>
        <w:tc>
          <w:tcPr>
            <w:tcW w:w="1276" w:type="dxa"/>
            <w:shd w:val="clear" w:color="auto" w:fill="auto"/>
            <w:tcMar>
              <w:top w:w="15" w:type="dxa"/>
              <w:left w:w="15" w:type="dxa"/>
              <w:bottom w:w="0" w:type="dxa"/>
              <w:right w:w="15" w:type="dxa"/>
            </w:tcMar>
            <w:vAlign w:val="center"/>
            <w:hideMark/>
          </w:tcPr>
          <w:p w14:paraId="0599B237"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27</w:t>
            </w:r>
          </w:p>
        </w:tc>
        <w:tc>
          <w:tcPr>
            <w:tcW w:w="1913" w:type="dxa"/>
            <w:shd w:val="clear" w:color="auto" w:fill="auto"/>
            <w:tcMar>
              <w:top w:w="15" w:type="dxa"/>
              <w:left w:w="15" w:type="dxa"/>
              <w:bottom w:w="0" w:type="dxa"/>
              <w:right w:w="15" w:type="dxa"/>
            </w:tcMar>
            <w:vAlign w:val="center"/>
            <w:hideMark/>
          </w:tcPr>
          <w:p w14:paraId="74568B92"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21</w:t>
            </w:r>
          </w:p>
          <w:p w14:paraId="37354498"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(78%)</w:t>
            </w:r>
          </w:p>
        </w:tc>
        <w:tc>
          <w:tcPr>
            <w:tcW w:w="1914" w:type="dxa"/>
            <w:shd w:val="clear" w:color="auto" w:fill="auto"/>
            <w:tcMar>
              <w:top w:w="15" w:type="dxa"/>
              <w:left w:w="15" w:type="dxa"/>
              <w:bottom w:w="0" w:type="dxa"/>
              <w:right w:w="15" w:type="dxa"/>
            </w:tcMar>
            <w:vAlign w:val="center"/>
            <w:hideMark/>
          </w:tcPr>
          <w:p w14:paraId="11954C12"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9 097 582</w:t>
            </w:r>
          </w:p>
          <w:p w14:paraId="279401A4"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(83%)</w:t>
            </w:r>
          </w:p>
        </w:tc>
      </w:tr>
      <w:tr w:rsidR="00BF656E" w:rsidRPr="00867BCF" w14:paraId="2FC30288" w14:textId="77777777" w:rsidTr="00A854EB">
        <w:trPr>
          <w:trHeight w:val="609"/>
        </w:trPr>
        <w:tc>
          <w:tcPr>
            <w:tcW w:w="1843" w:type="dxa"/>
            <w:shd w:val="clear" w:color="auto" w:fill="auto"/>
            <w:tcMar>
              <w:top w:w="15" w:type="dxa"/>
              <w:left w:w="15" w:type="dxa"/>
              <w:bottom w:w="0" w:type="dxa"/>
              <w:right w:w="15" w:type="dxa"/>
            </w:tcMar>
            <w:vAlign w:val="center"/>
            <w:hideMark/>
          </w:tcPr>
          <w:p w14:paraId="1C230490" w14:textId="77777777" w:rsidR="00BF656E" w:rsidRPr="00867BCF" w:rsidRDefault="00BF656E" w:rsidP="00A854EB">
            <w:pPr>
              <w:spacing w:after="60"/>
              <w:rPr>
                <w:rFonts w:ascii="Times New Roman" w:hAnsi="Times New Roman" w:cs="Times New Roman"/>
                <w:sz w:val="24"/>
                <w:szCs w:val="24"/>
              </w:rPr>
            </w:pPr>
            <w:r w:rsidRPr="00867BCF">
              <w:rPr>
                <w:rFonts w:ascii="Times New Roman" w:hAnsi="Times New Roman" w:cs="Times New Roman"/>
                <w:sz w:val="24"/>
                <w:szCs w:val="24"/>
              </w:rPr>
              <w:t>89 novadi</w:t>
            </w:r>
          </w:p>
        </w:tc>
        <w:tc>
          <w:tcPr>
            <w:tcW w:w="1417" w:type="dxa"/>
            <w:shd w:val="clear" w:color="auto" w:fill="auto"/>
            <w:tcMar>
              <w:top w:w="15" w:type="dxa"/>
              <w:left w:w="15" w:type="dxa"/>
              <w:bottom w:w="0" w:type="dxa"/>
              <w:right w:w="15" w:type="dxa"/>
            </w:tcMar>
            <w:vAlign w:val="center"/>
            <w:hideMark/>
          </w:tcPr>
          <w:p w14:paraId="0672D4AB"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37 193 476</w:t>
            </w:r>
          </w:p>
        </w:tc>
        <w:tc>
          <w:tcPr>
            <w:tcW w:w="1276" w:type="dxa"/>
            <w:shd w:val="clear" w:color="auto" w:fill="auto"/>
            <w:tcMar>
              <w:top w:w="15" w:type="dxa"/>
              <w:left w:w="15" w:type="dxa"/>
              <w:bottom w:w="0" w:type="dxa"/>
              <w:right w:w="15" w:type="dxa"/>
            </w:tcMar>
            <w:vAlign w:val="center"/>
            <w:hideMark/>
          </w:tcPr>
          <w:p w14:paraId="7E555B1D"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56</w:t>
            </w:r>
          </w:p>
        </w:tc>
        <w:tc>
          <w:tcPr>
            <w:tcW w:w="1913" w:type="dxa"/>
            <w:shd w:val="clear" w:color="auto" w:fill="auto"/>
            <w:tcMar>
              <w:top w:w="15" w:type="dxa"/>
              <w:left w:w="15" w:type="dxa"/>
              <w:bottom w:w="0" w:type="dxa"/>
              <w:right w:w="15" w:type="dxa"/>
            </w:tcMar>
            <w:vAlign w:val="center"/>
            <w:hideMark/>
          </w:tcPr>
          <w:p w14:paraId="2B95742D"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52</w:t>
            </w:r>
          </w:p>
          <w:p w14:paraId="1F96B9F1"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(93%)</w:t>
            </w:r>
          </w:p>
        </w:tc>
        <w:tc>
          <w:tcPr>
            <w:tcW w:w="1914" w:type="dxa"/>
            <w:shd w:val="clear" w:color="auto" w:fill="auto"/>
            <w:tcMar>
              <w:top w:w="15" w:type="dxa"/>
              <w:left w:w="15" w:type="dxa"/>
              <w:bottom w:w="0" w:type="dxa"/>
              <w:right w:w="15" w:type="dxa"/>
            </w:tcMar>
            <w:vAlign w:val="center"/>
            <w:hideMark/>
          </w:tcPr>
          <w:p w14:paraId="746812FC"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32 256 293</w:t>
            </w:r>
          </w:p>
          <w:p w14:paraId="57AD55D7"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(87%)</w:t>
            </w:r>
          </w:p>
        </w:tc>
      </w:tr>
      <w:tr w:rsidR="00BF656E" w:rsidRPr="00867BCF" w14:paraId="60CB4859" w14:textId="77777777" w:rsidTr="00A854EB">
        <w:trPr>
          <w:trHeight w:val="609"/>
        </w:trPr>
        <w:tc>
          <w:tcPr>
            <w:tcW w:w="1843" w:type="dxa"/>
            <w:shd w:val="clear" w:color="auto" w:fill="auto"/>
            <w:tcMar>
              <w:top w:w="15" w:type="dxa"/>
              <w:left w:w="15" w:type="dxa"/>
              <w:bottom w:w="0" w:type="dxa"/>
              <w:right w:w="15" w:type="dxa"/>
            </w:tcMar>
            <w:vAlign w:val="center"/>
            <w:hideMark/>
          </w:tcPr>
          <w:p w14:paraId="6744E4AF" w14:textId="77777777" w:rsidR="00BF656E" w:rsidRPr="00867BCF" w:rsidRDefault="00BF656E" w:rsidP="00A854EB">
            <w:pPr>
              <w:spacing w:after="60"/>
              <w:rPr>
                <w:rFonts w:ascii="Times New Roman" w:hAnsi="Times New Roman" w:cs="Times New Roman"/>
                <w:b/>
                <w:bCs/>
                <w:sz w:val="24"/>
                <w:szCs w:val="24"/>
              </w:rPr>
            </w:pPr>
            <w:r w:rsidRPr="00867BCF">
              <w:rPr>
                <w:rFonts w:ascii="Times New Roman" w:hAnsi="Times New Roman" w:cs="Times New Roman"/>
                <w:b/>
                <w:bCs/>
                <w:sz w:val="24"/>
                <w:szCs w:val="24"/>
              </w:rPr>
              <w:t>5.6.2.</w:t>
            </w:r>
          </w:p>
        </w:tc>
        <w:tc>
          <w:tcPr>
            <w:tcW w:w="1417" w:type="dxa"/>
            <w:shd w:val="clear" w:color="auto" w:fill="auto"/>
            <w:tcMar>
              <w:top w:w="15" w:type="dxa"/>
              <w:left w:w="15" w:type="dxa"/>
              <w:bottom w:w="0" w:type="dxa"/>
              <w:right w:w="15" w:type="dxa"/>
            </w:tcMar>
            <w:vAlign w:val="center"/>
            <w:hideMark/>
          </w:tcPr>
          <w:p w14:paraId="59060023"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236 524 372</w:t>
            </w:r>
          </w:p>
        </w:tc>
        <w:tc>
          <w:tcPr>
            <w:tcW w:w="1276" w:type="dxa"/>
            <w:shd w:val="clear" w:color="auto" w:fill="auto"/>
            <w:tcMar>
              <w:top w:w="15" w:type="dxa"/>
              <w:left w:w="15" w:type="dxa"/>
              <w:bottom w:w="0" w:type="dxa"/>
              <w:right w:w="15" w:type="dxa"/>
            </w:tcMar>
            <w:vAlign w:val="center"/>
            <w:hideMark/>
          </w:tcPr>
          <w:p w14:paraId="56403480"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110</w:t>
            </w:r>
          </w:p>
        </w:tc>
        <w:tc>
          <w:tcPr>
            <w:tcW w:w="1913" w:type="dxa"/>
            <w:shd w:val="clear" w:color="auto" w:fill="auto"/>
            <w:tcMar>
              <w:top w:w="15" w:type="dxa"/>
              <w:left w:w="15" w:type="dxa"/>
              <w:bottom w:w="0" w:type="dxa"/>
              <w:right w:w="15" w:type="dxa"/>
            </w:tcMar>
            <w:vAlign w:val="center"/>
            <w:hideMark/>
          </w:tcPr>
          <w:p w14:paraId="782B0104"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84</w:t>
            </w:r>
          </w:p>
          <w:p w14:paraId="24D2F396"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(76%)</w:t>
            </w:r>
          </w:p>
        </w:tc>
        <w:tc>
          <w:tcPr>
            <w:tcW w:w="1914" w:type="dxa"/>
            <w:shd w:val="clear" w:color="auto" w:fill="auto"/>
            <w:tcMar>
              <w:top w:w="15" w:type="dxa"/>
              <w:left w:w="15" w:type="dxa"/>
              <w:bottom w:w="0" w:type="dxa"/>
              <w:right w:w="15" w:type="dxa"/>
            </w:tcMar>
            <w:vAlign w:val="center"/>
            <w:hideMark/>
          </w:tcPr>
          <w:p w14:paraId="4BD78228"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181 703 490</w:t>
            </w:r>
          </w:p>
          <w:p w14:paraId="25A90902" w14:textId="77777777" w:rsidR="00BF656E" w:rsidRPr="00867BCF" w:rsidRDefault="00BF656E" w:rsidP="00A854EB">
            <w:pPr>
              <w:spacing w:after="60"/>
              <w:jc w:val="center"/>
              <w:rPr>
                <w:rFonts w:ascii="Times New Roman" w:hAnsi="Times New Roman" w:cs="Times New Roman"/>
                <w:b/>
                <w:bCs/>
                <w:sz w:val="24"/>
                <w:szCs w:val="24"/>
              </w:rPr>
            </w:pPr>
            <w:r w:rsidRPr="00867BCF">
              <w:rPr>
                <w:rFonts w:ascii="Times New Roman" w:hAnsi="Times New Roman" w:cs="Times New Roman"/>
                <w:b/>
                <w:bCs/>
                <w:sz w:val="24"/>
                <w:szCs w:val="24"/>
              </w:rPr>
              <w:t>(77%)</w:t>
            </w:r>
          </w:p>
        </w:tc>
      </w:tr>
      <w:tr w:rsidR="00B00906" w:rsidRPr="00867BCF" w14:paraId="72FD208A" w14:textId="77777777" w:rsidTr="00A854EB">
        <w:trPr>
          <w:trHeight w:val="609"/>
        </w:trPr>
        <w:tc>
          <w:tcPr>
            <w:tcW w:w="1843" w:type="dxa"/>
            <w:shd w:val="clear" w:color="auto" w:fill="auto"/>
            <w:tcMar>
              <w:top w:w="15" w:type="dxa"/>
              <w:left w:w="15" w:type="dxa"/>
              <w:bottom w:w="0" w:type="dxa"/>
              <w:right w:w="15" w:type="dxa"/>
            </w:tcMar>
            <w:vAlign w:val="center"/>
            <w:hideMark/>
          </w:tcPr>
          <w:p w14:paraId="71A36821" w14:textId="5625507F" w:rsidR="00B00906" w:rsidRPr="00867BCF" w:rsidRDefault="00B00906" w:rsidP="00B00906">
            <w:pPr>
              <w:spacing w:after="60"/>
              <w:rPr>
                <w:rFonts w:ascii="Times New Roman" w:hAnsi="Times New Roman" w:cs="Times New Roman"/>
                <w:sz w:val="24"/>
                <w:szCs w:val="24"/>
              </w:rPr>
            </w:pPr>
            <w:r>
              <w:rPr>
                <w:rFonts w:ascii="Times New Roman" w:hAnsi="Times New Roman" w:cs="Times New Roman"/>
                <w:sz w:val="24"/>
                <w:szCs w:val="24"/>
              </w:rPr>
              <w:t xml:space="preserve">Nacionālas nozīmes attīstības </w:t>
            </w:r>
            <w:r w:rsidRPr="00867BCF">
              <w:rPr>
                <w:rFonts w:ascii="Times New Roman" w:hAnsi="Times New Roman" w:cs="Times New Roman"/>
                <w:sz w:val="24"/>
                <w:szCs w:val="24"/>
              </w:rPr>
              <w:t xml:space="preserve"> centri</w:t>
            </w:r>
          </w:p>
        </w:tc>
        <w:tc>
          <w:tcPr>
            <w:tcW w:w="1417" w:type="dxa"/>
            <w:shd w:val="clear" w:color="auto" w:fill="auto"/>
            <w:tcMar>
              <w:top w:w="15" w:type="dxa"/>
              <w:left w:w="15" w:type="dxa"/>
              <w:bottom w:w="0" w:type="dxa"/>
              <w:right w:w="15" w:type="dxa"/>
            </w:tcMar>
            <w:vAlign w:val="center"/>
            <w:hideMark/>
          </w:tcPr>
          <w:p w14:paraId="24DEA61D"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92 138 673</w:t>
            </w:r>
          </w:p>
        </w:tc>
        <w:tc>
          <w:tcPr>
            <w:tcW w:w="1276" w:type="dxa"/>
            <w:shd w:val="clear" w:color="auto" w:fill="auto"/>
            <w:tcMar>
              <w:top w:w="15" w:type="dxa"/>
              <w:left w:w="15" w:type="dxa"/>
              <w:bottom w:w="0" w:type="dxa"/>
              <w:right w:w="15" w:type="dxa"/>
            </w:tcMar>
            <w:vAlign w:val="center"/>
            <w:hideMark/>
          </w:tcPr>
          <w:p w14:paraId="0C975E36"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29</w:t>
            </w:r>
          </w:p>
        </w:tc>
        <w:tc>
          <w:tcPr>
            <w:tcW w:w="1913" w:type="dxa"/>
            <w:shd w:val="clear" w:color="auto" w:fill="auto"/>
            <w:tcMar>
              <w:top w:w="15" w:type="dxa"/>
              <w:left w:w="15" w:type="dxa"/>
              <w:bottom w:w="0" w:type="dxa"/>
              <w:right w:w="15" w:type="dxa"/>
            </w:tcMar>
            <w:vAlign w:val="center"/>
            <w:hideMark/>
          </w:tcPr>
          <w:p w14:paraId="2605EF85"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24</w:t>
            </w:r>
          </w:p>
          <w:p w14:paraId="4CC29A1B"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(83%)</w:t>
            </w:r>
          </w:p>
        </w:tc>
        <w:tc>
          <w:tcPr>
            <w:tcW w:w="1914" w:type="dxa"/>
            <w:shd w:val="clear" w:color="auto" w:fill="auto"/>
            <w:tcMar>
              <w:top w:w="15" w:type="dxa"/>
              <w:left w:w="15" w:type="dxa"/>
              <w:bottom w:w="0" w:type="dxa"/>
              <w:right w:w="15" w:type="dxa"/>
            </w:tcMar>
            <w:vAlign w:val="center"/>
            <w:hideMark/>
          </w:tcPr>
          <w:p w14:paraId="609EE103"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67 177 504</w:t>
            </w:r>
          </w:p>
          <w:p w14:paraId="4A2B1CCF"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(73%)</w:t>
            </w:r>
          </w:p>
        </w:tc>
      </w:tr>
      <w:tr w:rsidR="00B00906" w:rsidRPr="00867BCF" w14:paraId="6AAD186A" w14:textId="77777777" w:rsidTr="00A854EB">
        <w:trPr>
          <w:trHeight w:val="609"/>
        </w:trPr>
        <w:tc>
          <w:tcPr>
            <w:tcW w:w="1843" w:type="dxa"/>
            <w:shd w:val="clear" w:color="auto" w:fill="auto"/>
            <w:tcMar>
              <w:top w:w="15" w:type="dxa"/>
              <w:left w:w="15" w:type="dxa"/>
              <w:bottom w:w="0" w:type="dxa"/>
              <w:right w:w="15" w:type="dxa"/>
            </w:tcMar>
            <w:vAlign w:val="center"/>
            <w:hideMark/>
          </w:tcPr>
          <w:p w14:paraId="73D64B2F" w14:textId="11690B68" w:rsidR="00B00906" w:rsidRPr="00867BCF" w:rsidRDefault="00B00906" w:rsidP="00B00906">
            <w:pPr>
              <w:spacing w:after="60"/>
              <w:rPr>
                <w:rFonts w:ascii="Times New Roman" w:hAnsi="Times New Roman" w:cs="Times New Roman"/>
                <w:sz w:val="24"/>
                <w:szCs w:val="24"/>
              </w:rPr>
            </w:pPr>
            <w:r>
              <w:rPr>
                <w:rFonts w:ascii="Times New Roman" w:hAnsi="Times New Roman" w:cs="Times New Roman"/>
                <w:sz w:val="24"/>
                <w:szCs w:val="24"/>
              </w:rPr>
              <w:t>Reģionālas</w:t>
            </w:r>
            <w:r w:rsidRPr="00867BCF">
              <w:rPr>
                <w:rFonts w:ascii="Times New Roman" w:hAnsi="Times New Roman" w:cs="Times New Roman"/>
                <w:sz w:val="24"/>
                <w:szCs w:val="24"/>
              </w:rPr>
              <w:t xml:space="preserve"> </w:t>
            </w:r>
            <w:r>
              <w:rPr>
                <w:rFonts w:ascii="Times New Roman" w:hAnsi="Times New Roman" w:cs="Times New Roman"/>
                <w:sz w:val="24"/>
                <w:szCs w:val="24"/>
              </w:rPr>
              <w:t xml:space="preserve">nozīmes attīstības </w:t>
            </w:r>
            <w:r w:rsidRPr="00867BCF">
              <w:rPr>
                <w:rFonts w:ascii="Times New Roman" w:hAnsi="Times New Roman" w:cs="Times New Roman"/>
                <w:sz w:val="24"/>
                <w:szCs w:val="24"/>
              </w:rPr>
              <w:t xml:space="preserve"> centri</w:t>
            </w:r>
          </w:p>
        </w:tc>
        <w:tc>
          <w:tcPr>
            <w:tcW w:w="1417" w:type="dxa"/>
            <w:shd w:val="clear" w:color="auto" w:fill="auto"/>
            <w:tcMar>
              <w:top w:w="15" w:type="dxa"/>
              <w:left w:w="15" w:type="dxa"/>
              <w:bottom w:w="0" w:type="dxa"/>
              <w:right w:w="15" w:type="dxa"/>
            </w:tcMar>
            <w:vAlign w:val="center"/>
            <w:hideMark/>
          </w:tcPr>
          <w:p w14:paraId="7F0F506B"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92 138 673</w:t>
            </w:r>
          </w:p>
        </w:tc>
        <w:tc>
          <w:tcPr>
            <w:tcW w:w="1276" w:type="dxa"/>
            <w:shd w:val="clear" w:color="auto" w:fill="auto"/>
            <w:tcMar>
              <w:top w:w="15" w:type="dxa"/>
              <w:left w:w="15" w:type="dxa"/>
              <w:bottom w:w="0" w:type="dxa"/>
              <w:right w:w="15" w:type="dxa"/>
            </w:tcMar>
            <w:vAlign w:val="center"/>
            <w:hideMark/>
          </w:tcPr>
          <w:p w14:paraId="098D0CF0"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65</w:t>
            </w:r>
          </w:p>
        </w:tc>
        <w:tc>
          <w:tcPr>
            <w:tcW w:w="1913" w:type="dxa"/>
            <w:shd w:val="clear" w:color="auto" w:fill="auto"/>
            <w:tcMar>
              <w:top w:w="15" w:type="dxa"/>
              <w:left w:w="15" w:type="dxa"/>
              <w:bottom w:w="0" w:type="dxa"/>
              <w:right w:w="15" w:type="dxa"/>
            </w:tcMar>
            <w:vAlign w:val="center"/>
            <w:hideMark/>
          </w:tcPr>
          <w:p w14:paraId="0336149B"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48</w:t>
            </w:r>
          </w:p>
          <w:p w14:paraId="4CC12160"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(74%)</w:t>
            </w:r>
          </w:p>
        </w:tc>
        <w:tc>
          <w:tcPr>
            <w:tcW w:w="1914" w:type="dxa"/>
            <w:shd w:val="clear" w:color="auto" w:fill="auto"/>
            <w:tcMar>
              <w:top w:w="15" w:type="dxa"/>
              <w:left w:w="15" w:type="dxa"/>
              <w:bottom w:w="0" w:type="dxa"/>
              <w:right w:w="15" w:type="dxa"/>
            </w:tcMar>
            <w:vAlign w:val="center"/>
            <w:hideMark/>
          </w:tcPr>
          <w:p w14:paraId="282A3A05"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69 771 034</w:t>
            </w:r>
          </w:p>
          <w:p w14:paraId="770089A3" w14:textId="77777777" w:rsidR="00B00906" w:rsidRPr="00867BCF" w:rsidRDefault="00B00906" w:rsidP="00B00906">
            <w:pPr>
              <w:spacing w:after="60"/>
              <w:jc w:val="center"/>
              <w:rPr>
                <w:rFonts w:ascii="Times New Roman" w:hAnsi="Times New Roman" w:cs="Times New Roman"/>
                <w:sz w:val="24"/>
                <w:szCs w:val="24"/>
              </w:rPr>
            </w:pPr>
            <w:r w:rsidRPr="00867BCF">
              <w:rPr>
                <w:rFonts w:ascii="Times New Roman" w:hAnsi="Times New Roman" w:cs="Times New Roman"/>
                <w:sz w:val="24"/>
                <w:szCs w:val="24"/>
              </w:rPr>
              <w:t>(76%)</w:t>
            </w:r>
          </w:p>
        </w:tc>
      </w:tr>
      <w:tr w:rsidR="00BF656E" w:rsidRPr="00867BCF" w14:paraId="0C0FAFEA" w14:textId="77777777" w:rsidTr="00A854EB">
        <w:trPr>
          <w:trHeight w:val="609"/>
        </w:trPr>
        <w:tc>
          <w:tcPr>
            <w:tcW w:w="1843" w:type="dxa"/>
            <w:shd w:val="clear" w:color="auto" w:fill="auto"/>
            <w:tcMar>
              <w:top w:w="15" w:type="dxa"/>
              <w:left w:w="15" w:type="dxa"/>
              <w:bottom w:w="0" w:type="dxa"/>
              <w:right w:w="15" w:type="dxa"/>
            </w:tcMar>
            <w:vAlign w:val="center"/>
            <w:hideMark/>
          </w:tcPr>
          <w:p w14:paraId="0D8E916C" w14:textId="77777777" w:rsidR="00BF656E" w:rsidRPr="00867BCF" w:rsidRDefault="00BF656E" w:rsidP="00A854EB">
            <w:pPr>
              <w:spacing w:after="60"/>
              <w:rPr>
                <w:rFonts w:ascii="Times New Roman" w:hAnsi="Times New Roman" w:cs="Times New Roman"/>
                <w:sz w:val="24"/>
                <w:szCs w:val="24"/>
              </w:rPr>
            </w:pPr>
            <w:r w:rsidRPr="00867BCF">
              <w:rPr>
                <w:rFonts w:ascii="Times New Roman" w:hAnsi="Times New Roman" w:cs="Times New Roman"/>
                <w:sz w:val="24"/>
                <w:szCs w:val="24"/>
              </w:rPr>
              <w:t>Latgales programma</w:t>
            </w:r>
          </w:p>
        </w:tc>
        <w:tc>
          <w:tcPr>
            <w:tcW w:w="1417" w:type="dxa"/>
            <w:shd w:val="clear" w:color="auto" w:fill="auto"/>
            <w:tcMar>
              <w:top w:w="15" w:type="dxa"/>
              <w:left w:w="15" w:type="dxa"/>
              <w:bottom w:w="0" w:type="dxa"/>
              <w:right w:w="15" w:type="dxa"/>
            </w:tcMar>
            <w:vAlign w:val="center"/>
            <w:hideMark/>
          </w:tcPr>
          <w:p w14:paraId="316D99D4"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52 247 026</w:t>
            </w:r>
          </w:p>
        </w:tc>
        <w:tc>
          <w:tcPr>
            <w:tcW w:w="1276" w:type="dxa"/>
            <w:shd w:val="clear" w:color="auto" w:fill="auto"/>
            <w:tcMar>
              <w:top w:w="15" w:type="dxa"/>
              <w:left w:w="15" w:type="dxa"/>
              <w:bottom w:w="0" w:type="dxa"/>
              <w:right w:w="15" w:type="dxa"/>
            </w:tcMar>
            <w:vAlign w:val="center"/>
            <w:hideMark/>
          </w:tcPr>
          <w:p w14:paraId="54B31954"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16</w:t>
            </w:r>
          </w:p>
        </w:tc>
        <w:tc>
          <w:tcPr>
            <w:tcW w:w="1913" w:type="dxa"/>
            <w:shd w:val="clear" w:color="auto" w:fill="auto"/>
            <w:tcMar>
              <w:top w:w="15" w:type="dxa"/>
              <w:left w:w="15" w:type="dxa"/>
              <w:bottom w:w="0" w:type="dxa"/>
              <w:right w:w="15" w:type="dxa"/>
            </w:tcMar>
            <w:vAlign w:val="center"/>
            <w:hideMark/>
          </w:tcPr>
          <w:p w14:paraId="75DF9802"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12</w:t>
            </w:r>
          </w:p>
          <w:p w14:paraId="1DD78588"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(75%)</w:t>
            </w:r>
          </w:p>
        </w:tc>
        <w:tc>
          <w:tcPr>
            <w:tcW w:w="1914" w:type="dxa"/>
            <w:shd w:val="clear" w:color="auto" w:fill="auto"/>
            <w:tcMar>
              <w:top w:w="15" w:type="dxa"/>
              <w:left w:w="15" w:type="dxa"/>
              <w:bottom w:w="0" w:type="dxa"/>
              <w:right w:w="15" w:type="dxa"/>
            </w:tcMar>
            <w:vAlign w:val="center"/>
            <w:hideMark/>
          </w:tcPr>
          <w:p w14:paraId="702A6F2C"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44 754 952</w:t>
            </w:r>
          </w:p>
          <w:p w14:paraId="26F7D0BD" w14:textId="77777777" w:rsidR="00BF656E" w:rsidRPr="00867BCF" w:rsidRDefault="00BF656E" w:rsidP="00A854EB">
            <w:pPr>
              <w:spacing w:after="60"/>
              <w:jc w:val="center"/>
              <w:rPr>
                <w:rFonts w:ascii="Times New Roman" w:hAnsi="Times New Roman" w:cs="Times New Roman"/>
                <w:sz w:val="24"/>
                <w:szCs w:val="24"/>
              </w:rPr>
            </w:pPr>
            <w:r w:rsidRPr="00867BCF">
              <w:rPr>
                <w:rFonts w:ascii="Times New Roman" w:hAnsi="Times New Roman" w:cs="Times New Roman"/>
                <w:sz w:val="24"/>
                <w:szCs w:val="24"/>
              </w:rPr>
              <w:t>(86%)</w:t>
            </w:r>
          </w:p>
        </w:tc>
      </w:tr>
    </w:tbl>
    <w:p w14:paraId="50DC61E6" w14:textId="77777777" w:rsidR="00BF656E" w:rsidRPr="00867BCF" w:rsidRDefault="00BF656E" w:rsidP="00F34532">
      <w:pPr>
        <w:spacing w:after="60"/>
        <w:jc w:val="center"/>
        <w:rPr>
          <w:rFonts w:ascii="Times New Roman" w:hAnsi="Times New Roman" w:cs="Times New Roman"/>
          <w:i/>
          <w:iCs/>
          <w:sz w:val="24"/>
          <w:szCs w:val="24"/>
        </w:rPr>
      </w:pPr>
      <w:r w:rsidRPr="00867BCF">
        <w:rPr>
          <w:rFonts w:ascii="Times New Roman" w:hAnsi="Times New Roman" w:cs="Times New Roman"/>
          <w:i/>
          <w:iCs/>
          <w:sz w:val="24"/>
          <w:szCs w:val="24"/>
        </w:rPr>
        <w:t>1.tabula. Progress projektu ieviešanā (3.3.1. SAM un 5.6.2. SAM).</w:t>
      </w:r>
    </w:p>
    <w:p w14:paraId="31A48FBE" w14:textId="77777777" w:rsidR="00BF656E" w:rsidRPr="00867BCF" w:rsidRDefault="00BF656E" w:rsidP="00BF656E">
      <w:pPr>
        <w:spacing w:after="120"/>
        <w:rPr>
          <w:rFonts w:ascii="Times New Roman" w:hAnsi="Times New Roman"/>
          <w:sz w:val="24"/>
          <w:szCs w:val="24"/>
        </w:rPr>
      </w:pPr>
    </w:p>
    <w:p w14:paraId="112B480A" w14:textId="77777777" w:rsidR="00BF656E" w:rsidRPr="00867BCF" w:rsidRDefault="00BF656E" w:rsidP="00BF656E">
      <w:pPr>
        <w:spacing w:after="60"/>
        <w:rPr>
          <w:rFonts w:ascii="Times New Roman" w:hAnsi="Times New Roman"/>
          <w:sz w:val="24"/>
          <w:szCs w:val="24"/>
        </w:rPr>
      </w:pPr>
      <w:r w:rsidRPr="00867BCF">
        <w:rPr>
          <w:rFonts w:ascii="Times New Roman" w:hAnsi="Times New Roman"/>
          <w:sz w:val="24"/>
          <w:szCs w:val="24"/>
        </w:rPr>
        <w:t>Atbalsta instrumentu praktiskā izmantošana pašvaldībās uzņēmējdarbības veicināšanai:</w:t>
      </w:r>
    </w:p>
    <w:p w14:paraId="44775D35" w14:textId="77777777" w:rsidR="00BF656E" w:rsidRPr="00867BCF" w:rsidRDefault="00BF656E" w:rsidP="00BF656E">
      <w:pPr>
        <w:numPr>
          <w:ilvl w:val="1"/>
          <w:numId w:val="5"/>
        </w:numPr>
        <w:spacing w:after="60"/>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Viens no biežāk izmantotajiem atbalsta veidiem ir telpu jeb nekustamā īpašuma piedāvāšana komersantiem – piedāvā 90 pašvaldības. Vienlaikus tikai 24 pašvaldības piedāvā papildus nomas atlaides, lai piesaistītu komersantu šīm telpām.</w:t>
      </w:r>
    </w:p>
    <w:p w14:paraId="323F8F39" w14:textId="77777777" w:rsidR="00BF656E" w:rsidRPr="00867BCF" w:rsidRDefault="00BF656E" w:rsidP="00BF656E">
      <w:pPr>
        <w:numPr>
          <w:ilvl w:val="1"/>
          <w:numId w:val="5"/>
        </w:numPr>
        <w:spacing w:after="60"/>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 xml:space="preserve">Grantus uzņēmējiem piedāvā 62 pašvaldības jeb tikai ½ no visām pašvaldībām. </w:t>
      </w:r>
    </w:p>
    <w:p w14:paraId="4B6656CC" w14:textId="77777777" w:rsidR="00BF656E" w:rsidRPr="00867BCF" w:rsidRDefault="00BF656E" w:rsidP="00BF656E">
      <w:pPr>
        <w:numPr>
          <w:ilvl w:val="1"/>
          <w:numId w:val="5"/>
        </w:numPr>
        <w:spacing w:after="60"/>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Tikai 11 pašvaldības izmanto visas trīs iespējas (</w:t>
      </w:r>
      <w:proofErr w:type="spellStart"/>
      <w:r w:rsidRPr="00867BCF">
        <w:rPr>
          <w:rFonts w:ascii="Times New Roman" w:eastAsia="Times New Roman" w:hAnsi="Times New Roman" w:cs="Times New Roman"/>
          <w:sz w:val="24"/>
          <w:szCs w:val="24"/>
        </w:rPr>
        <w:t>grantus</w:t>
      </w:r>
      <w:proofErr w:type="spellEnd"/>
      <w:r w:rsidRPr="00867BCF">
        <w:rPr>
          <w:rFonts w:ascii="Times New Roman" w:eastAsia="Times New Roman" w:hAnsi="Times New Roman" w:cs="Times New Roman"/>
          <w:sz w:val="24"/>
          <w:szCs w:val="24"/>
        </w:rPr>
        <w:t>, telpas un nomas atlaides).</w:t>
      </w:r>
    </w:p>
    <w:p w14:paraId="58B59F50" w14:textId="77777777" w:rsidR="0057386D" w:rsidRPr="00867BCF" w:rsidRDefault="0057386D" w:rsidP="00C123FE">
      <w:pPr>
        <w:spacing w:after="120"/>
        <w:rPr>
          <w:rFonts w:ascii="Times New Roman" w:eastAsia="Times New Roman" w:hAnsi="Times New Roman"/>
          <w:b/>
          <w:bCs/>
          <w:sz w:val="24"/>
          <w:szCs w:val="24"/>
          <w:lang w:eastAsia="lv-LV"/>
        </w:rPr>
      </w:pPr>
      <w:bookmarkStart w:id="0" w:name="_GoBack"/>
      <w:bookmarkEnd w:id="0"/>
      <w:r w:rsidRPr="00867BCF">
        <w:rPr>
          <w:rFonts w:ascii="Times New Roman" w:eastAsia="Times New Roman" w:hAnsi="Times New Roman"/>
          <w:b/>
          <w:bCs/>
          <w:sz w:val="24"/>
          <w:szCs w:val="24"/>
          <w:lang w:eastAsia="lv-LV"/>
        </w:rPr>
        <w:lastRenderedPageBreak/>
        <w:t>Inovācijas</w:t>
      </w:r>
    </w:p>
    <w:p w14:paraId="4AAD95A1" w14:textId="08249322" w:rsidR="0057386D" w:rsidRPr="00867BCF" w:rsidRDefault="0057386D" w:rsidP="00C123FE">
      <w:pPr>
        <w:spacing w:after="160" w:line="256" w:lineRule="auto"/>
        <w:rPr>
          <w:rFonts w:ascii="Times New Roman" w:hAnsi="Times New Roman" w:cs="Times New Roman"/>
          <w:sz w:val="24"/>
          <w:szCs w:val="24"/>
        </w:rPr>
      </w:pPr>
      <w:r w:rsidRPr="00867BCF">
        <w:rPr>
          <w:rFonts w:ascii="Times New Roman" w:hAnsi="Times New Roman" w:cs="Times New Roman"/>
          <w:sz w:val="24"/>
          <w:szCs w:val="24"/>
        </w:rPr>
        <w:t xml:space="preserve">Ekonomiskā izaugsme </w:t>
      </w:r>
      <w:r w:rsidR="003F73B8" w:rsidRPr="00867BCF">
        <w:rPr>
          <w:rFonts w:ascii="Times New Roman" w:hAnsi="Times New Roman" w:cs="Times New Roman"/>
          <w:sz w:val="24"/>
          <w:szCs w:val="24"/>
        </w:rPr>
        <w:t xml:space="preserve">ir </w:t>
      </w:r>
      <w:r w:rsidRPr="00867BCF">
        <w:rPr>
          <w:rFonts w:ascii="Times New Roman" w:hAnsi="Times New Roman" w:cs="Times New Roman"/>
          <w:sz w:val="24"/>
          <w:szCs w:val="24"/>
        </w:rPr>
        <w:t>atkarīga no uzņēmumu produktivitātes – spējas radīt inovācijas jeb produktus ar augstu pievienoto vērtību. Statistikas dati liecina, ka inovāciju un darba produktivitātes ziņā Latvija pagaidām būtiski atpaliek no citām valstīm. Darba produktivitātes atšķirība pret OECD valstīm ar augstiem ienākumiem Latvijā ir lielāka nekā citās Baltijas vai Centrāleiropas valstīs. Salīdzinot ar vidējo svērto rādītāju, no 17 OECD valstīm ar vislielāko IKP uz vienu iedzīvotāju, Latvija apsteidz vienīgi Meksiku un Čīli</w:t>
      </w:r>
      <w:r w:rsidRPr="00867BCF">
        <w:rPr>
          <w:rFonts w:ascii="Times New Roman" w:hAnsi="Times New Roman" w:cs="Times New Roman"/>
          <w:sz w:val="24"/>
          <w:szCs w:val="24"/>
          <w:vertAlign w:val="superscript"/>
        </w:rPr>
        <w:footnoteReference w:id="28"/>
      </w:r>
      <w:r w:rsidRPr="00867BCF">
        <w:rPr>
          <w:rFonts w:ascii="Times New Roman" w:hAnsi="Times New Roman" w:cs="Times New Roman"/>
          <w:sz w:val="24"/>
          <w:szCs w:val="24"/>
        </w:rPr>
        <w:t>.</w:t>
      </w:r>
    </w:p>
    <w:p w14:paraId="00522BF7" w14:textId="622A4D92" w:rsidR="0057386D" w:rsidRPr="00867BCF" w:rsidRDefault="0057386D" w:rsidP="00C123FE">
      <w:pPr>
        <w:spacing w:afterLines="80" w:after="192"/>
        <w:rPr>
          <w:rFonts w:ascii="Times New Roman" w:hAnsi="Times New Roman" w:cs="Times New Roman"/>
          <w:sz w:val="16"/>
          <w:szCs w:val="16"/>
        </w:rPr>
      </w:pPr>
      <w:r w:rsidRPr="00867BCF">
        <w:rPr>
          <w:rFonts w:ascii="Times New Roman" w:hAnsi="Times New Roman" w:cs="Times New Roman"/>
          <w:sz w:val="24"/>
          <w:szCs w:val="24"/>
          <w:lang w:bidi="lo-LA"/>
        </w:rPr>
        <w:t>Pašreizējais uzņēmējdarbības biznesa modelis vairumā uzņēmumu ir vāji orientēts uz inovāciju. Latvijas inovāciju sniegums jau vairākus gadus ir starp zemākajiem Eiropā.</w:t>
      </w:r>
      <w:r w:rsidRPr="00867BCF">
        <w:rPr>
          <w:rFonts w:ascii="Times New Roman" w:hAnsi="Times New Roman" w:cs="Times New Roman"/>
          <w:sz w:val="24"/>
          <w:szCs w:val="24"/>
          <w:vertAlign w:val="superscript"/>
          <w:lang w:bidi="lo-LA"/>
        </w:rPr>
        <w:footnoteReference w:id="29"/>
      </w:r>
      <w:r w:rsidRPr="00867BCF">
        <w:rPr>
          <w:rFonts w:ascii="Times New Roman" w:hAnsi="Times New Roman" w:cs="Times New Roman"/>
          <w:sz w:val="24"/>
          <w:szCs w:val="24"/>
          <w:lang w:bidi="lo-LA"/>
        </w:rPr>
        <w:t xml:space="preserve"> Uzņēmumu, kas investē pētniecībā un attīstībā, skaits ir viens no zemākajiem starp visām OECD valstīm, atpaliekot arī no citām Baltijas un Austrumeiropas valstīm. Uzņēmumu produktivitāte ir zema. Latvijā pētniecība tiek īstenota nelielā skaitā uzņēmumu, biznesa sadarbība ar zinātnes sektoru ir nepietiekama</w:t>
      </w:r>
      <w:r w:rsidRPr="00867BCF">
        <w:rPr>
          <w:rFonts w:ascii="Times New Roman" w:hAnsi="Times New Roman" w:cs="Times New Roman"/>
          <w:sz w:val="24"/>
          <w:szCs w:val="24"/>
          <w:vertAlign w:val="superscript"/>
          <w:lang w:bidi="lo-LA"/>
        </w:rPr>
        <w:footnoteReference w:id="30"/>
      </w:r>
      <w:r w:rsidRPr="00867BCF">
        <w:rPr>
          <w:rFonts w:ascii="Times New Roman" w:hAnsi="Times New Roman" w:cs="Times New Roman"/>
          <w:sz w:val="24"/>
          <w:szCs w:val="24"/>
          <w:lang w:bidi="lo-LA"/>
        </w:rPr>
        <w:t>. Ir mazs uzņēmumu, kas rada augstas pievienotās vērtības preces un produktus, skaits</w:t>
      </w:r>
      <w:r w:rsidRPr="00867BCF">
        <w:rPr>
          <w:rFonts w:ascii="Times New Roman" w:hAnsi="Times New Roman" w:cs="Times New Roman"/>
          <w:sz w:val="24"/>
          <w:szCs w:val="24"/>
          <w:vertAlign w:val="superscript"/>
          <w:lang w:bidi="lo-LA"/>
        </w:rPr>
        <w:footnoteReference w:id="31"/>
      </w:r>
      <w:r w:rsidRPr="00867BCF">
        <w:rPr>
          <w:rFonts w:ascii="Times New Roman" w:hAnsi="Times New Roman" w:cs="Times New Roman"/>
          <w:sz w:val="24"/>
          <w:szCs w:val="24"/>
          <w:lang w:bidi="lo-LA"/>
        </w:rPr>
        <w:t>. Mazajiem un vidējiem uzņēmumiem ir nepietiekama izpratne par tirgus pieprasījumu un darbības formām, neattīstīta pētnieciskā kapacitāte un ierobežotas finansiālās iespējas ieguldīt pētniecībā.</w:t>
      </w:r>
      <w:r w:rsidRPr="00867BCF">
        <w:rPr>
          <w:rFonts w:ascii="Times New Roman" w:hAnsi="Times New Roman" w:cs="Times New Roman"/>
          <w:sz w:val="14"/>
          <w:szCs w:val="14"/>
          <w:lang w:bidi="lo-LA"/>
        </w:rPr>
        <w:t xml:space="preserve"> </w:t>
      </w:r>
      <w:r w:rsidRPr="00867BCF">
        <w:rPr>
          <w:rFonts w:ascii="Times New Roman" w:hAnsi="Times New Roman" w:cs="Times New Roman"/>
          <w:sz w:val="24"/>
          <w:szCs w:val="24"/>
          <w:lang w:bidi="lo-LA"/>
        </w:rPr>
        <w:t xml:space="preserve">Saskaņā ar </w:t>
      </w:r>
      <w:proofErr w:type="spellStart"/>
      <w:r w:rsidRPr="00867BCF">
        <w:rPr>
          <w:rFonts w:ascii="Times New Roman" w:hAnsi="Times New Roman" w:cs="Times New Roman"/>
          <w:sz w:val="24"/>
          <w:szCs w:val="24"/>
          <w:lang w:bidi="lo-LA"/>
        </w:rPr>
        <w:t>Eurostat</w:t>
      </w:r>
      <w:proofErr w:type="spellEnd"/>
      <w:r w:rsidRPr="00867BCF">
        <w:rPr>
          <w:rFonts w:ascii="Times New Roman" w:hAnsi="Times New Roman" w:cs="Times New Roman"/>
          <w:sz w:val="24"/>
          <w:szCs w:val="24"/>
          <w:lang w:bidi="lo-LA"/>
        </w:rPr>
        <w:t xml:space="preserve"> datiem, ES-28 valstīs laikposmā no 2012. līdz 2014. gadam gandrīz ceturtā daļa (23,9%) uzņēmumu ieviesa produktu inovācijas. Vismazāk produktu inovācijas ieviesa uzņēmumi Polijā (9,5%), Latvijā (8,5%) un Rumānijā (3,6%). Latvijā 2012.–2014. g. produktu inovācijas ieviesa tikai 8,5% uzņēmumu, no tiem 6,3% uzņēmumu produktu inovācijas bija jaunums tirgū un 2,2% – jaunums uzņēmumā. Saskaņā ar statistikas datiem, inovatīvās aktivitātes ziņā Latvija ievērojami atpaliek ne tikai no citām ES dalībvalstīm, bet arī no mūsu kaimiņvalstīm – Igauniju un Lietuvu. Lietuvā produktu inovācijas ieviesa 20,9% uzņēmumu (no tiem 8,9% uzņēmumu produktu inovācijas bija jaunums tirgū un 12,0% – jaunums uzņēmumā), Igaunijā produktu inovācijas ieviesa 11,0% uzņēmumu (no tiem 1,1% uzņēmumu produktu inovācijas bija jaunums tirgū un 9,9% – jaunums uzņēmumā). </w:t>
      </w:r>
    </w:p>
    <w:p w14:paraId="5D34D98E" w14:textId="77777777" w:rsidR="0057386D" w:rsidRPr="00867BCF" w:rsidRDefault="0057386D" w:rsidP="00C123FE">
      <w:pPr>
        <w:spacing w:after="120" w:line="276" w:lineRule="auto"/>
        <w:jc w:val="center"/>
      </w:pPr>
      <w:r w:rsidRPr="00867BCF">
        <w:rPr>
          <w:noProof/>
          <w:lang w:eastAsia="lv-LV"/>
        </w:rPr>
        <w:drawing>
          <wp:inline distT="0" distB="0" distL="0" distR="0" wp14:anchorId="6BF5AA70" wp14:editId="4A988C50">
            <wp:extent cx="4572000" cy="2009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009775"/>
                    </a:xfrm>
                    <a:prstGeom prst="rect">
                      <a:avLst/>
                    </a:prstGeom>
                  </pic:spPr>
                </pic:pic>
              </a:graphicData>
            </a:graphic>
          </wp:inline>
        </w:drawing>
      </w:r>
    </w:p>
    <w:p w14:paraId="320E6561" w14:textId="55B6D586" w:rsidR="0057386D" w:rsidRPr="00867BCF" w:rsidRDefault="00402CE5" w:rsidP="00F34532">
      <w:pPr>
        <w:spacing w:line="276" w:lineRule="auto"/>
        <w:jc w:val="center"/>
        <w:rPr>
          <w:rFonts w:ascii="Times New Roman" w:eastAsia="Times New Roman" w:hAnsi="Times New Roman" w:cs="Times New Roman"/>
          <w:i/>
          <w:sz w:val="24"/>
          <w:szCs w:val="20"/>
        </w:rPr>
      </w:pPr>
      <w:r w:rsidRPr="00867BCF">
        <w:rPr>
          <w:rFonts w:ascii="Times New Roman" w:eastAsia="Times New Roman" w:hAnsi="Times New Roman" w:cs="Times New Roman"/>
          <w:i/>
          <w:sz w:val="24"/>
          <w:szCs w:val="20"/>
        </w:rPr>
        <w:t>1</w:t>
      </w:r>
      <w:r w:rsidR="00345BEB" w:rsidRPr="00867BCF">
        <w:rPr>
          <w:rFonts w:ascii="Times New Roman" w:eastAsia="Times New Roman" w:hAnsi="Times New Roman" w:cs="Times New Roman"/>
          <w:i/>
          <w:sz w:val="24"/>
          <w:szCs w:val="20"/>
        </w:rPr>
        <w:t>3</w:t>
      </w:r>
      <w:r w:rsidR="00731FC4" w:rsidRPr="00867BCF">
        <w:rPr>
          <w:rFonts w:ascii="Times New Roman" w:eastAsia="Times New Roman" w:hAnsi="Times New Roman" w:cs="Times New Roman"/>
          <w:i/>
          <w:sz w:val="24"/>
          <w:szCs w:val="20"/>
        </w:rPr>
        <w:t>.</w:t>
      </w:r>
      <w:r w:rsidR="0057386D" w:rsidRPr="00867BCF">
        <w:rPr>
          <w:rFonts w:ascii="Times New Roman" w:eastAsia="Times New Roman" w:hAnsi="Times New Roman" w:cs="Times New Roman"/>
          <w:i/>
          <w:sz w:val="24"/>
          <w:szCs w:val="20"/>
        </w:rPr>
        <w:t>attēls. ES dalībvalstu rezultāti inovācijā, izvērtējot pēc 27 kritērijiem (</w:t>
      </w:r>
      <w:proofErr w:type="spellStart"/>
      <w:r w:rsidR="0057386D" w:rsidRPr="00867BCF">
        <w:rPr>
          <w:rFonts w:ascii="Times New Roman" w:eastAsia="Times New Roman" w:hAnsi="Times New Roman" w:cs="Times New Roman"/>
          <w:i/>
          <w:sz w:val="24"/>
          <w:szCs w:val="20"/>
        </w:rPr>
        <w:t>European</w:t>
      </w:r>
      <w:proofErr w:type="spellEnd"/>
      <w:r w:rsidR="0057386D" w:rsidRPr="00867BCF">
        <w:rPr>
          <w:rFonts w:ascii="Times New Roman" w:eastAsia="Times New Roman" w:hAnsi="Times New Roman" w:cs="Times New Roman"/>
          <w:i/>
          <w:sz w:val="24"/>
          <w:szCs w:val="20"/>
        </w:rPr>
        <w:t xml:space="preserve"> </w:t>
      </w:r>
      <w:proofErr w:type="spellStart"/>
      <w:r w:rsidR="0057386D" w:rsidRPr="00867BCF">
        <w:rPr>
          <w:rFonts w:ascii="Times New Roman" w:eastAsia="Times New Roman" w:hAnsi="Times New Roman" w:cs="Times New Roman"/>
          <w:i/>
          <w:sz w:val="24"/>
          <w:szCs w:val="20"/>
        </w:rPr>
        <w:t>Innovation</w:t>
      </w:r>
      <w:proofErr w:type="spellEnd"/>
      <w:r w:rsidR="0057386D" w:rsidRPr="00867BCF">
        <w:rPr>
          <w:rFonts w:ascii="Times New Roman" w:eastAsia="Times New Roman" w:hAnsi="Times New Roman" w:cs="Times New Roman"/>
          <w:i/>
          <w:sz w:val="24"/>
          <w:szCs w:val="20"/>
        </w:rPr>
        <w:t xml:space="preserve"> </w:t>
      </w:r>
      <w:proofErr w:type="spellStart"/>
      <w:r w:rsidR="0057386D" w:rsidRPr="00867BCF">
        <w:rPr>
          <w:rFonts w:ascii="Times New Roman" w:eastAsia="Times New Roman" w:hAnsi="Times New Roman" w:cs="Times New Roman"/>
          <w:i/>
          <w:sz w:val="24"/>
          <w:szCs w:val="20"/>
        </w:rPr>
        <w:t>Scoreboard</w:t>
      </w:r>
      <w:proofErr w:type="spellEnd"/>
      <w:r w:rsidR="0057386D" w:rsidRPr="00867BCF">
        <w:rPr>
          <w:rFonts w:ascii="Times New Roman" w:eastAsia="Times New Roman" w:hAnsi="Times New Roman" w:cs="Times New Roman"/>
          <w:i/>
          <w:sz w:val="24"/>
          <w:szCs w:val="20"/>
        </w:rPr>
        <w:t xml:space="preserve"> 2019).</w:t>
      </w:r>
    </w:p>
    <w:p w14:paraId="4F8AFFB7" w14:textId="6D5404DD" w:rsidR="0057386D" w:rsidRPr="00867BCF" w:rsidRDefault="0057386D" w:rsidP="00C123FE">
      <w:pPr>
        <w:spacing w:line="276" w:lineRule="auto"/>
        <w:rPr>
          <w:rFonts w:ascii="Times New Roman" w:eastAsia="Times New Roman" w:hAnsi="Times New Roman" w:cs="Times New Roman"/>
          <w:sz w:val="20"/>
          <w:szCs w:val="20"/>
        </w:rPr>
      </w:pPr>
      <w:r w:rsidRPr="00867BCF">
        <w:rPr>
          <w:rFonts w:ascii="Times New Roman" w:eastAsia="Times New Roman" w:hAnsi="Times New Roman" w:cs="Times New Roman"/>
          <w:sz w:val="20"/>
          <w:szCs w:val="20"/>
        </w:rPr>
        <w:t xml:space="preserve"> </w:t>
      </w:r>
    </w:p>
    <w:p w14:paraId="1E7F7C0C" w14:textId="5FD66C24" w:rsidR="0086382D" w:rsidRPr="00867BCF" w:rsidRDefault="0086382D" w:rsidP="00C123FE">
      <w:pPr>
        <w:spacing w:after="120"/>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 xml:space="preserve">Ikgadējā ES inovāciju </w:t>
      </w:r>
      <w:proofErr w:type="spellStart"/>
      <w:r w:rsidRPr="00867BCF">
        <w:rPr>
          <w:rFonts w:ascii="Times New Roman" w:eastAsia="Times New Roman" w:hAnsi="Times New Roman" w:cs="Times New Roman"/>
          <w:sz w:val="24"/>
          <w:szCs w:val="24"/>
        </w:rPr>
        <w:t>apsekojuma</w:t>
      </w:r>
      <w:proofErr w:type="spellEnd"/>
      <w:r w:rsidRPr="00867BCF">
        <w:rPr>
          <w:rFonts w:ascii="Times New Roman" w:eastAsia="Times New Roman" w:hAnsi="Times New Roman" w:cs="Times New Roman"/>
          <w:sz w:val="24"/>
          <w:szCs w:val="24"/>
        </w:rPr>
        <w:t xml:space="preserve"> „</w:t>
      </w:r>
      <w:proofErr w:type="spellStart"/>
      <w:r w:rsidRPr="00867BCF">
        <w:rPr>
          <w:rFonts w:ascii="Times New Roman" w:eastAsia="Times New Roman" w:hAnsi="Times New Roman" w:cs="Times New Roman"/>
          <w:sz w:val="24"/>
          <w:szCs w:val="24"/>
        </w:rPr>
        <w:t>European</w:t>
      </w:r>
      <w:proofErr w:type="spellEnd"/>
      <w:r w:rsidRPr="00867BCF">
        <w:rPr>
          <w:rFonts w:ascii="Times New Roman" w:eastAsia="Times New Roman" w:hAnsi="Times New Roman" w:cs="Times New Roman"/>
          <w:sz w:val="24"/>
          <w:szCs w:val="24"/>
        </w:rPr>
        <w:t xml:space="preserve"> </w:t>
      </w:r>
      <w:proofErr w:type="spellStart"/>
      <w:r w:rsidRPr="00867BCF">
        <w:rPr>
          <w:rFonts w:ascii="Times New Roman" w:eastAsia="Times New Roman" w:hAnsi="Times New Roman" w:cs="Times New Roman"/>
          <w:sz w:val="24"/>
          <w:szCs w:val="24"/>
        </w:rPr>
        <w:t>Innovation</w:t>
      </w:r>
      <w:proofErr w:type="spellEnd"/>
      <w:r w:rsidRPr="00867BCF">
        <w:rPr>
          <w:rFonts w:ascii="Times New Roman" w:eastAsia="Times New Roman" w:hAnsi="Times New Roman" w:cs="Times New Roman"/>
          <w:sz w:val="24"/>
          <w:szCs w:val="24"/>
        </w:rPr>
        <w:t xml:space="preserve"> </w:t>
      </w:r>
      <w:proofErr w:type="spellStart"/>
      <w:r w:rsidRPr="00867BCF">
        <w:rPr>
          <w:rFonts w:ascii="Times New Roman" w:eastAsia="Times New Roman" w:hAnsi="Times New Roman" w:cs="Times New Roman"/>
          <w:sz w:val="24"/>
          <w:szCs w:val="24"/>
        </w:rPr>
        <w:t>Scoreboard</w:t>
      </w:r>
      <w:proofErr w:type="spellEnd"/>
      <w:r w:rsidRPr="00867BCF">
        <w:rPr>
          <w:rFonts w:ascii="Times New Roman" w:eastAsia="Times New Roman" w:hAnsi="Times New Roman" w:cs="Times New Roman"/>
          <w:sz w:val="24"/>
          <w:szCs w:val="24"/>
        </w:rPr>
        <w:t xml:space="preserve"> 2019” ziņojumā Latvija pēc 27 kritēriju izvērtēšanas ierindojas 24.vietā no apsekotajām 28 ES dalībvalstīm un salīdzinājumā ar 2011.gadu ir pakāpusies no iedzinēju grupas uz mērenajiem </w:t>
      </w:r>
      <w:proofErr w:type="spellStart"/>
      <w:r w:rsidRPr="00867BCF">
        <w:rPr>
          <w:rFonts w:ascii="Times New Roman" w:eastAsia="Times New Roman" w:hAnsi="Times New Roman" w:cs="Times New Roman"/>
          <w:sz w:val="24"/>
          <w:szCs w:val="24"/>
        </w:rPr>
        <w:t>inovatoriem</w:t>
      </w:r>
      <w:proofErr w:type="spellEnd"/>
      <w:r w:rsidRPr="00867BCF">
        <w:rPr>
          <w:rFonts w:ascii="Times New Roman" w:eastAsia="Times New Roman" w:hAnsi="Times New Roman" w:cs="Times New Roman"/>
          <w:sz w:val="24"/>
          <w:szCs w:val="24"/>
        </w:rPr>
        <w:t>, apdzenot ne tikai Rumāniju un Bulgāriju, bet arī Horvātiju un Poliju (sk. 1</w:t>
      </w:r>
      <w:r w:rsidR="00345BEB" w:rsidRPr="00867BCF">
        <w:rPr>
          <w:rFonts w:ascii="Times New Roman" w:eastAsia="Times New Roman" w:hAnsi="Times New Roman" w:cs="Times New Roman"/>
          <w:sz w:val="24"/>
          <w:szCs w:val="24"/>
        </w:rPr>
        <w:t>3</w:t>
      </w:r>
      <w:r w:rsidRPr="00867BCF">
        <w:rPr>
          <w:rFonts w:ascii="Times New Roman" w:eastAsia="Times New Roman" w:hAnsi="Times New Roman" w:cs="Times New Roman"/>
          <w:sz w:val="24"/>
          <w:szCs w:val="24"/>
        </w:rPr>
        <w:t xml:space="preserve">.attēlu). </w:t>
      </w:r>
    </w:p>
    <w:p w14:paraId="2280F53C" w14:textId="5C77DADC" w:rsidR="0057386D" w:rsidRPr="00867BCF" w:rsidRDefault="0057386D" w:rsidP="00C123FE">
      <w:pPr>
        <w:spacing w:after="120"/>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lastRenderedPageBreak/>
        <w:t xml:space="preserve">Saskaņā ar iepriekšminēto pētījumu Latvijas vājās puses inovāciju attīstībā (t.i., jomas, kurās ir zemi rādītāji) ir izdevumi pētniecībai un attīstībai uzņēmumu sektorā, patentu pieteikumu skaits, doktora studiju </w:t>
      </w:r>
      <w:r w:rsidR="003F73B8" w:rsidRPr="00867BCF">
        <w:rPr>
          <w:rFonts w:ascii="Times New Roman" w:eastAsia="Times New Roman" w:hAnsi="Times New Roman" w:cs="Times New Roman"/>
          <w:sz w:val="24"/>
          <w:szCs w:val="24"/>
        </w:rPr>
        <w:t xml:space="preserve">jauno </w:t>
      </w:r>
      <w:r w:rsidRPr="00867BCF">
        <w:rPr>
          <w:rFonts w:ascii="Times New Roman" w:eastAsia="Times New Roman" w:hAnsi="Times New Roman" w:cs="Times New Roman"/>
          <w:sz w:val="24"/>
          <w:szCs w:val="24"/>
        </w:rPr>
        <w:t xml:space="preserve">beidzēju skaits. </w:t>
      </w:r>
    </w:p>
    <w:p w14:paraId="484CCBE6" w14:textId="732560EA" w:rsidR="0057386D" w:rsidRPr="00867BCF" w:rsidRDefault="0057386D" w:rsidP="00C123FE">
      <w:pPr>
        <w:spacing w:after="120"/>
        <w:rPr>
          <w:rFonts w:ascii="Times New Roman" w:hAnsi="Times New Roman" w:cs="Times New Roman"/>
          <w:sz w:val="24"/>
          <w:szCs w:val="24"/>
          <w:lang w:bidi="lo-LA"/>
        </w:rPr>
      </w:pPr>
      <w:r w:rsidRPr="00867BCF">
        <w:rPr>
          <w:rFonts w:ascii="Times New Roman" w:hAnsi="Times New Roman" w:cs="Times New Roman"/>
          <w:sz w:val="24"/>
          <w:szCs w:val="24"/>
        </w:rPr>
        <w:t xml:space="preserve">Galvenie institucionālie izaicinājumi Latvijā pētniecības un attīstības jomā ir saistīti ar nepietiekamu sadarbību un koordināciju starp zinātnes, tehnoloģiju attīstību un inovāciju institūcijām, augstākās izglītības iestādēm, valsts </w:t>
      </w:r>
      <w:r w:rsidR="003F73B8" w:rsidRPr="00867BCF">
        <w:rPr>
          <w:rFonts w:ascii="Times New Roman" w:hAnsi="Times New Roman" w:cs="Times New Roman"/>
          <w:sz w:val="24"/>
          <w:szCs w:val="24"/>
        </w:rPr>
        <w:t>sektoru un nozarēm, nepietiekamu starptautisko sadarbību</w:t>
      </w:r>
      <w:r w:rsidRPr="00867BCF">
        <w:rPr>
          <w:rFonts w:ascii="Times New Roman" w:hAnsi="Times New Roman" w:cs="Times New Roman"/>
          <w:sz w:val="24"/>
          <w:szCs w:val="24"/>
        </w:rPr>
        <w:t xml:space="preserve"> un </w:t>
      </w:r>
      <w:r w:rsidR="003F73B8" w:rsidRPr="00867BCF">
        <w:rPr>
          <w:rFonts w:ascii="Times New Roman" w:hAnsi="Times New Roman" w:cs="Times New Roman"/>
          <w:sz w:val="24"/>
          <w:szCs w:val="24"/>
        </w:rPr>
        <w:t>pētniecības internacionalizāciju</w:t>
      </w:r>
      <w:r w:rsidRPr="00867BCF">
        <w:rPr>
          <w:rFonts w:ascii="Times New Roman" w:hAnsi="Times New Roman" w:cs="Times New Roman"/>
          <w:sz w:val="24"/>
          <w:szCs w:val="24"/>
        </w:rPr>
        <w:t>, kā rezultātā inovācijas netiek pietiekami komercializētas</w:t>
      </w:r>
      <w:r w:rsidRPr="00867BCF">
        <w:rPr>
          <w:rFonts w:ascii="Times New Roman" w:hAnsi="Times New Roman" w:cs="Times New Roman"/>
          <w:sz w:val="24"/>
          <w:szCs w:val="24"/>
          <w:vertAlign w:val="superscript"/>
        </w:rPr>
        <w:footnoteReference w:id="32"/>
      </w:r>
      <w:r w:rsidRPr="00867BCF">
        <w:rPr>
          <w:rFonts w:ascii="Times New Roman" w:hAnsi="Times New Roman" w:cs="Times New Roman"/>
          <w:sz w:val="24"/>
          <w:szCs w:val="24"/>
        </w:rPr>
        <w:t>.</w:t>
      </w:r>
      <w:r w:rsidRPr="00867BCF">
        <w:rPr>
          <w:rFonts w:ascii="Times New Roman" w:hAnsi="Times New Roman" w:cs="Times New Roman"/>
          <w:sz w:val="24"/>
          <w:szCs w:val="24"/>
          <w:lang w:bidi="lo-LA"/>
        </w:rPr>
        <w:t xml:space="preserve"> Līdzīgi </w:t>
      </w:r>
      <w:r w:rsidRPr="00867BCF">
        <w:rPr>
          <w:rFonts w:ascii="Times New Roman" w:hAnsi="Times New Roman" w:cs="Times New Roman"/>
          <w:sz w:val="24"/>
          <w:szCs w:val="24"/>
        </w:rPr>
        <w:t>Eiropas Komisijas vērtējumā</w:t>
      </w:r>
      <w:r w:rsidRPr="00867BCF">
        <w:rPr>
          <w:rFonts w:ascii="Times New Roman" w:hAnsi="Times New Roman" w:cs="Times New Roman"/>
          <w:sz w:val="24"/>
          <w:szCs w:val="24"/>
          <w:vertAlign w:val="superscript"/>
          <w:lang w:bidi="lo-LA"/>
        </w:rPr>
        <w:footnoteReference w:id="33"/>
      </w:r>
      <w:r w:rsidRPr="00867BCF">
        <w:rPr>
          <w:rFonts w:ascii="Times New Roman" w:hAnsi="Times New Roman" w:cs="Times New Roman"/>
          <w:sz w:val="24"/>
          <w:szCs w:val="24"/>
        </w:rPr>
        <w:t xml:space="preserve"> akadēmisko, pētniecības un uzņēmējdarbības aprindu sadarbības, kā arī pētniecības, izstrādes un inovāciju finansēšanas ziņā Latvijā vērojams ierobežots progress. Pētniecības un izstrādes investīciju līmenis Latvijā ir viens no zemākajiem ES un ir pārlieku atkarīgs no ES līdzekļiem. Lai gan tiek piedāvāti dažādi instrumenti pētniecības un izstrādes investīciju veicināšanai, tie nav pilnībā izmantoti pieprasījuma trūkuma dēļ. </w:t>
      </w:r>
      <w:r w:rsidRPr="00867BCF">
        <w:rPr>
          <w:rFonts w:ascii="Times New Roman" w:hAnsi="Times New Roman" w:cs="Times New Roman"/>
          <w:sz w:val="24"/>
          <w:szCs w:val="24"/>
          <w:lang w:bidi="lo-LA"/>
        </w:rPr>
        <w:t xml:space="preserve">Pašreizējās profesionālās, augstākās un mūžizglītības sistēmas nenodrošina pietiekamu atbilstību starp darbaspēka pieprasījumu un piedāvājumu, trūkst koordinētas informācijas apmaiņas starp potenciālajiem darba devējiem un ņēmējiem. Vērojams kvalificēta darbaspēka trūkums, jo īpaši lauku teritorijās. </w:t>
      </w:r>
    </w:p>
    <w:p w14:paraId="0521DAE2" w14:textId="11B0B901" w:rsidR="0029214E" w:rsidRPr="00867BCF" w:rsidRDefault="0057386D" w:rsidP="00C123FE">
      <w:pPr>
        <w:spacing w:after="120"/>
        <w:rPr>
          <w:rFonts w:ascii="Times New Roman" w:hAnsi="Times New Roman"/>
          <w:sz w:val="24"/>
          <w:szCs w:val="24"/>
        </w:rPr>
      </w:pPr>
      <w:r w:rsidRPr="00867BCF">
        <w:rPr>
          <w:rFonts w:ascii="Times New Roman" w:hAnsi="Times New Roman" w:cs="Times New Roman"/>
          <w:sz w:val="24"/>
          <w:szCs w:val="24"/>
          <w:lang w:bidi="lo-LA"/>
        </w:rPr>
        <w:t>Latvijā vērojama nepietiekama pētniecības un inovācijas kapacitāte – mazs zinātnē nodarbināto skaits</w:t>
      </w:r>
      <w:r w:rsidRPr="00867BCF">
        <w:rPr>
          <w:rFonts w:ascii="Times New Roman" w:hAnsi="Times New Roman" w:cs="Times New Roman"/>
          <w:sz w:val="24"/>
          <w:szCs w:val="24"/>
          <w:vertAlign w:val="superscript"/>
          <w:lang w:bidi="lo-LA"/>
        </w:rPr>
        <w:footnoteReference w:id="34"/>
      </w:r>
      <w:r w:rsidRPr="00867BCF">
        <w:rPr>
          <w:rFonts w:ascii="Times New Roman" w:hAnsi="Times New Roman" w:cs="Times New Roman"/>
          <w:sz w:val="24"/>
          <w:szCs w:val="24"/>
          <w:lang w:bidi="lo-LA"/>
        </w:rPr>
        <w:t xml:space="preserve"> un zinātnieku novecošanās</w:t>
      </w:r>
      <w:r w:rsidRPr="00867BCF">
        <w:rPr>
          <w:rFonts w:ascii="Times New Roman" w:hAnsi="Times New Roman" w:cs="Times New Roman"/>
          <w:sz w:val="24"/>
          <w:szCs w:val="24"/>
          <w:vertAlign w:val="superscript"/>
          <w:lang w:bidi="lo-LA"/>
        </w:rPr>
        <w:footnoteReference w:id="35"/>
      </w:r>
      <w:r w:rsidRPr="00867BCF">
        <w:rPr>
          <w:rFonts w:ascii="Times New Roman" w:hAnsi="Times New Roman" w:cs="Times New Roman"/>
          <w:sz w:val="24"/>
          <w:szCs w:val="24"/>
          <w:lang w:bidi="lo-LA"/>
        </w:rPr>
        <w:t>, lēna intelektuālā kapitāla ataudze (</w:t>
      </w:r>
      <w:r w:rsidRPr="00867BCF">
        <w:rPr>
          <w:rFonts w:ascii="Times New Roman" w:hAnsi="Times New Roman" w:cs="Times New Roman"/>
          <w:color w:val="000000"/>
          <w:sz w:val="24"/>
          <w:szCs w:val="24"/>
        </w:rPr>
        <w:t>studējošo un absolventu skaita samazināšanās, svārstīga doktorantu un jauno pētnieku skaita dinamika</w:t>
      </w:r>
      <w:r w:rsidRPr="00867BCF">
        <w:rPr>
          <w:rFonts w:ascii="Times New Roman" w:hAnsi="Times New Roman" w:cs="Times New Roman"/>
          <w:color w:val="000000"/>
          <w:sz w:val="24"/>
          <w:szCs w:val="24"/>
          <w:vertAlign w:val="superscript"/>
        </w:rPr>
        <w:footnoteReference w:id="36"/>
      </w:r>
      <w:r w:rsidRPr="00867BCF">
        <w:rPr>
          <w:rFonts w:ascii="Times New Roman" w:hAnsi="Times New Roman" w:cs="Times New Roman"/>
          <w:color w:val="000000"/>
          <w:sz w:val="24"/>
          <w:szCs w:val="24"/>
        </w:rPr>
        <w:t xml:space="preserve">). </w:t>
      </w:r>
      <w:r w:rsidRPr="00867BCF">
        <w:rPr>
          <w:rFonts w:ascii="Times New Roman" w:hAnsi="Times New Roman" w:cs="Times New Roman"/>
          <w:sz w:val="24"/>
          <w:szCs w:val="24"/>
          <w:lang w:bidi="lo-LA"/>
        </w:rPr>
        <w:t>Notiek talantu un līderu aizplūšana, pastāv grūtības piesaistīt pasaules mēroga ekspertus/līderus</w:t>
      </w:r>
      <w:r w:rsidRPr="00867BCF">
        <w:rPr>
          <w:rFonts w:ascii="Times New Roman" w:hAnsi="Times New Roman" w:cs="Times New Roman"/>
          <w:sz w:val="24"/>
          <w:szCs w:val="24"/>
          <w:vertAlign w:val="superscript"/>
          <w:lang w:bidi="lo-LA"/>
        </w:rPr>
        <w:footnoteReference w:id="37"/>
      </w:r>
      <w:r w:rsidRPr="00867BCF">
        <w:rPr>
          <w:rFonts w:ascii="Times New Roman" w:hAnsi="Times New Roman" w:cs="Times New Roman"/>
          <w:sz w:val="24"/>
          <w:szCs w:val="24"/>
          <w:lang w:bidi="lo-LA"/>
        </w:rPr>
        <w:t xml:space="preserve">. </w:t>
      </w:r>
      <w:r w:rsidRPr="00867BCF">
        <w:rPr>
          <w:rFonts w:ascii="Times New Roman" w:hAnsi="Times New Roman" w:cs="Times New Roman"/>
          <w:sz w:val="24"/>
          <w:szCs w:val="24"/>
        </w:rPr>
        <w:t xml:space="preserve">Zema </w:t>
      </w:r>
      <w:r w:rsidR="003F73B8" w:rsidRPr="00867BCF">
        <w:rPr>
          <w:rFonts w:ascii="Times New Roman" w:hAnsi="Times New Roman" w:cs="Times New Roman"/>
          <w:sz w:val="24"/>
          <w:szCs w:val="24"/>
        </w:rPr>
        <w:t xml:space="preserve">ir </w:t>
      </w:r>
      <w:r w:rsidRPr="00867BCF">
        <w:rPr>
          <w:rFonts w:ascii="Times New Roman" w:hAnsi="Times New Roman" w:cs="Times New Roman"/>
          <w:sz w:val="24"/>
          <w:szCs w:val="24"/>
        </w:rPr>
        <w:t xml:space="preserve">uzņēmumu izpratne par pētniecības iespējamo pozitīvo ietekmi uz uzņēmējdarbības attīstību, līdz ar to </w:t>
      </w:r>
      <w:r w:rsidR="003F73B8" w:rsidRPr="00867BCF">
        <w:rPr>
          <w:rFonts w:ascii="Times New Roman" w:hAnsi="Times New Roman" w:cs="Times New Roman"/>
          <w:sz w:val="24"/>
          <w:szCs w:val="24"/>
        </w:rPr>
        <w:t xml:space="preserve">ir </w:t>
      </w:r>
      <w:r w:rsidRPr="00867BCF">
        <w:rPr>
          <w:rFonts w:ascii="Times New Roman" w:hAnsi="Times New Roman" w:cs="Times New Roman"/>
          <w:sz w:val="24"/>
          <w:szCs w:val="24"/>
        </w:rPr>
        <w:t>mazs pielietojamo pētījumu skaits un īpatsvars kopējā pētījumu klāstā.</w:t>
      </w:r>
      <w:r w:rsidRPr="00867BCF">
        <w:t xml:space="preserve"> </w:t>
      </w:r>
      <w:r w:rsidRPr="00867BCF">
        <w:rPr>
          <w:rFonts w:ascii="Times New Roman" w:hAnsi="Times New Roman" w:cs="Times New Roman"/>
          <w:sz w:val="24"/>
          <w:szCs w:val="24"/>
          <w:lang w:bidi="lo-LA"/>
        </w:rPr>
        <w:t xml:space="preserve">Vāja </w:t>
      </w:r>
      <w:r w:rsidR="003F73B8" w:rsidRPr="00867BCF">
        <w:rPr>
          <w:rFonts w:ascii="Times New Roman" w:hAnsi="Times New Roman" w:cs="Times New Roman"/>
          <w:sz w:val="24"/>
          <w:szCs w:val="24"/>
          <w:lang w:bidi="lo-LA"/>
        </w:rPr>
        <w:t xml:space="preserve">ir </w:t>
      </w:r>
      <w:r w:rsidRPr="00867BCF">
        <w:rPr>
          <w:rFonts w:ascii="Times New Roman" w:hAnsi="Times New Roman" w:cs="Times New Roman"/>
          <w:sz w:val="24"/>
          <w:szCs w:val="24"/>
          <w:lang w:bidi="lo-LA"/>
        </w:rPr>
        <w:t xml:space="preserve">pētījumu rezultātu </w:t>
      </w:r>
      <w:proofErr w:type="spellStart"/>
      <w:r w:rsidRPr="00867BCF">
        <w:rPr>
          <w:rFonts w:ascii="Times New Roman" w:hAnsi="Times New Roman" w:cs="Times New Roman"/>
          <w:sz w:val="24"/>
          <w:szCs w:val="24"/>
          <w:lang w:bidi="lo-LA"/>
        </w:rPr>
        <w:t>komercializācija</w:t>
      </w:r>
      <w:proofErr w:type="spellEnd"/>
      <w:r w:rsidRPr="00867BCF">
        <w:rPr>
          <w:rFonts w:ascii="Times New Roman" w:hAnsi="Times New Roman" w:cs="Times New Roman"/>
          <w:sz w:val="24"/>
          <w:szCs w:val="24"/>
          <w:lang w:bidi="lo-LA"/>
        </w:rPr>
        <w:t xml:space="preserve"> un </w:t>
      </w:r>
      <w:proofErr w:type="spellStart"/>
      <w:r w:rsidRPr="00867BCF">
        <w:rPr>
          <w:rFonts w:ascii="Times New Roman" w:hAnsi="Times New Roman" w:cs="Times New Roman"/>
          <w:sz w:val="24"/>
          <w:szCs w:val="24"/>
          <w:lang w:bidi="lo-LA"/>
        </w:rPr>
        <w:t>pārnese</w:t>
      </w:r>
      <w:proofErr w:type="spellEnd"/>
      <w:r w:rsidRPr="00867BCF">
        <w:rPr>
          <w:rFonts w:ascii="Times New Roman" w:hAnsi="Times New Roman" w:cs="Times New Roman"/>
          <w:sz w:val="24"/>
          <w:szCs w:val="24"/>
          <w:lang w:bidi="lo-LA"/>
        </w:rPr>
        <w:t xml:space="preserve"> uz tautsaimniecības sektoriem</w:t>
      </w:r>
      <w:r w:rsidRPr="00867BCF">
        <w:rPr>
          <w:rFonts w:ascii="Times New Roman" w:hAnsi="Times New Roman" w:cs="Times New Roman"/>
          <w:sz w:val="24"/>
          <w:szCs w:val="24"/>
          <w:vertAlign w:val="superscript"/>
          <w:lang w:bidi="lo-LA"/>
        </w:rPr>
        <w:footnoteReference w:id="38"/>
      </w:r>
      <w:r w:rsidRPr="00867BCF">
        <w:rPr>
          <w:rFonts w:ascii="Times New Roman" w:hAnsi="Times New Roman" w:cs="Times New Roman"/>
          <w:sz w:val="24"/>
          <w:szCs w:val="24"/>
          <w:lang w:bidi="lo-LA"/>
        </w:rPr>
        <w:t>. Uzņēmumiem ir atšķirīgas piekļuves iespējas pētniecības rezultātiem un dažāda zināšanu, inovāciju un tehnoloģiju absorbcijas kapacitāte.</w:t>
      </w:r>
    </w:p>
    <w:p w14:paraId="78914C17" w14:textId="77777777" w:rsidR="003F73B8" w:rsidRPr="00867BCF" w:rsidRDefault="003F73B8" w:rsidP="00C123FE">
      <w:pPr>
        <w:spacing w:after="120"/>
        <w:rPr>
          <w:rFonts w:ascii="Times New Roman" w:hAnsi="Times New Roman" w:cs="Times New Roman"/>
          <w:sz w:val="24"/>
          <w:szCs w:val="24"/>
        </w:rPr>
      </w:pPr>
    </w:p>
    <w:p w14:paraId="18A2E9EF" w14:textId="77777777" w:rsidR="0029214E" w:rsidRPr="00867BCF" w:rsidRDefault="0029214E" w:rsidP="00C123FE">
      <w:pPr>
        <w:spacing w:after="120"/>
        <w:rPr>
          <w:rFonts w:ascii="Times New Roman" w:eastAsia="Times New Roman" w:hAnsi="Times New Roman"/>
          <w:b/>
          <w:bCs/>
          <w:sz w:val="24"/>
          <w:szCs w:val="24"/>
          <w:lang w:eastAsia="lv-LV"/>
        </w:rPr>
      </w:pPr>
      <w:r w:rsidRPr="00867BCF">
        <w:rPr>
          <w:rFonts w:ascii="Times New Roman" w:eastAsia="Times New Roman" w:hAnsi="Times New Roman"/>
          <w:b/>
          <w:bCs/>
          <w:sz w:val="24"/>
          <w:szCs w:val="24"/>
          <w:lang w:eastAsia="lv-LV"/>
        </w:rPr>
        <w:t>Nodokļu ieņēmumi un pašvaldību budžets</w:t>
      </w:r>
    </w:p>
    <w:p w14:paraId="3CF53F7B" w14:textId="1F9C3971" w:rsidR="0029214E" w:rsidRPr="00867BCF" w:rsidRDefault="0029214E" w:rsidP="00C123FE">
      <w:pPr>
        <w:spacing w:after="120"/>
        <w:rPr>
          <w:rFonts w:ascii="Times New Roman" w:eastAsia="Times New Roman" w:hAnsi="Times New Roman"/>
          <w:bCs/>
          <w:sz w:val="24"/>
          <w:szCs w:val="24"/>
          <w:lang w:eastAsia="lv-LV"/>
        </w:rPr>
      </w:pPr>
      <w:r w:rsidRPr="00867BCF">
        <w:rPr>
          <w:rFonts w:ascii="Times New Roman" w:eastAsia="Times New Roman" w:hAnsi="Times New Roman"/>
          <w:sz w:val="24"/>
          <w:szCs w:val="24"/>
          <w:lang w:eastAsia="lv-LV"/>
        </w:rPr>
        <w:t xml:space="preserve">Nozīmīgās atšķirības ekonomiskajā aktivitātē tiešā veidā ietekmē pašvaldību budžetu apjomus, jo pašvaldībās, kurās ir zemāka ekonomiskā aktivitāte (lielāks bezdarbs u.c.), un zemāka vidējā </w:t>
      </w:r>
      <w:r w:rsidRPr="00867BCF">
        <w:rPr>
          <w:rFonts w:ascii="Times New Roman" w:eastAsia="Times New Roman" w:hAnsi="Times New Roman"/>
          <w:sz w:val="24"/>
          <w:szCs w:val="24"/>
          <w:lang w:eastAsia="lv-LV"/>
        </w:rPr>
        <w:lastRenderedPageBreak/>
        <w:t xml:space="preserve">alga ir mazāki nodokļu ieņēmumi. Rēķinot uz 1 iedzīvotāju, pašvaldību 2017.gada nodokļu ieņēmumi būtiski atšķiras – no </w:t>
      </w:r>
      <w:r w:rsidRPr="00867BCF">
        <w:rPr>
          <w:rFonts w:ascii="Times New Roman" w:eastAsia="Times New Roman" w:hAnsi="Times New Roman" w:cs="Times New Roman"/>
          <w:color w:val="000000"/>
          <w:sz w:val="24"/>
          <w:szCs w:val="24"/>
          <w:lang w:eastAsia="lv-LV"/>
        </w:rPr>
        <w:t>1</w:t>
      </w:r>
      <w:r w:rsidR="003F73B8" w:rsidRPr="00867BCF">
        <w:rPr>
          <w:rFonts w:ascii="Times New Roman" w:eastAsia="Times New Roman" w:hAnsi="Times New Roman" w:cs="Times New Roman"/>
          <w:color w:val="000000"/>
          <w:sz w:val="24"/>
          <w:szCs w:val="24"/>
          <w:lang w:eastAsia="lv-LV"/>
        </w:rPr>
        <w:t xml:space="preserve"> </w:t>
      </w:r>
      <w:r w:rsidRPr="00867BCF">
        <w:rPr>
          <w:rFonts w:ascii="Times New Roman" w:eastAsia="Times New Roman" w:hAnsi="Times New Roman" w:cs="Times New Roman"/>
          <w:color w:val="000000"/>
          <w:sz w:val="24"/>
          <w:szCs w:val="24"/>
          <w:lang w:eastAsia="lv-LV"/>
        </w:rPr>
        <w:t xml:space="preserve">298,40 </w:t>
      </w:r>
      <w:proofErr w:type="spellStart"/>
      <w:r w:rsidRPr="00867BCF">
        <w:rPr>
          <w:rFonts w:ascii="Times New Roman" w:eastAsia="Times New Roman" w:hAnsi="Times New Roman"/>
          <w:i/>
          <w:sz w:val="24"/>
          <w:szCs w:val="24"/>
          <w:lang w:eastAsia="lv-LV"/>
        </w:rPr>
        <w:t>euro</w:t>
      </w:r>
      <w:proofErr w:type="spellEnd"/>
      <w:r w:rsidRPr="00867BCF">
        <w:rPr>
          <w:rFonts w:ascii="Times New Roman" w:eastAsia="Times New Roman" w:hAnsi="Times New Roman"/>
          <w:sz w:val="24"/>
          <w:szCs w:val="24"/>
          <w:lang w:eastAsia="lv-LV"/>
        </w:rPr>
        <w:t xml:space="preserve"> Garkalnes novadā līdz 319,39 </w:t>
      </w:r>
      <w:proofErr w:type="spellStart"/>
      <w:r w:rsidRPr="00867BCF">
        <w:rPr>
          <w:rFonts w:ascii="Times New Roman" w:eastAsia="Times New Roman" w:hAnsi="Times New Roman"/>
          <w:i/>
          <w:sz w:val="24"/>
          <w:szCs w:val="24"/>
          <w:lang w:eastAsia="lv-LV"/>
        </w:rPr>
        <w:t>euro</w:t>
      </w:r>
      <w:proofErr w:type="spellEnd"/>
      <w:r w:rsidRPr="00867BCF">
        <w:rPr>
          <w:rFonts w:ascii="Times New Roman" w:eastAsia="Times New Roman" w:hAnsi="Times New Roman"/>
          <w:sz w:val="24"/>
          <w:szCs w:val="24"/>
          <w:lang w:eastAsia="lv-LV"/>
        </w:rPr>
        <w:t xml:space="preserve"> Zilupes novadā (atšķirība četras reizes)</w:t>
      </w:r>
      <w:r w:rsidR="007356E2" w:rsidRPr="00867BCF">
        <w:rPr>
          <w:rFonts w:ascii="Times New Roman" w:eastAsia="Times New Roman" w:hAnsi="Times New Roman"/>
          <w:sz w:val="24"/>
          <w:szCs w:val="24"/>
          <w:lang w:eastAsia="lv-LV"/>
        </w:rPr>
        <w:t xml:space="preserve">. </w:t>
      </w:r>
      <w:r w:rsidRPr="00867BCF">
        <w:rPr>
          <w:rStyle w:val="FootnoteReference"/>
          <w:rFonts w:ascii="Times New Roman" w:eastAsia="Times New Roman" w:hAnsi="Times New Roman"/>
          <w:sz w:val="24"/>
          <w:szCs w:val="24"/>
          <w:lang w:eastAsia="lv-LV"/>
        </w:rPr>
        <w:footnoteReference w:id="39"/>
      </w:r>
      <w:r w:rsidR="007356E2" w:rsidRPr="00867BCF">
        <w:rPr>
          <w:rFonts w:ascii="Times New Roman" w:eastAsia="Times New Roman" w:hAnsi="Times New Roman"/>
          <w:sz w:val="24"/>
          <w:szCs w:val="24"/>
          <w:lang w:eastAsia="lv-LV"/>
        </w:rPr>
        <w:t xml:space="preserve"> </w:t>
      </w:r>
      <w:r w:rsidRPr="00867BCF">
        <w:rPr>
          <w:rFonts w:ascii="Times New Roman" w:eastAsia="Times New Roman" w:hAnsi="Times New Roman"/>
          <w:sz w:val="24"/>
          <w:szCs w:val="24"/>
          <w:lang w:eastAsia="lv-LV"/>
        </w:rPr>
        <w:t>Nabadzīgākajās pašvaldībās daudz lielāka iedzīvotāju daļa saņem sociālos pabalstus, vēl vairāk samazinot līdzekļus, ko pašvaldība var ieguldīt infrastruktūrā un izglītībā.</w:t>
      </w:r>
      <w:r w:rsidRPr="00867BCF">
        <w:rPr>
          <w:rStyle w:val="FootnoteReference"/>
          <w:rFonts w:ascii="Times New Roman" w:eastAsia="Times New Roman" w:hAnsi="Times New Roman"/>
          <w:sz w:val="24"/>
          <w:szCs w:val="24"/>
          <w:lang w:eastAsia="lv-LV"/>
        </w:rPr>
        <w:footnoteReference w:id="40"/>
      </w:r>
      <w:r w:rsidRPr="00867BCF">
        <w:rPr>
          <w:rFonts w:ascii="Times New Roman" w:eastAsia="Times New Roman" w:hAnsi="Times New Roman"/>
          <w:sz w:val="24"/>
          <w:szCs w:val="24"/>
          <w:lang w:eastAsia="lv-LV"/>
        </w:rPr>
        <w:t xml:space="preserve"> Disproporcijas pašvaldību ieņēmumos nozīmē, ka </w:t>
      </w:r>
      <w:r w:rsidRPr="00867BCF">
        <w:rPr>
          <w:rFonts w:ascii="Times New Roman" w:eastAsia="Times New Roman" w:hAnsi="Times New Roman"/>
          <w:bCs/>
          <w:sz w:val="24"/>
          <w:szCs w:val="24"/>
          <w:lang w:eastAsia="lv-LV"/>
        </w:rPr>
        <w:t>pašvaldību rīcībā ir ļoti atšķirīgs līdzekļu apjoms, ko tās var ieguldīt attīstībā un pakalpojumu nodrošināšanā iedzīvotājiem</w:t>
      </w:r>
      <w:r w:rsidRPr="00867BCF">
        <w:rPr>
          <w:rFonts w:ascii="Times New Roman" w:eastAsia="Times New Roman" w:hAnsi="Times New Roman"/>
          <w:sz w:val="24"/>
          <w:szCs w:val="24"/>
          <w:lang w:eastAsia="lv-LV"/>
        </w:rPr>
        <w:t>.</w:t>
      </w:r>
    </w:p>
    <w:p w14:paraId="0929E777" w14:textId="6E8E5837" w:rsidR="3D9A9DCD" w:rsidRPr="00867BCF" w:rsidRDefault="00BF656E" w:rsidP="00BF656E">
      <w:pPr>
        <w:rPr>
          <w:rFonts w:ascii="Times New Roman" w:eastAsia="Times New Roman" w:hAnsi="Times New Roman"/>
          <w:sz w:val="24"/>
          <w:szCs w:val="24"/>
          <w:lang w:eastAsia="lv-LV"/>
        </w:rPr>
      </w:pPr>
      <w:r w:rsidRPr="00867BCF">
        <w:rPr>
          <w:noProof/>
          <w:lang w:eastAsia="lv-LV"/>
        </w:rPr>
        <w:drawing>
          <wp:anchor distT="0" distB="0" distL="114300" distR="114300" simplePos="0" relativeHeight="251658241" behindDoc="0" locked="0" layoutInCell="1" allowOverlap="1" wp14:anchorId="5C7E85FE" wp14:editId="4CC8A219">
            <wp:simplePos x="0" y="0"/>
            <wp:positionH relativeFrom="margin">
              <wp:align>left</wp:align>
            </wp:positionH>
            <wp:positionV relativeFrom="paragraph">
              <wp:posOffset>994410</wp:posOffset>
            </wp:positionV>
            <wp:extent cx="5788025" cy="1939925"/>
            <wp:effectExtent l="0" t="0" r="3175" b="317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3D9A9DCD" w:rsidRPr="00867BCF">
        <w:rPr>
          <w:rFonts w:ascii="Times New Roman" w:eastAsia="Times New Roman" w:hAnsi="Times New Roman"/>
          <w:sz w:val="24"/>
          <w:szCs w:val="24"/>
          <w:lang w:eastAsia="lv-LV"/>
        </w:rPr>
        <w:t>Pašlaik daudzām pašvaldībām trūkst līdzekļu investīcijām teritorijā esošās infrastruktūras sakārtošanai un uzlabošanai</w:t>
      </w:r>
      <w:r w:rsidR="0086382D" w:rsidRPr="00867BCF">
        <w:rPr>
          <w:rFonts w:ascii="Times New Roman" w:eastAsia="Times New Roman" w:hAnsi="Times New Roman"/>
          <w:sz w:val="24"/>
          <w:szCs w:val="24"/>
          <w:lang w:eastAsia="lv-LV"/>
        </w:rPr>
        <w:t xml:space="preserve"> (sk. 1</w:t>
      </w:r>
      <w:r w:rsidR="00345BEB" w:rsidRPr="00867BCF">
        <w:rPr>
          <w:rFonts w:ascii="Times New Roman" w:eastAsia="Times New Roman" w:hAnsi="Times New Roman"/>
          <w:sz w:val="24"/>
          <w:szCs w:val="24"/>
          <w:lang w:eastAsia="lv-LV"/>
        </w:rPr>
        <w:t>4</w:t>
      </w:r>
      <w:r w:rsidR="0086382D" w:rsidRPr="00867BCF">
        <w:rPr>
          <w:rFonts w:ascii="Times New Roman" w:eastAsia="Times New Roman" w:hAnsi="Times New Roman"/>
          <w:sz w:val="24"/>
          <w:szCs w:val="24"/>
          <w:lang w:eastAsia="lv-LV"/>
        </w:rPr>
        <w:t>. un 1</w:t>
      </w:r>
      <w:r w:rsidR="00345BEB" w:rsidRPr="00867BCF">
        <w:rPr>
          <w:rFonts w:ascii="Times New Roman" w:eastAsia="Times New Roman" w:hAnsi="Times New Roman"/>
          <w:sz w:val="24"/>
          <w:szCs w:val="24"/>
          <w:lang w:eastAsia="lv-LV"/>
        </w:rPr>
        <w:t>5</w:t>
      </w:r>
      <w:r w:rsidR="0086382D" w:rsidRPr="00867BCF">
        <w:rPr>
          <w:rFonts w:ascii="Times New Roman" w:eastAsia="Times New Roman" w:hAnsi="Times New Roman"/>
          <w:sz w:val="24"/>
          <w:szCs w:val="24"/>
          <w:lang w:eastAsia="lv-LV"/>
        </w:rPr>
        <w:t>.attēlu)</w:t>
      </w:r>
      <w:r w:rsidR="3D9A9DCD" w:rsidRPr="00867BCF">
        <w:rPr>
          <w:rFonts w:ascii="Times New Roman" w:eastAsia="Times New Roman" w:hAnsi="Times New Roman"/>
          <w:sz w:val="24"/>
          <w:szCs w:val="24"/>
          <w:lang w:eastAsia="lv-LV"/>
        </w:rPr>
        <w:t>. Daudzu pašvaldību iespējas atvēlēt nozīmīgu sava budžeta daļu investīciju veikšanai ir ļoti ierobežotas, jo lielākā daļa līdzekļu tiek izlietoti ar pašvaldības funkciju izpildi saistītajiem ikdienas un uzturēšanas izdevumiem – kapitālie izdevumi veido tikai 18,8%.</w:t>
      </w:r>
    </w:p>
    <w:p w14:paraId="6B64A689" w14:textId="248CA87A" w:rsidR="009F327A" w:rsidRPr="00867BCF" w:rsidRDefault="0086382D" w:rsidP="00F34532">
      <w:pPr>
        <w:pStyle w:val="tv213"/>
        <w:spacing w:before="0" w:beforeAutospacing="0" w:after="0" w:afterAutospacing="0" w:line="293" w:lineRule="atLeast"/>
        <w:jc w:val="center"/>
        <w:rPr>
          <w:i/>
          <w:iCs/>
        </w:rPr>
      </w:pPr>
      <w:r w:rsidRPr="00867BCF">
        <w:rPr>
          <w:i/>
          <w:iCs/>
        </w:rPr>
        <w:t>1</w:t>
      </w:r>
      <w:r w:rsidR="00345BEB" w:rsidRPr="00867BCF">
        <w:rPr>
          <w:i/>
          <w:iCs/>
        </w:rPr>
        <w:t>4</w:t>
      </w:r>
      <w:r w:rsidR="3D9A9DCD" w:rsidRPr="00867BCF">
        <w:rPr>
          <w:i/>
          <w:iCs/>
        </w:rPr>
        <w:t>.attēls. Pašvaldību kopbudžeta faktiskie izdevumi uz 31.01.2019., % no izdevumiem kopā*</w:t>
      </w:r>
    </w:p>
    <w:p w14:paraId="2C3B1999" w14:textId="7BADFE60" w:rsidR="0029214E" w:rsidRPr="00867BCF" w:rsidRDefault="0029214E" w:rsidP="00C123FE">
      <w:pPr>
        <w:pStyle w:val="tv213"/>
        <w:spacing w:before="0" w:beforeAutospacing="0" w:after="0" w:afterAutospacing="0" w:line="293" w:lineRule="atLeast"/>
        <w:jc w:val="both"/>
      </w:pPr>
    </w:p>
    <w:p w14:paraId="476B44F6" w14:textId="745E67A2" w:rsidR="0029214E" w:rsidRPr="00867BCF" w:rsidRDefault="0029214E" w:rsidP="00F506E1">
      <w:pPr>
        <w:pStyle w:val="tv213"/>
        <w:spacing w:before="0" w:beforeAutospacing="0" w:after="120" w:afterAutospacing="0"/>
        <w:jc w:val="both"/>
        <w:rPr>
          <w:rFonts w:ascii="Arial" w:hAnsi="Arial" w:cs="Arial"/>
          <w:b/>
          <w:bCs/>
          <w:sz w:val="20"/>
          <w:szCs w:val="20"/>
          <w:shd w:val="clear" w:color="auto" w:fill="FFFFFF"/>
        </w:rPr>
      </w:pPr>
      <w:r w:rsidRPr="00867BCF">
        <w:t>Lielākā daļa pašvaldību ir saņēmējas pašvaldību finanšu izlīdzināšanas fondā, kas liecina, ka to ieņēmumi nenodrošina pietiekošu finansējumu pašvaldības funkciju kvalitatīvai izpildei (2018.gadā dotācijas no pašvaldību finanšu izlīdzināšanas fonda saņēma 104 pašvaldības, bet 15 pašvaldības veica iemaksas). Tāpēc nepieciešama finansējuma novirzīšana pašvaldību investīcijām no citiem finansējuma avotiem.</w:t>
      </w:r>
    </w:p>
    <w:p w14:paraId="79416A01" w14:textId="77777777" w:rsidR="0029214E" w:rsidRPr="00867BCF" w:rsidRDefault="0029214E" w:rsidP="00C123FE">
      <w:pPr>
        <w:spacing w:after="120"/>
        <w:jc w:val="center"/>
        <w:rPr>
          <w:rFonts w:ascii="Times New Roman" w:eastAsia="Times New Roman" w:hAnsi="Times New Roman"/>
          <w:bCs/>
          <w:sz w:val="24"/>
          <w:szCs w:val="24"/>
          <w:lang w:eastAsia="lv-LV"/>
        </w:rPr>
      </w:pPr>
      <w:r w:rsidRPr="00867BCF">
        <w:rPr>
          <w:rFonts w:ascii="Times New Roman" w:eastAsia="Times New Roman" w:hAnsi="Times New Roman"/>
          <w:bCs/>
          <w:noProof/>
          <w:sz w:val="24"/>
          <w:szCs w:val="24"/>
          <w:lang w:eastAsia="lv-LV"/>
        </w:rPr>
        <w:drawing>
          <wp:inline distT="0" distB="0" distL="0" distR="0" wp14:anchorId="515FF057" wp14:editId="46774EE4">
            <wp:extent cx="4295099" cy="2550729"/>
            <wp:effectExtent l="0" t="0" r="0" b="2540"/>
            <wp:docPr id="7" name="Picture 7" descr="C:\Users\ilzegoba\AppData\Local\Microsoft\Windows\Temporary Internet Files\Content.Outlook\72ILUASW\Kar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zegoba\AppData\Local\Microsoft\Windows\Temporary Internet Files\Content.Outlook\72ILUASW\Karte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5196" cy="2568603"/>
                    </a:xfrm>
                    <a:prstGeom prst="rect">
                      <a:avLst/>
                    </a:prstGeom>
                    <a:noFill/>
                    <a:ln>
                      <a:noFill/>
                    </a:ln>
                  </pic:spPr>
                </pic:pic>
              </a:graphicData>
            </a:graphic>
          </wp:inline>
        </w:drawing>
      </w:r>
    </w:p>
    <w:p w14:paraId="5D8CA3FE" w14:textId="74C6F102" w:rsidR="0029214E" w:rsidRPr="00867BCF" w:rsidRDefault="0086382D" w:rsidP="00F34532">
      <w:pPr>
        <w:spacing w:after="120"/>
        <w:jc w:val="center"/>
        <w:rPr>
          <w:rFonts w:ascii="Times New Roman" w:eastAsia="Times New Roman" w:hAnsi="Times New Roman"/>
          <w:i/>
          <w:iCs/>
          <w:sz w:val="24"/>
          <w:szCs w:val="24"/>
          <w:lang w:eastAsia="lv-LV"/>
        </w:rPr>
      </w:pPr>
      <w:r w:rsidRPr="00867BCF">
        <w:rPr>
          <w:rFonts w:ascii="Times New Roman" w:eastAsia="Times New Roman" w:hAnsi="Times New Roman"/>
          <w:i/>
          <w:iCs/>
          <w:sz w:val="24"/>
          <w:szCs w:val="24"/>
          <w:lang w:eastAsia="lv-LV"/>
        </w:rPr>
        <w:t>1</w:t>
      </w:r>
      <w:r w:rsidR="00345BEB" w:rsidRPr="00867BCF">
        <w:rPr>
          <w:rFonts w:ascii="Times New Roman" w:eastAsia="Times New Roman" w:hAnsi="Times New Roman"/>
          <w:i/>
          <w:iCs/>
          <w:sz w:val="24"/>
          <w:szCs w:val="24"/>
          <w:lang w:eastAsia="lv-LV"/>
        </w:rPr>
        <w:t>5</w:t>
      </w:r>
      <w:r w:rsidR="3D9A9DCD" w:rsidRPr="00867BCF">
        <w:rPr>
          <w:rFonts w:ascii="Times New Roman" w:eastAsia="Times New Roman" w:hAnsi="Times New Roman"/>
          <w:i/>
          <w:iCs/>
          <w:sz w:val="24"/>
          <w:szCs w:val="24"/>
          <w:lang w:eastAsia="lv-LV"/>
        </w:rPr>
        <w:t xml:space="preserve">.attēls. Pašvaldību nodokļu ieņēmumi uz vienu iedzīvotāju, </w:t>
      </w:r>
      <w:proofErr w:type="spellStart"/>
      <w:r w:rsidR="3D9A9DCD" w:rsidRPr="00867BCF">
        <w:rPr>
          <w:rFonts w:ascii="Times New Roman" w:eastAsia="Times New Roman" w:hAnsi="Times New Roman"/>
          <w:i/>
          <w:iCs/>
          <w:sz w:val="24"/>
          <w:szCs w:val="24"/>
          <w:lang w:eastAsia="lv-LV"/>
        </w:rPr>
        <w:t>euro</w:t>
      </w:r>
      <w:proofErr w:type="spellEnd"/>
      <w:r w:rsidR="3D9A9DCD" w:rsidRPr="00867BCF">
        <w:rPr>
          <w:rFonts w:ascii="Times New Roman" w:eastAsia="Times New Roman" w:hAnsi="Times New Roman"/>
          <w:i/>
          <w:iCs/>
          <w:sz w:val="24"/>
          <w:szCs w:val="24"/>
          <w:lang w:eastAsia="lv-LV"/>
        </w:rPr>
        <w:t xml:space="preserve"> (2017.gads). Avots: RAIM dati.</w:t>
      </w:r>
    </w:p>
    <w:p w14:paraId="2212E2C8" w14:textId="15FD6CBF" w:rsidR="00ED4BB9" w:rsidRPr="00867BCF" w:rsidRDefault="00D142C5" w:rsidP="00C123FE">
      <w:pPr>
        <w:spacing w:after="120"/>
        <w:rPr>
          <w:rFonts w:ascii="Times New Roman" w:hAnsi="Times New Roman"/>
          <w:b/>
          <w:sz w:val="24"/>
          <w:szCs w:val="24"/>
        </w:rPr>
      </w:pPr>
      <w:r w:rsidRPr="00867BCF">
        <w:rPr>
          <w:rFonts w:ascii="Times New Roman" w:hAnsi="Times New Roman"/>
          <w:b/>
          <w:sz w:val="24"/>
          <w:szCs w:val="24"/>
        </w:rPr>
        <w:lastRenderedPageBreak/>
        <w:t>D</w:t>
      </w:r>
      <w:r w:rsidR="0029214E" w:rsidRPr="00867BCF">
        <w:rPr>
          <w:rFonts w:ascii="Times New Roman" w:hAnsi="Times New Roman"/>
          <w:b/>
          <w:sz w:val="24"/>
          <w:szCs w:val="24"/>
        </w:rPr>
        <w:t>emogrāfi</w:t>
      </w:r>
      <w:r w:rsidRPr="00867BCF">
        <w:rPr>
          <w:rFonts w:ascii="Times New Roman" w:hAnsi="Times New Roman"/>
          <w:b/>
          <w:sz w:val="24"/>
          <w:szCs w:val="24"/>
        </w:rPr>
        <w:t>skās tendences reģionos</w:t>
      </w:r>
    </w:p>
    <w:p w14:paraId="4992CED3" w14:textId="77777777" w:rsidR="00DA428C" w:rsidRPr="00867BCF" w:rsidRDefault="00DA428C" w:rsidP="00C123FE">
      <w:pPr>
        <w:spacing w:after="120"/>
        <w:rPr>
          <w:rFonts w:ascii="Times New Roman" w:hAnsi="Times New Roman" w:cs="Times New Roman"/>
          <w:sz w:val="24"/>
        </w:rPr>
      </w:pPr>
      <w:r w:rsidRPr="00867BCF">
        <w:rPr>
          <w:rFonts w:ascii="Times New Roman" w:hAnsi="Times New Roman" w:cs="Times New Roman"/>
          <w:sz w:val="24"/>
          <w:szCs w:val="24"/>
        </w:rPr>
        <w:t>Pēc OECD datiem 23 no 34 OECD valstīm iedzīvotāju īpatsvars pilsētu reģionos ir pieaudzis laikā no 2000. līdz 2017.gadam. Šis pieaugums ir bijis īpaši izteikts Igaunijā, Latvijā, Kanādā un Somijā, kur pieaugums ir mērāms vairāk kā 3 procentpunktos. Portugālē, Polijā, Igaunijā, Japānā, Latvijā un Ungārijā iedzīvotāju skaita pieaugums bija telpiski daudz lielākā mērā koncentrēts kā citās OECD valstīs, 60% un vairāk valsts reģionu uzrādot iedzīvotāju skaita samazināšanos. Vienlaikus gandrīz visās OECD valstīs šajā periodā lauku teritoriju iedzīvotāju skaits ir samazinājies.</w:t>
      </w:r>
      <w:r w:rsidRPr="00867BCF">
        <w:rPr>
          <w:rStyle w:val="FootnoteReference"/>
          <w:rFonts w:ascii="Times New Roman" w:hAnsi="Times New Roman" w:cs="Times New Roman"/>
          <w:sz w:val="24"/>
          <w:szCs w:val="24"/>
        </w:rPr>
        <w:t xml:space="preserve"> </w:t>
      </w:r>
      <w:r w:rsidRPr="00867BCF">
        <w:rPr>
          <w:rStyle w:val="FootnoteReference"/>
          <w:rFonts w:ascii="Times New Roman" w:hAnsi="Times New Roman" w:cs="Times New Roman"/>
          <w:sz w:val="24"/>
          <w:szCs w:val="24"/>
        </w:rPr>
        <w:footnoteReference w:id="41"/>
      </w:r>
    </w:p>
    <w:p w14:paraId="20155486" w14:textId="77777777" w:rsidR="00D20A60" w:rsidRPr="00867BCF" w:rsidRDefault="00EC210A" w:rsidP="00C123FE">
      <w:pPr>
        <w:spacing w:after="120"/>
        <w:rPr>
          <w:rFonts w:ascii="Times New Roman" w:hAnsi="Times New Roman"/>
          <w:sz w:val="24"/>
          <w:szCs w:val="24"/>
        </w:rPr>
      </w:pPr>
      <w:r w:rsidRPr="00867BCF">
        <w:rPr>
          <w:rFonts w:ascii="Times New Roman" w:hAnsi="Times New Roman"/>
          <w:sz w:val="24"/>
          <w:szCs w:val="24"/>
        </w:rPr>
        <w:t>2018.gada sākumā 52% Latvijas iedzīvotāju dzīvoja Rīgas plānošanas reģionā, pārējos reģionos - 9,7-13,7% iedzīvotāju</w:t>
      </w:r>
      <w:r w:rsidR="00D45799" w:rsidRPr="00867BCF">
        <w:rPr>
          <w:rFonts w:ascii="Times New Roman" w:hAnsi="Times New Roman"/>
          <w:sz w:val="24"/>
          <w:szCs w:val="24"/>
        </w:rPr>
        <w:t xml:space="preserve"> (CSP dati)</w:t>
      </w:r>
      <w:r w:rsidRPr="00867BCF">
        <w:rPr>
          <w:rFonts w:ascii="Times New Roman" w:hAnsi="Times New Roman"/>
          <w:sz w:val="24"/>
          <w:szCs w:val="24"/>
        </w:rPr>
        <w:t>.</w:t>
      </w:r>
      <w:r w:rsidR="00C22913" w:rsidRPr="00867BCF">
        <w:rPr>
          <w:rFonts w:ascii="Times New Roman" w:hAnsi="Times New Roman"/>
          <w:sz w:val="24"/>
          <w:szCs w:val="24"/>
        </w:rPr>
        <w:t xml:space="preserve"> Rīgas plānošanas reģiona iedzīvotāju īpatsvars kopš 2010.gada </w:t>
      </w:r>
      <w:r w:rsidR="00D45799" w:rsidRPr="00867BCF">
        <w:rPr>
          <w:rFonts w:ascii="Times New Roman" w:hAnsi="Times New Roman"/>
          <w:sz w:val="24"/>
          <w:szCs w:val="24"/>
        </w:rPr>
        <w:t xml:space="preserve">(49,4%) </w:t>
      </w:r>
      <w:r w:rsidR="00C22913" w:rsidRPr="00867BCF">
        <w:rPr>
          <w:rFonts w:ascii="Times New Roman" w:hAnsi="Times New Roman"/>
          <w:sz w:val="24"/>
          <w:szCs w:val="24"/>
        </w:rPr>
        <w:t>ir pieaudzis</w:t>
      </w:r>
      <w:r w:rsidR="00D45799" w:rsidRPr="00867BCF">
        <w:rPr>
          <w:rFonts w:ascii="Times New Roman" w:hAnsi="Times New Roman"/>
          <w:sz w:val="24"/>
          <w:szCs w:val="24"/>
        </w:rPr>
        <w:t xml:space="preserve"> par 2,6 procentpunktiem</w:t>
      </w:r>
      <w:r w:rsidR="00ED4BB9" w:rsidRPr="00867BCF">
        <w:rPr>
          <w:rFonts w:ascii="Times New Roman" w:hAnsi="Times New Roman"/>
          <w:sz w:val="24"/>
          <w:szCs w:val="24"/>
        </w:rPr>
        <w:t>, kas liecina par reģionālo atšķirību palielināšanos šajā aspektā</w:t>
      </w:r>
      <w:r w:rsidR="00D45799" w:rsidRPr="00867BCF">
        <w:rPr>
          <w:rFonts w:ascii="Times New Roman" w:hAnsi="Times New Roman"/>
          <w:sz w:val="24"/>
          <w:szCs w:val="24"/>
        </w:rPr>
        <w:t>.</w:t>
      </w:r>
      <w:r w:rsidR="008B64A0" w:rsidRPr="00867BCF">
        <w:rPr>
          <w:rStyle w:val="FootnoteReference"/>
          <w:rFonts w:ascii="Times New Roman" w:hAnsi="Times New Roman"/>
          <w:sz w:val="24"/>
          <w:szCs w:val="24"/>
        </w:rPr>
        <w:footnoteReference w:id="42"/>
      </w:r>
    </w:p>
    <w:p w14:paraId="6D586EFF" w14:textId="77777777" w:rsidR="00D94182" w:rsidRPr="00867BCF" w:rsidRDefault="006A0B2F" w:rsidP="00C123FE">
      <w:pPr>
        <w:spacing w:after="120"/>
        <w:rPr>
          <w:rFonts w:ascii="Times New Roman" w:hAnsi="Times New Roman"/>
          <w:sz w:val="24"/>
          <w:szCs w:val="24"/>
        </w:rPr>
      </w:pPr>
      <w:r w:rsidRPr="00867BCF">
        <w:rPr>
          <w:rFonts w:ascii="Times New Roman" w:hAnsi="Times New Roman"/>
          <w:sz w:val="24"/>
          <w:szCs w:val="24"/>
        </w:rPr>
        <w:t xml:space="preserve">Dati par iedzīvotāju ilgtermiņa migrācijas saldo statistiskajos reģionos liecina, ka laikā no 2000.-2017.gadam iedzīvotāju skaits visvairāk samazinājies Rīgas </w:t>
      </w:r>
      <w:r w:rsidR="00ED4BB9" w:rsidRPr="00867BCF">
        <w:rPr>
          <w:rFonts w:ascii="Times New Roman" w:hAnsi="Times New Roman"/>
          <w:sz w:val="24"/>
          <w:szCs w:val="24"/>
        </w:rPr>
        <w:t xml:space="preserve">statistiskajā </w:t>
      </w:r>
      <w:r w:rsidRPr="00867BCF">
        <w:rPr>
          <w:rFonts w:ascii="Times New Roman" w:hAnsi="Times New Roman"/>
          <w:sz w:val="24"/>
          <w:szCs w:val="24"/>
        </w:rPr>
        <w:t>reģionā (Rīgas pilsētā</w:t>
      </w:r>
      <w:r w:rsidR="0040343C" w:rsidRPr="00867BCF">
        <w:rPr>
          <w:rFonts w:ascii="Times New Roman" w:hAnsi="Times New Roman"/>
          <w:sz w:val="24"/>
          <w:szCs w:val="24"/>
        </w:rPr>
        <w:t>)</w:t>
      </w:r>
      <w:r w:rsidRPr="00867BCF">
        <w:rPr>
          <w:rFonts w:ascii="Times New Roman" w:hAnsi="Times New Roman"/>
          <w:sz w:val="24"/>
          <w:szCs w:val="24"/>
        </w:rPr>
        <w:t xml:space="preserve"> – par 84 228, otrajā vietā ierindojas Latgale ar 68 247 iedzīvotāju samazinājumu, trešajā vietā Kurzemes </w:t>
      </w:r>
      <w:r w:rsidR="00ED4BB9" w:rsidRPr="00867BCF">
        <w:rPr>
          <w:rFonts w:ascii="Times New Roman" w:hAnsi="Times New Roman"/>
          <w:sz w:val="24"/>
          <w:szCs w:val="24"/>
        </w:rPr>
        <w:t xml:space="preserve">statistiskais </w:t>
      </w:r>
      <w:r w:rsidRPr="00867BCF">
        <w:rPr>
          <w:rFonts w:ascii="Times New Roman" w:hAnsi="Times New Roman"/>
          <w:sz w:val="24"/>
          <w:szCs w:val="24"/>
        </w:rPr>
        <w:t xml:space="preserve">reģions ar 57 468 iedzīvotāju samazinājumu. Vienīgais reģions ar iedzīvotāju skaita pieaugumu ir Pierīgas </w:t>
      </w:r>
      <w:r w:rsidR="00ED4BB9" w:rsidRPr="00867BCF">
        <w:rPr>
          <w:rFonts w:ascii="Times New Roman" w:hAnsi="Times New Roman"/>
          <w:sz w:val="24"/>
          <w:szCs w:val="24"/>
        </w:rPr>
        <w:t xml:space="preserve">statistiskais </w:t>
      </w:r>
      <w:r w:rsidRPr="00867BCF">
        <w:rPr>
          <w:rFonts w:ascii="Times New Roman" w:hAnsi="Times New Roman"/>
          <w:sz w:val="24"/>
          <w:szCs w:val="24"/>
        </w:rPr>
        <w:t>reģions, kurā iedzīvotāju skaits palielinājies par 19 369 iedzīvotājiem.</w:t>
      </w:r>
      <w:r w:rsidRPr="00867BCF">
        <w:rPr>
          <w:rStyle w:val="FootnoteReference"/>
          <w:rFonts w:ascii="Times New Roman" w:hAnsi="Times New Roman"/>
          <w:sz w:val="24"/>
          <w:szCs w:val="24"/>
        </w:rPr>
        <w:footnoteReference w:id="43"/>
      </w:r>
      <w:r w:rsidR="00BF717E" w:rsidRPr="00867BCF">
        <w:rPr>
          <w:rFonts w:ascii="Times New Roman" w:hAnsi="Times New Roman"/>
          <w:sz w:val="24"/>
          <w:szCs w:val="24"/>
        </w:rPr>
        <w:t xml:space="preserve"> </w:t>
      </w:r>
      <w:r w:rsidR="008D2F09" w:rsidRPr="00867BCF">
        <w:rPr>
          <w:rFonts w:ascii="Times New Roman" w:hAnsi="Times New Roman"/>
          <w:sz w:val="24"/>
          <w:szCs w:val="24"/>
        </w:rPr>
        <w:t>OECD dati liecina, ka 40% no izbraukušajiem starp 2009. un 2016.gadu bija augsti kvalificēti.</w:t>
      </w:r>
      <w:r w:rsidR="008D2F09" w:rsidRPr="00867BCF">
        <w:rPr>
          <w:rStyle w:val="FootnoteReference"/>
          <w:rFonts w:ascii="Times New Roman" w:hAnsi="Times New Roman"/>
          <w:sz w:val="24"/>
          <w:szCs w:val="24"/>
        </w:rPr>
        <w:footnoteReference w:id="44"/>
      </w:r>
      <w:r w:rsidR="00F82AFC" w:rsidRPr="00867BCF">
        <w:rPr>
          <w:rFonts w:ascii="Times New Roman" w:hAnsi="Times New Roman"/>
          <w:sz w:val="24"/>
          <w:szCs w:val="24"/>
        </w:rPr>
        <w:t xml:space="preserve"> Darba spēka vecuma iedzīvotāju skaits kopš 2000.gada Latvijā samazinājies par 20%.</w:t>
      </w:r>
      <w:r w:rsidR="00F82AFC" w:rsidRPr="00867BCF">
        <w:rPr>
          <w:rStyle w:val="FootnoteReference"/>
          <w:rFonts w:ascii="Times New Roman" w:hAnsi="Times New Roman"/>
          <w:sz w:val="24"/>
          <w:szCs w:val="24"/>
        </w:rPr>
        <w:footnoteReference w:id="45"/>
      </w:r>
    </w:p>
    <w:p w14:paraId="74A71010" w14:textId="009C2F93" w:rsidR="006A0B2F" w:rsidRPr="00867BCF" w:rsidRDefault="00D65C8D" w:rsidP="00C123FE">
      <w:pPr>
        <w:spacing w:after="120"/>
        <w:rPr>
          <w:rFonts w:ascii="Times New Roman" w:hAnsi="Times New Roman"/>
          <w:sz w:val="24"/>
          <w:szCs w:val="24"/>
        </w:rPr>
      </w:pPr>
      <w:r w:rsidRPr="00867BCF">
        <w:rPr>
          <w:rFonts w:ascii="Times New Roman" w:hAnsi="Times New Roman"/>
          <w:sz w:val="24"/>
          <w:szCs w:val="24"/>
        </w:rPr>
        <w:t xml:space="preserve">Dati par dabisko pieaugumu liecina, ka visos statistiskajos reģionos </w:t>
      </w:r>
      <w:r w:rsidR="0040343C" w:rsidRPr="00867BCF">
        <w:rPr>
          <w:rFonts w:ascii="Times New Roman" w:hAnsi="Times New Roman"/>
          <w:sz w:val="24"/>
          <w:szCs w:val="24"/>
        </w:rPr>
        <w:t xml:space="preserve">laikā no 2000.-2017.gadam </w:t>
      </w:r>
      <w:r w:rsidRPr="00867BCF">
        <w:rPr>
          <w:rFonts w:ascii="Times New Roman" w:hAnsi="Times New Roman"/>
          <w:sz w:val="24"/>
          <w:szCs w:val="24"/>
        </w:rPr>
        <w:t xml:space="preserve">ir negatīvs dabiskais pieaugums. Vislielākais negatīvais dabiskais pieaugums ir Latgales reģionā – samazinājums par 52 556 iedzīvotājiem, kam seko Rīgas </w:t>
      </w:r>
      <w:r w:rsidR="00B00906">
        <w:rPr>
          <w:rFonts w:ascii="Times New Roman" w:hAnsi="Times New Roman"/>
          <w:sz w:val="24"/>
          <w:szCs w:val="24"/>
        </w:rPr>
        <w:t xml:space="preserve">statistiskais </w:t>
      </w:r>
      <w:r w:rsidRPr="00867BCF">
        <w:rPr>
          <w:rFonts w:ascii="Times New Roman" w:hAnsi="Times New Roman"/>
          <w:sz w:val="24"/>
          <w:szCs w:val="24"/>
        </w:rPr>
        <w:t xml:space="preserve">reģions (Rīga) ar 44 182 iedzīvotāju samazinājumu un Vidzemes </w:t>
      </w:r>
      <w:r w:rsidR="00B00906">
        <w:rPr>
          <w:rFonts w:ascii="Times New Roman" w:hAnsi="Times New Roman"/>
          <w:sz w:val="24"/>
          <w:szCs w:val="24"/>
        </w:rPr>
        <w:t xml:space="preserve">statistiskais </w:t>
      </w:r>
      <w:r w:rsidRPr="00867BCF">
        <w:rPr>
          <w:rFonts w:ascii="Times New Roman" w:hAnsi="Times New Roman"/>
          <w:sz w:val="24"/>
          <w:szCs w:val="24"/>
        </w:rPr>
        <w:t xml:space="preserve">reģions ar 21 734 iedzīvotāju samazinājumu. Vismazākais samazinājums ir Pierīgas </w:t>
      </w:r>
      <w:r w:rsidR="00B00906">
        <w:rPr>
          <w:rFonts w:ascii="Times New Roman" w:hAnsi="Times New Roman"/>
          <w:sz w:val="24"/>
          <w:szCs w:val="24"/>
        </w:rPr>
        <w:t xml:space="preserve">statistiskajā </w:t>
      </w:r>
      <w:r w:rsidRPr="00867BCF">
        <w:rPr>
          <w:rFonts w:ascii="Times New Roman" w:hAnsi="Times New Roman"/>
          <w:sz w:val="24"/>
          <w:szCs w:val="24"/>
        </w:rPr>
        <w:t>reģionā ar 10 191 iedzīvotāju samazinājumu.</w:t>
      </w:r>
      <w:r w:rsidRPr="00867BCF">
        <w:rPr>
          <w:rStyle w:val="FootnoteReference"/>
          <w:rFonts w:ascii="Times New Roman" w:hAnsi="Times New Roman"/>
          <w:sz w:val="24"/>
          <w:szCs w:val="24"/>
        </w:rPr>
        <w:footnoteReference w:id="46"/>
      </w:r>
    </w:p>
    <w:p w14:paraId="797CDC14" w14:textId="40AEED9D" w:rsidR="198CAFD9" w:rsidRPr="00867BCF" w:rsidRDefault="198CAFD9" w:rsidP="00C123FE">
      <w:pPr>
        <w:spacing w:after="120"/>
        <w:rPr>
          <w:rFonts w:ascii="Times New Roman" w:eastAsia="Times New Roman" w:hAnsi="Times New Roman" w:cs="Times New Roman"/>
          <w:sz w:val="24"/>
          <w:szCs w:val="24"/>
        </w:rPr>
      </w:pPr>
      <w:r w:rsidRPr="00867BCF">
        <w:rPr>
          <w:rFonts w:ascii="Times New Roman" w:eastAsia="Times New Roman" w:hAnsi="Times New Roman" w:cs="Times New Roman"/>
          <w:sz w:val="24"/>
          <w:szCs w:val="24"/>
        </w:rPr>
        <w:t>Laika posmā no 2000.-2019.gadam iedzīvotāju skaits visvairāk samazinājies Latgales</w:t>
      </w:r>
      <w:r w:rsidR="00B00906">
        <w:rPr>
          <w:rFonts w:ascii="Times New Roman" w:eastAsia="Times New Roman" w:hAnsi="Times New Roman" w:cs="Times New Roman"/>
          <w:sz w:val="24"/>
          <w:szCs w:val="24"/>
        </w:rPr>
        <w:t xml:space="preserve"> statistiskajā </w:t>
      </w:r>
      <w:r w:rsidRPr="00867BCF">
        <w:rPr>
          <w:rFonts w:ascii="Times New Roman" w:eastAsia="Times New Roman" w:hAnsi="Times New Roman" w:cs="Times New Roman"/>
          <w:sz w:val="24"/>
          <w:szCs w:val="24"/>
        </w:rPr>
        <w:t xml:space="preserve">reģionā – par 32,5%. Otrajā vietā ir Vidzemes </w:t>
      </w:r>
      <w:r w:rsidR="00B00906">
        <w:rPr>
          <w:rFonts w:ascii="Times New Roman" w:eastAsia="Times New Roman" w:hAnsi="Times New Roman" w:cs="Times New Roman"/>
          <w:sz w:val="24"/>
          <w:szCs w:val="24"/>
        </w:rPr>
        <w:t xml:space="preserve">statistiskais </w:t>
      </w:r>
      <w:r w:rsidRPr="00867BCF">
        <w:rPr>
          <w:rFonts w:ascii="Times New Roman" w:eastAsia="Times New Roman" w:hAnsi="Times New Roman" w:cs="Times New Roman"/>
          <w:sz w:val="24"/>
          <w:szCs w:val="24"/>
        </w:rPr>
        <w:t xml:space="preserve">reģions ar 27,3% iedzīvotāju skaita samazinājumu un trešajā vietā Kurzemes </w:t>
      </w:r>
      <w:r w:rsidR="00B00906">
        <w:rPr>
          <w:rFonts w:ascii="Times New Roman" w:eastAsia="Times New Roman" w:hAnsi="Times New Roman" w:cs="Times New Roman"/>
          <w:sz w:val="24"/>
          <w:szCs w:val="24"/>
        </w:rPr>
        <w:t xml:space="preserve">statistiskais </w:t>
      </w:r>
      <w:r w:rsidRPr="00867BCF">
        <w:rPr>
          <w:rFonts w:ascii="Times New Roman" w:eastAsia="Times New Roman" w:hAnsi="Times New Roman" w:cs="Times New Roman"/>
          <w:sz w:val="24"/>
          <w:szCs w:val="24"/>
        </w:rPr>
        <w:t xml:space="preserve">reģions ar 25,5% iedzīvotāju skaita samazinājumu, ceturtajā vietā Zemgales </w:t>
      </w:r>
      <w:r w:rsidR="00B00906">
        <w:rPr>
          <w:rFonts w:ascii="Times New Roman" w:eastAsia="Times New Roman" w:hAnsi="Times New Roman" w:cs="Times New Roman"/>
          <w:sz w:val="24"/>
          <w:szCs w:val="24"/>
        </w:rPr>
        <w:t xml:space="preserve">statistiskais </w:t>
      </w:r>
      <w:r w:rsidRPr="00867BCF">
        <w:rPr>
          <w:rFonts w:ascii="Times New Roman" w:eastAsia="Times New Roman" w:hAnsi="Times New Roman" w:cs="Times New Roman"/>
          <w:sz w:val="24"/>
          <w:szCs w:val="24"/>
        </w:rPr>
        <w:t>reģions ar 21,5% iedzīvotāju skaita samazinājumu un piektajā vietā Rīgas statistiskais reģions (Rīga) ar 17,5% iedzīvotāju skaita samazinājumu. Pierīgas statistiskajā reģionā bijis pieaugums par 3,5%.</w:t>
      </w:r>
      <w:r w:rsidRPr="00867BCF">
        <w:rPr>
          <w:rFonts w:ascii="Times New Roman" w:eastAsia="Times New Roman" w:hAnsi="Times New Roman" w:cs="Times New Roman"/>
          <w:sz w:val="24"/>
          <w:szCs w:val="24"/>
          <w:vertAlign w:val="superscript"/>
        </w:rPr>
        <w:footnoteReference w:id="47"/>
      </w:r>
    </w:p>
    <w:p w14:paraId="0843F3E0" w14:textId="493A5484" w:rsidR="003F73B8" w:rsidRPr="00867BCF" w:rsidRDefault="003F73B8" w:rsidP="003F73B8">
      <w:pPr>
        <w:pStyle w:val="Figure"/>
        <w:jc w:val="both"/>
        <w:rPr>
          <w:sz w:val="24"/>
          <w:szCs w:val="24"/>
          <w:lang w:val="lv-LV"/>
        </w:rPr>
      </w:pPr>
      <w:r w:rsidRPr="00867BCF">
        <w:rPr>
          <w:sz w:val="24"/>
          <w:szCs w:val="24"/>
          <w:lang w:val="lv-LV"/>
        </w:rPr>
        <w:lastRenderedPageBreak/>
        <w:t>Apskatot iedzīvotāju skaita samazinājumu un tā ietekmēj</w:t>
      </w:r>
      <w:r w:rsidR="00BF656E" w:rsidRPr="00867BCF">
        <w:rPr>
          <w:sz w:val="24"/>
          <w:szCs w:val="24"/>
          <w:lang w:val="lv-LV"/>
        </w:rPr>
        <w:t>ošos faktorus, redzams, ka jo</w:t>
      </w:r>
      <w:r w:rsidRPr="00867BCF">
        <w:rPr>
          <w:sz w:val="24"/>
          <w:szCs w:val="24"/>
          <w:lang w:val="lv-LV"/>
        </w:rPr>
        <w:t xml:space="preserve"> lielāks iedzīvotāju skaita samazinājums ir bijis, jo ar vien nozīmīgāka tajā ir bijusi tieši emigrācija (negatīvs</w:t>
      </w:r>
      <w:r w:rsidR="00B00906">
        <w:rPr>
          <w:sz w:val="24"/>
          <w:szCs w:val="24"/>
          <w:lang w:val="lv-LV"/>
        </w:rPr>
        <w:t xml:space="preserve"> migrācijas saldo), kur Kurzemes statistiskajā reģionā </w:t>
      </w:r>
      <w:r w:rsidRPr="00867BCF">
        <w:rPr>
          <w:sz w:val="24"/>
          <w:szCs w:val="24"/>
          <w:lang w:val="lv-LV"/>
        </w:rPr>
        <w:t xml:space="preserve">sasniedz pat 73% ietekmi, salīdzinoši </w:t>
      </w:r>
      <w:r w:rsidR="00B00906">
        <w:rPr>
          <w:sz w:val="24"/>
          <w:szCs w:val="24"/>
          <w:lang w:val="lv-LV"/>
        </w:rPr>
        <w:t xml:space="preserve">ar </w:t>
      </w:r>
      <w:r w:rsidRPr="00867BCF">
        <w:rPr>
          <w:sz w:val="24"/>
          <w:szCs w:val="24"/>
          <w:lang w:val="lv-LV"/>
        </w:rPr>
        <w:t xml:space="preserve">Pierīgu, kur  tas ir </w:t>
      </w:r>
      <w:r w:rsidR="00B00906">
        <w:rPr>
          <w:sz w:val="24"/>
          <w:szCs w:val="24"/>
          <w:lang w:val="lv-LV"/>
        </w:rPr>
        <w:t xml:space="preserve">tikai 11%, kur reizē arī Pierīgas statistiskajā reģionā </w:t>
      </w:r>
      <w:r w:rsidRPr="00867BCF">
        <w:rPr>
          <w:sz w:val="24"/>
          <w:szCs w:val="24"/>
          <w:lang w:val="lv-LV"/>
        </w:rPr>
        <w:t>ir mazākais iedzīvotāju samazinājums kā tāds (tikai 1% apmērā). Tāpat novērojama likumsakarība – jo zemāks ir IKP, jo lielāks iedzīvotāju skaita samazinājums, kur noteicošais ir bijis tieši emigrācijas faktors (sk. 1</w:t>
      </w:r>
      <w:r w:rsidR="00345BEB" w:rsidRPr="00867BCF">
        <w:rPr>
          <w:sz w:val="24"/>
          <w:szCs w:val="24"/>
          <w:lang w:val="lv-LV"/>
        </w:rPr>
        <w:t>6</w:t>
      </w:r>
      <w:r w:rsidRPr="00867BCF">
        <w:rPr>
          <w:sz w:val="24"/>
          <w:szCs w:val="24"/>
          <w:lang w:val="lv-LV"/>
        </w:rPr>
        <w:t xml:space="preserve">.attēlu). </w:t>
      </w:r>
    </w:p>
    <w:p w14:paraId="5FBE8AAA" w14:textId="77777777" w:rsidR="00964057" w:rsidRPr="00867BCF" w:rsidRDefault="00964057" w:rsidP="00C123FE">
      <w:pPr>
        <w:rPr>
          <w:rFonts w:ascii="Times New Roman" w:hAnsi="Times New Roman"/>
          <w:sz w:val="24"/>
          <w:szCs w:val="24"/>
        </w:rPr>
      </w:pPr>
    </w:p>
    <w:p w14:paraId="742F0BBE" w14:textId="412F4DD9" w:rsidR="0063416D" w:rsidRPr="00867BCF" w:rsidRDefault="0063416D" w:rsidP="00C123FE">
      <w:pPr>
        <w:spacing w:after="120"/>
        <w:jc w:val="center"/>
        <w:rPr>
          <w:rFonts w:ascii="Times New Roman" w:hAnsi="Times New Roman"/>
          <w:sz w:val="24"/>
          <w:szCs w:val="24"/>
        </w:rPr>
      </w:pPr>
      <w:r w:rsidRPr="00867BCF">
        <w:rPr>
          <w:noProof/>
          <w:lang w:eastAsia="lv-LV"/>
        </w:rPr>
        <w:drawing>
          <wp:inline distT="0" distB="0" distL="0" distR="0" wp14:anchorId="4ECA4B88" wp14:editId="3AF51E59">
            <wp:extent cx="5467350" cy="2495550"/>
            <wp:effectExtent l="0" t="0" r="0" b="0"/>
            <wp:docPr id="18" name="Chart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595C14-E45A-4ACF-897B-1BF6D17E0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23FF16F" w14:textId="25DFB3A5" w:rsidR="009F327A" w:rsidRPr="00867BCF" w:rsidRDefault="0086382D" w:rsidP="00C123FE">
      <w:pPr>
        <w:spacing w:after="120"/>
        <w:jc w:val="center"/>
        <w:rPr>
          <w:rFonts w:ascii="Times New Roman" w:hAnsi="Times New Roman"/>
          <w:i/>
          <w:iCs/>
          <w:sz w:val="24"/>
          <w:szCs w:val="24"/>
        </w:rPr>
      </w:pPr>
      <w:r w:rsidRPr="00867BCF">
        <w:rPr>
          <w:rFonts w:ascii="Times New Roman" w:hAnsi="Times New Roman"/>
          <w:i/>
          <w:iCs/>
          <w:sz w:val="24"/>
          <w:szCs w:val="24"/>
        </w:rPr>
        <w:t>1</w:t>
      </w:r>
      <w:r w:rsidR="00345BEB" w:rsidRPr="00867BCF">
        <w:rPr>
          <w:rFonts w:ascii="Times New Roman" w:hAnsi="Times New Roman"/>
          <w:i/>
          <w:iCs/>
          <w:sz w:val="24"/>
          <w:szCs w:val="24"/>
        </w:rPr>
        <w:t>6</w:t>
      </w:r>
      <w:r w:rsidR="3D9A9DCD" w:rsidRPr="00867BCF">
        <w:rPr>
          <w:rFonts w:ascii="Times New Roman" w:hAnsi="Times New Roman"/>
          <w:i/>
          <w:iCs/>
          <w:sz w:val="24"/>
          <w:szCs w:val="24"/>
        </w:rPr>
        <w:t>.attēls. Ekonomika un iedzīvotāju skaita izmaiņas.</w:t>
      </w:r>
    </w:p>
    <w:p w14:paraId="1310B905" w14:textId="77777777" w:rsidR="0063416D" w:rsidRPr="00867BCF" w:rsidRDefault="0063416D" w:rsidP="00C123FE">
      <w:pPr>
        <w:spacing w:after="120"/>
        <w:jc w:val="center"/>
        <w:rPr>
          <w:rFonts w:ascii="Times New Roman" w:hAnsi="Times New Roman"/>
          <w:i/>
          <w:iCs/>
          <w:sz w:val="24"/>
          <w:szCs w:val="24"/>
        </w:rPr>
      </w:pPr>
    </w:p>
    <w:p w14:paraId="5FF1DDA4" w14:textId="4C7F057C" w:rsidR="00A32DD1" w:rsidRPr="00867BCF" w:rsidRDefault="00A32DD1" w:rsidP="00C123FE">
      <w:pPr>
        <w:pStyle w:val="Figure"/>
        <w:jc w:val="both"/>
        <w:rPr>
          <w:sz w:val="24"/>
          <w:szCs w:val="24"/>
          <w:lang w:val="lv-LV"/>
        </w:rPr>
      </w:pPr>
      <w:r w:rsidRPr="00867BCF">
        <w:rPr>
          <w:sz w:val="24"/>
          <w:szCs w:val="24"/>
          <w:lang w:val="lv-LV"/>
        </w:rPr>
        <w:t xml:space="preserve">Pierīga ir vienīgais </w:t>
      </w:r>
      <w:r w:rsidR="009855C4">
        <w:rPr>
          <w:sz w:val="24"/>
          <w:szCs w:val="24"/>
          <w:lang w:val="lv-LV"/>
        </w:rPr>
        <w:t xml:space="preserve">statistiskais </w:t>
      </w:r>
      <w:r w:rsidRPr="00867BCF">
        <w:rPr>
          <w:sz w:val="24"/>
          <w:szCs w:val="24"/>
          <w:lang w:val="lv-LV"/>
        </w:rPr>
        <w:t>reģions Latvijā, kur iedzīvotāju skaita samazinājumā ir biju</w:t>
      </w:r>
      <w:r w:rsidR="003F73B8" w:rsidRPr="00867BCF">
        <w:rPr>
          <w:sz w:val="24"/>
          <w:szCs w:val="24"/>
          <w:lang w:val="lv-LV"/>
        </w:rPr>
        <w:t>si</w:t>
      </w:r>
      <w:r w:rsidRPr="00867BCF">
        <w:rPr>
          <w:sz w:val="24"/>
          <w:szCs w:val="24"/>
          <w:lang w:val="lv-LV"/>
        </w:rPr>
        <w:t xml:space="preserve"> nozīme  negatīvam dabiskajam pieauguma. Lai arī šajā reģionā ir vērojama augstākā dzimstība un šobrīd veidojas pat rinda uz pirmsskolas izglītības iestādēm (uz pašvaldības pirmsskolas izglītības iestādēm 2018.gada oktobrī bija 7 536 bērni), tas nav spējis kompensēt negatīvu dabisko pieaugumu. Līdz ar to Pierīgas kopējais nelielais iedzīvotāju skaita samazinājums ir skaidrojams ar ārkārtīgi augsto iekšējo migrāciju tieši uz šo reģionu. Kā parāda 1</w:t>
      </w:r>
      <w:r w:rsidR="00345BEB" w:rsidRPr="00867BCF">
        <w:rPr>
          <w:sz w:val="24"/>
          <w:szCs w:val="24"/>
          <w:lang w:val="lv-LV"/>
        </w:rPr>
        <w:t>7</w:t>
      </w:r>
      <w:r w:rsidRPr="00867BCF">
        <w:rPr>
          <w:sz w:val="24"/>
          <w:szCs w:val="24"/>
          <w:lang w:val="lv-LV"/>
        </w:rPr>
        <w:t xml:space="preserve">.attēls, vislielākais iedzīvotāju īpatsvars pārcēlās uz Pierīgas </w:t>
      </w:r>
      <w:r w:rsidR="009855C4">
        <w:rPr>
          <w:sz w:val="24"/>
          <w:szCs w:val="24"/>
          <w:lang w:val="lv-LV"/>
        </w:rPr>
        <w:t xml:space="preserve">statistisko </w:t>
      </w:r>
      <w:r w:rsidRPr="00867BCF">
        <w:rPr>
          <w:sz w:val="24"/>
          <w:szCs w:val="24"/>
          <w:lang w:val="lv-LV"/>
        </w:rPr>
        <w:t>reģionu un pašvaldībām attīstības centru tuvumā.</w:t>
      </w:r>
    </w:p>
    <w:p w14:paraId="4CB61D0D" w14:textId="0D89EDB9" w:rsidR="0029214E" w:rsidRPr="00867BCF" w:rsidRDefault="0029214E" w:rsidP="003F73B8">
      <w:pPr>
        <w:pStyle w:val="Figure"/>
      </w:pPr>
      <w:r w:rsidRPr="00867BCF">
        <w:rPr>
          <w:lang w:val="lv-LV" w:eastAsia="lv-LV"/>
        </w:rPr>
        <w:drawing>
          <wp:inline distT="0" distB="0" distL="0" distR="0" wp14:anchorId="06368DBD" wp14:editId="2E903BCA">
            <wp:extent cx="4456108" cy="2698939"/>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5248" cy="2710532"/>
                    </a:xfrm>
                    <a:prstGeom prst="rect">
                      <a:avLst/>
                    </a:prstGeom>
                    <a:noFill/>
                    <a:ln>
                      <a:noFill/>
                    </a:ln>
                  </pic:spPr>
                </pic:pic>
              </a:graphicData>
            </a:graphic>
          </wp:inline>
        </w:drawing>
      </w:r>
    </w:p>
    <w:p w14:paraId="01856560" w14:textId="68004CFE" w:rsidR="0029214E" w:rsidRPr="00867BCF" w:rsidRDefault="0086382D" w:rsidP="00345BEB">
      <w:pPr>
        <w:pStyle w:val="Sourcenotes"/>
        <w:ind w:left="0" w:right="-1"/>
        <w:jc w:val="center"/>
        <w:rPr>
          <w:rFonts w:eastAsia="Times New Roman"/>
          <w:i/>
          <w:sz w:val="36"/>
          <w:szCs w:val="36"/>
          <w:lang w:eastAsia="lv-LV"/>
        </w:rPr>
      </w:pPr>
      <w:r w:rsidRPr="00867BCF">
        <w:rPr>
          <w:i/>
          <w:sz w:val="24"/>
          <w:szCs w:val="24"/>
          <w:lang w:val="lv-LV"/>
        </w:rPr>
        <w:t>1</w:t>
      </w:r>
      <w:r w:rsidR="00345BEB" w:rsidRPr="00867BCF">
        <w:rPr>
          <w:i/>
          <w:sz w:val="24"/>
          <w:szCs w:val="24"/>
          <w:lang w:val="lv-LV"/>
        </w:rPr>
        <w:t>7</w:t>
      </w:r>
      <w:r w:rsidR="00731FC4" w:rsidRPr="00867BCF">
        <w:rPr>
          <w:i/>
          <w:sz w:val="24"/>
          <w:szCs w:val="24"/>
          <w:lang w:val="lv-LV"/>
        </w:rPr>
        <w:t>.</w:t>
      </w:r>
      <w:r w:rsidR="3D9A9DCD" w:rsidRPr="00867BCF">
        <w:rPr>
          <w:i/>
          <w:sz w:val="24"/>
          <w:szCs w:val="24"/>
          <w:lang w:val="lv-LV"/>
        </w:rPr>
        <w:t>attēls. Iekšējā migrācija 2000.-2018.gadā. Iedzīvotāju skaits (%), kas pārcēlās uz attiecīgo teritoriju (novadu pagastu un novadu pilsētu griezumā). Avots: CSP, pieejams:</w:t>
      </w:r>
      <w:r w:rsidR="3D9A9DCD" w:rsidRPr="00867BCF">
        <w:rPr>
          <w:i/>
          <w:sz w:val="24"/>
          <w:szCs w:val="24"/>
        </w:rPr>
        <w:t xml:space="preserve"> </w:t>
      </w:r>
      <w:hyperlink r:id="rId38">
        <w:r w:rsidR="3D9A9DCD" w:rsidRPr="00867BCF">
          <w:rPr>
            <w:rStyle w:val="Hyperlink"/>
            <w:i/>
            <w:sz w:val="24"/>
            <w:szCs w:val="24"/>
          </w:rPr>
          <w:t>https://migracija.csb.gov.lv/?id=B1e0JusADQ</w:t>
        </w:r>
      </w:hyperlink>
      <w:r w:rsidR="3D9A9DCD" w:rsidRPr="00867BCF">
        <w:rPr>
          <w:i/>
          <w:sz w:val="24"/>
          <w:szCs w:val="24"/>
        </w:rPr>
        <w:t>.</w:t>
      </w:r>
    </w:p>
    <w:p w14:paraId="736F2FC6" w14:textId="77777777" w:rsidR="00A32DD1" w:rsidRPr="00867BCF" w:rsidRDefault="00A32DD1" w:rsidP="00C123FE">
      <w:pPr>
        <w:spacing w:after="120"/>
        <w:rPr>
          <w:rFonts w:ascii="Times New Roman" w:hAnsi="Times New Roman"/>
          <w:sz w:val="24"/>
          <w:szCs w:val="24"/>
        </w:rPr>
      </w:pPr>
    </w:p>
    <w:p w14:paraId="1E4AC5B2" w14:textId="2041F119" w:rsidR="0029214E" w:rsidRPr="00867BCF" w:rsidRDefault="00731FC4" w:rsidP="00C123FE">
      <w:pPr>
        <w:spacing w:after="120"/>
        <w:rPr>
          <w:rFonts w:ascii="Times New Roman" w:hAnsi="Times New Roman"/>
          <w:sz w:val="24"/>
          <w:szCs w:val="24"/>
        </w:rPr>
      </w:pPr>
      <w:r w:rsidRPr="00867BCF">
        <w:rPr>
          <w:rFonts w:ascii="Times New Roman" w:hAnsi="Times New Roman"/>
          <w:sz w:val="24"/>
          <w:szCs w:val="24"/>
        </w:rPr>
        <w:t xml:space="preserve">Prognoze uz 2030.gadu liecina, ka iedzīvotāju skaits daudzās teritorijās turpinās ievērojami samazināties (sk. </w:t>
      </w:r>
      <w:r w:rsidR="001F01DE" w:rsidRPr="00867BCF">
        <w:rPr>
          <w:rFonts w:ascii="Times New Roman" w:hAnsi="Times New Roman"/>
          <w:sz w:val="24"/>
          <w:szCs w:val="24"/>
        </w:rPr>
        <w:t>1</w:t>
      </w:r>
      <w:r w:rsidR="00345BEB" w:rsidRPr="00867BCF">
        <w:rPr>
          <w:rFonts w:ascii="Times New Roman" w:hAnsi="Times New Roman"/>
          <w:sz w:val="24"/>
          <w:szCs w:val="24"/>
        </w:rPr>
        <w:t>8</w:t>
      </w:r>
      <w:r w:rsidRPr="00867BCF">
        <w:rPr>
          <w:rFonts w:ascii="Times New Roman" w:hAnsi="Times New Roman"/>
          <w:sz w:val="24"/>
          <w:szCs w:val="24"/>
        </w:rPr>
        <w:t>.attēlu).</w:t>
      </w:r>
    </w:p>
    <w:p w14:paraId="7232F57C" w14:textId="77777777" w:rsidR="00731FC4" w:rsidRPr="00867BCF" w:rsidRDefault="00731FC4" w:rsidP="00C123FE">
      <w:pPr>
        <w:pStyle w:val="tv213"/>
        <w:spacing w:before="0" w:beforeAutospacing="0" w:after="0" w:afterAutospacing="0"/>
        <w:jc w:val="center"/>
        <w:rPr>
          <w:b/>
          <w:bCs/>
        </w:rPr>
      </w:pPr>
      <w:r w:rsidRPr="00867BCF">
        <w:rPr>
          <w:noProof/>
        </w:rPr>
        <w:drawing>
          <wp:inline distT="0" distB="0" distL="0" distR="0" wp14:anchorId="5020EADB" wp14:editId="19DEAFF3">
            <wp:extent cx="4572000" cy="3086100"/>
            <wp:effectExtent l="0" t="0" r="0" b="0"/>
            <wp:docPr id="1149751509" name="Picture 114975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36C24754" w14:textId="33339D31" w:rsidR="00731FC4" w:rsidRPr="00867BCF" w:rsidRDefault="00731FC4" w:rsidP="00345BEB">
      <w:pPr>
        <w:pStyle w:val="tv213"/>
        <w:spacing w:before="0" w:beforeAutospacing="0" w:after="0" w:afterAutospacing="0"/>
        <w:jc w:val="center"/>
        <w:rPr>
          <w:bCs/>
          <w:i/>
        </w:rPr>
      </w:pPr>
      <w:r w:rsidRPr="00867BCF">
        <w:rPr>
          <w:bCs/>
          <w:i/>
        </w:rPr>
        <w:t>1</w:t>
      </w:r>
      <w:r w:rsidR="00345BEB" w:rsidRPr="00867BCF">
        <w:rPr>
          <w:bCs/>
          <w:i/>
        </w:rPr>
        <w:t>8</w:t>
      </w:r>
      <w:r w:rsidRPr="00867BCF">
        <w:rPr>
          <w:bCs/>
          <w:i/>
        </w:rPr>
        <w:t>.attēls. Prognozējamās iedzīvotāju skaita pārmaiņas Latvijas pilsētās un pagastos 2030.gadā (SIA “Karšu izdevniecība Jāņa sēta”, sagatavots pēc VARAM pasūtījuma dalībai reģionālajos semināros).</w:t>
      </w:r>
    </w:p>
    <w:p w14:paraId="384AA02D" w14:textId="77777777" w:rsidR="00BF656E" w:rsidRPr="00867BCF" w:rsidRDefault="00BF656E" w:rsidP="00C123FE">
      <w:pPr>
        <w:pStyle w:val="tv213"/>
        <w:spacing w:before="0" w:beforeAutospacing="0" w:after="0" w:afterAutospacing="0"/>
        <w:jc w:val="both"/>
        <w:rPr>
          <w:b/>
          <w:bCs/>
        </w:rPr>
      </w:pPr>
    </w:p>
    <w:p w14:paraId="6DED70BC" w14:textId="77777777" w:rsidR="00BF656E" w:rsidRPr="00867BCF" w:rsidRDefault="00BF656E" w:rsidP="00C123FE">
      <w:pPr>
        <w:pStyle w:val="tv213"/>
        <w:spacing w:before="0" w:beforeAutospacing="0" w:after="0" w:afterAutospacing="0"/>
        <w:jc w:val="both"/>
        <w:rPr>
          <w:b/>
          <w:bCs/>
        </w:rPr>
      </w:pPr>
    </w:p>
    <w:p w14:paraId="53349356" w14:textId="4FBFEA66" w:rsidR="6ED93ED9" w:rsidRPr="00867BCF" w:rsidRDefault="00A32DD1" w:rsidP="00C123FE">
      <w:pPr>
        <w:pStyle w:val="tv213"/>
        <w:spacing w:before="0" w:beforeAutospacing="0" w:after="0" w:afterAutospacing="0"/>
        <w:jc w:val="both"/>
      </w:pPr>
      <w:r w:rsidRPr="00867BCF">
        <w:rPr>
          <w:b/>
          <w:bCs/>
        </w:rPr>
        <w:t>Reģionālā mobilitāte</w:t>
      </w:r>
    </w:p>
    <w:p w14:paraId="110FB5E9" w14:textId="77777777" w:rsidR="00506838" w:rsidRPr="00867BCF" w:rsidRDefault="00506838" w:rsidP="00C123FE">
      <w:pPr>
        <w:spacing w:after="120"/>
        <w:rPr>
          <w:rFonts w:ascii="Times New Roman" w:eastAsia="Times New Roman" w:hAnsi="Times New Roman"/>
          <w:sz w:val="24"/>
          <w:szCs w:val="24"/>
          <w:lang w:eastAsia="lv-LV"/>
        </w:rPr>
      </w:pPr>
    </w:p>
    <w:p w14:paraId="22C253BC" w14:textId="77777777" w:rsidR="00506838" w:rsidRPr="00867BCF" w:rsidRDefault="00506838" w:rsidP="003F73B8">
      <w:pPr>
        <w:spacing w:after="120"/>
        <w:jc w:val="center"/>
        <w:rPr>
          <w:rFonts w:ascii="Times New Roman" w:eastAsia="Times New Roman" w:hAnsi="Times New Roman"/>
          <w:sz w:val="24"/>
          <w:szCs w:val="24"/>
          <w:lang w:eastAsia="lv-LV"/>
        </w:rPr>
      </w:pPr>
      <w:r w:rsidRPr="00867BCF">
        <w:rPr>
          <w:rFonts w:ascii="Times New Roman" w:eastAsia="Times New Roman" w:hAnsi="Times New Roman"/>
          <w:noProof/>
          <w:sz w:val="24"/>
          <w:szCs w:val="24"/>
          <w:lang w:eastAsia="lv-LV"/>
        </w:rPr>
        <w:drawing>
          <wp:inline distT="0" distB="0" distL="0" distR="0" wp14:anchorId="30CBD0AC" wp14:editId="1BB6E8A3">
            <wp:extent cx="5019675" cy="33807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0068" cy="3381006"/>
                    </a:xfrm>
                    <a:prstGeom prst="rect">
                      <a:avLst/>
                    </a:prstGeom>
                    <a:noFill/>
                    <a:ln>
                      <a:noFill/>
                    </a:ln>
                  </pic:spPr>
                </pic:pic>
              </a:graphicData>
            </a:graphic>
          </wp:inline>
        </w:drawing>
      </w:r>
    </w:p>
    <w:p w14:paraId="14130D98" w14:textId="5F2E19E8" w:rsidR="00506838" w:rsidRPr="00867BCF" w:rsidRDefault="0086382D" w:rsidP="00345BEB">
      <w:pPr>
        <w:spacing w:after="120"/>
        <w:jc w:val="center"/>
        <w:rPr>
          <w:rFonts w:ascii="Times New Roman" w:hAnsi="Times New Roman"/>
          <w:i/>
          <w:iCs/>
          <w:sz w:val="24"/>
          <w:szCs w:val="24"/>
        </w:rPr>
      </w:pPr>
      <w:r w:rsidRPr="00867BCF">
        <w:rPr>
          <w:rFonts w:ascii="Times New Roman" w:hAnsi="Times New Roman"/>
          <w:i/>
          <w:iCs/>
          <w:sz w:val="24"/>
          <w:szCs w:val="24"/>
        </w:rPr>
        <w:t>1</w:t>
      </w:r>
      <w:r w:rsidR="00345BEB" w:rsidRPr="00867BCF">
        <w:rPr>
          <w:rFonts w:ascii="Times New Roman" w:hAnsi="Times New Roman"/>
          <w:i/>
          <w:iCs/>
          <w:sz w:val="24"/>
          <w:szCs w:val="24"/>
        </w:rPr>
        <w:t>9</w:t>
      </w:r>
      <w:r w:rsidR="3CE141C9" w:rsidRPr="00867BCF">
        <w:rPr>
          <w:rFonts w:ascii="Times New Roman" w:hAnsi="Times New Roman"/>
          <w:i/>
          <w:iCs/>
          <w:sz w:val="24"/>
          <w:szCs w:val="24"/>
        </w:rPr>
        <w:t>.attēls. Nacionālas un reģionālas nozīmes attīstības centru sasniedzamība no apkārtējām teritorijām, minūtēs (SIA “Karšu izdevniecība Jāņa sēta”).</w:t>
      </w:r>
    </w:p>
    <w:p w14:paraId="439D0FB6" w14:textId="7BF08A75" w:rsidR="00A32DD1" w:rsidRPr="00867BCF" w:rsidRDefault="00A32DD1" w:rsidP="00C123FE">
      <w:pPr>
        <w:spacing w:after="120"/>
        <w:rPr>
          <w:rFonts w:ascii="Times New Roman" w:eastAsia="Times New Roman" w:hAnsi="Times New Roman"/>
          <w:sz w:val="24"/>
          <w:szCs w:val="24"/>
          <w:lang w:eastAsia="lv-LV"/>
        </w:rPr>
      </w:pPr>
      <w:r w:rsidRPr="00867BCF">
        <w:rPr>
          <w:rFonts w:ascii="Times New Roman" w:eastAsia="Times New Roman" w:hAnsi="Times New Roman"/>
          <w:bCs/>
          <w:sz w:val="24"/>
          <w:szCs w:val="24"/>
          <w:lang w:eastAsia="lv-LV"/>
        </w:rPr>
        <w:lastRenderedPageBreak/>
        <w:t xml:space="preserve">Nozīmīgs faktors, kas tieši ietekmē sociālekonomisko attīstību pašvaldībās, ir arī sasniedzamība (transporta infrastruktūras pieejamība un stāvoklis). Šajā kontekstā nozīmīgs izaicinājums ir iedzīvotāju mobilitāte uz vietām, kur ir darbs. </w:t>
      </w:r>
      <w:r w:rsidRPr="00867BCF">
        <w:rPr>
          <w:rFonts w:ascii="Times New Roman" w:eastAsia="Times New Roman" w:hAnsi="Times New Roman"/>
          <w:sz w:val="24"/>
          <w:szCs w:val="24"/>
          <w:lang w:eastAsia="lv-LV"/>
        </w:rPr>
        <w:t>Kā liecina Valsts akciju sabiedrības “Latvijas Valsts ceļi” dati, 44% valsts autoceļu ar melno segumu garuma ir sliktā vai ļoti sliktā stāvoklī (2016.gada dati). Salīdzinot ar 2011.gadu (50%) sliktā un ļoti sliktā stāvoklī esošo ceļu īpatsvars ir samazinājies par 6 procentpunktiem. Pēc Latvijas Pašvaldību savienības vērtējuma ap 50% pašvaldību autoceļu ir sliktā stāvoklī.</w:t>
      </w:r>
      <w:r w:rsidR="001F01DE" w:rsidRPr="00867BCF">
        <w:rPr>
          <w:rFonts w:ascii="Times New Roman" w:eastAsia="Times New Roman" w:hAnsi="Times New Roman"/>
          <w:sz w:val="24"/>
          <w:szCs w:val="24"/>
          <w:lang w:eastAsia="lv-LV"/>
        </w:rPr>
        <w:t xml:space="preserve"> Kā liecina SIA “Karšu izdevniecība Jāņa sēta” dati, lielākā daļa Latvijas teritorijas no attīstības centriem ir mazāk kā 50 minūšu brauciena attālumā (sk. 1</w:t>
      </w:r>
      <w:r w:rsidR="00345BEB" w:rsidRPr="00867BCF">
        <w:rPr>
          <w:rFonts w:ascii="Times New Roman" w:eastAsia="Times New Roman" w:hAnsi="Times New Roman"/>
          <w:sz w:val="24"/>
          <w:szCs w:val="24"/>
          <w:lang w:eastAsia="lv-LV"/>
        </w:rPr>
        <w:t>9</w:t>
      </w:r>
      <w:r w:rsidR="001F01DE" w:rsidRPr="00867BCF">
        <w:rPr>
          <w:rFonts w:ascii="Times New Roman" w:eastAsia="Times New Roman" w:hAnsi="Times New Roman"/>
          <w:sz w:val="24"/>
          <w:szCs w:val="24"/>
          <w:lang w:eastAsia="lv-LV"/>
        </w:rPr>
        <w:t>.attēlu).</w:t>
      </w:r>
    </w:p>
    <w:p w14:paraId="4386B063" w14:textId="77777777" w:rsidR="00AD7E47" w:rsidRPr="00867BCF" w:rsidRDefault="00AD7E47" w:rsidP="00C123FE">
      <w:pPr>
        <w:spacing w:after="120"/>
        <w:rPr>
          <w:rFonts w:ascii="Times New Roman" w:hAnsi="Times New Roman" w:cs="Times New Roman"/>
          <w:sz w:val="24"/>
        </w:rPr>
      </w:pPr>
    </w:p>
    <w:p w14:paraId="520717BB" w14:textId="77777777" w:rsidR="00A32DD1" w:rsidRPr="00867BCF" w:rsidRDefault="00A32DD1" w:rsidP="00C123FE">
      <w:pPr>
        <w:spacing w:after="120"/>
        <w:rPr>
          <w:rFonts w:ascii="Times New Roman" w:hAnsi="Times New Roman" w:cs="Times New Roman"/>
          <w:b/>
          <w:sz w:val="24"/>
        </w:rPr>
      </w:pPr>
      <w:r w:rsidRPr="00867BCF">
        <w:rPr>
          <w:rFonts w:ascii="Times New Roman" w:hAnsi="Times New Roman" w:cs="Times New Roman"/>
          <w:b/>
          <w:sz w:val="24"/>
        </w:rPr>
        <w:t>Sabiedrības iesaiste teritorijas attīstībā</w:t>
      </w:r>
    </w:p>
    <w:p w14:paraId="752652F9" w14:textId="6DD60B40" w:rsidR="00A32DD1" w:rsidRPr="00867BCF" w:rsidRDefault="7FD7587D" w:rsidP="7FD7587D">
      <w:pPr>
        <w:spacing w:after="120"/>
        <w:rPr>
          <w:rFonts w:ascii="Times New Roman" w:hAnsi="Times New Roman" w:cs="Times New Roman"/>
          <w:sz w:val="24"/>
          <w:szCs w:val="24"/>
        </w:rPr>
      </w:pPr>
      <w:r w:rsidRPr="00867BCF">
        <w:rPr>
          <w:rFonts w:ascii="Times New Roman" w:hAnsi="Times New Roman" w:cs="Times New Roman"/>
          <w:sz w:val="24"/>
          <w:szCs w:val="24"/>
        </w:rPr>
        <w:t>Lai sekmīgi īstenotu reģionālo politiku, teritoriju attīstības jautājumu risināšanā ļoti nozīmīga ir plašākas sabiedrības - uzņēmēju, vietējo sabiedrības grupu un ikviena iedzīvotāja - iesaiste.</w:t>
      </w:r>
    </w:p>
    <w:p w14:paraId="5A4A05D4" w14:textId="77777777" w:rsidR="00A32DD1" w:rsidRPr="00867BCF" w:rsidRDefault="00A32DD1" w:rsidP="00C123FE">
      <w:pPr>
        <w:spacing w:after="120"/>
        <w:rPr>
          <w:rFonts w:ascii="Times New Roman" w:hAnsi="Times New Roman" w:cs="Times New Roman"/>
          <w:sz w:val="24"/>
        </w:rPr>
      </w:pPr>
      <w:r w:rsidRPr="00867BCF">
        <w:rPr>
          <w:rFonts w:ascii="Times New Roman" w:hAnsi="Times New Roman" w:cs="Times New Roman"/>
          <w:sz w:val="24"/>
        </w:rPr>
        <w:t xml:space="preserve">Vienlaikus pastāv virkne izaicinājumu, kas saistīti ar sabiedrības iesaisti vietējā attīstības plānošanā: </w:t>
      </w:r>
    </w:p>
    <w:p w14:paraId="64CE7B18" w14:textId="543060B6" w:rsidR="00A32DD1" w:rsidRPr="00867BCF" w:rsidRDefault="00A32DD1" w:rsidP="00C123FE">
      <w:pPr>
        <w:spacing w:after="120"/>
        <w:rPr>
          <w:rFonts w:ascii="Times New Roman" w:hAnsi="Times New Roman" w:cs="Times New Roman"/>
          <w:sz w:val="24"/>
        </w:rPr>
      </w:pPr>
      <w:r w:rsidRPr="00867BCF">
        <w:rPr>
          <w:rFonts w:ascii="Times New Roman" w:hAnsi="Times New Roman" w:cs="Times New Roman"/>
          <w:sz w:val="24"/>
        </w:rPr>
        <w:t>Saskaņā ar Valsts kancelejas veikto sabiedrības līdzdalības aptauju, vērojama pašvaldību pasivitāte sabiedrības aktivizēšanā un iesaistē attīstības plānošanā, formālu metožu izmantošana; novēlota vai neskaidra informācija par līdzdalības pasākumiem, nepiemērots sabiedrības līdzdalības formāts (laiks, metode), ko bieži ietekmē resursu trūkums pašvaldībās (finanšu un cilvēkresursu) vai nepietiekamas prasmes pilnvērtīga attīstības plānošanas procesa nodrošināšanai (attīstības plānošanas dokumenta izstrāde, sabiedrības līdzdalības aktivitātes, komunikācija).</w:t>
      </w:r>
    </w:p>
    <w:p w14:paraId="605522D4" w14:textId="77777777" w:rsidR="00A32DD1" w:rsidRPr="00867BCF" w:rsidRDefault="00A32DD1" w:rsidP="00C123FE">
      <w:pPr>
        <w:spacing w:after="120"/>
        <w:rPr>
          <w:rFonts w:ascii="Times New Roman" w:hAnsi="Times New Roman" w:cs="Times New Roman"/>
          <w:sz w:val="24"/>
        </w:rPr>
      </w:pPr>
      <w:r w:rsidRPr="00867BCF">
        <w:rPr>
          <w:rFonts w:ascii="Times New Roman" w:hAnsi="Times New Roman" w:cs="Times New Roman"/>
          <w:sz w:val="24"/>
        </w:rPr>
        <w:t xml:space="preserve">Daudzās pašvaldībās </w:t>
      </w:r>
      <w:proofErr w:type="spellStart"/>
      <w:r w:rsidRPr="00867BCF">
        <w:rPr>
          <w:rFonts w:ascii="Times New Roman" w:hAnsi="Times New Roman" w:cs="Times New Roman"/>
          <w:sz w:val="24"/>
        </w:rPr>
        <w:t>izpildfunkcijas</w:t>
      </w:r>
      <w:proofErr w:type="spellEnd"/>
      <w:r w:rsidRPr="00867BCF">
        <w:rPr>
          <w:rFonts w:ascii="Times New Roman" w:hAnsi="Times New Roman" w:cs="Times New Roman"/>
          <w:sz w:val="24"/>
        </w:rPr>
        <w:t xml:space="preserve"> nav nodalītas no plānošanas funkcijām, kas daudzos gadījumos </w:t>
      </w:r>
      <w:proofErr w:type="spellStart"/>
      <w:r w:rsidRPr="00867BCF">
        <w:rPr>
          <w:rFonts w:ascii="Times New Roman" w:hAnsi="Times New Roman" w:cs="Times New Roman"/>
          <w:sz w:val="24"/>
        </w:rPr>
        <w:t>demotivē</w:t>
      </w:r>
      <w:proofErr w:type="spellEnd"/>
      <w:r w:rsidRPr="00867BCF">
        <w:rPr>
          <w:rFonts w:ascii="Times New Roman" w:hAnsi="Times New Roman" w:cs="Times New Roman"/>
          <w:sz w:val="24"/>
        </w:rPr>
        <w:t xml:space="preserve"> darbiniekus nākt klajā ar kvalitatīvākiem sabiedrības iesaistes mehānismiem, jo prasa daudz laika un enerģijas.</w:t>
      </w:r>
    </w:p>
    <w:p w14:paraId="3D261A6C" w14:textId="50E17AE8" w:rsidR="00A32DD1" w:rsidRPr="00867BCF" w:rsidRDefault="00A32DD1" w:rsidP="00C123FE">
      <w:pPr>
        <w:spacing w:after="120"/>
        <w:rPr>
          <w:rFonts w:ascii="Times New Roman" w:hAnsi="Times New Roman" w:cs="Times New Roman"/>
          <w:sz w:val="24"/>
        </w:rPr>
      </w:pPr>
      <w:r w:rsidRPr="00867BCF">
        <w:rPr>
          <w:rFonts w:ascii="Times New Roman" w:hAnsi="Times New Roman" w:cs="Times New Roman"/>
          <w:sz w:val="24"/>
        </w:rPr>
        <w:t xml:space="preserve">Pašlaik vietējās sabiedrības iesaiste teritoriju attīstības jautājumu risināšanā vērtējama kā nepietiekami plaša un aktīva. Pētījuma par varas līdzsvaru un kontroli Latvijas pašvaldībās  dati liecina, ka iedzīvotāji netic savām spējām ietekmēt politiskos lēmumus un sociālos procesus, nav atgriezeniskās saites no pašvaldībām par līdzdalības rezultātiem, </w:t>
      </w:r>
      <w:r w:rsidR="00326EE3" w:rsidRPr="00867BCF">
        <w:rPr>
          <w:rFonts w:ascii="Times New Roman" w:hAnsi="Times New Roman" w:cs="Times New Roman"/>
          <w:sz w:val="24"/>
        </w:rPr>
        <w:t xml:space="preserve">raksturīga </w:t>
      </w:r>
      <w:r w:rsidRPr="00867BCF">
        <w:rPr>
          <w:rFonts w:ascii="Times New Roman" w:hAnsi="Times New Roman" w:cs="Times New Roman"/>
          <w:sz w:val="24"/>
        </w:rPr>
        <w:t xml:space="preserve">vilšanās par to, ka nav panāks vēlamais rezultāts. </w:t>
      </w:r>
      <w:r w:rsidR="00326EE3" w:rsidRPr="00867BCF">
        <w:rPr>
          <w:rFonts w:ascii="Times New Roman" w:hAnsi="Times New Roman" w:cs="Times New Roman"/>
          <w:sz w:val="24"/>
        </w:rPr>
        <w:t xml:space="preserve">Ir nepietiekama </w:t>
      </w:r>
      <w:r w:rsidRPr="00867BCF">
        <w:rPr>
          <w:rFonts w:ascii="Times New Roman" w:hAnsi="Times New Roman" w:cs="Times New Roman"/>
          <w:sz w:val="24"/>
        </w:rPr>
        <w:t>prasme dažādām sabiedrības grupām debatēt par aktuāliem jautājumiem, zema sadarbības kultūra.</w:t>
      </w:r>
    </w:p>
    <w:p w14:paraId="79D0814A" w14:textId="77777777" w:rsidR="00A32DD1" w:rsidRPr="00867BCF" w:rsidRDefault="00A32DD1" w:rsidP="00C123FE">
      <w:pPr>
        <w:spacing w:after="120"/>
        <w:rPr>
          <w:rFonts w:ascii="Times New Roman" w:hAnsi="Times New Roman" w:cs="Times New Roman"/>
          <w:sz w:val="24"/>
        </w:rPr>
      </w:pPr>
      <w:r w:rsidRPr="00867BCF">
        <w:rPr>
          <w:rFonts w:ascii="Times New Roman" w:hAnsi="Times New Roman" w:cs="Times New Roman"/>
          <w:sz w:val="24"/>
        </w:rPr>
        <w:t xml:space="preserve">Vērojams zems sabiedrības uzticības līmenis pārvaldes iestādēm , kas samazina sabiedrības līdzdalības interesi un piederības sajūtu savai teritorijai. Tāpat vērojams zināšanu trūkums par attīstības plānošanas un īstenošanas procesiem (cita starpā sabiedrības attieksme pret lielu investoru ienākšanu pašvaldībā bieži ir noraidoša, baidoties par nelabvēlīgu ietekmi uz dzīves vidi), kā arī par iespējām iesaistīties vietējā un reģionālā līmeņa attīstības plānošanā un īstenošanā, tai skaitā iesaistoties līdzdalības </w:t>
      </w:r>
      <w:proofErr w:type="spellStart"/>
      <w:r w:rsidRPr="00867BCF">
        <w:rPr>
          <w:rFonts w:ascii="Times New Roman" w:hAnsi="Times New Roman" w:cs="Times New Roman"/>
          <w:sz w:val="24"/>
        </w:rPr>
        <w:t>budžetēšanā</w:t>
      </w:r>
      <w:proofErr w:type="spellEnd"/>
      <w:r w:rsidRPr="00867BCF">
        <w:rPr>
          <w:rFonts w:ascii="Times New Roman" w:hAnsi="Times New Roman" w:cs="Times New Roman"/>
          <w:sz w:val="24"/>
        </w:rPr>
        <w:t>.</w:t>
      </w:r>
    </w:p>
    <w:p w14:paraId="4EFCEED7" w14:textId="0DF1E426" w:rsidR="00A32DD1" w:rsidRPr="00867BCF" w:rsidRDefault="00A32DD1" w:rsidP="00C123FE">
      <w:pPr>
        <w:spacing w:after="120"/>
        <w:rPr>
          <w:rFonts w:ascii="Times New Roman" w:hAnsi="Times New Roman" w:cs="Times New Roman"/>
          <w:sz w:val="24"/>
        </w:rPr>
      </w:pPr>
      <w:r w:rsidRPr="00867BCF">
        <w:rPr>
          <w:rFonts w:ascii="Times New Roman" w:hAnsi="Times New Roman" w:cs="Times New Roman"/>
          <w:sz w:val="24"/>
        </w:rPr>
        <w:t>Vienlaikus ir nepietiekams finansiālais atbalsts sabiedrības virzītām aktivitātēm, t.sk. pašvaldību atšķirīgas finanšu kapacitātes dēļ. Savukārt esošā nodokļu s</w:t>
      </w:r>
      <w:r w:rsidR="00326EE3" w:rsidRPr="00867BCF">
        <w:rPr>
          <w:rFonts w:ascii="Times New Roman" w:hAnsi="Times New Roman" w:cs="Times New Roman"/>
          <w:sz w:val="24"/>
        </w:rPr>
        <w:t>istēma nemotivē maksāt nodokļus</w:t>
      </w:r>
      <w:r w:rsidRPr="00867BCF">
        <w:rPr>
          <w:rFonts w:ascii="Times New Roman" w:hAnsi="Times New Roman" w:cs="Times New Roman"/>
          <w:sz w:val="24"/>
        </w:rPr>
        <w:t>, kas t.sk. varētu tikt novirzīti sabiedrības iniciatīvām.</w:t>
      </w:r>
    </w:p>
    <w:p w14:paraId="58638ACA" w14:textId="77777777" w:rsidR="00A32DD1" w:rsidRPr="00867BCF" w:rsidRDefault="00A32DD1" w:rsidP="00C123FE">
      <w:pPr>
        <w:spacing w:after="120"/>
        <w:rPr>
          <w:rFonts w:ascii="Times New Roman" w:hAnsi="Times New Roman" w:cs="Times New Roman"/>
          <w:sz w:val="24"/>
        </w:rPr>
      </w:pPr>
      <w:r w:rsidRPr="00867BCF">
        <w:rPr>
          <w:rFonts w:ascii="Times New Roman" w:hAnsi="Times New Roman" w:cs="Times New Roman"/>
          <w:sz w:val="24"/>
        </w:rPr>
        <w:t>Neraugoties uz izaicinājumiem, ir virkne labu piemēru un risinājumu sabiedrības līdzdalības veicināšanā.</w:t>
      </w:r>
    </w:p>
    <w:p w14:paraId="7DD05BAB" w14:textId="465B2BE3" w:rsidR="00A32DD1" w:rsidRPr="00867BCF" w:rsidRDefault="7FD7587D" w:rsidP="7FD7587D">
      <w:pPr>
        <w:spacing w:after="120"/>
        <w:rPr>
          <w:rFonts w:ascii="Times New Roman" w:hAnsi="Times New Roman" w:cs="Times New Roman"/>
          <w:sz w:val="24"/>
          <w:szCs w:val="24"/>
        </w:rPr>
      </w:pPr>
      <w:r w:rsidRPr="00867BCF">
        <w:rPr>
          <w:rFonts w:ascii="Times New Roman" w:hAnsi="Times New Roman" w:cs="Times New Roman"/>
          <w:sz w:val="24"/>
          <w:szCs w:val="24"/>
        </w:rPr>
        <w:t xml:space="preserve">Latvijā par labo praksi teritoriālās attīstības veicināšanā uzskatāmas uz kopienas iniciatīvas balstītās un ar sabiedrības virzītas vietējās attīstības (turpmāk – SVVA) pieeju īstenotās aktivitātes, kas tiek līdzfinansētas no Eiropas Lauksaimniecības fonda lauku attīstībai (ELFLA) un Eiropas Jūrlietu un zivsaimniecības fonda (EJZF). Viens no SVVA pieejas pamatprincipiem ir pieeja no “apakšas uz augšu”, kad iniciatīva nāk no vietējiem iedzīvotājiem, iesaistoties savas </w:t>
      </w:r>
      <w:r w:rsidRPr="00867BCF">
        <w:rPr>
          <w:rFonts w:ascii="Times New Roman" w:hAnsi="Times New Roman" w:cs="Times New Roman"/>
          <w:sz w:val="24"/>
          <w:szCs w:val="24"/>
        </w:rPr>
        <w:lastRenderedPageBreak/>
        <w:t xml:space="preserve">teritorijas problēmu identificēšanā un risināšanā. To ietvaros vietējā rīcības grupa nodrošina uz sabiedrības vajadzībām balstītas vietējās attīstības stratēģijas izstrādi un īstenošanu. Atbilstoši šai stratēģijai attiecīgajā teritorijā dažādus projektus izstrādā un īsteno pašvaldība, </w:t>
      </w:r>
      <w:r w:rsidRPr="00867BCF">
        <w:rPr>
          <w:rFonts w:ascii="Times New Roman" w:eastAsia="Times New Roman" w:hAnsi="Times New Roman" w:cs="Times New Roman"/>
          <w:sz w:val="24"/>
          <w:szCs w:val="24"/>
        </w:rPr>
        <w:t>pilsoniskās sabiedrības grupas</w:t>
      </w:r>
      <w:r w:rsidRPr="00867BCF">
        <w:rPr>
          <w:rFonts w:ascii="Times New Roman" w:hAnsi="Times New Roman" w:cs="Times New Roman"/>
          <w:sz w:val="24"/>
          <w:szCs w:val="24"/>
        </w:rPr>
        <w:t xml:space="preserve">, uzņēmēji, biedrības u.c. fiziskas vai juridiskas personas. </w:t>
      </w:r>
    </w:p>
    <w:p w14:paraId="082C6E3F" w14:textId="58D54FF7" w:rsidR="001410B3" w:rsidRPr="00867BCF" w:rsidRDefault="00A32DD1" w:rsidP="00C123FE">
      <w:pPr>
        <w:spacing w:after="120"/>
        <w:rPr>
          <w:rFonts w:ascii="Times New Roman" w:hAnsi="Times New Roman" w:cs="Times New Roman"/>
          <w:sz w:val="24"/>
        </w:rPr>
      </w:pPr>
      <w:r w:rsidRPr="00867BCF">
        <w:rPr>
          <w:rFonts w:ascii="Times New Roman" w:hAnsi="Times New Roman" w:cs="Times New Roman"/>
          <w:sz w:val="24"/>
        </w:rPr>
        <w:t>Papildus tam vietējās pašvaldības veido savus vietējās sabiedrības aktivizēšanas un iesaistīšanas pasākumus, piemēram, piešķirot līdzfinansējumu daudzdzīvokļu dzīvojamo māju pagalmu sakopšanai un labiekārtošanai, sabiedrisko atpūtas vietu, bērnu rotaļu laukumu un baznīcu labiekārtošanai, nododot neapsaimniekotos īpašumus vai nodrošinot atvieglojumus telpu nomai, nekustamā īpašuma nodokļa atlaidēm, nodrošinot transportu bērnu un senioru aktivitātēm, deleģējot funkcijas (pieaugušo tālākizglītība, informācijas pieejamības nodrošināšana, sociālie pakalpojumi u.c.) vai veidojot projektu konkursus vietējo iniciatīvu atbalstam u.tml. Pašvaldības nodrošina ne tikai finansiālu atbalstu,</w:t>
      </w:r>
      <w:r w:rsidR="00326EE3" w:rsidRPr="00867BCF">
        <w:rPr>
          <w:rFonts w:ascii="Times New Roman" w:hAnsi="Times New Roman" w:cs="Times New Roman"/>
          <w:sz w:val="24"/>
        </w:rPr>
        <w:t xml:space="preserve"> bet arī nefinanšu instrumentus</w:t>
      </w:r>
      <w:r w:rsidRPr="00867BCF">
        <w:rPr>
          <w:rFonts w:ascii="Times New Roman" w:hAnsi="Times New Roman" w:cs="Times New Roman"/>
          <w:sz w:val="24"/>
        </w:rPr>
        <w:t xml:space="preserve"> (cilvēkresursu kapacitātes celšanai, pakalpojumu attīstībai u.c.)</w:t>
      </w:r>
      <w:r w:rsidR="00A849E6" w:rsidRPr="00867BCF">
        <w:rPr>
          <w:rFonts w:ascii="Times New Roman" w:hAnsi="Times New Roman" w:cs="Times New Roman"/>
          <w:sz w:val="24"/>
        </w:rPr>
        <w:t>.</w:t>
      </w:r>
      <w:r w:rsidR="00455ED7" w:rsidRPr="00867BCF">
        <w:rPr>
          <w:rFonts w:ascii="Times New Roman" w:hAnsi="Times New Roman" w:cs="Times New Roman"/>
          <w:sz w:val="24"/>
        </w:rPr>
        <w:t xml:space="preserve"> </w:t>
      </w:r>
    </w:p>
    <w:p w14:paraId="7E7969EE" w14:textId="43B16FED" w:rsidR="00A32DD1" w:rsidRPr="00867BCF" w:rsidRDefault="00A32DD1" w:rsidP="7BA690F5">
      <w:pPr>
        <w:spacing w:after="120"/>
        <w:rPr>
          <w:rFonts w:ascii="Times New Roman" w:hAnsi="Times New Roman" w:cs="Times New Roman"/>
          <w:sz w:val="24"/>
          <w:szCs w:val="24"/>
        </w:rPr>
      </w:pPr>
      <w:r w:rsidRPr="00867BCF">
        <w:rPr>
          <w:rFonts w:ascii="Times New Roman" w:hAnsi="Times New Roman" w:cs="Times New Roman"/>
          <w:sz w:val="24"/>
          <w:szCs w:val="24"/>
        </w:rPr>
        <w:t xml:space="preserve">Daļa pašvaldību piešķir arī līdzfinansējumu nevalstiskajām organizācijām, kas darbojas tās teritorijā, atbalsta piesaistei LEADER programmas ietvaros (piemēram, Aglonas, Alsungas, Dagdas, Dundagas, Gulbenes, Jēkabpils, Krustpils, Skrundas, Ventspils un citi novadi). Pašvaldības īsteno dažādas uzņēmējdarbību veicinošas aktivitātes, tai skaitā īstenojot </w:t>
      </w:r>
      <w:proofErr w:type="spellStart"/>
      <w:r w:rsidRPr="00867BCF">
        <w:rPr>
          <w:rFonts w:ascii="Times New Roman" w:hAnsi="Times New Roman" w:cs="Times New Roman"/>
          <w:sz w:val="24"/>
          <w:szCs w:val="24"/>
        </w:rPr>
        <w:t>grantu</w:t>
      </w:r>
      <w:proofErr w:type="spellEnd"/>
      <w:r w:rsidRPr="00867BCF">
        <w:rPr>
          <w:rFonts w:ascii="Times New Roman" w:hAnsi="Times New Roman" w:cs="Times New Roman"/>
          <w:sz w:val="24"/>
          <w:szCs w:val="24"/>
        </w:rPr>
        <w:t xml:space="preserve"> konkursus. Dažas pašvaldību īsteno sabiedrības </w:t>
      </w:r>
      <w:proofErr w:type="spellStart"/>
      <w:r w:rsidRPr="00867BCF">
        <w:rPr>
          <w:rFonts w:ascii="Times New Roman" w:hAnsi="Times New Roman" w:cs="Times New Roman"/>
          <w:sz w:val="24"/>
          <w:szCs w:val="24"/>
        </w:rPr>
        <w:t>līdzd</w:t>
      </w:r>
      <w:r w:rsidR="009D002E" w:rsidRPr="00867BCF">
        <w:rPr>
          <w:rFonts w:ascii="Times New Roman" w:hAnsi="Times New Roman" w:cs="Times New Roman"/>
          <w:sz w:val="24"/>
          <w:szCs w:val="24"/>
        </w:rPr>
        <w:t>zlemtu</w:t>
      </w:r>
      <w:proofErr w:type="spellEnd"/>
      <w:r w:rsidRPr="00867BCF">
        <w:rPr>
          <w:rFonts w:ascii="Times New Roman" w:hAnsi="Times New Roman" w:cs="Times New Roman"/>
          <w:sz w:val="24"/>
          <w:szCs w:val="24"/>
        </w:rPr>
        <w:t xml:space="preserve"> </w:t>
      </w:r>
      <w:proofErr w:type="spellStart"/>
      <w:r w:rsidRPr="00867BCF">
        <w:rPr>
          <w:rFonts w:ascii="Times New Roman" w:hAnsi="Times New Roman" w:cs="Times New Roman"/>
          <w:sz w:val="24"/>
          <w:szCs w:val="24"/>
        </w:rPr>
        <w:t>budžetēšanu</w:t>
      </w:r>
      <w:proofErr w:type="spellEnd"/>
      <w:r w:rsidRPr="00867BCF">
        <w:rPr>
          <w:rFonts w:ascii="Times New Roman" w:hAnsi="Times New Roman" w:cs="Times New Roman"/>
          <w:sz w:val="24"/>
          <w:szCs w:val="24"/>
        </w:rPr>
        <w:t xml:space="preserve">, </w:t>
      </w:r>
      <w:r w:rsidR="009D002E" w:rsidRPr="00867BCF">
        <w:rPr>
          <w:rFonts w:ascii="Times New Roman" w:hAnsi="Times New Roman" w:cs="Times New Roman"/>
          <w:sz w:val="24"/>
          <w:szCs w:val="24"/>
        </w:rPr>
        <w:t xml:space="preserve">ļaujot iedzīvotājiem vai iedzīvotāju grupām nākt klajā ar projektu idejām un balstot par labākajām, kā arī sniedzot atbalstu labāko projektu īstenošanai (piemēram. Rīga, Kuldīga). Par šo un par citiem iedzīvotāju iesaistīšanas lēmumu pieņemšanā veidiem detalizētāk skatīt </w:t>
      </w:r>
      <w:r w:rsidR="00A81F3F" w:rsidRPr="00867BCF">
        <w:rPr>
          <w:rFonts w:ascii="Times New Roman" w:hAnsi="Times New Roman" w:cs="Times New Roman"/>
          <w:sz w:val="24"/>
          <w:szCs w:val="24"/>
        </w:rPr>
        <w:t>S</w:t>
      </w:r>
      <w:r w:rsidR="009D002E" w:rsidRPr="00867BCF">
        <w:rPr>
          <w:rFonts w:ascii="Times New Roman" w:hAnsi="Times New Roman" w:cs="Times New Roman"/>
          <w:sz w:val="24"/>
          <w:szCs w:val="24"/>
        </w:rPr>
        <w:t>abiedriskās politikas centra “Providus” veiktajā pārskatā par iedzīvotāju iesaistes piemēriem Latvijas pašvaldībās.</w:t>
      </w:r>
      <w:r w:rsidR="009D002E" w:rsidRPr="00867BCF">
        <w:rPr>
          <w:rStyle w:val="FootnoteReference"/>
          <w:rFonts w:ascii="Times New Roman" w:hAnsi="Times New Roman" w:cs="Times New Roman"/>
          <w:sz w:val="24"/>
          <w:szCs w:val="24"/>
        </w:rPr>
        <w:footnoteReference w:id="48"/>
      </w:r>
    </w:p>
    <w:p w14:paraId="3686045F" w14:textId="31AFAC84" w:rsidR="00A32DD1" w:rsidRPr="00867BCF" w:rsidRDefault="7BA690F5" w:rsidP="7BA690F5">
      <w:pPr>
        <w:spacing w:after="120"/>
        <w:rPr>
          <w:rFonts w:ascii="Times New Roman" w:hAnsi="Times New Roman" w:cs="Times New Roman"/>
          <w:sz w:val="24"/>
          <w:szCs w:val="24"/>
        </w:rPr>
      </w:pPr>
      <w:r w:rsidRPr="00867BCF">
        <w:rPr>
          <w:rFonts w:ascii="Times New Roman" w:hAnsi="Times New Roman" w:cs="Times New Roman"/>
          <w:sz w:val="24"/>
          <w:szCs w:val="24"/>
        </w:rPr>
        <w:t xml:space="preserve">Ārpus pašvaldības mehānismiem sabiedrības līdzdalības veicināšanai, kā labā prakse minama reģionālo NVO centru darbība, kuri konsultē pilsonisko sabiedrību, biedrības un nodibinājumus par līdzdalības iespējām publisko lēmumu pieņemšanas procesos. Tāpat, kā nozīmīgs instruments ar pieaugošu nākotnes potenciālu, minami arī novadu kopienu fondi, kas Latvijā darbojas jau 15 gadus (piemēram, Valkas, Talsu, Alūksnes, Preiļu novados). To ietvaros tiek atbalstītas vietējās iniciatīvas, balstoties uz kopienas pašas resursiem, tādejādi veicinot sabiedrības līdzatbildību attīstības procesos. </w:t>
      </w:r>
    </w:p>
    <w:p w14:paraId="2EBD1CEA" w14:textId="77777777" w:rsidR="00A32DD1" w:rsidRPr="00867BCF" w:rsidRDefault="00A32DD1" w:rsidP="00C123FE">
      <w:pPr>
        <w:spacing w:after="120"/>
        <w:rPr>
          <w:rFonts w:ascii="Times New Roman" w:hAnsi="Times New Roman" w:cs="Times New Roman"/>
          <w:b/>
          <w:sz w:val="24"/>
        </w:rPr>
      </w:pPr>
    </w:p>
    <w:p w14:paraId="52B8FBB1" w14:textId="77777777" w:rsidR="0029214E" w:rsidRPr="00867BCF" w:rsidRDefault="0029214E" w:rsidP="00C123FE">
      <w:pPr>
        <w:spacing w:after="120"/>
        <w:rPr>
          <w:rFonts w:ascii="Times New Roman" w:hAnsi="Times New Roman" w:cs="Times New Roman"/>
          <w:b/>
          <w:sz w:val="24"/>
        </w:rPr>
      </w:pPr>
      <w:r w:rsidRPr="00867BCF">
        <w:rPr>
          <w:rFonts w:ascii="Times New Roman" w:hAnsi="Times New Roman" w:cs="Times New Roman"/>
          <w:b/>
          <w:sz w:val="24"/>
        </w:rPr>
        <w:t>Pašvaldību investīciju vajadzības</w:t>
      </w:r>
    </w:p>
    <w:p w14:paraId="52830EED" w14:textId="77777777" w:rsidR="00AD7E47" w:rsidRPr="00867BCF" w:rsidRDefault="00AD7E47" w:rsidP="00C123FE">
      <w:pPr>
        <w:spacing w:before="120" w:after="120"/>
        <w:rPr>
          <w:rFonts w:ascii="Times New Roman" w:hAnsi="Times New Roman"/>
          <w:sz w:val="24"/>
          <w:szCs w:val="24"/>
          <w:lang w:bidi="lo-LA"/>
        </w:rPr>
      </w:pPr>
      <w:r w:rsidRPr="00867BCF">
        <w:rPr>
          <w:rFonts w:ascii="Times New Roman" w:hAnsi="Times New Roman"/>
          <w:sz w:val="24"/>
          <w:szCs w:val="24"/>
          <w:lang w:bidi="lo-LA"/>
        </w:rPr>
        <w:t>Lai noskaidrotu pašvaldību investīciju pieprasījumu, VARAM 2018.gada jūlijā – 2019.gada janvārī veica pašvaldību anketēšanu par investīciju vajadzībām ES regulu priekšlikumos ietvertajās jomās:</w:t>
      </w:r>
    </w:p>
    <w:p w14:paraId="08E06ACD" w14:textId="77777777" w:rsidR="00AD7E47" w:rsidRPr="00867BCF" w:rsidRDefault="00AD7E47" w:rsidP="00C123FE">
      <w:pPr>
        <w:spacing w:before="120" w:after="120"/>
        <w:rPr>
          <w:rFonts w:ascii="Times New Roman" w:hAnsi="Times New Roman"/>
          <w:sz w:val="24"/>
          <w:szCs w:val="24"/>
          <w:lang w:bidi="lo-LA"/>
        </w:rPr>
      </w:pPr>
      <w:r w:rsidRPr="00867BCF">
        <w:rPr>
          <w:rFonts w:ascii="Times New Roman" w:hAnsi="Times New Roman"/>
          <w:sz w:val="24"/>
          <w:szCs w:val="24"/>
          <w:lang w:bidi="lo-LA"/>
        </w:rPr>
        <w:t xml:space="preserve">1) Pašvaldību uzņēmējdarbības atbalsta infrastruktūra un cita veida atbalsts uzņēmējdarbības veicināšanai teritorijā; </w:t>
      </w:r>
    </w:p>
    <w:p w14:paraId="246DDFA4" w14:textId="77777777" w:rsidR="00AD7E47" w:rsidRPr="00867BCF" w:rsidRDefault="00AD7E47" w:rsidP="00C123FE">
      <w:pPr>
        <w:spacing w:before="120" w:after="120"/>
        <w:rPr>
          <w:rFonts w:ascii="Times New Roman" w:hAnsi="Times New Roman"/>
          <w:sz w:val="24"/>
          <w:szCs w:val="24"/>
          <w:lang w:bidi="lo-LA"/>
        </w:rPr>
      </w:pPr>
      <w:r w:rsidRPr="00867BCF">
        <w:rPr>
          <w:rFonts w:ascii="Times New Roman" w:hAnsi="Times New Roman"/>
          <w:sz w:val="24"/>
          <w:szCs w:val="24"/>
          <w:lang w:bidi="lo-LA"/>
        </w:rPr>
        <w:t xml:space="preserve">2) Energoefektivitāte pašvaldību īpašumos; </w:t>
      </w:r>
    </w:p>
    <w:p w14:paraId="26294DA7" w14:textId="77777777" w:rsidR="00AD7E47" w:rsidRPr="00867BCF" w:rsidRDefault="00AD7E47" w:rsidP="00C123FE">
      <w:pPr>
        <w:spacing w:before="120" w:after="120"/>
        <w:rPr>
          <w:rFonts w:ascii="Times New Roman" w:hAnsi="Times New Roman"/>
          <w:sz w:val="24"/>
          <w:szCs w:val="24"/>
          <w:lang w:bidi="lo-LA"/>
        </w:rPr>
      </w:pPr>
      <w:r w:rsidRPr="00867BCF">
        <w:rPr>
          <w:rFonts w:ascii="Times New Roman" w:hAnsi="Times New Roman"/>
          <w:sz w:val="24"/>
          <w:szCs w:val="24"/>
          <w:lang w:bidi="lo-LA"/>
        </w:rPr>
        <w:t>3) Daba/tūrisms un kultūra (pašvaldību īpašumi);</w:t>
      </w:r>
    </w:p>
    <w:p w14:paraId="1994C68E" w14:textId="77777777" w:rsidR="00AD7E47" w:rsidRPr="00867BCF" w:rsidRDefault="00AD7E47" w:rsidP="00C123FE">
      <w:pPr>
        <w:spacing w:before="120" w:after="120"/>
        <w:rPr>
          <w:rFonts w:ascii="Times New Roman" w:hAnsi="Times New Roman"/>
          <w:sz w:val="24"/>
          <w:szCs w:val="24"/>
          <w:lang w:bidi="lo-LA"/>
        </w:rPr>
      </w:pPr>
      <w:r w:rsidRPr="00867BCF">
        <w:rPr>
          <w:rFonts w:ascii="Times New Roman" w:hAnsi="Times New Roman"/>
          <w:sz w:val="24"/>
          <w:szCs w:val="24"/>
          <w:lang w:bidi="lo-LA"/>
        </w:rPr>
        <w:t xml:space="preserve">4) Pašvaldību publiskā </w:t>
      </w:r>
      <w:proofErr w:type="spellStart"/>
      <w:r w:rsidRPr="00867BCF">
        <w:rPr>
          <w:rFonts w:ascii="Times New Roman" w:hAnsi="Times New Roman"/>
          <w:sz w:val="24"/>
          <w:szCs w:val="24"/>
          <w:lang w:bidi="lo-LA"/>
        </w:rPr>
        <w:t>ārtelpa</w:t>
      </w:r>
      <w:proofErr w:type="spellEnd"/>
      <w:r w:rsidRPr="00867BCF">
        <w:rPr>
          <w:rFonts w:ascii="Times New Roman" w:hAnsi="Times New Roman"/>
          <w:sz w:val="24"/>
          <w:szCs w:val="24"/>
          <w:lang w:bidi="lo-LA"/>
        </w:rPr>
        <w:t xml:space="preserve"> un ielas, t.sk. pārbrauktuves;</w:t>
      </w:r>
    </w:p>
    <w:p w14:paraId="7B91E29D" w14:textId="77777777" w:rsidR="00AD7E47" w:rsidRPr="00867BCF" w:rsidRDefault="00AD7E47" w:rsidP="00C123FE">
      <w:pPr>
        <w:spacing w:before="120" w:after="120"/>
        <w:rPr>
          <w:rFonts w:ascii="Times New Roman" w:hAnsi="Times New Roman"/>
          <w:sz w:val="24"/>
          <w:szCs w:val="24"/>
          <w:lang w:bidi="lo-LA"/>
        </w:rPr>
      </w:pPr>
      <w:r w:rsidRPr="00867BCF">
        <w:rPr>
          <w:rFonts w:ascii="Times New Roman" w:hAnsi="Times New Roman"/>
          <w:sz w:val="24"/>
          <w:szCs w:val="24"/>
          <w:lang w:bidi="lo-LA"/>
        </w:rPr>
        <w:t>5) Pašvaldību ceļi, t.sk. pārbrauktuves.</w:t>
      </w:r>
    </w:p>
    <w:p w14:paraId="26AFA79C" w14:textId="77777777" w:rsidR="00AD7E47" w:rsidRPr="00867BCF" w:rsidRDefault="00AD7E47" w:rsidP="00C123FE">
      <w:pPr>
        <w:spacing w:before="120" w:after="120"/>
        <w:rPr>
          <w:rFonts w:ascii="Times New Roman" w:hAnsi="Times New Roman"/>
          <w:sz w:val="24"/>
          <w:szCs w:val="24"/>
          <w:lang w:bidi="lo-LA"/>
        </w:rPr>
      </w:pPr>
      <w:r w:rsidRPr="00867BCF">
        <w:rPr>
          <w:rFonts w:ascii="Times New Roman" w:hAnsi="Times New Roman"/>
          <w:sz w:val="24"/>
          <w:szCs w:val="24"/>
          <w:lang w:bidi="lo-LA"/>
        </w:rPr>
        <w:t>6) Cita veida atbalsts.</w:t>
      </w:r>
    </w:p>
    <w:p w14:paraId="68450586" w14:textId="7A4DB8BC" w:rsidR="0029214E" w:rsidRPr="00867BCF" w:rsidRDefault="0029214E" w:rsidP="00C123FE">
      <w:pPr>
        <w:spacing w:before="120" w:after="120"/>
        <w:rPr>
          <w:rFonts w:ascii="Times New Roman" w:hAnsi="Times New Roman"/>
          <w:sz w:val="24"/>
          <w:szCs w:val="24"/>
          <w:lang w:bidi="lo-LA"/>
        </w:rPr>
      </w:pPr>
      <w:r w:rsidRPr="00867BCF">
        <w:rPr>
          <w:rFonts w:ascii="Times New Roman" w:hAnsi="Times New Roman"/>
          <w:sz w:val="24"/>
          <w:szCs w:val="24"/>
          <w:lang w:bidi="lo-LA"/>
        </w:rPr>
        <w:t xml:space="preserve">Pašvaldību kopējais investīciju pieprasījums ar trīs projektu ierobežojumu ir 3,3 miljardi </w:t>
      </w:r>
      <w:proofErr w:type="spellStart"/>
      <w:r w:rsidRPr="00867BCF">
        <w:rPr>
          <w:rFonts w:ascii="Times New Roman" w:hAnsi="Times New Roman"/>
          <w:i/>
          <w:sz w:val="24"/>
          <w:szCs w:val="24"/>
          <w:lang w:bidi="lo-LA"/>
        </w:rPr>
        <w:t>euro</w:t>
      </w:r>
      <w:proofErr w:type="spellEnd"/>
      <w:r w:rsidRPr="00867BCF">
        <w:rPr>
          <w:rFonts w:ascii="Times New Roman" w:hAnsi="Times New Roman"/>
          <w:sz w:val="24"/>
          <w:szCs w:val="24"/>
          <w:lang w:bidi="lo-LA"/>
        </w:rPr>
        <w:t xml:space="preserve"> (sk. detalizētāk </w:t>
      </w:r>
      <w:r w:rsidR="00345BEB" w:rsidRPr="00867BCF">
        <w:rPr>
          <w:rFonts w:ascii="Times New Roman" w:hAnsi="Times New Roman"/>
          <w:sz w:val="24"/>
          <w:szCs w:val="24"/>
          <w:lang w:bidi="lo-LA"/>
        </w:rPr>
        <w:t>20</w:t>
      </w:r>
      <w:r w:rsidRPr="00867BCF">
        <w:rPr>
          <w:rFonts w:ascii="Times New Roman" w:hAnsi="Times New Roman"/>
          <w:sz w:val="24"/>
          <w:szCs w:val="24"/>
          <w:lang w:bidi="lo-LA"/>
        </w:rPr>
        <w:t>.attēlā).</w:t>
      </w:r>
    </w:p>
    <w:p w14:paraId="3BBDC7D7" w14:textId="77777777" w:rsidR="00AD7E47" w:rsidRPr="00867BCF" w:rsidRDefault="00AD7E47" w:rsidP="00C123FE">
      <w:pPr>
        <w:pStyle w:val="tv213"/>
        <w:spacing w:before="0" w:beforeAutospacing="0" w:after="0" w:afterAutospacing="0" w:line="293" w:lineRule="atLeast"/>
        <w:jc w:val="both"/>
        <w:rPr>
          <w:rFonts w:ascii="Arial" w:hAnsi="Arial" w:cs="Arial"/>
          <w:b/>
          <w:bCs/>
          <w:sz w:val="20"/>
          <w:szCs w:val="20"/>
          <w:shd w:val="clear" w:color="auto" w:fill="FFFFFF"/>
        </w:rPr>
      </w:pPr>
      <w:r w:rsidRPr="00867BCF">
        <w:lastRenderedPageBreak/>
        <w:t xml:space="preserve">Attiecīgi atbalsta pasākumiem pieprasītais finansējuma apjoms noteikts, pamatojoties uz pašvaldību pieprasījuma </w:t>
      </w:r>
      <w:proofErr w:type="spellStart"/>
      <w:r w:rsidRPr="00867BCF">
        <w:t>izvērtējumu</w:t>
      </w:r>
      <w:proofErr w:type="spellEnd"/>
      <w:r w:rsidRPr="00867BCF">
        <w:t>.</w:t>
      </w:r>
    </w:p>
    <w:p w14:paraId="1D9C8657" w14:textId="77777777" w:rsidR="0029214E" w:rsidRPr="00867BCF" w:rsidRDefault="0029214E" w:rsidP="00C123FE">
      <w:pPr>
        <w:spacing w:after="120"/>
        <w:rPr>
          <w:rFonts w:ascii="Times New Roman" w:hAnsi="Times New Roman"/>
          <w:sz w:val="24"/>
          <w:szCs w:val="24"/>
        </w:rPr>
      </w:pPr>
    </w:p>
    <w:p w14:paraId="18DA68E9" w14:textId="68F26A31" w:rsidR="0029214E" w:rsidRPr="00867BCF" w:rsidRDefault="00A32DD1" w:rsidP="00C123FE">
      <w:pPr>
        <w:spacing w:after="120"/>
        <w:jc w:val="center"/>
        <w:rPr>
          <w:rFonts w:ascii="Times New Roman" w:hAnsi="Times New Roman"/>
          <w:sz w:val="24"/>
          <w:szCs w:val="24"/>
        </w:rPr>
      </w:pPr>
      <w:r w:rsidRPr="00867BCF">
        <w:rPr>
          <w:rFonts w:ascii="Times New Roman" w:hAnsi="Times New Roman"/>
          <w:noProof/>
          <w:sz w:val="24"/>
          <w:szCs w:val="24"/>
          <w:lang w:eastAsia="lv-LV"/>
        </w:rPr>
        <w:drawing>
          <wp:inline distT="0" distB="0" distL="0" distR="0" wp14:anchorId="36E0BE5B" wp14:editId="1783693A">
            <wp:extent cx="5826760" cy="2886075"/>
            <wp:effectExtent l="0" t="0" r="254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D91877D" w14:textId="783BFE95" w:rsidR="0029214E" w:rsidRPr="00867BCF" w:rsidRDefault="00345BEB" w:rsidP="00C123FE">
      <w:pPr>
        <w:spacing w:after="120"/>
        <w:jc w:val="center"/>
        <w:rPr>
          <w:rFonts w:ascii="Times New Roman" w:hAnsi="Times New Roman"/>
          <w:i/>
          <w:iCs/>
          <w:sz w:val="24"/>
          <w:szCs w:val="24"/>
        </w:rPr>
      </w:pPr>
      <w:r w:rsidRPr="00867BCF">
        <w:rPr>
          <w:rFonts w:ascii="Times New Roman" w:hAnsi="Times New Roman"/>
          <w:i/>
          <w:iCs/>
          <w:sz w:val="24"/>
          <w:szCs w:val="24"/>
        </w:rPr>
        <w:t>20</w:t>
      </w:r>
      <w:r w:rsidR="3CE141C9" w:rsidRPr="00867BCF">
        <w:rPr>
          <w:rFonts w:ascii="Times New Roman" w:hAnsi="Times New Roman"/>
          <w:i/>
          <w:iCs/>
          <w:sz w:val="24"/>
          <w:szCs w:val="24"/>
        </w:rPr>
        <w:t>.attēls. Pašvaldību investīciju pieprasījums ar 3 projektu ierobežojumu.</w:t>
      </w:r>
    </w:p>
    <w:p w14:paraId="0916E1C6" w14:textId="0AA04FBE" w:rsidR="3CE141C9" w:rsidRPr="00867BCF" w:rsidRDefault="3CE141C9" w:rsidP="00C123FE">
      <w:pPr>
        <w:spacing w:after="120"/>
        <w:jc w:val="center"/>
        <w:rPr>
          <w:rFonts w:ascii="Times New Roman" w:hAnsi="Times New Roman"/>
          <w:i/>
          <w:iCs/>
          <w:sz w:val="24"/>
          <w:szCs w:val="24"/>
        </w:rPr>
      </w:pPr>
    </w:p>
    <w:p w14:paraId="628B3BDE" w14:textId="57692C11" w:rsidR="3CE141C9" w:rsidRPr="00867BCF" w:rsidRDefault="009D1C86" w:rsidP="00C123FE">
      <w:pPr>
        <w:spacing w:before="60" w:after="120"/>
        <w:rPr>
          <w:rFonts w:ascii="Times New Roman" w:hAnsi="Times New Roman"/>
          <w:sz w:val="24"/>
          <w:szCs w:val="24"/>
        </w:rPr>
      </w:pPr>
      <w:r w:rsidRPr="00867BCF">
        <w:rPr>
          <w:rFonts w:ascii="Times New Roman" w:hAnsi="Times New Roman"/>
          <w:sz w:val="24"/>
          <w:szCs w:val="24"/>
        </w:rPr>
        <w:t xml:space="preserve"> </w:t>
      </w:r>
    </w:p>
    <w:p w14:paraId="65570BB6" w14:textId="77777777" w:rsidR="00A32DD1" w:rsidRPr="00867BCF" w:rsidRDefault="00A32DD1" w:rsidP="00C123FE">
      <w:pPr>
        <w:spacing w:before="60" w:after="120"/>
        <w:rPr>
          <w:rFonts w:ascii="Times New Roman" w:hAnsi="Times New Roman"/>
          <w:i/>
          <w:iCs/>
          <w:sz w:val="24"/>
          <w:szCs w:val="24"/>
        </w:rPr>
      </w:pPr>
    </w:p>
    <w:p w14:paraId="027F1C31" w14:textId="5B356611" w:rsidR="3CE141C9" w:rsidRPr="00867BCF" w:rsidRDefault="3CE141C9" w:rsidP="00C123FE">
      <w:pPr>
        <w:spacing w:after="120"/>
      </w:pPr>
      <w:r w:rsidRPr="00867BCF">
        <w:rPr>
          <w:rFonts w:ascii="Times New Roman" w:eastAsia="Times New Roman" w:hAnsi="Times New Roman" w:cs="Times New Roman"/>
          <w:sz w:val="24"/>
          <w:szCs w:val="24"/>
        </w:rPr>
        <w:t xml:space="preserve">Vides aizsardzības un reģionālās attīstības ministrs                                            </w:t>
      </w:r>
      <w:proofErr w:type="spellStart"/>
      <w:r w:rsidRPr="00867BCF">
        <w:rPr>
          <w:rFonts w:ascii="Times New Roman" w:eastAsia="Times New Roman" w:hAnsi="Times New Roman" w:cs="Times New Roman"/>
          <w:sz w:val="24"/>
          <w:szCs w:val="24"/>
        </w:rPr>
        <w:t>J.Pūce</w:t>
      </w:r>
      <w:proofErr w:type="spellEnd"/>
    </w:p>
    <w:p w14:paraId="67EF0851" w14:textId="53C2ECF6" w:rsidR="3CE141C9" w:rsidRPr="00867BCF" w:rsidRDefault="3CE141C9" w:rsidP="2029D4AC">
      <w:pPr>
        <w:spacing w:after="120"/>
        <w:rPr>
          <w:rFonts w:ascii="Times New Roman" w:eastAsia="Times New Roman" w:hAnsi="Times New Roman" w:cs="Times New Roman"/>
          <w:sz w:val="24"/>
          <w:szCs w:val="24"/>
        </w:rPr>
      </w:pPr>
    </w:p>
    <w:p w14:paraId="3729A75F" w14:textId="10DAEC41" w:rsidR="2029D4AC" w:rsidRPr="00867BCF" w:rsidRDefault="2029D4AC" w:rsidP="2029D4AC">
      <w:pPr>
        <w:spacing w:after="120"/>
        <w:rPr>
          <w:rFonts w:ascii="Times New Roman" w:eastAsia="Times New Roman" w:hAnsi="Times New Roman" w:cs="Times New Roman"/>
          <w:sz w:val="24"/>
          <w:szCs w:val="24"/>
        </w:rPr>
      </w:pPr>
    </w:p>
    <w:p w14:paraId="7A6BE867" w14:textId="0C6848DB" w:rsidR="2029D4AC" w:rsidRPr="00867BCF" w:rsidRDefault="2029D4AC" w:rsidP="2029D4AC">
      <w:pPr>
        <w:spacing w:line="276" w:lineRule="auto"/>
        <w:rPr>
          <w:rStyle w:val="Hyperlink"/>
          <w:rFonts w:ascii="Times New Roman" w:eastAsia="Times New Roman" w:hAnsi="Times New Roman" w:cs="Times New Roman"/>
          <w:sz w:val="20"/>
          <w:szCs w:val="20"/>
        </w:rPr>
      </w:pPr>
    </w:p>
    <w:p w14:paraId="39C2005E" w14:textId="6DC37039" w:rsidR="2029D4AC" w:rsidRPr="00867BCF" w:rsidRDefault="2029D4AC" w:rsidP="2029D4AC">
      <w:pPr>
        <w:rPr>
          <w:rFonts w:ascii="Times New Roman" w:eastAsia="Times New Roman" w:hAnsi="Times New Roman" w:cs="Times New Roman"/>
          <w:sz w:val="20"/>
          <w:szCs w:val="20"/>
        </w:rPr>
      </w:pPr>
      <w:r w:rsidRPr="00867BCF">
        <w:rPr>
          <w:rFonts w:ascii="Times New Roman" w:eastAsia="Times New Roman" w:hAnsi="Times New Roman" w:cs="Times New Roman"/>
          <w:sz w:val="20"/>
          <w:szCs w:val="20"/>
        </w:rPr>
        <w:t>I. Jureviča, 66016791</w:t>
      </w:r>
    </w:p>
    <w:p w14:paraId="043A1E0A" w14:textId="268FD714" w:rsidR="2029D4AC" w:rsidRPr="00867BCF" w:rsidRDefault="00FD41E2" w:rsidP="2029D4AC">
      <w:pPr>
        <w:rPr>
          <w:rFonts w:ascii="Times New Roman" w:eastAsia="Times New Roman" w:hAnsi="Times New Roman" w:cs="Times New Roman"/>
          <w:sz w:val="20"/>
          <w:szCs w:val="20"/>
        </w:rPr>
      </w:pPr>
      <w:hyperlink r:id="rId42">
        <w:r w:rsidR="2029D4AC" w:rsidRPr="00867BCF">
          <w:rPr>
            <w:rStyle w:val="Hyperlink"/>
            <w:rFonts w:ascii="Times New Roman" w:eastAsia="Times New Roman" w:hAnsi="Times New Roman" w:cs="Times New Roman"/>
            <w:color w:val="0000FF"/>
            <w:sz w:val="20"/>
            <w:szCs w:val="20"/>
          </w:rPr>
          <w:t>ilze.jurevica@varam.gov.lv</w:t>
        </w:r>
      </w:hyperlink>
    </w:p>
    <w:p w14:paraId="6234114C" w14:textId="51FC9EB7" w:rsidR="2029D4AC" w:rsidRPr="00867BCF" w:rsidRDefault="2029D4AC" w:rsidP="2029D4AC">
      <w:pPr>
        <w:spacing w:line="276" w:lineRule="auto"/>
        <w:rPr>
          <w:rStyle w:val="Hyperlink"/>
          <w:rFonts w:ascii="Times New Roman" w:eastAsia="Times New Roman" w:hAnsi="Times New Roman" w:cs="Times New Roman"/>
          <w:sz w:val="20"/>
          <w:szCs w:val="20"/>
        </w:rPr>
      </w:pPr>
    </w:p>
    <w:p w14:paraId="29456731" w14:textId="4CBF3682" w:rsidR="2029D4AC" w:rsidRPr="00867BCF" w:rsidRDefault="2029D4AC" w:rsidP="2029D4AC">
      <w:pPr>
        <w:rPr>
          <w:rFonts w:ascii="Times New Roman" w:eastAsia="Times New Roman" w:hAnsi="Times New Roman" w:cs="Times New Roman"/>
          <w:sz w:val="20"/>
          <w:szCs w:val="20"/>
        </w:rPr>
      </w:pPr>
      <w:r w:rsidRPr="00867BCF">
        <w:rPr>
          <w:rFonts w:ascii="Times New Roman" w:eastAsia="Times New Roman" w:hAnsi="Times New Roman" w:cs="Times New Roman"/>
          <w:sz w:val="20"/>
          <w:szCs w:val="20"/>
          <w:lang w:val="lv"/>
        </w:rPr>
        <w:t>R. Bremšmits, 66016755</w:t>
      </w:r>
    </w:p>
    <w:p w14:paraId="05AABF40" w14:textId="69EE04B2" w:rsidR="2029D4AC" w:rsidRPr="00867BCF" w:rsidRDefault="00FD41E2" w:rsidP="2029D4AC">
      <w:pPr>
        <w:rPr>
          <w:rFonts w:ascii="Times New Roman" w:eastAsia="Times New Roman" w:hAnsi="Times New Roman" w:cs="Times New Roman"/>
          <w:sz w:val="20"/>
          <w:szCs w:val="20"/>
        </w:rPr>
      </w:pPr>
      <w:hyperlink r:id="rId43">
        <w:r w:rsidR="2029D4AC" w:rsidRPr="00867BCF">
          <w:rPr>
            <w:rStyle w:val="Hyperlink"/>
            <w:rFonts w:ascii="Times New Roman" w:eastAsia="Times New Roman" w:hAnsi="Times New Roman" w:cs="Times New Roman"/>
            <w:color w:val="0000FF"/>
            <w:sz w:val="20"/>
            <w:szCs w:val="20"/>
            <w:lang w:val="lv"/>
          </w:rPr>
          <w:t>raivis.bremsmits@varam.gov.lv</w:t>
        </w:r>
      </w:hyperlink>
      <w:r w:rsidR="2029D4AC" w:rsidRPr="00867BCF">
        <w:rPr>
          <w:rFonts w:ascii="Times New Roman" w:eastAsia="Times New Roman" w:hAnsi="Times New Roman" w:cs="Times New Roman"/>
          <w:color w:val="0000FF"/>
          <w:sz w:val="20"/>
          <w:szCs w:val="20"/>
          <w:u w:val="single"/>
          <w:lang w:val="lv"/>
        </w:rPr>
        <w:t xml:space="preserve"> </w:t>
      </w:r>
    </w:p>
    <w:p w14:paraId="336437EB" w14:textId="7EE677B3" w:rsidR="2029D4AC" w:rsidRPr="00867BCF" w:rsidRDefault="2029D4AC" w:rsidP="2029D4AC">
      <w:pPr>
        <w:rPr>
          <w:rFonts w:ascii="Times New Roman" w:eastAsia="Times New Roman" w:hAnsi="Times New Roman" w:cs="Times New Roman"/>
          <w:sz w:val="20"/>
          <w:szCs w:val="20"/>
        </w:rPr>
      </w:pPr>
    </w:p>
    <w:p w14:paraId="3F291912" w14:textId="16233BC9" w:rsidR="2029D4AC" w:rsidRPr="00867BCF" w:rsidRDefault="2029D4AC" w:rsidP="2029D4AC">
      <w:pPr>
        <w:rPr>
          <w:rFonts w:ascii="Times New Roman" w:eastAsia="Times New Roman" w:hAnsi="Times New Roman" w:cs="Times New Roman"/>
          <w:sz w:val="20"/>
          <w:szCs w:val="20"/>
        </w:rPr>
      </w:pPr>
      <w:r w:rsidRPr="00867BCF">
        <w:rPr>
          <w:rFonts w:ascii="Times New Roman" w:eastAsia="Times New Roman" w:hAnsi="Times New Roman" w:cs="Times New Roman"/>
          <w:sz w:val="20"/>
          <w:szCs w:val="20"/>
          <w:lang w:val="lv"/>
        </w:rPr>
        <w:t>I. Ciukša, 66016725</w:t>
      </w:r>
    </w:p>
    <w:p w14:paraId="48FE0E33" w14:textId="2D297D9A" w:rsidR="2029D4AC" w:rsidRPr="00867BCF" w:rsidRDefault="00FD41E2" w:rsidP="2029D4AC">
      <w:pPr>
        <w:rPr>
          <w:rFonts w:ascii="Times New Roman" w:eastAsia="Times New Roman" w:hAnsi="Times New Roman" w:cs="Times New Roman"/>
          <w:sz w:val="20"/>
          <w:szCs w:val="20"/>
        </w:rPr>
      </w:pPr>
      <w:hyperlink r:id="rId44">
        <w:r w:rsidR="2029D4AC" w:rsidRPr="00867BCF">
          <w:rPr>
            <w:rStyle w:val="Hyperlink"/>
            <w:rFonts w:ascii="Times New Roman" w:eastAsia="Times New Roman" w:hAnsi="Times New Roman" w:cs="Times New Roman"/>
            <w:color w:val="0000FF"/>
            <w:sz w:val="20"/>
            <w:szCs w:val="20"/>
            <w:lang w:val="lv"/>
          </w:rPr>
          <w:t>indra.ciuksa@varam.gov.lv</w:t>
        </w:r>
      </w:hyperlink>
    </w:p>
    <w:p w14:paraId="7829970C" w14:textId="4615CF77" w:rsidR="2029D4AC" w:rsidRPr="00867BCF" w:rsidRDefault="2029D4AC" w:rsidP="2029D4AC">
      <w:pPr>
        <w:rPr>
          <w:rFonts w:ascii="Times New Roman" w:eastAsia="Times New Roman" w:hAnsi="Times New Roman" w:cs="Times New Roman"/>
          <w:sz w:val="20"/>
          <w:szCs w:val="20"/>
        </w:rPr>
      </w:pPr>
    </w:p>
    <w:p w14:paraId="6B1D4C07" w14:textId="54408B45" w:rsidR="2029D4AC" w:rsidRPr="00867BCF" w:rsidRDefault="2029D4AC" w:rsidP="2029D4AC">
      <w:pPr>
        <w:rPr>
          <w:rFonts w:ascii="Times New Roman" w:eastAsia="Times New Roman" w:hAnsi="Times New Roman" w:cs="Times New Roman"/>
          <w:sz w:val="20"/>
          <w:szCs w:val="20"/>
        </w:rPr>
      </w:pPr>
      <w:r w:rsidRPr="00867BCF">
        <w:rPr>
          <w:rFonts w:ascii="Times New Roman" w:eastAsia="Times New Roman" w:hAnsi="Times New Roman" w:cs="Times New Roman"/>
          <w:sz w:val="20"/>
          <w:szCs w:val="20"/>
          <w:lang w:val="lv"/>
        </w:rPr>
        <w:t>D. Melnalksnis, 66016768</w:t>
      </w:r>
    </w:p>
    <w:p w14:paraId="093A51C5" w14:textId="0F9616F2" w:rsidR="2029D4AC" w:rsidRDefault="00FD41E2" w:rsidP="2029D4AC">
      <w:pPr>
        <w:spacing w:line="276" w:lineRule="auto"/>
      </w:pPr>
      <w:hyperlink r:id="rId45">
        <w:r w:rsidR="2029D4AC" w:rsidRPr="00867BCF">
          <w:rPr>
            <w:rStyle w:val="Hyperlink"/>
            <w:rFonts w:ascii="Times New Roman" w:eastAsia="Times New Roman" w:hAnsi="Times New Roman" w:cs="Times New Roman"/>
            <w:color w:val="0000FF"/>
            <w:sz w:val="20"/>
            <w:szCs w:val="20"/>
            <w:lang w:val="lv"/>
          </w:rPr>
          <w:t>davis.melnalksnis@varam.gov.lv</w:t>
        </w:r>
      </w:hyperlink>
    </w:p>
    <w:sectPr w:rsidR="2029D4AC" w:rsidSect="00A32DD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86BF6" w14:textId="77777777" w:rsidR="00FD41E2" w:rsidRDefault="00FD41E2" w:rsidP="00416DF2">
      <w:r>
        <w:separator/>
      </w:r>
    </w:p>
  </w:endnote>
  <w:endnote w:type="continuationSeparator" w:id="0">
    <w:p w14:paraId="0FED8748" w14:textId="77777777" w:rsidR="00FD41E2" w:rsidRDefault="00FD41E2" w:rsidP="00416DF2">
      <w:r>
        <w:continuationSeparator/>
      </w:r>
    </w:p>
  </w:endnote>
  <w:endnote w:type="continuationNotice" w:id="1">
    <w:p w14:paraId="08DDE413" w14:textId="77777777" w:rsidR="00FD41E2" w:rsidRDefault="00FD4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769"/>
      <w:gridCol w:w="2769"/>
      <w:gridCol w:w="2769"/>
    </w:tblGrid>
    <w:tr w:rsidR="3D9A9DCD" w14:paraId="66A90121" w14:textId="77777777" w:rsidTr="3D9A9DCD">
      <w:tc>
        <w:tcPr>
          <w:tcW w:w="2769" w:type="dxa"/>
        </w:tcPr>
        <w:p w14:paraId="79C75B49" w14:textId="4BAA15A9" w:rsidR="3D9A9DCD" w:rsidRDefault="3D9A9DCD" w:rsidP="3D9A9DCD">
          <w:pPr>
            <w:pStyle w:val="Header"/>
            <w:ind w:left="-115"/>
            <w:jc w:val="left"/>
          </w:pPr>
        </w:p>
      </w:tc>
      <w:tc>
        <w:tcPr>
          <w:tcW w:w="2769" w:type="dxa"/>
        </w:tcPr>
        <w:p w14:paraId="72C93394" w14:textId="48E9E1EA" w:rsidR="3D9A9DCD" w:rsidRDefault="3D9A9DCD" w:rsidP="3D9A9DCD">
          <w:pPr>
            <w:pStyle w:val="Header"/>
            <w:jc w:val="center"/>
          </w:pPr>
        </w:p>
      </w:tc>
      <w:tc>
        <w:tcPr>
          <w:tcW w:w="2769" w:type="dxa"/>
        </w:tcPr>
        <w:p w14:paraId="75CF88CD" w14:textId="747E6DB4" w:rsidR="3D9A9DCD" w:rsidRDefault="3D9A9DCD" w:rsidP="3D9A9DCD">
          <w:pPr>
            <w:pStyle w:val="Header"/>
            <w:ind w:right="-115"/>
            <w:jc w:val="right"/>
          </w:pPr>
        </w:p>
      </w:tc>
    </w:tr>
  </w:tbl>
  <w:sdt>
    <w:sdtPr>
      <w:rPr>
        <w:rFonts w:ascii="Times New Roman" w:hAnsi="Times New Roman" w:cs="Times New Roman"/>
        <w:sz w:val="20"/>
        <w:szCs w:val="20"/>
      </w:rPr>
      <w:id w:val="1868180641"/>
      <w:docPartObj>
        <w:docPartGallery w:val="Page Numbers (Bottom of Page)"/>
        <w:docPartUnique/>
      </w:docPartObj>
    </w:sdtPr>
    <w:sdtEndPr>
      <w:rPr>
        <w:noProof/>
        <w:sz w:val="24"/>
      </w:rPr>
    </w:sdtEndPr>
    <w:sdtContent>
      <w:p w14:paraId="31C78BE5" w14:textId="77777777" w:rsidR="003B3780" w:rsidRPr="003B3780" w:rsidRDefault="003B3780" w:rsidP="003B3780">
        <w:pPr>
          <w:pStyle w:val="Footer"/>
          <w:jc w:val="right"/>
          <w:rPr>
            <w:rFonts w:ascii="Times New Roman" w:hAnsi="Times New Roman" w:cs="Times New Roman"/>
            <w:sz w:val="24"/>
            <w:szCs w:val="20"/>
          </w:rPr>
        </w:pPr>
        <w:r w:rsidRPr="003B3780">
          <w:rPr>
            <w:rFonts w:ascii="Times New Roman" w:hAnsi="Times New Roman" w:cs="Times New Roman"/>
            <w:sz w:val="24"/>
            <w:szCs w:val="20"/>
          </w:rPr>
          <w:fldChar w:fldCharType="begin"/>
        </w:r>
        <w:r w:rsidRPr="003B3780">
          <w:rPr>
            <w:rFonts w:ascii="Times New Roman" w:hAnsi="Times New Roman" w:cs="Times New Roman"/>
            <w:sz w:val="24"/>
            <w:szCs w:val="20"/>
          </w:rPr>
          <w:instrText xml:space="preserve"> PAGE   \* MERGEFORMAT </w:instrText>
        </w:r>
        <w:r w:rsidRPr="003B3780">
          <w:rPr>
            <w:rFonts w:ascii="Times New Roman" w:hAnsi="Times New Roman" w:cs="Times New Roman"/>
            <w:sz w:val="24"/>
            <w:szCs w:val="20"/>
          </w:rPr>
          <w:fldChar w:fldCharType="separate"/>
        </w:r>
        <w:r w:rsidR="00174EF2">
          <w:rPr>
            <w:rFonts w:ascii="Times New Roman" w:hAnsi="Times New Roman" w:cs="Times New Roman"/>
            <w:noProof/>
            <w:sz w:val="24"/>
            <w:szCs w:val="20"/>
          </w:rPr>
          <w:t>2</w:t>
        </w:r>
        <w:r w:rsidRPr="003B3780">
          <w:rPr>
            <w:rFonts w:ascii="Times New Roman" w:hAnsi="Times New Roman" w:cs="Times New Roman"/>
            <w:noProof/>
            <w:sz w:val="24"/>
            <w:szCs w:val="20"/>
          </w:rPr>
          <w:fldChar w:fldCharType="end"/>
        </w:r>
      </w:p>
    </w:sdtContent>
  </w:sdt>
  <w:p w14:paraId="791592E6" w14:textId="2B1B2837" w:rsidR="3D9A9DCD" w:rsidRPr="003B3780" w:rsidRDefault="003B3780" w:rsidP="3D9A9DCD">
    <w:pPr>
      <w:pStyle w:val="Footer"/>
      <w:rPr>
        <w:rFonts w:ascii="Times New Roman" w:hAnsi="Times New Roman" w:cs="Times New Roman"/>
        <w:sz w:val="20"/>
        <w:szCs w:val="20"/>
      </w:rPr>
    </w:pPr>
    <w:r>
      <w:rPr>
        <w:rFonts w:ascii="Times New Roman" w:hAnsi="Times New Roman" w:cs="Times New Roman"/>
        <w:sz w:val="20"/>
        <w:szCs w:val="20"/>
      </w:rPr>
      <w:t>VARAMPiel_1</w:t>
    </w:r>
    <w:r w:rsidRPr="003B3780">
      <w:rPr>
        <w:rFonts w:ascii="Times New Roman" w:hAnsi="Times New Roman" w:cs="Times New Roman"/>
        <w:sz w:val="20"/>
        <w:szCs w:val="20"/>
      </w:rPr>
      <w:t>_</w:t>
    </w:r>
    <w:r w:rsidR="00BA0FF8">
      <w:rPr>
        <w:rFonts w:ascii="Times New Roman" w:hAnsi="Times New Roman" w:cs="Times New Roman"/>
        <w:sz w:val="20"/>
        <w:szCs w:val="20"/>
      </w:rPr>
      <w:t>0611</w:t>
    </w:r>
    <w:r w:rsidRPr="003B3780">
      <w:rPr>
        <w:rFonts w:ascii="Times New Roman" w:hAnsi="Times New Roman" w:cs="Times New Roman"/>
        <w:sz w:val="20"/>
        <w:szCs w:val="20"/>
      </w:rPr>
      <w:t>19</w:t>
    </w:r>
    <w:r>
      <w:rPr>
        <w:rFonts w:ascii="Times New Roman" w:hAnsi="Times New Roman" w:cs="Times New Roman"/>
        <w:sz w:val="20"/>
        <w:szCs w:val="20"/>
      </w:rPr>
      <w:t>_pamn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769"/>
      <w:gridCol w:w="2769"/>
      <w:gridCol w:w="2769"/>
    </w:tblGrid>
    <w:tr w:rsidR="3D9A9DCD" w14:paraId="243A328C" w14:textId="77777777" w:rsidTr="3D9A9DCD">
      <w:tc>
        <w:tcPr>
          <w:tcW w:w="2769" w:type="dxa"/>
        </w:tcPr>
        <w:p w14:paraId="01BC1D65" w14:textId="66B61686" w:rsidR="3D9A9DCD" w:rsidRDefault="3D9A9DCD" w:rsidP="3D9A9DCD">
          <w:pPr>
            <w:pStyle w:val="Header"/>
            <w:ind w:left="-115"/>
            <w:jc w:val="left"/>
          </w:pPr>
        </w:p>
      </w:tc>
      <w:tc>
        <w:tcPr>
          <w:tcW w:w="2769" w:type="dxa"/>
        </w:tcPr>
        <w:p w14:paraId="17CA27D7" w14:textId="12F3CB3F" w:rsidR="3D9A9DCD" w:rsidRDefault="3D9A9DCD" w:rsidP="3D9A9DCD">
          <w:pPr>
            <w:pStyle w:val="Header"/>
            <w:jc w:val="center"/>
          </w:pPr>
        </w:p>
      </w:tc>
      <w:tc>
        <w:tcPr>
          <w:tcW w:w="2769" w:type="dxa"/>
        </w:tcPr>
        <w:p w14:paraId="65B522C6" w14:textId="297510B2" w:rsidR="3D9A9DCD" w:rsidRDefault="3D9A9DCD" w:rsidP="3D9A9DCD">
          <w:pPr>
            <w:pStyle w:val="Header"/>
            <w:ind w:right="-115"/>
            <w:jc w:val="right"/>
          </w:pPr>
        </w:p>
      </w:tc>
    </w:tr>
  </w:tbl>
  <w:p w14:paraId="34CFC3D0" w14:textId="4C0F3B05" w:rsidR="3D9A9DCD" w:rsidRDefault="3D9A9DCD" w:rsidP="3D9A9D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776984"/>
      <w:docPartObj>
        <w:docPartGallery w:val="Page Numbers (Bottom of Page)"/>
        <w:docPartUnique/>
      </w:docPartObj>
    </w:sdtPr>
    <w:sdtEndPr>
      <w:rPr>
        <w:rFonts w:ascii="Times New Roman" w:hAnsi="Times New Roman" w:cs="Times New Roman"/>
        <w:noProof/>
        <w:sz w:val="24"/>
        <w:szCs w:val="24"/>
      </w:rPr>
    </w:sdtEndPr>
    <w:sdtContent>
      <w:p w14:paraId="35B6FF96" w14:textId="3DFC222E" w:rsidR="00D725A8" w:rsidRPr="00D725A8" w:rsidRDefault="00D725A8">
        <w:pPr>
          <w:pStyle w:val="Footer"/>
          <w:jc w:val="right"/>
          <w:rPr>
            <w:rFonts w:ascii="Times New Roman" w:hAnsi="Times New Roman" w:cs="Times New Roman"/>
            <w:sz w:val="24"/>
            <w:szCs w:val="24"/>
          </w:rPr>
        </w:pPr>
        <w:r w:rsidRPr="00D725A8">
          <w:rPr>
            <w:rFonts w:ascii="Times New Roman" w:hAnsi="Times New Roman" w:cs="Times New Roman"/>
            <w:sz w:val="24"/>
            <w:szCs w:val="24"/>
          </w:rPr>
          <w:fldChar w:fldCharType="begin"/>
        </w:r>
        <w:r w:rsidRPr="00D725A8">
          <w:rPr>
            <w:rFonts w:ascii="Times New Roman" w:hAnsi="Times New Roman" w:cs="Times New Roman"/>
            <w:sz w:val="24"/>
            <w:szCs w:val="24"/>
          </w:rPr>
          <w:instrText xml:space="preserve"> PAGE   \* MERGEFORMAT </w:instrText>
        </w:r>
        <w:r w:rsidRPr="00D725A8">
          <w:rPr>
            <w:rFonts w:ascii="Times New Roman" w:hAnsi="Times New Roman" w:cs="Times New Roman"/>
            <w:sz w:val="24"/>
            <w:szCs w:val="24"/>
          </w:rPr>
          <w:fldChar w:fldCharType="separate"/>
        </w:r>
        <w:r w:rsidR="00174EF2">
          <w:rPr>
            <w:rFonts w:ascii="Times New Roman" w:hAnsi="Times New Roman" w:cs="Times New Roman"/>
            <w:noProof/>
            <w:sz w:val="24"/>
            <w:szCs w:val="24"/>
          </w:rPr>
          <w:t>21</w:t>
        </w:r>
        <w:r w:rsidRPr="00D725A8">
          <w:rPr>
            <w:rFonts w:ascii="Times New Roman" w:hAnsi="Times New Roman" w:cs="Times New Roman"/>
            <w:noProof/>
            <w:sz w:val="24"/>
            <w:szCs w:val="24"/>
          </w:rPr>
          <w:fldChar w:fldCharType="end"/>
        </w:r>
      </w:p>
    </w:sdtContent>
  </w:sdt>
  <w:p w14:paraId="018D98EB" w14:textId="5457830A" w:rsidR="3D9A9DCD" w:rsidRPr="003B3780" w:rsidRDefault="00556B13" w:rsidP="3D9A9DCD">
    <w:pPr>
      <w:pStyle w:val="Footer"/>
      <w:rPr>
        <w:rFonts w:ascii="Times New Roman" w:hAnsi="Times New Roman" w:cs="Times New Roman"/>
        <w:sz w:val="20"/>
        <w:szCs w:val="20"/>
      </w:rPr>
    </w:pPr>
    <w:r>
      <w:rPr>
        <w:rFonts w:ascii="Times New Roman" w:hAnsi="Times New Roman" w:cs="Times New Roman"/>
        <w:sz w:val="20"/>
        <w:szCs w:val="20"/>
      </w:rPr>
      <w:t>VARAMPiel_1_</w:t>
    </w:r>
    <w:r w:rsidR="00BA0FF8">
      <w:rPr>
        <w:rFonts w:ascii="Times New Roman" w:hAnsi="Times New Roman" w:cs="Times New Roman"/>
        <w:sz w:val="20"/>
        <w:szCs w:val="20"/>
      </w:rPr>
      <w:t>0611</w:t>
    </w:r>
    <w:r w:rsidR="00D725A8">
      <w:rPr>
        <w:rFonts w:ascii="Times New Roman" w:hAnsi="Times New Roman" w:cs="Times New Roman"/>
        <w:sz w:val="20"/>
        <w:szCs w:val="20"/>
      </w:rPr>
      <w:t>19_pamn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0A8D3" w14:textId="77777777" w:rsidR="00FD41E2" w:rsidRDefault="00FD41E2" w:rsidP="00416DF2">
      <w:r>
        <w:separator/>
      </w:r>
    </w:p>
  </w:footnote>
  <w:footnote w:type="continuationSeparator" w:id="0">
    <w:p w14:paraId="5C6EF965" w14:textId="77777777" w:rsidR="00FD41E2" w:rsidRDefault="00FD41E2" w:rsidP="00416DF2">
      <w:r>
        <w:continuationSeparator/>
      </w:r>
    </w:p>
  </w:footnote>
  <w:footnote w:type="continuationNotice" w:id="1">
    <w:p w14:paraId="6342C4BB" w14:textId="77777777" w:rsidR="00FD41E2" w:rsidRDefault="00FD41E2"/>
  </w:footnote>
  <w:footnote w:id="2">
    <w:p w14:paraId="6020D934" w14:textId="77777777" w:rsidR="00402CE5" w:rsidRPr="00E90762" w:rsidRDefault="00402CE5" w:rsidP="00402CE5">
      <w:pPr>
        <w:pStyle w:val="FootnoteText"/>
        <w:rPr>
          <w:rFonts w:ascii="Times New Roman" w:hAnsi="Times New Roman" w:cs="Times New Roman"/>
        </w:rPr>
      </w:pPr>
      <w:r w:rsidRPr="00E90762">
        <w:rPr>
          <w:rStyle w:val="FootnoteReference"/>
          <w:rFonts w:ascii="Times New Roman" w:hAnsi="Times New Roman" w:cs="Times New Roman"/>
        </w:rPr>
        <w:footnoteRef/>
      </w:r>
      <w:r w:rsidRPr="00E90762">
        <w:rPr>
          <w:rFonts w:ascii="Times New Roman" w:hAnsi="Times New Roman" w:cs="Times New Roman"/>
        </w:rPr>
        <w:t xml:space="preserve"> OECD (2018). OECD </w:t>
      </w:r>
      <w:proofErr w:type="spellStart"/>
      <w:r w:rsidRPr="00E90762">
        <w:rPr>
          <w:rFonts w:ascii="Times New Roman" w:hAnsi="Times New Roman" w:cs="Times New Roman"/>
        </w:rPr>
        <w:t>Regions</w:t>
      </w:r>
      <w:proofErr w:type="spellEnd"/>
      <w:r w:rsidRPr="00E90762">
        <w:rPr>
          <w:rFonts w:ascii="Times New Roman" w:hAnsi="Times New Roman" w:cs="Times New Roman"/>
        </w:rPr>
        <w:t xml:space="preserve"> </w:t>
      </w:r>
      <w:proofErr w:type="spellStart"/>
      <w:r w:rsidRPr="00E90762">
        <w:rPr>
          <w:rFonts w:ascii="Times New Roman" w:hAnsi="Times New Roman" w:cs="Times New Roman"/>
        </w:rPr>
        <w:t>and</w:t>
      </w:r>
      <w:proofErr w:type="spellEnd"/>
      <w:r w:rsidRPr="00E90762">
        <w:rPr>
          <w:rFonts w:ascii="Times New Roman" w:hAnsi="Times New Roman" w:cs="Times New Roman"/>
        </w:rPr>
        <w:t xml:space="preserve"> </w:t>
      </w:r>
      <w:proofErr w:type="spellStart"/>
      <w:r w:rsidRPr="00E90762">
        <w:rPr>
          <w:rFonts w:ascii="Times New Roman" w:hAnsi="Times New Roman" w:cs="Times New Roman"/>
        </w:rPr>
        <w:t>Cities</w:t>
      </w:r>
      <w:proofErr w:type="spellEnd"/>
      <w:r w:rsidRPr="00E90762">
        <w:rPr>
          <w:rFonts w:ascii="Times New Roman" w:hAnsi="Times New Roman" w:cs="Times New Roman"/>
        </w:rPr>
        <w:t xml:space="preserve"> </w:t>
      </w:r>
      <w:proofErr w:type="spellStart"/>
      <w:r w:rsidRPr="00E90762">
        <w:rPr>
          <w:rFonts w:ascii="Times New Roman" w:hAnsi="Times New Roman" w:cs="Times New Roman"/>
        </w:rPr>
        <w:t>at</w:t>
      </w:r>
      <w:proofErr w:type="spellEnd"/>
      <w:r w:rsidRPr="00E90762">
        <w:rPr>
          <w:rFonts w:ascii="Times New Roman" w:hAnsi="Times New Roman" w:cs="Times New Roman"/>
        </w:rPr>
        <w:t xml:space="preserve"> a </w:t>
      </w:r>
      <w:proofErr w:type="spellStart"/>
      <w:r w:rsidRPr="00E90762">
        <w:rPr>
          <w:rFonts w:ascii="Times New Roman" w:hAnsi="Times New Roman" w:cs="Times New Roman"/>
        </w:rPr>
        <w:t>Glance</w:t>
      </w:r>
      <w:proofErr w:type="spellEnd"/>
      <w:r w:rsidRPr="00E90762">
        <w:rPr>
          <w:rFonts w:ascii="Times New Roman" w:hAnsi="Times New Roman" w:cs="Times New Roman"/>
        </w:rPr>
        <w:t xml:space="preserve"> 2018, pp.114.</w:t>
      </w:r>
    </w:p>
  </w:footnote>
  <w:footnote w:id="3">
    <w:p w14:paraId="673993BA" w14:textId="77777777" w:rsidR="00402CE5" w:rsidRPr="00E90762" w:rsidRDefault="00402CE5" w:rsidP="00402CE5">
      <w:pPr>
        <w:pStyle w:val="FootnoteText"/>
        <w:rPr>
          <w:rFonts w:ascii="Times New Roman" w:hAnsi="Times New Roman" w:cs="Times New Roman"/>
        </w:rPr>
      </w:pPr>
      <w:r w:rsidRPr="00E90762">
        <w:rPr>
          <w:rStyle w:val="FootnoteReference"/>
          <w:rFonts w:ascii="Times New Roman" w:hAnsi="Times New Roman" w:cs="Times New Roman"/>
        </w:rPr>
        <w:footnoteRef/>
      </w:r>
      <w:r w:rsidRPr="00E90762">
        <w:rPr>
          <w:rFonts w:ascii="Times New Roman" w:hAnsi="Times New Roman" w:cs="Times New Roman"/>
        </w:rPr>
        <w:t xml:space="preserve"> CSP. ISG020. Iedzīvotāju skaits un tā izmaiņas statistiskajos reģionos, republikas pilsētās, novadu pilsētās un novados. Pieejams: https://data1.csb.gov.lv/pxweb/lv/iedz/iedz__iedzskaits__ikgad/ISG020.px/table/tableViewLayout1/?rxid=e95c167f-85dd-4d2c-9b01-4e1188a34492.</w:t>
      </w:r>
    </w:p>
  </w:footnote>
  <w:footnote w:id="4">
    <w:p w14:paraId="26E53FBB" w14:textId="77777777" w:rsidR="00402CE5" w:rsidRPr="00E90762" w:rsidRDefault="00402CE5" w:rsidP="00402CE5">
      <w:pPr>
        <w:pStyle w:val="FootnoteText"/>
        <w:rPr>
          <w:rFonts w:ascii="Times New Roman" w:hAnsi="Times New Roman" w:cs="Times New Roman"/>
        </w:rPr>
      </w:pPr>
      <w:r w:rsidRPr="00E90762">
        <w:rPr>
          <w:rStyle w:val="FootnoteReference"/>
          <w:rFonts w:ascii="Times New Roman" w:hAnsi="Times New Roman" w:cs="Times New Roman"/>
        </w:rPr>
        <w:footnoteRef/>
      </w:r>
      <w:r w:rsidRPr="00E90762">
        <w:rPr>
          <w:rFonts w:ascii="Times New Roman" w:hAnsi="Times New Roman" w:cs="Times New Roman"/>
        </w:rPr>
        <w:t xml:space="preserve"> CSP. IKG10_110. Iekšzemes kopprodukts statistiskajos reģionos un republikas pilsētās (faktiskajās cenās). Pieejams: https://data1.csb.gov.lv/pxweb/lv/ekfin/ekfin__ikp__reg/IKG10_110.px/table/tableViewLayout1/?rxid=82d915a2-87ce-4635-a75c-42c03343be8c.</w:t>
      </w:r>
    </w:p>
  </w:footnote>
  <w:footnote w:id="5">
    <w:p w14:paraId="43CAB7C2" w14:textId="77777777" w:rsidR="00402CE5" w:rsidRDefault="00402CE5" w:rsidP="00402CE5">
      <w:pPr>
        <w:pStyle w:val="FootnoteText"/>
      </w:pPr>
      <w:r w:rsidRPr="00E90762">
        <w:rPr>
          <w:rStyle w:val="FootnoteReference"/>
          <w:rFonts w:ascii="Times New Roman" w:hAnsi="Times New Roman" w:cs="Times New Roman"/>
        </w:rPr>
        <w:footnoteRef/>
      </w:r>
      <w:r w:rsidRPr="00E90762">
        <w:rPr>
          <w:rFonts w:ascii="Times New Roman" w:hAnsi="Times New Roman" w:cs="Times New Roman"/>
        </w:rPr>
        <w:t xml:space="preserve"> OECD (2018). OECD </w:t>
      </w:r>
      <w:proofErr w:type="spellStart"/>
      <w:r w:rsidRPr="00E90762">
        <w:rPr>
          <w:rFonts w:ascii="Times New Roman" w:hAnsi="Times New Roman" w:cs="Times New Roman"/>
        </w:rPr>
        <w:t>Regions</w:t>
      </w:r>
      <w:proofErr w:type="spellEnd"/>
      <w:r w:rsidRPr="00E90762">
        <w:rPr>
          <w:rFonts w:ascii="Times New Roman" w:hAnsi="Times New Roman" w:cs="Times New Roman"/>
        </w:rPr>
        <w:t xml:space="preserve"> </w:t>
      </w:r>
      <w:proofErr w:type="spellStart"/>
      <w:r w:rsidRPr="00E90762">
        <w:rPr>
          <w:rFonts w:ascii="Times New Roman" w:hAnsi="Times New Roman" w:cs="Times New Roman"/>
        </w:rPr>
        <w:t>and</w:t>
      </w:r>
      <w:proofErr w:type="spellEnd"/>
      <w:r w:rsidRPr="00E90762">
        <w:rPr>
          <w:rFonts w:ascii="Times New Roman" w:hAnsi="Times New Roman" w:cs="Times New Roman"/>
        </w:rPr>
        <w:t xml:space="preserve"> </w:t>
      </w:r>
      <w:proofErr w:type="spellStart"/>
      <w:r w:rsidRPr="00E90762">
        <w:rPr>
          <w:rFonts w:ascii="Times New Roman" w:hAnsi="Times New Roman" w:cs="Times New Roman"/>
        </w:rPr>
        <w:t>Cities</w:t>
      </w:r>
      <w:proofErr w:type="spellEnd"/>
      <w:r w:rsidRPr="00E90762">
        <w:rPr>
          <w:rFonts w:ascii="Times New Roman" w:hAnsi="Times New Roman" w:cs="Times New Roman"/>
        </w:rPr>
        <w:t xml:space="preserve"> </w:t>
      </w:r>
      <w:proofErr w:type="spellStart"/>
      <w:r w:rsidRPr="00E90762">
        <w:rPr>
          <w:rFonts w:ascii="Times New Roman" w:hAnsi="Times New Roman" w:cs="Times New Roman"/>
        </w:rPr>
        <w:t>at</w:t>
      </w:r>
      <w:proofErr w:type="spellEnd"/>
      <w:r w:rsidRPr="00E90762">
        <w:rPr>
          <w:rFonts w:ascii="Times New Roman" w:hAnsi="Times New Roman" w:cs="Times New Roman"/>
        </w:rPr>
        <w:t xml:space="preserve"> a </w:t>
      </w:r>
      <w:proofErr w:type="spellStart"/>
      <w:r w:rsidRPr="00E90762">
        <w:rPr>
          <w:rFonts w:ascii="Times New Roman" w:hAnsi="Times New Roman" w:cs="Times New Roman"/>
        </w:rPr>
        <w:t>Glance</w:t>
      </w:r>
      <w:proofErr w:type="spellEnd"/>
      <w:r w:rsidRPr="00E90762">
        <w:rPr>
          <w:rFonts w:ascii="Times New Roman" w:hAnsi="Times New Roman" w:cs="Times New Roman"/>
        </w:rPr>
        <w:t xml:space="preserve"> 2018, pp.42.</w:t>
      </w:r>
    </w:p>
  </w:footnote>
  <w:footnote w:id="6">
    <w:p w14:paraId="52F86A9D" w14:textId="10C61A0F" w:rsidR="00402CE5" w:rsidRPr="00E361F3" w:rsidRDefault="00402CE5" w:rsidP="00402CE5">
      <w:pPr>
        <w:pStyle w:val="FootnoteText"/>
        <w:rPr>
          <w:rFonts w:ascii="Times New Roman" w:hAnsi="Times New Roman" w:cs="Times New Roman"/>
        </w:rPr>
      </w:pPr>
      <w:r w:rsidRPr="00E361F3">
        <w:rPr>
          <w:rStyle w:val="FootnoteReference"/>
          <w:rFonts w:ascii="Times New Roman" w:hAnsi="Times New Roman" w:cs="Times New Roman"/>
        </w:rPr>
        <w:footnoteRef/>
      </w:r>
      <w:r w:rsidRPr="00E361F3">
        <w:rPr>
          <w:rFonts w:ascii="Times New Roman" w:hAnsi="Times New Roman" w:cs="Times New Roman"/>
        </w:rPr>
        <w:t xml:space="preserve"> CSP. SRG010. Ekonomiski aktīvi uzņēmumi statistiskajos reģionos, republikas pilsētās un novados. Pieejams: </w:t>
      </w:r>
      <w:hyperlink r:id="rId1" w:history="1">
        <w:r w:rsidR="00CD70B2" w:rsidRPr="00E55BA3">
          <w:rPr>
            <w:rStyle w:val="Hyperlink"/>
            <w:rFonts w:ascii="Times New Roman" w:hAnsi="Times New Roman" w:cs="Times New Roman"/>
          </w:rPr>
          <w:t>https://data1.csb.gov.lv/pxweb/lv/uzn/uzn__01_skaits/SRG010.px/table/tableViewLayout1/?rxid=3513f222-8e01-429e-a509-fd5046b7dcf6</w:t>
        </w:r>
      </w:hyperlink>
      <w:r w:rsidR="00CD70B2">
        <w:rPr>
          <w:rFonts w:ascii="Times New Roman" w:hAnsi="Times New Roman" w:cs="Times New Roman"/>
        </w:rPr>
        <w:t xml:space="preserve"> </w:t>
      </w:r>
    </w:p>
  </w:footnote>
  <w:footnote w:id="7">
    <w:p w14:paraId="3E756735" w14:textId="1DC28726" w:rsidR="00914CDB" w:rsidRPr="00F21308" w:rsidRDefault="00914CDB" w:rsidP="3D9A9DCD">
      <w:pPr>
        <w:pStyle w:val="FootnoteText"/>
        <w:rPr>
          <w:rFonts w:ascii="Times New Roman" w:eastAsia="Times New Roman" w:hAnsi="Times New Roman" w:cs="Times New Roman"/>
        </w:rPr>
      </w:pPr>
      <w:r w:rsidRPr="3D9A9DCD">
        <w:rPr>
          <w:rStyle w:val="FootnoteReference"/>
          <w:rFonts w:ascii="Times New Roman" w:eastAsia="Times New Roman" w:hAnsi="Times New Roman" w:cs="Times New Roman"/>
        </w:rPr>
        <w:footnoteRef/>
      </w:r>
      <w:r w:rsidRPr="3D9A9DCD">
        <w:rPr>
          <w:rFonts w:ascii="Times New Roman" w:eastAsia="Times New Roman" w:hAnsi="Times New Roman" w:cs="Times New Roman"/>
        </w:rPr>
        <w:t xml:space="preserve"> </w:t>
      </w:r>
      <w:r w:rsidR="3D9A9DCD" w:rsidRPr="3D9A9DCD">
        <w:rPr>
          <w:rFonts w:ascii="Times New Roman" w:eastAsia="Times New Roman" w:hAnsi="Times New Roman" w:cs="Times New Roman"/>
        </w:rPr>
        <w:t>Reģionālās attīstības indikatoru moduļa</w:t>
      </w:r>
      <w:r w:rsidR="00900FE5" w:rsidRPr="3D9A9DCD">
        <w:rPr>
          <w:rFonts w:ascii="Times New Roman" w:eastAsia="Times New Roman" w:hAnsi="Times New Roman" w:cs="Times New Roman"/>
        </w:rPr>
        <w:t xml:space="preserve"> (RAIM) dati.</w:t>
      </w:r>
    </w:p>
  </w:footnote>
  <w:footnote w:id="8">
    <w:p w14:paraId="3905345F" w14:textId="3172C49E" w:rsidR="00914CDB" w:rsidRPr="00F21308" w:rsidRDefault="00914CDB" w:rsidP="00914CDB">
      <w:pPr>
        <w:pStyle w:val="FootnoteText"/>
        <w:rPr>
          <w:rFonts w:ascii="Times New Roman" w:hAnsi="Times New Roman" w:cs="Times New Roman"/>
        </w:rPr>
      </w:pPr>
      <w:r w:rsidRPr="00F21308">
        <w:rPr>
          <w:rStyle w:val="FootnoteReference"/>
          <w:rFonts w:ascii="Times New Roman" w:hAnsi="Times New Roman" w:cs="Times New Roman"/>
        </w:rPr>
        <w:footnoteRef/>
      </w:r>
      <w:r w:rsidRPr="00F21308">
        <w:rPr>
          <w:rFonts w:ascii="Times New Roman" w:hAnsi="Times New Roman" w:cs="Times New Roman"/>
        </w:rPr>
        <w:t xml:space="preserve"> </w:t>
      </w:r>
      <w:r w:rsidR="00A854EB">
        <w:rPr>
          <w:rFonts w:ascii="Times New Roman" w:hAnsi="Times New Roman" w:cs="Times New Roman"/>
        </w:rPr>
        <w:t>VARAM</w:t>
      </w:r>
      <w:r w:rsidRPr="00F21308">
        <w:rPr>
          <w:rFonts w:ascii="Times New Roman" w:hAnsi="Times New Roman" w:cs="Times New Roman"/>
        </w:rPr>
        <w:t xml:space="preserve"> aprēķins, izmantojot CSP datus.</w:t>
      </w:r>
    </w:p>
  </w:footnote>
  <w:footnote w:id="9">
    <w:p w14:paraId="5E854322" w14:textId="432E820B" w:rsidR="0086382D" w:rsidRPr="00F21308" w:rsidRDefault="0086382D" w:rsidP="0086382D">
      <w:pPr>
        <w:pStyle w:val="FootnoteText"/>
        <w:rPr>
          <w:rFonts w:ascii="Times New Roman" w:hAnsi="Times New Roman" w:cs="Times New Roman"/>
        </w:rPr>
      </w:pPr>
      <w:r w:rsidRPr="00F21308">
        <w:rPr>
          <w:rStyle w:val="FootnoteReference"/>
          <w:rFonts w:ascii="Times New Roman" w:hAnsi="Times New Roman" w:cs="Times New Roman"/>
        </w:rPr>
        <w:footnoteRef/>
      </w:r>
      <w:r w:rsidRPr="00F21308">
        <w:rPr>
          <w:rFonts w:ascii="Times New Roman" w:hAnsi="Times New Roman" w:cs="Times New Roman"/>
        </w:rPr>
        <w:t xml:space="preserve"> </w:t>
      </w:r>
      <w:r w:rsidR="00A854EB">
        <w:rPr>
          <w:rFonts w:ascii="Times New Roman" w:hAnsi="Times New Roman" w:cs="Times New Roman"/>
        </w:rPr>
        <w:t>VARAM</w:t>
      </w:r>
      <w:r w:rsidRPr="00F21308">
        <w:rPr>
          <w:rFonts w:ascii="Times New Roman" w:hAnsi="Times New Roman" w:cs="Times New Roman"/>
        </w:rPr>
        <w:t xml:space="preserve"> aprēķins, izmantojot CSP datus.</w:t>
      </w:r>
    </w:p>
  </w:footnote>
  <w:footnote w:id="10">
    <w:p w14:paraId="396D4FEF" w14:textId="77777777" w:rsidR="0086382D" w:rsidRPr="0086382D" w:rsidRDefault="0086382D" w:rsidP="0086382D">
      <w:pPr>
        <w:pStyle w:val="FootnoteText"/>
        <w:rPr>
          <w:rFonts w:ascii="Times New Roman" w:hAnsi="Times New Roman" w:cs="Times New Roman"/>
        </w:rPr>
      </w:pPr>
      <w:r w:rsidRPr="0086382D">
        <w:rPr>
          <w:rStyle w:val="FootnoteReference"/>
          <w:rFonts w:ascii="Times New Roman" w:hAnsi="Times New Roman" w:cs="Times New Roman"/>
        </w:rPr>
        <w:footnoteRef/>
      </w:r>
      <w:r w:rsidRPr="0086382D">
        <w:rPr>
          <w:rFonts w:ascii="Times New Roman" w:hAnsi="Times New Roman" w:cs="Times New Roman"/>
        </w:rPr>
        <w:t xml:space="preserve"> RAIM dati.</w:t>
      </w:r>
    </w:p>
  </w:footnote>
  <w:footnote w:id="11">
    <w:p w14:paraId="5608A660" w14:textId="77777777" w:rsidR="007A7ACF" w:rsidRPr="00F21308" w:rsidRDefault="007A7ACF" w:rsidP="007A7ACF">
      <w:pPr>
        <w:pStyle w:val="FootnoteText"/>
        <w:rPr>
          <w:rFonts w:ascii="Times New Roman" w:hAnsi="Times New Roman" w:cs="Times New Roman"/>
        </w:rPr>
      </w:pPr>
      <w:r w:rsidRPr="00F21308">
        <w:rPr>
          <w:rStyle w:val="FootnoteReference"/>
          <w:rFonts w:ascii="Times New Roman" w:hAnsi="Times New Roman" w:cs="Times New Roman"/>
        </w:rPr>
        <w:footnoteRef/>
      </w:r>
      <w:r w:rsidRPr="00F21308">
        <w:rPr>
          <w:rFonts w:ascii="Times New Roman" w:hAnsi="Times New Roman" w:cs="Times New Roman"/>
        </w:rPr>
        <w:t xml:space="preserve"> CSP. IVG040. Nefinanšu investīcijas statistiskajos reģionos (2017. gada salīdzināmajās cenās; milj. </w:t>
      </w:r>
      <w:proofErr w:type="spellStart"/>
      <w:r w:rsidRPr="00F506E1">
        <w:rPr>
          <w:rFonts w:ascii="Times New Roman" w:hAnsi="Times New Roman" w:cs="Times New Roman"/>
          <w:i/>
        </w:rPr>
        <w:t>euro</w:t>
      </w:r>
      <w:proofErr w:type="spellEnd"/>
      <w:r w:rsidRPr="00F21308">
        <w:rPr>
          <w:rFonts w:ascii="Times New Roman" w:hAnsi="Times New Roman" w:cs="Times New Roman"/>
        </w:rPr>
        <w:t>). Pieejams: https://data1.csb.gov.lv/pxweb/lv/ekfin/ekfin__invest__ikgad/IVG040.px/table/tableViewLayout1/?rxid=8a6487c7-e6b3-4532-b7b5-de6f9eaa42af.</w:t>
      </w:r>
    </w:p>
  </w:footnote>
  <w:footnote w:id="12">
    <w:p w14:paraId="24E38D0A" w14:textId="77777777" w:rsidR="007A7ACF" w:rsidRPr="00F21308" w:rsidRDefault="007A7ACF" w:rsidP="007A7ACF">
      <w:pPr>
        <w:pStyle w:val="FootnoteText"/>
        <w:rPr>
          <w:rFonts w:ascii="Times New Roman" w:hAnsi="Times New Roman" w:cs="Times New Roman"/>
        </w:rPr>
      </w:pPr>
      <w:r w:rsidRPr="00F21308">
        <w:rPr>
          <w:rStyle w:val="FootnoteReference"/>
          <w:rFonts w:ascii="Times New Roman" w:hAnsi="Times New Roman" w:cs="Times New Roman"/>
        </w:rPr>
        <w:footnoteRef/>
      </w:r>
      <w:r w:rsidRPr="00F21308">
        <w:rPr>
          <w:rFonts w:ascii="Times New Roman" w:hAnsi="Times New Roman" w:cs="Times New Roman"/>
        </w:rPr>
        <w:t xml:space="preserve"> OECD (2018) OECD </w:t>
      </w:r>
      <w:proofErr w:type="spellStart"/>
      <w:r w:rsidRPr="00F21308">
        <w:rPr>
          <w:rFonts w:ascii="Times New Roman" w:hAnsi="Times New Roman" w:cs="Times New Roman"/>
        </w:rPr>
        <w:t>Regions</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and</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Cities</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at</w:t>
      </w:r>
      <w:proofErr w:type="spellEnd"/>
      <w:r w:rsidRPr="00F21308">
        <w:rPr>
          <w:rFonts w:ascii="Times New Roman" w:hAnsi="Times New Roman" w:cs="Times New Roman"/>
        </w:rPr>
        <w:t xml:space="preserve"> a </w:t>
      </w:r>
      <w:proofErr w:type="spellStart"/>
      <w:r w:rsidRPr="00F21308">
        <w:rPr>
          <w:rFonts w:ascii="Times New Roman" w:hAnsi="Times New Roman" w:cs="Times New Roman"/>
        </w:rPr>
        <w:t>Glance</w:t>
      </w:r>
      <w:proofErr w:type="spellEnd"/>
      <w:r w:rsidRPr="00F21308">
        <w:rPr>
          <w:rFonts w:ascii="Times New Roman" w:hAnsi="Times New Roman" w:cs="Times New Roman"/>
        </w:rPr>
        <w:t xml:space="preserve"> 2018, pp.10.</w:t>
      </w:r>
    </w:p>
  </w:footnote>
  <w:footnote w:id="13">
    <w:p w14:paraId="48A67C25" w14:textId="77777777" w:rsidR="007A7ACF" w:rsidRPr="000C2523" w:rsidRDefault="007A7ACF" w:rsidP="007A7ACF">
      <w:pPr>
        <w:pStyle w:val="FootnoteText"/>
        <w:rPr>
          <w:rFonts w:ascii="Times New Roman" w:hAnsi="Times New Roman" w:cs="Times New Roman"/>
        </w:rPr>
      </w:pPr>
      <w:r w:rsidRPr="00F21308">
        <w:rPr>
          <w:rStyle w:val="FootnoteReference"/>
          <w:rFonts w:ascii="Times New Roman" w:hAnsi="Times New Roman" w:cs="Times New Roman"/>
        </w:rPr>
        <w:footnoteRef/>
      </w:r>
      <w:r w:rsidRPr="00F21308">
        <w:rPr>
          <w:rFonts w:ascii="Times New Roman" w:hAnsi="Times New Roman" w:cs="Times New Roman"/>
        </w:rPr>
        <w:t xml:space="preserve"> CSP. DSG050. Strādājošo mēneša vidējā darba samaksa statistiskajos reģionos (</w:t>
      </w:r>
      <w:proofErr w:type="spellStart"/>
      <w:r w:rsidRPr="00F506E1">
        <w:rPr>
          <w:rFonts w:ascii="Times New Roman" w:hAnsi="Times New Roman" w:cs="Times New Roman"/>
          <w:i/>
        </w:rPr>
        <w:t>euro</w:t>
      </w:r>
      <w:proofErr w:type="spellEnd"/>
      <w:r w:rsidRPr="00F21308">
        <w:rPr>
          <w:rFonts w:ascii="Times New Roman" w:hAnsi="Times New Roman" w:cs="Times New Roman"/>
        </w:rPr>
        <w:t>). Pieejams: http://data1.csb.gov.lv/pxweb/lv/sociala/sociala__dsamaksa__ikgad/DSG050.px.</w:t>
      </w:r>
    </w:p>
  </w:footnote>
  <w:footnote w:id="14">
    <w:p w14:paraId="35F5642B" w14:textId="77777777" w:rsidR="00976914" w:rsidRPr="00F21308" w:rsidRDefault="00976914">
      <w:pPr>
        <w:pStyle w:val="FootnoteText"/>
        <w:rPr>
          <w:rFonts w:ascii="Times New Roman" w:hAnsi="Times New Roman" w:cs="Times New Roman"/>
        </w:rPr>
      </w:pPr>
      <w:r w:rsidRPr="00F21308">
        <w:rPr>
          <w:rStyle w:val="FootnoteReference"/>
          <w:rFonts w:ascii="Times New Roman" w:hAnsi="Times New Roman" w:cs="Times New Roman"/>
        </w:rPr>
        <w:footnoteRef/>
      </w:r>
      <w:r w:rsidRPr="00F21308">
        <w:rPr>
          <w:rFonts w:ascii="Times New Roman" w:hAnsi="Times New Roman" w:cs="Times New Roman"/>
        </w:rPr>
        <w:t xml:space="preserve"> CSP. NBG040. Ekonomiskās aktivitātes, nodarbinātības un bezdarba līmenis Latvijas reģionos (%). Pieejams: http://data1.csb.gov.lv/pxweb/lv/sociala/sociala__nodarb__aktivitate__ikgad/NBG040.px/table/tableViewLayout1/?rxid=06479650-88ab-4a00-945d-96dc679d997d.</w:t>
      </w:r>
    </w:p>
  </w:footnote>
  <w:footnote w:id="15">
    <w:p w14:paraId="22109F76" w14:textId="77777777" w:rsidR="003844D7" w:rsidRPr="00F21308" w:rsidRDefault="003844D7">
      <w:pPr>
        <w:pStyle w:val="FootnoteText"/>
        <w:rPr>
          <w:rFonts w:ascii="Times New Roman" w:hAnsi="Times New Roman" w:cs="Times New Roman"/>
        </w:rPr>
      </w:pPr>
      <w:r w:rsidRPr="00F21308">
        <w:rPr>
          <w:rStyle w:val="FootnoteReference"/>
          <w:rFonts w:ascii="Times New Roman" w:hAnsi="Times New Roman" w:cs="Times New Roman"/>
        </w:rPr>
        <w:footnoteRef/>
      </w:r>
      <w:r w:rsidRPr="00F21308">
        <w:rPr>
          <w:rFonts w:ascii="Times New Roman" w:hAnsi="Times New Roman" w:cs="Times New Roman"/>
        </w:rPr>
        <w:t xml:space="preserve"> OECD (2018). </w:t>
      </w:r>
      <w:proofErr w:type="spellStart"/>
      <w:r w:rsidRPr="00F21308">
        <w:rPr>
          <w:rFonts w:ascii="Times New Roman" w:hAnsi="Times New Roman" w:cs="Times New Roman"/>
        </w:rPr>
        <w:t>Meeting</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of</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the</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Regional</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Development</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Policy</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Committee</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at</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Ministerial</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Level</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Draft</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Issue</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Notes</w:t>
      </w:r>
      <w:proofErr w:type="spellEnd"/>
      <w:r w:rsidRPr="00F21308">
        <w:rPr>
          <w:rFonts w:ascii="Times New Roman" w:hAnsi="Times New Roman" w:cs="Times New Roman"/>
        </w:rPr>
        <w:t xml:space="preserve">, </w:t>
      </w:r>
      <w:proofErr w:type="spellStart"/>
      <w:r w:rsidRPr="00F21308">
        <w:rPr>
          <w:rFonts w:ascii="Times New Roman" w:hAnsi="Times New Roman" w:cs="Times New Roman"/>
        </w:rPr>
        <w:t>pp</w:t>
      </w:r>
      <w:proofErr w:type="spellEnd"/>
      <w:r w:rsidRPr="00F21308">
        <w:rPr>
          <w:rFonts w:ascii="Times New Roman" w:hAnsi="Times New Roman" w:cs="Times New Roman"/>
        </w:rPr>
        <w:t>. 10.</w:t>
      </w:r>
    </w:p>
  </w:footnote>
  <w:footnote w:id="16">
    <w:p w14:paraId="72C24389" w14:textId="77777777" w:rsidR="001B5151" w:rsidRPr="00F21308" w:rsidRDefault="001B5151">
      <w:pPr>
        <w:pStyle w:val="FootnoteText"/>
        <w:rPr>
          <w:rFonts w:ascii="Times New Roman" w:hAnsi="Times New Roman" w:cs="Times New Roman"/>
        </w:rPr>
      </w:pPr>
      <w:r w:rsidRPr="00F21308">
        <w:rPr>
          <w:rStyle w:val="FootnoteReference"/>
          <w:rFonts w:ascii="Times New Roman" w:hAnsi="Times New Roman" w:cs="Times New Roman"/>
        </w:rPr>
        <w:footnoteRef/>
      </w:r>
      <w:r w:rsidRPr="00F21308">
        <w:rPr>
          <w:rFonts w:ascii="Times New Roman" w:hAnsi="Times New Roman" w:cs="Times New Roman"/>
        </w:rPr>
        <w:t xml:space="preserve"> CSP. NBG040. Ekonomiskās aktivitātes, nodarbinātības un bezdarba līmenis Latvijas reģionos (%). Pieejams: http://data1.csb.gov.lv/pxweb/lv/sociala/sociala__nodarb__aktivitate__ikgad/NBG040.px/table/tableViewLayout1/?rxid=8eaf04df-97c2-4fe0-9ad5-2a5951e28831.</w:t>
      </w:r>
    </w:p>
  </w:footnote>
  <w:footnote w:id="17">
    <w:p w14:paraId="21A5DE86" w14:textId="3017374C" w:rsidR="00F208F5" w:rsidRPr="00C123FE" w:rsidRDefault="00F208F5">
      <w:pPr>
        <w:pStyle w:val="FootnoteText"/>
        <w:rPr>
          <w:rFonts w:ascii="Times New Roman" w:hAnsi="Times New Roman" w:cs="Times New Roman"/>
        </w:rPr>
      </w:pPr>
      <w:r w:rsidRPr="00C123FE">
        <w:rPr>
          <w:rStyle w:val="FootnoteReference"/>
          <w:rFonts w:ascii="Times New Roman" w:hAnsi="Times New Roman" w:cs="Times New Roman"/>
        </w:rPr>
        <w:footnoteRef/>
      </w:r>
      <w:r w:rsidR="004B4096" w:rsidRPr="00C123FE">
        <w:rPr>
          <w:rFonts w:ascii="Times New Roman" w:hAnsi="Times New Roman" w:cs="Times New Roman"/>
        </w:rPr>
        <w:t xml:space="preserve"> OECD. </w:t>
      </w:r>
      <w:proofErr w:type="spellStart"/>
      <w:r w:rsidR="004B4096" w:rsidRPr="00C123FE">
        <w:rPr>
          <w:rFonts w:ascii="Times New Roman" w:hAnsi="Times New Roman" w:cs="Times New Roman"/>
        </w:rPr>
        <w:t>Connectin</w:t>
      </w:r>
      <w:r w:rsidR="00E723EE">
        <w:rPr>
          <w:rFonts w:ascii="Times New Roman" w:hAnsi="Times New Roman" w:cs="Times New Roman"/>
        </w:rPr>
        <w:t>g</w:t>
      </w:r>
      <w:proofErr w:type="spellEnd"/>
      <w:r w:rsidR="00E723EE">
        <w:rPr>
          <w:rFonts w:ascii="Times New Roman" w:hAnsi="Times New Roman" w:cs="Times New Roman"/>
        </w:rPr>
        <w:t xml:space="preserve"> </w:t>
      </w:r>
      <w:proofErr w:type="spellStart"/>
      <w:r w:rsidR="00E723EE">
        <w:rPr>
          <w:rFonts w:ascii="Times New Roman" w:hAnsi="Times New Roman" w:cs="Times New Roman"/>
        </w:rPr>
        <w:t>People</w:t>
      </w:r>
      <w:proofErr w:type="spellEnd"/>
      <w:r w:rsidR="00E723EE">
        <w:rPr>
          <w:rFonts w:ascii="Times New Roman" w:hAnsi="Times New Roman" w:cs="Times New Roman"/>
        </w:rPr>
        <w:t xml:space="preserve"> </w:t>
      </w:r>
      <w:proofErr w:type="spellStart"/>
      <w:r w:rsidR="00E723EE">
        <w:rPr>
          <w:rFonts w:ascii="Times New Roman" w:hAnsi="Times New Roman" w:cs="Times New Roman"/>
        </w:rPr>
        <w:t>with</w:t>
      </w:r>
      <w:proofErr w:type="spellEnd"/>
      <w:r w:rsidR="00E723EE">
        <w:rPr>
          <w:rFonts w:ascii="Times New Roman" w:hAnsi="Times New Roman" w:cs="Times New Roman"/>
        </w:rPr>
        <w:t xml:space="preserve"> </w:t>
      </w:r>
      <w:proofErr w:type="spellStart"/>
      <w:r w:rsidR="00E723EE">
        <w:rPr>
          <w:rFonts w:ascii="Times New Roman" w:hAnsi="Times New Roman" w:cs="Times New Roman"/>
        </w:rPr>
        <w:t>Jobs</w:t>
      </w:r>
      <w:proofErr w:type="spellEnd"/>
      <w:r w:rsidR="00E723EE">
        <w:rPr>
          <w:rFonts w:ascii="Times New Roman" w:hAnsi="Times New Roman" w:cs="Times New Roman"/>
        </w:rPr>
        <w:t>: Latvia. 2019</w:t>
      </w:r>
      <w:r w:rsidR="004B4096" w:rsidRPr="00C123FE">
        <w:rPr>
          <w:rFonts w:ascii="Times New Roman" w:hAnsi="Times New Roman" w:cs="Times New Roman"/>
        </w:rPr>
        <w:t>.</w:t>
      </w:r>
      <w:r w:rsidR="00E723EE">
        <w:rPr>
          <w:rFonts w:ascii="Times New Roman" w:hAnsi="Times New Roman" w:cs="Times New Roman"/>
        </w:rPr>
        <w:t xml:space="preserve"> Pieejams: </w:t>
      </w:r>
      <w:r w:rsidR="00E723EE" w:rsidRPr="00E723EE">
        <w:rPr>
          <w:rFonts w:ascii="Times New Roman" w:hAnsi="Times New Roman" w:cs="Times New Roman"/>
        </w:rPr>
        <w:t>https://www.oecd-ilibrary.org/sites/6037200a-en/index.html?itemId=/content/publication/6037200a-en&amp;mimeType=text/html</w:t>
      </w:r>
      <w:r w:rsidR="00E723EE">
        <w:rPr>
          <w:rFonts w:ascii="Times New Roman" w:hAnsi="Times New Roman" w:cs="Times New Roman"/>
        </w:rPr>
        <w:t>.</w:t>
      </w:r>
    </w:p>
  </w:footnote>
  <w:footnote w:id="18">
    <w:p w14:paraId="735688FA" w14:textId="77777777" w:rsidR="00976914" w:rsidRPr="00C123FE" w:rsidRDefault="00976914">
      <w:pPr>
        <w:pStyle w:val="FootnoteText"/>
        <w:rPr>
          <w:rFonts w:ascii="Times New Roman" w:hAnsi="Times New Roman" w:cs="Times New Roman"/>
        </w:rPr>
      </w:pPr>
      <w:r w:rsidRPr="00C123FE">
        <w:rPr>
          <w:rStyle w:val="FootnoteReference"/>
          <w:rFonts w:ascii="Times New Roman" w:hAnsi="Times New Roman" w:cs="Times New Roman"/>
        </w:rPr>
        <w:footnoteRef/>
      </w:r>
      <w:r w:rsidRPr="00C123FE">
        <w:rPr>
          <w:rFonts w:ascii="Times New Roman" w:hAnsi="Times New Roman" w:cs="Times New Roman"/>
        </w:rPr>
        <w:t xml:space="preserve"> CSP. JVSG011. Aizņemtās darbvietas pa reģioniem vidēji gadā. Pieejams: http://data1.csb.gov.lv/pxweb/lv/sociala/sociala__aiznemtdv__ikgad/JVSG011.px/table/tableViewLayout1/?rxid=55125aa9-a596-4557-aac3-26a417ba590b.</w:t>
      </w:r>
    </w:p>
  </w:footnote>
  <w:footnote w:id="19">
    <w:p w14:paraId="59D1D7E7" w14:textId="77777777" w:rsidR="00F21308" w:rsidRPr="00C123FE" w:rsidRDefault="00F21308">
      <w:pPr>
        <w:pStyle w:val="FootnoteText"/>
      </w:pPr>
      <w:r w:rsidRPr="00C123FE">
        <w:rPr>
          <w:rStyle w:val="FootnoteReference"/>
          <w:rFonts w:ascii="Times New Roman" w:hAnsi="Times New Roman" w:cs="Times New Roman"/>
        </w:rPr>
        <w:footnoteRef/>
      </w:r>
      <w:r w:rsidRPr="00C123FE">
        <w:rPr>
          <w:rFonts w:ascii="Times New Roman" w:hAnsi="Times New Roman" w:cs="Times New Roman"/>
        </w:rPr>
        <w:t xml:space="preserve"> CSP. SRG010. Ekonomiski aktīvi uzņēmumi statistiskajos reģionos, republikas pilsētās un novados. Pieejams: https://data1.csb.gov.lv/pxweb/lv/uzn/uzn__01_skaits/SRG010.px/table/tableViewLayout1/?rxid=3513f222-8e01-429e-a509-fd5046b7dcf6.</w:t>
      </w:r>
    </w:p>
  </w:footnote>
  <w:footnote w:id="20">
    <w:p w14:paraId="4C6608A2" w14:textId="1FD4DE36" w:rsidR="3D9A9DCD" w:rsidRPr="00C123FE" w:rsidRDefault="3D9A9DCD" w:rsidP="3D9A9DCD">
      <w:pPr>
        <w:rPr>
          <w:rFonts w:ascii="Times New Roman" w:eastAsia="Times New Roman" w:hAnsi="Times New Roman" w:cs="Times New Roman"/>
          <w:sz w:val="20"/>
          <w:szCs w:val="20"/>
          <w:vertAlign w:val="superscript"/>
        </w:rPr>
      </w:pPr>
      <w:r w:rsidRPr="00C123FE">
        <w:rPr>
          <w:vertAlign w:val="superscript"/>
        </w:rPr>
        <w:footnoteRef/>
      </w:r>
      <w:r w:rsidRPr="00C123FE">
        <w:t xml:space="preserve"> </w:t>
      </w:r>
      <w:r w:rsidRPr="00C123FE">
        <w:rPr>
          <w:rFonts w:ascii="Times New Roman" w:eastAsia="Times New Roman" w:hAnsi="Times New Roman" w:cs="Times New Roman"/>
          <w:sz w:val="20"/>
          <w:szCs w:val="20"/>
        </w:rPr>
        <w:t xml:space="preserve">CSP. SRG040. Tirgus sektora ekonomiski aktīvi uzņēmumi statistiskajos reģionos, republikas pilsētās un novados uz 1000 iedzīvotājiem. Pieejams: </w:t>
      </w:r>
      <w:hyperlink r:id="rId2">
        <w:r w:rsidRPr="00C123FE">
          <w:rPr>
            <w:rStyle w:val="Hyperlink"/>
            <w:rFonts w:ascii="Times New Roman" w:eastAsia="Times New Roman" w:hAnsi="Times New Roman" w:cs="Times New Roman"/>
            <w:sz w:val="20"/>
            <w:szCs w:val="20"/>
          </w:rPr>
          <w:t>https://data1.csb.gov.lv/pxweb/lv/uzn/uzn__01_skaits/SRG040.px/table/tableViewLayout1/</w:t>
        </w:r>
      </w:hyperlink>
      <w:r w:rsidRPr="00C123FE">
        <w:rPr>
          <w:rFonts w:ascii="Times New Roman" w:eastAsia="Times New Roman" w:hAnsi="Times New Roman" w:cs="Times New Roman"/>
          <w:sz w:val="20"/>
          <w:szCs w:val="20"/>
        </w:rPr>
        <w:t>.</w:t>
      </w:r>
    </w:p>
  </w:footnote>
  <w:footnote w:id="21">
    <w:p w14:paraId="66DEF5A3" w14:textId="77777777" w:rsidR="0057386D" w:rsidRPr="00C123FE" w:rsidRDefault="0057386D" w:rsidP="0057386D">
      <w:pPr>
        <w:pStyle w:val="FootnoteText"/>
        <w:rPr>
          <w:rFonts w:ascii="Times New Roman" w:hAnsi="Times New Roman" w:cs="Times New Roman"/>
        </w:rPr>
      </w:pPr>
      <w:r w:rsidRPr="00C123FE">
        <w:rPr>
          <w:rStyle w:val="FootnoteReference"/>
          <w:rFonts w:ascii="Times New Roman" w:hAnsi="Times New Roman" w:cs="Times New Roman"/>
        </w:rPr>
        <w:footnoteRef/>
      </w:r>
      <w:r w:rsidRPr="00C123FE">
        <w:rPr>
          <w:rFonts w:ascii="Times New Roman" w:hAnsi="Times New Roman" w:cs="Times New Roman"/>
        </w:rPr>
        <w:t xml:space="preserve"> OECD (2017), OECD </w:t>
      </w:r>
      <w:proofErr w:type="spellStart"/>
      <w:r w:rsidRPr="00C123FE">
        <w:rPr>
          <w:rFonts w:ascii="Times New Roman" w:hAnsi="Times New Roman" w:cs="Times New Roman"/>
        </w:rPr>
        <w:t>Economic</w:t>
      </w:r>
      <w:proofErr w:type="spellEnd"/>
      <w:r w:rsidRPr="00C123FE">
        <w:rPr>
          <w:rFonts w:ascii="Times New Roman" w:hAnsi="Times New Roman" w:cs="Times New Roman"/>
        </w:rPr>
        <w:t xml:space="preserve"> </w:t>
      </w:r>
      <w:proofErr w:type="spellStart"/>
      <w:r w:rsidRPr="00C123FE">
        <w:rPr>
          <w:rFonts w:ascii="Times New Roman" w:hAnsi="Times New Roman" w:cs="Times New Roman"/>
        </w:rPr>
        <w:t>Surveys</w:t>
      </w:r>
      <w:proofErr w:type="spellEnd"/>
      <w:r w:rsidRPr="00C123FE">
        <w:rPr>
          <w:rFonts w:ascii="Times New Roman" w:hAnsi="Times New Roman" w:cs="Times New Roman"/>
        </w:rPr>
        <w:t xml:space="preserve">: Latvia 2017, OECD </w:t>
      </w:r>
      <w:proofErr w:type="spellStart"/>
      <w:r w:rsidRPr="00C123FE">
        <w:rPr>
          <w:rFonts w:ascii="Times New Roman" w:hAnsi="Times New Roman" w:cs="Times New Roman"/>
        </w:rPr>
        <w:t>Publishing</w:t>
      </w:r>
      <w:proofErr w:type="spellEnd"/>
      <w:r w:rsidRPr="00C123FE">
        <w:rPr>
          <w:rFonts w:ascii="Times New Roman" w:hAnsi="Times New Roman" w:cs="Times New Roman"/>
        </w:rPr>
        <w:t>, Paris.</w:t>
      </w:r>
    </w:p>
    <w:p w14:paraId="1282607C" w14:textId="77777777" w:rsidR="0057386D" w:rsidRPr="00B61F8F" w:rsidRDefault="0057386D" w:rsidP="0057386D">
      <w:pPr>
        <w:pStyle w:val="FootnoteText"/>
        <w:rPr>
          <w:rFonts w:ascii="Times New Roman" w:hAnsi="Times New Roman" w:cs="Times New Roman"/>
        </w:rPr>
      </w:pPr>
      <w:r w:rsidRPr="00C123FE">
        <w:rPr>
          <w:rFonts w:ascii="Times New Roman" w:hAnsi="Times New Roman" w:cs="Times New Roman"/>
        </w:rPr>
        <w:t xml:space="preserve">http://dx.doi.org/10.1787/eco_surveys-lva-2017-en. </w:t>
      </w:r>
      <w:proofErr w:type="spellStart"/>
      <w:r w:rsidRPr="00C123FE">
        <w:rPr>
          <w:rFonts w:ascii="Times New Roman" w:hAnsi="Times New Roman" w:cs="Times New Roman"/>
        </w:rPr>
        <w:t>Pp</w:t>
      </w:r>
      <w:proofErr w:type="spellEnd"/>
      <w:r w:rsidRPr="00C123FE">
        <w:rPr>
          <w:rFonts w:ascii="Times New Roman" w:hAnsi="Times New Roman" w:cs="Times New Roman"/>
        </w:rPr>
        <w:t>. 110.-112.</w:t>
      </w:r>
    </w:p>
  </w:footnote>
  <w:footnote w:id="22">
    <w:p w14:paraId="0058C418" w14:textId="77777777" w:rsidR="00F76024" w:rsidRPr="006576FA" w:rsidRDefault="00F76024" w:rsidP="00F76024">
      <w:pPr>
        <w:pStyle w:val="FootnoteText"/>
        <w:rPr>
          <w:rFonts w:ascii="Times New Roman" w:hAnsi="Times New Roman" w:cs="Times New Roman"/>
        </w:rPr>
      </w:pPr>
      <w:r w:rsidRPr="006576FA">
        <w:rPr>
          <w:rStyle w:val="FootnoteReference"/>
          <w:rFonts w:ascii="Times New Roman" w:hAnsi="Times New Roman" w:cs="Times New Roman"/>
        </w:rPr>
        <w:footnoteRef/>
      </w:r>
      <w:r w:rsidRPr="006576FA">
        <w:rPr>
          <w:rFonts w:ascii="Times New Roman" w:hAnsi="Times New Roman" w:cs="Times New Roman"/>
        </w:rPr>
        <w:t xml:space="preserve"> </w:t>
      </w:r>
      <w:proofErr w:type="spellStart"/>
      <w:r w:rsidRPr="006576FA">
        <w:rPr>
          <w:rFonts w:ascii="Times New Roman" w:hAnsi="Times New Roman" w:cs="Times New Roman"/>
        </w:rPr>
        <w:t>The</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Ministry</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of</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Economics</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of</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the</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Republic</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of</w:t>
      </w:r>
      <w:proofErr w:type="spellEnd"/>
      <w:r w:rsidRPr="006576FA">
        <w:rPr>
          <w:rFonts w:ascii="Times New Roman" w:hAnsi="Times New Roman" w:cs="Times New Roman"/>
        </w:rPr>
        <w:t xml:space="preserve"> Latvia. (2015). Access to </w:t>
      </w:r>
      <w:proofErr w:type="spellStart"/>
      <w:r w:rsidRPr="006576FA">
        <w:rPr>
          <w:rFonts w:ascii="Times New Roman" w:hAnsi="Times New Roman" w:cs="Times New Roman"/>
        </w:rPr>
        <w:t>finance</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Ex</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ante</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assessment</w:t>
      </w:r>
      <w:proofErr w:type="spellEnd"/>
      <w:r w:rsidRPr="006576FA">
        <w:rPr>
          <w:rFonts w:ascii="Times New Roman" w:hAnsi="Times New Roman" w:cs="Times New Roman"/>
        </w:rPr>
        <w:t xml:space="preserve">. </w:t>
      </w:r>
      <w:proofErr w:type="spellStart"/>
      <w:r w:rsidRPr="006576FA">
        <w:rPr>
          <w:rFonts w:ascii="Times New Roman" w:hAnsi="Times New Roman" w:cs="Times New Roman"/>
        </w:rPr>
        <w:t>Available</w:t>
      </w:r>
      <w:proofErr w:type="spellEnd"/>
      <w:r w:rsidRPr="006576FA">
        <w:rPr>
          <w:rFonts w:ascii="Times New Roman" w:hAnsi="Times New Roman" w:cs="Times New Roman"/>
        </w:rPr>
        <w:t>: https://komitejas.esfondi.lv/Shared%20Documents/EM_Tirgus_nepilnibu_izvertejums_(MGA)_31032015.docx</w:t>
      </w:r>
    </w:p>
  </w:footnote>
  <w:footnote w:id="23">
    <w:p w14:paraId="3D0814C9" w14:textId="06E2BBEB" w:rsidR="007A448A" w:rsidRPr="00294C0E" w:rsidRDefault="007A448A">
      <w:pPr>
        <w:pStyle w:val="FootnoteText"/>
        <w:rPr>
          <w:rFonts w:ascii="Times New Roman" w:hAnsi="Times New Roman" w:cs="Times New Roman"/>
        </w:rPr>
      </w:pPr>
      <w:r w:rsidRPr="00294C0E">
        <w:rPr>
          <w:rStyle w:val="FootnoteReference"/>
          <w:rFonts w:ascii="Times New Roman" w:hAnsi="Times New Roman" w:cs="Times New Roman"/>
        </w:rPr>
        <w:footnoteRef/>
      </w:r>
      <w:r w:rsidRPr="00294C0E">
        <w:rPr>
          <w:rFonts w:ascii="Times New Roman" w:hAnsi="Times New Roman" w:cs="Times New Roman"/>
        </w:rPr>
        <w:t xml:space="preserve"> </w:t>
      </w:r>
      <w:r w:rsidR="00294C0E" w:rsidRPr="00294C0E">
        <w:rPr>
          <w:rFonts w:ascii="Times New Roman" w:hAnsi="Times New Roman" w:cs="Times New Roman"/>
        </w:rPr>
        <w:t>Latvijas Bankas</w:t>
      </w:r>
      <w:r w:rsidR="00294C0E">
        <w:rPr>
          <w:rFonts w:ascii="Times New Roman" w:hAnsi="Times New Roman" w:cs="Times New Roman"/>
        </w:rPr>
        <w:t xml:space="preserve"> Kredītu reģistra </w:t>
      </w:r>
      <w:r w:rsidR="00594C2E">
        <w:rPr>
          <w:rFonts w:ascii="Times New Roman" w:hAnsi="Times New Roman" w:cs="Times New Roman"/>
        </w:rPr>
        <w:t xml:space="preserve">sniegtā informācija par </w:t>
      </w:r>
      <w:r w:rsidR="00594C2E" w:rsidRPr="00594C2E">
        <w:rPr>
          <w:rFonts w:ascii="Times New Roman" w:hAnsi="Times New Roman" w:cs="Times New Roman"/>
        </w:rPr>
        <w:t xml:space="preserve">komercbanku izsniegtajiem kredītiem komersantiem </w:t>
      </w:r>
      <w:r w:rsidR="00C47C85">
        <w:rPr>
          <w:rFonts w:ascii="Times New Roman" w:hAnsi="Times New Roman" w:cs="Times New Roman"/>
        </w:rPr>
        <w:t>par laika periodu no 2016.-2018.gadam</w:t>
      </w:r>
      <w:r w:rsidR="00846757">
        <w:rPr>
          <w:rFonts w:ascii="Times New Roman" w:hAnsi="Times New Roman" w:cs="Times New Roman"/>
        </w:rPr>
        <w:t xml:space="preserve"> reģionu griezumā</w:t>
      </w:r>
      <w:r w:rsidR="00C47C85">
        <w:rPr>
          <w:rFonts w:ascii="Times New Roman" w:hAnsi="Times New Roman" w:cs="Times New Roman"/>
        </w:rPr>
        <w:t>.</w:t>
      </w:r>
    </w:p>
  </w:footnote>
  <w:footnote w:id="24">
    <w:p w14:paraId="72D60F66" w14:textId="24448DEA" w:rsidR="00846757" w:rsidRPr="00846757" w:rsidRDefault="00846757">
      <w:pPr>
        <w:pStyle w:val="FootnoteText"/>
        <w:rPr>
          <w:rFonts w:ascii="Times New Roman" w:hAnsi="Times New Roman" w:cs="Times New Roman"/>
        </w:rPr>
      </w:pPr>
      <w:r w:rsidRPr="00846757">
        <w:rPr>
          <w:rStyle w:val="FootnoteReference"/>
          <w:rFonts w:ascii="Times New Roman" w:hAnsi="Times New Roman" w:cs="Times New Roman"/>
        </w:rPr>
        <w:footnoteRef/>
      </w:r>
      <w:r w:rsidRPr="00846757">
        <w:rPr>
          <w:rFonts w:ascii="Times New Roman" w:hAnsi="Times New Roman" w:cs="Times New Roman"/>
        </w:rPr>
        <w:t xml:space="preserve"> </w:t>
      </w:r>
      <w:r>
        <w:rPr>
          <w:rFonts w:ascii="Times New Roman" w:hAnsi="Times New Roman" w:cs="Times New Roman"/>
        </w:rPr>
        <w:t>A</w:t>
      </w:r>
      <w:r w:rsidRPr="00846757">
        <w:rPr>
          <w:rFonts w:ascii="Times New Roman" w:hAnsi="Times New Roman" w:cs="Times New Roman"/>
        </w:rPr>
        <w:t>kciju sabiedrības “Attīstības finanšu institūcija ALTUM</w:t>
      </w:r>
      <w:r>
        <w:rPr>
          <w:rFonts w:ascii="Times New Roman" w:hAnsi="Times New Roman" w:cs="Times New Roman"/>
        </w:rPr>
        <w:t>”</w:t>
      </w:r>
      <w:r w:rsidRPr="00846757">
        <w:rPr>
          <w:rFonts w:ascii="Times New Roman" w:hAnsi="Times New Roman" w:cs="Times New Roman"/>
        </w:rPr>
        <w:t xml:space="preserve"> sniegtā informācija par </w:t>
      </w:r>
      <w:r>
        <w:rPr>
          <w:rFonts w:ascii="Times New Roman" w:hAnsi="Times New Roman" w:cs="Times New Roman"/>
        </w:rPr>
        <w:t>ALTUM</w:t>
      </w:r>
      <w:r w:rsidRPr="00846757">
        <w:rPr>
          <w:rFonts w:ascii="Times New Roman" w:hAnsi="Times New Roman" w:cs="Times New Roman"/>
        </w:rPr>
        <w:t xml:space="preserve"> izsniegtajiem </w:t>
      </w:r>
      <w:r w:rsidR="006C7578" w:rsidRPr="006C7578">
        <w:rPr>
          <w:rFonts w:ascii="Times New Roman" w:hAnsi="Times New Roman" w:cs="Times New Roman"/>
        </w:rPr>
        <w:t>aizdevumiem</w:t>
      </w:r>
      <w:r w:rsidR="006C7578" w:rsidRPr="00846757">
        <w:rPr>
          <w:rFonts w:ascii="Times New Roman" w:hAnsi="Times New Roman" w:cs="Times New Roman"/>
        </w:rPr>
        <w:t xml:space="preserve"> </w:t>
      </w:r>
      <w:r w:rsidRPr="00846757">
        <w:rPr>
          <w:rFonts w:ascii="Times New Roman" w:hAnsi="Times New Roman" w:cs="Times New Roman"/>
        </w:rPr>
        <w:t>komersantiem par laika periodu no 2016.-2018.gadam reģionu griezumā</w:t>
      </w:r>
    </w:p>
  </w:footnote>
  <w:footnote w:id="25">
    <w:p w14:paraId="009D895B" w14:textId="77777777" w:rsidR="00C123FE" w:rsidRDefault="00C123FE" w:rsidP="00C123FE">
      <w:r w:rsidRPr="5CED0314">
        <w:rPr>
          <w:rFonts w:ascii="Times New Roman" w:eastAsia="Times New Roman" w:hAnsi="Times New Roman" w:cs="Times New Roman"/>
          <w:sz w:val="20"/>
          <w:szCs w:val="20"/>
          <w:vertAlign w:val="superscript"/>
        </w:rPr>
        <w:footnoteRef/>
      </w:r>
      <w:r w:rsidRPr="5CED0314">
        <w:rPr>
          <w:rFonts w:ascii="Times New Roman" w:eastAsia="Times New Roman" w:hAnsi="Times New Roman" w:cs="Times New Roman"/>
          <w:sz w:val="20"/>
          <w:szCs w:val="20"/>
        </w:rPr>
        <w:t xml:space="preserve"> Ministru kabineta 2015. gada 13. oktobra noteikumi Nr. 593 “Darbības programmas "Izaugsme un nodarbinātība" 3.3.1. 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īstenošanas noteikumi”.</w:t>
      </w:r>
    </w:p>
  </w:footnote>
  <w:footnote w:id="26">
    <w:p w14:paraId="36AB1F82" w14:textId="77777777" w:rsidR="00C123FE" w:rsidRDefault="00C123FE" w:rsidP="00C123FE">
      <w:pPr>
        <w:rPr>
          <w:rFonts w:ascii="Times New Roman" w:eastAsia="Times New Roman" w:hAnsi="Times New Roman" w:cs="Times New Roman"/>
          <w:sz w:val="20"/>
          <w:szCs w:val="20"/>
        </w:rPr>
      </w:pPr>
      <w:r w:rsidRPr="5CED0314">
        <w:rPr>
          <w:rFonts w:ascii="Times New Roman" w:eastAsia="Times New Roman" w:hAnsi="Times New Roman" w:cs="Times New Roman"/>
          <w:sz w:val="20"/>
          <w:szCs w:val="20"/>
          <w:vertAlign w:val="superscript"/>
        </w:rPr>
        <w:footnoteRef/>
      </w:r>
      <w:r w:rsidRPr="5CED0314">
        <w:rPr>
          <w:rFonts w:ascii="Times New Roman" w:eastAsia="Times New Roman" w:hAnsi="Times New Roman" w:cs="Times New Roman"/>
          <w:sz w:val="20"/>
          <w:szCs w:val="20"/>
        </w:rPr>
        <w:t xml:space="preserve"> Ministru kabineta 2015.gada 10.novembra noteikumi Nr. 645 ” Darbības programmas "Izaugsme un nodarbinātība" 5.6.2. specifiskā atbalsta mērķa "Teritoriju </w:t>
      </w:r>
      <w:proofErr w:type="spellStart"/>
      <w:r w:rsidRPr="5CED0314">
        <w:rPr>
          <w:rFonts w:ascii="Times New Roman" w:eastAsia="Times New Roman" w:hAnsi="Times New Roman" w:cs="Times New Roman"/>
          <w:sz w:val="20"/>
          <w:szCs w:val="20"/>
        </w:rPr>
        <w:t>revitalizācija</w:t>
      </w:r>
      <w:proofErr w:type="spellEnd"/>
      <w:r w:rsidRPr="5CED0314">
        <w:rPr>
          <w:rFonts w:ascii="Times New Roman" w:eastAsia="Times New Roman" w:hAnsi="Times New Roman" w:cs="Times New Roman"/>
          <w:sz w:val="20"/>
          <w:szCs w:val="20"/>
        </w:rPr>
        <w:t>, reģenerējot degradētās teritorijas atbilstoši pašvaldību integrētajām attīstības programmām" īstenošanas noteikumi”</w:t>
      </w:r>
    </w:p>
  </w:footnote>
  <w:footnote w:id="27">
    <w:p w14:paraId="301CA8D3" w14:textId="77777777" w:rsidR="00BF656E" w:rsidRPr="003F73B8" w:rsidRDefault="00BF656E" w:rsidP="00BF656E">
      <w:pPr>
        <w:pStyle w:val="FootnoteText"/>
        <w:rPr>
          <w:rFonts w:ascii="Times New Roman" w:hAnsi="Times New Roman" w:cs="Times New Roman"/>
        </w:rPr>
      </w:pPr>
      <w:r w:rsidRPr="003F73B8">
        <w:rPr>
          <w:rStyle w:val="FootnoteReference"/>
          <w:rFonts w:ascii="Times New Roman" w:hAnsi="Times New Roman" w:cs="Times New Roman"/>
        </w:rPr>
        <w:footnoteRef/>
      </w:r>
      <w:r w:rsidRPr="003F73B8">
        <w:rPr>
          <w:rFonts w:ascii="Times New Roman" w:hAnsi="Times New Roman" w:cs="Times New Roman"/>
        </w:rPr>
        <w:t xml:space="preserve"> Projektu, kas ir apstiprināti, par kuriem ir noslēgts līgums un kas ir pabeigti, kopsumma.</w:t>
      </w:r>
    </w:p>
  </w:footnote>
  <w:footnote w:id="28">
    <w:p w14:paraId="594BBC31" w14:textId="77777777" w:rsidR="0057386D" w:rsidRPr="00BF656E" w:rsidRDefault="0057386D" w:rsidP="0057386D">
      <w:pPr>
        <w:pStyle w:val="FootnoteText"/>
        <w:rPr>
          <w:rFonts w:ascii="Times New Roman" w:hAnsi="Times New Roman" w:cs="Times New Roman"/>
        </w:rPr>
      </w:pPr>
      <w:r w:rsidRPr="00BF656E">
        <w:rPr>
          <w:rStyle w:val="FootnoteReference"/>
          <w:rFonts w:ascii="Times New Roman" w:hAnsi="Times New Roman" w:cs="Times New Roman"/>
        </w:rPr>
        <w:footnoteRef/>
      </w:r>
      <w:r w:rsidRPr="00BF656E">
        <w:rPr>
          <w:rFonts w:ascii="Times New Roman" w:hAnsi="Times New Roman" w:cs="Times New Roman"/>
        </w:rPr>
        <w:t xml:space="preserve"> OECD </w:t>
      </w:r>
      <w:proofErr w:type="spellStart"/>
      <w:r w:rsidRPr="00BF656E">
        <w:rPr>
          <w:rFonts w:ascii="Times New Roman" w:hAnsi="Times New Roman" w:cs="Times New Roman"/>
        </w:rPr>
        <w:t>Economic</w:t>
      </w:r>
      <w:proofErr w:type="spellEnd"/>
      <w:r w:rsidRPr="00BF656E">
        <w:rPr>
          <w:rFonts w:ascii="Times New Roman" w:hAnsi="Times New Roman" w:cs="Times New Roman"/>
        </w:rPr>
        <w:t xml:space="preserve"> </w:t>
      </w:r>
      <w:proofErr w:type="spellStart"/>
      <w:r w:rsidRPr="00BF656E">
        <w:rPr>
          <w:rFonts w:ascii="Times New Roman" w:hAnsi="Times New Roman" w:cs="Times New Roman"/>
        </w:rPr>
        <w:t>Surveys</w:t>
      </w:r>
      <w:proofErr w:type="spellEnd"/>
      <w:r w:rsidRPr="00BF656E">
        <w:rPr>
          <w:rFonts w:ascii="Times New Roman" w:hAnsi="Times New Roman" w:cs="Times New Roman"/>
        </w:rPr>
        <w:t>: Latvia, OECD 2019. Pieejams: http://www.oecd.org/economy/surveys/Latvia-2019-OECD-economic-survey-overview.pdf.</w:t>
      </w:r>
    </w:p>
  </w:footnote>
  <w:footnote w:id="29">
    <w:p w14:paraId="497F898E" w14:textId="142F90E6" w:rsidR="0057386D" w:rsidRPr="00BF656E" w:rsidRDefault="0057386D" w:rsidP="00BF656E">
      <w:pPr>
        <w:pStyle w:val="Heading2"/>
        <w:spacing w:before="0" w:line="240" w:lineRule="auto"/>
        <w:jc w:val="both"/>
        <w:rPr>
          <w:rFonts w:ascii="Times New Roman" w:hAnsi="Times New Roman" w:cs="Times New Roman"/>
          <w:color w:val="074B8C"/>
          <w:sz w:val="20"/>
          <w:szCs w:val="20"/>
        </w:rPr>
      </w:pPr>
      <w:r w:rsidRPr="00BF656E">
        <w:rPr>
          <w:rStyle w:val="FootnoteReference"/>
          <w:rFonts w:ascii="Times New Roman" w:hAnsi="Times New Roman" w:cs="Times New Roman"/>
          <w:color w:val="auto"/>
          <w:sz w:val="20"/>
          <w:szCs w:val="20"/>
        </w:rPr>
        <w:footnoteRef/>
      </w:r>
      <w:r w:rsidR="00BF656E">
        <w:rPr>
          <w:rFonts w:ascii="Times New Roman" w:hAnsi="Times New Roman" w:cs="Times New Roman"/>
          <w:color w:val="auto"/>
          <w:sz w:val="20"/>
          <w:szCs w:val="20"/>
        </w:rPr>
        <w:t xml:space="preserve"> </w:t>
      </w:r>
      <w:proofErr w:type="spellStart"/>
      <w:r w:rsidRPr="00BF656E">
        <w:rPr>
          <w:rFonts w:ascii="Times New Roman" w:hAnsi="Times New Roman" w:cs="Times New Roman"/>
          <w:color w:val="auto"/>
          <w:sz w:val="20"/>
          <w:szCs w:val="20"/>
        </w:rPr>
        <w:t>European</w:t>
      </w:r>
      <w:proofErr w:type="spellEnd"/>
      <w:r w:rsidRPr="00BF656E">
        <w:rPr>
          <w:rFonts w:ascii="Times New Roman" w:hAnsi="Times New Roman" w:cs="Times New Roman"/>
          <w:color w:val="auto"/>
          <w:sz w:val="20"/>
          <w:szCs w:val="20"/>
        </w:rPr>
        <w:t xml:space="preserve"> </w:t>
      </w:r>
      <w:proofErr w:type="spellStart"/>
      <w:r w:rsidRPr="00BF656E">
        <w:rPr>
          <w:rFonts w:ascii="Times New Roman" w:hAnsi="Times New Roman" w:cs="Times New Roman"/>
          <w:color w:val="auto"/>
          <w:sz w:val="20"/>
          <w:szCs w:val="20"/>
        </w:rPr>
        <w:t>Innovation</w:t>
      </w:r>
      <w:proofErr w:type="spellEnd"/>
      <w:r w:rsidRPr="00BF656E">
        <w:rPr>
          <w:rFonts w:ascii="Times New Roman" w:hAnsi="Times New Roman" w:cs="Times New Roman"/>
          <w:color w:val="auto"/>
          <w:sz w:val="20"/>
          <w:szCs w:val="20"/>
        </w:rPr>
        <w:t xml:space="preserve"> </w:t>
      </w:r>
      <w:proofErr w:type="spellStart"/>
      <w:r w:rsidRPr="00BF656E">
        <w:rPr>
          <w:rFonts w:ascii="Times New Roman" w:hAnsi="Times New Roman" w:cs="Times New Roman"/>
          <w:color w:val="auto"/>
          <w:sz w:val="20"/>
          <w:szCs w:val="20"/>
        </w:rPr>
        <w:t>Scoreboard</w:t>
      </w:r>
      <w:proofErr w:type="spellEnd"/>
      <w:r w:rsidRPr="00BF656E">
        <w:rPr>
          <w:rFonts w:ascii="Times New Roman" w:hAnsi="Times New Roman" w:cs="Times New Roman"/>
          <w:color w:val="auto"/>
          <w:sz w:val="20"/>
          <w:szCs w:val="20"/>
        </w:rPr>
        <w:t xml:space="preserve"> 2018: </w:t>
      </w:r>
      <w:hyperlink r:id="rId3" w:history="1">
        <w:r w:rsidRPr="00BF656E">
          <w:rPr>
            <w:rStyle w:val="Hyperlink"/>
            <w:rFonts w:ascii="Times New Roman" w:hAnsi="Times New Roman" w:cs="Times New Roman"/>
            <w:color w:val="auto"/>
            <w:sz w:val="20"/>
            <w:szCs w:val="20"/>
          </w:rPr>
          <w:t>https://ec.europa.eu/docsroom/documents/33147</w:t>
        </w:r>
      </w:hyperlink>
      <w:r w:rsidR="00BF656E">
        <w:rPr>
          <w:rStyle w:val="Hyperlink"/>
          <w:rFonts w:ascii="Times New Roman" w:hAnsi="Times New Roman" w:cs="Times New Roman"/>
          <w:color w:val="auto"/>
          <w:sz w:val="20"/>
          <w:szCs w:val="20"/>
        </w:rPr>
        <w:t>.</w:t>
      </w:r>
    </w:p>
  </w:footnote>
  <w:footnote w:id="30">
    <w:p w14:paraId="3CCCD9B0" w14:textId="77777777" w:rsidR="0057386D" w:rsidRPr="00BF656E" w:rsidRDefault="0057386D" w:rsidP="0057386D">
      <w:pPr>
        <w:rPr>
          <w:rFonts w:ascii="Times New Roman" w:hAnsi="Times New Roman" w:cs="Times New Roman"/>
          <w:color w:val="000000"/>
          <w:sz w:val="20"/>
          <w:szCs w:val="20"/>
          <w:shd w:val="clear" w:color="auto" w:fill="FFFFFF"/>
        </w:rPr>
      </w:pPr>
      <w:r w:rsidRPr="00BF656E">
        <w:rPr>
          <w:rStyle w:val="FootnoteReference"/>
          <w:rFonts w:ascii="Times New Roman" w:hAnsi="Times New Roman" w:cs="Times New Roman"/>
          <w:sz w:val="20"/>
          <w:szCs w:val="20"/>
        </w:rPr>
        <w:footnoteRef/>
      </w:r>
      <w:r w:rsidRPr="00BF656E">
        <w:rPr>
          <w:rFonts w:ascii="Times New Roman" w:hAnsi="Times New Roman" w:cs="Times New Roman"/>
          <w:sz w:val="20"/>
          <w:szCs w:val="20"/>
        </w:rPr>
        <w:t xml:space="preserve"> </w:t>
      </w:r>
      <w:r w:rsidRPr="00BF656E">
        <w:rPr>
          <w:rFonts w:ascii="Times New Roman" w:hAnsi="Times New Roman" w:cs="Times New Roman"/>
          <w:color w:val="000000"/>
          <w:sz w:val="20"/>
          <w:szCs w:val="20"/>
          <w:shd w:val="clear" w:color="auto" w:fill="FFFFFF"/>
        </w:rPr>
        <w:t>Ekonomiskās sadarbības un attīstības organizācijas (OECD) 2019. gada Ekonomikas pārskats par Latviju.</w:t>
      </w:r>
    </w:p>
  </w:footnote>
  <w:footnote w:id="31">
    <w:p w14:paraId="19C80B42" w14:textId="1F08158D" w:rsidR="0057386D" w:rsidRPr="0009558F" w:rsidRDefault="0057386D" w:rsidP="0057386D">
      <w:pPr>
        <w:pStyle w:val="FootnoteText"/>
        <w:rPr>
          <w:rFonts w:ascii="Times New Roman" w:hAnsi="Times New Roman" w:cs="Times New Roman"/>
          <w:sz w:val="16"/>
          <w:szCs w:val="16"/>
        </w:rPr>
      </w:pPr>
      <w:r w:rsidRPr="00BF656E">
        <w:rPr>
          <w:rStyle w:val="FootnoteReference"/>
          <w:rFonts w:ascii="Times New Roman" w:hAnsi="Times New Roman" w:cs="Times New Roman"/>
        </w:rPr>
        <w:footnoteRef/>
      </w:r>
      <w:r w:rsidR="00BF656E">
        <w:rPr>
          <w:rFonts w:ascii="Times New Roman" w:hAnsi="Times New Roman" w:cs="Times New Roman"/>
          <w:bCs/>
          <w:lang w:bidi="lo-LA"/>
        </w:rPr>
        <w:t xml:space="preserve"> </w:t>
      </w:r>
      <w:proofErr w:type="spellStart"/>
      <w:r w:rsidRPr="00BF656E">
        <w:rPr>
          <w:rFonts w:ascii="Times New Roman" w:hAnsi="Times New Roman" w:cs="Times New Roman"/>
          <w:bCs/>
          <w:lang w:bidi="lo-LA"/>
        </w:rPr>
        <w:t>Eurostat</w:t>
      </w:r>
      <w:proofErr w:type="spellEnd"/>
      <w:r w:rsidRPr="00BF656E">
        <w:rPr>
          <w:rFonts w:ascii="Times New Roman" w:hAnsi="Times New Roman" w:cs="Times New Roman"/>
          <w:bCs/>
          <w:lang w:bidi="lo-LA"/>
        </w:rPr>
        <w:t xml:space="preserve"> dati</w:t>
      </w:r>
      <w:r w:rsidR="00BF656E">
        <w:rPr>
          <w:rFonts w:ascii="Times New Roman" w:hAnsi="Times New Roman" w:cs="Times New Roman"/>
          <w:bCs/>
          <w:lang w:bidi="lo-LA"/>
        </w:rPr>
        <w:t>.</w:t>
      </w:r>
    </w:p>
  </w:footnote>
  <w:footnote w:id="32">
    <w:p w14:paraId="2A64A00B" w14:textId="77777777" w:rsidR="0057386D" w:rsidRPr="003F73B8" w:rsidRDefault="0057386D" w:rsidP="003F73B8">
      <w:pPr>
        <w:pStyle w:val="FootnoteText"/>
        <w:rPr>
          <w:rFonts w:ascii="Times New Roman" w:hAnsi="Times New Roman" w:cs="Times New Roman"/>
        </w:rPr>
      </w:pPr>
      <w:r w:rsidRPr="003F73B8">
        <w:rPr>
          <w:rStyle w:val="FootnoteReference"/>
          <w:rFonts w:ascii="Times New Roman" w:hAnsi="Times New Roman" w:cs="Times New Roman"/>
        </w:rPr>
        <w:footnoteRef/>
      </w:r>
      <w:r w:rsidRPr="003F73B8">
        <w:rPr>
          <w:rFonts w:ascii="Times New Roman" w:hAnsi="Times New Roman" w:cs="Times New Roman"/>
        </w:rPr>
        <w:t xml:space="preserve"> 2018. gada progresa ziņojums par nacionālās reformu programmas „Eiropa 2020” stratēģijas kontekstā īstenošanu.</w:t>
      </w:r>
    </w:p>
  </w:footnote>
  <w:footnote w:id="33">
    <w:p w14:paraId="715CA142" w14:textId="1B42DF80" w:rsidR="0057386D" w:rsidRPr="003F73B8" w:rsidRDefault="0057386D" w:rsidP="003F73B8">
      <w:pPr>
        <w:pStyle w:val="FootnoteText"/>
        <w:rPr>
          <w:rFonts w:ascii="Times New Roman" w:hAnsi="Times New Roman" w:cs="Times New Roman"/>
        </w:rPr>
      </w:pPr>
      <w:r w:rsidRPr="003F73B8">
        <w:rPr>
          <w:rStyle w:val="FootnoteReference"/>
          <w:rFonts w:ascii="Times New Roman" w:hAnsi="Times New Roman" w:cs="Times New Roman"/>
        </w:rPr>
        <w:footnoteRef/>
      </w:r>
      <w:r w:rsidRPr="003F73B8">
        <w:rPr>
          <w:rFonts w:ascii="Times New Roman" w:hAnsi="Times New Roman" w:cs="Times New Roman"/>
        </w:rPr>
        <w:t xml:space="preserve"> Komisijas dienestu darba dokuments 2019. gada ziņojums par Latviju, Brisele, 27.02.2019., pieejams: https://ec.europa.eu/info/sites/info/files/file_import/2019-european-semester-country-report-latvia_lv.pdf.</w:t>
      </w:r>
    </w:p>
  </w:footnote>
  <w:footnote w:id="34">
    <w:p w14:paraId="09A343F6" w14:textId="77777777" w:rsidR="0057386D" w:rsidRPr="003F73B8" w:rsidRDefault="0057386D" w:rsidP="003F73B8">
      <w:pPr>
        <w:pStyle w:val="FootnoteText"/>
        <w:rPr>
          <w:rFonts w:ascii="Times New Roman" w:hAnsi="Times New Roman" w:cs="Times New Roman"/>
        </w:rPr>
      </w:pPr>
      <w:r w:rsidRPr="003F73B8">
        <w:rPr>
          <w:rStyle w:val="FootnoteReference"/>
          <w:rFonts w:ascii="Times New Roman" w:hAnsi="Times New Roman" w:cs="Times New Roman"/>
        </w:rPr>
        <w:footnoteRef/>
      </w:r>
      <w:r w:rsidRPr="003F73B8">
        <w:rPr>
          <w:rFonts w:ascii="Times New Roman" w:hAnsi="Times New Roman" w:cs="Times New Roman"/>
        </w:rPr>
        <w:t xml:space="preserve"> Zinātnieku īpatsvars (pilna laika ekvivalenta izteiksmē) no kopējā darbaspēka Latvijā ir 0,62% (</w:t>
      </w:r>
      <w:proofErr w:type="spellStart"/>
      <w:r w:rsidRPr="003F73B8">
        <w:rPr>
          <w:rFonts w:ascii="Times New Roman" w:hAnsi="Times New Roman" w:cs="Times New Roman"/>
        </w:rPr>
        <w:t>Eurostat</w:t>
      </w:r>
      <w:proofErr w:type="spellEnd"/>
      <w:r w:rsidRPr="003F73B8">
        <w:rPr>
          <w:rFonts w:ascii="Times New Roman" w:hAnsi="Times New Roman" w:cs="Times New Roman"/>
        </w:rPr>
        <w:t>, 2017), salīdzinoši: Lietuvā – 0,88%, Igaunijā – 0,97%, ES vidēji – 1,39%. Kopējais zinātniskā personāla (zinātnieki, profesionāļi un projektu vadītāji) skaits Latvijā ir aptuveni 7000 (CSP, 2017) (neskaitot pārējos zinātniskos darbiniekus (tehniķi, laboranti, u.tml.).</w:t>
      </w:r>
    </w:p>
  </w:footnote>
  <w:footnote w:id="35">
    <w:p w14:paraId="5772E5E5" w14:textId="77777777" w:rsidR="0057386D" w:rsidRPr="003F73B8" w:rsidRDefault="0057386D" w:rsidP="003F73B8">
      <w:pPr>
        <w:pStyle w:val="FootnoteText"/>
        <w:rPr>
          <w:rFonts w:ascii="Times New Roman" w:hAnsi="Times New Roman" w:cs="Times New Roman"/>
        </w:rPr>
      </w:pPr>
      <w:r w:rsidRPr="003F73B8">
        <w:rPr>
          <w:rStyle w:val="FootnoteReference"/>
          <w:rFonts w:ascii="Times New Roman" w:hAnsi="Times New Roman" w:cs="Times New Roman"/>
        </w:rPr>
        <w:footnoteRef/>
      </w:r>
      <w:r w:rsidRPr="003F73B8">
        <w:rPr>
          <w:rFonts w:ascii="Times New Roman" w:hAnsi="Times New Roman" w:cs="Times New Roman"/>
        </w:rPr>
        <w:t xml:space="preserve"> No zinātniskā personāla kopskaita (~7000), 15% ir pensijas vecumā, bet 31% - vecāki par 55 gadiem (CSP, 2017).</w:t>
      </w:r>
    </w:p>
  </w:footnote>
  <w:footnote w:id="36">
    <w:p w14:paraId="6DEA5E80" w14:textId="77777777" w:rsidR="0057386D" w:rsidRPr="003F73B8" w:rsidRDefault="0057386D" w:rsidP="003F73B8">
      <w:pPr>
        <w:pStyle w:val="FootnoteText"/>
        <w:rPr>
          <w:rFonts w:ascii="Times New Roman" w:hAnsi="Times New Roman" w:cs="Times New Roman"/>
        </w:rPr>
      </w:pPr>
      <w:r w:rsidRPr="003F73B8">
        <w:rPr>
          <w:rStyle w:val="FootnoteReference"/>
          <w:rFonts w:ascii="Times New Roman" w:hAnsi="Times New Roman" w:cs="Times New Roman"/>
        </w:rPr>
        <w:footnoteRef/>
      </w:r>
      <w:r w:rsidRPr="003F73B8">
        <w:rPr>
          <w:rFonts w:ascii="Times New Roman" w:hAnsi="Times New Roman" w:cs="Times New Roman"/>
        </w:rPr>
        <w:t xml:space="preserve"> Ikgadējā statistika par augstāko izglītību Latvijā </w:t>
      </w:r>
      <w:hyperlink r:id="rId4" w:history="1">
        <w:r w:rsidRPr="003F73B8">
          <w:rPr>
            <w:rStyle w:val="Hyperlink"/>
            <w:rFonts w:ascii="Times New Roman" w:hAnsi="Times New Roman" w:cs="Times New Roman"/>
          </w:rPr>
          <w:t>https://www.izm.gov.lv/lv/publikacijas-un-statistika/statistika-par-izglitibu/statistika-par-augstako-izglitibu</w:t>
        </w:r>
      </w:hyperlink>
      <w:r w:rsidRPr="003F73B8">
        <w:rPr>
          <w:rFonts w:ascii="Times New Roman" w:hAnsi="Times New Roman" w:cs="Times New Roman"/>
        </w:rPr>
        <w:t xml:space="preserve"> </w:t>
      </w:r>
    </w:p>
  </w:footnote>
  <w:footnote w:id="37">
    <w:p w14:paraId="53384C4F" w14:textId="77777777" w:rsidR="0057386D" w:rsidRPr="003F73B8" w:rsidRDefault="0057386D" w:rsidP="003F73B8">
      <w:pPr>
        <w:pStyle w:val="FootnoteText"/>
        <w:rPr>
          <w:rFonts w:ascii="Times New Roman" w:hAnsi="Times New Roman" w:cs="Times New Roman"/>
        </w:rPr>
      </w:pPr>
      <w:r w:rsidRPr="003F73B8">
        <w:rPr>
          <w:rStyle w:val="FootnoteReference"/>
          <w:rFonts w:ascii="Times New Roman" w:hAnsi="Times New Roman" w:cs="Times New Roman"/>
        </w:rPr>
        <w:footnoteRef/>
      </w:r>
      <w:r w:rsidRPr="003F73B8">
        <w:rPr>
          <w:rFonts w:ascii="Times New Roman" w:hAnsi="Times New Roman" w:cs="Times New Roman"/>
        </w:rPr>
        <w:t xml:space="preserve"> Pieaug kvalificētu darbinieku trūkums- no 2009. līdz 2016. gadam 40% emigrējušo bija augsti izglītoti darbinieki. Eiropas Komisija, Valsts ziņojums par Latviju 2018, Brisele. Pieejams: </w:t>
      </w:r>
      <w:hyperlink r:id="rId5" w:history="1">
        <w:r w:rsidRPr="003F73B8">
          <w:rPr>
            <w:rStyle w:val="Hyperlink"/>
            <w:rFonts w:ascii="Times New Roman" w:hAnsi="Times New Roman" w:cs="Times New Roman"/>
          </w:rPr>
          <w:t>https://ec.europa.eu/info/sites/info/files/2018-european-pusgads country-report-latvia-en_1.pdf</w:t>
        </w:r>
      </w:hyperlink>
      <w:r w:rsidRPr="003F73B8">
        <w:rPr>
          <w:rFonts w:ascii="Times New Roman" w:hAnsi="Times New Roman" w:cs="Times New Roman"/>
        </w:rPr>
        <w:t xml:space="preserve">. </w:t>
      </w:r>
    </w:p>
  </w:footnote>
  <w:footnote w:id="38">
    <w:p w14:paraId="31D45DA0" w14:textId="77777777" w:rsidR="0057386D" w:rsidRPr="00371CA1" w:rsidRDefault="0057386D" w:rsidP="003F73B8">
      <w:pPr>
        <w:rPr>
          <w:rFonts w:ascii="Times New Roman" w:hAnsi="Times New Roman" w:cs="Times New Roman"/>
          <w:sz w:val="18"/>
          <w:szCs w:val="18"/>
        </w:rPr>
      </w:pPr>
      <w:r w:rsidRPr="003F73B8">
        <w:rPr>
          <w:rStyle w:val="FootnoteReference"/>
          <w:rFonts w:ascii="Times New Roman" w:hAnsi="Times New Roman" w:cs="Times New Roman"/>
          <w:sz w:val="20"/>
          <w:szCs w:val="20"/>
        </w:rPr>
        <w:footnoteRef/>
      </w:r>
      <w:r w:rsidRPr="003F73B8">
        <w:rPr>
          <w:rFonts w:ascii="Times New Roman" w:hAnsi="Times New Roman" w:cs="Times New Roman"/>
          <w:sz w:val="20"/>
          <w:szCs w:val="20"/>
        </w:rPr>
        <w:t xml:space="preserve"> OECD publicētajā Latvijas ekonomiskajā pārskatā norāda uz zemu zinātnes un rūpniecības nozares sadarbību kā vienu no zemas produktivitātes iemesliem. OECD </w:t>
      </w:r>
      <w:proofErr w:type="spellStart"/>
      <w:r w:rsidRPr="003F73B8">
        <w:rPr>
          <w:rFonts w:ascii="Times New Roman" w:hAnsi="Times New Roman" w:cs="Times New Roman"/>
          <w:sz w:val="20"/>
          <w:szCs w:val="20"/>
        </w:rPr>
        <w:t>Economic</w:t>
      </w:r>
      <w:proofErr w:type="spellEnd"/>
      <w:r w:rsidRPr="003F73B8">
        <w:rPr>
          <w:rFonts w:ascii="Times New Roman" w:hAnsi="Times New Roman" w:cs="Times New Roman"/>
          <w:sz w:val="20"/>
          <w:szCs w:val="20"/>
        </w:rPr>
        <w:t xml:space="preserve"> </w:t>
      </w:r>
      <w:proofErr w:type="spellStart"/>
      <w:r w:rsidRPr="003F73B8">
        <w:rPr>
          <w:rFonts w:ascii="Times New Roman" w:hAnsi="Times New Roman" w:cs="Times New Roman"/>
          <w:sz w:val="20"/>
          <w:szCs w:val="20"/>
        </w:rPr>
        <w:t>Surveys</w:t>
      </w:r>
      <w:proofErr w:type="spellEnd"/>
      <w:r w:rsidRPr="003F73B8">
        <w:rPr>
          <w:rFonts w:ascii="Times New Roman" w:hAnsi="Times New Roman" w:cs="Times New Roman"/>
          <w:sz w:val="20"/>
          <w:szCs w:val="20"/>
        </w:rPr>
        <w:t xml:space="preserve">: Latvia, OECD 2019. Pieejams: </w:t>
      </w:r>
      <w:hyperlink r:id="rId6" w:history="1">
        <w:r w:rsidRPr="003F73B8">
          <w:rPr>
            <w:rStyle w:val="Hyperlink"/>
            <w:rFonts w:ascii="Times New Roman" w:hAnsi="Times New Roman" w:cs="Times New Roman"/>
            <w:sz w:val="20"/>
            <w:szCs w:val="20"/>
          </w:rPr>
          <w:t>http://www.oecd.org/economy/surveys/Latvia-2019-OECD-economic-survey-overview.pdf</w:t>
        </w:r>
      </w:hyperlink>
      <w:r w:rsidRPr="003F73B8">
        <w:rPr>
          <w:rFonts w:ascii="Times New Roman" w:hAnsi="Times New Roman" w:cs="Times New Roman"/>
          <w:sz w:val="20"/>
          <w:szCs w:val="20"/>
        </w:rPr>
        <w:t>.  Eiropas Komisija, savukārt uzsver zemo pētnieku piedāvājumu no valsts sektora un ierobežoto pētnieku mobilitāti uz privāto sektoru, kas kavē inovācijas darbību  attīstību. Eiropas Komisija. Komisijas dienestu darba dokuments 2019. gada ziņojums par Latviju, Brisele, 27.02.2019., pieejams: https://ec.europa.eu/info/sites/info/files/file_import/2019-european-semester-country-report-latvia_lv.pdf.</w:t>
      </w:r>
    </w:p>
  </w:footnote>
  <w:footnote w:id="39">
    <w:p w14:paraId="13FFCAFC" w14:textId="77777777" w:rsidR="0029214E" w:rsidRPr="008C518D" w:rsidRDefault="0029214E" w:rsidP="0029214E">
      <w:pPr>
        <w:pStyle w:val="FootnoteText"/>
        <w:rPr>
          <w:rFonts w:ascii="Times New Roman" w:hAnsi="Times New Roman" w:cs="Times New Roman"/>
        </w:rPr>
      </w:pPr>
      <w:r w:rsidRPr="008C518D">
        <w:rPr>
          <w:rStyle w:val="FootnoteReference"/>
          <w:rFonts w:ascii="Times New Roman" w:hAnsi="Times New Roman" w:cs="Times New Roman"/>
        </w:rPr>
        <w:footnoteRef/>
      </w:r>
      <w:r w:rsidRPr="008C518D">
        <w:rPr>
          <w:rFonts w:ascii="Times New Roman" w:hAnsi="Times New Roman" w:cs="Times New Roman"/>
        </w:rPr>
        <w:t xml:space="preserve"> </w:t>
      </w:r>
      <w:r w:rsidRPr="008C518D">
        <w:rPr>
          <w:rFonts w:ascii="Times New Roman" w:eastAsia="Times New Roman" w:hAnsi="Times New Roman" w:cs="Times New Roman"/>
          <w:bCs/>
          <w:szCs w:val="24"/>
          <w:lang w:eastAsia="lv-LV"/>
        </w:rPr>
        <w:t xml:space="preserve">Pašvaldību nodokļu ieņēmumi uz vienu iedzīvotāju, </w:t>
      </w:r>
      <w:proofErr w:type="spellStart"/>
      <w:r w:rsidRPr="00F506E1">
        <w:rPr>
          <w:rFonts w:ascii="Times New Roman" w:eastAsia="Times New Roman" w:hAnsi="Times New Roman" w:cs="Times New Roman"/>
          <w:bCs/>
          <w:i/>
          <w:szCs w:val="24"/>
          <w:lang w:eastAsia="lv-LV"/>
        </w:rPr>
        <w:t>euro</w:t>
      </w:r>
      <w:proofErr w:type="spellEnd"/>
      <w:r w:rsidRPr="008C518D">
        <w:rPr>
          <w:rFonts w:ascii="Times New Roman" w:eastAsia="Times New Roman" w:hAnsi="Times New Roman" w:cs="Times New Roman"/>
          <w:bCs/>
          <w:szCs w:val="24"/>
          <w:lang w:eastAsia="lv-LV"/>
        </w:rPr>
        <w:t xml:space="preserve"> (2017.gads). Avots: RAIM dati.</w:t>
      </w:r>
    </w:p>
  </w:footnote>
  <w:footnote w:id="40">
    <w:p w14:paraId="571AE8C2" w14:textId="77777777" w:rsidR="0029214E" w:rsidRDefault="0029214E" w:rsidP="0029214E">
      <w:pPr>
        <w:pStyle w:val="FootnoteText"/>
      </w:pPr>
      <w:r>
        <w:rPr>
          <w:rStyle w:val="FootnoteReference"/>
        </w:rPr>
        <w:footnoteRef/>
      </w:r>
      <w:r>
        <w:t xml:space="preserve"> </w:t>
      </w:r>
      <w:r w:rsidRPr="00D76CDA">
        <w:rPr>
          <w:rFonts w:ascii="Times New Roman" w:hAnsi="Times New Roman" w:cs="Times New Roman"/>
        </w:rPr>
        <w:t xml:space="preserve">OECD (2019) </w:t>
      </w:r>
      <w:proofErr w:type="spellStart"/>
      <w:r w:rsidRPr="00D76CDA">
        <w:rPr>
          <w:rFonts w:ascii="Times New Roman" w:hAnsi="Times New Roman" w:cs="Times New Roman"/>
        </w:rPr>
        <w:t>Issues</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for</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discussion</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Economic</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survey</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of</w:t>
      </w:r>
      <w:proofErr w:type="spellEnd"/>
      <w:r w:rsidRPr="00D76CDA">
        <w:rPr>
          <w:rFonts w:ascii="Times New Roman" w:hAnsi="Times New Roman" w:cs="Times New Roman"/>
        </w:rPr>
        <w:t xml:space="preserve"> Latvia.</w:t>
      </w:r>
    </w:p>
  </w:footnote>
  <w:footnote w:id="41">
    <w:p w14:paraId="6254A723" w14:textId="77777777" w:rsidR="00DA428C" w:rsidRPr="00B61F8F" w:rsidRDefault="00DA428C" w:rsidP="00DA428C">
      <w:pPr>
        <w:pStyle w:val="FootnoteText"/>
        <w:rPr>
          <w:rFonts w:ascii="Times New Roman" w:hAnsi="Times New Roman" w:cs="Times New Roman"/>
        </w:rPr>
      </w:pPr>
      <w:r w:rsidRPr="00B61F8F">
        <w:rPr>
          <w:rStyle w:val="FootnoteReference"/>
          <w:rFonts w:ascii="Times New Roman" w:hAnsi="Times New Roman" w:cs="Times New Roman"/>
        </w:rPr>
        <w:footnoteRef/>
      </w:r>
      <w:r w:rsidRPr="00B61F8F">
        <w:rPr>
          <w:rFonts w:ascii="Times New Roman" w:hAnsi="Times New Roman" w:cs="Times New Roman"/>
        </w:rPr>
        <w:t xml:space="preserve"> OECD (2018). OECD </w:t>
      </w:r>
      <w:proofErr w:type="spellStart"/>
      <w:r w:rsidRPr="00B61F8F">
        <w:rPr>
          <w:rFonts w:ascii="Times New Roman" w:hAnsi="Times New Roman" w:cs="Times New Roman"/>
        </w:rPr>
        <w:t>Regions</w:t>
      </w:r>
      <w:proofErr w:type="spellEnd"/>
      <w:r w:rsidRPr="00B61F8F">
        <w:rPr>
          <w:rFonts w:ascii="Times New Roman" w:hAnsi="Times New Roman" w:cs="Times New Roman"/>
        </w:rPr>
        <w:t xml:space="preserve"> </w:t>
      </w:r>
      <w:proofErr w:type="spellStart"/>
      <w:r w:rsidRPr="00B61F8F">
        <w:rPr>
          <w:rFonts w:ascii="Times New Roman" w:hAnsi="Times New Roman" w:cs="Times New Roman"/>
        </w:rPr>
        <w:t>and</w:t>
      </w:r>
      <w:proofErr w:type="spellEnd"/>
      <w:r w:rsidRPr="00B61F8F">
        <w:rPr>
          <w:rFonts w:ascii="Times New Roman" w:hAnsi="Times New Roman" w:cs="Times New Roman"/>
        </w:rPr>
        <w:t xml:space="preserve"> </w:t>
      </w:r>
      <w:proofErr w:type="spellStart"/>
      <w:r w:rsidRPr="00B61F8F">
        <w:rPr>
          <w:rFonts w:ascii="Times New Roman" w:hAnsi="Times New Roman" w:cs="Times New Roman"/>
        </w:rPr>
        <w:t>Cities</w:t>
      </w:r>
      <w:proofErr w:type="spellEnd"/>
      <w:r w:rsidRPr="00B61F8F">
        <w:rPr>
          <w:rFonts w:ascii="Times New Roman" w:hAnsi="Times New Roman" w:cs="Times New Roman"/>
        </w:rPr>
        <w:t xml:space="preserve"> </w:t>
      </w:r>
      <w:proofErr w:type="spellStart"/>
      <w:r w:rsidRPr="00B61F8F">
        <w:rPr>
          <w:rFonts w:ascii="Times New Roman" w:hAnsi="Times New Roman" w:cs="Times New Roman"/>
        </w:rPr>
        <w:t>at</w:t>
      </w:r>
      <w:proofErr w:type="spellEnd"/>
      <w:r w:rsidRPr="00B61F8F">
        <w:rPr>
          <w:rFonts w:ascii="Times New Roman" w:hAnsi="Times New Roman" w:cs="Times New Roman"/>
        </w:rPr>
        <w:t xml:space="preserve"> a </w:t>
      </w:r>
      <w:proofErr w:type="spellStart"/>
      <w:r w:rsidRPr="00B61F8F">
        <w:rPr>
          <w:rFonts w:ascii="Times New Roman" w:hAnsi="Times New Roman" w:cs="Times New Roman"/>
        </w:rPr>
        <w:t>Glance</w:t>
      </w:r>
      <w:proofErr w:type="spellEnd"/>
      <w:r w:rsidRPr="00B61F8F">
        <w:rPr>
          <w:rFonts w:ascii="Times New Roman" w:hAnsi="Times New Roman" w:cs="Times New Roman"/>
        </w:rPr>
        <w:t xml:space="preserve"> 2018, pp.72.</w:t>
      </w:r>
    </w:p>
  </w:footnote>
  <w:footnote w:id="42">
    <w:p w14:paraId="649CCAF8" w14:textId="77777777" w:rsidR="008B64A0" w:rsidRDefault="008B64A0">
      <w:pPr>
        <w:pStyle w:val="FootnoteText"/>
      </w:pPr>
      <w:r>
        <w:rPr>
          <w:rStyle w:val="FootnoteReference"/>
        </w:rPr>
        <w:footnoteRef/>
      </w:r>
      <w:r>
        <w:t xml:space="preserve"> CSP. </w:t>
      </w:r>
      <w:r w:rsidRPr="008B64A0">
        <w:rPr>
          <w:rFonts w:ascii="Times New Roman" w:hAnsi="Times New Roman" w:cs="Times New Roman"/>
        </w:rPr>
        <w:t>ISG020. Iedzīvotāju skaits un tā izmaiņas statistiskajos reģionos, republikas pilsētās, novadu pilsētās un novados</w:t>
      </w:r>
      <w:r>
        <w:rPr>
          <w:rFonts w:ascii="Times New Roman" w:hAnsi="Times New Roman" w:cs="Times New Roman"/>
        </w:rPr>
        <w:t xml:space="preserve">. Pieejams: </w:t>
      </w:r>
      <w:r w:rsidRPr="008B64A0">
        <w:rPr>
          <w:rFonts w:ascii="Times New Roman" w:hAnsi="Times New Roman" w:cs="Times New Roman"/>
        </w:rPr>
        <w:t>https://www.csb.gov.lv/lv/statistika/statistikas-temas/iedzivotaji/iedzivotaju-skaits/tabulas/isg020/iedzivotaju-skaits-un-ta-izmainas</w:t>
      </w:r>
      <w:r>
        <w:rPr>
          <w:rFonts w:ascii="Times New Roman" w:hAnsi="Times New Roman" w:cs="Times New Roman"/>
        </w:rPr>
        <w:t>.</w:t>
      </w:r>
    </w:p>
  </w:footnote>
  <w:footnote w:id="43">
    <w:p w14:paraId="6E238374" w14:textId="77777777" w:rsidR="006A0B2F" w:rsidRPr="006A0B2F" w:rsidRDefault="006A0B2F">
      <w:pPr>
        <w:pStyle w:val="FootnoteText"/>
        <w:rPr>
          <w:rFonts w:ascii="Times New Roman" w:hAnsi="Times New Roman" w:cs="Times New Roman"/>
        </w:rPr>
      </w:pPr>
      <w:r w:rsidRPr="006A0B2F">
        <w:rPr>
          <w:rStyle w:val="FootnoteReference"/>
          <w:rFonts w:ascii="Times New Roman" w:hAnsi="Times New Roman" w:cs="Times New Roman"/>
        </w:rPr>
        <w:footnoteRef/>
      </w:r>
      <w:r w:rsidRPr="006A0B2F">
        <w:rPr>
          <w:rFonts w:ascii="Times New Roman" w:hAnsi="Times New Roman" w:cs="Times New Roman"/>
        </w:rPr>
        <w:t xml:space="preserve"> CSP. IBG100. Iedzīvotāju ilgtermiņa migrācijas saldo reģionos, republikas pilsētās un novados. Pieejams: https://data1.csb.gov.lv/pxweb/lv/iedz/iedz__migr/IBG100.px/table/tableViewLayout1/?rxid=1a3a420a-d474-4060-9a0e-66a34fff6e91.</w:t>
      </w:r>
    </w:p>
  </w:footnote>
  <w:footnote w:id="44">
    <w:p w14:paraId="6376E08A" w14:textId="77777777" w:rsidR="008D2F09" w:rsidRDefault="008D2F09">
      <w:pPr>
        <w:pStyle w:val="FootnoteText"/>
      </w:pPr>
      <w:r>
        <w:rPr>
          <w:rStyle w:val="FootnoteReference"/>
        </w:rPr>
        <w:footnoteRef/>
      </w:r>
      <w:r>
        <w:t xml:space="preserve"> </w:t>
      </w:r>
      <w:r w:rsidRPr="00D76CDA">
        <w:rPr>
          <w:rFonts w:ascii="Times New Roman" w:hAnsi="Times New Roman" w:cs="Times New Roman"/>
        </w:rPr>
        <w:t xml:space="preserve">OECD (2019) </w:t>
      </w:r>
      <w:proofErr w:type="spellStart"/>
      <w:r w:rsidRPr="00D76CDA">
        <w:rPr>
          <w:rFonts w:ascii="Times New Roman" w:hAnsi="Times New Roman" w:cs="Times New Roman"/>
        </w:rPr>
        <w:t>Economic</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survey</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of</w:t>
      </w:r>
      <w:proofErr w:type="spellEnd"/>
      <w:r w:rsidRPr="00D76CDA">
        <w:rPr>
          <w:rFonts w:ascii="Times New Roman" w:hAnsi="Times New Roman" w:cs="Times New Roman"/>
        </w:rPr>
        <w:t xml:space="preserve"> Latvia.</w:t>
      </w:r>
    </w:p>
  </w:footnote>
  <w:footnote w:id="45">
    <w:p w14:paraId="62910172" w14:textId="77777777" w:rsidR="00F82AFC" w:rsidRDefault="00F82AFC">
      <w:pPr>
        <w:pStyle w:val="FootnoteText"/>
      </w:pPr>
      <w:r>
        <w:rPr>
          <w:rStyle w:val="FootnoteReference"/>
        </w:rPr>
        <w:footnoteRef/>
      </w:r>
      <w:r>
        <w:t xml:space="preserve"> </w:t>
      </w:r>
      <w:r w:rsidRPr="00D76CDA">
        <w:rPr>
          <w:rFonts w:ascii="Times New Roman" w:hAnsi="Times New Roman" w:cs="Times New Roman"/>
        </w:rPr>
        <w:t xml:space="preserve">OECD (2019) </w:t>
      </w:r>
      <w:proofErr w:type="spellStart"/>
      <w:r w:rsidRPr="00D76CDA">
        <w:rPr>
          <w:rFonts w:ascii="Times New Roman" w:hAnsi="Times New Roman" w:cs="Times New Roman"/>
        </w:rPr>
        <w:t>Issues</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for</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discussion</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Economic</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survey</w:t>
      </w:r>
      <w:proofErr w:type="spellEnd"/>
      <w:r w:rsidRPr="00D76CDA">
        <w:rPr>
          <w:rFonts w:ascii="Times New Roman" w:hAnsi="Times New Roman" w:cs="Times New Roman"/>
        </w:rPr>
        <w:t xml:space="preserve"> </w:t>
      </w:r>
      <w:proofErr w:type="spellStart"/>
      <w:r w:rsidRPr="00D76CDA">
        <w:rPr>
          <w:rFonts w:ascii="Times New Roman" w:hAnsi="Times New Roman" w:cs="Times New Roman"/>
        </w:rPr>
        <w:t>of</w:t>
      </w:r>
      <w:proofErr w:type="spellEnd"/>
      <w:r w:rsidRPr="00D76CDA">
        <w:rPr>
          <w:rFonts w:ascii="Times New Roman" w:hAnsi="Times New Roman" w:cs="Times New Roman"/>
        </w:rPr>
        <w:t xml:space="preserve"> Latvia.</w:t>
      </w:r>
    </w:p>
  </w:footnote>
  <w:footnote w:id="46">
    <w:p w14:paraId="6FF16128" w14:textId="77777777" w:rsidR="00D65C8D" w:rsidRPr="00D65C8D" w:rsidRDefault="00D65C8D">
      <w:pPr>
        <w:pStyle w:val="FootnoteText"/>
        <w:rPr>
          <w:rFonts w:ascii="Times New Roman" w:hAnsi="Times New Roman" w:cs="Times New Roman"/>
        </w:rPr>
      </w:pPr>
      <w:r w:rsidRPr="00D65C8D">
        <w:rPr>
          <w:rStyle w:val="FootnoteReference"/>
          <w:rFonts w:ascii="Times New Roman" w:hAnsi="Times New Roman" w:cs="Times New Roman"/>
        </w:rPr>
        <w:footnoteRef/>
      </w:r>
      <w:r w:rsidRPr="00D65C8D">
        <w:rPr>
          <w:rFonts w:ascii="Times New Roman" w:hAnsi="Times New Roman" w:cs="Times New Roman"/>
        </w:rPr>
        <w:t xml:space="preserve"> CSP. ISG020. Iedzīvotāju skaits un tā izmaiņas statistiskajos reģionos, republikas pilsētās, novadu pilsētās un novados. Pieejams: https://data1.csb.gov.lv/pxweb/lv/iedz/iedz__iedzskaits__ikgad/ISG020.px/table/tableViewLayout1/?rxid=248a40bb-0456-406a-9e57-0a50c217d64c.</w:t>
      </w:r>
    </w:p>
  </w:footnote>
  <w:footnote w:id="47">
    <w:p w14:paraId="1BFE5756" w14:textId="45EA4905" w:rsidR="198CAFD9" w:rsidRDefault="198CAFD9" w:rsidP="198CAFD9">
      <w:pPr>
        <w:rPr>
          <w:rFonts w:ascii="Times New Roman" w:eastAsia="Times New Roman" w:hAnsi="Times New Roman" w:cs="Times New Roman"/>
          <w:sz w:val="20"/>
          <w:szCs w:val="20"/>
        </w:rPr>
      </w:pPr>
      <w:r w:rsidRPr="198CAFD9">
        <w:rPr>
          <w:rFonts w:ascii="Times New Roman" w:eastAsia="Times New Roman" w:hAnsi="Times New Roman" w:cs="Times New Roman"/>
          <w:sz w:val="20"/>
          <w:szCs w:val="20"/>
          <w:vertAlign w:val="superscript"/>
        </w:rPr>
        <w:footnoteRef/>
      </w:r>
      <w:r w:rsidRPr="198CAFD9">
        <w:rPr>
          <w:rFonts w:ascii="Times New Roman" w:eastAsia="Times New Roman" w:hAnsi="Times New Roman" w:cs="Times New Roman"/>
          <w:sz w:val="20"/>
          <w:szCs w:val="20"/>
        </w:rPr>
        <w:t xml:space="preserve"> CSP. </w:t>
      </w:r>
      <w:r w:rsidRPr="198CAFD9">
        <w:rPr>
          <w:rFonts w:ascii="Times New Roman" w:eastAsia="Times New Roman" w:hAnsi="Times New Roman" w:cs="Times New Roman"/>
          <w:color w:val="222222"/>
          <w:sz w:val="20"/>
          <w:szCs w:val="20"/>
        </w:rPr>
        <w:t xml:space="preserve">ISG020. Iedzīvotāju skaits un tā izmaiņas statistiskajos reģionos, republikas pilsētās, novadu pilsētās un novados. Pieejams: </w:t>
      </w:r>
      <w:hyperlink r:id="rId7">
        <w:r w:rsidRPr="198CAFD9">
          <w:rPr>
            <w:rStyle w:val="Hyperlink"/>
            <w:rFonts w:ascii="Times New Roman" w:eastAsia="Times New Roman" w:hAnsi="Times New Roman" w:cs="Times New Roman"/>
            <w:sz w:val="20"/>
            <w:szCs w:val="20"/>
          </w:rPr>
          <w:t>https://data1.csb.gov.lv/pxweb/lv/iedz/iedz__iedzskaits__ikgad/ISG020.px/table/tableViewLayout1/</w:t>
        </w:r>
      </w:hyperlink>
      <w:r w:rsidRPr="198CAFD9">
        <w:rPr>
          <w:rFonts w:ascii="Times New Roman" w:eastAsia="Times New Roman" w:hAnsi="Times New Roman" w:cs="Times New Roman"/>
          <w:sz w:val="20"/>
          <w:szCs w:val="20"/>
        </w:rPr>
        <w:t>.</w:t>
      </w:r>
    </w:p>
  </w:footnote>
  <w:footnote w:id="48">
    <w:p w14:paraId="39BFF0B0" w14:textId="77777777" w:rsidR="009D002E" w:rsidRDefault="009D002E" w:rsidP="009D002E">
      <w:pPr>
        <w:pStyle w:val="FootnoteText"/>
      </w:pPr>
      <w:r>
        <w:rPr>
          <w:rStyle w:val="FootnoteReference"/>
        </w:rPr>
        <w:footnoteRef/>
      </w:r>
      <w:r w:rsidRPr="00455ED7">
        <w:rPr>
          <w:rFonts w:ascii="Times New Roman" w:hAnsi="Times New Roman" w:cs="Times New Roman"/>
        </w:rPr>
        <w:t>Pārskats par iedzīvotāju iesaistes piemēriem Latvijas pašvaldībās, Sabiedriskās politikas centrs “Providus”,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769"/>
      <w:gridCol w:w="2769"/>
      <w:gridCol w:w="2769"/>
    </w:tblGrid>
    <w:tr w:rsidR="3D9A9DCD" w14:paraId="01E250EA" w14:textId="77777777" w:rsidTr="3D9A9DCD">
      <w:tc>
        <w:tcPr>
          <w:tcW w:w="2769" w:type="dxa"/>
        </w:tcPr>
        <w:p w14:paraId="5687A41D" w14:textId="60D77A6F" w:rsidR="3D9A9DCD" w:rsidRDefault="3D9A9DCD" w:rsidP="3D9A9DCD">
          <w:pPr>
            <w:pStyle w:val="Header"/>
            <w:ind w:left="-115"/>
            <w:jc w:val="left"/>
          </w:pPr>
        </w:p>
      </w:tc>
      <w:tc>
        <w:tcPr>
          <w:tcW w:w="2769" w:type="dxa"/>
        </w:tcPr>
        <w:p w14:paraId="66A632EB" w14:textId="77E45BC5" w:rsidR="3D9A9DCD" w:rsidRDefault="3D9A9DCD" w:rsidP="3D9A9DCD">
          <w:pPr>
            <w:pStyle w:val="Header"/>
            <w:jc w:val="center"/>
          </w:pPr>
        </w:p>
      </w:tc>
      <w:tc>
        <w:tcPr>
          <w:tcW w:w="2769" w:type="dxa"/>
        </w:tcPr>
        <w:p w14:paraId="26A34956" w14:textId="0BE2CDAF" w:rsidR="3D9A9DCD" w:rsidRDefault="3D9A9DCD" w:rsidP="3D9A9DCD">
          <w:pPr>
            <w:pStyle w:val="Header"/>
            <w:ind w:right="-115"/>
            <w:jc w:val="right"/>
          </w:pPr>
        </w:p>
      </w:tc>
    </w:tr>
  </w:tbl>
  <w:p w14:paraId="605B5B33" w14:textId="6A69FD0E" w:rsidR="3D9A9DCD" w:rsidRPr="008F7B3E" w:rsidRDefault="008F7B3E" w:rsidP="008F7B3E">
    <w:pPr>
      <w:pStyle w:val="Header"/>
      <w:jc w:val="right"/>
      <w:rPr>
        <w:rFonts w:ascii="Times New Roman" w:hAnsi="Times New Roman" w:cs="Times New Roman"/>
        <w:i/>
        <w:sz w:val="24"/>
        <w:szCs w:val="24"/>
      </w:rPr>
    </w:pPr>
    <w:r w:rsidRPr="008F7B3E">
      <w:rPr>
        <w:rFonts w:ascii="Times New Roman" w:hAnsi="Times New Roman" w:cs="Times New Roman"/>
        <w:i/>
        <w:sz w:val="24"/>
        <w:szCs w:val="24"/>
      </w:rPr>
      <w:t>1.pielikums Reģionālās politikas pamatnostādnēm 2021.-2027.gadam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769"/>
      <w:gridCol w:w="2769"/>
      <w:gridCol w:w="2769"/>
    </w:tblGrid>
    <w:tr w:rsidR="3D9A9DCD" w14:paraId="22EB006D" w14:textId="77777777" w:rsidTr="3D9A9DCD">
      <w:tc>
        <w:tcPr>
          <w:tcW w:w="2769" w:type="dxa"/>
        </w:tcPr>
        <w:p w14:paraId="28C5B978" w14:textId="2464B75D" w:rsidR="3D9A9DCD" w:rsidRDefault="3D9A9DCD" w:rsidP="3D9A9DCD">
          <w:pPr>
            <w:pStyle w:val="Header"/>
            <w:ind w:left="-115"/>
            <w:jc w:val="left"/>
          </w:pPr>
        </w:p>
      </w:tc>
      <w:tc>
        <w:tcPr>
          <w:tcW w:w="2769" w:type="dxa"/>
        </w:tcPr>
        <w:p w14:paraId="486A6DE6" w14:textId="2954CD00" w:rsidR="3D9A9DCD" w:rsidRDefault="3D9A9DCD" w:rsidP="3D9A9DCD">
          <w:pPr>
            <w:pStyle w:val="Header"/>
            <w:jc w:val="center"/>
          </w:pPr>
        </w:p>
      </w:tc>
      <w:tc>
        <w:tcPr>
          <w:tcW w:w="2769" w:type="dxa"/>
        </w:tcPr>
        <w:p w14:paraId="2D3C1BB5" w14:textId="4D71AE7D" w:rsidR="3D9A9DCD" w:rsidRDefault="3D9A9DCD" w:rsidP="3D9A9DCD">
          <w:pPr>
            <w:pStyle w:val="Header"/>
            <w:ind w:right="-115"/>
            <w:jc w:val="right"/>
          </w:pPr>
        </w:p>
      </w:tc>
    </w:tr>
  </w:tbl>
  <w:p w14:paraId="58AB9307" w14:textId="767FF771" w:rsidR="3D9A9DCD" w:rsidRDefault="3D9A9DCD" w:rsidP="3D9A9D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769"/>
      <w:gridCol w:w="2769"/>
      <w:gridCol w:w="2769"/>
    </w:tblGrid>
    <w:tr w:rsidR="3D9A9DCD" w14:paraId="79E4F05C" w14:textId="77777777" w:rsidTr="3D9A9DCD">
      <w:tc>
        <w:tcPr>
          <w:tcW w:w="2769" w:type="dxa"/>
        </w:tcPr>
        <w:p w14:paraId="537C7962" w14:textId="047BD25E" w:rsidR="3D9A9DCD" w:rsidRDefault="3D9A9DCD" w:rsidP="3D9A9DCD">
          <w:pPr>
            <w:pStyle w:val="Header"/>
            <w:ind w:left="-115"/>
            <w:jc w:val="left"/>
          </w:pPr>
        </w:p>
      </w:tc>
      <w:tc>
        <w:tcPr>
          <w:tcW w:w="2769" w:type="dxa"/>
        </w:tcPr>
        <w:p w14:paraId="0403B3FE" w14:textId="4E6BF46A" w:rsidR="3D9A9DCD" w:rsidRDefault="3D9A9DCD" w:rsidP="3D9A9DCD">
          <w:pPr>
            <w:pStyle w:val="Header"/>
            <w:jc w:val="center"/>
          </w:pPr>
        </w:p>
      </w:tc>
      <w:tc>
        <w:tcPr>
          <w:tcW w:w="2769" w:type="dxa"/>
        </w:tcPr>
        <w:p w14:paraId="3750EFAC" w14:textId="2810B061" w:rsidR="3D9A9DCD" w:rsidRDefault="3D9A9DCD" w:rsidP="3D9A9DCD">
          <w:pPr>
            <w:pStyle w:val="Header"/>
            <w:ind w:right="-115"/>
            <w:jc w:val="right"/>
          </w:pPr>
        </w:p>
      </w:tc>
    </w:tr>
  </w:tbl>
  <w:p w14:paraId="24387069" w14:textId="111E201B" w:rsidR="3D9A9DCD" w:rsidRPr="0053367D" w:rsidRDefault="3D9A9DCD" w:rsidP="3D9A9DCD">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71E13"/>
    <w:multiLevelType w:val="hybridMultilevel"/>
    <w:tmpl w:val="D2E41EFA"/>
    <w:lvl w:ilvl="0" w:tplc="05108D5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26B1317"/>
    <w:multiLevelType w:val="hybridMultilevel"/>
    <w:tmpl w:val="0E6E091E"/>
    <w:lvl w:ilvl="0" w:tplc="05108D5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1A17F05"/>
    <w:multiLevelType w:val="hybridMultilevel"/>
    <w:tmpl w:val="8E2840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AE86734"/>
    <w:multiLevelType w:val="hybridMultilevel"/>
    <w:tmpl w:val="232C9C78"/>
    <w:lvl w:ilvl="0" w:tplc="8F7603A8">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AEFEBBDE" w:tentative="1">
      <w:start w:val="1"/>
      <w:numFmt w:val="bullet"/>
      <w:lvlText w:val=""/>
      <w:lvlJc w:val="left"/>
      <w:pPr>
        <w:tabs>
          <w:tab w:val="num" w:pos="2160"/>
        </w:tabs>
        <w:ind w:left="2160" w:hanging="360"/>
      </w:pPr>
      <w:rPr>
        <w:rFonts w:ascii="Wingdings" w:hAnsi="Wingdings" w:hint="default"/>
      </w:rPr>
    </w:lvl>
    <w:lvl w:ilvl="3" w:tplc="C6983A58" w:tentative="1">
      <w:start w:val="1"/>
      <w:numFmt w:val="bullet"/>
      <w:lvlText w:val=""/>
      <w:lvlJc w:val="left"/>
      <w:pPr>
        <w:tabs>
          <w:tab w:val="num" w:pos="2880"/>
        </w:tabs>
        <w:ind w:left="2880" w:hanging="360"/>
      </w:pPr>
      <w:rPr>
        <w:rFonts w:ascii="Wingdings" w:hAnsi="Wingdings" w:hint="default"/>
      </w:rPr>
    </w:lvl>
    <w:lvl w:ilvl="4" w:tplc="B0347024" w:tentative="1">
      <w:start w:val="1"/>
      <w:numFmt w:val="bullet"/>
      <w:lvlText w:val=""/>
      <w:lvlJc w:val="left"/>
      <w:pPr>
        <w:tabs>
          <w:tab w:val="num" w:pos="3600"/>
        </w:tabs>
        <w:ind w:left="3600" w:hanging="360"/>
      </w:pPr>
      <w:rPr>
        <w:rFonts w:ascii="Wingdings" w:hAnsi="Wingdings" w:hint="default"/>
      </w:rPr>
    </w:lvl>
    <w:lvl w:ilvl="5" w:tplc="8C7AAC84" w:tentative="1">
      <w:start w:val="1"/>
      <w:numFmt w:val="bullet"/>
      <w:lvlText w:val=""/>
      <w:lvlJc w:val="left"/>
      <w:pPr>
        <w:tabs>
          <w:tab w:val="num" w:pos="4320"/>
        </w:tabs>
        <w:ind w:left="4320" w:hanging="360"/>
      </w:pPr>
      <w:rPr>
        <w:rFonts w:ascii="Wingdings" w:hAnsi="Wingdings" w:hint="default"/>
      </w:rPr>
    </w:lvl>
    <w:lvl w:ilvl="6" w:tplc="C8784080" w:tentative="1">
      <w:start w:val="1"/>
      <w:numFmt w:val="bullet"/>
      <w:lvlText w:val=""/>
      <w:lvlJc w:val="left"/>
      <w:pPr>
        <w:tabs>
          <w:tab w:val="num" w:pos="5040"/>
        </w:tabs>
        <w:ind w:left="5040" w:hanging="360"/>
      </w:pPr>
      <w:rPr>
        <w:rFonts w:ascii="Wingdings" w:hAnsi="Wingdings" w:hint="default"/>
      </w:rPr>
    </w:lvl>
    <w:lvl w:ilvl="7" w:tplc="C03A2360" w:tentative="1">
      <w:start w:val="1"/>
      <w:numFmt w:val="bullet"/>
      <w:lvlText w:val=""/>
      <w:lvlJc w:val="left"/>
      <w:pPr>
        <w:tabs>
          <w:tab w:val="num" w:pos="5760"/>
        </w:tabs>
        <w:ind w:left="5760" w:hanging="360"/>
      </w:pPr>
      <w:rPr>
        <w:rFonts w:ascii="Wingdings" w:hAnsi="Wingdings" w:hint="default"/>
      </w:rPr>
    </w:lvl>
    <w:lvl w:ilvl="8" w:tplc="68DC3D5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BB372C"/>
    <w:multiLevelType w:val="hybridMultilevel"/>
    <w:tmpl w:val="ACB06420"/>
    <w:lvl w:ilvl="0" w:tplc="0426000F">
      <w:start w:val="1"/>
      <w:numFmt w:val="decimal"/>
      <w:lvlText w:val="%1."/>
      <w:lvlJc w:val="left"/>
      <w:pPr>
        <w:ind w:left="502" w:hanging="360"/>
      </w:p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5" w15:restartNumberingAfterBreak="0">
    <w:nsid w:val="7E444BBA"/>
    <w:multiLevelType w:val="hybridMultilevel"/>
    <w:tmpl w:val="EAE84352"/>
    <w:lvl w:ilvl="0" w:tplc="05108D58">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DF2"/>
    <w:rsid w:val="00010353"/>
    <w:rsid w:val="000112A0"/>
    <w:rsid w:val="000125F0"/>
    <w:rsid w:val="0001268B"/>
    <w:rsid w:val="000229B6"/>
    <w:rsid w:val="00023F06"/>
    <w:rsid w:val="00032330"/>
    <w:rsid w:val="00040D13"/>
    <w:rsid w:val="000725FA"/>
    <w:rsid w:val="00072ED2"/>
    <w:rsid w:val="0009480A"/>
    <w:rsid w:val="00095216"/>
    <w:rsid w:val="000A5A33"/>
    <w:rsid w:val="000B2415"/>
    <w:rsid w:val="000C2523"/>
    <w:rsid w:val="000D71A2"/>
    <w:rsid w:val="000E0980"/>
    <w:rsid w:val="000F16E8"/>
    <w:rsid w:val="00106489"/>
    <w:rsid w:val="00113FC1"/>
    <w:rsid w:val="00124ED2"/>
    <w:rsid w:val="00125374"/>
    <w:rsid w:val="001253D2"/>
    <w:rsid w:val="00135AD1"/>
    <w:rsid w:val="001410B3"/>
    <w:rsid w:val="001436DE"/>
    <w:rsid w:val="001441F4"/>
    <w:rsid w:val="0014578C"/>
    <w:rsid w:val="00146E57"/>
    <w:rsid w:val="00155072"/>
    <w:rsid w:val="00157943"/>
    <w:rsid w:val="00165710"/>
    <w:rsid w:val="00174EF2"/>
    <w:rsid w:val="00183840"/>
    <w:rsid w:val="001A5BCD"/>
    <w:rsid w:val="001B5151"/>
    <w:rsid w:val="001C1802"/>
    <w:rsid w:val="001C51A9"/>
    <w:rsid w:val="001C599A"/>
    <w:rsid w:val="001D6A00"/>
    <w:rsid w:val="001E0BAA"/>
    <w:rsid w:val="001F01DE"/>
    <w:rsid w:val="001F53BA"/>
    <w:rsid w:val="001F5703"/>
    <w:rsid w:val="0021052B"/>
    <w:rsid w:val="00215941"/>
    <w:rsid w:val="00216433"/>
    <w:rsid w:val="00216D18"/>
    <w:rsid w:val="00250D38"/>
    <w:rsid w:val="00254AD5"/>
    <w:rsid w:val="00270F9C"/>
    <w:rsid w:val="00276635"/>
    <w:rsid w:val="0029214E"/>
    <w:rsid w:val="00294C0E"/>
    <w:rsid w:val="002A76CE"/>
    <w:rsid w:val="002B3C5E"/>
    <w:rsid w:val="002D50C6"/>
    <w:rsid w:val="002E5FBA"/>
    <w:rsid w:val="002F0BE7"/>
    <w:rsid w:val="0030236B"/>
    <w:rsid w:val="00302936"/>
    <w:rsid w:val="0030416B"/>
    <w:rsid w:val="00326EE3"/>
    <w:rsid w:val="003303D4"/>
    <w:rsid w:val="0033400A"/>
    <w:rsid w:val="00334820"/>
    <w:rsid w:val="00345BEB"/>
    <w:rsid w:val="003526BD"/>
    <w:rsid w:val="00352C8D"/>
    <w:rsid w:val="00362911"/>
    <w:rsid w:val="00382573"/>
    <w:rsid w:val="003844D7"/>
    <w:rsid w:val="00384B08"/>
    <w:rsid w:val="0038732B"/>
    <w:rsid w:val="003A2811"/>
    <w:rsid w:val="003B000D"/>
    <w:rsid w:val="003B19DB"/>
    <w:rsid w:val="003B3780"/>
    <w:rsid w:val="003C3DB8"/>
    <w:rsid w:val="003C75DF"/>
    <w:rsid w:val="003D0691"/>
    <w:rsid w:val="003F73B8"/>
    <w:rsid w:val="00401BAF"/>
    <w:rsid w:val="00402CE5"/>
    <w:rsid w:val="0040343C"/>
    <w:rsid w:val="004162A1"/>
    <w:rsid w:val="00416DF2"/>
    <w:rsid w:val="00417688"/>
    <w:rsid w:val="00433044"/>
    <w:rsid w:val="00455ED7"/>
    <w:rsid w:val="00461BE5"/>
    <w:rsid w:val="00485676"/>
    <w:rsid w:val="00496BD7"/>
    <w:rsid w:val="004B4096"/>
    <w:rsid w:val="004C2ED7"/>
    <w:rsid w:val="004C5E24"/>
    <w:rsid w:val="004C746D"/>
    <w:rsid w:val="004D4D00"/>
    <w:rsid w:val="00506838"/>
    <w:rsid w:val="00510BE4"/>
    <w:rsid w:val="00513731"/>
    <w:rsid w:val="0053367D"/>
    <w:rsid w:val="005412F4"/>
    <w:rsid w:val="00547AA5"/>
    <w:rsid w:val="00547C09"/>
    <w:rsid w:val="00550863"/>
    <w:rsid w:val="00556B13"/>
    <w:rsid w:val="0057386D"/>
    <w:rsid w:val="00573B2A"/>
    <w:rsid w:val="00575216"/>
    <w:rsid w:val="005933C6"/>
    <w:rsid w:val="00594C2E"/>
    <w:rsid w:val="005A38F4"/>
    <w:rsid w:val="005B6FF1"/>
    <w:rsid w:val="005C1C04"/>
    <w:rsid w:val="005C26F5"/>
    <w:rsid w:val="005C6E44"/>
    <w:rsid w:val="005D1724"/>
    <w:rsid w:val="005E2C81"/>
    <w:rsid w:val="005E7FCA"/>
    <w:rsid w:val="005F55C5"/>
    <w:rsid w:val="0060347B"/>
    <w:rsid w:val="00623B87"/>
    <w:rsid w:val="006267F7"/>
    <w:rsid w:val="0063416D"/>
    <w:rsid w:val="00637843"/>
    <w:rsid w:val="00652477"/>
    <w:rsid w:val="00657897"/>
    <w:rsid w:val="006A083D"/>
    <w:rsid w:val="006A0B2F"/>
    <w:rsid w:val="006B08DD"/>
    <w:rsid w:val="006C225D"/>
    <w:rsid w:val="006C7578"/>
    <w:rsid w:val="006D68A7"/>
    <w:rsid w:val="006E0226"/>
    <w:rsid w:val="006E21D2"/>
    <w:rsid w:val="006E224C"/>
    <w:rsid w:val="006E2FC7"/>
    <w:rsid w:val="006E3D8A"/>
    <w:rsid w:val="006F35EB"/>
    <w:rsid w:val="006F5406"/>
    <w:rsid w:val="00705D97"/>
    <w:rsid w:val="007079B4"/>
    <w:rsid w:val="00712424"/>
    <w:rsid w:val="00712F5A"/>
    <w:rsid w:val="00727C5A"/>
    <w:rsid w:val="00731FC4"/>
    <w:rsid w:val="007327BF"/>
    <w:rsid w:val="007356E2"/>
    <w:rsid w:val="00745E9E"/>
    <w:rsid w:val="00761179"/>
    <w:rsid w:val="00761B6C"/>
    <w:rsid w:val="00772AB5"/>
    <w:rsid w:val="007865C2"/>
    <w:rsid w:val="007A448A"/>
    <w:rsid w:val="007A78AA"/>
    <w:rsid w:val="007A7ACF"/>
    <w:rsid w:val="007E0273"/>
    <w:rsid w:val="007E0B66"/>
    <w:rsid w:val="008073E1"/>
    <w:rsid w:val="00846757"/>
    <w:rsid w:val="00851733"/>
    <w:rsid w:val="00854BED"/>
    <w:rsid w:val="008626AB"/>
    <w:rsid w:val="0086382D"/>
    <w:rsid w:val="008666ED"/>
    <w:rsid w:val="00867BCF"/>
    <w:rsid w:val="008760FF"/>
    <w:rsid w:val="00890242"/>
    <w:rsid w:val="00894CFA"/>
    <w:rsid w:val="008A755E"/>
    <w:rsid w:val="008B64A0"/>
    <w:rsid w:val="008C518D"/>
    <w:rsid w:val="008D2F09"/>
    <w:rsid w:val="008E265F"/>
    <w:rsid w:val="008E5055"/>
    <w:rsid w:val="008F7B3E"/>
    <w:rsid w:val="00900FE5"/>
    <w:rsid w:val="00914CDB"/>
    <w:rsid w:val="00926EA1"/>
    <w:rsid w:val="00937E86"/>
    <w:rsid w:val="00951CD0"/>
    <w:rsid w:val="00964057"/>
    <w:rsid w:val="009754F3"/>
    <w:rsid w:val="00976914"/>
    <w:rsid w:val="00980CA2"/>
    <w:rsid w:val="009855C4"/>
    <w:rsid w:val="00987052"/>
    <w:rsid w:val="00997AD4"/>
    <w:rsid w:val="009A71A3"/>
    <w:rsid w:val="009B3C6F"/>
    <w:rsid w:val="009C3432"/>
    <w:rsid w:val="009C5883"/>
    <w:rsid w:val="009D002E"/>
    <w:rsid w:val="009D12F8"/>
    <w:rsid w:val="009D1C86"/>
    <w:rsid w:val="009D5330"/>
    <w:rsid w:val="009E06DC"/>
    <w:rsid w:val="009F23EE"/>
    <w:rsid w:val="009F327A"/>
    <w:rsid w:val="00A06261"/>
    <w:rsid w:val="00A11BA1"/>
    <w:rsid w:val="00A145F8"/>
    <w:rsid w:val="00A32DD1"/>
    <w:rsid w:val="00A41DA6"/>
    <w:rsid w:val="00A46A88"/>
    <w:rsid w:val="00A73A91"/>
    <w:rsid w:val="00A7449F"/>
    <w:rsid w:val="00A81F3F"/>
    <w:rsid w:val="00A849E6"/>
    <w:rsid w:val="00A854EB"/>
    <w:rsid w:val="00A91E97"/>
    <w:rsid w:val="00AA5B60"/>
    <w:rsid w:val="00AB2C4F"/>
    <w:rsid w:val="00AC0864"/>
    <w:rsid w:val="00AC1642"/>
    <w:rsid w:val="00AD6C16"/>
    <w:rsid w:val="00AD7E47"/>
    <w:rsid w:val="00AF1CD2"/>
    <w:rsid w:val="00AF2DB2"/>
    <w:rsid w:val="00AF37DE"/>
    <w:rsid w:val="00B00906"/>
    <w:rsid w:val="00B0160E"/>
    <w:rsid w:val="00B221EC"/>
    <w:rsid w:val="00B25A5A"/>
    <w:rsid w:val="00B313E4"/>
    <w:rsid w:val="00B31D9E"/>
    <w:rsid w:val="00B37127"/>
    <w:rsid w:val="00B94860"/>
    <w:rsid w:val="00B94BFE"/>
    <w:rsid w:val="00BA0FF8"/>
    <w:rsid w:val="00BA193A"/>
    <w:rsid w:val="00BA1DAE"/>
    <w:rsid w:val="00BF4520"/>
    <w:rsid w:val="00BF656E"/>
    <w:rsid w:val="00BF717E"/>
    <w:rsid w:val="00C0025F"/>
    <w:rsid w:val="00C026ED"/>
    <w:rsid w:val="00C0469F"/>
    <w:rsid w:val="00C10C9D"/>
    <w:rsid w:val="00C123FE"/>
    <w:rsid w:val="00C2175D"/>
    <w:rsid w:val="00C22913"/>
    <w:rsid w:val="00C23ADE"/>
    <w:rsid w:val="00C270C0"/>
    <w:rsid w:val="00C340BD"/>
    <w:rsid w:val="00C468FD"/>
    <w:rsid w:val="00C47C85"/>
    <w:rsid w:val="00C67D2A"/>
    <w:rsid w:val="00C7016E"/>
    <w:rsid w:val="00C73FF1"/>
    <w:rsid w:val="00C86C27"/>
    <w:rsid w:val="00C92876"/>
    <w:rsid w:val="00CB2A2F"/>
    <w:rsid w:val="00CB66F5"/>
    <w:rsid w:val="00CB74B6"/>
    <w:rsid w:val="00CC07A4"/>
    <w:rsid w:val="00CC0D52"/>
    <w:rsid w:val="00CD70B2"/>
    <w:rsid w:val="00CE0221"/>
    <w:rsid w:val="00CE3F89"/>
    <w:rsid w:val="00CE4AAE"/>
    <w:rsid w:val="00D060F2"/>
    <w:rsid w:val="00D1332E"/>
    <w:rsid w:val="00D142C5"/>
    <w:rsid w:val="00D2062B"/>
    <w:rsid w:val="00D20A60"/>
    <w:rsid w:val="00D4044E"/>
    <w:rsid w:val="00D45799"/>
    <w:rsid w:val="00D65C8D"/>
    <w:rsid w:val="00D725A8"/>
    <w:rsid w:val="00D76CDA"/>
    <w:rsid w:val="00D81270"/>
    <w:rsid w:val="00D94182"/>
    <w:rsid w:val="00DA428C"/>
    <w:rsid w:val="00DB1900"/>
    <w:rsid w:val="00DE1415"/>
    <w:rsid w:val="00DE486C"/>
    <w:rsid w:val="00DE594D"/>
    <w:rsid w:val="00DE6E09"/>
    <w:rsid w:val="00DF3385"/>
    <w:rsid w:val="00DF7F33"/>
    <w:rsid w:val="00E31DB8"/>
    <w:rsid w:val="00E361F3"/>
    <w:rsid w:val="00E60D83"/>
    <w:rsid w:val="00E723EE"/>
    <w:rsid w:val="00E75F10"/>
    <w:rsid w:val="00E90762"/>
    <w:rsid w:val="00EA282B"/>
    <w:rsid w:val="00EB02A0"/>
    <w:rsid w:val="00EB134F"/>
    <w:rsid w:val="00EB6E64"/>
    <w:rsid w:val="00EC210A"/>
    <w:rsid w:val="00ED4BB9"/>
    <w:rsid w:val="00EF26D1"/>
    <w:rsid w:val="00F15AC0"/>
    <w:rsid w:val="00F206FE"/>
    <w:rsid w:val="00F208F5"/>
    <w:rsid w:val="00F21308"/>
    <w:rsid w:val="00F2760A"/>
    <w:rsid w:val="00F27A2B"/>
    <w:rsid w:val="00F31037"/>
    <w:rsid w:val="00F319B7"/>
    <w:rsid w:val="00F34532"/>
    <w:rsid w:val="00F40ED3"/>
    <w:rsid w:val="00F4355E"/>
    <w:rsid w:val="00F459AF"/>
    <w:rsid w:val="00F506E1"/>
    <w:rsid w:val="00F51045"/>
    <w:rsid w:val="00F5351B"/>
    <w:rsid w:val="00F70A23"/>
    <w:rsid w:val="00F74DDC"/>
    <w:rsid w:val="00F76024"/>
    <w:rsid w:val="00F82AFC"/>
    <w:rsid w:val="00FA57D9"/>
    <w:rsid w:val="00FB21FD"/>
    <w:rsid w:val="00FB262E"/>
    <w:rsid w:val="00FC0755"/>
    <w:rsid w:val="00FD2EC2"/>
    <w:rsid w:val="00FD41E2"/>
    <w:rsid w:val="00FD5762"/>
    <w:rsid w:val="00FE0281"/>
    <w:rsid w:val="00FE48ED"/>
    <w:rsid w:val="00FF511F"/>
    <w:rsid w:val="198CAFD9"/>
    <w:rsid w:val="2029D4AC"/>
    <w:rsid w:val="377C3BD2"/>
    <w:rsid w:val="3C4CDBE0"/>
    <w:rsid w:val="3CE141C9"/>
    <w:rsid w:val="3D9A9DCD"/>
    <w:rsid w:val="50889637"/>
    <w:rsid w:val="5DE14337"/>
    <w:rsid w:val="686A1829"/>
    <w:rsid w:val="6ED93ED9"/>
    <w:rsid w:val="7BA690F5"/>
    <w:rsid w:val="7FD7587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D144B"/>
  <w15:chartTrackingRefBased/>
  <w15:docId w15:val="{0B512ABE-5F9C-4C43-8B29-C18DE3551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1F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B02A0"/>
    <w:pPr>
      <w:keepNext/>
      <w:keepLines/>
      <w:spacing w:before="40" w:line="259" w:lineRule="auto"/>
      <w:jc w:val="left"/>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 Char,Footnote Text Char Char Char,Footnote Text Char1 Char Char1 Char,Footnote Text Char Char Char Char Char,Footnote Text Char Char Char Char Char Char Char Char,Footnote,f,Footnote Text Char Char,Char10,Char1,Fußnote"/>
    <w:basedOn w:val="Normal"/>
    <w:link w:val="FootnoteTextChar"/>
    <w:unhideWhenUsed/>
    <w:qFormat/>
    <w:rsid w:val="00416DF2"/>
    <w:rPr>
      <w:sz w:val="20"/>
      <w:szCs w:val="20"/>
    </w:rPr>
  </w:style>
  <w:style w:type="character" w:customStyle="1" w:styleId="FootnoteTextChar">
    <w:name w:val="Footnote Text Char"/>
    <w:aliases w:val="Footnote Text Char1 Char Char1,Footnote Text Char Char Char Char1,Footnote Text Char1 Char Char1 Char Char1,Footnote Text Char Char Char Char Char Char1,Footnote Text Char Char Char Char Char Char Char Char Char1,Footnote Char,f Char1"/>
    <w:basedOn w:val="DefaultParagraphFont"/>
    <w:link w:val="FootnoteText"/>
    <w:uiPriority w:val="99"/>
    <w:semiHidden/>
    <w:rsid w:val="00416DF2"/>
    <w:rPr>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FootnotesymbolCarZchn"/>
    <w:uiPriority w:val="99"/>
    <w:unhideWhenUsed/>
    <w:qFormat/>
    <w:rsid w:val="00416DF2"/>
    <w:rPr>
      <w:vertAlign w:val="superscript"/>
    </w:rPr>
  </w:style>
  <w:style w:type="character" w:styleId="Hyperlink">
    <w:name w:val="Hyperlink"/>
    <w:basedOn w:val="DefaultParagraphFont"/>
    <w:uiPriority w:val="99"/>
    <w:unhideWhenUsed/>
    <w:rsid w:val="00DE6E09"/>
    <w:rPr>
      <w:color w:val="0563C1" w:themeColor="hyperlink"/>
      <w:u w:val="single"/>
    </w:rPr>
  </w:style>
  <w:style w:type="paragraph" w:styleId="Caption">
    <w:name w:val="caption"/>
    <w:basedOn w:val="Normal"/>
    <w:next w:val="CaptionSubtitle"/>
    <w:uiPriority w:val="35"/>
    <w:rsid w:val="00637843"/>
    <w:pPr>
      <w:keepNext/>
      <w:tabs>
        <w:tab w:val="left" w:pos="850"/>
        <w:tab w:val="left" w:pos="1191"/>
        <w:tab w:val="left" w:pos="1531"/>
      </w:tabs>
      <w:spacing w:before="240" w:after="240"/>
      <w:ind w:left="680" w:right="680"/>
      <w:jc w:val="center"/>
    </w:pPr>
    <w:rPr>
      <w:rFonts w:ascii="Times New Roman" w:hAnsi="Times New Roman" w:cs="Times New Roman"/>
      <w:b/>
      <w:bCs/>
      <w:sz w:val="20"/>
      <w:szCs w:val="20"/>
      <w:lang w:val="en-GB"/>
    </w:rPr>
  </w:style>
  <w:style w:type="paragraph" w:customStyle="1" w:styleId="CaptionSubtitle">
    <w:name w:val="Caption Subtitle"/>
    <w:basedOn w:val="Normal"/>
    <w:next w:val="Normal"/>
    <w:qFormat/>
    <w:rsid w:val="00637843"/>
    <w:pPr>
      <w:keepNext/>
      <w:spacing w:after="120"/>
      <w:ind w:left="680" w:right="680"/>
      <w:jc w:val="center"/>
    </w:pPr>
    <w:rPr>
      <w:rFonts w:ascii="Times New Roman" w:eastAsia="SimSun" w:hAnsi="Times New Roman" w:cs="Arial"/>
      <w:sz w:val="18"/>
      <w:szCs w:val="20"/>
      <w:lang w:val="en-GB"/>
    </w:rPr>
  </w:style>
  <w:style w:type="paragraph" w:customStyle="1" w:styleId="Sourcenotes">
    <w:name w:val="Source &amp; notes"/>
    <w:basedOn w:val="Normal"/>
    <w:qFormat/>
    <w:rsid w:val="00637843"/>
    <w:pPr>
      <w:keepLines/>
      <w:spacing w:after="240"/>
      <w:ind w:left="680" w:right="680"/>
      <w:contextualSpacing/>
    </w:pPr>
    <w:rPr>
      <w:rFonts w:ascii="Times New Roman" w:eastAsia="SimSun" w:hAnsi="Times New Roman" w:cs="Arial"/>
      <w:sz w:val="18"/>
      <w:szCs w:val="18"/>
      <w:lang w:val="en-GB"/>
    </w:rPr>
  </w:style>
  <w:style w:type="paragraph" w:customStyle="1" w:styleId="Figure">
    <w:name w:val="Figure"/>
    <w:basedOn w:val="Normal"/>
    <w:rsid w:val="00637843"/>
    <w:pPr>
      <w:keepNext/>
      <w:keepLines/>
      <w:tabs>
        <w:tab w:val="left" w:pos="850"/>
        <w:tab w:val="left" w:pos="1191"/>
        <w:tab w:val="left" w:pos="1531"/>
      </w:tabs>
      <w:jc w:val="center"/>
    </w:pPr>
    <w:rPr>
      <w:rFonts w:ascii="Times New Roman" w:hAnsi="Times New Roman" w:cs="Times New Roman"/>
      <w:noProof/>
      <w:szCs w:val="20"/>
      <w:lang w:val="en-GB" w:eastAsia="ko-KR"/>
    </w:rPr>
  </w:style>
  <w:style w:type="paragraph" w:styleId="EndnoteText">
    <w:name w:val="endnote text"/>
    <w:basedOn w:val="Normal"/>
    <w:link w:val="EndnoteTextChar"/>
    <w:uiPriority w:val="99"/>
    <w:unhideWhenUsed/>
    <w:rsid w:val="00ED4BB9"/>
    <w:pPr>
      <w:jc w:val="left"/>
    </w:pPr>
    <w:rPr>
      <w:rFonts w:eastAsiaTheme="minorEastAsia"/>
      <w:sz w:val="20"/>
      <w:szCs w:val="20"/>
      <w:lang w:eastAsia="lv-LV"/>
    </w:rPr>
  </w:style>
  <w:style w:type="character" w:customStyle="1" w:styleId="EndnoteTextChar">
    <w:name w:val="Endnote Text Char"/>
    <w:basedOn w:val="DefaultParagraphFont"/>
    <w:link w:val="EndnoteText"/>
    <w:uiPriority w:val="99"/>
    <w:rsid w:val="00ED4BB9"/>
    <w:rPr>
      <w:rFonts w:eastAsiaTheme="minorEastAsia"/>
      <w:sz w:val="20"/>
      <w:szCs w:val="20"/>
      <w:lang w:eastAsia="lv-LV"/>
    </w:rPr>
  </w:style>
  <w:style w:type="paragraph" w:styleId="ListParagraph">
    <w:name w:val="List Paragraph"/>
    <w:aliases w:val="2,Strip,virsraksts3,H&amp;P List Paragraph,Numbered Para 1,Dot pt,No Spacing1,List Paragraph Char Char Char,Indicator Text,List Paragraph1,Bullet 1,Bullet Points,MAIN CONTENT,IFCL - List Paragraph,List Paragraph12,OBC Bullet"/>
    <w:basedOn w:val="Normal"/>
    <w:link w:val="ListParagraphChar"/>
    <w:uiPriority w:val="34"/>
    <w:qFormat/>
    <w:rsid w:val="00A41DA6"/>
    <w:pPr>
      <w:ind w:left="720"/>
      <w:contextualSpacing/>
    </w:pPr>
  </w:style>
  <w:style w:type="character" w:styleId="FollowedHyperlink">
    <w:name w:val="FollowedHyperlink"/>
    <w:aliases w:val="Footnote Text Char1,Footnote Text Char1 Char Char,Footnote Text Char Char Char Char,Footnote Text Char1 Char Char1 Char Char,Footnote Text Char Char Char Char Char Char,Footnote Text Char Char Char Char Char Char Char Char Char,f Char"/>
    <w:rsid w:val="00032330"/>
    <w:rPr>
      <w:rFonts w:ascii="Times New Roman" w:eastAsia="Times New Roman" w:hAnsi="Times New Roman" w:cs="Times New Roman"/>
      <w:sz w:val="20"/>
      <w:szCs w:val="20"/>
      <w:lang w:val="en-AU"/>
    </w:rPr>
  </w:style>
  <w:style w:type="paragraph" w:customStyle="1" w:styleId="tv213">
    <w:name w:val="tv213"/>
    <w:basedOn w:val="Normal"/>
    <w:rsid w:val="00890242"/>
    <w:pPr>
      <w:spacing w:before="100" w:beforeAutospacing="1" w:after="100" w:afterAutospacing="1"/>
      <w:jc w:val="left"/>
    </w:pPr>
    <w:rPr>
      <w:rFonts w:ascii="Times New Roman" w:eastAsia="Times New Roman" w:hAnsi="Times New Roman" w:cs="Times New Roman"/>
      <w:sz w:val="24"/>
      <w:szCs w:val="24"/>
      <w:lang w:eastAsia="lv-LV"/>
    </w:rPr>
  </w:style>
  <w:style w:type="paragraph" w:styleId="NormalWeb">
    <w:name w:val="Normal (Web)"/>
    <w:basedOn w:val="Normal"/>
    <w:uiPriority w:val="99"/>
    <w:semiHidden/>
    <w:unhideWhenUsed/>
    <w:rsid w:val="00987052"/>
    <w:pPr>
      <w:spacing w:before="100" w:beforeAutospacing="1" w:after="100" w:afterAutospacing="1"/>
      <w:jc w:val="left"/>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6F35EB"/>
    <w:rPr>
      <w:sz w:val="16"/>
      <w:szCs w:val="16"/>
    </w:rPr>
  </w:style>
  <w:style w:type="paragraph" w:styleId="CommentText">
    <w:name w:val="annotation text"/>
    <w:basedOn w:val="Normal"/>
    <w:link w:val="CommentTextChar"/>
    <w:uiPriority w:val="99"/>
    <w:semiHidden/>
    <w:unhideWhenUsed/>
    <w:rsid w:val="006F35EB"/>
    <w:rPr>
      <w:sz w:val="20"/>
      <w:szCs w:val="20"/>
    </w:rPr>
  </w:style>
  <w:style w:type="character" w:customStyle="1" w:styleId="CommentTextChar">
    <w:name w:val="Comment Text Char"/>
    <w:basedOn w:val="DefaultParagraphFont"/>
    <w:link w:val="CommentText"/>
    <w:uiPriority w:val="99"/>
    <w:semiHidden/>
    <w:rsid w:val="006F35EB"/>
    <w:rPr>
      <w:sz w:val="20"/>
      <w:szCs w:val="20"/>
    </w:rPr>
  </w:style>
  <w:style w:type="paragraph" w:styleId="BalloonText">
    <w:name w:val="Balloon Text"/>
    <w:basedOn w:val="Normal"/>
    <w:link w:val="BalloonTextChar"/>
    <w:uiPriority w:val="99"/>
    <w:semiHidden/>
    <w:unhideWhenUsed/>
    <w:rsid w:val="006F35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5EB"/>
    <w:rPr>
      <w:rFonts w:ascii="Segoe UI" w:hAnsi="Segoe UI" w:cs="Segoe UI"/>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Heading2Char">
    <w:name w:val="Heading 2 Char"/>
    <w:basedOn w:val="DefaultParagraphFont"/>
    <w:link w:val="Heading2"/>
    <w:uiPriority w:val="9"/>
    <w:semiHidden/>
    <w:rsid w:val="00EB02A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31FC4"/>
    <w:rPr>
      <w:rFonts w:asciiTheme="majorHAnsi" w:eastAsiaTheme="majorEastAsia" w:hAnsiTheme="majorHAnsi" w:cstheme="majorBidi"/>
      <w:color w:val="2E74B5" w:themeColor="accent1" w:themeShade="BF"/>
      <w:sz w:val="32"/>
      <w:szCs w:val="3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C23ADE"/>
    <w:pPr>
      <w:spacing w:after="160" w:line="240" w:lineRule="exact"/>
    </w:pPr>
    <w:rPr>
      <w:vertAlign w:val="superscript"/>
    </w:rPr>
  </w:style>
  <w:style w:type="character" w:customStyle="1" w:styleId="ListParagraphChar">
    <w:name w:val="List Paragraph Char"/>
    <w:aliases w:val="2 Char,Strip Char,virsraksts3 Char,H&amp;P List Paragraph Char,Numbered Para 1 Char,Dot pt Char,No Spacing1 Char,List Paragraph Char Char Char Char,Indicator Text Char,List Paragraph1 Char,Bullet 1 Char,Bullet Points Char,OBC Bullet Char"/>
    <w:link w:val="ListParagraph"/>
    <w:uiPriority w:val="34"/>
    <w:qFormat/>
    <w:rsid w:val="00DE5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6036">
      <w:bodyDiv w:val="1"/>
      <w:marLeft w:val="0"/>
      <w:marRight w:val="0"/>
      <w:marTop w:val="0"/>
      <w:marBottom w:val="0"/>
      <w:divBdr>
        <w:top w:val="none" w:sz="0" w:space="0" w:color="auto"/>
        <w:left w:val="none" w:sz="0" w:space="0" w:color="auto"/>
        <w:bottom w:val="none" w:sz="0" w:space="0" w:color="auto"/>
        <w:right w:val="none" w:sz="0" w:space="0" w:color="auto"/>
      </w:divBdr>
    </w:div>
    <w:div w:id="11037408">
      <w:bodyDiv w:val="1"/>
      <w:marLeft w:val="0"/>
      <w:marRight w:val="0"/>
      <w:marTop w:val="0"/>
      <w:marBottom w:val="0"/>
      <w:divBdr>
        <w:top w:val="none" w:sz="0" w:space="0" w:color="auto"/>
        <w:left w:val="none" w:sz="0" w:space="0" w:color="auto"/>
        <w:bottom w:val="none" w:sz="0" w:space="0" w:color="auto"/>
        <w:right w:val="none" w:sz="0" w:space="0" w:color="auto"/>
      </w:divBdr>
    </w:div>
    <w:div w:id="15624263">
      <w:bodyDiv w:val="1"/>
      <w:marLeft w:val="0"/>
      <w:marRight w:val="0"/>
      <w:marTop w:val="0"/>
      <w:marBottom w:val="0"/>
      <w:divBdr>
        <w:top w:val="none" w:sz="0" w:space="0" w:color="auto"/>
        <w:left w:val="none" w:sz="0" w:space="0" w:color="auto"/>
        <w:bottom w:val="none" w:sz="0" w:space="0" w:color="auto"/>
        <w:right w:val="none" w:sz="0" w:space="0" w:color="auto"/>
      </w:divBdr>
    </w:div>
    <w:div w:id="255095538">
      <w:bodyDiv w:val="1"/>
      <w:marLeft w:val="0"/>
      <w:marRight w:val="0"/>
      <w:marTop w:val="0"/>
      <w:marBottom w:val="0"/>
      <w:divBdr>
        <w:top w:val="none" w:sz="0" w:space="0" w:color="auto"/>
        <w:left w:val="none" w:sz="0" w:space="0" w:color="auto"/>
        <w:bottom w:val="none" w:sz="0" w:space="0" w:color="auto"/>
        <w:right w:val="none" w:sz="0" w:space="0" w:color="auto"/>
      </w:divBdr>
    </w:div>
    <w:div w:id="365061852">
      <w:bodyDiv w:val="1"/>
      <w:marLeft w:val="0"/>
      <w:marRight w:val="0"/>
      <w:marTop w:val="0"/>
      <w:marBottom w:val="0"/>
      <w:divBdr>
        <w:top w:val="none" w:sz="0" w:space="0" w:color="auto"/>
        <w:left w:val="none" w:sz="0" w:space="0" w:color="auto"/>
        <w:bottom w:val="none" w:sz="0" w:space="0" w:color="auto"/>
        <w:right w:val="none" w:sz="0" w:space="0" w:color="auto"/>
      </w:divBdr>
    </w:div>
    <w:div w:id="401366683">
      <w:bodyDiv w:val="1"/>
      <w:marLeft w:val="0"/>
      <w:marRight w:val="0"/>
      <w:marTop w:val="0"/>
      <w:marBottom w:val="0"/>
      <w:divBdr>
        <w:top w:val="none" w:sz="0" w:space="0" w:color="auto"/>
        <w:left w:val="none" w:sz="0" w:space="0" w:color="auto"/>
        <w:bottom w:val="none" w:sz="0" w:space="0" w:color="auto"/>
        <w:right w:val="none" w:sz="0" w:space="0" w:color="auto"/>
      </w:divBdr>
    </w:div>
    <w:div w:id="445389253">
      <w:bodyDiv w:val="1"/>
      <w:marLeft w:val="0"/>
      <w:marRight w:val="0"/>
      <w:marTop w:val="0"/>
      <w:marBottom w:val="0"/>
      <w:divBdr>
        <w:top w:val="none" w:sz="0" w:space="0" w:color="auto"/>
        <w:left w:val="none" w:sz="0" w:space="0" w:color="auto"/>
        <w:bottom w:val="none" w:sz="0" w:space="0" w:color="auto"/>
        <w:right w:val="none" w:sz="0" w:space="0" w:color="auto"/>
      </w:divBdr>
    </w:div>
    <w:div w:id="461535464">
      <w:bodyDiv w:val="1"/>
      <w:marLeft w:val="0"/>
      <w:marRight w:val="0"/>
      <w:marTop w:val="0"/>
      <w:marBottom w:val="0"/>
      <w:divBdr>
        <w:top w:val="none" w:sz="0" w:space="0" w:color="auto"/>
        <w:left w:val="none" w:sz="0" w:space="0" w:color="auto"/>
        <w:bottom w:val="none" w:sz="0" w:space="0" w:color="auto"/>
        <w:right w:val="none" w:sz="0" w:space="0" w:color="auto"/>
      </w:divBdr>
    </w:div>
    <w:div w:id="699165809">
      <w:bodyDiv w:val="1"/>
      <w:marLeft w:val="0"/>
      <w:marRight w:val="0"/>
      <w:marTop w:val="0"/>
      <w:marBottom w:val="0"/>
      <w:divBdr>
        <w:top w:val="none" w:sz="0" w:space="0" w:color="auto"/>
        <w:left w:val="none" w:sz="0" w:space="0" w:color="auto"/>
        <w:bottom w:val="none" w:sz="0" w:space="0" w:color="auto"/>
        <w:right w:val="none" w:sz="0" w:space="0" w:color="auto"/>
      </w:divBdr>
    </w:div>
    <w:div w:id="711461973">
      <w:bodyDiv w:val="1"/>
      <w:marLeft w:val="0"/>
      <w:marRight w:val="0"/>
      <w:marTop w:val="0"/>
      <w:marBottom w:val="0"/>
      <w:divBdr>
        <w:top w:val="none" w:sz="0" w:space="0" w:color="auto"/>
        <w:left w:val="none" w:sz="0" w:space="0" w:color="auto"/>
        <w:bottom w:val="none" w:sz="0" w:space="0" w:color="auto"/>
        <w:right w:val="none" w:sz="0" w:space="0" w:color="auto"/>
      </w:divBdr>
    </w:div>
    <w:div w:id="791020964">
      <w:bodyDiv w:val="1"/>
      <w:marLeft w:val="0"/>
      <w:marRight w:val="0"/>
      <w:marTop w:val="0"/>
      <w:marBottom w:val="0"/>
      <w:divBdr>
        <w:top w:val="none" w:sz="0" w:space="0" w:color="auto"/>
        <w:left w:val="none" w:sz="0" w:space="0" w:color="auto"/>
        <w:bottom w:val="none" w:sz="0" w:space="0" w:color="auto"/>
        <w:right w:val="none" w:sz="0" w:space="0" w:color="auto"/>
      </w:divBdr>
    </w:div>
    <w:div w:id="812915129">
      <w:bodyDiv w:val="1"/>
      <w:marLeft w:val="0"/>
      <w:marRight w:val="0"/>
      <w:marTop w:val="0"/>
      <w:marBottom w:val="0"/>
      <w:divBdr>
        <w:top w:val="none" w:sz="0" w:space="0" w:color="auto"/>
        <w:left w:val="none" w:sz="0" w:space="0" w:color="auto"/>
        <w:bottom w:val="none" w:sz="0" w:space="0" w:color="auto"/>
        <w:right w:val="none" w:sz="0" w:space="0" w:color="auto"/>
      </w:divBdr>
    </w:div>
    <w:div w:id="862479327">
      <w:bodyDiv w:val="1"/>
      <w:marLeft w:val="0"/>
      <w:marRight w:val="0"/>
      <w:marTop w:val="0"/>
      <w:marBottom w:val="0"/>
      <w:divBdr>
        <w:top w:val="none" w:sz="0" w:space="0" w:color="auto"/>
        <w:left w:val="none" w:sz="0" w:space="0" w:color="auto"/>
        <w:bottom w:val="none" w:sz="0" w:space="0" w:color="auto"/>
        <w:right w:val="none" w:sz="0" w:space="0" w:color="auto"/>
      </w:divBdr>
    </w:div>
    <w:div w:id="1145320415">
      <w:bodyDiv w:val="1"/>
      <w:marLeft w:val="0"/>
      <w:marRight w:val="0"/>
      <w:marTop w:val="0"/>
      <w:marBottom w:val="0"/>
      <w:divBdr>
        <w:top w:val="none" w:sz="0" w:space="0" w:color="auto"/>
        <w:left w:val="none" w:sz="0" w:space="0" w:color="auto"/>
        <w:bottom w:val="none" w:sz="0" w:space="0" w:color="auto"/>
        <w:right w:val="none" w:sz="0" w:space="0" w:color="auto"/>
      </w:divBdr>
    </w:div>
    <w:div w:id="1152136707">
      <w:bodyDiv w:val="1"/>
      <w:marLeft w:val="0"/>
      <w:marRight w:val="0"/>
      <w:marTop w:val="0"/>
      <w:marBottom w:val="0"/>
      <w:divBdr>
        <w:top w:val="none" w:sz="0" w:space="0" w:color="auto"/>
        <w:left w:val="none" w:sz="0" w:space="0" w:color="auto"/>
        <w:bottom w:val="none" w:sz="0" w:space="0" w:color="auto"/>
        <w:right w:val="none" w:sz="0" w:space="0" w:color="auto"/>
      </w:divBdr>
    </w:div>
    <w:div w:id="1174103790">
      <w:bodyDiv w:val="1"/>
      <w:marLeft w:val="0"/>
      <w:marRight w:val="0"/>
      <w:marTop w:val="0"/>
      <w:marBottom w:val="0"/>
      <w:divBdr>
        <w:top w:val="none" w:sz="0" w:space="0" w:color="auto"/>
        <w:left w:val="none" w:sz="0" w:space="0" w:color="auto"/>
        <w:bottom w:val="none" w:sz="0" w:space="0" w:color="auto"/>
        <w:right w:val="none" w:sz="0" w:space="0" w:color="auto"/>
      </w:divBdr>
    </w:div>
    <w:div w:id="1375496844">
      <w:bodyDiv w:val="1"/>
      <w:marLeft w:val="0"/>
      <w:marRight w:val="0"/>
      <w:marTop w:val="0"/>
      <w:marBottom w:val="0"/>
      <w:divBdr>
        <w:top w:val="none" w:sz="0" w:space="0" w:color="auto"/>
        <w:left w:val="none" w:sz="0" w:space="0" w:color="auto"/>
        <w:bottom w:val="none" w:sz="0" w:space="0" w:color="auto"/>
        <w:right w:val="none" w:sz="0" w:space="0" w:color="auto"/>
      </w:divBdr>
    </w:div>
    <w:div w:id="1403721997">
      <w:bodyDiv w:val="1"/>
      <w:marLeft w:val="0"/>
      <w:marRight w:val="0"/>
      <w:marTop w:val="0"/>
      <w:marBottom w:val="0"/>
      <w:divBdr>
        <w:top w:val="none" w:sz="0" w:space="0" w:color="auto"/>
        <w:left w:val="none" w:sz="0" w:space="0" w:color="auto"/>
        <w:bottom w:val="none" w:sz="0" w:space="0" w:color="auto"/>
        <w:right w:val="none" w:sz="0" w:space="0" w:color="auto"/>
      </w:divBdr>
    </w:div>
    <w:div w:id="1408767076">
      <w:bodyDiv w:val="1"/>
      <w:marLeft w:val="0"/>
      <w:marRight w:val="0"/>
      <w:marTop w:val="0"/>
      <w:marBottom w:val="0"/>
      <w:divBdr>
        <w:top w:val="none" w:sz="0" w:space="0" w:color="auto"/>
        <w:left w:val="none" w:sz="0" w:space="0" w:color="auto"/>
        <w:bottom w:val="none" w:sz="0" w:space="0" w:color="auto"/>
        <w:right w:val="none" w:sz="0" w:space="0" w:color="auto"/>
      </w:divBdr>
    </w:div>
    <w:div w:id="1425615928">
      <w:bodyDiv w:val="1"/>
      <w:marLeft w:val="0"/>
      <w:marRight w:val="0"/>
      <w:marTop w:val="0"/>
      <w:marBottom w:val="0"/>
      <w:divBdr>
        <w:top w:val="none" w:sz="0" w:space="0" w:color="auto"/>
        <w:left w:val="none" w:sz="0" w:space="0" w:color="auto"/>
        <w:bottom w:val="none" w:sz="0" w:space="0" w:color="auto"/>
        <w:right w:val="none" w:sz="0" w:space="0" w:color="auto"/>
      </w:divBdr>
    </w:div>
    <w:div w:id="1508910555">
      <w:bodyDiv w:val="1"/>
      <w:marLeft w:val="0"/>
      <w:marRight w:val="0"/>
      <w:marTop w:val="0"/>
      <w:marBottom w:val="0"/>
      <w:divBdr>
        <w:top w:val="none" w:sz="0" w:space="0" w:color="auto"/>
        <w:left w:val="none" w:sz="0" w:space="0" w:color="auto"/>
        <w:bottom w:val="none" w:sz="0" w:space="0" w:color="auto"/>
        <w:right w:val="none" w:sz="0" w:space="0" w:color="auto"/>
      </w:divBdr>
    </w:div>
    <w:div w:id="1513572965">
      <w:bodyDiv w:val="1"/>
      <w:marLeft w:val="0"/>
      <w:marRight w:val="0"/>
      <w:marTop w:val="0"/>
      <w:marBottom w:val="0"/>
      <w:divBdr>
        <w:top w:val="none" w:sz="0" w:space="0" w:color="auto"/>
        <w:left w:val="none" w:sz="0" w:space="0" w:color="auto"/>
        <w:bottom w:val="none" w:sz="0" w:space="0" w:color="auto"/>
        <w:right w:val="none" w:sz="0" w:space="0" w:color="auto"/>
      </w:divBdr>
    </w:div>
    <w:div w:id="1677610059">
      <w:bodyDiv w:val="1"/>
      <w:marLeft w:val="0"/>
      <w:marRight w:val="0"/>
      <w:marTop w:val="0"/>
      <w:marBottom w:val="0"/>
      <w:divBdr>
        <w:top w:val="none" w:sz="0" w:space="0" w:color="auto"/>
        <w:left w:val="none" w:sz="0" w:space="0" w:color="auto"/>
        <w:bottom w:val="none" w:sz="0" w:space="0" w:color="auto"/>
        <w:right w:val="none" w:sz="0" w:space="0" w:color="auto"/>
      </w:divBdr>
    </w:div>
    <w:div w:id="1677733610">
      <w:bodyDiv w:val="1"/>
      <w:marLeft w:val="0"/>
      <w:marRight w:val="0"/>
      <w:marTop w:val="0"/>
      <w:marBottom w:val="0"/>
      <w:divBdr>
        <w:top w:val="none" w:sz="0" w:space="0" w:color="auto"/>
        <w:left w:val="none" w:sz="0" w:space="0" w:color="auto"/>
        <w:bottom w:val="none" w:sz="0" w:space="0" w:color="auto"/>
        <w:right w:val="none" w:sz="0" w:space="0" w:color="auto"/>
      </w:divBdr>
    </w:div>
    <w:div w:id="1716350102">
      <w:bodyDiv w:val="1"/>
      <w:marLeft w:val="0"/>
      <w:marRight w:val="0"/>
      <w:marTop w:val="0"/>
      <w:marBottom w:val="0"/>
      <w:divBdr>
        <w:top w:val="none" w:sz="0" w:space="0" w:color="auto"/>
        <w:left w:val="none" w:sz="0" w:space="0" w:color="auto"/>
        <w:bottom w:val="none" w:sz="0" w:space="0" w:color="auto"/>
        <w:right w:val="none" w:sz="0" w:space="0" w:color="auto"/>
      </w:divBdr>
    </w:div>
    <w:div w:id="1729184952">
      <w:bodyDiv w:val="1"/>
      <w:marLeft w:val="0"/>
      <w:marRight w:val="0"/>
      <w:marTop w:val="0"/>
      <w:marBottom w:val="0"/>
      <w:divBdr>
        <w:top w:val="none" w:sz="0" w:space="0" w:color="auto"/>
        <w:left w:val="none" w:sz="0" w:space="0" w:color="auto"/>
        <w:bottom w:val="none" w:sz="0" w:space="0" w:color="auto"/>
        <w:right w:val="none" w:sz="0" w:space="0" w:color="auto"/>
      </w:divBdr>
    </w:div>
    <w:div w:id="1760564215">
      <w:bodyDiv w:val="1"/>
      <w:marLeft w:val="0"/>
      <w:marRight w:val="0"/>
      <w:marTop w:val="0"/>
      <w:marBottom w:val="0"/>
      <w:divBdr>
        <w:top w:val="none" w:sz="0" w:space="0" w:color="auto"/>
        <w:left w:val="none" w:sz="0" w:space="0" w:color="auto"/>
        <w:bottom w:val="none" w:sz="0" w:space="0" w:color="auto"/>
        <w:right w:val="none" w:sz="0" w:space="0" w:color="auto"/>
      </w:divBdr>
    </w:div>
    <w:div w:id="1819610254">
      <w:bodyDiv w:val="1"/>
      <w:marLeft w:val="0"/>
      <w:marRight w:val="0"/>
      <w:marTop w:val="0"/>
      <w:marBottom w:val="0"/>
      <w:divBdr>
        <w:top w:val="none" w:sz="0" w:space="0" w:color="auto"/>
        <w:left w:val="none" w:sz="0" w:space="0" w:color="auto"/>
        <w:bottom w:val="none" w:sz="0" w:space="0" w:color="auto"/>
        <w:right w:val="none" w:sz="0" w:space="0" w:color="auto"/>
      </w:divBdr>
    </w:div>
    <w:div w:id="1835533114">
      <w:bodyDiv w:val="1"/>
      <w:marLeft w:val="0"/>
      <w:marRight w:val="0"/>
      <w:marTop w:val="0"/>
      <w:marBottom w:val="0"/>
      <w:divBdr>
        <w:top w:val="none" w:sz="0" w:space="0" w:color="auto"/>
        <w:left w:val="none" w:sz="0" w:space="0" w:color="auto"/>
        <w:bottom w:val="none" w:sz="0" w:space="0" w:color="auto"/>
        <w:right w:val="none" w:sz="0" w:space="0" w:color="auto"/>
      </w:divBdr>
    </w:div>
    <w:div w:id="1841650899">
      <w:bodyDiv w:val="1"/>
      <w:marLeft w:val="0"/>
      <w:marRight w:val="0"/>
      <w:marTop w:val="0"/>
      <w:marBottom w:val="0"/>
      <w:divBdr>
        <w:top w:val="none" w:sz="0" w:space="0" w:color="auto"/>
        <w:left w:val="none" w:sz="0" w:space="0" w:color="auto"/>
        <w:bottom w:val="none" w:sz="0" w:space="0" w:color="auto"/>
        <w:right w:val="none" w:sz="0" w:space="0" w:color="auto"/>
      </w:divBdr>
    </w:div>
    <w:div w:id="1860852791">
      <w:bodyDiv w:val="1"/>
      <w:marLeft w:val="0"/>
      <w:marRight w:val="0"/>
      <w:marTop w:val="0"/>
      <w:marBottom w:val="0"/>
      <w:divBdr>
        <w:top w:val="none" w:sz="0" w:space="0" w:color="auto"/>
        <w:left w:val="none" w:sz="0" w:space="0" w:color="auto"/>
        <w:bottom w:val="none" w:sz="0" w:space="0" w:color="auto"/>
        <w:right w:val="none" w:sz="0" w:space="0" w:color="auto"/>
      </w:divBdr>
    </w:div>
    <w:div w:id="1915819299">
      <w:bodyDiv w:val="1"/>
      <w:marLeft w:val="0"/>
      <w:marRight w:val="0"/>
      <w:marTop w:val="0"/>
      <w:marBottom w:val="0"/>
      <w:divBdr>
        <w:top w:val="none" w:sz="0" w:space="0" w:color="auto"/>
        <w:left w:val="none" w:sz="0" w:space="0" w:color="auto"/>
        <w:bottom w:val="none" w:sz="0" w:space="0" w:color="auto"/>
        <w:right w:val="none" w:sz="0" w:space="0" w:color="auto"/>
      </w:divBdr>
    </w:div>
    <w:div w:id="1926378620">
      <w:bodyDiv w:val="1"/>
      <w:marLeft w:val="0"/>
      <w:marRight w:val="0"/>
      <w:marTop w:val="0"/>
      <w:marBottom w:val="0"/>
      <w:divBdr>
        <w:top w:val="none" w:sz="0" w:space="0" w:color="auto"/>
        <w:left w:val="none" w:sz="0" w:space="0" w:color="auto"/>
        <w:bottom w:val="none" w:sz="0" w:space="0" w:color="auto"/>
        <w:right w:val="none" w:sz="0" w:space="0" w:color="auto"/>
      </w:divBdr>
    </w:div>
    <w:div w:id="1958944179">
      <w:bodyDiv w:val="1"/>
      <w:marLeft w:val="0"/>
      <w:marRight w:val="0"/>
      <w:marTop w:val="0"/>
      <w:marBottom w:val="0"/>
      <w:divBdr>
        <w:top w:val="none" w:sz="0" w:space="0" w:color="auto"/>
        <w:left w:val="none" w:sz="0" w:space="0" w:color="auto"/>
        <w:bottom w:val="none" w:sz="0" w:space="0" w:color="auto"/>
        <w:right w:val="none" w:sz="0" w:space="0" w:color="auto"/>
      </w:divBdr>
    </w:div>
    <w:div w:id="1997999051">
      <w:bodyDiv w:val="1"/>
      <w:marLeft w:val="0"/>
      <w:marRight w:val="0"/>
      <w:marTop w:val="0"/>
      <w:marBottom w:val="0"/>
      <w:divBdr>
        <w:top w:val="none" w:sz="0" w:space="0" w:color="auto"/>
        <w:left w:val="none" w:sz="0" w:space="0" w:color="auto"/>
        <w:bottom w:val="none" w:sz="0" w:space="0" w:color="auto"/>
        <w:right w:val="none" w:sz="0" w:space="0" w:color="auto"/>
      </w:divBdr>
    </w:div>
    <w:div w:id="2045910410">
      <w:bodyDiv w:val="1"/>
      <w:marLeft w:val="0"/>
      <w:marRight w:val="0"/>
      <w:marTop w:val="0"/>
      <w:marBottom w:val="0"/>
      <w:divBdr>
        <w:top w:val="none" w:sz="0" w:space="0" w:color="auto"/>
        <w:left w:val="none" w:sz="0" w:space="0" w:color="auto"/>
        <w:bottom w:val="none" w:sz="0" w:space="0" w:color="auto"/>
        <w:right w:val="none" w:sz="0" w:space="0" w:color="auto"/>
      </w:divBdr>
    </w:div>
    <w:div w:id="2067676068">
      <w:bodyDiv w:val="1"/>
      <w:marLeft w:val="0"/>
      <w:marRight w:val="0"/>
      <w:marTop w:val="0"/>
      <w:marBottom w:val="0"/>
      <w:divBdr>
        <w:top w:val="none" w:sz="0" w:space="0" w:color="auto"/>
        <w:left w:val="none" w:sz="0" w:space="0" w:color="auto"/>
        <w:bottom w:val="none" w:sz="0" w:space="0" w:color="auto"/>
        <w:right w:val="none" w:sz="0" w:space="0" w:color="auto"/>
      </w:divBdr>
    </w:div>
    <w:div w:id="209574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3.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chart" Target="charts/chart7.xml"/><Relationship Id="rId42" Type="http://schemas.openxmlformats.org/officeDocument/2006/relationships/hyperlink" Target="mailto:ilze.jurevica@varam.gov.lv"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5.png"/><Relationship Id="rId33" Type="http://schemas.openxmlformats.org/officeDocument/2006/relationships/image" Target="media/image6.png"/><Relationship Id="rId38" Type="http://schemas.openxmlformats.org/officeDocument/2006/relationships/hyperlink" Target="https://migracija.csb.gov.lv/?id=B1e0JusADQ"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diagramLayout" Target="diagrams/layout1.xm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32" Type="http://schemas.microsoft.com/office/2007/relationships/diagramDrawing" Target="diagrams/drawing1.xml"/><Relationship Id="rId37" Type="http://schemas.openxmlformats.org/officeDocument/2006/relationships/image" Target="media/image8.emf"/><Relationship Id="rId40" Type="http://schemas.openxmlformats.org/officeDocument/2006/relationships/image" Target="media/image10.emf"/><Relationship Id="rId45" Type="http://schemas.openxmlformats.org/officeDocument/2006/relationships/hyperlink" Target="mailto:davis.melnalksnis@varam.gov.lv"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diagramData" Target="diagrams/data1.xml"/><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diagramColors" Target="diagrams/colors1.xml"/><Relationship Id="rId44" Type="http://schemas.openxmlformats.org/officeDocument/2006/relationships/hyperlink" Target="mailto:indra.ciuksa@varam.gov.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footer" Target="footer3.xml"/><Relationship Id="rId30" Type="http://schemas.openxmlformats.org/officeDocument/2006/relationships/diagramQuickStyle" Target="diagrams/quickStyle1.xml"/><Relationship Id="rId35" Type="http://schemas.openxmlformats.org/officeDocument/2006/relationships/image" Target="media/image7.png"/><Relationship Id="rId43" Type="http://schemas.openxmlformats.org/officeDocument/2006/relationships/hyperlink" Target="mailto:raivis.bremsmits@varam.gov.l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docsroom/documents/33147" TargetMode="External"/><Relationship Id="rId7" Type="http://schemas.openxmlformats.org/officeDocument/2006/relationships/hyperlink" Target="https://data1.csb.gov.lv/pxweb/lv/iedz/iedz__iedzskaits__ikgad/ISG020.px/table/tableViewLayout1/" TargetMode="External"/><Relationship Id="rId2" Type="http://schemas.openxmlformats.org/officeDocument/2006/relationships/hyperlink" Target="https://data1.csb.gov.lv/pxweb/lv/uzn/uzn__01_skaits/SRG040.px/table/tableViewLayout1/" TargetMode="External"/><Relationship Id="rId1" Type="http://schemas.openxmlformats.org/officeDocument/2006/relationships/hyperlink" Target="https://data1.csb.gov.lv/pxweb/lv/uzn/uzn__01_skaits/SRG010.px/table/tableViewLayout1/?rxid=3513f222-8e01-429e-a509-fd5046b7dcf6" TargetMode="External"/><Relationship Id="rId6" Type="http://schemas.openxmlformats.org/officeDocument/2006/relationships/hyperlink" Target="http://www.oecd.org/economy/surveys/Latvia-2019-OECD-economic-survey-overview.pdf" TargetMode="External"/><Relationship Id="rId5" Type="http://schemas.openxmlformats.org/officeDocument/2006/relationships/hyperlink" Target="https://ec.europa.eu/info/sites/info/files/2018-european-pusgads%20country-report-latvia-en_1.pdf" TargetMode="External"/><Relationship Id="rId4" Type="http://schemas.openxmlformats.org/officeDocument/2006/relationships/hyperlink" Target="https://www.izm.gov.lv/lv/publikacijas-un-statistika/statistika-par-izglitibu/statistika-par-augstako-izglitib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vism\Desktop\RPP_2021-2027\Grafikiem_2509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aivisBremsmits\Documents\Reg_pol\RPP\Jauns%20RPP\VSS_sludinasanai\Aprekini\Pievienota_vertib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vism\AppData\Local\Microsoft\Windows\INetCache\Content.Outlook\UJOIQ94M\Copy%20of%20Kred&#299;tu_re&#291;istrs_dati_2608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vism\AppData\Local\Microsoft\Windows\INetCache\Content.Outlook\UJOIQ94M\KOPEJAS_TABULAS_%20ALTUM_dati_2308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vism\Desktop\RPP_2021-2027\Grafikiem_pielikumam.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lzegoba\Desktop\Anketu%20uzskait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316-466E-8A1B-915F699CC64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316-466E-8A1B-915F699CC64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316-466E-8A1B-915F699CC64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316-466E-8A1B-915F699CC64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316-466E-8A1B-915F699CC6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Rīgas reģions</c:v>
                </c:pt>
                <c:pt idx="1">
                  <c:v>Vidzemes reģions</c:v>
                </c:pt>
                <c:pt idx="2">
                  <c:v>Kurzemes reģions</c:v>
                </c:pt>
                <c:pt idx="3">
                  <c:v>Zemgales reģions</c:v>
                </c:pt>
                <c:pt idx="4">
                  <c:v>Latgales reģions</c:v>
                </c:pt>
              </c:strCache>
            </c:strRef>
          </c:cat>
          <c:val>
            <c:numRef>
              <c:f>Sheet1!$B$2:$B$6</c:f>
              <c:numCache>
                <c:formatCode>0%</c:formatCode>
                <c:ptCount val="5"/>
                <c:pt idx="0">
                  <c:v>0.69</c:v>
                </c:pt>
                <c:pt idx="1">
                  <c:v>7.0000000000000007E-2</c:v>
                </c:pt>
                <c:pt idx="2">
                  <c:v>0.09</c:v>
                </c:pt>
                <c:pt idx="3">
                  <c:v>0.08</c:v>
                </c:pt>
                <c:pt idx="4">
                  <c:v>7.0000000000000007E-2</c:v>
                </c:pt>
              </c:numCache>
            </c:numRef>
          </c:val>
          <c:extLst xmlns:c16r2="http://schemas.microsoft.com/office/drawing/2015/06/chart">
            <c:ext xmlns:c16="http://schemas.microsoft.com/office/drawing/2014/chart" uri="{C3380CC4-5D6E-409C-BE32-E72D297353CC}">
              <c16:uniqueId val="{0000000A-B316-466E-8A1B-915F699CC64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2D7-43CB-92DD-BCC42937AE2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2D7-43CB-92DD-BCC42937AE2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2D7-43CB-92DD-BCC42937AE2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2D7-43CB-92DD-BCC42937AE2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2D7-43CB-92DD-BCC42937AE26}"/>
              </c:ext>
            </c:extLst>
          </c:dPt>
          <c:dLbls>
            <c:dLbl>
              <c:idx val="4"/>
              <c:layout>
                <c:manualLayout>
                  <c:x val="-2.5462668816039986E-17"/>
                  <c:y val="1.851851851851851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B2D7-43CB-92DD-BCC42937AE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Sheet1!$A$8:$A$12</c:f>
              <c:strCache>
                <c:ptCount val="5"/>
                <c:pt idx="0">
                  <c:v>Rīgas reģions</c:v>
                </c:pt>
                <c:pt idx="1">
                  <c:v>Vidzemes reģions</c:v>
                </c:pt>
                <c:pt idx="2">
                  <c:v>Kurzemes reģions</c:v>
                </c:pt>
                <c:pt idx="3">
                  <c:v>Zemgales reģions</c:v>
                </c:pt>
                <c:pt idx="4">
                  <c:v>Latgales reģions</c:v>
                </c:pt>
              </c:strCache>
            </c:strRef>
          </c:cat>
          <c:val>
            <c:numRef>
              <c:f>Sheet1!$B$8:$B$12</c:f>
              <c:numCache>
                <c:formatCode>0%</c:formatCode>
                <c:ptCount val="5"/>
                <c:pt idx="0">
                  <c:v>0.52</c:v>
                </c:pt>
                <c:pt idx="1">
                  <c:v>0.1</c:v>
                </c:pt>
                <c:pt idx="2">
                  <c:v>0.12</c:v>
                </c:pt>
                <c:pt idx="3">
                  <c:v>0.12</c:v>
                </c:pt>
                <c:pt idx="4">
                  <c:v>0.14000000000000001</c:v>
                </c:pt>
              </c:numCache>
            </c:numRef>
          </c:val>
          <c:extLst xmlns:c16r2="http://schemas.microsoft.com/office/drawing/2015/06/chart">
            <c:ext xmlns:c16="http://schemas.microsoft.com/office/drawing/2014/chart" uri="{C3380CC4-5D6E-409C-BE32-E72D297353CC}">
              <c16:uniqueId val="{0000000A-B2D7-43CB-92DD-BCC42937AE2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0"/>
              <a:t>Reģionu IKP uz 1 iedzīvotāju pret Latvijas vidējo IKP uz 1 iedzīvotāju 2006.-2016.gads (CSP)</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0477915974516456E-2"/>
          <c:y val="0.18437083528937995"/>
          <c:w val="0.59695812808270621"/>
          <c:h val="0.65251586585732513"/>
        </c:manualLayout>
      </c:layout>
      <c:barChart>
        <c:barDir val="col"/>
        <c:grouping val="clustered"/>
        <c:varyColors val="0"/>
        <c:ser>
          <c:idx val="0"/>
          <c:order val="0"/>
          <c:tx>
            <c:strRef>
              <c:f>Sheet1!$B$21</c:f>
              <c:strCache>
                <c:ptCount val="1"/>
                <c:pt idx="0">
                  <c:v>Reģionu IKP uz 1 iedz. pret Latvijas vidējo IKP uz 1 iedz. (2006.gads)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Sheet1!$A$22:$A$27</c:f>
              <c:strCache>
                <c:ptCount val="6"/>
                <c:pt idx="0">
                  <c:v>Rīgas reģions</c:v>
                </c:pt>
                <c:pt idx="1">
                  <c:v>Pierīgas reģions</c:v>
                </c:pt>
                <c:pt idx="2">
                  <c:v>Kurzemes reģions</c:v>
                </c:pt>
                <c:pt idx="3">
                  <c:v>Vidzemes reģions</c:v>
                </c:pt>
                <c:pt idx="4">
                  <c:v>Zemgales reģions</c:v>
                </c:pt>
                <c:pt idx="5">
                  <c:v>Latgales reģions</c:v>
                </c:pt>
              </c:strCache>
            </c:strRef>
          </c:cat>
          <c:val>
            <c:numRef>
              <c:f>Sheet1!$B$22:$B$27</c:f>
              <c:numCache>
                <c:formatCode>0%</c:formatCode>
                <c:ptCount val="6"/>
                <c:pt idx="0">
                  <c:v>1.7692008303061755</c:v>
                </c:pt>
                <c:pt idx="1">
                  <c:v>0.75077841203943951</c:v>
                </c:pt>
                <c:pt idx="2">
                  <c:v>0.76855215360664242</c:v>
                </c:pt>
                <c:pt idx="3">
                  <c:v>0.6063829787234043</c:v>
                </c:pt>
                <c:pt idx="4">
                  <c:v>0.60884795018162952</c:v>
                </c:pt>
                <c:pt idx="5">
                  <c:v>0.46004151530877013</c:v>
                </c:pt>
              </c:numCache>
            </c:numRef>
          </c:val>
          <c:extLst xmlns:c16r2="http://schemas.microsoft.com/office/drawing/2015/06/chart">
            <c:ext xmlns:c16="http://schemas.microsoft.com/office/drawing/2014/chart" uri="{C3380CC4-5D6E-409C-BE32-E72D297353CC}">
              <c16:uniqueId val="{00000000-00C9-44C8-91BE-50DE11C62173}"/>
            </c:ext>
          </c:extLst>
        </c:ser>
        <c:ser>
          <c:idx val="1"/>
          <c:order val="1"/>
          <c:tx>
            <c:strRef>
              <c:f>Sheet1!$C$21</c:f>
              <c:strCache>
                <c:ptCount val="1"/>
                <c:pt idx="0">
                  <c:v>Reģionu IKP uz 1 iedz. pret Latvijas vidējo IKP uz 1 iedz. (2016.gads)</c:v>
                </c:pt>
              </c:strCache>
            </c:strRef>
          </c:tx>
          <c:spPr>
            <a:solidFill>
              <a:schemeClr val="accent2"/>
            </a:solidFill>
            <a:ln>
              <a:noFill/>
            </a:ln>
            <a:effectLst/>
          </c:spPr>
          <c:invertIfNegative val="0"/>
          <c:dLbls>
            <c:dLbl>
              <c:idx val="2"/>
              <c:layout>
                <c:manualLayout>
                  <c:x val="8.9156357962776808E-3"/>
                  <c:y val="3.92695857058700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C9-44C8-91BE-50DE11C621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Sheet1!$A$22:$A$27</c:f>
              <c:strCache>
                <c:ptCount val="6"/>
                <c:pt idx="0">
                  <c:v>Rīgas reģions</c:v>
                </c:pt>
                <c:pt idx="1">
                  <c:v>Pierīgas reģions</c:v>
                </c:pt>
                <c:pt idx="2">
                  <c:v>Kurzemes reģions</c:v>
                </c:pt>
                <c:pt idx="3">
                  <c:v>Vidzemes reģions</c:v>
                </c:pt>
                <c:pt idx="4">
                  <c:v>Zemgales reģions</c:v>
                </c:pt>
                <c:pt idx="5">
                  <c:v>Latgales reģions</c:v>
                </c:pt>
              </c:strCache>
            </c:strRef>
          </c:cat>
          <c:val>
            <c:numRef>
              <c:f>Sheet1!$C$22:$C$27</c:f>
              <c:numCache>
                <c:formatCode>0%</c:formatCode>
                <c:ptCount val="6"/>
                <c:pt idx="0">
                  <c:v>1.6494248376242273</c:v>
                </c:pt>
                <c:pt idx="1">
                  <c:v>0.81735660067297911</c:v>
                </c:pt>
                <c:pt idx="2">
                  <c:v>0.74379841928163393</c:v>
                </c:pt>
                <c:pt idx="3">
                  <c:v>0.65764144299240945</c:v>
                </c:pt>
                <c:pt idx="4">
                  <c:v>0.62962673135613112</c:v>
                </c:pt>
                <c:pt idx="5">
                  <c:v>0.50989905313404804</c:v>
                </c:pt>
              </c:numCache>
            </c:numRef>
          </c:val>
          <c:extLst xmlns:c16r2="http://schemas.microsoft.com/office/drawing/2015/06/chart">
            <c:ext xmlns:c16="http://schemas.microsoft.com/office/drawing/2014/chart" uri="{C3380CC4-5D6E-409C-BE32-E72D297353CC}">
              <c16:uniqueId val="{00000002-00C9-44C8-91BE-50DE11C62173}"/>
            </c:ext>
          </c:extLst>
        </c:ser>
        <c:dLbls>
          <c:showLegendKey val="0"/>
          <c:showVal val="0"/>
          <c:showCatName val="0"/>
          <c:showSerName val="0"/>
          <c:showPercent val="0"/>
          <c:showBubbleSize val="0"/>
        </c:dLbls>
        <c:gapWidth val="150"/>
        <c:axId val="466991528"/>
        <c:axId val="467003680"/>
      </c:barChart>
      <c:lineChart>
        <c:grouping val="standard"/>
        <c:varyColors val="0"/>
        <c:ser>
          <c:idx val="2"/>
          <c:order val="2"/>
          <c:tx>
            <c:strRef>
              <c:f>Sheet1!$D$21</c:f>
              <c:strCache>
                <c:ptCount val="1"/>
                <c:pt idx="0">
                  <c:v>Pieaugums pret  Latvijas vidējo IKP uz 1 iedz. (2006.-2016.)</c:v>
                </c:pt>
              </c:strCache>
            </c:strRef>
          </c:tx>
          <c:spPr>
            <a:ln w="28575" cap="rnd">
              <a:solidFill>
                <a:srgbClr val="00B050"/>
              </a:solidFill>
              <a:round/>
            </a:ln>
            <a:effectLst/>
          </c:spPr>
          <c:marker>
            <c:symbol val="none"/>
          </c:marker>
          <c:dLbls>
            <c:dLbl>
              <c:idx val="2"/>
              <c:layout>
                <c:manualLayout>
                  <c:x val="-2.3955155053963291E-2"/>
                  <c:y val="-0.1067053590616115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C9-44C8-91BE-50DE11C621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Sheet1!$A$22:$A$27</c:f>
              <c:strCache>
                <c:ptCount val="6"/>
                <c:pt idx="0">
                  <c:v>Rīgas reģions</c:v>
                </c:pt>
                <c:pt idx="1">
                  <c:v>Pierīgas reģions</c:v>
                </c:pt>
                <c:pt idx="2">
                  <c:v>Kurzemes reģions</c:v>
                </c:pt>
                <c:pt idx="3">
                  <c:v>Vidzemes reģions</c:v>
                </c:pt>
                <c:pt idx="4">
                  <c:v>Zemgales reģions</c:v>
                </c:pt>
                <c:pt idx="5">
                  <c:v>Latgales reģions</c:v>
                </c:pt>
              </c:strCache>
            </c:strRef>
          </c:cat>
          <c:val>
            <c:numRef>
              <c:f>Sheet1!$D$22:$D$27</c:f>
              <c:numCache>
                <c:formatCode>0%</c:formatCode>
                <c:ptCount val="6"/>
                <c:pt idx="0">
                  <c:v>0.93279999999999996</c:v>
                </c:pt>
                <c:pt idx="1">
                  <c:v>1.0892999999999999</c:v>
                </c:pt>
                <c:pt idx="2">
                  <c:v>0.96830000000000005</c:v>
                </c:pt>
                <c:pt idx="3">
                  <c:v>1.0851</c:v>
                </c:pt>
                <c:pt idx="4">
                  <c:v>1.0347</c:v>
                </c:pt>
                <c:pt idx="5">
                  <c:v>1.109</c:v>
                </c:pt>
              </c:numCache>
            </c:numRef>
          </c:val>
          <c:smooth val="0"/>
          <c:extLst xmlns:c16r2="http://schemas.microsoft.com/office/drawing/2015/06/chart">
            <c:ext xmlns:c16="http://schemas.microsoft.com/office/drawing/2014/chart" uri="{C3380CC4-5D6E-409C-BE32-E72D297353CC}">
              <c16:uniqueId val="{00000004-00C9-44C8-91BE-50DE11C62173}"/>
            </c:ext>
          </c:extLst>
        </c:ser>
        <c:ser>
          <c:idx val="3"/>
          <c:order val="3"/>
          <c:tx>
            <c:strRef>
              <c:f>Sheet1!$E$21</c:f>
              <c:strCache>
                <c:ptCount val="1"/>
                <c:pt idx="0">
                  <c:v>Latvijas vidējais IKP uz 1 iedz.</c:v>
                </c:pt>
              </c:strCache>
            </c:strRef>
          </c:tx>
          <c:spPr>
            <a:ln w="28575" cap="rnd">
              <a:solidFill>
                <a:schemeClr val="accent4"/>
              </a:solidFill>
              <a:round/>
            </a:ln>
            <a:effectLst/>
          </c:spPr>
          <c:marker>
            <c:symbol val="none"/>
          </c:marker>
          <c:cat>
            <c:strRef>
              <c:f>Sheet1!$A$22:$A$27</c:f>
              <c:strCache>
                <c:ptCount val="6"/>
                <c:pt idx="0">
                  <c:v>Rīgas reģions</c:v>
                </c:pt>
                <c:pt idx="1">
                  <c:v>Pierīgas reģions</c:v>
                </c:pt>
                <c:pt idx="2">
                  <c:v>Kurzemes reģions</c:v>
                </c:pt>
                <c:pt idx="3">
                  <c:v>Vidzemes reģions</c:v>
                </c:pt>
                <c:pt idx="4">
                  <c:v>Zemgales reģions</c:v>
                </c:pt>
                <c:pt idx="5">
                  <c:v>Latgales reģions</c:v>
                </c:pt>
              </c:strCache>
            </c:strRef>
          </c:cat>
          <c:val>
            <c:numRef>
              <c:f>Sheet1!$E$22:$E$27</c:f>
              <c:numCache>
                <c:formatCode>0%</c:formatCode>
                <c:ptCount val="6"/>
                <c:pt idx="0">
                  <c:v>1</c:v>
                </c:pt>
                <c:pt idx="1">
                  <c:v>1</c:v>
                </c:pt>
                <c:pt idx="2">
                  <c:v>1</c:v>
                </c:pt>
                <c:pt idx="3">
                  <c:v>1</c:v>
                </c:pt>
                <c:pt idx="4">
                  <c:v>1</c:v>
                </c:pt>
                <c:pt idx="5">
                  <c:v>1</c:v>
                </c:pt>
              </c:numCache>
            </c:numRef>
          </c:val>
          <c:smooth val="0"/>
          <c:extLst xmlns:c16r2="http://schemas.microsoft.com/office/drawing/2015/06/chart">
            <c:ext xmlns:c16="http://schemas.microsoft.com/office/drawing/2014/chart" uri="{C3380CC4-5D6E-409C-BE32-E72D297353CC}">
              <c16:uniqueId val="{00000005-00C9-44C8-91BE-50DE11C62173}"/>
            </c:ext>
          </c:extLst>
        </c:ser>
        <c:dLbls>
          <c:showLegendKey val="0"/>
          <c:showVal val="0"/>
          <c:showCatName val="0"/>
          <c:showSerName val="0"/>
          <c:showPercent val="0"/>
          <c:showBubbleSize val="0"/>
        </c:dLbls>
        <c:marker val="1"/>
        <c:smooth val="0"/>
        <c:axId val="467004856"/>
        <c:axId val="467004072"/>
      </c:lineChart>
      <c:catAx>
        <c:axId val="46699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67003680"/>
        <c:crosses val="autoZero"/>
        <c:auto val="1"/>
        <c:lblAlgn val="ctr"/>
        <c:lblOffset val="100"/>
        <c:noMultiLvlLbl val="0"/>
      </c:catAx>
      <c:valAx>
        <c:axId val="467003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66991528"/>
        <c:crosses val="autoZero"/>
        <c:crossBetween val="between"/>
      </c:valAx>
      <c:valAx>
        <c:axId val="467004072"/>
        <c:scaling>
          <c:orientation val="minMax"/>
          <c:min val="0.85000000000000009"/>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67004856"/>
        <c:crosses val="max"/>
        <c:crossBetween val="between"/>
      </c:valAx>
      <c:catAx>
        <c:axId val="467004856"/>
        <c:scaling>
          <c:orientation val="minMax"/>
        </c:scaling>
        <c:delete val="1"/>
        <c:axPos val="b"/>
        <c:numFmt formatCode="General" sourceLinked="1"/>
        <c:majorTickMark val="none"/>
        <c:minorTickMark val="none"/>
        <c:tickLblPos val="nextTo"/>
        <c:crossAx val="467004072"/>
        <c:crosses val="autoZero"/>
        <c:auto val="1"/>
        <c:lblAlgn val="ctr"/>
        <c:lblOffset val="100"/>
        <c:noMultiLvlLbl val="0"/>
      </c:catAx>
      <c:spPr>
        <a:noFill/>
        <a:ln>
          <a:noFill/>
        </a:ln>
        <a:effectLst/>
      </c:spPr>
    </c:plotArea>
    <c:legend>
      <c:legendPos val="r"/>
      <c:layout>
        <c:manualLayout>
          <c:xMode val="edge"/>
          <c:yMode val="edge"/>
          <c:x val="0.73791396003173937"/>
          <c:y val="0.16567096106899848"/>
          <c:w val="0.24047874156151744"/>
          <c:h val="0.813781769326743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a:t>Pievienotā vērtība un kapitāla ieguldījumi, un personāla izmaksas (2017)</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1"/>
          <c:order val="1"/>
          <c:tx>
            <c:strRef>
              <c:f>'SBG050'!$Q$4</c:f>
              <c:strCache>
                <c:ptCount val="1"/>
                <c:pt idx="0">
                  <c:v>Kapitālie iegūldījumi uz nodarbināto</c:v>
                </c:pt>
              </c:strCache>
            </c:strRef>
          </c:tx>
          <c:spPr>
            <a:solidFill>
              <a:schemeClr val="accent2"/>
            </a:solidFill>
            <a:ln>
              <a:noFill/>
            </a:ln>
            <a:effectLst/>
          </c:spPr>
          <c:invertIfNegative val="0"/>
          <c:cat>
            <c:strRef>
              <c:f>'SBG050'!$O$5:$O$10</c:f>
              <c:strCache>
                <c:ptCount val="6"/>
                <c:pt idx="0">
                  <c:v>Rīgas reģions</c:v>
                </c:pt>
                <c:pt idx="1">
                  <c:v>Pierīgas reģions</c:v>
                </c:pt>
                <c:pt idx="2">
                  <c:v>Zemgales reģions</c:v>
                </c:pt>
                <c:pt idx="3">
                  <c:v>Vidzemes reģions</c:v>
                </c:pt>
                <c:pt idx="4">
                  <c:v>Kurzemes reģions</c:v>
                </c:pt>
                <c:pt idx="5">
                  <c:v>Latgales reģions</c:v>
                </c:pt>
              </c:strCache>
            </c:strRef>
          </c:cat>
          <c:val>
            <c:numRef>
              <c:f>'SBG050'!$Q$5:$Q$10</c:f>
              <c:numCache>
                <c:formatCode>0%</c:formatCode>
                <c:ptCount val="6"/>
                <c:pt idx="0">
                  <c:v>1.0007436404048515</c:v>
                </c:pt>
                <c:pt idx="1">
                  <c:v>1.1599867437188012</c:v>
                </c:pt>
                <c:pt idx="2">
                  <c:v>0.74348637282604135</c:v>
                </c:pt>
                <c:pt idx="3">
                  <c:v>0.69043655839401996</c:v>
                </c:pt>
                <c:pt idx="4">
                  <c:v>0.81711963314456149</c:v>
                </c:pt>
                <c:pt idx="5">
                  <c:v>0.53485378994995758</c:v>
                </c:pt>
              </c:numCache>
            </c:numRef>
          </c:val>
          <c:extLst xmlns:c16r2="http://schemas.microsoft.com/office/drawing/2015/06/chart">
            <c:ext xmlns:c16="http://schemas.microsoft.com/office/drawing/2014/chart" uri="{C3380CC4-5D6E-409C-BE32-E72D297353CC}">
              <c16:uniqueId val="{00000000-D134-4EAF-A392-396A09A374BB}"/>
            </c:ext>
          </c:extLst>
        </c:ser>
        <c:ser>
          <c:idx val="2"/>
          <c:order val="2"/>
          <c:tx>
            <c:strRef>
              <c:f>'SBG050'!$R$4</c:f>
              <c:strCache>
                <c:ptCount val="1"/>
                <c:pt idx="0">
                  <c:v>Personāla izmaksas  uz nodarbināto</c:v>
                </c:pt>
              </c:strCache>
            </c:strRef>
          </c:tx>
          <c:spPr>
            <a:solidFill>
              <a:schemeClr val="accent3"/>
            </a:solidFill>
            <a:ln>
              <a:noFill/>
            </a:ln>
            <a:effectLst/>
          </c:spPr>
          <c:invertIfNegative val="0"/>
          <c:cat>
            <c:strRef>
              <c:f>'SBG050'!$O$5:$O$10</c:f>
              <c:strCache>
                <c:ptCount val="6"/>
                <c:pt idx="0">
                  <c:v>Rīgas reģions</c:v>
                </c:pt>
                <c:pt idx="1">
                  <c:v>Pierīgas reģions</c:v>
                </c:pt>
                <c:pt idx="2">
                  <c:v>Zemgales reģions</c:v>
                </c:pt>
                <c:pt idx="3">
                  <c:v>Vidzemes reģions</c:v>
                </c:pt>
                <c:pt idx="4">
                  <c:v>Kurzemes reģions</c:v>
                </c:pt>
                <c:pt idx="5">
                  <c:v>Latgales reģions</c:v>
                </c:pt>
              </c:strCache>
            </c:strRef>
          </c:cat>
          <c:val>
            <c:numRef>
              <c:f>'SBG050'!$R$5:$R$10</c:f>
              <c:numCache>
                <c:formatCode>0%</c:formatCode>
                <c:ptCount val="6"/>
                <c:pt idx="0">
                  <c:v>1.0002632739619537</c:v>
                </c:pt>
                <c:pt idx="1">
                  <c:v>0.9095266878153847</c:v>
                </c:pt>
                <c:pt idx="2">
                  <c:v>0.79069132009038057</c:v>
                </c:pt>
                <c:pt idx="3">
                  <c:v>0.77515368690955322</c:v>
                </c:pt>
                <c:pt idx="4">
                  <c:v>0.71439250930342446</c:v>
                </c:pt>
                <c:pt idx="5">
                  <c:v>0.57522488543160999</c:v>
                </c:pt>
              </c:numCache>
            </c:numRef>
          </c:val>
          <c:extLst xmlns:c16r2="http://schemas.microsoft.com/office/drawing/2015/06/chart">
            <c:ext xmlns:c16="http://schemas.microsoft.com/office/drawing/2014/chart" uri="{C3380CC4-5D6E-409C-BE32-E72D297353CC}">
              <c16:uniqueId val="{00000001-D134-4EAF-A392-396A09A374BB}"/>
            </c:ext>
          </c:extLst>
        </c:ser>
        <c:dLbls>
          <c:showLegendKey val="0"/>
          <c:showVal val="0"/>
          <c:showCatName val="0"/>
          <c:showSerName val="0"/>
          <c:showPercent val="0"/>
          <c:showBubbleSize val="0"/>
        </c:dLbls>
        <c:gapWidth val="219"/>
        <c:axId val="373565528"/>
        <c:axId val="373565136"/>
      </c:barChart>
      <c:lineChart>
        <c:grouping val="standard"/>
        <c:varyColors val="0"/>
        <c:ser>
          <c:idx val="0"/>
          <c:order val="0"/>
          <c:tx>
            <c:strRef>
              <c:f>'SBG050'!$P$4</c:f>
              <c:strCache>
                <c:ptCount val="1"/>
                <c:pt idx="0">
                  <c:v>Pievienotā vērtība uz nodarbināto</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'SBG050'!$O$5:$O$10</c:f>
              <c:strCache>
                <c:ptCount val="6"/>
                <c:pt idx="0">
                  <c:v>Rīgas reģions</c:v>
                </c:pt>
                <c:pt idx="1">
                  <c:v>Pierīgas reģions</c:v>
                </c:pt>
                <c:pt idx="2">
                  <c:v>Zemgales reģions</c:v>
                </c:pt>
                <c:pt idx="3">
                  <c:v>Vidzemes reģions</c:v>
                </c:pt>
                <c:pt idx="4">
                  <c:v>Kurzemes reģions</c:v>
                </c:pt>
                <c:pt idx="5">
                  <c:v>Latgales reģions</c:v>
                </c:pt>
              </c:strCache>
            </c:strRef>
          </c:cat>
          <c:val>
            <c:numRef>
              <c:f>'SBG050'!$P$5:$P$10</c:f>
              <c:numCache>
                <c:formatCode>0</c:formatCode>
                <c:ptCount val="6"/>
                <c:pt idx="0">
                  <c:v>20.841319395758635</c:v>
                </c:pt>
                <c:pt idx="1">
                  <c:v>16.596355114468579</c:v>
                </c:pt>
                <c:pt idx="2">
                  <c:v>15.955096017133704</c:v>
                </c:pt>
                <c:pt idx="3">
                  <c:v>14.748121604438793</c:v>
                </c:pt>
                <c:pt idx="4">
                  <c:v>13.825993638643945</c:v>
                </c:pt>
                <c:pt idx="5">
                  <c:v>10.799510767902538</c:v>
                </c:pt>
              </c:numCache>
            </c:numRef>
          </c:val>
          <c:smooth val="0"/>
          <c:extLst xmlns:c16r2="http://schemas.microsoft.com/office/drawing/2015/06/chart">
            <c:ext xmlns:c16="http://schemas.microsoft.com/office/drawing/2014/chart" uri="{C3380CC4-5D6E-409C-BE32-E72D297353CC}">
              <c16:uniqueId val="{00000002-D134-4EAF-A392-396A09A374BB}"/>
            </c:ext>
          </c:extLst>
        </c:ser>
        <c:ser>
          <c:idx val="3"/>
          <c:order val="3"/>
          <c:tx>
            <c:strRef>
              <c:f>'SBG050'!$S$4</c:f>
              <c:strCache>
                <c:ptCount val="1"/>
                <c:pt idx="0">
                  <c:v>Pievienotā vērtība pret kapitāla iegūldījumiem</c:v>
                </c:pt>
              </c:strCache>
            </c:strRef>
          </c:tx>
          <c:spPr>
            <a:ln w="28575" cap="rnd">
              <a:solidFill>
                <a:schemeClr val="accent4"/>
              </a:solidFill>
              <a:round/>
            </a:ln>
            <a:effectLst/>
          </c:spPr>
          <c:marker>
            <c:symbol val="none"/>
          </c:marker>
          <c:cat>
            <c:strRef>
              <c:f>'SBG050'!$O$5:$O$10</c:f>
              <c:strCache>
                <c:ptCount val="6"/>
                <c:pt idx="0">
                  <c:v>Rīgas reģions</c:v>
                </c:pt>
                <c:pt idx="1">
                  <c:v>Pierīgas reģions</c:v>
                </c:pt>
                <c:pt idx="2">
                  <c:v>Zemgales reģions</c:v>
                </c:pt>
                <c:pt idx="3">
                  <c:v>Vidzemes reģions</c:v>
                </c:pt>
                <c:pt idx="4">
                  <c:v>Kurzemes reģions</c:v>
                </c:pt>
                <c:pt idx="5">
                  <c:v>Latgales reģions</c:v>
                </c:pt>
              </c:strCache>
            </c:strRef>
          </c:cat>
          <c:val>
            <c:numRef>
              <c:f>'SBG050'!$S$5:$S$10</c:f>
              <c:numCache>
                <c:formatCode>0</c:formatCode>
                <c:ptCount val="6"/>
                <c:pt idx="0">
                  <c:v>3.2188303655753927</c:v>
                </c:pt>
                <c:pt idx="1">
                  <c:v>2.3845610311692487</c:v>
                </c:pt>
                <c:pt idx="2">
                  <c:v>3.5766394203225991</c:v>
                </c:pt>
                <c:pt idx="3">
                  <c:v>3.5600957648069915</c:v>
                </c:pt>
                <c:pt idx="4">
                  <c:v>2.8200671965737132</c:v>
                </c:pt>
                <c:pt idx="5">
                  <c:v>3.365253261990524</c:v>
                </c:pt>
              </c:numCache>
            </c:numRef>
          </c:val>
          <c:smooth val="0"/>
          <c:extLst xmlns:c16r2="http://schemas.microsoft.com/office/drawing/2015/06/chart">
            <c:ext xmlns:c16="http://schemas.microsoft.com/office/drawing/2014/chart" uri="{C3380CC4-5D6E-409C-BE32-E72D297353CC}">
              <c16:uniqueId val="{00000003-D134-4EAF-A392-396A09A374BB}"/>
            </c:ext>
          </c:extLst>
        </c:ser>
        <c:dLbls>
          <c:showLegendKey val="0"/>
          <c:showVal val="0"/>
          <c:showCatName val="0"/>
          <c:showSerName val="0"/>
          <c:showPercent val="0"/>
          <c:showBubbleSize val="0"/>
        </c:dLbls>
        <c:marker val="1"/>
        <c:smooth val="0"/>
        <c:axId val="467006032"/>
        <c:axId val="467006424"/>
      </c:lineChart>
      <c:catAx>
        <c:axId val="46700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67006424"/>
        <c:crosses val="autoZero"/>
        <c:auto val="1"/>
        <c:lblAlgn val="ctr"/>
        <c:lblOffset val="100"/>
        <c:noMultiLvlLbl val="0"/>
      </c:catAx>
      <c:valAx>
        <c:axId val="467006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67006032"/>
        <c:crosses val="autoZero"/>
        <c:crossBetween val="between"/>
      </c:valAx>
      <c:valAx>
        <c:axId val="37356513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73565528"/>
        <c:crosses val="max"/>
        <c:crossBetween val="between"/>
      </c:valAx>
      <c:catAx>
        <c:axId val="373565528"/>
        <c:scaling>
          <c:orientation val="minMax"/>
        </c:scaling>
        <c:delete val="1"/>
        <c:axPos val="b"/>
        <c:numFmt formatCode="General" sourceLinked="1"/>
        <c:majorTickMark val="out"/>
        <c:minorTickMark val="none"/>
        <c:tickLblPos val="nextTo"/>
        <c:crossAx val="373565136"/>
        <c:crosses val="autoZero"/>
        <c:auto val="1"/>
        <c:lblAlgn val="ctr"/>
        <c:lblOffset val="100"/>
        <c:noMultiLvlLbl val="0"/>
      </c:catAx>
      <c:spPr>
        <a:noFill/>
        <a:ln>
          <a:noFill/>
        </a:ln>
        <a:effectLst/>
      </c:spPr>
    </c:plotArea>
    <c:legend>
      <c:legendPos val="b"/>
      <c:layout>
        <c:manualLayout>
          <c:xMode val="edge"/>
          <c:yMode val="edge"/>
          <c:x val="8.9135490188078821E-3"/>
          <c:y val="0.82981833153208795"/>
          <c:w val="0.97987775624432483"/>
          <c:h val="0.138018630024188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a:t>Komercbanku</a:t>
            </a:r>
            <a:r>
              <a:rPr lang="lv-LV" sz="1200" baseline="0"/>
              <a:t> a</a:t>
            </a:r>
            <a:r>
              <a:rPr lang="en-US" sz="1200"/>
              <a:t>izdevumi 2016</a:t>
            </a:r>
            <a:r>
              <a:rPr lang="lv-LV" sz="1200"/>
              <a:t>.</a:t>
            </a:r>
            <a:r>
              <a:rPr lang="en-US" sz="1200"/>
              <a:t>-2018.gadā</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2739513378280071"/>
          <c:y val="0.12775991425509112"/>
          <c:w val="0.75523982270521095"/>
          <c:h val="0.44560177566228659"/>
        </c:manualLayout>
      </c:layout>
      <c:barChart>
        <c:barDir val="col"/>
        <c:grouping val="clustered"/>
        <c:varyColors val="0"/>
        <c:ser>
          <c:idx val="0"/>
          <c:order val="0"/>
          <c:tx>
            <c:strRef>
              <c:f>Kopā!$J$47</c:f>
              <c:strCache>
                <c:ptCount val="1"/>
                <c:pt idx="0">
                  <c:v>Kopējais aizdevumu apmērs uz 1 nodarbināto, euro</c:v>
                </c:pt>
              </c:strCache>
            </c:strRef>
          </c:tx>
          <c:spPr>
            <a:solidFill>
              <a:schemeClr val="accent1"/>
            </a:solidFill>
            <a:ln>
              <a:noFill/>
            </a:ln>
            <a:effectLst/>
          </c:spPr>
          <c:invertIfNegative val="0"/>
          <c:cat>
            <c:strRef>
              <c:f>Kopā!$I$48:$I$53</c:f>
              <c:strCache>
                <c:ptCount val="6"/>
                <c:pt idx="0">
                  <c:v>Vidzemes reģions</c:v>
                </c:pt>
                <c:pt idx="1">
                  <c:v>Latgales reģions</c:v>
                </c:pt>
                <c:pt idx="2">
                  <c:v>Kurzemes reģions</c:v>
                </c:pt>
                <c:pt idx="3">
                  <c:v>Zemgales reģions</c:v>
                </c:pt>
                <c:pt idx="4">
                  <c:v>Pierīgas reģions</c:v>
                </c:pt>
                <c:pt idx="5">
                  <c:v>Rīgas reģions</c:v>
                </c:pt>
              </c:strCache>
            </c:strRef>
          </c:cat>
          <c:val>
            <c:numRef>
              <c:f>Kopā!$J$48:$J$53</c:f>
              <c:numCache>
                <c:formatCode>0</c:formatCode>
                <c:ptCount val="6"/>
                <c:pt idx="0">
                  <c:v>2042.8496596041912</c:v>
                </c:pt>
                <c:pt idx="1">
                  <c:v>1649.9813393636368</c:v>
                </c:pt>
                <c:pt idx="2">
                  <c:v>2838.0288662049852</c:v>
                </c:pt>
                <c:pt idx="3">
                  <c:v>4824.3033055072465</c:v>
                </c:pt>
                <c:pt idx="4">
                  <c:v>3118.1136544407896</c:v>
                </c:pt>
                <c:pt idx="5">
                  <c:v>9187.1498527716885</c:v>
                </c:pt>
              </c:numCache>
            </c:numRef>
          </c:val>
          <c:extLst xmlns:c16r2="http://schemas.microsoft.com/office/drawing/2015/06/chart">
            <c:ext xmlns:c16="http://schemas.microsoft.com/office/drawing/2014/chart" uri="{C3380CC4-5D6E-409C-BE32-E72D297353CC}">
              <c16:uniqueId val="{00000000-2AA2-4665-8348-3D9D3D57A041}"/>
            </c:ext>
          </c:extLst>
        </c:ser>
        <c:ser>
          <c:idx val="1"/>
          <c:order val="1"/>
          <c:tx>
            <c:strRef>
              <c:f>Kopā!$K$47</c:f>
              <c:strCache>
                <c:ptCount val="1"/>
                <c:pt idx="0">
                  <c:v>Apgrozāmo līdzekļu aizdevumu apmērs uz 1 nodarbināto, euro</c:v>
                </c:pt>
              </c:strCache>
            </c:strRef>
          </c:tx>
          <c:spPr>
            <a:solidFill>
              <a:schemeClr val="accent2"/>
            </a:solidFill>
            <a:ln>
              <a:noFill/>
            </a:ln>
            <a:effectLst/>
          </c:spPr>
          <c:invertIfNegative val="0"/>
          <c:cat>
            <c:strRef>
              <c:f>Kopā!$I$48:$I$53</c:f>
              <c:strCache>
                <c:ptCount val="6"/>
                <c:pt idx="0">
                  <c:v>Vidzemes reģions</c:v>
                </c:pt>
                <c:pt idx="1">
                  <c:v>Latgales reģions</c:v>
                </c:pt>
                <c:pt idx="2">
                  <c:v>Kurzemes reģions</c:v>
                </c:pt>
                <c:pt idx="3">
                  <c:v>Zemgales reģions</c:v>
                </c:pt>
                <c:pt idx="4">
                  <c:v>Pierīgas reģions</c:v>
                </c:pt>
                <c:pt idx="5">
                  <c:v>Rīgas reģions</c:v>
                </c:pt>
              </c:strCache>
            </c:strRef>
          </c:cat>
          <c:val>
            <c:numRef>
              <c:f>Kopā!$K$48:$K$53</c:f>
              <c:numCache>
                <c:formatCode>0</c:formatCode>
                <c:ptCount val="6"/>
                <c:pt idx="0">
                  <c:v>332.17236111757859</c:v>
                </c:pt>
                <c:pt idx="1">
                  <c:v>252.18519045454545</c:v>
                </c:pt>
                <c:pt idx="2">
                  <c:v>571.45271366574332</c:v>
                </c:pt>
                <c:pt idx="3">
                  <c:v>2234.377388985507</c:v>
                </c:pt>
                <c:pt idx="4">
                  <c:v>729.52580476973685</c:v>
                </c:pt>
                <c:pt idx="5">
                  <c:v>1534.8846673974322</c:v>
                </c:pt>
              </c:numCache>
            </c:numRef>
          </c:val>
          <c:extLst xmlns:c16r2="http://schemas.microsoft.com/office/drawing/2015/06/chart">
            <c:ext xmlns:c16="http://schemas.microsoft.com/office/drawing/2014/chart" uri="{C3380CC4-5D6E-409C-BE32-E72D297353CC}">
              <c16:uniqueId val="{00000001-2AA2-4665-8348-3D9D3D57A041}"/>
            </c:ext>
          </c:extLst>
        </c:ser>
        <c:ser>
          <c:idx val="2"/>
          <c:order val="2"/>
          <c:tx>
            <c:strRef>
              <c:f>Kopā!$L$47</c:f>
              <c:strCache>
                <c:ptCount val="1"/>
                <c:pt idx="0">
                  <c:v>Nekustamo īpašumu aizdevumu apmērs uz 1 nodarbināto, euro</c:v>
                </c:pt>
              </c:strCache>
            </c:strRef>
          </c:tx>
          <c:spPr>
            <a:solidFill>
              <a:schemeClr val="accent3"/>
            </a:solidFill>
            <a:ln>
              <a:noFill/>
            </a:ln>
            <a:effectLst/>
          </c:spPr>
          <c:invertIfNegative val="0"/>
          <c:cat>
            <c:strRef>
              <c:f>Kopā!$I$48:$I$53</c:f>
              <c:strCache>
                <c:ptCount val="6"/>
                <c:pt idx="0">
                  <c:v>Vidzemes reģions</c:v>
                </c:pt>
                <c:pt idx="1">
                  <c:v>Latgales reģions</c:v>
                </c:pt>
                <c:pt idx="2">
                  <c:v>Kurzemes reģions</c:v>
                </c:pt>
                <c:pt idx="3">
                  <c:v>Zemgales reģions</c:v>
                </c:pt>
                <c:pt idx="4">
                  <c:v>Pierīgas reģions</c:v>
                </c:pt>
                <c:pt idx="5">
                  <c:v>Rīgas reģions</c:v>
                </c:pt>
              </c:strCache>
            </c:strRef>
          </c:cat>
          <c:val>
            <c:numRef>
              <c:f>Kopā!$L$48:$L$53</c:f>
              <c:numCache>
                <c:formatCode>0</c:formatCode>
                <c:ptCount val="6"/>
                <c:pt idx="0">
                  <c:v>685.47952374854481</c:v>
                </c:pt>
                <c:pt idx="1">
                  <c:v>294.34757381818179</c:v>
                </c:pt>
                <c:pt idx="2">
                  <c:v>855.38612973222553</c:v>
                </c:pt>
                <c:pt idx="3">
                  <c:v>945.64940821256039</c:v>
                </c:pt>
                <c:pt idx="4">
                  <c:v>1110.8671526864036</c:v>
                </c:pt>
                <c:pt idx="5">
                  <c:v>3986.0053771374878</c:v>
                </c:pt>
              </c:numCache>
            </c:numRef>
          </c:val>
          <c:extLst xmlns:c16r2="http://schemas.microsoft.com/office/drawing/2015/06/chart">
            <c:ext xmlns:c16="http://schemas.microsoft.com/office/drawing/2014/chart" uri="{C3380CC4-5D6E-409C-BE32-E72D297353CC}">
              <c16:uniqueId val="{00000002-2AA2-4665-8348-3D9D3D57A041}"/>
            </c:ext>
          </c:extLst>
        </c:ser>
        <c:dLbls>
          <c:showLegendKey val="0"/>
          <c:showVal val="0"/>
          <c:showCatName val="0"/>
          <c:showSerName val="0"/>
          <c:showPercent val="0"/>
          <c:showBubbleSize val="0"/>
        </c:dLbls>
        <c:gapWidth val="219"/>
        <c:axId val="373565920"/>
        <c:axId val="373563568"/>
      </c:barChart>
      <c:lineChart>
        <c:grouping val="standard"/>
        <c:varyColors val="0"/>
        <c:ser>
          <c:idx val="3"/>
          <c:order val="3"/>
          <c:tx>
            <c:strRef>
              <c:f>Kopā!$M$47</c:f>
              <c:strCache>
                <c:ptCount val="1"/>
                <c:pt idx="0">
                  <c:v>Kopējais aizdevumu apmērs 2016.-2018.g., milj. euro</c:v>
                </c:pt>
              </c:strCache>
            </c:strRef>
          </c:tx>
          <c:spPr>
            <a:ln w="28575" cap="rnd">
              <a:solidFill>
                <a:schemeClr val="accent4"/>
              </a:solidFill>
              <a:round/>
            </a:ln>
            <a:effectLst/>
          </c:spPr>
          <c:marker>
            <c:symbol val="none"/>
          </c:marker>
          <c:cat>
            <c:strRef>
              <c:f>Kopā!$I$48:$I$53</c:f>
              <c:strCache>
                <c:ptCount val="6"/>
                <c:pt idx="0">
                  <c:v>Vidzemes reģions</c:v>
                </c:pt>
                <c:pt idx="1">
                  <c:v>Latgales reģions</c:v>
                </c:pt>
                <c:pt idx="2">
                  <c:v>Kurzemes reģions</c:v>
                </c:pt>
                <c:pt idx="3">
                  <c:v>Zemgales reģions</c:v>
                </c:pt>
                <c:pt idx="4">
                  <c:v>Pierīgas reģions</c:v>
                </c:pt>
                <c:pt idx="5">
                  <c:v>Rīgas reģions</c:v>
                </c:pt>
              </c:strCache>
            </c:strRef>
          </c:cat>
          <c:val>
            <c:numRef>
              <c:f>Kopā!$M$48:$M$53</c:f>
              <c:numCache>
                <c:formatCode>0</c:formatCode>
                <c:ptCount val="6"/>
                <c:pt idx="0">
                  <c:v>175.48078576000003</c:v>
                </c:pt>
                <c:pt idx="1">
                  <c:v>181.49794733000004</c:v>
                </c:pt>
                <c:pt idx="2">
                  <c:v>307.35852620999992</c:v>
                </c:pt>
                <c:pt idx="3">
                  <c:v>499.31539212000001</c:v>
                </c:pt>
                <c:pt idx="4">
                  <c:v>568.74393057000009</c:v>
                </c:pt>
                <c:pt idx="5">
                  <c:v>2933.4569479900001</c:v>
                </c:pt>
              </c:numCache>
            </c:numRef>
          </c:val>
          <c:smooth val="0"/>
          <c:extLst xmlns:c16r2="http://schemas.microsoft.com/office/drawing/2015/06/chart">
            <c:ext xmlns:c16="http://schemas.microsoft.com/office/drawing/2014/chart" uri="{C3380CC4-5D6E-409C-BE32-E72D297353CC}">
              <c16:uniqueId val="{00000003-2AA2-4665-8348-3D9D3D57A041}"/>
            </c:ext>
          </c:extLst>
        </c:ser>
        <c:dLbls>
          <c:showLegendKey val="0"/>
          <c:showVal val="0"/>
          <c:showCatName val="0"/>
          <c:showSerName val="0"/>
          <c:showPercent val="0"/>
          <c:showBubbleSize val="0"/>
        </c:dLbls>
        <c:marker val="1"/>
        <c:smooth val="0"/>
        <c:axId val="373562392"/>
        <c:axId val="373561608"/>
      </c:lineChart>
      <c:catAx>
        <c:axId val="3735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73563568"/>
        <c:crosses val="autoZero"/>
        <c:auto val="1"/>
        <c:lblAlgn val="ctr"/>
        <c:lblOffset val="100"/>
        <c:noMultiLvlLbl val="0"/>
      </c:catAx>
      <c:valAx>
        <c:axId val="37356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Uz 1 nodarbināto, </a:t>
                </a:r>
                <a:r>
                  <a:rPr lang="lv-LV" i="1"/>
                  <a:t>euro</a:t>
                </a:r>
              </a:p>
            </c:rich>
          </c:tx>
          <c:layout>
            <c:manualLayout>
              <c:xMode val="edge"/>
              <c:yMode val="edge"/>
              <c:x val="1.8423775262796264E-2"/>
              <c:y val="9.336820659655305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73565920"/>
        <c:crosses val="autoZero"/>
        <c:crossBetween val="between"/>
      </c:valAx>
      <c:valAx>
        <c:axId val="3735616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Kopējais apmērs milj. </a:t>
                </a:r>
                <a:r>
                  <a:rPr lang="lv-LV" i="1"/>
                  <a:t>euro</a:t>
                </a:r>
              </a:p>
            </c:rich>
          </c:tx>
          <c:layout>
            <c:manualLayout>
              <c:xMode val="edge"/>
              <c:yMode val="edge"/>
              <c:x val="0.95249738717464727"/>
              <c:y val="7.820751427050640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73562392"/>
        <c:crosses val="max"/>
        <c:crossBetween val="between"/>
      </c:valAx>
      <c:catAx>
        <c:axId val="373562392"/>
        <c:scaling>
          <c:orientation val="minMax"/>
        </c:scaling>
        <c:delete val="1"/>
        <c:axPos val="b"/>
        <c:numFmt formatCode="General" sourceLinked="1"/>
        <c:majorTickMark val="out"/>
        <c:minorTickMark val="none"/>
        <c:tickLblPos val="nextTo"/>
        <c:crossAx val="373561608"/>
        <c:crosses val="autoZero"/>
        <c:auto val="1"/>
        <c:lblAlgn val="ctr"/>
        <c:lblOffset val="100"/>
        <c:noMultiLvlLbl val="0"/>
      </c:catAx>
      <c:spPr>
        <a:noFill/>
        <a:ln>
          <a:noFill/>
        </a:ln>
        <a:effectLst/>
      </c:spPr>
    </c:plotArea>
    <c:legend>
      <c:legendPos val="b"/>
      <c:layout>
        <c:manualLayout>
          <c:xMode val="edge"/>
          <c:yMode val="edge"/>
          <c:x val="2.9499522188613087E-2"/>
          <c:y val="0.71551257057498041"/>
          <c:w val="0.92094059957650731"/>
          <c:h val="0.258763956756209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a:t>ALTUM </a:t>
            </a:r>
            <a:r>
              <a:rPr lang="en-US"/>
              <a:t>aizdevum</a:t>
            </a:r>
            <a:r>
              <a:rPr lang="lv-LV"/>
              <a:t>i</a:t>
            </a:r>
            <a:r>
              <a:rPr lang="en-US"/>
              <a:t> 2016</a:t>
            </a:r>
            <a:r>
              <a:rPr lang="lv-LV"/>
              <a:t>.</a:t>
            </a:r>
            <a:r>
              <a:rPr lang="en-US"/>
              <a:t>-2018</a:t>
            </a:r>
            <a:r>
              <a:rPr lang="lv-LV"/>
              <a:t>.gadā</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'KOPĀ_2016-2018'!$K$52</c:f>
              <c:strCache>
                <c:ptCount val="1"/>
                <c:pt idx="0">
                  <c:v>Kopējais piešķirto aizdevumu apmērs, euro</c:v>
                </c:pt>
              </c:strCache>
            </c:strRef>
          </c:tx>
          <c:spPr>
            <a:solidFill>
              <a:schemeClr val="accent1"/>
            </a:solidFill>
            <a:ln>
              <a:noFill/>
            </a:ln>
            <a:effectLst/>
          </c:spPr>
          <c:invertIfNegative val="0"/>
          <c:cat>
            <c:strRef>
              <c:f>'KOPĀ_2016-2018'!$J$53:$J$58</c:f>
              <c:strCache>
                <c:ptCount val="6"/>
                <c:pt idx="0">
                  <c:v>Kurzeme</c:v>
                </c:pt>
                <c:pt idx="1">
                  <c:v>Zemgale</c:v>
                </c:pt>
                <c:pt idx="2">
                  <c:v>Vidzeme</c:v>
                </c:pt>
                <c:pt idx="3">
                  <c:v>Latgale</c:v>
                </c:pt>
                <c:pt idx="4">
                  <c:v>Pierīga</c:v>
                </c:pt>
                <c:pt idx="5">
                  <c:v>Rīga</c:v>
                </c:pt>
              </c:strCache>
            </c:strRef>
          </c:cat>
          <c:val>
            <c:numRef>
              <c:f>'KOPĀ_2016-2018'!$K$53:$K$58</c:f>
              <c:numCache>
                <c:formatCode>#,##0</c:formatCode>
                <c:ptCount val="6"/>
                <c:pt idx="0">
                  <c:v>13423977</c:v>
                </c:pt>
                <c:pt idx="1">
                  <c:v>17619615.18</c:v>
                </c:pt>
                <c:pt idx="2">
                  <c:v>19053811</c:v>
                </c:pt>
                <c:pt idx="3">
                  <c:v>14783250.48</c:v>
                </c:pt>
                <c:pt idx="4">
                  <c:v>22475616.629999999</c:v>
                </c:pt>
                <c:pt idx="5">
                  <c:v>17504410</c:v>
                </c:pt>
              </c:numCache>
            </c:numRef>
          </c:val>
          <c:extLst xmlns:c16r2="http://schemas.microsoft.com/office/drawing/2015/06/chart">
            <c:ext xmlns:c16="http://schemas.microsoft.com/office/drawing/2014/chart" uri="{C3380CC4-5D6E-409C-BE32-E72D297353CC}">
              <c16:uniqueId val="{00000000-17C3-4017-BEF9-C7EE5C836580}"/>
            </c:ext>
          </c:extLst>
        </c:ser>
        <c:dLbls>
          <c:showLegendKey val="0"/>
          <c:showVal val="0"/>
          <c:showCatName val="0"/>
          <c:showSerName val="0"/>
          <c:showPercent val="0"/>
          <c:showBubbleSize val="0"/>
        </c:dLbls>
        <c:gapWidth val="150"/>
        <c:axId val="373562000"/>
        <c:axId val="373566312"/>
      </c:barChart>
      <c:lineChart>
        <c:grouping val="standard"/>
        <c:varyColors val="0"/>
        <c:ser>
          <c:idx val="1"/>
          <c:order val="1"/>
          <c:tx>
            <c:strRef>
              <c:f>'KOPĀ_2016-2018'!$L$52</c:f>
              <c:strCache>
                <c:ptCount val="1"/>
                <c:pt idx="0">
                  <c:v>Vidējais viena aizdevuma apmērs, euro</c:v>
                </c:pt>
              </c:strCache>
            </c:strRef>
          </c:tx>
          <c:spPr>
            <a:ln w="28575" cap="rnd">
              <a:solidFill>
                <a:schemeClr val="accent2"/>
              </a:solidFill>
              <a:round/>
            </a:ln>
            <a:effectLst/>
          </c:spPr>
          <c:marker>
            <c:symbol val="none"/>
          </c:marker>
          <c:dLbls>
            <c:dLbl>
              <c:idx val="2"/>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C3-4017-BEF9-C7EE5C836580}"/>
                </c:ext>
                <c:ext xmlns:c15="http://schemas.microsoft.com/office/drawing/2012/chart" uri="{CE6537A1-D6FC-4f65-9D91-7224C49458BB}"/>
              </c:extLst>
            </c:dLbl>
            <c:dLbl>
              <c:idx val="3"/>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C3-4017-BEF9-C7EE5C83658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'KOPĀ_2016-2018'!$J$53:$J$58</c:f>
              <c:strCache>
                <c:ptCount val="6"/>
                <c:pt idx="0">
                  <c:v>Kurzeme</c:v>
                </c:pt>
                <c:pt idx="1">
                  <c:v>Zemgale</c:v>
                </c:pt>
                <c:pt idx="2">
                  <c:v>Vidzeme</c:v>
                </c:pt>
                <c:pt idx="3">
                  <c:v>Latgale</c:v>
                </c:pt>
                <c:pt idx="4">
                  <c:v>Pierīga</c:v>
                </c:pt>
                <c:pt idx="5">
                  <c:v>Rīga</c:v>
                </c:pt>
              </c:strCache>
            </c:strRef>
          </c:cat>
          <c:val>
            <c:numRef>
              <c:f>'KOPĀ_2016-2018'!$L$53:$L$58</c:f>
              <c:numCache>
                <c:formatCode>#,##0</c:formatCode>
                <c:ptCount val="6"/>
                <c:pt idx="0">
                  <c:v>49534.970479704796</c:v>
                </c:pt>
                <c:pt idx="1">
                  <c:v>60757.293724137933</c:v>
                </c:pt>
                <c:pt idx="2">
                  <c:v>45912.797590361442</c:v>
                </c:pt>
                <c:pt idx="3">
                  <c:v>35114.609216152021</c:v>
                </c:pt>
                <c:pt idx="4">
                  <c:v>71578.396910828029</c:v>
                </c:pt>
                <c:pt idx="5">
                  <c:v>58348.033333333333</c:v>
                </c:pt>
              </c:numCache>
            </c:numRef>
          </c:val>
          <c:smooth val="0"/>
          <c:extLst xmlns:c16r2="http://schemas.microsoft.com/office/drawing/2015/06/chart">
            <c:ext xmlns:c16="http://schemas.microsoft.com/office/drawing/2014/chart" uri="{C3380CC4-5D6E-409C-BE32-E72D297353CC}">
              <c16:uniqueId val="{00000003-17C3-4017-BEF9-C7EE5C836580}"/>
            </c:ext>
          </c:extLst>
        </c:ser>
        <c:dLbls>
          <c:showLegendKey val="0"/>
          <c:showVal val="0"/>
          <c:showCatName val="0"/>
          <c:showSerName val="0"/>
          <c:showPercent val="0"/>
          <c:showBubbleSize val="0"/>
        </c:dLbls>
        <c:marker val="1"/>
        <c:smooth val="0"/>
        <c:axId val="373564352"/>
        <c:axId val="373566704"/>
      </c:lineChart>
      <c:catAx>
        <c:axId val="37356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73566312"/>
        <c:crosses val="autoZero"/>
        <c:auto val="1"/>
        <c:lblAlgn val="ctr"/>
        <c:lblOffset val="100"/>
        <c:noMultiLvlLbl val="0"/>
      </c:catAx>
      <c:valAx>
        <c:axId val="373566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73562000"/>
        <c:crosses val="autoZero"/>
        <c:crossBetween val="between"/>
      </c:valAx>
      <c:valAx>
        <c:axId val="3735667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73564352"/>
        <c:crosses val="max"/>
        <c:crossBetween val="between"/>
      </c:valAx>
      <c:catAx>
        <c:axId val="373564352"/>
        <c:scaling>
          <c:orientation val="minMax"/>
        </c:scaling>
        <c:delete val="1"/>
        <c:axPos val="b"/>
        <c:numFmt formatCode="General" sourceLinked="1"/>
        <c:majorTickMark val="out"/>
        <c:minorTickMark val="none"/>
        <c:tickLblPos val="nextTo"/>
        <c:crossAx val="373566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5699547973170019"/>
          <c:w val="1"/>
          <c:h val="0.84300449323469473"/>
        </c:manualLayout>
      </c:layout>
      <c:pie3DChart>
        <c:varyColors val="1"/>
        <c:ser>
          <c:idx val="0"/>
          <c:order val="0"/>
          <c:explosion val="33"/>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FF0C-4A60-958D-74273EBE7B4E}"/>
              </c:ext>
            </c:extLst>
          </c:dPt>
          <c:dPt>
            <c:idx val="1"/>
            <c:bubble3D val="0"/>
            <c:explosion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FF0C-4A60-958D-74273EBE7B4E}"/>
              </c:ext>
            </c:extLst>
          </c:dPt>
          <c:dLbls>
            <c:dLbl>
              <c:idx val="0"/>
              <c:layout>
                <c:manualLayout>
                  <c:x val="-0.15504494192751414"/>
                  <c:y val="-0.30533164941943636"/>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F0C-4A60-958D-74273EBE7B4E}"/>
                </c:ext>
                <c:ext xmlns:c15="http://schemas.microsoft.com/office/drawing/2012/chart" uri="{CE6537A1-D6FC-4f65-9D91-7224C49458BB}">
                  <c15:layout>
                    <c:manualLayout>
                      <c:w val="0.59520717343135177"/>
                      <c:h val="0.20973955178679585"/>
                    </c:manualLayout>
                  </c15:layout>
                </c:ext>
              </c:extLst>
            </c:dLbl>
            <c:dLbl>
              <c:idx val="1"/>
              <c:layout>
                <c:manualLayout>
                  <c:x val="0.17362563223206534"/>
                  <c:y val="0.1368068353157982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F0C-4A60-958D-74273EBE7B4E}"/>
                </c:ext>
                <c:ext xmlns:c15="http://schemas.microsoft.com/office/drawing/2012/chart" uri="{CE6537A1-D6FC-4f65-9D91-7224C49458BB}">
                  <c15:layout>
                    <c:manualLayout>
                      <c:w val="0.35579442037655329"/>
                      <c:h val="0.31282549583102437"/>
                    </c:manualLayout>
                  </c15:layout>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'Izdevumi '!$B$3:$B$4</c:f>
              <c:strCache>
                <c:ptCount val="2"/>
                <c:pt idx="0">
                  <c:v>Uzturēšanas izdevumi</c:v>
                </c:pt>
                <c:pt idx="1">
                  <c:v>Kapitālie izdevumi</c:v>
                </c:pt>
              </c:strCache>
            </c:strRef>
          </c:cat>
          <c:val>
            <c:numRef>
              <c:f>'Izdevumi '!$O$3:$O$4</c:f>
              <c:numCache>
                <c:formatCode>#\ ##0.0</c:formatCode>
                <c:ptCount val="2"/>
                <c:pt idx="0">
                  <c:v>133.64440300000001</c:v>
                </c:pt>
                <c:pt idx="1">
                  <c:v>31.007997</c:v>
                </c:pt>
              </c:numCache>
            </c:numRef>
          </c:val>
          <c:extLst xmlns:c16r2="http://schemas.microsoft.com/office/drawing/2015/06/chart">
            <c:ext xmlns:c16="http://schemas.microsoft.com/office/drawing/2014/chart" uri="{C3380CC4-5D6E-409C-BE32-E72D297353CC}">
              <c16:uniqueId val="{00000004-FF0C-4A60-958D-74273EBE7B4E}"/>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lv-LV"/>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01569296844892E-2"/>
          <c:y val="5.5979643765903309E-2"/>
          <c:w val="0.78130921571866452"/>
          <c:h val="0.51560417543226944"/>
        </c:manualLayout>
      </c:layout>
      <c:barChart>
        <c:barDir val="col"/>
        <c:grouping val="clustered"/>
        <c:varyColors val="0"/>
        <c:ser>
          <c:idx val="0"/>
          <c:order val="0"/>
          <c:tx>
            <c:strRef>
              <c:f>Sheet1!$B$1</c:f>
              <c:strCache>
                <c:ptCount val="1"/>
                <c:pt idx="0">
                  <c:v>Migrācijas īpatsvars 2008.-2018.g.,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Rīgas reģions</c:v>
                </c:pt>
                <c:pt idx="1">
                  <c:v>Pierīgas reģions</c:v>
                </c:pt>
                <c:pt idx="2">
                  <c:v>Vidzemes reģions</c:v>
                </c:pt>
                <c:pt idx="3">
                  <c:v>Kurzemes reģions</c:v>
                </c:pt>
                <c:pt idx="4">
                  <c:v>Zemgales reģions</c:v>
                </c:pt>
                <c:pt idx="5">
                  <c:v>Latgales reģions</c:v>
                </c:pt>
              </c:strCache>
            </c:strRef>
          </c:cat>
          <c:val>
            <c:numRef>
              <c:f>Sheet1!$B$2:$B$7</c:f>
              <c:numCache>
                <c:formatCode>0%</c:formatCode>
                <c:ptCount val="6"/>
                <c:pt idx="0">
                  <c:v>0.68889999999999996</c:v>
                </c:pt>
                <c:pt idx="1">
                  <c:v>0.1065</c:v>
                </c:pt>
                <c:pt idx="2">
                  <c:v>0.70350000000000001</c:v>
                </c:pt>
                <c:pt idx="3">
                  <c:v>0.73329999999999995</c:v>
                </c:pt>
                <c:pt idx="4">
                  <c:v>0.7228</c:v>
                </c:pt>
                <c:pt idx="5">
                  <c:v>0.5867</c:v>
                </c:pt>
              </c:numCache>
            </c:numRef>
          </c:val>
          <c:extLst xmlns:c16r2="http://schemas.microsoft.com/office/drawing/2015/06/chart">
            <c:ext xmlns:c16="http://schemas.microsoft.com/office/drawing/2014/chart" uri="{C3380CC4-5D6E-409C-BE32-E72D297353CC}">
              <c16:uniqueId val="{00000000-6D3E-4C18-87B4-2E3C20BDAE4F}"/>
            </c:ext>
          </c:extLst>
        </c:ser>
        <c:ser>
          <c:idx val="1"/>
          <c:order val="1"/>
          <c:tx>
            <c:strRef>
              <c:f>Sheet1!$C$1</c:f>
              <c:strCache>
                <c:ptCount val="1"/>
                <c:pt idx="0">
                  <c:v>Dabiskā pieauguma īpatsvars 2008.-2018.g.,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Rīgas reģions</c:v>
                </c:pt>
                <c:pt idx="1">
                  <c:v>Pierīgas reģions</c:v>
                </c:pt>
                <c:pt idx="2">
                  <c:v>Vidzemes reģions</c:v>
                </c:pt>
                <c:pt idx="3">
                  <c:v>Kurzemes reģions</c:v>
                </c:pt>
                <c:pt idx="4">
                  <c:v>Zemgales reģions</c:v>
                </c:pt>
                <c:pt idx="5">
                  <c:v>Latgales reģions</c:v>
                </c:pt>
              </c:strCache>
            </c:strRef>
          </c:cat>
          <c:val>
            <c:numRef>
              <c:f>Sheet1!$C$2:$C$7</c:f>
              <c:numCache>
                <c:formatCode>0%</c:formatCode>
                <c:ptCount val="6"/>
                <c:pt idx="0">
                  <c:v>0.31110000000000004</c:v>
                </c:pt>
                <c:pt idx="1">
                  <c:v>0.89349999999999996</c:v>
                </c:pt>
                <c:pt idx="2">
                  <c:v>0.29649999999999999</c:v>
                </c:pt>
                <c:pt idx="3">
                  <c:v>0.26670000000000005</c:v>
                </c:pt>
                <c:pt idx="4">
                  <c:v>0.2772</c:v>
                </c:pt>
                <c:pt idx="5">
                  <c:v>0.4133</c:v>
                </c:pt>
              </c:numCache>
            </c:numRef>
          </c:val>
          <c:extLst xmlns:c16r2="http://schemas.microsoft.com/office/drawing/2015/06/chart">
            <c:ext xmlns:c16="http://schemas.microsoft.com/office/drawing/2014/chart" uri="{C3380CC4-5D6E-409C-BE32-E72D297353CC}">
              <c16:uniqueId val="{00000001-6D3E-4C18-87B4-2E3C20BDAE4F}"/>
            </c:ext>
          </c:extLst>
        </c:ser>
        <c:dLbls>
          <c:showLegendKey val="0"/>
          <c:showVal val="0"/>
          <c:showCatName val="0"/>
          <c:showSerName val="0"/>
          <c:showPercent val="0"/>
          <c:showBubbleSize val="0"/>
        </c:dLbls>
        <c:gapWidth val="150"/>
        <c:axId val="380840896"/>
        <c:axId val="511152136"/>
      </c:barChart>
      <c:lineChart>
        <c:grouping val="standard"/>
        <c:varyColors val="0"/>
        <c:ser>
          <c:idx val="2"/>
          <c:order val="2"/>
          <c:tx>
            <c:strRef>
              <c:f>Sheet1!$D$1</c:f>
              <c:strCache>
                <c:ptCount val="1"/>
                <c:pt idx="0">
                  <c:v>Iedzīvotāju skaita izmaiņas (samazinājums) 2008.-2018.g., %</c:v>
                </c:pt>
              </c:strCache>
            </c:strRef>
          </c:tx>
          <c:spPr>
            <a:ln w="28575" cap="rnd">
              <a:solidFill>
                <a:schemeClr val="accent3"/>
              </a:solidFill>
              <a:round/>
            </a:ln>
            <a:effectLst/>
          </c:spPr>
          <c:marker>
            <c:symbol val="none"/>
          </c:marker>
          <c:cat>
            <c:strRef>
              <c:f>Sheet1!$A$2:$A$7</c:f>
              <c:strCache>
                <c:ptCount val="6"/>
                <c:pt idx="0">
                  <c:v>Rīgas reģions</c:v>
                </c:pt>
                <c:pt idx="1">
                  <c:v>Pierīgas reģions</c:v>
                </c:pt>
                <c:pt idx="2">
                  <c:v>Vidzemes reģions</c:v>
                </c:pt>
                <c:pt idx="3">
                  <c:v>Kurzemes reģions</c:v>
                </c:pt>
                <c:pt idx="4">
                  <c:v>Zemgales reģions</c:v>
                </c:pt>
                <c:pt idx="5">
                  <c:v>Latgales reģions</c:v>
                </c:pt>
              </c:strCache>
            </c:strRef>
          </c:cat>
          <c:val>
            <c:numRef>
              <c:f>Sheet1!$D$2:$D$7</c:f>
              <c:numCache>
                <c:formatCode>0%</c:formatCode>
                <c:ptCount val="6"/>
                <c:pt idx="0">
                  <c:v>9.2999999999999999E-2</c:v>
                </c:pt>
                <c:pt idx="1">
                  <c:v>1.49E-2</c:v>
                </c:pt>
                <c:pt idx="2">
                  <c:v>0.21179999999999999</c:v>
                </c:pt>
                <c:pt idx="3">
                  <c:v>0.19589999999999999</c:v>
                </c:pt>
                <c:pt idx="4">
                  <c:v>0.1648</c:v>
                </c:pt>
                <c:pt idx="5">
                  <c:v>0.252</c:v>
                </c:pt>
              </c:numCache>
            </c:numRef>
          </c:val>
          <c:smooth val="0"/>
          <c:extLst xmlns:c16r2="http://schemas.microsoft.com/office/drawing/2015/06/chart">
            <c:ext xmlns:c16="http://schemas.microsoft.com/office/drawing/2014/chart" uri="{C3380CC4-5D6E-409C-BE32-E72D297353CC}">
              <c16:uniqueId val="{00000002-6D3E-4C18-87B4-2E3C20BDAE4F}"/>
            </c:ext>
          </c:extLst>
        </c:ser>
        <c:dLbls>
          <c:showLegendKey val="0"/>
          <c:showVal val="0"/>
          <c:showCatName val="0"/>
          <c:showSerName val="0"/>
          <c:showPercent val="0"/>
          <c:showBubbleSize val="0"/>
        </c:dLbls>
        <c:marker val="1"/>
        <c:smooth val="0"/>
        <c:axId val="380840896"/>
        <c:axId val="511152136"/>
      </c:lineChart>
      <c:lineChart>
        <c:grouping val="standard"/>
        <c:varyColors val="0"/>
        <c:ser>
          <c:idx val="3"/>
          <c:order val="3"/>
          <c:tx>
            <c:strRef>
              <c:f>Sheet1!$E$1</c:f>
              <c:strCache>
                <c:ptCount val="1"/>
                <c:pt idx="0">
                  <c:v>IKP uz 1 iedzīvotāju 2016.g., euro</c:v>
                </c:pt>
              </c:strCache>
            </c:strRef>
          </c:tx>
          <c:spPr>
            <a:ln w="28575" cap="rnd">
              <a:solidFill>
                <a:schemeClr val="accent4"/>
              </a:solidFill>
              <a:round/>
            </a:ln>
            <a:effectLst/>
          </c:spPr>
          <c:marker>
            <c:symbol val="none"/>
          </c:marker>
          <c:cat>
            <c:strRef>
              <c:f>Sheet1!$A$2:$A$7</c:f>
              <c:strCache>
                <c:ptCount val="6"/>
                <c:pt idx="0">
                  <c:v>Rīgas reģions</c:v>
                </c:pt>
                <c:pt idx="1">
                  <c:v>Pierīgas reģions</c:v>
                </c:pt>
                <c:pt idx="2">
                  <c:v>Vidzemes reģions</c:v>
                </c:pt>
                <c:pt idx="3">
                  <c:v>Kurzemes reģions</c:v>
                </c:pt>
                <c:pt idx="4">
                  <c:v>Zemgales reģions</c:v>
                </c:pt>
                <c:pt idx="5">
                  <c:v>Latgales reģions</c:v>
                </c:pt>
              </c:strCache>
            </c:strRef>
          </c:cat>
          <c:val>
            <c:numRef>
              <c:f>Sheet1!$E$2:$E$7</c:f>
              <c:numCache>
                <c:formatCode>General</c:formatCode>
                <c:ptCount val="6"/>
                <c:pt idx="0">
                  <c:v>21078</c:v>
                </c:pt>
                <c:pt idx="1">
                  <c:v>10445</c:v>
                </c:pt>
                <c:pt idx="2">
                  <c:v>8404</c:v>
                </c:pt>
                <c:pt idx="3">
                  <c:v>9505</c:v>
                </c:pt>
                <c:pt idx="4">
                  <c:v>8046</c:v>
                </c:pt>
                <c:pt idx="5">
                  <c:v>6516</c:v>
                </c:pt>
              </c:numCache>
            </c:numRef>
          </c:val>
          <c:smooth val="0"/>
          <c:extLst xmlns:c16r2="http://schemas.microsoft.com/office/drawing/2015/06/chart">
            <c:ext xmlns:c16="http://schemas.microsoft.com/office/drawing/2014/chart" uri="{C3380CC4-5D6E-409C-BE32-E72D297353CC}">
              <c16:uniqueId val="{00000003-6D3E-4C18-87B4-2E3C20BDAE4F}"/>
            </c:ext>
          </c:extLst>
        </c:ser>
        <c:dLbls>
          <c:showLegendKey val="0"/>
          <c:showVal val="0"/>
          <c:showCatName val="0"/>
          <c:showSerName val="0"/>
          <c:showPercent val="0"/>
          <c:showBubbleSize val="0"/>
        </c:dLbls>
        <c:marker val="1"/>
        <c:smooth val="0"/>
        <c:axId val="460927480"/>
        <c:axId val="373560040"/>
      </c:lineChart>
      <c:catAx>
        <c:axId val="3808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11152136"/>
        <c:crosses val="autoZero"/>
        <c:auto val="1"/>
        <c:lblAlgn val="ctr"/>
        <c:lblOffset val="100"/>
        <c:noMultiLvlLbl val="0"/>
      </c:catAx>
      <c:valAx>
        <c:axId val="511152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80840896"/>
        <c:crosses val="autoZero"/>
        <c:crossBetween val="between"/>
      </c:valAx>
      <c:valAx>
        <c:axId val="37356004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IKP uz 1 iedz., euro</a:t>
                </a:r>
              </a:p>
            </c:rich>
          </c:tx>
          <c:layout>
            <c:manualLayout>
              <c:xMode val="edge"/>
              <c:yMode val="edge"/>
              <c:x val="0.94700723385186603"/>
              <c:y val="5.978281340786600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60927480"/>
        <c:crosses val="max"/>
        <c:crossBetween val="between"/>
      </c:valAx>
      <c:catAx>
        <c:axId val="460927480"/>
        <c:scaling>
          <c:orientation val="minMax"/>
        </c:scaling>
        <c:delete val="1"/>
        <c:axPos val="b"/>
        <c:numFmt formatCode="General" sourceLinked="1"/>
        <c:majorTickMark val="none"/>
        <c:minorTickMark val="none"/>
        <c:tickLblPos val="nextTo"/>
        <c:crossAx val="373560040"/>
        <c:crosses val="autoZero"/>
        <c:auto val="1"/>
        <c:lblAlgn val="ctr"/>
        <c:lblOffset val="100"/>
        <c:noMultiLvlLbl val="0"/>
      </c:catAx>
      <c:spPr>
        <a:noFill/>
        <a:ln>
          <a:noFill/>
        </a:ln>
        <a:effectLst/>
      </c:spPr>
    </c:plotArea>
    <c:legend>
      <c:legendPos val="b"/>
      <c:layout>
        <c:manualLayout>
          <c:xMode val="edge"/>
          <c:yMode val="edge"/>
          <c:x val="0.13390707157682322"/>
          <c:y val="0.73144397026707542"/>
          <c:w val="0.72960167458103431"/>
          <c:h val="0.268556029732924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t>Visu pašvaldību pieprasījuma apjoms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dLbl>
              <c:idx val="6"/>
              <c:layout>
                <c:manualLayout>
                  <c:x val="1.6666666666666666E-2"/>
                  <c:y val="-2.121889068003332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6FA-4FFD-9D65-D31CADD36ED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Apkopojums!$A$126:$A$132</c:f>
              <c:strCache>
                <c:ptCount val="7"/>
                <c:pt idx="0">
                  <c:v>Uzņēmējdarbības infrastruktūra</c:v>
                </c:pt>
                <c:pt idx="1">
                  <c:v>Tiešs atbalsts uzņēmējiem</c:v>
                </c:pt>
                <c:pt idx="2">
                  <c:v>Energoefektivitāte</c:v>
                </c:pt>
                <c:pt idx="3">
                  <c:v>Daba/tūrisms un kultūra</c:v>
                </c:pt>
                <c:pt idx="4">
                  <c:v>Publiskā ārtelpa un ielas</c:v>
                </c:pt>
                <c:pt idx="5">
                  <c:v>Pašvaldību ceļi</c:v>
                </c:pt>
                <c:pt idx="6">
                  <c:v>Cita veida atbalsts</c:v>
                </c:pt>
              </c:strCache>
            </c:strRef>
          </c:cat>
          <c:val>
            <c:numRef>
              <c:f>Apkopojums!$B$126:$B$132</c:f>
              <c:numCache>
                <c:formatCode>#,##0</c:formatCode>
                <c:ptCount val="7"/>
                <c:pt idx="0">
                  <c:v>609277226.60000002</c:v>
                </c:pt>
                <c:pt idx="1">
                  <c:v>213801000</c:v>
                </c:pt>
                <c:pt idx="2">
                  <c:v>326312950</c:v>
                </c:pt>
                <c:pt idx="3">
                  <c:v>372737345.32999998</c:v>
                </c:pt>
                <c:pt idx="4">
                  <c:v>453172743</c:v>
                </c:pt>
                <c:pt idx="5">
                  <c:v>675761171.26312852</c:v>
                </c:pt>
                <c:pt idx="6">
                  <c:v>669857382</c:v>
                </c:pt>
              </c:numCache>
            </c:numRef>
          </c:val>
          <c:extLst xmlns:c16r2="http://schemas.microsoft.com/office/drawing/2015/06/chart">
            <c:ext xmlns:c16="http://schemas.microsoft.com/office/drawing/2014/chart" uri="{C3380CC4-5D6E-409C-BE32-E72D297353CC}">
              <c16:uniqueId val="{00000001-E6FA-4FFD-9D65-D31CADD36ED7}"/>
            </c:ext>
          </c:extLst>
        </c:ser>
        <c:dLbls>
          <c:showLegendKey val="0"/>
          <c:showVal val="0"/>
          <c:showCatName val="0"/>
          <c:showSerName val="0"/>
          <c:showPercent val="0"/>
          <c:showBubbleSize val="0"/>
        </c:dLbls>
        <c:gapWidth val="219"/>
        <c:overlap val="-27"/>
        <c:axId val="380984112"/>
        <c:axId val="376301648"/>
      </c:barChart>
      <c:catAx>
        <c:axId val="38098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76301648"/>
        <c:crosses val="autoZero"/>
        <c:auto val="1"/>
        <c:lblAlgn val="ctr"/>
        <c:lblOffset val="100"/>
        <c:noMultiLvlLbl val="0"/>
      </c:catAx>
      <c:valAx>
        <c:axId val="37630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8098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9EBC25-30A3-4CA7-9E08-6B9EBFF2CC12}"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lv-LV"/>
        </a:p>
      </dgm:t>
    </dgm:pt>
    <dgm:pt modelId="{A453E8B4-36C1-4049-8A90-3469853C7549}">
      <dgm:prSet phldrT="[Text]"/>
      <dgm:spPr/>
      <dgm:t>
        <a:bodyPr/>
        <a:lstStyle/>
        <a:p>
          <a:pPr algn="ctr"/>
          <a:r>
            <a:rPr lang="lv-LV">
              <a:latin typeface="Times New Roman" panose="02020603050405020304" pitchFamily="18" charset="0"/>
              <a:cs typeface="Times New Roman" panose="02020603050405020304" pitchFamily="18" charset="0"/>
            </a:rPr>
            <a:t>Finanses</a:t>
          </a:r>
        </a:p>
      </dgm:t>
    </dgm:pt>
    <dgm:pt modelId="{7186E343-6190-4255-9EB2-4575E346B9E2}" type="parTrans" cxnId="{519DE95F-2D73-4D29-BDC8-4AF0AD74678A}">
      <dgm:prSet/>
      <dgm:spPr/>
      <dgm:t>
        <a:bodyPr/>
        <a:lstStyle/>
        <a:p>
          <a:pPr algn="ctr"/>
          <a:endParaRPr lang="lv-LV">
            <a:latin typeface="Times New Roman" panose="02020603050405020304" pitchFamily="18" charset="0"/>
            <a:cs typeface="Times New Roman" panose="02020603050405020304" pitchFamily="18" charset="0"/>
          </a:endParaRPr>
        </a:p>
      </dgm:t>
    </dgm:pt>
    <dgm:pt modelId="{0CAA153A-A2FA-4AFF-9623-487B5A4F1193}" type="sibTrans" cxnId="{519DE95F-2D73-4D29-BDC8-4AF0AD74678A}">
      <dgm:prSet/>
      <dgm:spPr/>
      <dgm:t>
        <a:bodyPr/>
        <a:lstStyle/>
        <a:p>
          <a:pPr algn="ctr"/>
          <a:endParaRPr lang="lv-LV">
            <a:latin typeface="Times New Roman" panose="02020603050405020304" pitchFamily="18" charset="0"/>
            <a:cs typeface="Times New Roman" panose="02020603050405020304" pitchFamily="18" charset="0"/>
          </a:endParaRPr>
        </a:p>
      </dgm:t>
    </dgm:pt>
    <dgm:pt modelId="{CCDFBB8C-DA46-4BA1-B993-C66383BAA1FD}">
      <dgm:prSet phldrT="[Text]"/>
      <dgm:spPr/>
      <dgm:t>
        <a:bodyPr/>
        <a:lstStyle/>
        <a:p>
          <a:pPr algn="ctr"/>
          <a:r>
            <a:rPr lang="lv-LV">
              <a:latin typeface="Times New Roman" panose="02020603050405020304" pitchFamily="18" charset="0"/>
              <a:cs typeface="Times New Roman" panose="02020603050405020304" pitchFamily="18" charset="0"/>
            </a:rPr>
            <a:t>Grantu/projektu konkurss</a:t>
          </a:r>
        </a:p>
      </dgm:t>
    </dgm:pt>
    <dgm:pt modelId="{D546E3E8-FFFE-4C8A-927F-7395D299B1D2}" type="parTrans" cxnId="{9E9D979C-3236-4F8C-913D-AFB6A53D0D46}">
      <dgm:prSet/>
      <dgm:spPr/>
      <dgm:t>
        <a:bodyPr/>
        <a:lstStyle/>
        <a:p>
          <a:pPr algn="ctr"/>
          <a:endParaRPr lang="lv-LV">
            <a:latin typeface="Times New Roman" panose="02020603050405020304" pitchFamily="18" charset="0"/>
            <a:cs typeface="Times New Roman" panose="02020603050405020304" pitchFamily="18" charset="0"/>
          </a:endParaRPr>
        </a:p>
      </dgm:t>
    </dgm:pt>
    <dgm:pt modelId="{4032CF97-F818-40FD-BC2B-5586306680F6}" type="sibTrans" cxnId="{9E9D979C-3236-4F8C-913D-AFB6A53D0D46}">
      <dgm:prSet/>
      <dgm:spPr/>
      <dgm:t>
        <a:bodyPr/>
        <a:lstStyle/>
        <a:p>
          <a:pPr algn="ctr"/>
          <a:endParaRPr lang="lv-LV">
            <a:latin typeface="Times New Roman" panose="02020603050405020304" pitchFamily="18" charset="0"/>
            <a:cs typeface="Times New Roman" panose="02020603050405020304" pitchFamily="18" charset="0"/>
          </a:endParaRPr>
        </a:p>
      </dgm:t>
    </dgm:pt>
    <dgm:pt modelId="{B3AE9539-9B5D-4EDC-BC4F-21FE58229251}">
      <dgm:prSet phldrT="[Text]"/>
      <dgm:spPr/>
      <dgm:t>
        <a:bodyPr/>
        <a:lstStyle/>
        <a:p>
          <a:pPr algn="ctr"/>
          <a:r>
            <a:rPr lang="lv-LV">
              <a:latin typeface="Times New Roman" panose="02020603050405020304" pitchFamily="18" charset="0"/>
              <a:cs typeface="Times New Roman" panose="02020603050405020304" pitchFamily="18" charset="0"/>
            </a:rPr>
            <a:t>Augstskolas pētījumi</a:t>
          </a:r>
        </a:p>
      </dgm:t>
    </dgm:pt>
    <dgm:pt modelId="{9E570738-1CE9-405F-B48E-ED406EA9A7F5}" type="parTrans" cxnId="{D5BC52EF-A91A-4ABC-9773-71227EFBF0D5}">
      <dgm:prSet/>
      <dgm:spPr/>
      <dgm:t>
        <a:bodyPr/>
        <a:lstStyle/>
        <a:p>
          <a:pPr algn="ctr"/>
          <a:endParaRPr lang="lv-LV">
            <a:latin typeface="Times New Roman" panose="02020603050405020304" pitchFamily="18" charset="0"/>
            <a:cs typeface="Times New Roman" panose="02020603050405020304" pitchFamily="18" charset="0"/>
          </a:endParaRPr>
        </a:p>
      </dgm:t>
    </dgm:pt>
    <dgm:pt modelId="{9B5F02A1-65DA-44D8-8CC5-107FA2880984}" type="sibTrans" cxnId="{D5BC52EF-A91A-4ABC-9773-71227EFBF0D5}">
      <dgm:prSet/>
      <dgm:spPr/>
      <dgm:t>
        <a:bodyPr/>
        <a:lstStyle/>
        <a:p>
          <a:pPr algn="ctr"/>
          <a:endParaRPr lang="lv-LV">
            <a:latin typeface="Times New Roman" panose="02020603050405020304" pitchFamily="18" charset="0"/>
            <a:cs typeface="Times New Roman" panose="02020603050405020304" pitchFamily="18" charset="0"/>
          </a:endParaRPr>
        </a:p>
      </dgm:t>
    </dgm:pt>
    <dgm:pt modelId="{C491BAF4-F0D8-428F-81A3-56849196B8F5}">
      <dgm:prSet/>
      <dgm:spPr/>
      <dgm:t>
        <a:bodyPr/>
        <a:lstStyle/>
        <a:p>
          <a:pPr algn="ctr"/>
          <a:r>
            <a:rPr lang="lv-LV">
              <a:latin typeface="Times New Roman" panose="02020603050405020304" pitchFamily="18" charset="0"/>
              <a:cs typeface="Times New Roman" panose="02020603050405020304" pitchFamily="18" charset="0"/>
            </a:rPr>
            <a:t>Pasākumi</a:t>
          </a:r>
        </a:p>
      </dgm:t>
    </dgm:pt>
    <dgm:pt modelId="{302CE852-709C-4F4D-9F70-F981299119A8}" type="parTrans" cxnId="{2CE4B13E-AEAE-44A0-B0DD-E3C3F75DE642}">
      <dgm:prSet/>
      <dgm:spPr/>
      <dgm:t>
        <a:bodyPr/>
        <a:lstStyle/>
        <a:p>
          <a:pPr algn="ctr"/>
          <a:endParaRPr lang="lv-LV">
            <a:latin typeface="Times New Roman" panose="02020603050405020304" pitchFamily="18" charset="0"/>
            <a:cs typeface="Times New Roman" panose="02020603050405020304" pitchFamily="18" charset="0"/>
          </a:endParaRPr>
        </a:p>
      </dgm:t>
    </dgm:pt>
    <dgm:pt modelId="{BB217689-A10B-4486-9707-ABF19F67E51E}" type="sibTrans" cxnId="{2CE4B13E-AEAE-44A0-B0DD-E3C3F75DE642}">
      <dgm:prSet/>
      <dgm:spPr/>
      <dgm:t>
        <a:bodyPr/>
        <a:lstStyle/>
        <a:p>
          <a:pPr algn="ctr"/>
          <a:endParaRPr lang="lv-LV">
            <a:latin typeface="Times New Roman" panose="02020603050405020304" pitchFamily="18" charset="0"/>
            <a:cs typeface="Times New Roman" panose="02020603050405020304" pitchFamily="18" charset="0"/>
          </a:endParaRPr>
        </a:p>
      </dgm:t>
    </dgm:pt>
    <dgm:pt modelId="{318D51EF-152B-4C6C-9732-92B42F908450}">
      <dgm:prSet/>
      <dgm:spPr/>
      <dgm:t>
        <a:bodyPr/>
        <a:lstStyle/>
        <a:p>
          <a:pPr algn="ctr"/>
          <a:r>
            <a:rPr lang="lv-LV">
              <a:latin typeface="Times New Roman" panose="02020603050405020304" pitchFamily="18" charset="0"/>
              <a:cs typeface="Times New Roman" panose="02020603050405020304" pitchFamily="18" charset="0"/>
            </a:rPr>
            <a:t>Uzņēmēju diena</a:t>
          </a:r>
        </a:p>
      </dgm:t>
    </dgm:pt>
    <dgm:pt modelId="{851B58C2-0DAD-4662-9AEC-2A2454D4DEC5}" type="parTrans" cxnId="{3C27A468-29E7-416E-85CE-ED6DB76CBEED}">
      <dgm:prSet/>
      <dgm:spPr/>
      <dgm:t>
        <a:bodyPr/>
        <a:lstStyle/>
        <a:p>
          <a:pPr algn="ctr"/>
          <a:endParaRPr lang="lv-LV">
            <a:latin typeface="Times New Roman" panose="02020603050405020304" pitchFamily="18" charset="0"/>
            <a:cs typeface="Times New Roman" panose="02020603050405020304" pitchFamily="18" charset="0"/>
          </a:endParaRPr>
        </a:p>
      </dgm:t>
    </dgm:pt>
    <dgm:pt modelId="{960BB511-7775-407B-8037-250E3A012A52}" type="sibTrans" cxnId="{3C27A468-29E7-416E-85CE-ED6DB76CBEED}">
      <dgm:prSet/>
      <dgm:spPr/>
      <dgm:t>
        <a:bodyPr/>
        <a:lstStyle/>
        <a:p>
          <a:pPr algn="ctr"/>
          <a:endParaRPr lang="lv-LV">
            <a:latin typeface="Times New Roman" panose="02020603050405020304" pitchFamily="18" charset="0"/>
            <a:cs typeface="Times New Roman" panose="02020603050405020304" pitchFamily="18" charset="0"/>
          </a:endParaRPr>
        </a:p>
      </dgm:t>
    </dgm:pt>
    <dgm:pt modelId="{A271ED55-F4EF-40E4-81DC-5B509EC01A86}">
      <dgm:prSet/>
      <dgm:spPr/>
      <dgm:t>
        <a:bodyPr/>
        <a:lstStyle/>
        <a:p>
          <a:pPr algn="ctr"/>
          <a:r>
            <a:rPr lang="lv-LV">
              <a:latin typeface="Times New Roman" panose="02020603050405020304" pitchFamily="18" charset="0"/>
              <a:cs typeface="Times New Roman" panose="02020603050405020304" pitchFamily="18" charset="0"/>
            </a:rPr>
            <a:t>Tīklošanās</a:t>
          </a:r>
        </a:p>
      </dgm:t>
    </dgm:pt>
    <dgm:pt modelId="{AC657282-9FF1-4D98-83E3-EC84FEE5AECE}" type="parTrans" cxnId="{523A8A33-C412-46B1-9E30-C08C43893F29}">
      <dgm:prSet/>
      <dgm:spPr/>
      <dgm:t>
        <a:bodyPr/>
        <a:lstStyle/>
        <a:p>
          <a:pPr algn="ctr"/>
          <a:endParaRPr lang="lv-LV">
            <a:latin typeface="Times New Roman" panose="02020603050405020304" pitchFamily="18" charset="0"/>
            <a:cs typeface="Times New Roman" panose="02020603050405020304" pitchFamily="18" charset="0"/>
          </a:endParaRPr>
        </a:p>
      </dgm:t>
    </dgm:pt>
    <dgm:pt modelId="{AC0D1576-1329-430C-87C5-E2901D3F7E55}" type="sibTrans" cxnId="{523A8A33-C412-46B1-9E30-C08C43893F29}">
      <dgm:prSet/>
      <dgm:spPr/>
      <dgm:t>
        <a:bodyPr/>
        <a:lstStyle/>
        <a:p>
          <a:pPr algn="ctr"/>
          <a:endParaRPr lang="lv-LV">
            <a:latin typeface="Times New Roman" panose="02020603050405020304" pitchFamily="18" charset="0"/>
            <a:cs typeface="Times New Roman" panose="02020603050405020304" pitchFamily="18" charset="0"/>
          </a:endParaRPr>
        </a:p>
      </dgm:t>
    </dgm:pt>
    <dgm:pt modelId="{54BF55BA-2C2D-4468-B4B5-39EFD1C37F9E}">
      <dgm:prSet/>
      <dgm:spPr/>
      <dgm:t>
        <a:bodyPr/>
        <a:lstStyle/>
        <a:p>
          <a:pPr algn="ctr"/>
          <a:r>
            <a:rPr lang="lv-LV">
              <a:latin typeface="Times New Roman" panose="02020603050405020304" pitchFamily="18" charset="0"/>
              <a:cs typeface="Times New Roman" panose="02020603050405020304" pitchFamily="18" charset="0"/>
            </a:rPr>
            <a:t>Infrastruktūra</a:t>
          </a:r>
        </a:p>
      </dgm:t>
    </dgm:pt>
    <dgm:pt modelId="{7B20D42E-DC55-4026-8692-12FA2F29808F}" type="parTrans" cxnId="{B983048C-5A4B-46FA-9790-584E8D5B3BA2}">
      <dgm:prSet/>
      <dgm:spPr/>
      <dgm:t>
        <a:bodyPr/>
        <a:lstStyle/>
        <a:p>
          <a:pPr algn="ctr"/>
          <a:endParaRPr lang="lv-LV">
            <a:latin typeface="Times New Roman" panose="02020603050405020304" pitchFamily="18" charset="0"/>
            <a:cs typeface="Times New Roman" panose="02020603050405020304" pitchFamily="18" charset="0"/>
          </a:endParaRPr>
        </a:p>
      </dgm:t>
    </dgm:pt>
    <dgm:pt modelId="{5AF663CC-D6A6-4932-9F51-691A143FEE8A}" type="sibTrans" cxnId="{B983048C-5A4B-46FA-9790-584E8D5B3BA2}">
      <dgm:prSet/>
      <dgm:spPr/>
      <dgm:t>
        <a:bodyPr/>
        <a:lstStyle/>
        <a:p>
          <a:pPr algn="ctr"/>
          <a:endParaRPr lang="lv-LV">
            <a:latin typeface="Times New Roman" panose="02020603050405020304" pitchFamily="18" charset="0"/>
            <a:cs typeface="Times New Roman" panose="02020603050405020304" pitchFamily="18" charset="0"/>
          </a:endParaRPr>
        </a:p>
      </dgm:t>
    </dgm:pt>
    <dgm:pt modelId="{D0E12E7A-541F-4E10-BDC8-FAC344FC217B}">
      <dgm:prSet/>
      <dgm:spPr/>
      <dgm:t>
        <a:bodyPr/>
        <a:lstStyle/>
        <a:p>
          <a:pPr algn="ctr"/>
          <a:r>
            <a:rPr lang="lv-LV">
              <a:latin typeface="Times New Roman" panose="02020603050405020304" pitchFamily="18" charset="0"/>
              <a:cs typeface="Times New Roman" panose="02020603050405020304" pitchFamily="18" charset="0"/>
            </a:rPr>
            <a:t>Jumta nomaiņa</a:t>
          </a:r>
        </a:p>
      </dgm:t>
    </dgm:pt>
    <dgm:pt modelId="{BDE2CBB1-682D-4D61-B803-6FBB6F20A8DF}" type="parTrans" cxnId="{B5E134BB-233C-48F2-8B0D-A0285CC209E6}">
      <dgm:prSet/>
      <dgm:spPr/>
      <dgm:t>
        <a:bodyPr/>
        <a:lstStyle/>
        <a:p>
          <a:pPr algn="ctr"/>
          <a:endParaRPr lang="lv-LV">
            <a:latin typeface="Times New Roman" panose="02020603050405020304" pitchFamily="18" charset="0"/>
            <a:cs typeface="Times New Roman" panose="02020603050405020304" pitchFamily="18" charset="0"/>
          </a:endParaRPr>
        </a:p>
      </dgm:t>
    </dgm:pt>
    <dgm:pt modelId="{64A7049F-2C20-41C8-8FC0-18FDE25211D8}" type="sibTrans" cxnId="{B5E134BB-233C-48F2-8B0D-A0285CC209E6}">
      <dgm:prSet/>
      <dgm:spPr/>
      <dgm:t>
        <a:bodyPr/>
        <a:lstStyle/>
        <a:p>
          <a:pPr algn="ctr"/>
          <a:endParaRPr lang="lv-LV">
            <a:latin typeface="Times New Roman" panose="02020603050405020304" pitchFamily="18" charset="0"/>
            <a:cs typeface="Times New Roman" panose="02020603050405020304" pitchFamily="18" charset="0"/>
          </a:endParaRPr>
        </a:p>
      </dgm:t>
    </dgm:pt>
    <dgm:pt modelId="{E9E92417-489F-4876-A122-24723299238D}">
      <dgm:prSet/>
      <dgm:spPr/>
      <dgm:t>
        <a:bodyPr/>
        <a:lstStyle/>
        <a:p>
          <a:pPr algn="ctr"/>
          <a:r>
            <a:rPr lang="lv-LV">
              <a:latin typeface="Times New Roman" panose="02020603050405020304" pitchFamily="18" charset="0"/>
              <a:cs typeface="Times New Roman" panose="02020603050405020304" pitchFamily="18" charset="0"/>
            </a:rPr>
            <a:t>Tirgus laukuma paplašināšana</a:t>
          </a:r>
        </a:p>
      </dgm:t>
    </dgm:pt>
    <dgm:pt modelId="{A5FF5A48-D4C7-47C3-B6C3-7E9EE6FC52EF}" type="parTrans" cxnId="{BDEE97AD-F768-4480-8929-27224FC203E4}">
      <dgm:prSet/>
      <dgm:spPr/>
      <dgm:t>
        <a:bodyPr/>
        <a:lstStyle/>
        <a:p>
          <a:pPr algn="ctr"/>
          <a:endParaRPr lang="lv-LV">
            <a:latin typeface="Times New Roman" panose="02020603050405020304" pitchFamily="18" charset="0"/>
            <a:cs typeface="Times New Roman" panose="02020603050405020304" pitchFamily="18" charset="0"/>
          </a:endParaRPr>
        </a:p>
      </dgm:t>
    </dgm:pt>
    <dgm:pt modelId="{AB15740C-A1AE-4D35-8BB5-B4E197781A50}" type="sibTrans" cxnId="{BDEE97AD-F768-4480-8929-27224FC203E4}">
      <dgm:prSet/>
      <dgm:spPr/>
      <dgm:t>
        <a:bodyPr/>
        <a:lstStyle/>
        <a:p>
          <a:pPr algn="ctr"/>
          <a:endParaRPr lang="lv-LV">
            <a:latin typeface="Times New Roman" panose="02020603050405020304" pitchFamily="18" charset="0"/>
            <a:cs typeface="Times New Roman" panose="02020603050405020304" pitchFamily="18" charset="0"/>
          </a:endParaRPr>
        </a:p>
      </dgm:t>
    </dgm:pt>
    <dgm:pt modelId="{E1E0FA0B-F490-4659-8F54-CAFB64B027CA}">
      <dgm:prSet/>
      <dgm:spPr/>
      <dgm:t>
        <a:bodyPr/>
        <a:lstStyle/>
        <a:p>
          <a:pPr algn="ctr"/>
          <a:r>
            <a:rPr lang="lv-LV">
              <a:latin typeface="Times New Roman" panose="02020603050405020304" pitchFamily="18" charset="0"/>
              <a:cs typeface="Times New Roman" panose="02020603050405020304" pitchFamily="18" charset="0"/>
            </a:rPr>
            <a:t>Nodrošināšana ar telpām</a:t>
          </a:r>
        </a:p>
      </dgm:t>
    </dgm:pt>
    <dgm:pt modelId="{10A31B5D-4B8F-4926-92D5-A9BA43B4106F}" type="parTrans" cxnId="{256E8042-C1AB-4E8B-9988-E470F22A7424}">
      <dgm:prSet/>
      <dgm:spPr/>
      <dgm:t>
        <a:bodyPr/>
        <a:lstStyle/>
        <a:p>
          <a:pPr algn="ctr"/>
          <a:endParaRPr lang="lv-LV">
            <a:latin typeface="Times New Roman" panose="02020603050405020304" pitchFamily="18" charset="0"/>
            <a:cs typeface="Times New Roman" panose="02020603050405020304" pitchFamily="18" charset="0"/>
          </a:endParaRPr>
        </a:p>
      </dgm:t>
    </dgm:pt>
    <dgm:pt modelId="{46DD0BBF-2036-41ED-A7C6-C8298522FE63}" type="sibTrans" cxnId="{256E8042-C1AB-4E8B-9988-E470F22A7424}">
      <dgm:prSet/>
      <dgm:spPr/>
      <dgm:t>
        <a:bodyPr/>
        <a:lstStyle/>
        <a:p>
          <a:pPr algn="ctr"/>
          <a:endParaRPr lang="lv-LV">
            <a:latin typeface="Times New Roman" panose="02020603050405020304" pitchFamily="18" charset="0"/>
            <a:cs typeface="Times New Roman" panose="02020603050405020304" pitchFamily="18" charset="0"/>
          </a:endParaRPr>
        </a:p>
      </dgm:t>
    </dgm:pt>
    <dgm:pt modelId="{B92DBEB8-0CEB-45F9-A0DD-B164974A4098}">
      <dgm:prSet/>
      <dgm:spPr/>
      <dgm:t>
        <a:bodyPr/>
        <a:lstStyle/>
        <a:p>
          <a:pPr algn="ctr"/>
          <a:r>
            <a:rPr lang="lv-LV">
              <a:latin typeface="Times New Roman" panose="02020603050405020304" pitchFamily="18" charset="0"/>
              <a:cs typeface="Times New Roman" panose="02020603050405020304" pitchFamily="18" charset="0"/>
            </a:rPr>
            <a:t>Mājražotāju/amatnieku tirdziņš</a:t>
          </a:r>
        </a:p>
      </dgm:t>
    </dgm:pt>
    <dgm:pt modelId="{4FAD8838-18C5-4D82-8B2E-1A87892CB7DA}" type="parTrans" cxnId="{A53AC28D-FF65-465A-AFF3-DBCCCB52E8A6}">
      <dgm:prSet/>
      <dgm:spPr/>
      <dgm:t>
        <a:bodyPr/>
        <a:lstStyle/>
        <a:p>
          <a:pPr algn="ctr"/>
          <a:endParaRPr lang="lv-LV">
            <a:latin typeface="Times New Roman" panose="02020603050405020304" pitchFamily="18" charset="0"/>
            <a:cs typeface="Times New Roman" panose="02020603050405020304" pitchFamily="18" charset="0"/>
          </a:endParaRPr>
        </a:p>
      </dgm:t>
    </dgm:pt>
    <dgm:pt modelId="{F16BEEB3-DA93-4331-AAFB-0D23E71A89B3}" type="sibTrans" cxnId="{A53AC28D-FF65-465A-AFF3-DBCCCB52E8A6}">
      <dgm:prSet/>
      <dgm:spPr/>
      <dgm:t>
        <a:bodyPr/>
        <a:lstStyle/>
        <a:p>
          <a:pPr algn="ctr"/>
          <a:endParaRPr lang="lv-LV">
            <a:latin typeface="Times New Roman" panose="02020603050405020304" pitchFamily="18" charset="0"/>
            <a:cs typeface="Times New Roman" panose="02020603050405020304" pitchFamily="18" charset="0"/>
          </a:endParaRPr>
        </a:p>
      </dgm:t>
    </dgm:pt>
    <dgm:pt modelId="{56CD8EE0-8F60-4639-814A-ED87FB249455}">
      <dgm:prSet/>
      <dgm:spPr/>
      <dgm:t>
        <a:bodyPr/>
        <a:lstStyle/>
        <a:p>
          <a:pPr algn="ctr"/>
          <a:r>
            <a:rPr lang="lv-LV">
              <a:latin typeface="Times New Roman" panose="02020603050405020304" pitchFamily="18" charset="0"/>
              <a:cs typeface="Times New Roman" panose="02020603050405020304" pitchFamily="18" charset="0"/>
            </a:rPr>
            <a:t> NĪN atlaides</a:t>
          </a:r>
        </a:p>
      </dgm:t>
    </dgm:pt>
    <dgm:pt modelId="{10353D48-02F1-4F04-9447-D75DE5D55E7C}" type="parTrans" cxnId="{CD52E128-90D2-4C52-A2B6-8EDF915C26B6}">
      <dgm:prSet/>
      <dgm:spPr/>
      <dgm:t>
        <a:bodyPr/>
        <a:lstStyle/>
        <a:p>
          <a:pPr algn="ctr"/>
          <a:endParaRPr lang="lv-LV">
            <a:latin typeface="Times New Roman" panose="02020603050405020304" pitchFamily="18" charset="0"/>
            <a:cs typeface="Times New Roman" panose="02020603050405020304" pitchFamily="18" charset="0"/>
          </a:endParaRPr>
        </a:p>
      </dgm:t>
    </dgm:pt>
    <dgm:pt modelId="{06F2C664-C45F-4672-9064-7DDE39AF4C4E}" type="sibTrans" cxnId="{CD52E128-90D2-4C52-A2B6-8EDF915C26B6}">
      <dgm:prSet/>
      <dgm:spPr/>
      <dgm:t>
        <a:bodyPr/>
        <a:lstStyle/>
        <a:p>
          <a:pPr algn="ctr"/>
          <a:endParaRPr lang="lv-LV">
            <a:latin typeface="Times New Roman" panose="02020603050405020304" pitchFamily="18" charset="0"/>
            <a:cs typeface="Times New Roman" panose="02020603050405020304" pitchFamily="18" charset="0"/>
          </a:endParaRPr>
        </a:p>
      </dgm:t>
    </dgm:pt>
    <dgm:pt modelId="{3DC667D4-7C9A-439D-835F-020C4E80D4EC}">
      <dgm:prSet/>
      <dgm:spPr/>
      <dgm:t>
        <a:bodyPr/>
        <a:lstStyle/>
        <a:p>
          <a:pPr algn="ctr"/>
          <a:r>
            <a:rPr lang="lv-LV">
              <a:latin typeface="Times New Roman" panose="02020603050405020304" pitchFamily="18" charset="0"/>
              <a:cs typeface="Times New Roman" panose="02020603050405020304" pitchFamily="18" charset="0"/>
            </a:rPr>
            <a:t>Ielu un ceļu labiekārtošana</a:t>
          </a:r>
        </a:p>
      </dgm:t>
    </dgm:pt>
    <dgm:pt modelId="{CB3D9F66-F71C-43C2-BCFA-1633C50D6541}" type="parTrans" cxnId="{61E428AE-208B-40C4-86E1-432B1647A31D}">
      <dgm:prSet/>
      <dgm:spPr/>
      <dgm:t>
        <a:bodyPr/>
        <a:lstStyle/>
        <a:p>
          <a:pPr algn="ctr"/>
          <a:endParaRPr lang="lv-LV">
            <a:latin typeface="Times New Roman" panose="02020603050405020304" pitchFamily="18" charset="0"/>
            <a:cs typeface="Times New Roman" panose="02020603050405020304" pitchFamily="18" charset="0"/>
          </a:endParaRPr>
        </a:p>
      </dgm:t>
    </dgm:pt>
    <dgm:pt modelId="{8864D503-CBA1-48AA-B633-06B2AF1E9ED7}" type="sibTrans" cxnId="{61E428AE-208B-40C4-86E1-432B1647A31D}">
      <dgm:prSet/>
      <dgm:spPr/>
      <dgm:t>
        <a:bodyPr/>
        <a:lstStyle/>
        <a:p>
          <a:pPr algn="ctr"/>
          <a:endParaRPr lang="lv-LV">
            <a:latin typeface="Times New Roman" panose="02020603050405020304" pitchFamily="18" charset="0"/>
            <a:cs typeface="Times New Roman" panose="02020603050405020304" pitchFamily="18" charset="0"/>
          </a:endParaRPr>
        </a:p>
      </dgm:t>
    </dgm:pt>
    <dgm:pt modelId="{1CF38579-B394-4470-B786-3B15EA3C2759}">
      <dgm:prSet/>
      <dgm:spPr/>
      <dgm:t>
        <a:bodyPr/>
        <a:lstStyle/>
        <a:p>
          <a:pPr algn="ctr"/>
          <a:r>
            <a:rPr lang="lv-LV">
              <a:latin typeface="Times New Roman" panose="02020603050405020304" pitchFamily="18" charset="0"/>
              <a:cs typeface="Times New Roman" panose="02020603050405020304" pitchFamily="18" charset="0"/>
            </a:rPr>
            <a:t>Biedru naudas apmaksa</a:t>
          </a:r>
        </a:p>
      </dgm:t>
    </dgm:pt>
    <dgm:pt modelId="{6336099A-2B58-4964-BF7B-22DCE8C58F89}" type="parTrans" cxnId="{F2DCE0E6-9E82-47FE-B553-1F823BAE3DAA}">
      <dgm:prSet/>
      <dgm:spPr/>
      <dgm:t>
        <a:bodyPr/>
        <a:lstStyle/>
        <a:p>
          <a:pPr algn="ctr"/>
          <a:endParaRPr lang="lv-LV">
            <a:latin typeface="Times New Roman" panose="02020603050405020304" pitchFamily="18" charset="0"/>
            <a:cs typeface="Times New Roman" panose="02020603050405020304" pitchFamily="18" charset="0"/>
          </a:endParaRPr>
        </a:p>
      </dgm:t>
    </dgm:pt>
    <dgm:pt modelId="{AB62A20A-3397-4184-A440-98A98AC672C4}" type="sibTrans" cxnId="{F2DCE0E6-9E82-47FE-B553-1F823BAE3DAA}">
      <dgm:prSet/>
      <dgm:spPr/>
      <dgm:t>
        <a:bodyPr/>
        <a:lstStyle/>
        <a:p>
          <a:pPr algn="ctr"/>
          <a:endParaRPr lang="lv-LV">
            <a:latin typeface="Times New Roman" panose="02020603050405020304" pitchFamily="18" charset="0"/>
            <a:cs typeface="Times New Roman" panose="02020603050405020304" pitchFamily="18" charset="0"/>
          </a:endParaRPr>
        </a:p>
      </dgm:t>
    </dgm:pt>
    <dgm:pt modelId="{76D69A9E-B5C3-4840-82D1-1EAF6B16E46E}">
      <dgm:prSet/>
      <dgm:spPr/>
      <dgm:t>
        <a:bodyPr/>
        <a:lstStyle/>
        <a:p>
          <a:pPr algn="ctr"/>
          <a:r>
            <a:rPr lang="lv-LV">
              <a:latin typeface="Times New Roman" panose="02020603050405020304" pitchFamily="18" charset="0"/>
              <a:cs typeface="Times New Roman" panose="02020603050405020304" pitchFamily="18" charset="0"/>
            </a:rPr>
            <a:t>Konsultācijas</a:t>
          </a:r>
        </a:p>
      </dgm:t>
    </dgm:pt>
    <dgm:pt modelId="{ECABAA73-1943-4DF3-AB4F-9D55717D5818}" type="parTrans" cxnId="{B73A2A2E-BC9B-4DE2-8435-536C0DE8D403}">
      <dgm:prSet/>
      <dgm:spPr/>
      <dgm:t>
        <a:bodyPr/>
        <a:lstStyle/>
        <a:p>
          <a:pPr algn="ctr"/>
          <a:endParaRPr lang="lv-LV"/>
        </a:p>
      </dgm:t>
    </dgm:pt>
    <dgm:pt modelId="{1DE23B8D-CD03-4FBA-BBDD-8EEA15AAEA79}" type="sibTrans" cxnId="{B73A2A2E-BC9B-4DE2-8435-536C0DE8D403}">
      <dgm:prSet/>
      <dgm:spPr/>
      <dgm:t>
        <a:bodyPr/>
        <a:lstStyle/>
        <a:p>
          <a:pPr algn="ctr"/>
          <a:endParaRPr lang="lv-LV"/>
        </a:p>
      </dgm:t>
    </dgm:pt>
    <dgm:pt modelId="{676BC628-9944-46E7-8CE8-18411E46B46C}">
      <dgm:prSet/>
      <dgm:spPr/>
      <dgm:t>
        <a:bodyPr/>
        <a:lstStyle/>
        <a:p>
          <a:pPr algn="ctr"/>
          <a:r>
            <a:rPr lang="lv-LV">
              <a:latin typeface="Times New Roman" panose="02020603050405020304" pitchFamily="18" charset="0"/>
              <a:cs typeface="Times New Roman" panose="02020603050405020304" pitchFamily="18" charset="0"/>
            </a:rPr>
            <a:t>Pirmsinkubators</a:t>
          </a:r>
        </a:p>
      </dgm:t>
    </dgm:pt>
    <dgm:pt modelId="{44072010-D1C7-4203-B502-CFE9BE561178}" type="parTrans" cxnId="{F0794246-F746-4637-BD5D-FF93ACB42B8D}">
      <dgm:prSet/>
      <dgm:spPr/>
      <dgm:t>
        <a:bodyPr/>
        <a:lstStyle/>
        <a:p>
          <a:pPr algn="ctr"/>
          <a:endParaRPr lang="lv-LV"/>
        </a:p>
      </dgm:t>
    </dgm:pt>
    <dgm:pt modelId="{EE546965-C036-4CEA-B316-FC470AD49167}" type="sibTrans" cxnId="{F0794246-F746-4637-BD5D-FF93ACB42B8D}">
      <dgm:prSet/>
      <dgm:spPr/>
      <dgm:t>
        <a:bodyPr/>
        <a:lstStyle/>
        <a:p>
          <a:pPr algn="ctr"/>
          <a:endParaRPr lang="lv-LV"/>
        </a:p>
      </dgm:t>
    </dgm:pt>
    <dgm:pt modelId="{E3694A97-84C1-4366-BA65-CC15341EE267}">
      <dgm:prSet/>
      <dgm:spPr/>
      <dgm:t>
        <a:bodyPr/>
        <a:lstStyle/>
        <a:p>
          <a:pPr algn="ctr"/>
          <a:r>
            <a:rPr lang="lv-LV">
              <a:latin typeface="Times New Roman" panose="02020603050405020304" pitchFamily="18" charset="0"/>
              <a:cs typeface="Times New Roman" panose="02020603050405020304" pitchFamily="18" charset="0"/>
            </a:rPr>
            <a:t>Biznesa atbalsta centrs</a:t>
          </a:r>
        </a:p>
      </dgm:t>
    </dgm:pt>
    <dgm:pt modelId="{BF7D5B23-089E-4577-AF9D-207D3F7BDEB6}" type="parTrans" cxnId="{C52F0671-8E2F-4F9C-B30C-CA02FE29F35E}">
      <dgm:prSet/>
      <dgm:spPr/>
      <dgm:t>
        <a:bodyPr/>
        <a:lstStyle/>
        <a:p>
          <a:pPr algn="ctr"/>
          <a:endParaRPr lang="lv-LV"/>
        </a:p>
      </dgm:t>
    </dgm:pt>
    <dgm:pt modelId="{A952B1C9-24C6-4F36-A1C1-0B5DCDF9E5CE}" type="sibTrans" cxnId="{C52F0671-8E2F-4F9C-B30C-CA02FE29F35E}">
      <dgm:prSet/>
      <dgm:spPr/>
      <dgm:t>
        <a:bodyPr/>
        <a:lstStyle/>
        <a:p>
          <a:pPr algn="ctr"/>
          <a:endParaRPr lang="lv-LV"/>
        </a:p>
      </dgm:t>
    </dgm:pt>
    <dgm:pt modelId="{BEAED63D-11C4-4E2B-BCF2-FDF94B7E7C3A}">
      <dgm:prSet/>
      <dgm:spPr/>
      <dgm:t>
        <a:bodyPr/>
        <a:lstStyle/>
        <a:p>
          <a:pPr algn="ctr"/>
          <a:r>
            <a:rPr lang="lv-LV">
              <a:latin typeface="Times New Roman" panose="02020603050405020304" pitchFamily="18" charset="0"/>
              <a:cs typeface="Times New Roman" panose="02020603050405020304" pitchFamily="18" charset="0"/>
            </a:rPr>
            <a:t>Uzņēmējdarbības konsultants</a:t>
          </a:r>
        </a:p>
      </dgm:t>
    </dgm:pt>
    <dgm:pt modelId="{8A83DEDE-B15F-4A0E-AD45-7F66B370A2FC}" type="parTrans" cxnId="{80C561B8-3D30-48DC-82D2-396779CC06AA}">
      <dgm:prSet/>
      <dgm:spPr/>
      <dgm:t>
        <a:bodyPr/>
        <a:lstStyle/>
        <a:p>
          <a:pPr algn="ctr"/>
          <a:endParaRPr lang="lv-LV"/>
        </a:p>
      </dgm:t>
    </dgm:pt>
    <dgm:pt modelId="{C6FF9E09-8BF1-451C-AFD1-7964881D782A}" type="sibTrans" cxnId="{80C561B8-3D30-48DC-82D2-396779CC06AA}">
      <dgm:prSet/>
      <dgm:spPr/>
      <dgm:t>
        <a:bodyPr/>
        <a:lstStyle/>
        <a:p>
          <a:pPr algn="ctr"/>
          <a:endParaRPr lang="lv-LV"/>
        </a:p>
      </dgm:t>
    </dgm:pt>
    <dgm:pt modelId="{DB569D23-60F9-4144-B3EA-84BC2BE833D0}">
      <dgm:prSet/>
      <dgm:spPr/>
      <dgm:t>
        <a:bodyPr/>
        <a:lstStyle/>
        <a:p>
          <a:pPr algn="ctr"/>
          <a:r>
            <a:rPr lang="lv-LV">
              <a:latin typeface="Times New Roman" panose="02020603050405020304" pitchFamily="18" charset="0"/>
              <a:cs typeface="Times New Roman" panose="02020603050405020304" pitchFamily="18" charset="0"/>
            </a:rPr>
            <a:t>Semināri un apmācības</a:t>
          </a:r>
        </a:p>
      </dgm:t>
    </dgm:pt>
    <dgm:pt modelId="{57ABEFC0-46A8-46BA-AF03-FD5B890149B6}" type="parTrans" cxnId="{6C4DED97-BF1F-4F53-8B3E-81A168FF40AD}">
      <dgm:prSet/>
      <dgm:spPr/>
      <dgm:t>
        <a:bodyPr/>
        <a:lstStyle/>
        <a:p>
          <a:pPr algn="ctr"/>
          <a:endParaRPr lang="lv-LV"/>
        </a:p>
      </dgm:t>
    </dgm:pt>
    <dgm:pt modelId="{4C696AC5-C74A-4106-AE45-78F73E9F3562}" type="sibTrans" cxnId="{6C4DED97-BF1F-4F53-8B3E-81A168FF40AD}">
      <dgm:prSet/>
      <dgm:spPr/>
      <dgm:t>
        <a:bodyPr/>
        <a:lstStyle/>
        <a:p>
          <a:pPr algn="ctr"/>
          <a:endParaRPr lang="lv-LV"/>
        </a:p>
      </dgm:t>
    </dgm:pt>
    <dgm:pt modelId="{83288CC9-CC37-4AA2-A6E7-02026B35B722}">
      <dgm:prSet/>
      <dgm:spPr/>
      <dgm:t>
        <a:bodyPr/>
        <a:lstStyle/>
        <a:p>
          <a:pPr algn="ctr"/>
          <a:r>
            <a:rPr lang="lv-LV">
              <a:latin typeface="Times New Roman" panose="02020603050405020304" pitchFamily="18" charset="0"/>
              <a:cs typeface="Times New Roman" panose="02020603050405020304" pitchFamily="18" charset="0"/>
            </a:rPr>
            <a:t>Mārketings</a:t>
          </a:r>
        </a:p>
      </dgm:t>
    </dgm:pt>
    <dgm:pt modelId="{AC9084F7-3C56-4E65-988D-D1BCEFF8D71B}" type="parTrans" cxnId="{7820929C-69F5-494E-B315-B444813B27F4}">
      <dgm:prSet/>
      <dgm:spPr/>
      <dgm:t>
        <a:bodyPr/>
        <a:lstStyle/>
        <a:p>
          <a:pPr algn="ctr"/>
          <a:endParaRPr lang="lv-LV"/>
        </a:p>
      </dgm:t>
    </dgm:pt>
    <dgm:pt modelId="{A168B28B-B1D4-4901-889C-0FE89A2B3C5A}" type="sibTrans" cxnId="{7820929C-69F5-494E-B315-B444813B27F4}">
      <dgm:prSet/>
      <dgm:spPr/>
      <dgm:t>
        <a:bodyPr/>
        <a:lstStyle/>
        <a:p>
          <a:pPr algn="ctr"/>
          <a:endParaRPr lang="lv-LV"/>
        </a:p>
      </dgm:t>
    </dgm:pt>
    <dgm:pt modelId="{58F6569A-5DF9-4320-ABAC-C5DC557BAAAD}">
      <dgm:prSet/>
      <dgm:spPr/>
      <dgm:t>
        <a:bodyPr/>
        <a:lstStyle/>
        <a:p>
          <a:pPr algn="ctr"/>
          <a:r>
            <a:rPr lang="lv-LV">
              <a:latin typeface="Times New Roman" panose="02020603050405020304" pitchFamily="18" charset="0"/>
              <a:cs typeface="Times New Roman" panose="02020603050405020304" pitchFamily="18" charset="0"/>
            </a:rPr>
            <a:t>Tūrisma bukleti/brošūras</a:t>
          </a:r>
        </a:p>
      </dgm:t>
    </dgm:pt>
    <dgm:pt modelId="{04509E41-3A11-4B6E-B5D8-284F3D8EAE3E}" type="parTrans" cxnId="{916CC875-343B-497E-BD03-3710213BE5C4}">
      <dgm:prSet/>
      <dgm:spPr/>
      <dgm:t>
        <a:bodyPr/>
        <a:lstStyle/>
        <a:p>
          <a:pPr algn="ctr"/>
          <a:endParaRPr lang="lv-LV"/>
        </a:p>
      </dgm:t>
    </dgm:pt>
    <dgm:pt modelId="{47B3AC89-DA14-4D11-AC21-3FF91E87D162}" type="sibTrans" cxnId="{916CC875-343B-497E-BD03-3710213BE5C4}">
      <dgm:prSet/>
      <dgm:spPr/>
      <dgm:t>
        <a:bodyPr/>
        <a:lstStyle/>
        <a:p>
          <a:pPr algn="ctr"/>
          <a:endParaRPr lang="lv-LV"/>
        </a:p>
      </dgm:t>
    </dgm:pt>
    <dgm:pt modelId="{D198CDA9-8421-48AC-BAD2-2CDD951F7BDC}">
      <dgm:prSet/>
      <dgm:spPr/>
      <dgm:t>
        <a:bodyPr/>
        <a:lstStyle/>
        <a:p>
          <a:pPr algn="ctr"/>
          <a:r>
            <a:rPr lang="lv-LV">
              <a:latin typeface="Times New Roman" panose="02020603050405020304" pitchFamily="18" charset="0"/>
              <a:cs typeface="Times New Roman" panose="02020603050405020304" pitchFamily="18" charset="0"/>
            </a:rPr>
            <a:t>Vienota preču zīme</a:t>
          </a:r>
        </a:p>
      </dgm:t>
    </dgm:pt>
    <dgm:pt modelId="{E12DF860-39A5-4FC0-8DF3-01F65C3A840B}" type="parTrans" cxnId="{29ABAB99-B82C-4272-A326-A0DC24C2C4A5}">
      <dgm:prSet/>
      <dgm:spPr/>
      <dgm:t>
        <a:bodyPr/>
        <a:lstStyle/>
        <a:p>
          <a:pPr algn="ctr"/>
          <a:endParaRPr lang="lv-LV"/>
        </a:p>
      </dgm:t>
    </dgm:pt>
    <dgm:pt modelId="{EC1D552B-D92C-410C-A67E-E1DE31FCB2E4}" type="sibTrans" cxnId="{29ABAB99-B82C-4272-A326-A0DC24C2C4A5}">
      <dgm:prSet/>
      <dgm:spPr/>
      <dgm:t>
        <a:bodyPr/>
        <a:lstStyle/>
        <a:p>
          <a:pPr algn="ctr"/>
          <a:endParaRPr lang="lv-LV"/>
        </a:p>
      </dgm:t>
    </dgm:pt>
    <dgm:pt modelId="{E05CC98C-3231-48F4-A415-3FB2A872184F}">
      <dgm:prSet/>
      <dgm:spPr/>
      <dgm:t>
        <a:bodyPr/>
        <a:lstStyle/>
        <a:p>
          <a:pPr algn="ctr"/>
          <a:r>
            <a:rPr lang="lv-LV">
              <a:latin typeface="Times New Roman" panose="02020603050405020304" pitchFamily="18" charset="0"/>
              <a:cs typeface="Times New Roman" panose="02020603050405020304" pitchFamily="18" charset="0"/>
            </a:rPr>
            <a:t>Jauna/uzlabota mājaslapa</a:t>
          </a:r>
        </a:p>
      </dgm:t>
    </dgm:pt>
    <dgm:pt modelId="{9C6CBC6D-82A7-4E8F-8BBA-A0BE2571700D}" type="parTrans" cxnId="{243ECC49-3F9A-4A39-88EC-75D923605E11}">
      <dgm:prSet/>
      <dgm:spPr/>
      <dgm:t>
        <a:bodyPr/>
        <a:lstStyle/>
        <a:p>
          <a:pPr algn="ctr"/>
          <a:endParaRPr lang="lv-LV"/>
        </a:p>
      </dgm:t>
    </dgm:pt>
    <dgm:pt modelId="{6DB78335-F98A-4B46-A921-03DE5CF6DCD2}" type="sibTrans" cxnId="{243ECC49-3F9A-4A39-88EC-75D923605E11}">
      <dgm:prSet/>
      <dgm:spPr/>
      <dgm:t>
        <a:bodyPr/>
        <a:lstStyle/>
        <a:p>
          <a:pPr algn="ctr"/>
          <a:endParaRPr lang="lv-LV"/>
        </a:p>
      </dgm:t>
    </dgm:pt>
    <dgm:pt modelId="{039E911E-A5DB-4F35-A90D-037289FC3C58}">
      <dgm:prSet/>
      <dgm:spPr/>
      <dgm:t>
        <a:bodyPr/>
        <a:lstStyle/>
        <a:p>
          <a:pPr algn="ctr"/>
          <a:r>
            <a:rPr lang="lv-LV">
              <a:latin typeface="Times New Roman" panose="02020603050405020304" pitchFamily="18" charset="0"/>
              <a:cs typeface="Times New Roman" panose="02020603050405020304" pitchFamily="18" charset="0"/>
            </a:rPr>
            <a:t>Uzņēmēju godināšana</a:t>
          </a:r>
        </a:p>
      </dgm:t>
    </dgm:pt>
    <dgm:pt modelId="{012E6BB7-F293-40D4-838B-6649D9D8E1AB}" type="parTrans" cxnId="{1716F94B-6F54-47DC-AA41-BCAE505D402E}">
      <dgm:prSet/>
      <dgm:spPr/>
      <dgm:t>
        <a:bodyPr/>
        <a:lstStyle/>
        <a:p>
          <a:pPr algn="ctr"/>
          <a:endParaRPr lang="lv-LV"/>
        </a:p>
      </dgm:t>
    </dgm:pt>
    <dgm:pt modelId="{F987A955-9C88-4F61-836D-02A7EEDEFAAD}" type="sibTrans" cxnId="{1716F94B-6F54-47DC-AA41-BCAE505D402E}">
      <dgm:prSet/>
      <dgm:spPr/>
      <dgm:t>
        <a:bodyPr/>
        <a:lstStyle/>
        <a:p>
          <a:pPr algn="ctr"/>
          <a:endParaRPr lang="lv-LV"/>
        </a:p>
      </dgm:t>
    </dgm:pt>
    <dgm:pt modelId="{27822E80-A1CC-4E63-80DE-688880A9FB0C}">
      <dgm:prSet/>
      <dgm:spPr/>
      <dgm:t>
        <a:bodyPr/>
        <a:lstStyle/>
        <a:p>
          <a:pPr algn="ctr"/>
          <a:r>
            <a:rPr lang="lv-LV">
              <a:latin typeface="Times New Roman" panose="02020603050405020304" pitchFamily="18" charset="0"/>
              <a:cs typeface="Times New Roman" panose="02020603050405020304" pitchFamily="18" charset="0"/>
            </a:rPr>
            <a:t>Tūrisma informācijas centrs</a:t>
          </a:r>
        </a:p>
      </dgm:t>
    </dgm:pt>
    <dgm:pt modelId="{A257635D-69F6-4614-9186-5493F4E3E7F6}" type="parTrans" cxnId="{D2432608-FE54-4C84-8B14-98C2419D1B4B}">
      <dgm:prSet/>
      <dgm:spPr/>
      <dgm:t>
        <a:bodyPr/>
        <a:lstStyle/>
        <a:p>
          <a:pPr algn="ctr"/>
          <a:endParaRPr lang="lv-LV"/>
        </a:p>
      </dgm:t>
    </dgm:pt>
    <dgm:pt modelId="{5CDF0EC9-491F-40F0-82DE-6B92DD93708C}" type="sibTrans" cxnId="{D2432608-FE54-4C84-8B14-98C2419D1B4B}">
      <dgm:prSet/>
      <dgm:spPr/>
      <dgm:t>
        <a:bodyPr/>
        <a:lstStyle/>
        <a:p>
          <a:pPr algn="ctr"/>
          <a:endParaRPr lang="lv-LV"/>
        </a:p>
      </dgm:t>
    </dgm:pt>
    <dgm:pt modelId="{9FC327EB-1949-4AA2-9A8C-B033CA147D68}">
      <dgm:prSet/>
      <dgm:spPr/>
      <dgm:t>
        <a:bodyPr/>
        <a:lstStyle/>
        <a:p>
          <a:pPr algn="ctr"/>
          <a:r>
            <a:rPr lang="lv-LV">
              <a:latin typeface="Times New Roman" panose="02020603050405020304" pitchFamily="18" charset="0"/>
              <a:cs typeface="Times New Roman" panose="02020603050405020304" pitchFamily="18" charset="0"/>
            </a:rPr>
            <a:t>Dalība izstādēs</a:t>
          </a:r>
        </a:p>
      </dgm:t>
    </dgm:pt>
    <dgm:pt modelId="{FD0D8EA1-1F20-4155-B765-812B70B3D97A}" type="parTrans" cxnId="{F4AB3ACA-481B-4358-AB2B-A17F94811623}">
      <dgm:prSet/>
      <dgm:spPr/>
      <dgm:t>
        <a:bodyPr/>
        <a:lstStyle/>
        <a:p>
          <a:pPr algn="ctr"/>
          <a:endParaRPr lang="lv-LV"/>
        </a:p>
      </dgm:t>
    </dgm:pt>
    <dgm:pt modelId="{5473E712-A116-4713-96B7-40E695A0A598}" type="sibTrans" cxnId="{F4AB3ACA-481B-4358-AB2B-A17F94811623}">
      <dgm:prSet/>
      <dgm:spPr/>
      <dgm:t>
        <a:bodyPr/>
        <a:lstStyle/>
        <a:p>
          <a:pPr algn="ctr"/>
          <a:endParaRPr lang="lv-LV"/>
        </a:p>
      </dgm:t>
    </dgm:pt>
    <dgm:pt modelId="{20033450-1568-4E1A-9BC5-2A3A4C67CF7A}" type="pres">
      <dgm:prSet presAssocID="{E59EBC25-30A3-4CA7-9E08-6B9EBFF2CC12}" presName="diagram" presStyleCnt="0">
        <dgm:presLayoutVars>
          <dgm:chPref val="1"/>
          <dgm:dir/>
          <dgm:animOne val="branch"/>
          <dgm:animLvl val="lvl"/>
          <dgm:resizeHandles/>
        </dgm:presLayoutVars>
      </dgm:prSet>
      <dgm:spPr/>
      <dgm:t>
        <a:bodyPr/>
        <a:lstStyle/>
        <a:p>
          <a:endParaRPr lang="en-GB"/>
        </a:p>
      </dgm:t>
    </dgm:pt>
    <dgm:pt modelId="{9B2F3720-41BC-44C3-B230-F8AE68931651}" type="pres">
      <dgm:prSet presAssocID="{A453E8B4-36C1-4049-8A90-3469853C7549}" presName="root" presStyleCnt="0"/>
      <dgm:spPr/>
    </dgm:pt>
    <dgm:pt modelId="{E7B1A2EB-EFD6-489E-9237-68BDBBF3DF80}" type="pres">
      <dgm:prSet presAssocID="{A453E8B4-36C1-4049-8A90-3469853C7549}" presName="rootComposite" presStyleCnt="0"/>
      <dgm:spPr/>
    </dgm:pt>
    <dgm:pt modelId="{1D32ADD4-98C6-4A59-8DA8-C10781C9A3C0}" type="pres">
      <dgm:prSet presAssocID="{A453E8B4-36C1-4049-8A90-3469853C7549}" presName="rootText" presStyleLbl="node1" presStyleIdx="0" presStyleCnt="5"/>
      <dgm:spPr/>
      <dgm:t>
        <a:bodyPr/>
        <a:lstStyle/>
        <a:p>
          <a:endParaRPr lang="en-GB"/>
        </a:p>
      </dgm:t>
    </dgm:pt>
    <dgm:pt modelId="{EBD9A9C6-62A4-49D5-9B26-4135E57307C6}" type="pres">
      <dgm:prSet presAssocID="{A453E8B4-36C1-4049-8A90-3469853C7549}" presName="rootConnector" presStyleLbl="node1" presStyleIdx="0" presStyleCnt="5"/>
      <dgm:spPr/>
      <dgm:t>
        <a:bodyPr/>
        <a:lstStyle/>
        <a:p>
          <a:endParaRPr lang="en-GB"/>
        </a:p>
      </dgm:t>
    </dgm:pt>
    <dgm:pt modelId="{13D4E6FC-E416-4696-93C1-41AC0A94510C}" type="pres">
      <dgm:prSet presAssocID="{A453E8B4-36C1-4049-8A90-3469853C7549}" presName="childShape" presStyleCnt="0"/>
      <dgm:spPr/>
    </dgm:pt>
    <dgm:pt modelId="{6E2921AB-B757-411F-88F4-EBC1B83BA8D8}" type="pres">
      <dgm:prSet presAssocID="{D546E3E8-FFFE-4C8A-927F-7395D299B1D2}" presName="Name13" presStyleLbl="parChTrans1D2" presStyleIdx="0" presStyleCnt="21"/>
      <dgm:spPr/>
      <dgm:t>
        <a:bodyPr/>
        <a:lstStyle/>
        <a:p>
          <a:endParaRPr lang="en-GB"/>
        </a:p>
      </dgm:t>
    </dgm:pt>
    <dgm:pt modelId="{4BECC03A-0D09-4140-9437-4F566AB80D43}" type="pres">
      <dgm:prSet presAssocID="{CCDFBB8C-DA46-4BA1-B993-C66383BAA1FD}" presName="childText" presStyleLbl="bgAcc1" presStyleIdx="0" presStyleCnt="21">
        <dgm:presLayoutVars>
          <dgm:bulletEnabled val="1"/>
        </dgm:presLayoutVars>
      </dgm:prSet>
      <dgm:spPr/>
      <dgm:t>
        <a:bodyPr/>
        <a:lstStyle/>
        <a:p>
          <a:endParaRPr lang="en-GB"/>
        </a:p>
      </dgm:t>
    </dgm:pt>
    <dgm:pt modelId="{156C7470-B229-4108-B1A9-437FB68ED5A7}" type="pres">
      <dgm:prSet presAssocID="{10353D48-02F1-4F04-9447-D75DE5D55E7C}" presName="Name13" presStyleLbl="parChTrans1D2" presStyleIdx="1" presStyleCnt="21"/>
      <dgm:spPr/>
      <dgm:t>
        <a:bodyPr/>
        <a:lstStyle/>
        <a:p>
          <a:endParaRPr lang="en-GB"/>
        </a:p>
      </dgm:t>
    </dgm:pt>
    <dgm:pt modelId="{0CFDEDA5-866A-4C64-A9A7-8A38EC338B7B}" type="pres">
      <dgm:prSet presAssocID="{56CD8EE0-8F60-4639-814A-ED87FB249455}" presName="childText" presStyleLbl="bgAcc1" presStyleIdx="1" presStyleCnt="21">
        <dgm:presLayoutVars>
          <dgm:bulletEnabled val="1"/>
        </dgm:presLayoutVars>
      </dgm:prSet>
      <dgm:spPr/>
      <dgm:t>
        <a:bodyPr/>
        <a:lstStyle/>
        <a:p>
          <a:endParaRPr lang="en-GB"/>
        </a:p>
      </dgm:t>
    </dgm:pt>
    <dgm:pt modelId="{361E7785-F29E-483E-A990-2BB34E485D79}" type="pres">
      <dgm:prSet presAssocID="{6336099A-2B58-4964-BF7B-22DCE8C58F89}" presName="Name13" presStyleLbl="parChTrans1D2" presStyleIdx="2" presStyleCnt="21"/>
      <dgm:spPr/>
      <dgm:t>
        <a:bodyPr/>
        <a:lstStyle/>
        <a:p>
          <a:endParaRPr lang="en-GB"/>
        </a:p>
      </dgm:t>
    </dgm:pt>
    <dgm:pt modelId="{9A482C40-43F1-45C9-9DDF-440FA02FF0D2}" type="pres">
      <dgm:prSet presAssocID="{1CF38579-B394-4470-B786-3B15EA3C2759}" presName="childText" presStyleLbl="bgAcc1" presStyleIdx="2" presStyleCnt="21">
        <dgm:presLayoutVars>
          <dgm:bulletEnabled val="1"/>
        </dgm:presLayoutVars>
      </dgm:prSet>
      <dgm:spPr/>
      <dgm:t>
        <a:bodyPr/>
        <a:lstStyle/>
        <a:p>
          <a:endParaRPr lang="en-GB"/>
        </a:p>
      </dgm:t>
    </dgm:pt>
    <dgm:pt modelId="{77205E9D-66AB-4E2F-B11F-C0072BCC48F0}" type="pres">
      <dgm:prSet presAssocID="{9E570738-1CE9-405F-B48E-ED406EA9A7F5}" presName="Name13" presStyleLbl="parChTrans1D2" presStyleIdx="3" presStyleCnt="21"/>
      <dgm:spPr/>
      <dgm:t>
        <a:bodyPr/>
        <a:lstStyle/>
        <a:p>
          <a:endParaRPr lang="en-GB"/>
        </a:p>
      </dgm:t>
    </dgm:pt>
    <dgm:pt modelId="{A4279346-8E4D-435C-9A3D-AE2F9754C4F8}" type="pres">
      <dgm:prSet presAssocID="{B3AE9539-9B5D-4EDC-BC4F-21FE58229251}" presName="childText" presStyleLbl="bgAcc1" presStyleIdx="3" presStyleCnt="21">
        <dgm:presLayoutVars>
          <dgm:bulletEnabled val="1"/>
        </dgm:presLayoutVars>
      </dgm:prSet>
      <dgm:spPr/>
      <dgm:t>
        <a:bodyPr/>
        <a:lstStyle/>
        <a:p>
          <a:endParaRPr lang="en-GB"/>
        </a:p>
      </dgm:t>
    </dgm:pt>
    <dgm:pt modelId="{55D3F2F9-14E5-4FC9-A8B2-84197DD8CA10}" type="pres">
      <dgm:prSet presAssocID="{54BF55BA-2C2D-4468-B4B5-39EFD1C37F9E}" presName="root" presStyleCnt="0"/>
      <dgm:spPr/>
    </dgm:pt>
    <dgm:pt modelId="{D55D2946-C0A2-4A5E-9EFD-09EBD0472B93}" type="pres">
      <dgm:prSet presAssocID="{54BF55BA-2C2D-4468-B4B5-39EFD1C37F9E}" presName="rootComposite" presStyleCnt="0"/>
      <dgm:spPr/>
    </dgm:pt>
    <dgm:pt modelId="{88CC18C2-01AA-4C11-8AB5-54B7CFEB7E4E}" type="pres">
      <dgm:prSet presAssocID="{54BF55BA-2C2D-4468-B4B5-39EFD1C37F9E}" presName="rootText" presStyleLbl="node1" presStyleIdx="1" presStyleCnt="5"/>
      <dgm:spPr/>
      <dgm:t>
        <a:bodyPr/>
        <a:lstStyle/>
        <a:p>
          <a:endParaRPr lang="en-GB"/>
        </a:p>
      </dgm:t>
    </dgm:pt>
    <dgm:pt modelId="{571BADB3-FBC5-4872-BD9A-5D808AD74BA7}" type="pres">
      <dgm:prSet presAssocID="{54BF55BA-2C2D-4468-B4B5-39EFD1C37F9E}" presName="rootConnector" presStyleLbl="node1" presStyleIdx="1" presStyleCnt="5"/>
      <dgm:spPr/>
      <dgm:t>
        <a:bodyPr/>
        <a:lstStyle/>
        <a:p>
          <a:endParaRPr lang="en-GB"/>
        </a:p>
      </dgm:t>
    </dgm:pt>
    <dgm:pt modelId="{545B92FC-0687-4B99-B8B3-091A0E181D17}" type="pres">
      <dgm:prSet presAssocID="{54BF55BA-2C2D-4468-B4B5-39EFD1C37F9E}" presName="childShape" presStyleCnt="0"/>
      <dgm:spPr/>
    </dgm:pt>
    <dgm:pt modelId="{17D28105-CFDE-4CBF-A0EF-95E25E1A0803}" type="pres">
      <dgm:prSet presAssocID="{BDE2CBB1-682D-4D61-B803-6FBB6F20A8DF}" presName="Name13" presStyleLbl="parChTrans1D2" presStyleIdx="4" presStyleCnt="21"/>
      <dgm:spPr/>
      <dgm:t>
        <a:bodyPr/>
        <a:lstStyle/>
        <a:p>
          <a:endParaRPr lang="en-GB"/>
        </a:p>
      </dgm:t>
    </dgm:pt>
    <dgm:pt modelId="{1CECECDD-3333-4F60-AC12-0433D790328C}" type="pres">
      <dgm:prSet presAssocID="{D0E12E7A-541F-4E10-BDC8-FAC344FC217B}" presName="childText" presStyleLbl="bgAcc1" presStyleIdx="4" presStyleCnt="21">
        <dgm:presLayoutVars>
          <dgm:bulletEnabled val="1"/>
        </dgm:presLayoutVars>
      </dgm:prSet>
      <dgm:spPr/>
      <dgm:t>
        <a:bodyPr/>
        <a:lstStyle/>
        <a:p>
          <a:endParaRPr lang="en-GB"/>
        </a:p>
      </dgm:t>
    </dgm:pt>
    <dgm:pt modelId="{E0BD3888-CE9A-4785-8623-083650961B78}" type="pres">
      <dgm:prSet presAssocID="{A5FF5A48-D4C7-47C3-B6C3-7E9EE6FC52EF}" presName="Name13" presStyleLbl="parChTrans1D2" presStyleIdx="5" presStyleCnt="21"/>
      <dgm:spPr/>
      <dgm:t>
        <a:bodyPr/>
        <a:lstStyle/>
        <a:p>
          <a:endParaRPr lang="en-GB"/>
        </a:p>
      </dgm:t>
    </dgm:pt>
    <dgm:pt modelId="{F49B8D62-E281-402B-B5A8-D1879668A4C9}" type="pres">
      <dgm:prSet presAssocID="{E9E92417-489F-4876-A122-24723299238D}" presName="childText" presStyleLbl="bgAcc1" presStyleIdx="5" presStyleCnt="21">
        <dgm:presLayoutVars>
          <dgm:bulletEnabled val="1"/>
        </dgm:presLayoutVars>
      </dgm:prSet>
      <dgm:spPr/>
      <dgm:t>
        <a:bodyPr/>
        <a:lstStyle/>
        <a:p>
          <a:endParaRPr lang="en-GB"/>
        </a:p>
      </dgm:t>
    </dgm:pt>
    <dgm:pt modelId="{38B36475-2BCF-40FA-AAD5-44A1D2054A3A}" type="pres">
      <dgm:prSet presAssocID="{10A31B5D-4B8F-4926-92D5-A9BA43B4106F}" presName="Name13" presStyleLbl="parChTrans1D2" presStyleIdx="6" presStyleCnt="21"/>
      <dgm:spPr/>
      <dgm:t>
        <a:bodyPr/>
        <a:lstStyle/>
        <a:p>
          <a:endParaRPr lang="en-GB"/>
        </a:p>
      </dgm:t>
    </dgm:pt>
    <dgm:pt modelId="{FE0C4799-C669-4919-82D1-794526C57DF5}" type="pres">
      <dgm:prSet presAssocID="{E1E0FA0B-F490-4659-8F54-CAFB64B027CA}" presName="childText" presStyleLbl="bgAcc1" presStyleIdx="6" presStyleCnt="21">
        <dgm:presLayoutVars>
          <dgm:bulletEnabled val="1"/>
        </dgm:presLayoutVars>
      </dgm:prSet>
      <dgm:spPr/>
      <dgm:t>
        <a:bodyPr/>
        <a:lstStyle/>
        <a:p>
          <a:endParaRPr lang="en-GB"/>
        </a:p>
      </dgm:t>
    </dgm:pt>
    <dgm:pt modelId="{29597FFC-6144-4384-BFCF-8B4B32223D20}" type="pres">
      <dgm:prSet presAssocID="{4FAD8838-18C5-4D82-8B2E-1A87892CB7DA}" presName="Name13" presStyleLbl="parChTrans1D2" presStyleIdx="7" presStyleCnt="21"/>
      <dgm:spPr/>
      <dgm:t>
        <a:bodyPr/>
        <a:lstStyle/>
        <a:p>
          <a:endParaRPr lang="en-GB"/>
        </a:p>
      </dgm:t>
    </dgm:pt>
    <dgm:pt modelId="{5F77B2A5-FD88-4AEC-80CC-EA34A1B2F90D}" type="pres">
      <dgm:prSet presAssocID="{B92DBEB8-0CEB-45F9-A0DD-B164974A4098}" presName="childText" presStyleLbl="bgAcc1" presStyleIdx="7" presStyleCnt="21">
        <dgm:presLayoutVars>
          <dgm:bulletEnabled val="1"/>
        </dgm:presLayoutVars>
      </dgm:prSet>
      <dgm:spPr/>
      <dgm:t>
        <a:bodyPr/>
        <a:lstStyle/>
        <a:p>
          <a:endParaRPr lang="en-GB"/>
        </a:p>
      </dgm:t>
    </dgm:pt>
    <dgm:pt modelId="{70E72ECB-0830-4426-B741-7F20D7547C02}" type="pres">
      <dgm:prSet presAssocID="{CB3D9F66-F71C-43C2-BCFA-1633C50D6541}" presName="Name13" presStyleLbl="parChTrans1D2" presStyleIdx="8" presStyleCnt="21"/>
      <dgm:spPr/>
      <dgm:t>
        <a:bodyPr/>
        <a:lstStyle/>
        <a:p>
          <a:endParaRPr lang="en-GB"/>
        </a:p>
      </dgm:t>
    </dgm:pt>
    <dgm:pt modelId="{39522EB0-A271-4954-93DF-33B5FE1BBC28}" type="pres">
      <dgm:prSet presAssocID="{3DC667D4-7C9A-439D-835F-020C4E80D4EC}" presName="childText" presStyleLbl="bgAcc1" presStyleIdx="8" presStyleCnt="21">
        <dgm:presLayoutVars>
          <dgm:bulletEnabled val="1"/>
        </dgm:presLayoutVars>
      </dgm:prSet>
      <dgm:spPr/>
      <dgm:t>
        <a:bodyPr/>
        <a:lstStyle/>
        <a:p>
          <a:endParaRPr lang="en-GB"/>
        </a:p>
      </dgm:t>
    </dgm:pt>
    <dgm:pt modelId="{8D4C616B-EED0-4E58-AFCB-A703298D1952}" type="pres">
      <dgm:prSet presAssocID="{76D69A9E-B5C3-4840-82D1-1EAF6B16E46E}" presName="root" presStyleCnt="0"/>
      <dgm:spPr/>
    </dgm:pt>
    <dgm:pt modelId="{802CB2C2-29F7-4151-8205-27049D19BB8D}" type="pres">
      <dgm:prSet presAssocID="{76D69A9E-B5C3-4840-82D1-1EAF6B16E46E}" presName="rootComposite" presStyleCnt="0"/>
      <dgm:spPr/>
    </dgm:pt>
    <dgm:pt modelId="{88B796DE-51E2-467F-8557-3A41BAFCE2BB}" type="pres">
      <dgm:prSet presAssocID="{76D69A9E-B5C3-4840-82D1-1EAF6B16E46E}" presName="rootText" presStyleLbl="node1" presStyleIdx="2" presStyleCnt="5"/>
      <dgm:spPr/>
      <dgm:t>
        <a:bodyPr/>
        <a:lstStyle/>
        <a:p>
          <a:endParaRPr lang="en-GB"/>
        </a:p>
      </dgm:t>
    </dgm:pt>
    <dgm:pt modelId="{4DC1CC11-BE9F-4DBD-ADDB-44B8F3C911CF}" type="pres">
      <dgm:prSet presAssocID="{76D69A9E-B5C3-4840-82D1-1EAF6B16E46E}" presName="rootConnector" presStyleLbl="node1" presStyleIdx="2" presStyleCnt="5"/>
      <dgm:spPr/>
      <dgm:t>
        <a:bodyPr/>
        <a:lstStyle/>
        <a:p>
          <a:endParaRPr lang="en-GB"/>
        </a:p>
      </dgm:t>
    </dgm:pt>
    <dgm:pt modelId="{3CA44413-CD3C-411A-A5A6-27C4807272B6}" type="pres">
      <dgm:prSet presAssocID="{76D69A9E-B5C3-4840-82D1-1EAF6B16E46E}" presName="childShape" presStyleCnt="0"/>
      <dgm:spPr/>
    </dgm:pt>
    <dgm:pt modelId="{4A6127C2-9197-4BC9-A3FA-171ACB575D85}" type="pres">
      <dgm:prSet presAssocID="{44072010-D1C7-4203-B502-CFE9BE561178}" presName="Name13" presStyleLbl="parChTrans1D2" presStyleIdx="9" presStyleCnt="21"/>
      <dgm:spPr/>
      <dgm:t>
        <a:bodyPr/>
        <a:lstStyle/>
        <a:p>
          <a:endParaRPr lang="en-GB"/>
        </a:p>
      </dgm:t>
    </dgm:pt>
    <dgm:pt modelId="{9EB905E0-6743-4499-A66E-B50088A60747}" type="pres">
      <dgm:prSet presAssocID="{676BC628-9944-46E7-8CE8-18411E46B46C}" presName="childText" presStyleLbl="bgAcc1" presStyleIdx="9" presStyleCnt="21">
        <dgm:presLayoutVars>
          <dgm:bulletEnabled val="1"/>
        </dgm:presLayoutVars>
      </dgm:prSet>
      <dgm:spPr/>
      <dgm:t>
        <a:bodyPr/>
        <a:lstStyle/>
        <a:p>
          <a:endParaRPr lang="en-GB"/>
        </a:p>
      </dgm:t>
    </dgm:pt>
    <dgm:pt modelId="{AF1CE0BE-4F05-42A8-B536-12C92B3674ED}" type="pres">
      <dgm:prSet presAssocID="{BF7D5B23-089E-4577-AF9D-207D3F7BDEB6}" presName="Name13" presStyleLbl="parChTrans1D2" presStyleIdx="10" presStyleCnt="21"/>
      <dgm:spPr/>
      <dgm:t>
        <a:bodyPr/>
        <a:lstStyle/>
        <a:p>
          <a:endParaRPr lang="en-GB"/>
        </a:p>
      </dgm:t>
    </dgm:pt>
    <dgm:pt modelId="{DFD8A452-EAF3-4228-A684-AE4564DF4474}" type="pres">
      <dgm:prSet presAssocID="{E3694A97-84C1-4366-BA65-CC15341EE267}" presName="childText" presStyleLbl="bgAcc1" presStyleIdx="10" presStyleCnt="21">
        <dgm:presLayoutVars>
          <dgm:bulletEnabled val="1"/>
        </dgm:presLayoutVars>
      </dgm:prSet>
      <dgm:spPr/>
      <dgm:t>
        <a:bodyPr/>
        <a:lstStyle/>
        <a:p>
          <a:endParaRPr lang="en-GB"/>
        </a:p>
      </dgm:t>
    </dgm:pt>
    <dgm:pt modelId="{F7FF88C8-9A97-4582-B03E-260B7D2ABE25}" type="pres">
      <dgm:prSet presAssocID="{8A83DEDE-B15F-4A0E-AD45-7F66B370A2FC}" presName="Name13" presStyleLbl="parChTrans1D2" presStyleIdx="11" presStyleCnt="21"/>
      <dgm:spPr/>
      <dgm:t>
        <a:bodyPr/>
        <a:lstStyle/>
        <a:p>
          <a:endParaRPr lang="en-GB"/>
        </a:p>
      </dgm:t>
    </dgm:pt>
    <dgm:pt modelId="{D90A7C07-E6D6-4339-864D-7C6319F5F79F}" type="pres">
      <dgm:prSet presAssocID="{BEAED63D-11C4-4E2B-BCF2-FDF94B7E7C3A}" presName="childText" presStyleLbl="bgAcc1" presStyleIdx="11" presStyleCnt="21">
        <dgm:presLayoutVars>
          <dgm:bulletEnabled val="1"/>
        </dgm:presLayoutVars>
      </dgm:prSet>
      <dgm:spPr/>
      <dgm:t>
        <a:bodyPr/>
        <a:lstStyle/>
        <a:p>
          <a:endParaRPr lang="en-GB"/>
        </a:p>
      </dgm:t>
    </dgm:pt>
    <dgm:pt modelId="{6356A00D-ED8E-41F6-A4CC-895F7A03E13A}" type="pres">
      <dgm:prSet presAssocID="{57ABEFC0-46A8-46BA-AF03-FD5B890149B6}" presName="Name13" presStyleLbl="parChTrans1D2" presStyleIdx="12" presStyleCnt="21"/>
      <dgm:spPr/>
      <dgm:t>
        <a:bodyPr/>
        <a:lstStyle/>
        <a:p>
          <a:endParaRPr lang="en-GB"/>
        </a:p>
      </dgm:t>
    </dgm:pt>
    <dgm:pt modelId="{5484D398-62C6-4AAA-86CE-D577331E18CE}" type="pres">
      <dgm:prSet presAssocID="{DB569D23-60F9-4144-B3EA-84BC2BE833D0}" presName="childText" presStyleLbl="bgAcc1" presStyleIdx="12" presStyleCnt="21">
        <dgm:presLayoutVars>
          <dgm:bulletEnabled val="1"/>
        </dgm:presLayoutVars>
      </dgm:prSet>
      <dgm:spPr/>
      <dgm:t>
        <a:bodyPr/>
        <a:lstStyle/>
        <a:p>
          <a:endParaRPr lang="en-GB"/>
        </a:p>
      </dgm:t>
    </dgm:pt>
    <dgm:pt modelId="{372D6805-A000-4601-B42B-E24D21379E98}" type="pres">
      <dgm:prSet presAssocID="{C491BAF4-F0D8-428F-81A3-56849196B8F5}" presName="root" presStyleCnt="0"/>
      <dgm:spPr/>
    </dgm:pt>
    <dgm:pt modelId="{6159B146-F9D6-496B-AE39-D9209E22C923}" type="pres">
      <dgm:prSet presAssocID="{C491BAF4-F0D8-428F-81A3-56849196B8F5}" presName="rootComposite" presStyleCnt="0"/>
      <dgm:spPr/>
    </dgm:pt>
    <dgm:pt modelId="{0EAB19FA-2603-472E-AF37-9E1883703087}" type="pres">
      <dgm:prSet presAssocID="{C491BAF4-F0D8-428F-81A3-56849196B8F5}" presName="rootText" presStyleLbl="node1" presStyleIdx="3" presStyleCnt="5"/>
      <dgm:spPr/>
      <dgm:t>
        <a:bodyPr/>
        <a:lstStyle/>
        <a:p>
          <a:endParaRPr lang="en-GB"/>
        </a:p>
      </dgm:t>
    </dgm:pt>
    <dgm:pt modelId="{7C2192F8-2ED5-431D-8B88-43B661C04817}" type="pres">
      <dgm:prSet presAssocID="{C491BAF4-F0D8-428F-81A3-56849196B8F5}" presName="rootConnector" presStyleLbl="node1" presStyleIdx="3" presStyleCnt="5"/>
      <dgm:spPr/>
      <dgm:t>
        <a:bodyPr/>
        <a:lstStyle/>
        <a:p>
          <a:endParaRPr lang="en-GB"/>
        </a:p>
      </dgm:t>
    </dgm:pt>
    <dgm:pt modelId="{2CBCFF2D-FC17-49FB-A6D9-C4C9210304FA}" type="pres">
      <dgm:prSet presAssocID="{C491BAF4-F0D8-428F-81A3-56849196B8F5}" presName="childShape" presStyleCnt="0"/>
      <dgm:spPr/>
    </dgm:pt>
    <dgm:pt modelId="{803CC993-07EB-428D-9D40-CCB9CA5B9B4E}" type="pres">
      <dgm:prSet presAssocID="{851B58C2-0DAD-4662-9AEC-2A2454D4DEC5}" presName="Name13" presStyleLbl="parChTrans1D2" presStyleIdx="13" presStyleCnt="21"/>
      <dgm:spPr/>
      <dgm:t>
        <a:bodyPr/>
        <a:lstStyle/>
        <a:p>
          <a:endParaRPr lang="en-GB"/>
        </a:p>
      </dgm:t>
    </dgm:pt>
    <dgm:pt modelId="{09F9AD8B-F590-453C-8312-D4341B67AD11}" type="pres">
      <dgm:prSet presAssocID="{318D51EF-152B-4C6C-9732-92B42F908450}" presName="childText" presStyleLbl="bgAcc1" presStyleIdx="13" presStyleCnt="21">
        <dgm:presLayoutVars>
          <dgm:bulletEnabled val="1"/>
        </dgm:presLayoutVars>
      </dgm:prSet>
      <dgm:spPr/>
      <dgm:t>
        <a:bodyPr/>
        <a:lstStyle/>
        <a:p>
          <a:endParaRPr lang="en-GB"/>
        </a:p>
      </dgm:t>
    </dgm:pt>
    <dgm:pt modelId="{6A3EFB6F-922A-4888-8B49-A07C0FE71A97}" type="pres">
      <dgm:prSet presAssocID="{AC657282-9FF1-4D98-83E3-EC84FEE5AECE}" presName="Name13" presStyleLbl="parChTrans1D2" presStyleIdx="14" presStyleCnt="21"/>
      <dgm:spPr/>
      <dgm:t>
        <a:bodyPr/>
        <a:lstStyle/>
        <a:p>
          <a:endParaRPr lang="en-GB"/>
        </a:p>
      </dgm:t>
    </dgm:pt>
    <dgm:pt modelId="{D366B7C6-9B61-405D-BACB-AA8E4F65A089}" type="pres">
      <dgm:prSet presAssocID="{A271ED55-F4EF-40E4-81DC-5B509EC01A86}" presName="childText" presStyleLbl="bgAcc1" presStyleIdx="14" presStyleCnt="21">
        <dgm:presLayoutVars>
          <dgm:bulletEnabled val="1"/>
        </dgm:presLayoutVars>
      </dgm:prSet>
      <dgm:spPr/>
      <dgm:t>
        <a:bodyPr/>
        <a:lstStyle/>
        <a:p>
          <a:endParaRPr lang="en-GB"/>
        </a:p>
      </dgm:t>
    </dgm:pt>
    <dgm:pt modelId="{04AFD76F-36A6-437A-819D-A16013624552}" type="pres">
      <dgm:prSet presAssocID="{012E6BB7-F293-40D4-838B-6649D9D8E1AB}" presName="Name13" presStyleLbl="parChTrans1D2" presStyleIdx="15" presStyleCnt="21"/>
      <dgm:spPr/>
      <dgm:t>
        <a:bodyPr/>
        <a:lstStyle/>
        <a:p>
          <a:endParaRPr lang="en-GB"/>
        </a:p>
      </dgm:t>
    </dgm:pt>
    <dgm:pt modelId="{2F236991-063F-43BA-BFC9-3402D2F1CD64}" type="pres">
      <dgm:prSet presAssocID="{039E911E-A5DB-4F35-A90D-037289FC3C58}" presName="childText" presStyleLbl="bgAcc1" presStyleIdx="15" presStyleCnt="21">
        <dgm:presLayoutVars>
          <dgm:bulletEnabled val="1"/>
        </dgm:presLayoutVars>
      </dgm:prSet>
      <dgm:spPr/>
      <dgm:t>
        <a:bodyPr/>
        <a:lstStyle/>
        <a:p>
          <a:endParaRPr lang="en-GB"/>
        </a:p>
      </dgm:t>
    </dgm:pt>
    <dgm:pt modelId="{B4C27355-0046-439E-92DB-46BABF2D0F79}" type="pres">
      <dgm:prSet presAssocID="{83288CC9-CC37-4AA2-A6E7-02026B35B722}" presName="root" presStyleCnt="0"/>
      <dgm:spPr/>
    </dgm:pt>
    <dgm:pt modelId="{FC993D26-814C-4F84-92EF-11ABF272D1BF}" type="pres">
      <dgm:prSet presAssocID="{83288CC9-CC37-4AA2-A6E7-02026B35B722}" presName="rootComposite" presStyleCnt="0"/>
      <dgm:spPr/>
    </dgm:pt>
    <dgm:pt modelId="{7DDF7C8C-7B06-4F64-85BD-EE8A185A76FB}" type="pres">
      <dgm:prSet presAssocID="{83288CC9-CC37-4AA2-A6E7-02026B35B722}" presName="rootText" presStyleLbl="node1" presStyleIdx="4" presStyleCnt="5"/>
      <dgm:spPr/>
      <dgm:t>
        <a:bodyPr/>
        <a:lstStyle/>
        <a:p>
          <a:endParaRPr lang="en-GB"/>
        </a:p>
      </dgm:t>
    </dgm:pt>
    <dgm:pt modelId="{8F75EDAB-154A-46D1-A08C-CF4BDB11B228}" type="pres">
      <dgm:prSet presAssocID="{83288CC9-CC37-4AA2-A6E7-02026B35B722}" presName="rootConnector" presStyleLbl="node1" presStyleIdx="4" presStyleCnt="5"/>
      <dgm:spPr/>
      <dgm:t>
        <a:bodyPr/>
        <a:lstStyle/>
        <a:p>
          <a:endParaRPr lang="en-GB"/>
        </a:p>
      </dgm:t>
    </dgm:pt>
    <dgm:pt modelId="{E2DD80A7-A0BB-4280-B765-FB3B92355290}" type="pres">
      <dgm:prSet presAssocID="{83288CC9-CC37-4AA2-A6E7-02026B35B722}" presName="childShape" presStyleCnt="0"/>
      <dgm:spPr/>
    </dgm:pt>
    <dgm:pt modelId="{7544617D-0D55-4DB6-92F7-7BB57CBFC8E4}" type="pres">
      <dgm:prSet presAssocID="{04509E41-3A11-4B6E-B5D8-284F3D8EAE3E}" presName="Name13" presStyleLbl="parChTrans1D2" presStyleIdx="16" presStyleCnt="21"/>
      <dgm:spPr/>
      <dgm:t>
        <a:bodyPr/>
        <a:lstStyle/>
        <a:p>
          <a:endParaRPr lang="en-GB"/>
        </a:p>
      </dgm:t>
    </dgm:pt>
    <dgm:pt modelId="{AD1BBC91-9D75-41E1-B518-C9F2B5120B1C}" type="pres">
      <dgm:prSet presAssocID="{58F6569A-5DF9-4320-ABAC-C5DC557BAAAD}" presName="childText" presStyleLbl="bgAcc1" presStyleIdx="16" presStyleCnt="21">
        <dgm:presLayoutVars>
          <dgm:bulletEnabled val="1"/>
        </dgm:presLayoutVars>
      </dgm:prSet>
      <dgm:spPr/>
      <dgm:t>
        <a:bodyPr/>
        <a:lstStyle/>
        <a:p>
          <a:endParaRPr lang="en-GB"/>
        </a:p>
      </dgm:t>
    </dgm:pt>
    <dgm:pt modelId="{D07089D7-B26C-4D41-AC0F-15FC5C4BAA2E}" type="pres">
      <dgm:prSet presAssocID="{E12DF860-39A5-4FC0-8DF3-01F65C3A840B}" presName="Name13" presStyleLbl="parChTrans1D2" presStyleIdx="17" presStyleCnt="21"/>
      <dgm:spPr/>
      <dgm:t>
        <a:bodyPr/>
        <a:lstStyle/>
        <a:p>
          <a:endParaRPr lang="en-GB"/>
        </a:p>
      </dgm:t>
    </dgm:pt>
    <dgm:pt modelId="{CC99F048-6709-4005-8D2D-5BF5F34A96FF}" type="pres">
      <dgm:prSet presAssocID="{D198CDA9-8421-48AC-BAD2-2CDD951F7BDC}" presName="childText" presStyleLbl="bgAcc1" presStyleIdx="17" presStyleCnt="21">
        <dgm:presLayoutVars>
          <dgm:bulletEnabled val="1"/>
        </dgm:presLayoutVars>
      </dgm:prSet>
      <dgm:spPr/>
      <dgm:t>
        <a:bodyPr/>
        <a:lstStyle/>
        <a:p>
          <a:endParaRPr lang="en-GB"/>
        </a:p>
      </dgm:t>
    </dgm:pt>
    <dgm:pt modelId="{7E843181-68FB-4137-A9F0-7373538BA98A}" type="pres">
      <dgm:prSet presAssocID="{9C6CBC6D-82A7-4E8F-8BBA-A0BE2571700D}" presName="Name13" presStyleLbl="parChTrans1D2" presStyleIdx="18" presStyleCnt="21"/>
      <dgm:spPr/>
      <dgm:t>
        <a:bodyPr/>
        <a:lstStyle/>
        <a:p>
          <a:endParaRPr lang="en-GB"/>
        </a:p>
      </dgm:t>
    </dgm:pt>
    <dgm:pt modelId="{A5D17D31-273D-4F9D-9C54-730CF5C6EF88}" type="pres">
      <dgm:prSet presAssocID="{E05CC98C-3231-48F4-A415-3FB2A872184F}" presName="childText" presStyleLbl="bgAcc1" presStyleIdx="18" presStyleCnt="21">
        <dgm:presLayoutVars>
          <dgm:bulletEnabled val="1"/>
        </dgm:presLayoutVars>
      </dgm:prSet>
      <dgm:spPr/>
      <dgm:t>
        <a:bodyPr/>
        <a:lstStyle/>
        <a:p>
          <a:endParaRPr lang="en-GB"/>
        </a:p>
      </dgm:t>
    </dgm:pt>
    <dgm:pt modelId="{D6634E95-2629-44A7-AA5E-7B98F89240E6}" type="pres">
      <dgm:prSet presAssocID="{A257635D-69F6-4614-9186-5493F4E3E7F6}" presName="Name13" presStyleLbl="parChTrans1D2" presStyleIdx="19" presStyleCnt="21"/>
      <dgm:spPr/>
      <dgm:t>
        <a:bodyPr/>
        <a:lstStyle/>
        <a:p>
          <a:endParaRPr lang="en-GB"/>
        </a:p>
      </dgm:t>
    </dgm:pt>
    <dgm:pt modelId="{8DB24FA8-FADC-436C-BF9F-E8B69290D446}" type="pres">
      <dgm:prSet presAssocID="{27822E80-A1CC-4E63-80DE-688880A9FB0C}" presName="childText" presStyleLbl="bgAcc1" presStyleIdx="19" presStyleCnt="21">
        <dgm:presLayoutVars>
          <dgm:bulletEnabled val="1"/>
        </dgm:presLayoutVars>
      </dgm:prSet>
      <dgm:spPr/>
      <dgm:t>
        <a:bodyPr/>
        <a:lstStyle/>
        <a:p>
          <a:endParaRPr lang="en-GB"/>
        </a:p>
      </dgm:t>
    </dgm:pt>
    <dgm:pt modelId="{45A57F73-1857-41A0-B722-4881E45F3024}" type="pres">
      <dgm:prSet presAssocID="{FD0D8EA1-1F20-4155-B765-812B70B3D97A}" presName="Name13" presStyleLbl="parChTrans1D2" presStyleIdx="20" presStyleCnt="21"/>
      <dgm:spPr/>
      <dgm:t>
        <a:bodyPr/>
        <a:lstStyle/>
        <a:p>
          <a:endParaRPr lang="en-GB"/>
        </a:p>
      </dgm:t>
    </dgm:pt>
    <dgm:pt modelId="{2DAB1611-003D-44D1-BE79-92F8762DB156}" type="pres">
      <dgm:prSet presAssocID="{9FC327EB-1949-4AA2-9A8C-B033CA147D68}" presName="childText" presStyleLbl="bgAcc1" presStyleIdx="20" presStyleCnt="21">
        <dgm:presLayoutVars>
          <dgm:bulletEnabled val="1"/>
        </dgm:presLayoutVars>
      </dgm:prSet>
      <dgm:spPr/>
      <dgm:t>
        <a:bodyPr/>
        <a:lstStyle/>
        <a:p>
          <a:endParaRPr lang="en-GB"/>
        </a:p>
      </dgm:t>
    </dgm:pt>
  </dgm:ptLst>
  <dgm:cxnLst>
    <dgm:cxn modelId="{8FF9214D-A414-4D01-A26A-15CD9DEDC320}" type="presOf" srcId="{CCDFBB8C-DA46-4BA1-B993-C66383BAA1FD}" destId="{4BECC03A-0D09-4140-9437-4F566AB80D43}" srcOrd="0" destOrd="0" presId="urn:microsoft.com/office/officeart/2005/8/layout/hierarchy3"/>
    <dgm:cxn modelId="{653C72A7-3A9C-4A75-80E5-084403E11D20}" type="presOf" srcId="{039E911E-A5DB-4F35-A90D-037289FC3C58}" destId="{2F236991-063F-43BA-BFC9-3402D2F1CD64}" srcOrd="0" destOrd="0" presId="urn:microsoft.com/office/officeart/2005/8/layout/hierarchy3"/>
    <dgm:cxn modelId="{30A05F43-F446-475E-B828-824DB0AEF886}" type="presOf" srcId="{4FAD8838-18C5-4D82-8B2E-1A87892CB7DA}" destId="{29597FFC-6144-4384-BFCF-8B4B32223D20}" srcOrd="0" destOrd="0" presId="urn:microsoft.com/office/officeart/2005/8/layout/hierarchy3"/>
    <dgm:cxn modelId="{2BDAC14D-4BD9-4ABA-B843-DC34D12DA1F1}" type="presOf" srcId="{E12DF860-39A5-4FC0-8DF3-01F65C3A840B}" destId="{D07089D7-B26C-4D41-AC0F-15FC5C4BAA2E}" srcOrd="0" destOrd="0" presId="urn:microsoft.com/office/officeart/2005/8/layout/hierarchy3"/>
    <dgm:cxn modelId="{FF23C5F4-7A18-4261-8227-B9E558F11C42}" type="presOf" srcId="{8A83DEDE-B15F-4A0E-AD45-7F66B370A2FC}" destId="{F7FF88C8-9A97-4582-B03E-260B7D2ABE25}" srcOrd="0" destOrd="0" presId="urn:microsoft.com/office/officeart/2005/8/layout/hierarchy3"/>
    <dgm:cxn modelId="{256E8042-C1AB-4E8B-9988-E470F22A7424}" srcId="{54BF55BA-2C2D-4468-B4B5-39EFD1C37F9E}" destId="{E1E0FA0B-F490-4659-8F54-CAFB64B027CA}" srcOrd="2" destOrd="0" parTransId="{10A31B5D-4B8F-4926-92D5-A9BA43B4106F}" sibTransId="{46DD0BBF-2036-41ED-A7C6-C8298522FE63}"/>
    <dgm:cxn modelId="{FF24B12D-9C14-4B71-A696-E9A6F963C6DA}" type="presOf" srcId="{DB569D23-60F9-4144-B3EA-84BC2BE833D0}" destId="{5484D398-62C6-4AAA-86CE-D577331E18CE}" srcOrd="0" destOrd="0" presId="urn:microsoft.com/office/officeart/2005/8/layout/hierarchy3"/>
    <dgm:cxn modelId="{3AD19121-90E7-4E6D-96CA-8940EED02A4A}" type="presOf" srcId="{10A31B5D-4B8F-4926-92D5-A9BA43B4106F}" destId="{38B36475-2BCF-40FA-AAD5-44A1D2054A3A}" srcOrd="0" destOrd="0" presId="urn:microsoft.com/office/officeart/2005/8/layout/hierarchy3"/>
    <dgm:cxn modelId="{1716F94B-6F54-47DC-AA41-BCAE505D402E}" srcId="{C491BAF4-F0D8-428F-81A3-56849196B8F5}" destId="{039E911E-A5DB-4F35-A90D-037289FC3C58}" srcOrd="2" destOrd="0" parTransId="{012E6BB7-F293-40D4-838B-6649D9D8E1AB}" sibTransId="{F987A955-9C88-4F61-836D-02A7EEDEFAAD}"/>
    <dgm:cxn modelId="{566F9A26-F2E8-4710-820B-ADD5D45B412E}" type="presOf" srcId="{BEAED63D-11C4-4E2B-BCF2-FDF94B7E7C3A}" destId="{D90A7C07-E6D6-4339-864D-7C6319F5F79F}" srcOrd="0" destOrd="0" presId="urn:microsoft.com/office/officeart/2005/8/layout/hierarchy3"/>
    <dgm:cxn modelId="{669B8954-D688-480B-825A-9E8EF4DE433E}" type="presOf" srcId="{AC657282-9FF1-4D98-83E3-EC84FEE5AECE}" destId="{6A3EFB6F-922A-4888-8B49-A07C0FE71A97}" srcOrd="0" destOrd="0" presId="urn:microsoft.com/office/officeart/2005/8/layout/hierarchy3"/>
    <dgm:cxn modelId="{1DEAAF17-EF82-46CA-9893-D31624AFEF30}" type="presOf" srcId="{57ABEFC0-46A8-46BA-AF03-FD5B890149B6}" destId="{6356A00D-ED8E-41F6-A4CC-895F7A03E13A}" srcOrd="0" destOrd="0" presId="urn:microsoft.com/office/officeart/2005/8/layout/hierarchy3"/>
    <dgm:cxn modelId="{8F670589-8BE8-49AD-864E-8168330555AA}" type="presOf" srcId="{A453E8B4-36C1-4049-8A90-3469853C7549}" destId="{EBD9A9C6-62A4-49D5-9B26-4135E57307C6}" srcOrd="1" destOrd="0" presId="urn:microsoft.com/office/officeart/2005/8/layout/hierarchy3"/>
    <dgm:cxn modelId="{B983048C-5A4B-46FA-9790-584E8D5B3BA2}" srcId="{E59EBC25-30A3-4CA7-9E08-6B9EBFF2CC12}" destId="{54BF55BA-2C2D-4468-B4B5-39EFD1C37F9E}" srcOrd="1" destOrd="0" parTransId="{7B20D42E-DC55-4026-8692-12FA2F29808F}" sibTransId="{5AF663CC-D6A6-4932-9F51-691A143FEE8A}"/>
    <dgm:cxn modelId="{47A721CE-203F-43B5-AEA0-1CF75263ECAF}" type="presOf" srcId="{318D51EF-152B-4C6C-9732-92B42F908450}" destId="{09F9AD8B-F590-453C-8312-D4341B67AD11}" srcOrd="0" destOrd="0" presId="urn:microsoft.com/office/officeart/2005/8/layout/hierarchy3"/>
    <dgm:cxn modelId="{EDC528F0-379C-4CCD-A3C3-FD0907AF404C}" type="presOf" srcId="{58F6569A-5DF9-4320-ABAC-C5DC557BAAAD}" destId="{AD1BBC91-9D75-41E1-B518-C9F2B5120B1C}" srcOrd="0" destOrd="0" presId="urn:microsoft.com/office/officeart/2005/8/layout/hierarchy3"/>
    <dgm:cxn modelId="{88ABF5F9-C274-4632-9ECA-F53C8371ABDD}" type="presOf" srcId="{E05CC98C-3231-48F4-A415-3FB2A872184F}" destId="{A5D17D31-273D-4F9D-9C54-730CF5C6EF88}" srcOrd="0" destOrd="0" presId="urn:microsoft.com/office/officeart/2005/8/layout/hierarchy3"/>
    <dgm:cxn modelId="{CD52E128-90D2-4C52-A2B6-8EDF915C26B6}" srcId="{A453E8B4-36C1-4049-8A90-3469853C7549}" destId="{56CD8EE0-8F60-4639-814A-ED87FB249455}" srcOrd="1" destOrd="0" parTransId="{10353D48-02F1-4F04-9447-D75DE5D55E7C}" sibTransId="{06F2C664-C45F-4672-9064-7DDE39AF4C4E}"/>
    <dgm:cxn modelId="{BDEE97AD-F768-4480-8929-27224FC203E4}" srcId="{54BF55BA-2C2D-4468-B4B5-39EFD1C37F9E}" destId="{E9E92417-489F-4876-A122-24723299238D}" srcOrd="1" destOrd="0" parTransId="{A5FF5A48-D4C7-47C3-B6C3-7E9EE6FC52EF}" sibTransId="{AB15740C-A1AE-4D35-8BB5-B4E197781A50}"/>
    <dgm:cxn modelId="{FE967F28-0020-468B-8667-0D0B2FFDA0A1}" type="presOf" srcId="{83288CC9-CC37-4AA2-A6E7-02026B35B722}" destId="{8F75EDAB-154A-46D1-A08C-CF4BDB11B228}" srcOrd="1" destOrd="0" presId="urn:microsoft.com/office/officeart/2005/8/layout/hierarchy3"/>
    <dgm:cxn modelId="{D097950D-7EA7-481C-9B07-178412199DB4}" type="presOf" srcId="{04509E41-3A11-4B6E-B5D8-284F3D8EAE3E}" destId="{7544617D-0D55-4DB6-92F7-7BB57CBFC8E4}" srcOrd="0" destOrd="0" presId="urn:microsoft.com/office/officeart/2005/8/layout/hierarchy3"/>
    <dgm:cxn modelId="{6C4DED97-BF1F-4F53-8B3E-81A168FF40AD}" srcId="{76D69A9E-B5C3-4840-82D1-1EAF6B16E46E}" destId="{DB569D23-60F9-4144-B3EA-84BC2BE833D0}" srcOrd="3" destOrd="0" parTransId="{57ABEFC0-46A8-46BA-AF03-FD5B890149B6}" sibTransId="{4C696AC5-C74A-4106-AE45-78F73E9F3562}"/>
    <dgm:cxn modelId="{5614B754-22E9-4D27-91B5-DB1229A2AA9B}" type="presOf" srcId="{54BF55BA-2C2D-4468-B4B5-39EFD1C37F9E}" destId="{88CC18C2-01AA-4C11-8AB5-54B7CFEB7E4E}" srcOrd="0" destOrd="0" presId="urn:microsoft.com/office/officeart/2005/8/layout/hierarchy3"/>
    <dgm:cxn modelId="{ED189E74-3F6D-4773-973F-0F126AF63E49}" type="presOf" srcId="{83288CC9-CC37-4AA2-A6E7-02026B35B722}" destId="{7DDF7C8C-7B06-4F64-85BD-EE8A185A76FB}" srcOrd="0" destOrd="0" presId="urn:microsoft.com/office/officeart/2005/8/layout/hierarchy3"/>
    <dgm:cxn modelId="{0639DF00-0BD4-4AAB-BD12-30118248C57A}" type="presOf" srcId="{D546E3E8-FFFE-4C8A-927F-7395D299B1D2}" destId="{6E2921AB-B757-411F-88F4-EBC1B83BA8D8}" srcOrd="0" destOrd="0" presId="urn:microsoft.com/office/officeart/2005/8/layout/hierarchy3"/>
    <dgm:cxn modelId="{29ABAB99-B82C-4272-A326-A0DC24C2C4A5}" srcId="{83288CC9-CC37-4AA2-A6E7-02026B35B722}" destId="{D198CDA9-8421-48AC-BAD2-2CDD951F7BDC}" srcOrd="1" destOrd="0" parTransId="{E12DF860-39A5-4FC0-8DF3-01F65C3A840B}" sibTransId="{EC1D552B-D92C-410C-A67E-E1DE31FCB2E4}"/>
    <dgm:cxn modelId="{23FFFEFA-5E1D-4C47-9D4C-61F2547FAF87}" type="presOf" srcId="{BDE2CBB1-682D-4D61-B803-6FBB6F20A8DF}" destId="{17D28105-CFDE-4CBF-A0EF-95E25E1A0803}" srcOrd="0" destOrd="0" presId="urn:microsoft.com/office/officeart/2005/8/layout/hierarchy3"/>
    <dgm:cxn modelId="{870F437F-35F3-4E1A-9CC9-1BE4DE3D563C}" type="presOf" srcId="{3DC667D4-7C9A-439D-835F-020C4E80D4EC}" destId="{39522EB0-A271-4954-93DF-33B5FE1BBC28}" srcOrd="0" destOrd="0" presId="urn:microsoft.com/office/officeart/2005/8/layout/hierarchy3"/>
    <dgm:cxn modelId="{8590C756-D3CB-4D14-B193-3EDE2C96A675}" type="presOf" srcId="{A453E8B4-36C1-4049-8A90-3469853C7549}" destId="{1D32ADD4-98C6-4A59-8DA8-C10781C9A3C0}" srcOrd="0" destOrd="0" presId="urn:microsoft.com/office/officeart/2005/8/layout/hierarchy3"/>
    <dgm:cxn modelId="{3C27A468-29E7-416E-85CE-ED6DB76CBEED}" srcId="{C491BAF4-F0D8-428F-81A3-56849196B8F5}" destId="{318D51EF-152B-4C6C-9732-92B42F908450}" srcOrd="0" destOrd="0" parTransId="{851B58C2-0DAD-4662-9AEC-2A2454D4DEC5}" sibTransId="{960BB511-7775-407B-8037-250E3A012A52}"/>
    <dgm:cxn modelId="{972A072D-7925-498C-9068-12BE7DD1E7A3}" type="presOf" srcId="{E1E0FA0B-F490-4659-8F54-CAFB64B027CA}" destId="{FE0C4799-C669-4919-82D1-794526C57DF5}" srcOrd="0" destOrd="0" presId="urn:microsoft.com/office/officeart/2005/8/layout/hierarchy3"/>
    <dgm:cxn modelId="{523A8A33-C412-46B1-9E30-C08C43893F29}" srcId="{C491BAF4-F0D8-428F-81A3-56849196B8F5}" destId="{A271ED55-F4EF-40E4-81DC-5B509EC01A86}" srcOrd="1" destOrd="0" parTransId="{AC657282-9FF1-4D98-83E3-EC84FEE5AECE}" sibTransId="{AC0D1576-1329-430C-87C5-E2901D3F7E55}"/>
    <dgm:cxn modelId="{049A316D-DE13-4752-81C0-97DB69755074}" type="presOf" srcId="{851B58C2-0DAD-4662-9AEC-2A2454D4DEC5}" destId="{803CC993-07EB-428D-9D40-CCB9CA5B9B4E}" srcOrd="0" destOrd="0" presId="urn:microsoft.com/office/officeart/2005/8/layout/hierarchy3"/>
    <dgm:cxn modelId="{4634E24C-D452-401E-9209-8E1F139CFADE}" type="presOf" srcId="{27822E80-A1CC-4E63-80DE-688880A9FB0C}" destId="{8DB24FA8-FADC-436C-BF9F-E8B69290D446}" srcOrd="0" destOrd="0" presId="urn:microsoft.com/office/officeart/2005/8/layout/hierarchy3"/>
    <dgm:cxn modelId="{96200119-40FD-4CCD-88E5-50C354609676}" type="presOf" srcId="{676BC628-9944-46E7-8CE8-18411E46B46C}" destId="{9EB905E0-6743-4499-A66E-B50088A60747}" srcOrd="0" destOrd="0" presId="urn:microsoft.com/office/officeart/2005/8/layout/hierarchy3"/>
    <dgm:cxn modelId="{BB42A6E5-637E-451D-958D-2B41D0ED0EF0}" type="presOf" srcId="{FD0D8EA1-1F20-4155-B765-812B70B3D97A}" destId="{45A57F73-1857-41A0-B722-4881E45F3024}" srcOrd="0" destOrd="0" presId="urn:microsoft.com/office/officeart/2005/8/layout/hierarchy3"/>
    <dgm:cxn modelId="{F2DCE0E6-9E82-47FE-B553-1F823BAE3DAA}" srcId="{A453E8B4-36C1-4049-8A90-3469853C7549}" destId="{1CF38579-B394-4470-B786-3B15EA3C2759}" srcOrd="2" destOrd="0" parTransId="{6336099A-2B58-4964-BF7B-22DCE8C58F89}" sibTransId="{AB62A20A-3397-4184-A440-98A98AC672C4}"/>
    <dgm:cxn modelId="{57582B11-A565-4D31-88CE-F970D9C155B2}" type="presOf" srcId="{9C6CBC6D-82A7-4E8F-8BBA-A0BE2571700D}" destId="{7E843181-68FB-4137-A9F0-7373538BA98A}" srcOrd="0" destOrd="0" presId="urn:microsoft.com/office/officeart/2005/8/layout/hierarchy3"/>
    <dgm:cxn modelId="{B17ADEBA-F6B5-4F8F-B867-6796D01A6E85}" type="presOf" srcId="{56CD8EE0-8F60-4639-814A-ED87FB249455}" destId="{0CFDEDA5-866A-4C64-A9A7-8A38EC338B7B}" srcOrd="0" destOrd="0" presId="urn:microsoft.com/office/officeart/2005/8/layout/hierarchy3"/>
    <dgm:cxn modelId="{50BC75C2-3259-4ACE-BBFC-22EDFBEDC7F5}" type="presOf" srcId="{A5FF5A48-D4C7-47C3-B6C3-7E9EE6FC52EF}" destId="{E0BD3888-CE9A-4785-8623-083650961B78}" srcOrd="0" destOrd="0" presId="urn:microsoft.com/office/officeart/2005/8/layout/hierarchy3"/>
    <dgm:cxn modelId="{E6E20885-1153-4201-BE3A-45D50438BDD5}" type="presOf" srcId="{E9E92417-489F-4876-A122-24723299238D}" destId="{F49B8D62-E281-402B-B5A8-D1879668A4C9}" srcOrd="0" destOrd="0" presId="urn:microsoft.com/office/officeart/2005/8/layout/hierarchy3"/>
    <dgm:cxn modelId="{DCFEC803-2BA8-4988-A330-81DF099FDB14}" type="presOf" srcId="{CB3D9F66-F71C-43C2-BCFA-1633C50D6541}" destId="{70E72ECB-0830-4426-B741-7F20D7547C02}" srcOrd="0" destOrd="0" presId="urn:microsoft.com/office/officeart/2005/8/layout/hierarchy3"/>
    <dgm:cxn modelId="{B73A2A2E-BC9B-4DE2-8435-536C0DE8D403}" srcId="{E59EBC25-30A3-4CA7-9E08-6B9EBFF2CC12}" destId="{76D69A9E-B5C3-4840-82D1-1EAF6B16E46E}" srcOrd="2" destOrd="0" parTransId="{ECABAA73-1943-4DF3-AB4F-9D55717D5818}" sibTransId="{1DE23B8D-CD03-4FBA-BBDD-8EEA15AAEA79}"/>
    <dgm:cxn modelId="{F0794246-F746-4637-BD5D-FF93ACB42B8D}" srcId="{76D69A9E-B5C3-4840-82D1-1EAF6B16E46E}" destId="{676BC628-9944-46E7-8CE8-18411E46B46C}" srcOrd="0" destOrd="0" parTransId="{44072010-D1C7-4203-B502-CFE9BE561178}" sibTransId="{EE546965-C036-4CEA-B316-FC470AD49167}"/>
    <dgm:cxn modelId="{6F32E664-4D6E-402A-95C0-C40E346B469A}" type="presOf" srcId="{9E570738-1CE9-405F-B48E-ED406EA9A7F5}" destId="{77205E9D-66AB-4E2F-B11F-C0072BCC48F0}" srcOrd="0" destOrd="0" presId="urn:microsoft.com/office/officeart/2005/8/layout/hierarchy3"/>
    <dgm:cxn modelId="{B340C902-7AE9-476B-97A2-69C5D879AE45}" type="presOf" srcId="{A257635D-69F6-4614-9186-5493F4E3E7F6}" destId="{D6634E95-2629-44A7-AA5E-7B98F89240E6}" srcOrd="0" destOrd="0" presId="urn:microsoft.com/office/officeart/2005/8/layout/hierarchy3"/>
    <dgm:cxn modelId="{2CE4B13E-AEAE-44A0-B0DD-E3C3F75DE642}" srcId="{E59EBC25-30A3-4CA7-9E08-6B9EBFF2CC12}" destId="{C491BAF4-F0D8-428F-81A3-56849196B8F5}" srcOrd="3" destOrd="0" parTransId="{302CE852-709C-4F4D-9F70-F981299119A8}" sibTransId="{BB217689-A10B-4486-9707-ABF19F67E51E}"/>
    <dgm:cxn modelId="{916CC875-343B-497E-BD03-3710213BE5C4}" srcId="{83288CC9-CC37-4AA2-A6E7-02026B35B722}" destId="{58F6569A-5DF9-4320-ABAC-C5DC557BAAAD}" srcOrd="0" destOrd="0" parTransId="{04509E41-3A11-4B6E-B5D8-284F3D8EAE3E}" sibTransId="{47B3AC89-DA14-4D11-AC21-3FF91E87D162}"/>
    <dgm:cxn modelId="{972D1CA5-823A-432C-B0EC-D933D9E4EEFC}" type="presOf" srcId="{9FC327EB-1949-4AA2-9A8C-B033CA147D68}" destId="{2DAB1611-003D-44D1-BE79-92F8762DB156}" srcOrd="0" destOrd="0" presId="urn:microsoft.com/office/officeart/2005/8/layout/hierarchy3"/>
    <dgm:cxn modelId="{DFB1C523-9A69-4A12-928A-5AE65D5836F1}" type="presOf" srcId="{E3694A97-84C1-4366-BA65-CC15341EE267}" destId="{DFD8A452-EAF3-4228-A684-AE4564DF4474}" srcOrd="0" destOrd="0" presId="urn:microsoft.com/office/officeart/2005/8/layout/hierarchy3"/>
    <dgm:cxn modelId="{8BF16211-4847-4C45-8664-05B9260179EB}" type="presOf" srcId="{012E6BB7-F293-40D4-838B-6649D9D8E1AB}" destId="{04AFD76F-36A6-437A-819D-A16013624552}" srcOrd="0" destOrd="0" presId="urn:microsoft.com/office/officeart/2005/8/layout/hierarchy3"/>
    <dgm:cxn modelId="{6F0646F7-162D-4592-8DC7-9E5DEE7197D6}" type="presOf" srcId="{BF7D5B23-089E-4577-AF9D-207D3F7BDEB6}" destId="{AF1CE0BE-4F05-42A8-B536-12C92B3674ED}" srcOrd="0" destOrd="0" presId="urn:microsoft.com/office/officeart/2005/8/layout/hierarchy3"/>
    <dgm:cxn modelId="{80C561B8-3D30-48DC-82D2-396779CC06AA}" srcId="{76D69A9E-B5C3-4840-82D1-1EAF6B16E46E}" destId="{BEAED63D-11C4-4E2B-BCF2-FDF94B7E7C3A}" srcOrd="2" destOrd="0" parTransId="{8A83DEDE-B15F-4A0E-AD45-7F66B370A2FC}" sibTransId="{C6FF9E09-8BF1-451C-AFD1-7964881D782A}"/>
    <dgm:cxn modelId="{AF74D50C-4A58-4AAF-8051-73D30D7D5ED7}" type="presOf" srcId="{44072010-D1C7-4203-B502-CFE9BE561178}" destId="{4A6127C2-9197-4BC9-A3FA-171ACB575D85}" srcOrd="0" destOrd="0" presId="urn:microsoft.com/office/officeart/2005/8/layout/hierarchy3"/>
    <dgm:cxn modelId="{A53AC28D-FF65-465A-AFF3-DBCCCB52E8A6}" srcId="{54BF55BA-2C2D-4468-B4B5-39EFD1C37F9E}" destId="{B92DBEB8-0CEB-45F9-A0DD-B164974A4098}" srcOrd="3" destOrd="0" parTransId="{4FAD8838-18C5-4D82-8B2E-1A87892CB7DA}" sibTransId="{F16BEEB3-DA93-4331-AAFB-0D23E71A89B3}"/>
    <dgm:cxn modelId="{F4AB3ACA-481B-4358-AB2B-A17F94811623}" srcId="{83288CC9-CC37-4AA2-A6E7-02026B35B722}" destId="{9FC327EB-1949-4AA2-9A8C-B033CA147D68}" srcOrd="4" destOrd="0" parTransId="{FD0D8EA1-1F20-4155-B765-812B70B3D97A}" sibTransId="{5473E712-A116-4713-96B7-40E695A0A598}"/>
    <dgm:cxn modelId="{D5BC52EF-A91A-4ABC-9773-71227EFBF0D5}" srcId="{A453E8B4-36C1-4049-8A90-3469853C7549}" destId="{B3AE9539-9B5D-4EDC-BC4F-21FE58229251}" srcOrd="3" destOrd="0" parTransId="{9E570738-1CE9-405F-B48E-ED406EA9A7F5}" sibTransId="{9B5F02A1-65DA-44D8-8CC5-107FA2880984}"/>
    <dgm:cxn modelId="{F3798520-4E67-4A55-91EF-CBD617B25764}" type="presOf" srcId="{6336099A-2B58-4964-BF7B-22DCE8C58F89}" destId="{361E7785-F29E-483E-A990-2BB34E485D79}" srcOrd="0" destOrd="0" presId="urn:microsoft.com/office/officeart/2005/8/layout/hierarchy3"/>
    <dgm:cxn modelId="{B3BE4EF3-3FFE-41D6-A9BC-694678613026}" type="presOf" srcId="{1CF38579-B394-4470-B786-3B15EA3C2759}" destId="{9A482C40-43F1-45C9-9DDF-440FA02FF0D2}" srcOrd="0" destOrd="0" presId="urn:microsoft.com/office/officeart/2005/8/layout/hierarchy3"/>
    <dgm:cxn modelId="{243ECC49-3F9A-4A39-88EC-75D923605E11}" srcId="{83288CC9-CC37-4AA2-A6E7-02026B35B722}" destId="{E05CC98C-3231-48F4-A415-3FB2A872184F}" srcOrd="2" destOrd="0" parTransId="{9C6CBC6D-82A7-4E8F-8BBA-A0BE2571700D}" sibTransId="{6DB78335-F98A-4B46-A921-03DE5CF6DCD2}"/>
    <dgm:cxn modelId="{03E1C481-4024-4E7A-9485-6938D93A0D55}" type="presOf" srcId="{76D69A9E-B5C3-4840-82D1-1EAF6B16E46E}" destId="{4DC1CC11-BE9F-4DBD-ADDB-44B8F3C911CF}" srcOrd="1" destOrd="0" presId="urn:microsoft.com/office/officeart/2005/8/layout/hierarchy3"/>
    <dgm:cxn modelId="{22EE6B7A-312A-43A1-85B3-89F9558FBB66}" type="presOf" srcId="{C491BAF4-F0D8-428F-81A3-56849196B8F5}" destId="{7C2192F8-2ED5-431D-8B88-43B661C04817}" srcOrd="1" destOrd="0" presId="urn:microsoft.com/office/officeart/2005/8/layout/hierarchy3"/>
    <dgm:cxn modelId="{9E9D979C-3236-4F8C-913D-AFB6A53D0D46}" srcId="{A453E8B4-36C1-4049-8A90-3469853C7549}" destId="{CCDFBB8C-DA46-4BA1-B993-C66383BAA1FD}" srcOrd="0" destOrd="0" parTransId="{D546E3E8-FFFE-4C8A-927F-7395D299B1D2}" sibTransId="{4032CF97-F818-40FD-BC2B-5586306680F6}"/>
    <dgm:cxn modelId="{6EB99049-FA24-4807-92E6-B95AF6086D6E}" type="presOf" srcId="{54BF55BA-2C2D-4468-B4B5-39EFD1C37F9E}" destId="{571BADB3-FBC5-4872-BD9A-5D808AD74BA7}" srcOrd="1" destOrd="0" presId="urn:microsoft.com/office/officeart/2005/8/layout/hierarchy3"/>
    <dgm:cxn modelId="{03411165-643B-42C2-94AC-7CA0D9AA1EB2}" type="presOf" srcId="{76D69A9E-B5C3-4840-82D1-1EAF6B16E46E}" destId="{88B796DE-51E2-467F-8557-3A41BAFCE2BB}" srcOrd="0" destOrd="0" presId="urn:microsoft.com/office/officeart/2005/8/layout/hierarchy3"/>
    <dgm:cxn modelId="{D2432608-FE54-4C84-8B14-98C2419D1B4B}" srcId="{83288CC9-CC37-4AA2-A6E7-02026B35B722}" destId="{27822E80-A1CC-4E63-80DE-688880A9FB0C}" srcOrd="3" destOrd="0" parTransId="{A257635D-69F6-4614-9186-5493F4E3E7F6}" sibTransId="{5CDF0EC9-491F-40F0-82DE-6B92DD93708C}"/>
    <dgm:cxn modelId="{7820929C-69F5-494E-B315-B444813B27F4}" srcId="{E59EBC25-30A3-4CA7-9E08-6B9EBFF2CC12}" destId="{83288CC9-CC37-4AA2-A6E7-02026B35B722}" srcOrd="4" destOrd="0" parTransId="{AC9084F7-3C56-4E65-988D-D1BCEFF8D71B}" sibTransId="{A168B28B-B1D4-4901-889C-0FE89A2B3C5A}"/>
    <dgm:cxn modelId="{556D384C-128D-4867-9F32-599D73626CB3}" type="presOf" srcId="{C491BAF4-F0D8-428F-81A3-56849196B8F5}" destId="{0EAB19FA-2603-472E-AF37-9E1883703087}" srcOrd="0" destOrd="0" presId="urn:microsoft.com/office/officeart/2005/8/layout/hierarchy3"/>
    <dgm:cxn modelId="{842BE406-DF05-4E23-96E5-9359584B5252}" type="presOf" srcId="{D0E12E7A-541F-4E10-BDC8-FAC344FC217B}" destId="{1CECECDD-3333-4F60-AC12-0433D790328C}" srcOrd="0" destOrd="0" presId="urn:microsoft.com/office/officeart/2005/8/layout/hierarchy3"/>
    <dgm:cxn modelId="{1C7B87DC-1DA1-4730-BB59-B3F1AEED9D86}" type="presOf" srcId="{B92DBEB8-0CEB-45F9-A0DD-B164974A4098}" destId="{5F77B2A5-FD88-4AEC-80CC-EA34A1B2F90D}" srcOrd="0" destOrd="0" presId="urn:microsoft.com/office/officeart/2005/8/layout/hierarchy3"/>
    <dgm:cxn modelId="{B5E134BB-233C-48F2-8B0D-A0285CC209E6}" srcId="{54BF55BA-2C2D-4468-B4B5-39EFD1C37F9E}" destId="{D0E12E7A-541F-4E10-BDC8-FAC344FC217B}" srcOrd="0" destOrd="0" parTransId="{BDE2CBB1-682D-4D61-B803-6FBB6F20A8DF}" sibTransId="{64A7049F-2C20-41C8-8FC0-18FDE25211D8}"/>
    <dgm:cxn modelId="{61E428AE-208B-40C4-86E1-432B1647A31D}" srcId="{54BF55BA-2C2D-4468-B4B5-39EFD1C37F9E}" destId="{3DC667D4-7C9A-439D-835F-020C4E80D4EC}" srcOrd="4" destOrd="0" parTransId="{CB3D9F66-F71C-43C2-BCFA-1633C50D6541}" sibTransId="{8864D503-CBA1-48AA-B633-06B2AF1E9ED7}"/>
    <dgm:cxn modelId="{07F5CA78-1498-4A57-A5B2-8731CC9532E9}" type="presOf" srcId="{E59EBC25-30A3-4CA7-9E08-6B9EBFF2CC12}" destId="{20033450-1568-4E1A-9BC5-2A3A4C67CF7A}" srcOrd="0" destOrd="0" presId="urn:microsoft.com/office/officeart/2005/8/layout/hierarchy3"/>
    <dgm:cxn modelId="{519DE95F-2D73-4D29-BDC8-4AF0AD74678A}" srcId="{E59EBC25-30A3-4CA7-9E08-6B9EBFF2CC12}" destId="{A453E8B4-36C1-4049-8A90-3469853C7549}" srcOrd="0" destOrd="0" parTransId="{7186E343-6190-4255-9EB2-4575E346B9E2}" sibTransId="{0CAA153A-A2FA-4AFF-9623-487B5A4F1193}"/>
    <dgm:cxn modelId="{C52F0671-8E2F-4F9C-B30C-CA02FE29F35E}" srcId="{76D69A9E-B5C3-4840-82D1-1EAF6B16E46E}" destId="{E3694A97-84C1-4366-BA65-CC15341EE267}" srcOrd="1" destOrd="0" parTransId="{BF7D5B23-089E-4577-AF9D-207D3F7BDEB6}" sibTransId="{A952B1C9-24C6-4F36-A1C1-0B5DCDF9E5CE}"/>
    <dgm:cxn modelId="{6D8FA9DF-BCA1-4345-95FF-8DD3B829441D}" type="presOf" srcId="{B3AE9539-9B5D-4EDC-BC4F-21FE58229251}" destId="{A4279346-8E4D-435C-9A3D-AE2F9754C4F8}" srcOrd="0" destOrd="0" presId="urn:microsoft.com/office/officeart/2005/8/layout/hierarchy3"/>
    <dgm:cxn modelId="{B2FEFCFF-966D-4975-9C51-9CDAA3EBDAB3}" type="presOf" srcId="{D198CDA9-8421-48AC-BAD2-2CDD951F7BDC}" destId="{CC99F048-6709-4005-8D2D-5BF5F34A96FF}" srcOrd="0" destOrd="0" presId="urn:microsoft.com/office/officeart/2005/8/layout/hierarchy3"/>
    <dgm:cxn modelId="{C18EDE38-B4D7-4B46-8E98-229AF8404784}" type="presOf" srcId="{A271ED55-F4EF-40E4-81DC-5B509EC01A86}" destId="{D366B7C6-9B61-405D-BACB-AA8E4F65A089}" srcOrd="0" destOrd="0" presId="urn:microsoft.com/office/officeart/2005/8/layout/hierarchy3"/>
    <dgm:cxn modelId="{36EC90D6-995A-4662-AF22-822D6E2EEA23}" type="presOf" srcId="{10353D48-02F1-4F04-9447-D75DE5D55E7C}" destId="{156C7470-B229-4108-B1A9-437FB68ED5A7}" srcOrd="0" destOrd="0" presId="urn:microsoft.com/office/officeart/2005/8/layout/hierarchy3"/>
    <dgm:cxn modelId="{65D7A345-2A46-4E6C-BEB4-C81FDD456B16}" type="presParOf" srcId="{20033450-1568-4E1A-9BC5-2A3A4C67CF7A}" destId="{9B2F3720-41BC-44C3-B230-F8AE68931651}" srcOrd="0" destOrd="0" presId="urn:microsoft.com/office/officeart/2005/8/layout/hierarchy3"/>
    <dgm:cxn modelId="{D232F174-93F6-4117-8D4E-D2719CFA4223}" type="presParOf" srcId="{9B2F3720-41BC-44C3-B230-F8AE68931651}" destId="{E7B1A2EB-EFD6-489E-9237-68BDBBF3DF80}" srcOrd="0" destOrd="0" presId="urn:microsoft.com/office/officeart/2005/8/layout/hierarchy3"/>
    <dgm:cxn modelId="{57D8F049-FE28-445C-9B5B-6ACB6556482E}" type="presParOf" srcId="{E7B1A2EB-EFD6-489E-9237-68BDBBF3DF80}" destId="{1D32ADD4-98C6-4A59-8DA8-C10781C9A3C0}" srcOrd="0" destOrd="0" presId="urn:microsoft.com/office/officeart/2005/8/layout/hierarchy3"/>
    <dgm:cxn modelId="{35FD3C90-E6B2-4C19-9476-1910FCAA19DE}" type="presParOf" srcId="{E7B1A2EB-EFD6-489E-9237-68BDBBF3DF80}" destId="{EBD9A9C6-62A4-49D5-9B26-4135E57307C6}" srcOrd="1" destOrd="0" presId="urn:microsoft.com/office/officeart/2005/8/layout/hierarchy3"/>
    <dgm:cxn modelId="{4F51D21B-1732-48A2-AA31-4A270EB8A1A7}" type="presParOf" srcId="{9B2F3720-41BC-44C3-B230-F8AE68931651}" destId="{13D4E6FC-E416-4696-93C1-41AC0A94510C}" srcOrd="1" destOrd="0" presId="urn:microsoft.com/office/officeart/2005/8/layout/hierarchy3"/>
    <dgm:cxn modelId="{53F41F53-BCA3-4A34-9E05-23F6783E86D0}" type="presParOf" srcId="{13D4E6FC-E416-4696-93C1-41AC0A94510C}" destId="{6E2921AB-B757-411F-88F4-EBC1B83BA8D8}" srcOrd="0" destOrd="0" presId="urn:microsoft.com/office/officeart/2005/8/layout/hierarchy3"/>
    <dgm:cxn modelId="{13E377A6-5A6D-4EF0-8D53-F9B6A6055B32}" type="presParOf" srcId="{13D4E6FC-E416-4696-93C1-41AC0A94510C}" destId="{4BECC03A-0D09-4140-9437-4F566AB80D43}" srcOrd="1" destOrd="0" presId="urn:microsoft.com/office/officeart/2005/8/layout/hierarchy3"/>
    <dgm:cxn modelId="{5F1D1725-C72B-4AE3-BC62-7DD13C884EE0}" type="presParOf" srcId="{13D4E6FC-E416-4696-93C1-41AC0A94510C}" destId="{156C7470-B229-4108-B1A9-437FB68ED5A7}" srcOrd="2" destOrd="0" presId="urn:microsoft.com/office/officeart/2005/8/layout/hierarchy3"/>
    <dgm:cxn modelId="{0DE3775A-E5C0-47B7-9FB1-2BE43B228FEC}" type="presParOf" srcId="{13D4E6FC-E416-4696-93C1-41AC0A94510C}" destId="{0CFDEDA5-866A-4C64-A9A7-8A38EC338B7B}" srcOrd="3" destOrd="0" presId="urn:microsoft.com/office/officeart/2005/8/layout/hierarchy3"/>
    <dgm:cxn modelId="{E009E7F4-C20E-4AE2-AC8B-9A1A70419F82}" type="presParOf" srcId="{13D4E6FC-E416-4696-93C1-41AC0A94510C}" destId="{361E7785-F29E-483E-A990-2BB34E485D79}" srcOrd="4" destOrd="0" presId="urn:microsoft.com/office/officeart/2005/8/layout/hierarchy3"/>
    <dgm:cxn modelId="{D175C838-1BE1-42FA-B6BF-ABB28E91A150}" type="presParOf" srcId="{13D4E6FC-E416-4696-93C1-41AC0A94510C}" destId="{9A482C40-43F1-45C9-9DDF-440FA02FF0D2}" srcOrd="5" destOrd="0" presId="urn:microsoft.com/office/officeart/2005/8/layout/hierarchy3"/>
    <dgm:cxn modelId="{3EDC71F3-DD16-4396-A73F-DE93A2973129}" type="presParOf" srcId="{13D4E6FC-E416-4696-93C1-41AC0A94510C}" destId="{77205E9D-66AB-4E2F-B11F-C0072BCC48F0}" srcOrd="6" destOrd="0" presId="urn:microsoft.com/office/officeart/2005/8/layout/hierarchy3"/>
    <dgm:cxn modelId="{C08D3732-7E17-45CC-B3C2-DCECFECAF8F0}" type="presParOf" srcId="{13D4E6FC-E416-4696-93C1-41AC0A94510C}" destId="{A4279346-8E4D-435C-9A3D-AE2F9754C4F8}" srcOrd="7" destOrd="0" presId="urn:microsoft.com/office/officeart/2005/8/layout/hierarchy3"/>
    <dgm:cxn modelId="{34F52EA3-4B31-4276-BF94-6171928F6E6C}" type="presParOf" srcId="{20033450-1568-4E1A-9BC5-2A3A4C67CF7A}" destId="{55D3F2F9-14E5-4FC9-A8B2-84197DD8CA10}" srcOrd="1" destOrd="0" presId="urn:microsoft.com/office/officeart/2005/8/layout/hierarchy3"/>
    <dgm:cxn modelId="{05F0F651-E3BF-4BB2-824B-F1D136E52B4C}" type="presParOf" srcId="{55D3F2F9-14E5-4FC9-A8B2-84197DD8CA10}" destId="{D55D2946-C0A2-4A5E-9EFD-09EBD0472B93}" srcOrd="0" destOrd="0" presId="urn:microsoft.com/office/officeart/2005/8/layout/hierarchy3"/>
    <dgm:cxn modelId="{3F7D9696-6300-46C9-B2B3-67857A2F07C5}" type="presParOf" srcId="{D55D2946-C0A2-4A5E-9EFD-09EBD0472B93}" destId="{88CC18C2-01AA-4C11-8AB5-54B7CFEB7E4E}" srcOrd="0" destOrd="0" presId="urn:microsoft.com/office/officeart/2005/8/layout/hierarchy3"/>
    <dgm:cxn modelId="{94994D5E-0606-4F0B-9CF6-DAE1FD021C1C}" type="presParOf" srcId="{D55D2946-C0A2-4A5E-9EFD-09EBD0472B93}" destId="{571BADB3-FBC5-4872-BD9A-5D808AD74BA7}" srcOrd="1" destOrd="0" presId="urn:microsoft.com/office/officeart/2005/8/layout/hierarchy3"/>
    <dgm:cxn modelId="{E7637722-32FE-49F9-AB21-0B94D6AFDBE1}" type="presParOf" srcId="{55D3F2F9-14E5-4FC9-A8B2-84197DD8CA10}" destId="{545B92FC-0687-4B99-B8B3-091A0E181D17}" srcOrd="1" destOrd="0" presId="urn:microsoft.com/office/officeart/2005/8/layout/hierarchy3"/>
    <dgm:cxn modelId="{F50AB4B8-DEB9-44AA-ADAC-903346C0E6BE}" type="presParOf" srcId="{545B92FC-0687-4B99-B8B3-091A0E181D17}" destId="{17D28105-CFDE-4CBF-A0EF-95E25E1A0803}" srcOrd="0" destOrd="0" presId="urn:microsoft.com/office/officeart/2005/8/layout/hierarchy3"/>
    <dgm:cxn modelId="{78607F9F-9833-48D0-A37C-4B7955F855D5}" type="presParOf" srcId="{545B92FC-0687-4B99-B8B3-091A0E181D17}" destId="{1CECECDD-3333-4F60-AC12-0433D790328C}" srcOrd="1" destOrd="0" presId="urn:microsoft.com/office/officeart/2005/8/layout/hierarchy3"/>
    <dgm:cxn modelId="{0478F398-1B6E-4046-BD8F-DE11E3009DF8}" type="presParOf" srcId="{545B92FC-0687-4B99-B8B3-091A0E181D17}" destId="{E0BD3888-CE9A-4785-8623-083650961B78}" srcOrd="2" destOrd="0" presId="urn:microsoft.com/office/officeart/2005/8/layout/hierarchy3"/>
    <dgm:cxn modelId="{ACF0D27A-E46B-4AAD-AEF4-CD106A516E28}" type="presParOf" srcId="{545B92FC-0687-4B99-B8B3-091A0E181D17}" destId="{F49B8D62-E281-402B-B5A8-D1879668A4C9}" srcOrd="3" destOrd="0" presId="urn:microsoft.com/office/officeart/2005/8/layout/hierarchy3"/>
    <dgm:cxn modelId="{636227FC-3AEB-4494-B3A4-E0F4362367BC}" type="presParOf" srcId="{545B92FC-0687-4B99-B8B3-091A0E181D17}" destId="{38B36475-2BCF-40FA-AAD5-44A1D2054A3A}" srcOrd="4" destOrd="0" presId="urn:microsoft.com/office/officeart/2005/8/layout/hierarchy3"/>
    <dgm:cxn modelId="{CFEC3D2A-D7AA-471B-B065-D24734FE7F77}" type="presParOf" srcId="{545B92FC-0687-4B99-B8B3-091A0E181D17}" destId="{FE0C4799-C669-4919-82D1-794526C57DF5}" srcOrd="5" destOrd="0" presId="urn:microsoft.com/office/officeart/2005/8/layout/hierarchy3"/>
    <dgm:cxn modelId="{8E0B35E9-A169-4029-9DE8-A21A27CC13EC}" type="presParOf" srcId="{545B92FC-0687-4B99-B8B3-091A0E181D17}" destId="{29597FFC-6144-4384-BFCF-8B4B32223D20}" srcOrd="6" destOrd="0" presId="urn:microsoft.com/office/officeart/2005/8/layout/hierarchy3"/>
    <dgm:cxn modelId="{B42B811D-E4C1-450C-A313-242B4DDB29BC}" type="presParOf" srcId="{545B92FC-0687-4B99-B8B3-091A0E181D17}" destId="{5F77B2A5-FD88-4AEC-80CC-EA34A1B2F90D}" srcOrd="7" destOrd="0" presId="urn:microsoft.com/office/officeart/2005/8/layout/hierarchy3"/>
    <dgm:cxn modelId="{739D7C98-9AF3-4712-B0FD-CF97C6ECC1FB}" type="presParOf" srcId="{545B92FC-0687-4B99-B8B3-091A0E181D17}" destId="{70E72ECB-0830-4426-B741-7F20D7547C02}" srcOrd="8" destOrd="0" presId="urn:microsoft.com/office/officeart/2005/8/layout/hierarchy3"/>
    <dgm:cxn modelId="{270D2DDE-C491-4C33-B0E2-04A20089C772}" type="presParOf" srcId="{545B92FC-0687-4B99-B8B3-091A0E181D17}" destId="{39522EB0-A271-4954-93DF-33B5FE1BBC28}" srcOrd="9" destOrd="0" presId="urn:microsoft.com/office/officeart/2005/8/layout/hierarchy3"/>
    <dgm:cxn modelId="{3A391593-BC78-4A5F-8134-42152C0A4D4D}" type="presParOf" srcId="{20033450-1568-4E1A-9BC5-2A3A4C67CF7A}" destId="{8D4C616B-EED0-4E58-AFCB-A703298D1952}" srcOrd="2" destOrd="0" presId="urn:microsoft.com/office/officeart/2005/8/layout/hierarchy3"/>
    <dgm:cxn modelId="{C4F1BBDD-5B67-4CF4-A18C-7B95FD84270C}" type="presParOf" srcId="{8D4C616B-EED0-4E58-AFCB-A703298D1952}" destId="{802CB2C2-29F7-4151-8205-27049D19BB8D}" srcOrd="0" destOrd="0" presId="urn:microsoft.com/office/officeart/2005/8/layout/hierarchy3"/>
    <dgm:cxn modelId="{77D81646-7611-4CCB-B7C2-60BB607E10B7}" type="presParOf" srcId="{802CB2C2-29F7-4151-8205-27049D19BB8D}" destId="{88B796DE-51E2-467F-8557-3A41BAFCE2BB}" srcOrd="0" destOrd="0" presId="urn:microsoft.com/office/officeart/2005/8/layout/hierarchy3"/>
    <dgm:cxn modelId="{ECB5BD13-61D9-4101-A3A1-73A4D1F10859}" type="presParOf" srcId="{802CB2C2-29F7-4151-8205-27049D19BB8D}" destId="{4DC1CC11-BE9F-4DBD-ADDB-44B8F3C911CF}" srcOrd="1" destOrd="0" presId="urn:microsoft.com/office/officeart/2005/8/layout/hierarchy3"/>
    <dgm:cxn modelId="{AC62055F-EF8B-4E18-8735-21854315D0A0}" type="presParOf" srcId="{8D4C616B-EED0-4E58-AFCB-A703298D1952}" destId="{3CA44413-CD3C-411A-A5A6-27C4807272B6}" srcOrd="1" destOrd="0" presId="urn:microsoft.com/office/officeart/2005/8/layout/hierarchy3"/>
    <dgm:cxn modelId="{2DC9323B-ACC5-4B0F-8D09-7BC177A95AA6}" type="presParOf" srcId="{3CA44413-CD3C-411A-A5A6-27C4807272B6}" destId="{4A6127C2-9197-4BC9-A3FA-171ACB575D85}" srcOrd="0" destOrd="0" presId="urn:microsoft.com/office/officeart/2005/8/layout/hierarchy3"/>
    <dgm:cxn modelId="{93C74D4B-4E49-44C7-AF17-12A6D5A3D420}" type="presParOf" srcId="{3CA44413-CD3C-411A-A5A6-27C4807272B6}" destId="{9EB905E0-6743-4499-A66E-B50088A60747}" srcOrd="1" destOrd="0" presId="urn:microsoft.com/office/officeart/2005/8/layout/hierarchy3"/>
    <dgm:cxn modelId="{C3220779-769C-4B20-9615-9E5ABB24B2BC}" type="presParOf" srcId="{3CA44413-CD3C-411A-A5A6-27C4807272B6}" destId="{AF1CE0BE-4F05-42A8-B536-12C92B3674ED}" srcOrd="2" destOrd="0" presId="urn:microsoft.com/office/officeart/2005/8/layout/hierarchy3"/>
    <dgm:cxn modelId="{6CE7192C-D4B5-4745-8B27-93F79E619B32}" type="presParOf" srcId="{3CA44413-CD3C-411A-A5A6-27C4807272B6}" destId="{DFD8A452-EAF3-4228-A684-AE4564DF4474}" srcOrd="3" destOrd="0" presId="urn:microsoft.com/office/officeart/2005/8/layout/hierarchy3"/>
    <dgm:cxn modelId="{F22934B7-E191-4DD5-93D1-CDC0AE6D4DCB}" type="presParOf" srcId="{3CA44413-CD3C-411A-A5A6-27C4807272B6}" destId="{F7FF88C8-9A97-4582-B03E-260B7D2ABE25}" srcOrd="4" destOrd="0" presId="urn:microsoft.com/office/officeart/2005/8/layout/hierarchy3"/>
    <dgm:cxn modelId="{105F549A-03F0-46E9-95AE-C9AA91DE9E27}" type="presParOf" srcId="{3CA44413-CD3C-411A-A5A6-27C4807272B6}" destId="{D90A7C07-E6D6-4339-864D-7C6319F5F79F}" srcOrd="5" destOrd="0" presId="urn:microsoft.com/office/officeart/2005/8/layout/hierarchy3"/>
    <dgm:cxn modelId="{C6162F6D-6839-4A78-8984-27B4778C74F0}" type="presParOf" srcId="{3CA44413-CD3C-411A-A5A6-27C4807272B6}" destId="{6356A00D-ED8E-41F6-A4CC-895F7A03E13A}" srcOrd="6" destOrd="0" presId="urn:microsoft.com/office/officeart/2005/8/layout/hierarchy3"/>
    <dgm:cxn modelId="{59B70E96-101C-4E4D-B2C2-5C989585EBF1}" type="presParOf" srcId="{3CA44413-CD3C-411A-A5A6-27C4807272B6}" destId="{5484D398-62C6-4AAA-86CE-D577331E18CE}" srcOrd="7" destOrd="0" presId="urn:microsoft.com/office/officeart/2005/8/layout/hierarchy3"/>
    <dgm:cxn modelId="{42013FC5-F37C-4B72-936E-1E73603B429C}" type="presParOf" srcId="{20033450-1568-4E1A-9BC5-2A3A4C67CF7A}" destId="{372D6805-A000-4601-B42B-E24D21379E98}" srcOrd="3" destOrd="0" presId="urn:microsoft.com/office/officeart/2005/8/layout/hierarchy3"/>
    <dgm:cxn modelId="{9005AFD1-7F8F-4C91-987E-BDCCA0636EC6}" type="presParOf" srcId="{372D6805-A000-4601-B42B-E24D21379E98}" destId="{6159B146-F9D6-496B-AE39-D9209E22C923}" srcOrd="0" destOrd="0" presId="urn:microsoft.com/office/officeart/2005/8/layout/hierarchy3"/>
    <dgm:cxn modelId="{874568C5-E8DE-46C8-AD60-B47CB7149051}" type="presParOf" srcId="{6159B146-F9D6-496B-AE39-D9209E22C923}" destId="{0EAB19FA-2603-472E-AF37-9E1883703087}" srcOrd="0" destOrd="0" presId="urn:microsoft.com/office/officeart/2005/8/layout/hierarchy3"/>
    <dgm:cxn modelId="{A09B95DF-9101-49AF-82C2-11DE9AA101E0}" type="presParOf" srcId="{6159B146-F9D6-496B-AE39-D9209E22C923}" destId="{7C2192F8-2ED5-431D-8B88-43B661C04817}" srcOrd="1" destOrd="0" presId="urn:microsoft.com/office/officeart/2005/8/layout/hierarchy3"/>
    <dgm:cxn modelId="{8D1923B0-3D84-46EB-BD82-F98F8591AB38}" type="presParOf" srcId="{372D6805-A000-4601-B42B-E24D21379E98}" destId="{2CBCFF2D-FC17-49FB-A6D9-C4C9210304FA}" srcOrd="1" destOrd="0" presId="urn:microsoft.com/office/officeart/2005/8/layout/hierarchy3"/>
    <dgm:cxn modelId="{FE0047A0-3A57-4BC4-B859-FA6A69BE77A1}" type="presParOf" srcId="{2CBCFF2D-FC17-49FB-A6D9-C4C9210304FA}" destId="{803CC993-07EB-428D-9D40-CCB9CA5B9B4E}" srcOrd="0" destOrd="0" presId="urn:microsoft.com/office/officeart/2005/8/layout/hierarchy3"/>
    <dgm:cxn modelId="{BED0EE24-5D32-41AF-A2C1-E268800E0096}" type="presParOf" srcId="{2CBCFF2D-FC17-49FB-A6D9-C4C9210304FA}" destId="{09F9AD8B-F590-453C-8312-D4341B67AD11}" srcOrd="1" destOrd="0" presId="urn:microsoft.com/office/officeart/2005/8/layout/hierarchy3"/>
    <dgm:cxn modelId="{78775C1B-7849-4A99-AF47-6E1961FC7E99}" type="presParOf" srcId="{2CBCFF2D-FC17-49FB-A6D9-C4C9210304FA}" destId="{6A3EFB6F-922A-4888-8B49-A07C0FE71A97}" srcOrd="2" destOrd="0" presId="urn:microsoft.com/office/officeart/2005/8/layout/hierarchy3"/>
    <dgm:cxn modelId="{13195548-4F89-4A1C-8765-F9DA58D01221}" type="presParOf" srcId="{2CBCFF2D-FC17-49FB-A6D9-C4C9210304FA}" destId="{D366B7C6-9B61-405D-BACB-AA8E4F65A089}" srcOrd="3" destOrd="0" presId="urn:microsoft.com/office/officeart/2005/8/layout/hierarchy3"/>
    <dgm:cxn modelId="{3DC4D22A-37F7-423F-B6CF-72E0F3D6E515}" type="presParOf" srcId="{2CBCFF2D-FC17-49FB-A6D9-C4C9210304FA}" destId="{04AFD76F-36A6-437A-819D-A16013624552}" srcOrd="4" destOrd="0" presId="urn:microsoft.com/office/officeart/2005/8/layout/hierarchy3"/>
    <dgm:cxn modelId="{3592103D-16F8-475F-9103-5AD037442440}" type="presParOf" srcId="{2CBCFF2D-FC17-49FB-A6D9-C4C9210304FA}" destId="{2F236991-063F-43BA-BFC9-3402D2F1CD64}" srcOrd="5" destOrd="0" presId="urn:microsoft.com/office/officeart/2005/8/layout/hierarchy3"/>
    <dgm:cxn modelId="{0F54F2A3-AF66-406F-86B6-16CC422166A0}" type="presParOf" srcId="{20033450-1568-4E1A-9BC5-2A3A4C67CF7A}" destId="{B4C27355-0046-439E-92DB-46BABF2D0F79}" srcOrd="4" destOrd="0" presId="urn:microsoft.com/office/officeart/2005/8/layout/hierarchy3"/>
    <dgm:cxn modelId="{8289AEB0-34F1-4F56-9461-2AD49BBB9665}" type="presParOf" srcId="{B4C27355-0046-439E-92DB-46BABF2D0F79}" destId="{FC993D26-814C-4F84-92EF-11ABF272D1BF}" srcOrd="0" destOrd="0" presId="urn:microsoft.com/office/officeart/2005/8/layout/hierarchy3"/>
    <dgm:cxn modelId="{5144C812-1C45-4C66-B06E-7C1D1094E62C}" type="presParOf" srcId="{FC993D26-814C-4F84-92EF-11ABF272D1BF}" destId="{7DDF7C8C-7B06-4F64-85BD-EE8A185A76FB}" srcOrd="0" destOrd="0" presId="urn:microsoft.com/office/officeart/2005/8/layout/hierarchy3"/>
    <dgm:cxn modelId="{EC7F76A6-5BAC-4340-A6C1-F7742E01680A}" type="presParOf" srcId="{FC993D26-814C-4F84-92EF-11ABF272D1BF}" destId="{8F75EDAB-154A-46D1-A08C-CF4BDB11B228}" srcOrd="1" destOrd="0" presId="urn:microsoft.com/office/officeart/2005/8/layout/hierarchy3"/>
    <dgm:cxn modelId="{48F12F92-EC6B-499C-BAD0-EE0E3FD9E56C}" type="presParOf" srcId="{B4C27355-0046-439E-92DB-46BABF2D0F79}" destId="{E2DD80A7-A0BB-4280-B765-FB3B92355290}" srcOrd="1" destOrd="0" presId="urn:microsoft.com/office/officeart/2005/8/layout/hierarchy3"/>
    <dgm:cxn modelId="{3966A7D9-6FE8-4CF4-8722-CF9CB7BCF21D}" type="presParOf" srcId="{E2DD80A7-A0BB-4280-B765-FB3B92355290}" destId="{7544617D-0D55-4DB6-92F7-7BB57CBFC8E4}" srcOrd="0" destOrd="0" presId="urn:microsoft.com/office/officeart/2005/8/layout/hierarchy3"/>
    <dgm:cxn modelId="{F2B84759-67C6-43E7-83DB-2B9BC7F28CF0}" type="presParOf" srcId="{E2DD80A7-A0BB-4280-B765-FB3B92355290}" destId="{AD1BBC91-9D75-41E1-B518-C9F2B5120B1C}" srcOrd="1" destOrd="0" presId="urn:microsoft.com/office/officeart/2005/8/layout/hierarchy3"/>
    <dgm:cxn modelId="{5430E0E9-50E7-4005-973F-7632A4823619}" type="presParOf" srcId="{E2DD80A7-A0BB-4280-B765-FB3B92355290}" destId="{D07089D7-B26C-4D41-AC0F-15FC5C4BAA2E}" srcOrd="2" destOrd="0" presId="urn:microsoft.com/office/officeart/2005/8/layout/hierarchy3"/>
    <dgm:cxn modelId="{4FA762DC-A17C-401C-B72C-9ABBE812F64F}" type="presParOf" srcId="{E2DD80A7-A0BB-4280-B765-FB3B92355290}" destId="{CC99F048-6709-4005-8D2D-5BF5F34A96FF}" srcOrd="3" destOrd="0" presId="urn:microsoft.com/office/officeart/2005/8/layout/hierarchy3"/>
    <dgm:cxn modelId="{6D4A9D4D-B44E-4D39-8DEB-688AAC093C58}" type="presParOf" srcId="{E2DD80A7-A0BB-4280-B765-FB3B92355290}" destId="{7E843181-68FB-4137-A9F0-7373538BA98A}" srcOrd="4" destOrd="0" presId="urn:microsoft.com/office/officeart/2005/8/layout/hierarchy3"/>
    <dgm:cxn modelId="{7EBB4BD7-AA58-47E3-A52F-56F0CB216848}" type="presParOf" srcId="{E2DD80A7-A0BB-4280-B765-FB3B92355290}" destId="{A5D17D31-273D-4F9D-9C54-730CF5C6EF88}" srcOrd="5" destOrd="0" presId="urn:microsoft.com/office/officeart/2005/8/layout/hierarchy3"/>
    <dgm:cxn modelId="{F8E5F750-AD6E-4C22-9A29-1E745E3888B3}" type="presParOf" srcId="{E2DD80A7-A0BB-4280-B765-FB3B92355290}" destId="{D6634E95-2629-44A7-AA5E-7B98F89240E6}" srcOrd="6" destOrd="0" presId="urn:microsoft.com/office/officeart/2005/8/layout/hierarchy3"/>
    <dgm:cxn modelId="{06E71CC8-0526-4B98-94E3-F8A49ADE70B6}" type="presParOf" srcId="{E2DD80A7-A0BB-4280-B765-FB3B92355290}" destId="{8DB24FA8-FADC-436C-BF9F-E8B69290D446}" srcOrd="7" destOrd="0" presId="urn:microsoft.com/office/officeart/2005/8/layout/hierarchy3"/>
    <dgm:cxn modelId="{A4E848E8-E260-4C72-AF69-A9832CB92479}" type="presParOf" srcId="{E2DD80A7-A0BB-4280-B765-FB3B92355290}" destId="{45A57F73-1857-41A0-B722-4881E45F3024}" srcOrd="8" destOrd="0" presId="urn:microsoft.com/office/officeart/2005/8/layout/hierarchy3"/>
    <dgm:cxn modelId="{DFDFC25F-499C-4DA7-AFDF-7DDAAB81CCC7}" type="presParOf" srcId="{E2DD80A7-A0BB-4280-B765-FB3B92355290}" destId="{2DAB1611-003D-44D1-BE79-92F8762DB156}" srcOrd="9" destOrd="0" presId="urn:microsoft.com/office/officeart/2005/8/layout/hierarchy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32ADD4-98C6-4A59-8DA8-C10781C9A3C0}">
      <dsp:nvSpPr>
        <dsp:cNvPr id="0" name=""/>
        <dsp:cNvSpPr/>
      </dsp:nvSpPr>
      <dsp:spPr>
        <a:xfrm>
          <a:off x="3535" y="143833"/>
          <a:ext cx="1205533" cy="6027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lv-LV" sz="1500" kern="1200">
              <a:latin typeface="Times New Roman" panose="02020603050405020304" pitchFamily="18" charset="0"/>
              <a:cs typeface="Times New Roman" panose="02020603050405020304" pitchFamily="18" charset="0"/>
            </a:rPr>
            <a:t>Finanses</a:t>
          </a:r>
        </a:p>
      </dsp:txBody>
      <dsp:txXfrm>
        <a:off x="21189" y="161487"/>
        <a:ext cx="1170225" cy="567458"/>
      </dsp:txXfrm>
    </dsp:sp>
    <dsp:sp modelId="{6E2921AB-B757-411F-88F4-EBC1B83BA8D8}">
      <dsp:nvSpPr>
        <dsp:cNvPr id="0" name=""/>
        <dsp:cNvSpPr/>
      </dsp:nvSpPr>
      <dsp:spPr>
        <a:xfrm>
          <a:off x="124088" y="746600"/>
          <a:ext cx="120553" cy="452074"/>
        </a:xfrm>
        <a:custGeom>
          <a:avLst/>
          <a:gdLst/>
          <a:ahLst/>
          <a:cxnLst/>
          <a:rect l="0" t="0" r="0" b="0"/>
          <a:pathLst>
            <a:path>
              <a:moveTo>
                <a:pt x="0" y="0"/>
              </a:moveTo>
              <a:lnTo>
                <a:pt x="0" y="452074"/>
              </a:lnTo>
              <a:lnTo>
                <a:pt x="120553" y="4520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CC03A-0D09-4140-9437-4F566AB80D43}">
      <dsp:nvSpPr>
        <dsp:cNvPr id="0" name=""/>
        <dsp:cNvSpPr/>
      </dsp:nvSpPr>
      <dsp:spPr>
        <a:xfrm>
          <a:off x="244641" y="897291"/>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Grantu/projektu konkurss</a:t>
          </a:r>
        </a:p>
      </dsp:txBody>
      <dsp:txXfrm>
        <a:off x="262295" y="914945"/>
        <a:ext cx="929118" cy="567458"/>
      </dsp:txXfrm>
    </dsp:sp>
    <dsp:sp modelId="{156C7470-B229-4108-B1A9-437FB68ED5A7}">
      <dsp:nvSpPr>
        <dsp:cNvPr id="0" name=""/>
        <dsp:cNvSpPr/>
      </dsp:nvSpPr>
      <dsp:spPr>
        <a:xfrm>
          <a:off x="124088" y="746600"/>
          <a:ext cx="120553" cy="1205533"/>
        </a:xfrm>
        <a:custGeom>
          <a:avLst/>
          <a:gdLst/>
          <a:ahLst/>
          <a:cxnLst/>
          <a:rect l="0" t="0" r="0" b="0"/>
          <a:pathLst>
            <a:path>
              <a:moveTo>
                <a:pt x="0" y="0"/>
              </a:moveTo>
              <a:lnTo>
                <a:pt x="0" y="1205533"/>
              </a:lnTo>
              <a:lnTo>
                <a:pt x="120553" y="12055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FDEDA5-866A-4C64-A9A7-8A38EC338B7B}">
      <dsp:nvSpPr>
        <dsp:cNvPr id="0" name=""/>
        <dsp:cNvSpPr/>
      </dsp:nvSpPr>
      <dsp:spPr>
        <a:xfrm>
          <a:off x="244641" y="1650750"/>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67667"/>
              <a:satOff val="-511"/>
              <a:lumOff val="-1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 NĪN atlaides</a:t>
          </a:r>
        </a:p>
      </dsp:txBody>
      <dsp:txXfrm>
        <a:off x="262295" y="1668404"/>
        <a:ext cx="929118" cy="567458"/>
      </dsp:txXfrm>
    </dsp:sp>
    <dsp:sp modelId="{361E7785-F29E-483E-A990-2BB34E485D79}">
      <dsp:nvSpPr>
        <dsp:cNvPr id="0" name=""/>
        <dsp:cNvSpPr/>
      </dsp:nvSpPr>
      <dsp:spPr>
        <a:xfrm>
          <a:off x="124088" y="746600"/>
          <a:ext cx="120553" cy="1958991"/>
        </a:xfrm>
        <a:custGeom>
          <a:avLst/>
          <a:gdLst/>
          <a:ahLst/>
          <a:cxnLst/>
          <a:rect l="0" t="0" r="0" b="0"/>
          <a:pathLst>
            <a:path>
              <a:moveTo>
                <a:pt x="0" y="0"/>
              </a:moveTo>
              <a:lnTo>
                <a:pt x="0" y="1958991"/>
              </a:lnTo>
              <a:lnTo>
                <a:pt x="120553" y="195899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482C40-43F1-45C9-9DDF-440FA02FF0D2}">
      <dsp:nvSpPr>
        <dsp:cNvPr id="0" name=""/>
        <dsp:cNvSpPr/>
      </dsp:nvSpPr>
      <dsp:spPr>
        <a:xfrm>
          <a:off x="244641" y="2404208"/>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
              <a:satOff val="-1023"/>
              <a:lumOff val="-3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Biedru naudas apmaksa</a:t>
          </a:r>
        </a:p>
      </dsp:txBody>
      <dsp:txXfrm>
        <a:off x="262295" y="2421862"/>
        <a:ext cx="929118" cy="567458"/>
      </dsp:txXfrm>
    </dsp:sp>
    <dsp:sp modelId="{77205E9D-66AB-4E2F-B11F-C0072BCC48F0}">
      <dsp:nvSpPr>
        <dsp:cNvPr id="0" name=""/>
        <dsp:cNvSpPr/>
      </dsp:nvSpPr>
      <dsp:spPr>
        <a:xfrm>
          <a:off x="124088" y="746600"/>
          <a:ext cx="120553" cy="2712449"/>
        </a:xfrm>
        <a:custGeom>
          <a:avLst/>
          <a:gdLst/>
          <a:ahLst/>
          <a:cxnLst/>
          <a:rect l="0" t="0" r="0" b="0"/>
          <a:pathLst>
            <a:path>
              <a:moveTo>
                <a:pt x="0" y="0"/>
              </a:moveTo>
              <a:lnTo>
                <a:pt x="0" y="2712449"/>
              </a:lnTo>
              <a:lnTo>
                <a:pt x="120553" y="27124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79346-8E4D-435C-9A3D-AE2F9754C4F8}">
      <dsp:nvSpPr>
        <dsp:cNvPr id="0" name=""/>
        <dsp:cNvSpPr/>
      </dsp:nvSpPr>
      <dsp:spPr>
        <a:xfrm>
          <a:off x="244641" y="3157666"/>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103002"/>
              <a:satOff val="-1534"/>
              <a:lumOff val="-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Augstskolas pētījumi</a:t>
          </a:r>
        </a:p>
      </dsp:txBody>
      <dsp:txXfrm>
        <a:off x="262295" y="3175320"/>
        <a:ext cx="929118" cy="567458"/>
      </dsp:txXfrm>
    </dsp:sp>
    <dsp:sp modelId="{88CC18C2-01AA-4C11-8AB5-54B7CFEB7E4E}">
      <dsp:nvSpPr>
        <dsp:cNvPr id="0" name=""/>
        <dsp:cNvSpPr/>
      </dsp:nvSpPr>
      <dsp:spPr>
        <a:xfrm>
          <a:off x="1510451" y="143833"/>
          <a:ext cx="1205533" cy="602766"/>
        </a:xfrm>
        <a:prstGeom prst="roundRect">
          <a:avLst>
            <a:gd name="adj" fmla="val 10000"/>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lv-LV" sz="1500" kern="1200">
              <a:latin typeface="Times New Roman" panose="02020603050405020304" pitchFamily="18" charset="0"/>
              <a:cs typeface="Times New Roman" panose="02020603050405020304" pitchFamily="18" charset="0"/>
            </a:rPr>
            <a:t>Infrastruktūra</a:t>
          </a:r>
        </a:p>
      </dsp:txBody>
      <dsp:txXfrm>
        <a:off x="1528105" y="161487"/>
        <a:ext cx="1170225" cy="567458"/>
      </dsp:txXfrm>
    </dsp:sp>
    <dsp:sp modelId="{17D28105-CFDE-4CBF-A0EF-95E25E1A0803}">
      <dsp:nvSpPr>
        <dsp:cNvPr id="0" name=""/>
        <dsp:cNvSpPr/>
      </dsp:nvSpPr>
      <dsp:spPr>
        <a:xfrm>
          <a:off x="1631005" y="746600"/>
          <a:ext cx="120553" cy="452074"/>
        </a:xfrm>
        <a:custGeom>
          <a:avLst/>
          <a:gdLst/>
          <a:ahLst/>
          <a:cxnLst/>
          <a:rect l="0" t="0" r="0" b="0"/>
          <a:pathLst>
            <a:path>
              <a:moveTo>
                <a:pt x="0" y="0"/>
              </a:moveTo>
              <a:lnTo>
                <a:pt x="0" y="452074"/>
              </a:lnTo>
              <a:lnTo>
                <a:pt x="120553" y="4520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ECECDD-3333-4F60-AC12-0433D790328C}">
      <dsp:nvSpPr>
        <dsp:cNvPr id="0" name=""/>
        <dsp:cNvSpPr/>
      </dsp:nvSpPr>
      <dsp:spPr>
        <a:xfrm>
          <a:off x="1751558" y="897291"/>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Jumta nomaiņa</a:t>
          </a:r>
        </a:p>
      </dsp:txBody>
      <dsp:txXfrm>
        <a:off x="1769212" y="914945"/>
        <a:ext cx="929118" cy="567458"/>
      </dsp:txXfrm>
    </dsp:sp>
    <dsp:sp modelId="{E0BD3888-CE9A-4785-8623-083650961B78}">
      <dsp:nvSpPr>
        <dsp:cNvPr id="0" name=""/>
        <dsp:cNvSpPr/>
      </dsp:nvSpPr>
      <dsp:spPr>
        <a:xfrm>
          <a:off x="1631005" y="746600"/>
          <a:ext cx="120553" cy="1205533"/>
        </a:xfrm>
        <a:custGeom>
          <a:avLst/>
          <a:gdLst/>
          <a:ahLst/>
          <a:cxnLst/>
          <a:rect l="0" t="0" r="0" b="0"/>
          <a:pathLst>
            <a:path>
              <a:moveTo>
                <a:pt x="0" y="0"/>
              </a:moveTo>
              <a:lnTo>
                <a:pt x="0" y="1205533"/>
              </a:lnTo>
              <a:lnTo>
                <a:pt x="120553" y="12055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9B8D62-E281-402B-B5A8-D1879668A4C9}">
      <dsp:nvSpPr>
        <dsp:cNvPr id="0" name=""/>
        <dsp:cNvSpPr/>
      </dsp:nvSpPr>
      <dsp:spPr>
        <a:xfrm>
          <a:off x="1751558" y="1650750"/>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Tirgus laukuma paplašināšana</a:t>
          </a:r>
        </a:p>
      </dsp:txBody>
      <dsp:txXfrm>
        <a:off x="1769212" y="1668404"/>
        <a:ext cx="929118" cy="567458"/>
      </dsp:txXfrm>
    </dsp:sp>
    <dsp:sp modelId="{38B36475-2BCF-40FA-AAD5-44A1D2054A3A}">
      <dsp:nvSpPr>
        <dsp:cNvPr id="0" name=""/>
        <dsp:cNvSpPr/>
      </dsp:nvSpPr>
      <dsp:spPr>
        <a:xfrm>
          <a:off x="1631005" y="746600"/>
          <a:ext cx="120553" cy="1958991"/>
        </a:xfrm>
        <a:custGeom>
          <a:avLst/>
          <a:gdLst/>
          <a:ahLst/>
          <a:cxnLst/>
          <a:rect l="0" t="0" r="0" b="0"/>
          <a:pathLst>
            <a:path>
              <a:moveTo>
                <a:pt x="0" y="0"/>
              </a:moveTo>
              <a:lnTo>
                <a:pt x="0" y="1958991"/>
              </a:lnTo>
              <a:lnTo>
                <a:pt x="120553" y="195899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0C4799-C669-4919-82D1-794526C57DF5}">
      <dsp:nvSpPr>
        <dsp:cNvPr id="0" name=""/>
        <dsp:cNvSpPr/>
      </dsp:nvSpPr>
      <dsp:spPr>
        <a:xfrm>
          <a:off x="1751558" y="2404208"/>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206003"/>
              <a:satOff val="-3068"/>
              <a:lumOff val="-11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Nodrošināšana ar telpām</a:t>
          </a:r>
        </a:p>
      </dsp:txBody>
      <dsp:txXfrm>
        <a:off x="1769212" y="2421862"/>
        <a:ext cx="929118" cy="567458"/>
      </dsp:txXfrm>
    </dsp:sp>
    <dsp:sp modelId="{29597FFC-6144-4384-BFCF-8B4B32223D20}">
      <dsp:nvSpPr>
        <dsp:cNvPr id="0" name=""/>
        <dsp:cNvSpPr/>
      </dsp:nvSpPr>
      <dsp:spPr>
        <a:xfrm>
          <a:off x="1631005" y="746600"/>
          <a:ext cx="120553" cy="2712449"/>
        </a:xfrm>
        <a:custGeom>
          <a:avLst/>
          <a:gdLst/>
          <a:ahLst/>
          <a:cxnLst/>
          <a:rect l="0" t="0" r="0" b="0"/>
          <a:pathLst>
            <a:path>
              <a:moveTo>
                <a:pt x="0" y="0"/>
              </a:moveTo>
              <a:lnTo>
                <a:pt x="0" y="2712449"/>
              </a:lnTo>
              <a:lnTo>
                <a:pt x="120553" y="27124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77B2A5-FD88-4AEC-80CC-EA34A1B2F90D}">
      <dsp:nvSpPr>
        <dsp:cNvPr id="0" name=""/>
        <dsp:cNvSpPr/>
      </dsp:nvSpPr>
      <dsp:spPr>
        <a:xfrm>
          <a:off x="1751558" y="3157666"/>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573671"/>
              <a:satOff val="-3580"/>
              <a:lumOff val="-13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Mājražotāju/amatnieku tirdziņš</a:t>
          </a:r>
        </a:p>
      </dsp:txBody>
      <dsp:txXfrm>
        <a:off x="1769212" y="3175320"/>
        <a:ext cx="929118" cy="567458"/>
      </dsp:txXfrm>
    </dsp:sp>
    <dsp:sp modelId="{70E72ECB-0830-4426-B741-7F20D7547C02}">
      <dsp:nvSpPr>
        <dsp:cNvPr id="0" name=""/>
        <dsp:cNvSpPr/>
      </dsp:nvSpPr>
      <dsp:spPr>
        <a:xfrm>
          <a:off x="1631005" y="746600"/>
          <a:ext cx="120553" cy="3465908"/>
        </a:xfrm>
        <a:custGeom>
          <a:avLst/>
          <a:gdLst/>
          <a:ahLst/>
          <a:cxnLst/>
          <a:rect l="0" t="0" r="0" b="0"/>
          <a:pathLst>
            <a:path>
              <a:moveTo>
                <a:pt x="0" y="0"/>
              </a:moveTo>
              <a:lnTo>
                <a:pt x="0" y="3465908"/>
              </a:lnTo>
              <a:lnTo>
                <a:pt x="120553" y="346590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522EB0-A271-4954-93DF-33B5FE1BBC28}">
      <dsp:nvSpPr>
        <dsp:cNvPr id="0" name=""/>
        <dsp:cNvSpPr/>
      </dsp:nvSpPr>
      <dsp:spPr>
        <a:xfrm>
          <a:off x="1751558" y="3911124"/>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Ielu un ceļu labiekārtošana</a:t>
          </a:r>
        </a:p>
      </dsp:txBody>
      <dsp:txXfrm>
        <a:off x="1769212" y="3928778"/>
        <a:ext cx="929118" cy="567458"/>
      </dsp:txXfrm>
    </dsp:sp>
    <dsp:sp modelId="{88B796DE-51E2-467F-8557-3A41BAFCE2BB}">
      <dsp:nvSpPr>
        <dsp:cNvPr id="0" name=""/>
        <dsp:cNvSpPr/>
      </dsp:nvSpPr>
      <dsp:spPr>
        <a:xfrm>
          <a:off x="3017368" y="143833"/>
          <a:ext cx="1205533" cy="602766"/>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lv-LV" sz="1500" kern="1200">
              <a:latin typeface="Times New Roman" panose="02020603050405020304" pitchFamily="18" charset="0"/>
              <a:cs typeface="Times New Roman" panose="02020603050405020304" pitchFamily="18" charset="0"/>
            </a:rPr>
            <a:t>Konsultācijas</a:t>
          </a:r>
        </a:p>
      </dsp:txBody>
      <dsp:txXfrm>
        <a:off x="3035022" y="161487"/>
        <a:ext cx="1170225" cy="567458"/>
      </dsp:txXfrm>
    </dsp:sp>
    <dsp:sp modelId="{4A6127C2-9197-4BC9-A3FA-171ACB575D85}">
      <dsp:nvSpPr>
        <dsp:cNvPr id="0" name=""/>
        <dsp:cNvSpPr/>
      </dsp:nvSpPr>
      <dsp:spPr>
        <a:xfrm>
          <a:off x="3137921" y="746600"/>
          <a:ext cx="120553" cy="452074"/>
        </a:xfrm>
        <a:custGeom>
          <a:avLst/>
          <a:gdLst/>
          <a:ahLst/>
          <a:cxnLst/>
          <a:rect l="0" t="0" r="0" b="0"/>
          <a:pathLst>
            <a:path>
              <a:moveTo>
                <a:pt x="0" y="0"/>
              </a:moveTo>
              <a:lnTo>
                <a:pt x="0" y="452074"/>
              </a:lnTo>
              <a:lnTo>
                <a:pt x="120553" y="4520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B905E0-6743-4499-A66E-B50088A60747}">
      <dsp:nvSpPr>
        <dsp:cNvPr id="0" name=""/>
        <dsp:cNvSpPr/>
      </dsp:nvSpPr>
      <dsp:spPr>
        <a:xfrm>
          <a:off x="3258475" y="897291"/>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309005"/>
              <a:satOff val="-4603"/>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Pirmsinkubators</a:t>
          </a:r>
        </a:p>
      </dsp:txBody>
      <dsp:txXfrm>
        <a:off x="3276129" y="914945"/>
        <a:ext cx="929118" cy="567458"/>
      </dsp:txXfrm>
    </dsp:sp>
    <dsp:sp modelId="{AF1CE0BE-4F05-42A8-B536-12C92B3674ED}">
      <dsp:nvSpPr>
        <dsp:cNvPr id="0" name=""/>
        <dsp:cNvSpPr/>
      </dsp:nvSpPr>
      <dsp:spPr>
        <a:xfrm>
          <a:off x="3137921" y="746600"/>
          <a:ext cx="120553" cy="1205533"/>
        </a:xfrm>
        <a:custGeom>
          <a:avLst/>
          <a:gdLst/>
          <a:ahLst/>
          <a:cxnLst/>
          <a:rect l="0" t="0" r="0" b="0"/>
          <a:pathLst>
            <a:path>
              <a:moveTo>
                <a:pt x="0" y="0"/>
              </a:moveTo>
              <a:lnTo>
                <a:pt x="0" y="1205533"/>
              </a:lnTo>
              <a:lnTo>
                <a:pt x="120553" y="12055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D8A452-EAF3-4228-A684-AE4564DF4474}">
      <dsp:nvSpPr>
        <dsp:cNvPr id="0" name=""/>
        <dsp:cNvSpPr/>
      </dsp:nvSpPr>
      <dsp:spPr>
        <a:xfrm>
          <a:off x="3258475" y="1650750"/>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Biznesa atbalsta centrs</a:t>
          </a:r>
        </a:p>
      </dsp:txBody>
      <dsp:txXfrm>
        <a:off x="3276129" y="1668404"/>
        <a:ext cx="929118" cy="567458"/>
      </dsp:txXfrm>
    </dsp:sp>
    <dsp:sp modelId="{F7FF88C8-9A97-4582-B03E-260B7D2ABE25}">
      <dsp:nvSpPr>
        <dsp:cNvPr id="0" name=""/>
        <dsp:cNvSpPr/>
      </dsp:nvSpPr>
      <dsp:spPr>
        <a:xfrm>
          <a:off x="3137921" y="746600"/>
          <a:ext cx="120553" cy="1958991"/>
        </a:xfrm>
        <a:custGeom>
          <a:avLst/>
          <a:gdLst/>
          <a:ahLst/>
          <a:cxnLst/>
          <a:rect l="0" t="0" r="0" b="0"/>
          <a:pathLst>
            <a:path>
              <a:moveTo>
                <a:pt x="0" y="0"/>
              </a:moveTo>
              <a:lnTo>
                <a:pt x="0" y="1958991"/>
              </a:lnTo>
              <a:lnTo>
                <a:pt x="120553" y="195899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0A7C07-E6D6-4339-864D-7C6319F5F79F}">
      <dsp:nvSpPr>
        <dsp:cNvPr id="0" name=""/>
        <dsp:cNvSpPr/>
      </dsp:nvSpPr>
      <dsp:spPr>
        <a:xfrm>
          <a:off x="3258475" y="2404208"/>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044339"/>
              <a:satOff val="-5625"/>
              <a:lumOff val="-21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Uzņēmējdarbības konsultants</a:t>
          </a:r>
        </a:p>
      </dsp:txBody>
      <dsp:txXfrm>
        <a:off x="3276129" y="2421862"/>
        <a:ext cx="929118" cy="567458"/>
      </dsp:txXfrm>
    </dsp:sp>
    <dsp:sp modelId="{6356A00D-ED8E-41F6-A4CC-895F7A03E13A}">
      <dsp:nvSpPr>
        <dsp:cNvPr id="0" name=""/>
        <dsp:cNvSpPr/>
      </dsp:nvSpPr>
      <dsp:spPr>
        <a:xfrm>
          <a:off x="3137921" y="746600"/>
          <a:ext cx="120553" cy="2712449"/>
        </a:xfrm>
        <a:custGeom>
          <a:avLst/>
          <a:gdLst/>
          <a:ahLst/>
          <a:cxnLst/>
          <a:rect l="0" t="0" r="0" b="0"/>
          <a:pathLst>
            <a:path>
              <a:moveTo>
                <a:pt x="0" y="0"/>
              </a:moveTo>
              <a:lnTo>
                <a:pt x="0" y="2712449"/>
              </a:lnTo>
              <a:lnTo>
                <a:pt x="120553" y="27124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84D398-62C6-4AAA-86CE-D577331E18CE}">
      <dsp:nvSpPr>
        <dsp:cNvPr id="0" name=""/>
        <dsp:cNvSpPr/>
      </dsp:nvSpPr>
      <dsp:spPr>
        <a:xfrm>
          <a:off x="3258475" y="3157666"/>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Semināri un apmācības</a:t>
          </a:r>
        </a:p>
      </dsp:txBody>
      <dsp:txXfrm>
        <a:off x="3276129" y="3175320"/>
        <a:ext cx="929118" cy="567458"/>
      </dsp:txXfrm>
    </dsp:sp>
    <dsp:sp modelId="{0EAB19FA-2603-472E-AF37-9E1883703087}">
      <dsp:nvSpPr>
        <dsp:cNvPr id="0" name=""/>
        <dsp:cNvSpPr/>
      </dsp:nvSpPr>
      <dsp:spPr>
        <a:xfrm>
          <a:off x="4524284" y="143833"/>
          <a:ext cx="1205533" cy="602766"/>
        </a:xfrm>
        <a:prstGeom prst="roundRect">
          <a:avLst>
            <a:gd name="adj" fmla="val 10000"/>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lv-LV" sz="1500" kern="1200">
              <a:latin typeface="Times New Roman" panose="02020603050405020304" pitchFamily="18" charset="0"/>
              <a:cs typeface="Times New Roman" panose="02020603050405020304" pitchFamily="18" charset="0"/>
            </a:rPr>
            <a:t>Pasākumi</a:t>
          </a:r>
        </a:p>
      </dsp:txBody>
      <dsp:txXfrm>
        <a:off x="4541938" y="161487"/>
        <a:ext cx="1170225" cy="567458"/>
      </dsp:txXfrm>
    </dsp:sp>
    <dsp:sp modelId="{803CC993-07EB-428D-9D40-CCB9CA5B9B4E}">
      <dsp:nvSpPr>
        <dsp:cNvPr id="0" name=""/>
        <dsp:cNvSpPr/>
      </dsp:nvSpPr>
      <dsp:spPr>
        <a:xfrm>
          <a:off x="4644838" y="746600"/>
          <a:ext cx="120553" cy="452074"/>
        </a:xfrm>
        <a:custGeom>
          <a:avLst/>
          <a:gdLst/>
          <a:ahLst/>
          <a:cxnLst/>
          <a:rect l="0" t="0" r="0" b="0"/>
          <a:pathLst>
            <a:path>
              <a:moveTo>
                <a:pt x="0" y="0"/>
              </a:moveTo>
              <a:lnTo>
                <a:pt x="0" y="452074"/>
              </a:lnTo>
              <a:lnTo>
                <a:pt x="120553" y="4520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F9AD8B-F590-453C-8312-D4341B67AD11}">
      <dsp:nvSpPr>
        <dsp:cNvPr id="0" name=""/>
        <dsp:cNvSpPr/>
      </dsp:nvSpPr>
      <dsp:spPr>
        <a:xfrm>
          <a:off x="4765391" y="897291"/>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779674"/>
              <a:satOff val="-6648"/>
              <a:lumOff val="-25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Uzņēmēju diena</a:t>
          </a:r>
        </a:p>
      </dsp:txBody>
      <dsp:txXfrm>
        <a:off x="4783045" y="914945"/>
        <a:ext cx="929118" cy="567458"/>
      </dsp:txXfrm>
    </dsp:sp>
    <dsp:sp modelId="{6A3EFB6F-922A-4888-8B49-A07C0FE71A97}">
      <dsp:nvSpPr>
        <dsp:cNvPr id="0" name=""/>
        <dsp:cNvSpPr/>
      </dsp:nvSpPr>
      <dsp:spPr>
        <a:xfrm>
          <a:off x="4644838" y="746600"/>
          <a:ext cx="120553" cy="1205533"/>
        </a:xfrm>
        <a:custGeom>
          <a:avLst/>
          <a:gdLst/>
          <a:ahLst/>
          <a:cxnLst/>
          <a:rect l="0" t="0" r="0" b="0"/>
          <a:pathLst>
            <a:path>
              <a:moveTo>
                <a:pt x="0" y="0"/>
              </a:moveTo>
              <a:lnTo>
                <a:pt x="0" y="1205533"/>
              </a:lnTo>
              <a:lnTo>
                <a:pt x="120553" y="12055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66B7C6-9B61-405D-BACB-AA8E4F65A089}">
      <dsp:nvSpPr>
        <dsp:cNvPr id="0" name=""/>
        <dsp:cNvSpPr/>
      </dsp:nvSpPr>
      <dsp:spPr>
        <a:xfrm>
          <a:off x="4765391" y="1650750"/>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147341"/>
              <a:satOff val="-7160"/>
              <a:lumOff val="-27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Tīklošanās</a:t>
          </a:r>
        </a:p>
      </dsp:txBody>
      <dsp:txXfrm>
        <a:off x="4783045" y="1668404"/>
        <a:ext cx="929118" cy="567458"/>
      </dsp:txXfrm>
    </dsp:sp>
    <dsp:sp modelId="{04AFD76F-36A6-437A-819D-A16013624552}">
      <dsp:nvSpPr>
        <dsp:cNvPr id="0" name=""/>
        <dsp:cNvSpPr/>
      </dsp:nvSpPr>
      <dsp:spPr>
        <a:xfrm>
          <a:off x="4644838" y="746600"/>
          <a:ext cx="120553" cy="1958991"/>
        </a:xfrm>
        <a:custGeom>
          <a:avLst/>
          <a:gdLst/>
          <a:ahLst/>
          <a:cxnLst/>
          <a:rect l="0" t="0" r="0" b="0"/>
          <a:pathLst>
            <a:path>
              <a:moveTo>
                <a:pt x="0" y="0"/>
              </a:moveTo>
              <a:lnTo>
                <a:pt x="0" y="1958991"/>
              </a:lnTo>
              <a:lnTo>
                <a:pt x="120553" y="195899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236991-063F-43BA-BFC9-3402D2F1CD64}">
      <dsp:nvSpPr>
        <dsp:cNvPr id="0" name=""/>
        <dsp:cNvSpPr/>
      </dsp:nvSpPr>
      <dsp:spPr>
        <a:xfrm>
          <a:off x="4765391" y="2404208"/>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Uzņēmēju godināšana</a:t>
          </a:r>
        </a:p>
      </dsp:txBody>
      <dsp:txXfrm>
        <a:off x="4783045" y="2421862"/>
        <a:ext cx="929118" cy="567458"/>
      </dsp:txXfrm>
    </dsp:sp>
    <dsp:sp modelId="{7DDF7C8C-7B06-4F64-85BD-EE8A185A76FB}">
      <dsp:nvSpPr>
        <dsp:cNvPr id="0" name=""/>
        <dsp:cNvSpPr/>
      </dsp:nvSpPr>
      <dsp:spPr>
        <a:xfrm>
          <a:off x="6031201" y="143833"/>
          <a:ext cx="1205533" cy="602766"/>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lv-LV" sz="1500" kern="1200">
              <a:latin typeface="Times New Roman" panose="02020603050405020304" pitchFamily="18" charset="0"/>
              <a:cs typeface="Times New Roman" panose="02020603050405020304" pitchFamily="18" charset="0"/>
            </a:rPr>
            <a:t>Mārketings</a:t>
          </a:r>
        </a:p>
      </dsp:txBody>
      <dsp:txXfrm>
        <a:off x="6048855" y="161487"/>
        <a:ext cx="1170225" cy="567458"/>
      </dsp:txXfrm>
    </dsp:sp>
    <dsp:sp modelId="{7544617D-0D55-4DB6-92F7-7BB57CBFC8E4}">
      <dsp:nvSpPr>
        <dsp:cNvPr id="0" name=""/>
        <dsp:cNvSpPr/>
      </dsp:nvSpPr>
      <dsp:spPr>
        <a:xfrm>
          <a:off x="6151754" y="746600"/>
          <a:ext cx="120553" cy="452074"/>
        </a:xfrm>
        <a:custGeom>
          <a:avLst/>
          <a:gdLst/>
          <a:ahLst/>
          <a:cxnLst/>
          <a:rect l="0" t="0" r="0" b="0"/>
          <a:pathLst>
            <a:path>
              <a:moveTo>
                <a:pt x="0" y="0"/>
              </a:moveTo>
              <a:lnTo>
                <a:pt x="0" y="452074"/>
              </a:lnTo>
              <a:lnTo>
                <a:pt x="120553" y="4520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1BBC91-9D75-41E1-B518-C9F2B5120B1C}">
      <dsp:nvSpPr>
        <dsp:cNvPr id="0" name=""/>
        <dsp:cNvSpPr/>
      </dsp:nvSpPr>
      <dsp:spPr>
        <a:xfrm>
          <a:off x="6272308" y="897291"/>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Tūrisma bukleti/brošūras</a:t>
          </a:r>
        </a:p>
      </dsp:txBody>
      <dsp:txXfrm>
        <a:off x="6289962" y="914945"/>
        <a:ext cx="929118" cy="567458"/>
      </dsp:txXfrm>
    </dsp:sp>
    <dsp:sp modelId="{D07089D7-B26C-4D41-AC0F-15FC5C4BAA2E}">
      <dsp:nvSpPr>
        <dsp:cNvPr id="0" name=""/>
        <dsp:cNvSpPr/>
      </dsp:nvSpPr>
      <dsp:spPr>
        <a:xfrm>
          <a:off x="6151754" y="746600"/>
          <a:ext cx="120553" cy="1205533"/>
        </a:xfrm>
        <a:custGeom>
          <a:avLst/>
          <a:gdLst/>
          <a:ahLst/>
          <a:cxnLst/>
          <a:rect l="0" t="0" r="0" b="0"/>
          <a:pathLst>
            <a:path>
              <a:moveTo>
                <a:pt x="0" y="0"/>
              </a:moveTo>
              <a:lnTo>
                <a:pt x="0" y="1205533"/>
              </a:lnTo>
              <a:lnTo>
                <a:pt x="120553" y="12055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99F048-6709-4005-8D2D-5BF5F34A96FF}">
      <dsp:nvSpPr>
        <dsp:cNvPr id="0" name=""/>
        <dsp:cNvSpPr/>
      </dsp:nvSpPr>
      <dsp:spPr>
        <a:xfrm>
          <a:off x="6272308" y="1650750"/>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250343"/>
              <a:satOff val="-8694"/>
              <a:lumOff val="-33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Vienota preču zīme</a:t>
          </a:r>
        </a:p>
      </dsp:txBody>
      <dsp:txXfrm>
        <a:off x="6289962" y="1668404"/>
        <a:ext cx="929118" cy="567458"/>
      </dsp:txXfrm>
    </dsp:sp>
    <dsp:sp modelId="{7E843181-68FB-4137-A9F0-7373538BA98A}">
      <dsp:nvSpPr>
        <dsp:cNvPr id="0" name=""/>
        <dsp:cNvSpPr/>
      </dsp:nvSpPr>
      <dsp:spPr>
        <a:xfrm>
          <a:off x="6151754" y="746600"/>
          <a:ext cx="120553" cy="1958991"/>
        </a:xfrm>
        <a:custGeom>
          <a:avLst/>
          <a:gdLst/>
          <a:ahLst/>
          <a:cxnLst/>
          <a:rect l="0" t="0" r="0" b="0"/>
          <a:pathLst>
            <a:path>
              <a:moveTo>
                <a:pt x="0" y="0"/>
              </a:moveTo>
              <a:lnTo>
                <a:pt x="0" y="1958991"/>
              </a:lnTo>
              <a:lnTo>
                <a:pt x="120553" y="195899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D17D31-273D-4F9D-9C54-730CF5C6EF88}">
      <dsp:nvSpPr>
        <dsp:cNvPr id="0" name=""/>
        <dsp:cNvSpPr/>
      </dsp:nvSpPr>
      <dsp:spPr>
        <a:xfrm>
          <a:off x="6272308" y="2404208"/>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618010"/>
              <a:satOff val="-9205"/>
              <a:lumOff val="-35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Jauna/uzlabota mājaslapa</a:t>
          </a:r>
        </a:p>
      </dsp:txBody>
      <dsp:txXfrm>
        <a:off x="6289962" y="2421862"/>
        <a:ext cx="929118" cy="567458"/>
      </dsp:txXfrm>
    </dsp:sp>
    <dsp:sp modelId="{D6634E95-2629-44A7-AA5E-7B98F89240E6}">
      <dsp:nvSpPr>
        <dsp:cNvPr id="0" name=""/>
        <dsp:cNvSpPr/>
      </dsp:nvSpPr>
      <dsp:spPr>
        <a:xfrm>
          <a:off x="6151754" y="746600"/>
          <a:ext cx="120553" cy="2712449"/>
        </a:xfrm>
        <a:custGeom>
          <a:avLst/>
          <a:gdLst/>
          <a:ahLst/>
          <a:cxnLst/>
          <a:rect l="0" t="0" r="0" b="0"/>
          <a:pathLst>
            <a:path>
              <a:moveTo>
                <a:pt x="0" y="0"/>
              </a:moveTo>
              <a:lnTo>
                <a:pt x="0" y="2712449"/>
              </a:lnTo>
              <a:lnTo>
                <a:pt x="120553" y="27124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B24FA8-FADC-436C-BF9F-E8B69290D446}">
      <dsp:nvSpPr>
        <dsp:cNvPr id="0" name=""/>
        <dsp:cNvSpPr/>
      </dsp:nvSpPr>
      <dsp:spPr>
        <a:xfrm>
          <a:off x="6272308" y="3157666"/>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985677"/>
              <a:satOff val="-9717"/>
              <a:lumOff val="-372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Tūrisma informācijas centrs</a:t>
          </a:r>
        </a:p>
      </dsp:txBody>
      <dsp:txXfrm>
        <a:off x="6289962" y="3175320"/>
        <a:ext cx="929118" cy="567458"/>
      </dsp:txXfrm>
    </dsp:sp>
    <dsp:sp modelId="{45A57F73-1857-41A0-B722-4881E45F3024}">
      <dsp:nvSpPr>
        <dsp:cNvPr id="0" name=""/>
        <dsp:cNvSpPr/>
      </dsp:nvSpPr>
      <dsp:spPr>
        <a:xfrm>
          <a:off x="6151754" y="746600"/>
          <a:ext cx="120553" cy="3465908"/>
        </a:xfrm>
        <a:custGeom>
          <a:avLst/>
          <a:gdLst/>
          <a:ahLst/>
          <a:cxnLst/>
          <a:rect l="0" t="0" r="0" b="0"/>
          <a:pathLst>
            <a:path>
              <a:moveTo>
                <a:pt x="0" y="0"/>
              </a:moveTo>
              <a:lnTo>
                <a:pt x="0" y="3465908"/>
              </a:lnTo>
              <a:lnTo>
                <a:pt x="120553" y="346590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AB1611-003D-44D1-BE79-92F8762DB156}">
      <dsp:nvSpPr>
        <dsp:cNvPr id="0" name=""/>
        <dsp:cNvSpPr/>
      </dsp:nvSpPr>
      <dsp:spPr>
        <a:xfrm>
          <a:off x="6272308" y="3911124"/>
          <a:ext cx="964426" cy="60276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lv-LV" sz="700" kern="1200">
              <a:latin typeface="Times New Roman" panose="02020603050405020304" pitchFamily="18" charset="0"/>
              <a:cs typeface="Times New Roman" panose="02020603050405020304" pitchFamily="18" charset="0"/>
            </a:rPr>
            <a:t>Dalība izstādēs</a:t>
          </a:r>
        </a:p>
      </dsp:txBody>
      <dsp:txXfrm>
        <a:off x="6289962" y="3928778"/>
        <a:ext cx="929118" cy="5674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0.604</cdr:x>
      <cdr:y>0.75135</cdr:y>
    </cdr:from>
    <cdr:to>
      <cdr:x>0.98615</cdr:x>
      <cdr:y>0.79189</cdr:y>
    </cdr:to>
    <cdr:sp macro="" textlink="">
      <cdr:nvSpPr>
        <cdr:cNvPr id="2" name="TextBox 1"/>
        <cdr:cNvSpPr txBox="1"/>
      </cdr:nvSpPr>
      <cdr:spPr>
        <a:xfrm xmlns:a="http://schemas.openxmlformats.org/drawingml/2006/main">
          <a:off x="3289623" y="2473321"/>
          <a:ext cx="2081339" cy="1334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lv-LV" sz="800" b="0"/>
            <a:t>* Pašvaldību </a:t>
          </a:r>
          <a:r>
            <a:rPr lang="lv-LV" sz="800" b="0" i="0" baseline="0">
              <a:effectLst/>
              <a:latin typeface="+mn-lt"/>
              <a:ea typeface="+mn-ea"/>
              <a:cs typeface="+mn-cs"/>
            </a:rPr>
            <a:t>pamatbudžets, speciālais budžets  un ziedojumi un dāvinājumi</a:t>
          </a:r>
          <a:endParaRPr lang="lv-LV"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91145F39E8C92B47941B25D9B9D380EC" ma:contentTypeVersion="2" ma:contentTypeDescription="Izveidot jaunu dokumentu." ma:contentTypeScope="" ma:versionID="e82776331d03c5a2465459f437f64f3d">
  <xsd:schema xmlns:xsd="http://www.w3.org/2001/XMLSchema" xmlns:xs="http://www.w3.org/2001/XMLSchema" xmlns:p="http://schemas.microsoft.com/office/2006/metadata/properties" xmlns:ns2="538c81d4-abbc-4f89-85e4-fd1e8d1b6b50" targetNamespace="http://schemas.microsoft.com/office/2006/metadata/properties" ma:root="true" ma:fieldsID="18a6e1b1a9b023db1ff536d2ddebf683" ns2:_="">
    <xsd:import namespace="538c81d4-abbc-4f89-85e4-fd1e8d1b6b5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c81d4-abbc-4f89-85e4-fd1e8d1b6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74FC3-E0FA-4ECD-B6CA-0AE90D4C07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6BC654-D67D-4773-9249-22301D099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c81d4-abbc-4f89-85e4-fd1e8d1b6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7A4B0D-8893-468A-A824-E87D733FB94C}">
  <ds:schemaRefs>
    <ds:schemaRef ds:uri="http://schemas.microsoft.com/sharepoint/v3/contenttype/forms"/>
  </ds:schemaRefs>
</ds:datastoreItem>
</file>

<file path=customXml/itemProps4.xml><?xml version="1.0" encoding="utf-8"?>
<ds:datastoreItem xmlns:ds="http://schemas.openxmlformats.org/officeDocument/2006/customXml" ds:itemID="{5321E0FC-60E3-45C5-B5D7-165429DE2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21</Pages>
  <Words>24918</Words>
  <Characters>14204</Characters>
  <Application>Microsoft Office Word</Application>
  <DocSecurity>0</DocSecurity>
  <Lines>118</Lines>
  <Paragraphs>78</Paragraphs>
  <ScaleCrop>false</ScaleCrop>
  <HeadingPairs>
    <vt:vector size="2" baseType="variant">
      <vt:variant>
        <vt:lpstr>Title</vt:lpstr>
      </vt:variant>
      <vt:variant>
        <vt:i4>1</vt:i4>
      </vt:variant>
    </vt:vector>
  </HeadingPairs>
  <TitlesOfParts>
    <vt:vector size="1" baseType="lpstr">
      <vt:lpstr>Reģionālās politikas pamatnostādņu 2021.-2027.gadam 1.pielikums</vt:lpstr>
    </vt:vector>
  </TitlesOfParts>
  <Company>Vides aizsardzības un reģionālās attīstības ministrija</Company>
  <LinksUpToDate>false</LinksUpToDate>
  <CharactersWithSpaces>39044</CharactersWithSpaces>
  <SharedDoc>false</SharedDoc>
  <HLinks>
    <vt:vector size="72" baseType="variant">
      <vt:variant>
        <vt:i4>65598</vt:i4>
      </vt:variant>
      <vt:variant>
        <vt:i4>12</vt:i4>
      </vt:variant>
      <vt:variant>
        <vt:i4>0</vt:i4>
      </vt:variant>
      <vt:variant>
        <vt:i4>5</vt:i4>
      </vt:variant>
      <vt:variant>
        <vt:lpwstr>mailto:davis.melnalksnis@varam.gov.lv</vt:lpwstr>
      </vt:variant>
      <vt:variant>
        <vt:lpwstr/>
      </vt:variant>
      <vt:variant>
        <vt:i4>3276815</vt:i4>
      </vt:variant>
      <vt:variant>
        <vt:i4>9</vt:i4>
      </vt:variant>
      <vt:variant>
        <vt:i4>0</vt:i4>
      </vt:variant>
      <vt:variant>
        <vt:i4>5</vt:i4>
      </vt:variant>
      <vt:variant>
        <vt:lpwstr>mailto:indra.ciuksa@varam.gov.lv</vt:lpwstr>
      </vt:variant>
      <vt:variant>
        <vt:lpwstr/>
      </vt:variant>
      <vt:variant>
        <vt:i4>6357076</vt:i4>
      </vt:variant>
      <vt:variant>
        <vt:i4>6</vt:i4>
      </vt:variant>
      <vt:variant>
        <vt:i4>0</vt:i4>
      </vt:variant>
      <vt:variant>
        <vt:i4>5</vt:i4>
      </vt:variant>
      <vt:variant>
        <vt:lpwstr>mailto:raivis.bremsmits@varam.gov.lv</vt:lpwstr>
      </vt:variant>
      <vt:variant>
        <vt:lpwstr/>
      </vt:variant>
      <vt:variant>
        <vt:i4>5439585</vt:i4>
      </vt:variant>
      <vt:variant>
        <vt:i4>3</vt:i4>
      </vt:variant>
      <vt:variant>
        <vt:i4>0</vt:i4>
      </vt:variant>
      <vt:variant>
        <vt:i4>5</vt:i4>
      </vt:variant>
      <vt:variant>
        <vt:lpwstr>mailto:ilze.jurevica@varam.gov.lv</vt:lpwstr>
      </vt:variant>
      <vt:variant>
        <vt:lpwstr/>
      </vt:variant>
      <vt:variant>
        <vt:i4>6684721</vt:i4>
      </vt:variant>
      <vt:variant>
        <vt:i4>0</vt:i4>
      </vt:variant>
      <vt:variant>
        <vt:i4>0</vt:i4>
      </vt:variant>
      <vt:variant>
        <vt:i4>5</vt:i4>
      </vt:variant>
      <vt:variant>
        <vt:lpwstr>https://migracija.csb.gov.lv/?id=B1e0JusADQ</vt:lpwstr>
      </vt:variant>
      <vt:variant>
        <vt:lpwstr/>
      </vt:variant>
      <vt:variant>
        <vt:i4>4259905</vt:i4>
      </vt:variant>
      <vt:variant>
        <vt:i4>18</vt:i4>
      </vt:variant>
      <vt:variant>
        <vt:i4>0</vt:i4>
      </vt:variant>
      <vt:variant>
        <vt:i4>5</vt:i4>
      </vt:variant>
      <vt:variant>
        <vt:lpwstr>https://data1.csb.gov.lv/pxweb/lv/iedz/iedz__iedzskaits__ikgad/ISG020.px/table/tableViewLayout1/</vt:lpwstr>
      </vt:variant>
      <vt:variant>
        <vt:lpwstr/>
      </vt:variant>
      <vt:variant>
        <vt:i4>2031622</vt:i4>
      </vt:variant>
      <vt:variant>
        <vt:i4>15</vt:i4>
      </vt:variant>
      <vt:variant>
        <vt:i4>0</vt:i4>
      </vt:variant>
      <vt:variant>
        <vt:i4>5</vt:i4>
      </vt:variant>
      <vt:variant>
        <vt:lpwstr>http://www.oecd.org/economy/surveys/Latvia-2019-OECD-economic-survey-overview.pdf</vt:lpwstr>
      </vt:variant>
      <vt:variant>
        <vt:lpwstr/>
      </vt:variant>
      <vt:variant>
        <vt:i4>5963882</vt:i4>
      </vt:variant>
      <vt:variant>
        <vt:i4>12</vt:i4>
      </vt:variant>
      <vt:variant>
        <vt:i4>0</vt:i4>
      </vt:variant>
      <vt:variant>
        <vt:i4>5</vt:i4>
      </vt:variant>
      <vt:variant>
        <vt:lpwstr>https://ec.europa.eu/info/sites/info/files/2018-european-pusgads country-report-latvia-en_1.pdf</vt:lpwstr>
      </vt:variant>
      <vt:variant>
        <vt:lpwstr/>
      </vt:variant>
      <vt:variant>
        <vt:i4>2359419</vt:i4>
      </vt:variant>
      <vt:variant>
        <vt:i4>9</vt:i4>
      </vt:variant>
      <vt:variant>
        <vt:i4>0</vt:i4>
      </vt:variant>
      <vt:variant>
        <vt:i4>5</vt:i4>
      </vt:variant>
      <vt:variant>
        <vt:lpwstr>https://www.izm.gov.lv/lv/publikacijas-un-statistika/statistika-par-izglitibu/statistika-par-augstako-izglitibu</vt:lpwstr>
      </vt:variant>
      <vt:variant>
        <vt:lpwstr/>
      </vt:variant>
      <vt:variant>
        <vt:i4>5767249</vt:i4>
      </vt:variant>
      <vt:variant>
        <vt:i4>6</vt:i4>
      </vt:variant>
      <vt:variant>
        <vt:i4>0</vt:i4>
      </vt:variant>
      <vt:variant>
        <vt:i4>5</vt:i4>
      </vt:variant>
      <vt:variant>
        <vt:lpwstr>https://ec.europa.eu/docsroom/documents/33147</vt:lpwstr>
      </vt:variant>
      <vt:variant>
        <vt:lpwstr/>
      </vt:variant>
      <vt:variant>
        <vt:i4>2097169</vt:i4>
      </vt:variant>
      <vt:variant>
        <vt:i4>3</vt:i4>
      </vt:variant>
      <vt:variant>
        <vt:i4>0</vt:i4>
      </vt:variant>
      <vt:variant>
        <vt:i4>5</vt:i4>
      </vt:variant>
      <vt:variant>
        <vt:lpwstr>https://data1.csb.gov.lv/pxweb/lv/uzn/uzn__01_skaits/SRG040.px/table/tableViewLayout1/</vt:lpwstr>
      </vt:variant>
      <vt:variant>
        <vt:lpwstr/>
      </vt:variant>
      <vt:variant>
        <vt:i4>720950</vt:i4>
      </vt:variant>
      <vt:variant>
        <vt:i4>0</vt:i4>
      </vt:variant>
      <vt:variant>
        <vt:i4>0</vt:i4>
      </vt:variant>
      <vt:variant>
        <vt:i4>5</vt:i4>
      </vt:variant>
      <vt:variant>
        <vt:lpwstr>https://data1.csb.gov.lv/pxweb/lv/uzn/uzn__01_skaits/SRG010.px/table/tableViewLayout1/?rxid=3513f222-8e01-429e-a509-fd5046b7dcf6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Reģionālās politikas pamatnostādņu 2021.-2027.gadam 1.pielikums</dc:title>
  <dc:subject>Pamatnostādņu projekta pielikums</dc:subject>
  <dc:creator>Ilze Jureviča</dc:creator>
  <cp:keywords/>
  <dc:description>I. Jureviča, 66016791, ilze.jurevica@varam.gov.lv</dc:description>
  <cp:lastModifiedBy>Ilze Jureviča</cp:lastModifiedBy>
  <cp:revision>89</cp:revision>
  <dcterms:created xsi:type="dcterms:W3CDTF">2019-09-02T12:24:00Z</dcterms:created>
  <dcterms:modified xsi:type="dcterms:W3CDTF">2019-11-06T14:21:00Z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0x01010091145F39E8C92B47941B25D9B9D380EC</vt:lpwstr>
  </property>
</Properties>
</file>