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FA56" w14:textId="77777777" w:rsidR="00AF3C4D" w:rsidRPr="00E41AB3" w:rsidRDefault="00AF3C4D" w:rsidP="001F59FB">
      <w:pPr>
        <w:jc w:val="center"/>
        <w:rPr>
          <w:rFonts w:ascii="Times New Roman" w:hAnsi="Times New Roman" w:cs="Times New Roman"/>
          <w:b/>
          <w:sz w:val="44"/>
          <w:szCs w:val="24"/>
        </w:rPr>
      </w:pPr>
      <w:bookmarkStart w:id="0" w:name="_Hlk23505502"/>
      <w:bookmarkEnd w:id="0"/>
    </w:p>
    <w:p w14:paraId="696B81BD" w14:textId="77777777" w:rsidR="00AF3C4D" w:rsidRPr="00E41AB3" w:rsidRDefault="00AF3C4D" w:rsidP="001F59FB">
      <w:pPr>
        <w:jc w:val="center"/>
        <w:rPr>
          <w:rFonts w:ascii="Times New Roman" w:hAnsi="Times New Roman" w:cs="Times New Roman"/>
          <w:b/>
          <w:sz w:val="44"/>
          <w:szCs w:val="24"/>
        </w:rPr>
      </w:pPr>
    </w:p>
    <w:p w14:paraId="5C5D2166" w14:textId="77777777" w:rsidR="00AF3C4D" w:rsidRPr="00E41AB3" w:rsidRDefault="00AF3C4D" w:rsidP="001F59FB">
      <w:pPr>
        <w:jc w:val="center"/>
        <w:rPr>
          <w:rFonts w:ascii="Times New Roman" w:hAnsi="Times New Roman" w:cs="Times New Roman"/>
          <w:b/>
          <w:sz w:val="44"/>
          <w:szCs w:val="24"/>
        </w:rPr>
      </w:pPr>
    </w:p>
    <w:p w14:paraId="7BD73BEA" w14:textId="77777777" w:rsidR="00AF3C4D" w:rsidRPr="00E41AB3" w:rsidRDefault="00AF3C4D" w:rsidP="001F59FB">
      <w:pPr>
        <w:jc w:val="center"/>
        <w:rPr>
          <w:rFonts w:ascii="Times New Roman" w:hAnsi="Times New Roman" w:cs="Times New Roman"/>
          <w:b/>
          <w:sz w:val="44"/>
          <w:szCs w:val="24"/>
        </w:rPr>
      </w:pPr>
    </w:p>
    <w:p w14:paraId="39D7FE6A" w14:textId="6D2D82E4" w:rsidR="00AF3C4D" w:rsidRPr="007C6441" w:rsidRDefault="00AF3C4D" w:rsidP="001F59FB">
      <w:pPr>
        <w:jc w:val="center"/>
        <w:rPr>
          <w:rFonts w:ascii="Times New Roman" w:hAnsi="Times New Roman" w:cs="Times New Roman"/>
          <w:b/>
          <w:sz w:val="40"/>
          <w:szCs w:val="40"/>
        </w:rPr>
      </w:pPr>
      <w:r w:rsidRPr="007C6441">
        <w:rPr>
          <w:rFonts w:ascii="Times New Roman" w:hAnsi="Times New Roman" w:cs="Times New Roman"/>
          <w:b/>
          <w:sz w:val="40"/>
          <w:szCs w:val="40"/>
        </w:rPr>
        <w:t>Informatīvais ziņojums </w:t>
      </w:r>
      <w:r w:rsidR="00484401" w:rsidRPr="007C6441">
        <w:rPr>
          <w:rFonts w:ascii="Times New Roman" w:hAnsi="Times New Roman" w:cs="Times New Roman"/>
          <w:b/>
          <w:sz w:val="40"/>
          <w:szCs w:val="40"/>
        </w:rPr>
        <w:t>par</w:t>
      </w:r>
    </w:p>
    <w:p w14:paraId="6E2BA3E5" w14:textId="78D93C47" w:rsidR="00AF3C4D" w:rsidRPr="007C6441" w:rsidRDefault="00F01A78" w:rsidP="001F59FB">
      <w:pPr>
        <w:jc w:val="center"/>
        <w:rPr>
          <w:rFonts w:ascii="Times New Roman" w:hAnsi="Times New Roman" w:cs="Times New Roman"/>
          <w:b/>
          <w:sz w:val="40"/>
          <w:szCs w:val="40"/>
        </w:rPr>
      </w:pPr>
      <w:r>
        <w:rPr>
          <w:rFonts w:ascii="Times New Roman" w:hAnsi="Times New Roman" w:cs="Times New Roman"/>
          <w:b/>
          <w:sz w:val="40"/>
          <w:szCs w:val="40"/>
        </w:rPr>
        <w:t>investīcijām</w:t>
      </w:r>
      <w:r w:rsidR="00AF3C4D" w:rsidRPr="007C6441">
        <w:rPr>
          <w:rFonts w:ascii="Times New Roman" w:hAnsi="Times New Roman" w:cs="Times New Roman"/>
          <w:b/>
          <w:sz w:val="40"/>
          <w:szCs w:val="40"/>
        </w:rPr>
        <w:t xml:space="preserve"> reģionālai attīstībai </w:t>
      </w:r>
    </w:p>
    <w:p w14:paraId="3063808C" w14:textId="40EA6A87" w:rsidR="00AF3C4D" w:rsidRPr="007C6441" w:rsidRDefault="00AF3C4D" w:rsidP="001F59FB">
      <w:pPr>
        <w:jc w:val="center"/>
        <w:rPr>
          <w:rFonts w:ascii="Times New Roman" w:hAnsi="Times New Roman" w:cs="Times New Roman"/>
          <w:b/>
          <w:sz w:val="40"/>
          <w:szCs w:val="40"/>
        </w:rPr>
      </w:pPr>
      <w:r w:rsidRPr="007C6441">
        <w:rPr>
          <w:rFonts w:ascii="Times New Roman" w:hAnsi="Times New Roman" w:cs="Times New Roman"/>
          <w:b/>
          <w:sz w:val="40"/>
          <w:szCs w:val="40"/>
        </w:rPr>
        <w:t xml:space="preserve">Vidzemē </w:t>
      </w:r>
      <w:bookmarkStart w:id="1" w:name="_Hlk23331485"/>
      <w:r w:rsidRPr="007C6441">
        <w:rPr>
          <w:rFonts w:ascii="Times New Roman" w:hAnsi="Times New Roman" w:cs="Times New Roman"/>
          <w:b/>
          <w:sz w:val="40"/>
          <w:szCs w:val="40"/>
        </w:rPr>
        <w:t>2014</w:t>
      </w:r>
      <w:r w:rsidR="00902D5C" w:rsidRPr="007C6441">
        <w:rPr>
          <w:rFonts w:ascii="Times New Roman" w:hAnsi="Times New Roman" w:cs="Times New Roman"/>
          <w:b/>
          <w:sz w:val="40"/>
          <w:szCs w:val="40"/>
        </w:rPr>
        <w:t>.</w:t>
      </w:r>
      <w:r w:rsidRPr="007C6441">
        <w:rPr>
          <w:rFonts w:ascii="Times New Roman" w:hAnsi="Times New Roman" w:cs="Times New Roman"/>
          <w:b/>
          <w:sz w:val="40"/>
          <w:szCs w:val="40"/>
        </w:rPr>
        <w:t>-2020</w:t>
      </w:r>
      <w:r w:rsidR="00902D5C" w:rsidRPr="007C6441">
        <w:rPr>
          <w:rFonts w:ascii="Times New Roman" w:hAnsi="Times New Roman" w:cs="Times New Roman"/>
          <w:b/>
          <w:sz w:val="40"/>
          <w:szCs w:val="40"/>
        </w:rPr>
        <w:t>.gada plānošanas periodā</w:t>
      </w:r>
      <w:bookmarkEnd w:id="1"/>
      <w:r w:rsidR="007C6441" w:rsidRPr="007C6441">
        <w:rPr>
          <w:rFonts w:ascii="Times New Roman" w:hAnsi="Times New Roman" w:cs="Times New Roman"/>
          <w:b/>
          <w:sz w:val="40"/>
          <w:szCs w:val="40"/>
        </w:rPr>
        <w:t xml:space="preserve"> un plānot</w:t>
      </w:r>
      <w:r w:rsidR="00F01A78">
        <w:rPr>
          <w:rFonts w:ascii="Times New Roman" w:hAnsi="Times New Roman" w:cs="Times New Roman"/>
          <w:b/>
          <w:sz w:val="40"/>
          <w:szCs w:val="40"/>
        </w:rPr>
        <w:t>ajām investīcijām</w:t>
      </w:r>
      <w:r w:rsidR="007C6441" w:rsidRPr="007C6441">
        <w:rPr>
          <w:rFonts w:ascii="Times New Roman" w:hAnsi="Times New Roman" w:cs="Times New Roman"/>
          <w:b/>
          <w:sz w:val="40"/>
          <w:szCs w:val="40"/>
        </w:rPr>
        <w:t xml:space="preserve"> 2021.-2027.gada plānošanas periodā </w:t>
      </w:r>
    </w:p>
    <w:p w14:paraId="1EC30AE9" w14:textId="2BF2CD13" w:rsidR="006A1C7B" w:rsidRPr="00E41AB3" w:rsidRDefault="00C12916" w:rsidP="00C12916">
      <w:pPr>
        <w:rPr>
          <w:rFonts w:ascii="Times New Roman" w:hAnsi="Times New Roman" w:cs="Times New Roman"/>
          <w:b/>
          <w:sz w:val="44"/>
          <w:szCs w:val="24"/>
        </w:rPr>
      </w:pPr>
      <w:r>
        <w:rPr>
          <w:rFonts w:ascii="Times New Roman" w:hAnsi="Times New Roman" w:cs="Times New Roman"/>
          <w:b/>
          <w:sz w:val="44"/>
          <w:szCs w:val="24"/>
        </w:rPr>
        <w:br w:type="page"/>
      </w:r>
      <w:r w:rsidR="006A1C7B" w:rsidRPr="00E41AB3">
        <w:rPr>
          <w:rFonts w:ascii="Times New Roman" w:hAnsi="Times New Roman" w:cs="Times New Roman"/>
          <w:b/>
          <w:sz w:val="44"/>
          <w:szCs w:val="24"/>
        </w:rPr>
        <w:lastRenderedPageBreak/>
        <w:t>Saturs</w:t>
      </w:r>
    </w:p>
    <w:sdt>
      <w:sdtPr>
        <w:rPr>
          <w:rFonts w:ascii="Times New Roman" w:eastAsiaTheme="minorHAnsi" w:hAnsi="Times New Roman" w:cs="Times New Roman"/>
          <w:color w:val="auto"/>
          <w:sz w:val="28"/>
          <w:szCs w:val="28"/>
          <w:lang w:val="lv-LV"/>
        </w:rPr>
        <w:id w:val="-335691406"/>
        <w:docPartObj>
          <w:docPartGallery w:val="Table of Contents"/>
          <w:docPartUnique/>
        </w:docPartObj>
      </w:sdtPr>
      <w:sdtEndPr>
        <w:rPr>
          <w:rStyle w:val="Hipersaite"/>
          <w:b/>
          <w:noProof/>
          <w:color w:val="0563C1" w:themeColor="hyperlink"/>
          <w:sz w:val="22"/>
          <w:szCs w:val="22"/>
          <w:u w:val="single"/>
        </w:rPr>
      </w:sdtEndPr>
      <w:sdtContent>
        <w:p w14:paraId="56280A38" w14:textId="4B7C313B" w:rsidR="006A1C7B" w:rsidRPr="0061170B" w:rsidRDefault="006A1C7B">
          <w:pPr>
            <w:pStyle w:val="Saturardtjavirsraksts"/>
            <w:rPr>
              <w:rFonts w:ascii="Times New Roman" w:hAnsi="Times New Roman" w:cs="Times New Roman"/>
              <w:color w:val="auto"/>
              <w:sz w:val="28"/>
              <w:szCs w:val="28"/>
            </w:rPr>
          </w:pPr>
        </w:p>
        <w:p w14:paraId="46F2CE16" w14:textId="70F7EE5D" w:rsidR="000460F8" w:rsidRDefault="006A1C7B">
          <w:pPr>
            <w:pStyle w:val="Saturs1"/>
            <w:rPr>
              <w:rFonts w:eastAsiaTheme="minorEastAsia"/>
              <w:noProof/>
              <w:lang w:eastAsia="lv-LV"/>
            </w:rPr>
          </w:pPr>
          <w:r w:rsidRPr="0061170B">
            <w:rPr>
              <w:sz w:val="28"/>
              <w:szCs w:val="28"/>
            </w:rPr>
            <w:fldChar w:fldCharType="begin"/>
          </w:r>
          <w:r w:rsidRPr="0061170B">
            <w:rPr>
              <w:sz w:val="28"/>
              <w:szCs w:val="28"/>
            </w:rPr>
            <w:instrText xml:space="preserve"> TOC \o "1-3" \h \z \u </w:instrText>
          </w:r>
          <w:r w:rsidRPr="0061170B">
            <w:rPr>
              <w:sz w:val="28"/>
              <w:szCs w:val="28"/>
            </w:rPr>
            <w:fldChar w:fldCharType="separate"/>
          </w:r>
          <w:hyperlink w:anchor="_Toc24034132" w:history="1">
            <w:r w:rsidR="000460F8" w:rsidRPr="00832F59">
              <w:rPr>
                <w:rStyle w:val="Hipersaite"/>
                <w:rFonts w:ascii="Times New Roman" w:hAnsi="Times New Roman" w:cs="Times New Roman"/>
                <w:b/>
                <w:noProof/>
              </w:rPr>
              <w:t>1.</w:t>
            </w:r>
            <w:r w:rsidR="000460F8">
              <w:rPr>
                <w:rFonts w:eastAsiaTheme="minorEastAsia"/>
                <w:noProof/>
                <w:lang w:eastAsia="lv-LV"/>
              </w:rPr>
              <w:tab/>
            </w:r>
            <w:r w:rsidR="000460F8" w:rsidRPr="00832F59">
              <w:rPr>
                <w:rStyle w:val="Hipersaite"/>
                <w:rFonts w:ascii="Times New Roman" w:hAnsi="Times New Roman" w:cs="Times New Roman"/>
                <w:b/>
                <w:noProof/>
              </w:rPr>
              <w:t>Reģionālā attīstība Latvijā un Vidzemē</w:t>
            </w:r>
            <w:r w:rsidR="000460F8">
              <w:rPr>
                <w:noProof/>
                <w:webHidden/>
              </w:rPr>
              <w:tab/>
            </w:r>
            <w:r w:rsidR="000460F8">
              <w:rPr>
                <w:noProof/>
                <w:webHidden/>
              </w:rPr>
              <w:fldChar w:fldCharType="begin"/>
            </w:r>
            <w:r w:rsidR="000460F8">
              <w:rPr>
                <w:noProof/>
                <w:webHidden/>
              </w:rPr>
              <w:instrText xml:space="preserve"> PAGEREF _Toc24034132 \h </w:instrText>
            </w:r>
            <w:r w:rsidR="000460F8">
              <w:rPr>
                <w:noProof/>
                <w:webHidden/>
              </w:rPr>
            </w:r>
            <w:r w:rsidR="000460F8">
              <w:rPr>
                <w:noProof/>
                <w:webHidden/>
              </w:rPr>
              <w:fldChar w:fldCharType="separate"/>
            </w:r>
            <w:r w:rsidR="000460F8">
              <w:rPr>
                <w:noProof/>
                <w:webHidden/>
              </w:rPr>
              <w:t>3</w:t>
            </w:r>
            <w:r w:rsidR="000460F8">
              <w:rPr>
                <w:noProof/>
                <w:webHidden/>
              </w:rPr>
              <w:fldChar w:fldCharType="end"/>
            </w:r>
          </w:hyperlink>
        </w:p>
        <w:p w14:paraId="6BD8F589" w14:textId="7E958AF3" w:rsidR="000460F8" w:rsidRDefault="000460F8">
          <w:pPr>
            <w:pStyle w:val="Saturs1"/>
            <w:rPr>
              <w:rFonts w:eastAsiaTheme="minorEastAsia"/>
              <w:noProof/>
              <w:lang w:eastAsia="lv-LV"/>
            </w:rPr>
          </w:pPr>
          <w:hyperlink w:anchor="_Toc24034133" w:history="1">
            <w:r w:rsidRPr="00832F59">
              <w:rPr>
                <w:rStyle w:val="Hipersaite"/>
                <w:rFonts w:ascii="Times New Roman" w:hAnsi="Times New Roman" w:cs="Times New Roman"/>
                <w:b/>
                <w:noProof/>
              </w:rPr>
              <w:t>2.</w:t>
            </w:r>
            <w:r>
              <w:rPr>
                <w:rFonts w:eastAsiaTheme="minorEastAsia"/>
                <w:noProof/>
                <w:lang w:eastAsia="lv-LV"/>
              </w:rPr>
              <w:tab/>
            </w:r>
            <w:r w:rsidRPr="00832F59">
              <w:rPr>
                <w:rStyle w:val="Hipersaite"/>
                <w:rFonts w:ascii="Times New Roman" w:hAnsi="Times New Roman" w:cs="Times New Roman"/>
                <w:b/>
                <w:noProof/>
              </w:rPr>
              <w:t>Investīcijas Vidzemei ES fondu 2014.-2020.gada plānošanas periodā</w:t>
            </w:r>
            <w:r>
              <w:rPr>
                <w:noProof/>
                <w:webHidden/>
              </w:rPr>
              <w:tab/>
            </w:r>
            <w:r>
              <w:rPr>
                <w:noProof/>
                <w:webHidden/>
              </w:rPr>
              <w:fldChar w:fldCharType="begin"/>
            </w:r>
            <w:r>
              <w:rPr>
                <w:noProof/>
                <w:webHidden/>
              </w:rPr>
              <w:instrText xml:space="preserve"> PAGEREF _Toc24034133 \h </w:instrText>
            </w:r>
            <w:r>
              <w:rPr>
                <w:noProof/>
                <w:webHidden/>
              </w:rPr>
            </w:r>
            <w:r>
              <w:rPr>
                <w:noProof/>
                <w:webHidden/>
              </w:rPr>
              <w:fldChar w:fldCharType="separate"/>
            </w:r>
            <w:r>
              <w:rPr>
                <w:noProof/>
                <w:webHidden/>
              </w:rPr>
              <w:t>7</w:t>
            </w:r>
            <w:r>
              <w:rPr>
                <w:noProof/>
                <w:webHidden/>
              </w:rPr>
              <w:fldChar w:fldCharType="end"/>
            </w:r>
          </w:hyperlink>
        </w:p>
        <w:p w14:paraId="7D5076E9" w14:textId="69C69888" w:rsidR="000460F8" w:rsidRDefault="000460F8">
          <w:pPr>
            <w:pStyle w:val="Saturs1"/>
            <w:rPr>
              <w:rFonts w:eastAsiaTheme="minorEastAsia"/>
              <w:noProof/>
              <w:lang w:eastAsia="lv-LV"/>
            </w:rPr>
          </w:pPr>
          <w:hyperlink w:anchor="_Toc24034134" w:history="1">
            <w:r w:rsidRPr="00832F59">
              <w:rPr>
                <w:rStyle w:val="Hipersaite"/>
                <w:rFonts w:ascii="Times New Roman" w:hAnsi="Times New Roman" w:cs="Times New Roman"/>
                <w:b/>
                <w:noProof/>
              </w:rPr>
              <w:t>2.1.</w:t>
            </w:r>
            <w:r>
              <w:rPr>
                <w:rFonts w:eastAsiaTheme="minorEastAsia"/>
                <w:noProof/>
                <w:lang w:eastAsia="lv-LV"/>
              </w:rPr>
              <w:tab/>
            </w:r>
            <w:r w:rsidRPr="00832F59">
              <w:rPr>
                <w:rStyle w:val="Hipersaite"/>
                <w:rFonts w:ascii="Times New Roman" w:hAnsi="Times New Roman" w:cs="Times New Roman"/>
                <w:b/>
                <w:noProof/>
              </w:rPr>
              <w:t>Investīcijas uzņēmēj</w:t>
            </w:r>
            <w:r w:rsidRPr="00832F59">
              <w:rPr>
                <w:rStyle w:val="Hipersaite"/>
                <w:rFonts w:ascii="Times New Roman" w:hAnsi="Times New Roman" w:cs="Times New Roman"/>
                <w:b/>
                <w:noProof/>
              </w:rPr>
              <w:t>d</w:t>
            </w:r>
            <w:r w:rsidRPr="00832F59">
              <w:rPr>
                <w:rStyle w:val="Hipersaite"/>
                <w:rFonts w:ascii="Times New Roman" w:hAnsi="Times New Roman" w:cs="Times New Roman"/>
                <w:b/>
                <w:noProof/>
              </w:rPr>
              <w:t>arbībai</w:t>
            </w:r>
            <w:r>
              <w:rPr>
                <w:noProof/>
                <w:webHidden/>
              </w:rPr>
              <w:tab/>
            </w:r>
            <w:r>
              <w:rPr>
                <w:noProof/>
                <w:webHidden/>
              </w:rPr>
              <w:fldChar w:fldCharType="begin"/>
            </w:r>
            <w:r>
              <w:rPr>
                <w:noProof/>
                <w:webHidden/>
              </w:rPr>
              <w:instrText xml:space="preserve"> PAGEREF _Toc24034134 \h </w:instrText>
            </w:r>
            <w:r>
              <w:rPr>
                <w:noProof/>
                <w:webHidden/>
              </w:rPr>
            </w:r>
            <w:r>
              <w:rPr>
                <w:noProof/>
                <w:webHidden/>
              </w:rPr>
              <w:fldChar w:fldCharType="separate"/>
            </w:r>
            <w:r>
              <w:rPr>
                <w:noProof/>
                <w:webHidden/>
              </w:rPr>
              <w:t>7</w:t>
            </w:r>
            <w:r>
              <w:rPr>
                <w:noProof/>
                <w:webHidden/>
              </w:rPr>
              <w:fldChar w:fldCharType="end"/>
            </w:r>
          </w:hyperlink>
        </w:p>
        <w:p w14:paraId="12EEC973" w14:textId="74C4D5C7" w:rsidR="000460F8" w:rsidRDefault="000460F8">
          <w:pPr>
            <w:pStyle w:val="Saturs1"/>
            <w:rPr>
              <w:rFonts w:eastAsiaTheme="minorEastAsia"/>
              <w:noProof/>
              <w:lang w:eastAsia="lv-LV"/>
            </w:rPr>
          </w:pPr>
          <w:hyperlink w:anchor="_Toc24034135" w:history="1">
            <w:r w:rsidRPr="00832F59">
              <w:rPr>
                <w:rStyle w:val="Hipersaite"/>
                <w:rFonts w:ascii="Times New Roman" w:hAnsi="Times New Roman" w:cs="Times New Roman"/>
                <w:b/>
                <w:noProof/>
              </w:rPr>
              <w:t>2.2.</w:t>
            </w:r>
            <w:r>
              <w:rPr>
                <w:rFonts w:eastAsiaTheme="minorEastAsia"/>
                <w:noProof/>
                <w:lang w:eastAsia="lv-LV"/>
              </w:rPr>
              <w:tab/>
            </w:r>
            <w:r w:rsidRPr="00832F59">
              <w:rPr>
                <w:rStyle w:val="Hipersaite"/>
                <w:rFonts w:ascii="Times New Roman" w:hAnsi="Times New Roman" w:cs="Times New Roman"/>
                <w:b/>
                <w:noProof/>
              </w:rPr>
              <w:t>Investīcijas pakalpojumu efektivitātes uzlabošanai reģionos</w:t>
            </w:r>
            <w:r>
              <w:rPr>
                <w:noProof/>
                <w:webHidden/>
              </w:rPr>
              <w:tab/>
            </w:r>
            <w:r>
              <w:rPr>
                <w:noProof/>
                <w:webHidden/>
              </w:rPr>
              <w:fldChar w:fldCharType="begin"/>
            </w:r>
            <w:r>
              <w:rPr>
                <w:noProof/>
                <w:webHidden/>
              </w:rPr>
              <w:instrText xml:space="preserve"> PAGEREF _Toc24034135 \h </w:instrText>
            </w:r>
            <w:r>
              <w:rPr>
                <w:noProof/>
                <w:webHidden/>
              </w:rPr>
            </w:r>
            <w:r>
              <w:rPr>
                <w:noProof/>
                <w:webHidden/>
              </w:rPr>
              <w:fldChar w:fldCharType="separate"/>
            </w:r>
            <w:r>
              <w:rPr>
                <w:noProof/>
                <w:webHidden/>
              </w:rPr>
              <w:t>10</w:t>
            </w:r>
            <w:r>
              <w:rPr>
                <w:noProof/>
                <w:webHidden/>
              </w:rPr>
              <w:fldChar w:fldCharType="end"/>
            </w:r>
          </w:hyperlink>
        </w:p>
        <w:p w14:paraId="6DB2FD8B" w14:textId="3DE2CCAD" w:rsidR="000460F8" w:rsidRDefault="000460F8">
          <w:pPr>
            <w:pStyle w:val="Saturs1"/>
            <w:rPr>
              <w:rFonts w:eastAsiaTheme="minorEastAsia"/>
              <w:noProof/>
              <w:lang w:eastAsia="lv-LV"/>
            </w:rPr>
          </w:pPr>
          <w:hyperlink w:anchor="_Toc24034136" w:history="1">
            <w:r w:rsidRPr="00832F59">
              <w:rPr>
                <w:rStyle w:val="Hipersaite"/>
                <w:rFonts w:ascii="Times New Roman" w:hAnsi="Times New Roman" w:cs="Times New Roman"/>
                <w:b/>
                <w:noProof/>
              </w:rPr>
              <w:t>2.3.</w:t>
            </w:r>
            <w:r>
              <w:rPr>
                <w:rFonts w:eastAsiaTheme="minorEastAsia"/>
                <w:noProof/>
                <w:lang w:eastAsia="lv-LV"/>
              </w:rPr>
              <w:tab/>
            </w:r>
            <w:r w:rsidRPr="00832F59">
              <w:rPr>
                <w:rStyle w:val="Hipersaite"/>
                <w:rFonts w:ascii="Times New Roman" w:hAnsi="Times New Roman" w:cs="Times New Roman"/>
                <w:b/>
                <w:noProof/>
              </w:rPr>
              <w:t>Investīcijas teritoriālajai sadarbībai</w:t>
            </w:r>
            <w:r>
              <w:rPr>
                <w:noProof/>
                <w:webHidden/>
              </w:rPr>
              <w:tab/>
            </w:r>
            <w:r>
              <w:rPr>
                <w:noProof/>
                <w:webHidden/>
              </w:rPr>
              <w:fldChar w:fldCharType="begin"/>
            </w:r>
            <w:r>
              <w:rPr>
                <w:noProof/>
                <w:webHidden/>
              </w:rPr>
              <w:instrText xml:space="preserve"> PAGEREF _Toc24034136 \h </w:instrText>
            </w:r>
            <w:r>
              <w:rPr>
                <w:noProof/>
                <w:webHidden/>
              </w:rPr>
            </w:r>
            <w:r>
              <w:rPr>
                <w:noProof/>
                <w:webHidden/>
              </w:rPr>
              <w:fldChar w:fldCharType="separate"/>
            </w:r>
            <w:r>
              <w:rPr>
                <w:noProof/>
                <w:webHidden/>
              </w:rPr>
              <w:t>13</w:t>
            </w:r>
            <w:r>
              <w:rPr>
                <w:noProof/>
                <w:webHidden/>
              </w:rPr>
              <w:fldChar w:fldCharType="end"/>
            </w:r>
          </w:hyperlink>
        </w:p>
        <w:p w14:paraId="06B5A341" w14:textId="4A102D6A" w:rsidR="000460F8" w:rsidRDefault="000460F8">
          <w:pPr>
            <w:pStyle w:val="Saturs1"/>
            <w:rPr>
              <w:rFonts w:eastAsiaTheme="minorEastAsia"/>
              <w:noProof/>
              <w:lang w:eastAsia="lv-LV"/>
            </w:rPr>
          </w:pPr>
          <w:hyperlink w:anchor="_Toc24034137" w:history="1">
            <w:r w:rsidRPr="00832F59">
              <w:rPr>
                <w:rStyle w:val="Hipersaite"/>
                <w:rFonts w:ascii="Times New Roman" w:hAnsi="Times New Roman" w:cs="Times New Roman"/>
                <w:b/>
                <w:noProof/>
              </w:rPr>
              <w:t>3.</w:t>
            </w:r>
            <w:r>
              <w:rPr>
                <w:rFonts w:eastAsiaTheme="minorEastAsia"/>
                <w:noProof/>
                <w:lang w:eastAsia="lv-LV"/>
              </w:rPr>
              <w:tab/>
            </w:r>
            <w:r w:rsidRPr="00832F59">
              <w:rPr>
                <w:rStyle w:val="Hipersaite"/>
                <w:rFonts w:ascii="Times New Roman" w:hAnsi="Times New Roman" w:cs="Times New Roman"/>
                <w:b/>
                <w:noProof/>
              </w:rPr>
              <w:t>Reģionālās politikas mērķi 2021.-2027.gadam</w:t>
            </w:r>
            <w:r>
              <w:rPr>
                <w:noProof/>
                <w:webHidden/>
              </w:rPr>
              <w:tab/>
            </w:r>
            <w:r>
              <w:rPr>
                <w:noProof/>
                <w:webHidden/>
              </w:rPr>
              <w:fldChar w:fldCharType="begin"/>
            </w:r>
            <w:r>
              <w:rPr>
                <w:noProof/>
                <w:webHidden/>
              </w:rPr>
              <w:instrText xml:space="preserve"> PAGEREF _Toc24034137 \h </w:instrText>
            </w:r>
            <w:r>
              <w:rPr>
                <w:noProof/>
                <w:webHidden/>
              </w:rPr>
            </w:r>
            <w:r>
              <w:rPr>
                <w:noProof/>
                <w:webHidden/>
              </w:rPr>
              <w:fldChar w:fldCharType="separate"/>
            </w:r>
            <w:r>
              <w:rPr>
                <w:noProof/>
                <w:webHidden/>
              </w:rPr>
              <w:t>14</w:t>
            </w:r>
            <w:r>
              <w:rPr>
                <w:noProof/>
                <w:webHidden/>
              </w:rPr>
              <w:fldChar w:fldCharType="end"/>
            </w:r>
          </w:hyperlink>
        </w:p>
        <w:p w14:paraId="35E723E0" w14:textId="01449B81" w:rsidR="003C447C" w:rsidRDefault="006A1C7B" w:rsidP="003C447C">
          <w:pPr>
            <w:pStyle w:val="Saturs1"/>
            <w:rPr>
              <w:rStyle w:val="Hipersaite"/>
              <w:rFonts w:ascii="Times New Roman" w:hAnsi="Times New Roman" w:cs="Times New Roman"/>
              <w:b/>
              <w:noProof/>
            </w:rPr>
          </w:pPr>
          <w:r w:rsidRPr="0061170B">
            <w:rPr>
              <w:rFonts w:ascii="Times New Roman" w:hAnsi="Times New Roman" w:cs="Times New Roman"/>
              <w:bCs/>
              <w:noProof/>
              <w:sz w:val="28"/>
              <w:szCs w:val="28"/>
            </w:rPr>
            <w:fldChar w:fldCharType="end"/>
          </w:r>
          <w:r w:rsidR="003C447C" w:rsidRPr="003C447C">
            <w:rPr>
              <w:rStyle w:val="Hipersaite"/>
              <w:rFonts w:ascii="Times New Roman" w:hAnsi="Times New Roman" w:cs="Times New Roman"/>
              <w:b/>
              <w:noProof/>
              <w:color w:val="auto"/>
              <w:u w:val="none"/>
            </w:rPr>
            <w:t>Pielikums</w:t>
          </w:r>
        </w:p>
      </w:sdtContent>
    </w:sdt>
    <w:p w14:paraId="46391A8E" w14:textId="78C8440A" w:rsidR="003423B0" w:rsidRPr="003C447C" w:rsidRDefault="003423B0" w:rsidP="003C447C">
      <w:pPr>
        <w:pStyle w:val="Saturs1"/>
        <w:rPr>
          <w:rFonts w:ascii="Times New Roman" w:hAnsi="Times New Roman" w:cs="Times New Roman"/>
          <w:b/>
          <w:noProof/>
          <w:color w:val="0563C1" w:themeColor="hyperlink"/>
          <w:u w:val="single"/>
        </w:rPr>
      </w:pPr>
      <w:r w:rsidRPr="00E41AB3">
        <w:rPr>
          <w:rFonts w:ascii="Times New Roman" w:hAnsi="Times New Roman" w:cs="Times New Roman"/>
          <w:b/>
          <w:sz w:val="32"/>
          <w:szCs w:val="24"/>
        </w:rPr>
        <w:br w:type="page"/>
      </w:r>
    </w:p>
    <w:p w14:paraId="6137B64C" w14:textId="63A08785" w:rsidR="001F59FB" w:rsidRPr="00E41AB3" w:rsidRDefault="00C80CBE" w:rsidP="004C46F4">
      <w:pPr>
        <w:pStyle w:val="Virsraksts1"/>
        <w:numPr>
          <w:ilvl w:val="0"/>
          <w:numId w:val="19"/>
        </w:numPr>
        <w:spacing w:after="240"/>
        <w:rPr>
          <w:rFonts w:ascii="Times New Roman" w:hAnsi="Times New Roman" w:cs="Times New Roman"/>
          <w:b/>
          <w:color w:val="auto"/>
        </w:rPr>
      </w:pPr>
      <w:bookmarkStart w:id="2" w:name="_Toc24034132"/>
      <w:r w:rsidRPr="00E41AB3">
        <w:rPr>
          <w:rFonts w:ascii="Times New Roman" w:hAnsi="Times New Roman" w:cs="Times New Roman"/>
          <w:b/>
          <w:color w:val="auto"/>
        </w:rPr>
        <w:lastRenderedPageBreak/>
        <w:t>Reģionālā attīstība Latvijā</w:t>
      </w:r>
      <w:r w:rsidR="00C96577" w:rsidRPr="00E41AB3">
        <w:rPr>
          <w:rFonts w:ascii="Times New Roman" w:hAnsi="Times New Roman" w:cs="Times New Roman"/>
          <w:b/>
          <w:color w:val="auto"/>
        </w:rPr>
        <w:t xml:space="preserve"> un Vidzemē</w:t>
      </w:r>
      <w:bookmarkEnd w:id="2"/>
    </w:p>
    <w:p w14:paraId="31597DC4" w14:textId="129C0C70" w:rsidR="00EA4605" w:rsidRDefault="00EA4605" w:rsidP="004D18CC">
      <w:pPr>
        <w:spacing w:after="0"/>
        <w:jc w:val="both"/>
        <w:rPr>
          <w:rFonts w:ascii="Times New Roman" w:eastAsia="Times New Roman" w:hAnsi="Times New Roman" w:cs="Times New Roman"/>
          <w:bCs/>
          <w:iCs/>
          <w:kern w:val="36"/>
          <w:sz w:val="24"/>
          <w:szCs w:val="24"/>
          <w:lang w:eastAsia="lv-LV"/>
        </w:rPr>
      </w:pPr>
      <w:r w:rsidRPr="00E41AB3">
        <w:rPr>
          <w:rFonts w:ascii="Times New Roman" w:hAnsi="Times New Roman" w:cs="Times New Roman"/>
          <w:sz w:val="24"/>
          <w:szCs w:val="24"/>
        </w:rPr>
        <w:t xml:space="preserve">Katrā valstī ir teritorijas ar augstiem attīstības rādītājiem un teritorijas, kas atpaliek attīstībā, taču Latvijā pastāv pārāk lielas disproporcijas teritoriju attīstības rādītājos, kas ir ievērojamas arī </w:t>
      </w:r>
      <w:r w:rsidR="00303F0A">
        <w:rPr>
          <w:rFonts w:ascii="Times New Roman" w:hAnsi="Times New Roman" w:cs="Times New Roman"/>
          <w:sz w:val="24"/>
          <w:szCs w:val="24"/>
        </w:rPr>
        <w:t xml:space="preserve">Eiropas Savienības (turpmāk – </w:t>
      </w:r>
      <w:r w:rsidRPr="00E41AB3">
        <w:rPr>
          <w:rFonts w:ascii="Times New Roman" w:hAnsi="Times New Roman" w:cs="Times New Roman"/>
          <w:sz w:val="24"/>
          <w:szCs w:val="24"/>
        </w:rPr>
        <w:t>ES</w:t>
      </w:r>
      <w:r w:rsidR="00303F0A">
        <w:rPr>
          <w:rFonts w:ascii="Times New Roman" w:hAnsi="Times New Roman" w:cs="Times New Roman"/>
          <w:sz w:val="24"/>
          <w:szCs w:val="24"/>
        </w:rPr>
        <w:t>)</w:t>
      </w:r>
      <w:r w:rsidRPr="00E41AB3">
        <w:rPr>
          <w:rFonts w:ascii="Times New Roman" w:hAnsi="Times New Roman" w:cs="Times New Roman"/>
          <w:sz w:val="24"/>
          <w:szCs w:val="24"/>
        </w:rPr>
        <w:t xml:space="preserve"> mērogā. Pēc </w:t>
      </w:r>
      <w:r w:rsidRPr="00E41AB3">
        <w:rPr>
          <w:rFonts w:ascii="Times New Roman" w:eastAsia="Times New Roman" w:hAnsi="Times New Roman" w:cs="Times New Roman"/>
          <w:sz w:val="24"/>
          <w:szCs w:val="24"/>
          <w:lang w:eastAsia="lv-LV"/>
        </w:rPr>
        <w:t xml:space="preserve">reģionālā iekšzemes kopprodukta (turpmāk – IKP) uz vienu iedzīvotāju dispersijas NUTS 3 statistisko reģionu griezumā Latvijā reģionālās atšķirības ir </w:t>
      </w:r>
      <w:r w:rsidR="004D18CC">
        <w:rPr>
          <w:rFonts w:ascii="Times New Roman" w:eastAsia="Times New Roman" w:hAnsi="Times New Roman" w:cs="Times New Roman"/>
          <w:sz w:val="24"/>
          <w:szCs w:val="24"/>
          <w:lang w:eastAsia="lv-LV"/>
        </w:rPr>
        <w:t xml:space="preserve">trešās </w:t>
      </w:r>
      <w:r w:rsidRPr="00E41AB3">
        <w:rPr>
          <w:rFonts w:ascii="Times New Roman" w:eastAsia="Times New Roman" w:hAnsi="Times New Roman" w:cs="Times New Roman"/>
          <w:sz w:val="24"/>
          <w:szCs w:val="24"/>
          <w:lang w:eastAsia="lv-LV"/>
        </w:rPr>
        <w:t>augstākās</w:t>
      </w:r>
      <w:r w:rsidR="002177B2" w:rsidRPr="00E41AB3">
        <w:rPr>
          <w:rFonts w:ascii="Times New Roman" w:eastAsia="Times New Roman" w:hAnsi="Times New Roman" w:cs="Times New Roman"/>
          <w:sz w:val="24"/>
          <w:szCs w:val="24"/>
          <w:lang w:eastAsia="lv-LV"/>
        </w:rPr>
        <w:t xml:space="preserve"> </w:t>
      </w:r>
      <w:r w:rsidR="0001072F" w:rsidRPr="00E41AB3">
        <w:rPr>
          <w:rFonts w:ascii="Times New Roman" w:eastAsia="Times New Roman" w:hAnsi="Times New Roman" w:cs="Times New Roman"/>
          <w:sz w:val="24"/>
          <w:szCs w:val="24"/>
          <w:lang w:eastAsia="lv-LV"/>
        </w:rPr>
        <w:t>–</w:t>
      </w:r>
      <w:r w:rsidR="002177B2" w:rsidRPr="00E41AB3">
        <w:rPr>
          <w:rFonts w:ascii="Times New Roman" w:eastAsia="Times New Roman" w:hAnsi="Times New Roman" w:cs="Times New Roman"/>
          <w:sz w:val="24"/>
          <w:szCs w:val="24"/>
          <w:lang w:eastAsia="lv-LV"/>
        </w:rPr>
        <w:t xml:space="preserve"> </w:t>
      </w:r>
      <w:r w:rsidRPr="00E41AB3">
        <w:rPr>
          <w:rFonts w:ascii="Times New Roman" w:eastAsia="Times New Roman" w:hAnsi="Times New Roman" w:cs="Times New Roman"/>
          <w:bCs/>
          <w:iCs/>
          <w:kern w:val="36"/>
          <w:sz w:val="24"/>
          <w:szCs w:val="24"/>
          <w:lang w:eastAsia="lv-LV"/>
        </w:rPr>
        <w:t>Rīgas reģionā IKP uz vienu iedzīvotāju ir 2,6 reizes lie</w:t>
      </w:r>
      <w:r w:rsidR="008A340D" w:rsidRPr="00E41AB3">
        <w:rPr>
          <w:rFonts w:ascii="Times New Roman" w:eastAsia="Times New Roman" w:hAnsi="Times New Roman" w:cs="Times New Roman"/>
          <w:bCs/>
          <w:iCs/>
          <w:kern w:val="36"/>
          <w:sz w:val="24"/>
          <w:szCs w:val="24"/>
          <w:lang w:eastAsia="lv-LV"/>
        </w:rPr>
        <w:t xml:space="preserve">lāks nekā Latgales reģionā jeb 51% IKP uz vienu iedzīvotāju </w:t>
      </w:r>
      <w:r w:rsidR="0001072F" w:rsidRPr="00E41AB3">
        <w:rPr>
          <w:rFonts w:ascii="Times New Roman" w:eastAsia="Times New Roman" w:hAnsi="Times New Roman" w:cs="Times New Roman"/>
          <w:bCs/>
          <w:iCs/>
          <w:kern w:val="36"/>
          <w:sz w:val="24"/>
          <w:szCs w:val="24"/>
          <w:lang w:eastAsia="lv-LV"/>
        </w:rPr>
        <w:t>pret</w:t>
      </w:r>
      <w:r w:rsidR="008A340D" w:rsidRPr="00E41AB3">
        <w:rPr>
          <w:rFonts w:ascii="Times New Roman" w:eastAsia="Times New Roman" w:hAnsi="Times New Roman" w:cs="Times New Roman"/>
          <w:bCs/>
          <w:iCs/>
          <w:kern w:val="36"/>
          <w:sz w:val="24"/>
          <w:szCs w:val="24"/>
          <w:lang w:eastAsia="lv-LV"/>
        </w:rPr>
        <w:t xml:space="preserve"> valsts vidējo </w:t>
      </w:r>
      <w:r w:rsidR="0001072F" w:rsidRPr="00E41AB3">
        <w:rPr>
          <w:rFonts w:ascii="Times New Roman" w:eastAsia="Times New Roman" w:hAnsi="Times New Roman" w:cs="Times New Roman"/>
          <w:bCs/>
          <w:iCs/>
          <w:kern w:val="36"/>
          <w:sz w:val="24"/>
          <w:szCs w:val="24"/>
          <w:lang w:eastAsia="lv-LV"/>
        </w:rPr>
        <w:t xml:space="preserve">rādītāju </w:t>
      </w:r>
      <w:r w:rsidR="004D18CC" w:rsidRPr="00E41AB3">
        <w:rPr>
          <w:rFonts w:ascii="Times New Roman" w:eastAsia="Times New Roman" w:hAnsi="Times New Roman" w:cs="Times New Roman"/>
          <w:bCs/>
          <w:iCs/>
          <w:kern w:val="36"/>
          <w:sz w:val="24"/>
          <w:szCs w:val="24"/>
          <w:lang w:eastAsia="lv-LV"/>
        </w:rPr>
        <w:t>(</w:t>
      </w:r>
      <w:r w:rsidR="004D18CC">
        <w:rPr>
          <w:rFonts w:ascii="Times New Roman" w:eastAsia="Times New Roman" w:hAnsi="Times New Roman" w:cs="Times New Roman"/>
          <w:bCs/>
          <w:iCs/>
          <w:kern w:val="36"/>
          <w:sz w:val="24"/>
          <w:szCs w:val="24"/>
          <w:lang w:eastAsia="lv-LV"/>
        </w:rPr>
        <w:t xml:space="preserve">Centrālās statistikas pārvaldes (turpmāk – CSP) dati, </w:t>
      </w:r>
      <w:r w:rsidR="004D18CC" w:rsidRPr="00E41AB3">
        <w:rPr>
          <w:rFonts w:ascii="Times New Roman" w:eastAsia="Times New Roman" w:hAnsi="Times New Roman" w:cs="Times New Roman"/>
          <w:bCs/>
          <w:iCs/>
          <w:kern w:val="36"/>
          <w:sz w:val="24"/>
          <w:szCs w:val="24"/>
          <w:lang w:eastAsia="lv-LV"/>
        </w:rPr>
        <w:t>2016.gads).</w:t>
      </w:r>
    </w:p>
    <w:p w14:paraId="577FEBA5" w14:textId="77777777" w:rsidR="00304F1E" w:rsidRPr="00EF428B" w:rsidRDefault="00304F1E" w:rsidP="00304F1E">
      <w:pPr>
        <w:spacing w:after="120"/>
        <w:jc w:val="right"/>
        <w:rPr>
          <w:rFonts w:ascii="Times New Roman" w:hAnsi="Times New Roman" w:cs="Times New Roman"/>
          <w:i/>
          <w:sz w:val="24"/>
          <w:szCs w:val="24"/>
        </w:rPr>
      </w:pPr>
      <w:r w:rsidRPr="00EF428B">
        <w:rPr>
          <w:rFonts w:ascii="Times New Roman" w:hAnsi="Times New Roman" w:cs="Times New Roman"/>
          <w:i/>
          <w:sz w:val="24"/>
          <w:szCs w:val="24"/>
        </w:rPr>
        <w:t>Attēls Nr.1</w:t>
      </w:r>
    </w:p>
    <w:p w14:paraId="3FB53A13" w14:textId="4DF502A4" w:rsidR="004463EA" w:rsidRPr="00E41AB3" w:rsidRDefault="00F94B79" w:rsidP="002177B2">
      <w:pPr>
        <w:spacing w:after="120"/>
        <w:jc w:val="both"/>
        <w:rPr>
          <w:rFonts w:ascii="Times New Roman" w:eastAsia="Times New Roman" w:hAnsi="Times New Roman" w:cs="Times New Roman"/>
          <w:bCs/>
          <w:iCs/>
          <w:kern w:val="36"/>
          <w:sz w:val="24"/>
          <w:szCs w:val="24"/>
          <w:lang w:eastAsia="lv-LV"/>
        </w:rPr>
      </w:pPr>
      <w:r>
        <w:rPr>
          <w:noProof/>
        </w:rPr>
        <w:drawing>
          <wp:inline distT="0" distB="0" distL="0" distR="0" wp14:anchorId="4B73314F" wp14:editId="1D377479">
            <wp:extent cx="6115050" cy="2209800"/>
            <wp:effectExtent l="0" t="0" r="0" b="0"/>
            <wp:docPr id="9" name="Chart 4">
              <a:extLst xmlns:a="http://schemas.openxmlformats.org/drawingml/2006/main">
                <a:ext uri="{FF2B5EF4-FFF2-40B4-BE49-F238E27FC236}">
                  <a16:creationId xmlns:a16="http://schemas.microsoft.com/office/drawing/2014/main" id="{A1858DB3-3DAC-444A-9629-A73D2C68C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B48B96" w14:textId="30DC97AE" w:rsidR="00177567" w:rsidRPr="00E41AB3" w:rsidRDefault="00350C5B" w:rsidP="002B32B3">
      <w:pPr>
        <w:spacing w:after="120"/>
        <w:jc w:val="both"/>
        <w:rPr>
          <w:rFonts w:ascii="Times New Roman" w:eastAsia="Times New Roman" w:hAnsi="Times New Roman" w:cs="Times New Roman"/>
          <w:bCs/>
          <w:iCs/>
          <w:kern w:val="36"/>
          <w:sz w:val="24"/>
          <w:szCs w:val="24"/>
          <w:lang w:eastAsia="lv-LV"/>
        </w:rPr>
      </w:pPr>
      <w:r w:rsidRPr="00E41AB3">
        <w:rPr>
          <w:rFonts w:ascii="Times New Roman" w:eastAsia="Times New Roman" w:hAnsi="Times New Roman" w:cs="Times New Roman"/>
          <w:b/>
          <w:bCs/>
          <w:iCs/>
          <w:kern w:val="36"/>
          <w:sz w:val="24"/>
          <w:szCs w:val="24"/>
          <w:lang w:eastAsia="lv-LV"/>
        </w:rPr>
        <w:t xml:space="preserve">Vērtējot reģionālās attīstības atšķirības pēdējo 10 gadu laikā, </w:t>
      </w:r>
      <w:r w:rsidR="002A2588">
        <w:rPr>
          <w:rFonts w:ascii="Times New Roman" w:eastAsia="Times New Roman" w:hAnsi="Times New Roman" w:cs="Times New Roman"/>
          <w:b/>
          <w:bCs/>
          <w:iCs/>
          <w:kern w:val="36"/>
          <w:sz w:val="24"/>
          <w:szCs w:val="24"/>
          <w:lang w:eastAsia="lv-LV"/>
        </w:rPr>
        <w:t xml:space="preserve">tās </w:t>
      </w:r>
      <w:r w:rsidR="0001072F" w:rsidRPr="00E41AB3">
        <w:rPr>
          <w:rFonts w:ascii="Times New Roman" w:eastAsia="Times New Roman" w:hAnsi="Times New Roman" w:cs="Times New Roman"/>
          <w:b/>
          <w:bCs/>
          <w:iCs/>
          <w:kern w:val="36"/>
          <w:sz w:val="24"/>
          <w:szCs w:val="24"/>
          <w:lang w:eastAsia="lv-LV"/>
        </w:rPr>
        <w:t>ir nedaudz samazinājušas</w:t>
      </w:r>
      <w:r w:rsidR="006E28C6" w:rsidRPr="00E41AB3">
        <w:rPr>
          <w:rFonts w:ascii="Times New Roman" w:eastAsia="Times New Roman" w:hAnsi="Times New Roman" w:cs="Times New Roman"/>
          <w:b/>
          <w:bCs/>
          <w:iCs/>
          <w:kern w:val="36"/>
          <w:sz w:val="24"/>
          <w:szCs w:val="24"/>
          <w:lang w:eastAsia="lv-LV"/>
        </w:rPr>
        <w:t xml:space="preserve"> </w:t>
      </w:r>
      <w:r w:rsidR="0001072F" w:rsidRPr="00E41AB3">
        <w:rPr>
          <w:rFonts w:ascii="Times New Roman" w:eastAsia="Times New Roman" w:hAnsi="Times New Roman" w:cs="Times New Roman"/>
          <w:bCs/>
          <w:i/>
          <w:iCs/>
          <w:kern w:val="36"/>
          <w:sz w:val="24"/>
          <w:szCs w:val="24"/>
          <w:lang w:eastAsia="lv-LV"/>
        </w:rPr>
        <w:t>(skatīt attēlu Nr.1)</w:t>
      </w:r>
      <w:r w:rsidR="006E28C6" w:rsidRPr="00E41AB3">
        <w:rPr>
          <w:rFonts w:ascii="Times New Roman" w:eastAsia="Times New Roman" w:hAnsi="Times New Roman" w:cs="Times New Roman"/>
          <w:bCs/>
          <w:iCs/>
          <w:kern w:val="36"/>
          <w:sz w:val="24"/>
          <w:szCs w:val="24"/>
          <w:lang w:eastAsia="lv-LV"/>
        </w:rPr>
        <w:t xml:space="preserve"> – </w:t>
      </w:r>
      <w:r w:rsidR="00C80CBE" w:rsidRPr="00E41AB3">
        <w:rPr>
          <w:rFonts w:ascii="Times New Roman" w:eastAsia="Times New Roman" w:hAnsi="Times New Roman" w:cs="Times New Roman"/>
          <w:bCs/>
          <w:iCs/>
          <w:kern w:val="36"/>
          <w:sz w:val="24"/>
          <w:szCs w:val="24"/>
          <w:lang w:eastAsia="lv-LV"/>
        </w:rPr>
        <w:t xml:space="preserve">lielākais </w:t>
      </w:r>
      <w:r w:rsidR="006E28C6" w:rsidRPr="00E41AB3">
        <w:rPr>
          <w:rFonts w:ascii="Times New Roman" w:eastAsia="Times New Roman" w:hAnsi="Times New Roman" w:cs="Times New Roman"/>
          <w:bCs/>
          <w:iCs/>
          <w:kern w:val="36"/>
          <w:sz w:val="24"/>
          <w:szCs w:val="24"/>
          <w:lang w:eastAsia="lv-LV"/>
        </w:rPr>
        <w:t>IKP starpības samazinājums ir</w:t>
      </w:r>
      <w:r w:rsidR="00C80CBE" w:rsidRPr="00E41AB3">
        <w:rPr>
          <w:rFonts w:ascii="Times New Roman" w:eastAsia="Times New Roman" w:hAnsi="Times New Roman" w:cs="Times New Roman"/>
          <w:bCs/>
          <w:iCs/>
          <w:kern w:val="36"/>
          <w:sz w:val="24"/>
          <w:szCs w:val="24"/>
          <w:lang w:eastAsia="lv-LV"/>
        </w:rPr>
        <w:t xml:space="preserve"> Latgalē (5%) un Vidzemē (4%). </w:t>
      </w:r>
      <w:r w:rsidR="006E28C6" w:rsidRPr="00E41AB3">
        <w:rPr>
          <w:rFonts w:ascii="Times New Roman" w:eastAsia="Times New Roman" w:hAnsi="Times New Roman" w:cs="Times New Roman"/>
          <w:bCs/>
          <w:iCs/>
          <w:kern w:val="36"/>
          <w:sz w:val="24"/>
          <w:szCs w:val="24"/>
          <w:lang w:eastAsia="lv-LV"/>
        </w:rPr>
        <w:t xml:space="preserve"> </w:t>
      </w:r>
      <w:r w:rsidRPr="00E41AB3">
        <w:rPr>
          <w:rFonts w:ascii="Times New Roman" w:eastAsia="Times New Roman" w:hAnsi="Times New Roman" w:cs="Times New Roman"/>
          <w:bCs/>
          <w:iCs/>
          <w:kern w:val="36"/>
          <w:sz w:val="24"/>
          <w:szCs w:val="24"/>
          <w:lang w:eastAsia="lv-LV"/>
        </w:rPr>
        <w:t xml:space="preserve">Tas skaidrojams ar to, ka </w:t>
      </w:r>
      <w:r w:rsidRPr="00E41AB3">
        <w:rPr>
          <w:rFonts w:ascii="Times New Roman" w:eastAsia="Times New Roman" w:hAnsi="Times New Roman" w:cs="Times New Roman"/>
          <w:b/>
          <w:bCs/>
          <w:iCs/>
          <w:kern w:val="36"/>
          <w:sz w:val="24"/>
          <w:szCs w:val="24"/>
          <w:lang w:eastAsia="lv-LV"/>
        </w:rPr>
        <w:t>reģioni pēdējos 10 gadus ir auguši straujāk par Latvijas vidējo</w:t>
      </w:r>
      <w:r w:rsidR="006E28C6" w:rsidRPr="00E41AB3">
        <w:rPr>
          <w:rFonts w:ascii="Times New Roman" w:eastAsia="Times New Roman" w:hAnsi="Times New Roman" w:cs="Times New Roman"/>
          <w:b/>
          <w:bCs/>
          <w:iCs/>
          <w:kern w:val="36"/>
          <w:sz w:val="24"/>
          <w:szCs w:val="24"/>
          <w:lang w:eastAsia="lv-LV"/>
        </w:rPr>
        <w:t xml:space="preserve"> līmeni</w:t>
      </w:r>
      <w:r w:rsidRPr="00E41AB3">
        <w:rPr>
          <w:rFonts w:ascii="Times New Roman" w:eastAsia="Times New Roman" w:hAnsi="Times New Roman" w:cs="Times New Roman"/>
          <w:bCs/>
          <w:iCs/>
          <w:kern w:val="36"/>
          <w:sz w:val="24"/>
          <w:szCs w:val="24"/>
          <w:lang w:eastAsia="lv-LV"/>
        </w:rPr>
        <w:t xml:space="preserve">, </w:t>
      </w:r>
      <w:r w:rsidR="00C80CBE" w:rsidRPr="00E41AB3">
        <w:rPr>
          <w:rFonts w:ascii="Times New Roman" w:eastAsia="Times New Roman" w:hAnsi="Times New Roman" w:cs="Times New Roman"/>
          <w:bCs/>
          <w:iCs/>
          <w:kern w:val="36"/>
          <w:sz w:val="24"/>
          <w:szCs w:val="24"/>
          <w:lang w:eastAsia="lv-LV"/>
        </w:rPr>
        <w:t xml:space="preserve">Vidzeme ir augusi </w:t>
      </w:r>
      <w:r w:rsidRPr="00E41AB3">
        <w:rPr>
          <w:rFonts w:ascii="Times New Roman" w:eastAsia="Times New Roman" w:hAnsi="Times New Roman" w:cs="Times New Roman"/>
          <w:bCs/>
          <w:iCs/>
          <w:kern w:val="36"/>
          <w:sz w:val="24"/>
          <w:szCs w:val="24"/>
          <w:lang w:eastAsia="lv-LV"/>
        </w:rPr>
        <w:t>līdz pa</w:t>
      </w:r>
      <w:r w:rsidR="006E28C6" w:rsidRPr="00E41AB3">
        <w:rPr>
          <w:rFonts w:ascii="Times New Roman" w:eastAsia="Times New Roman" w:hAnsi="Times New Roman" w:cs="Times New Roman"/>
          <w:bCs/>
          <w:iCs/>
          <w:kern w:val="36"/>
          <w:sz w:val="24"/>
          <w:szCs w:val="24"/>
          <w:lang w:eastAsia="lv-LV"/>
        </w:rPr>
        <w:t>t</w:t>
      </w:r>
      <w:r w:rsidR="00C80CBE" w:rsidRPr="00E41AB3">
        <w:rPr>
          <w:rFonts w:ascii="Times New Roman" w:eastAsia="Times New Roman" w:hAnsi="Times New Roman" w:cs="Times New Roman"/>
          <w:bCs/>
          <w:iCs/>
          <w:kern w:val="36"/>
          <w:sz w:val="24"/>
          <w:szCs w:val="24"/>
          <w:lang w:eastAsia="lv-LV"/>
        </w:rPr>
        <w:t xml:space="preserve"> 9</w:t>
      </w:r>
      <w:r w:rsidRPr="00E41AB3">
        <w:rPr>
          <w:rFonts w:ascii="Times New Roman" w:eastAsia="Times New Roman" w:hAnsi="Times New Roman" w:cs="Times New Roman"/>
          <w:bCs/>
          <w:iCs/>
          <w:kern w:val="36"/>
          <w:sz w:val="24"/>
          <w:szCs w:val="24"/>
          <w:lang w:eastAsia="lv-LV"/>
        </w:rPr>
        <w:t xml:space="preserve">% </w:t>
      </w:r>
      <w:r w:rsidR="000D36D7" w:rsidRPr="00E41AB3">
        <w:rPr>
          <w:rFonts w:ascii="Times New Roman" w:eastAsia="Times New Roman" w:hAnsi="Times New Roman" w:cs="Times New Roman"/>
          <w:bCs/>
          <w:iCs/>
          <w:kern w:val="36"/>
          <w:sz w:val="24"/>
          <w:szCs w:val="24"/>
          <w:lang w:eastAsia="lv-LV"/>
        </w:rPr>
        <w:t>straujāk nekā</w:t>
      </w:r>
      <w:r w:rsidR="00C80CBE" w:rsidRPr="00E41AB3">
        <w:rPr>
          <w:rFonts w:ascii="Times New Roman" w:eastAsia="Times New Roman" w:hAnsi="Times New Roman" w:cs="Times New Roman"/>
          <w:bCs/>
          <w:iCs/>
          <w:kern w:val="36"/>
          <w:sz w:val="24"/>
          <w:szCs w:val="24"/>
          <w:lang w:eastAsia="lv-LV"/>
        </w:rPr>
        <w:t xml:space="preserve"> pārējā Latvija</w:t>
      </w:r>
      <w:r w:rsidRPr="00E41AB3">
        <w:rPr>
          <w:rFonts w:ascii="Times New Roman" w:eastAsia="Times New Roman" w:hAnsi="Times New Roman" w:cs="Times New Roman"/>
          <w:bCs/>
          <w:iCs/>
          <w:kern w:val="36"/>
          <w:sz w:val="24"/>
          <w:szCs w:val="24"/>
          <w:lang w:eastAsia="lv-LV"/>
        </w:rPr>
        <w:t>. Neskatoties uz izaugsmi, reģionālās attīstības atšķirības vēl</w:t>
      </w:r>
      <w:r w:rsidR="006E28C6" w:rsidRPr="00E41AB3">
        <w:rPr>
          <w:rFonts w:ascii="Times New Roman" w:eastAsia="Times New Roman" w:hAnsi="Times New Roman" w:cs="Times New Roman"/>
          <w:bCs/>
          <w:iCs/>
          <w:kern w:val="36"/>
          <w:sz w:val="24"/>
          <w:szCs w:val="24"/>
          <w:lang w:eastAsia="lv-LV"/>
        </w:rPr>
        <w:t xml:space="preserve"> </w:t>
      </w:r>
      <w:r w:rsidRPr="00E41AB3">
        <w:rPr>
          <w:rFonts w:ascii="Times New Roman" w:eastAsia="Times New Roman" w:hAnsi="Times New Roman" w:cs="Times New Roman"/>
          <w:bCs/>
          <w:iCs/>
          <w:kern w:val="36"/>
          <w:sz w:val="24"/>
          <w:szCs w:val="24"/>
          <w:lang w:eastAsia="lv-LV"/>
        </w:rPr>
        <w:t>joprojām ir salīdzinoši ļoti augstas.</w:t>
      </w:r>
      <w:r w:rsidRPr="00E41AB3">
        <w:rPr>
          <w:rFonts w:ascii="Times New Roman" w:eastAsia="Times New Roman" w:hAnsi="Times New Roman" w:cs="Times New Roman"/>
          <w:b/>
          <w:bCs/>
          <w:iCs/>
          <w:kern w:val="36"/>
          <w:sz w:val="24"/>
          <w:szCs w:val="24"/>
          <w:lang w:eastAsia="lv-LV"/>
        </w:rPr>
        <w:t xml:space="preserve"> Nedaudz straujāku Latvijas reģionu izaugsmi nodrošināja līdzvērtī</w:t>
      </w:r>
      <w:r w:rsidR="00C43DB4" w:rsidRPr="00E41AB3">
        <w:rPr>
          <w:rFonts w:ascii="Times New Roman" w:eastAsia="Times New Roman" w:hAnsi="Times New Roman" w:cs="Times New Roman"/>
          <w:b/>
          <w:bCs/>
          <w:iCs/>
          <w:kern w:val="36"/>
          <w:sz w:val="24"/>
          <w:szCs w:val="24"/>
          <w:lang w:eastAsia="lv-LV"/>
        </w:rPr>
        <w:t>ga</w:t>
      </w:r>
      <w:r w:rsidRPr="00E41AB3">
        <w:rPr>
          <w:rFonts w:ascii="Times New Roman" w:eastAsia="Times New Roman" w:hAnsi="Times New Roman" w:cs="Times New Roman"/>
          <w:b/>
          <w:bCs/>
          <w:iCs/>
          <w:kern w:val="36"/>
          <w:sz w:val="24"/>
          <w:szCs w:val="24"/>
          <w:lang w:eastAsia="lv-LV"/>
        </w:rPr>
        <w:t xml:space="preserve"> vai pat nedaudz augstāka i</w:t>
      </w:r>
      <w:r w:rsidR="00177567" w:rsidRPr="00E41AB3">
        <w:rPr>
          <w:rFonts w:ascii="Times New Roman" w:eastAsia="Times New Roman" w:hAnsi="Times New Roman" w:cs="Times New Roman"/>
          <w:b/>
          <w:bCs/>
          <w:iCs/>
          <w:kern w:val="36"/>
          <w:sz w:val="24"/>
          <w:szCs w:val="24"/>
          <w:lang w:eastAsia="lv-LV"/>
        </w:rPr>
        <w:t xml:space="preserve">nvestīciju </w:t>
      </w:r>
      <w:proofErr w:type="spellStart"/>
      <w:r w:rsidR="00177567" w:rsidRPr="00E41AB3">
        <w:rPr>
          <w:rFonts w:ascii="Times New Roman" w:eastAsia="Times New Roman" w:hAnsi="Times New Roman" w:cs="Times New Roman"/>
          <w:b/>
          <w:bCs/>
          <w:iCs/>
          <w:kern w:val="36"/>
          <w:sz w:val="24"/>
          <w:szCs w:val="24"/>
          <w:lang w:eastAsia="lv-LV"/>
        </w:rPr>
        <w:t>atdeve</w:t>
      </w:r>
      <w:proofErr w:type="spellEnd"/>
      <w:r w:rsidR="00177567" w:rsidRPr="00E41AB3">
        <w:rPr>
          <w:rFonts w:ascii="Times New Roman" w:eastAsia="Times New Roman" w:hAnsi="Times New Roman" w:cs="Times New Roman"/>
          <w:b/>
          <w:bCs/>
          <w:iCs/>
          <w:kern w:val="36"/>
          <w:sz w:val="24"/>
          <w:szCs w:val="24"/>
          <w:lang w:eastAsia="lv-LV"/>
        </w:rPr>
        <w:t xml:space="preserve"> reģionos</w:t>
      </w:r>
      <w:r w:rsidR="00925A3F" w:rsidRPr="00E41AB3">
        <w:rPr>
          <w:rFonts w:ascii="Times New Roman" w:eastAsia="Times New Roman" w:hAnsi="Times New Roman" w:cs="Times New Roman"/>
          <w:b/>
          <w:bCs/>
          <w:iCs/>
          <w:kern w:val="36"/>
          <w:sz w:val="24"/>
          <w:szCs w:val="24"/>
          <w:lang w:eastAsia="lv-LV"/>
        </w:rPr>
        <w:t xml:space="preserve"> </w:t>
      </w:r>
      <w:r w:rsidR="00925A3F" w:rsidRPr="00E41AB3">
        <w:rPr>
          <w:rFonts w:ascii="Times New Roman" w:eastAsia="Times New Roman" w:hAnsi="Times New Roman" w:cs="Times New Roman"/>
          <w:bCs/>
          <w:iCs/>
          <w:kern w:val="36"/>
          <w:sz w:val="24"/>
          <w:szCs w:val="24"/>
          <w:lang w:eastAsia="lv-LV"/>
        </w:rPr>
        <w:t>(</w:t>
      </w:r>
      <w:r w:rsidR="00925A3F" w:rsidRPr="00E41AB3">
        <w:rPr>
          <w:rFonts w:ascii="Times New Roman" w:eastAsia="Times New Roman" w:hAnsi="Times New Roman" w:cs="Times New Roman"/>
          <w:bCs/>
          <w:i/>
          <w:iCs/>
          <w:kern w:val="36"/>
          <w:sz w:val="24"/>
          <w:szCs w:val="24"/>
          <w:lang w:eastAsia="lv-LV"/>
        </w:rPr>
        <w:t>skatīt attēlu Nr.2</w:t>
      </w:r>
      <w:r w:rsidR="00925A3F" w:rsidRPr="00E41AB3">
        <w:rPr>
          <w:rFonts w:ascii="Times New Roman" w:eastAsia="Times New Roman" w:hAnsi="Times New Roman" w:cs="Times New Roman"/>
          <w:bCs/>
          <w:iCs/>
          <w:kern w:val="36"/>
          <w:sz w:val="24"/>
          <w:szCs w:val="24"/>
          <w:lang w:eastAsia="lv-LV"/>
        </w:rPr>
        <w:t>)</w:t>
      </w:r>
      <w:r w:rsidR="00177567" w:rsidRPr="00E41AB3">
        <w:rPr>
          <w:rFonts w:ascii="Times New Roman" w:eastAsia="Times New Roman" w:hAnsi="Times New Roman" w:cs="Times New Roman"/>
          <w:b/>
          <w:bCs/>
          <w:iCs/>
          <w:kern w:val="36"/>
          <w:sz w:val="24"/>
          <w:szCs w:val="24"/>
          <w:lang w:eastAsia="lv-LV"/>
        </w:rPr>
        <w:t xml:space="preserve"> </w:t>
      </w:r>
      <w:r w:rsidR="006E28C6" w:rsidRPr="00E41AB3">
        <w:rPr>
          <w:rFonts w:ascii="Times New Roman" w:eastAsia="Times New Roman" w:hAnsi="Times New Roman" w:cs="Times New Roman"/>
          <w:bCs/>
          <w:iCs/>
          <w:kern w:val="36"/>
          <w:sz w:val="24"/>
          <w:szCs w:val="24"/>
          <w:lang w:eastAsia="lv-LV"/>
        </w:rPr>
        <w:t>–</w:t>
      </w:r>
      <w:r w:rsidR="00177567" w:rsidRPr="00E41AB3">
        <w:rPr>
          <w:rFonts w:ascii="Times New Roman" w:eastAsia="Times New Roman" w:hAnsi="Times New Roman" w:cs="Times New Roman"/>
          <w:bCs/>
          <w:iCs/>
          <w:kern w:val="36"/>
          <w:sz w:val="24"/>
          <w:szCs w:val="24"/>
          <w:lang w:eastAsia="lv-LV"/>
        </w:rPr>
        <w:t xml:space="preserve"> Latvijā no kapitālajiem ieg</w:t>
      </w:r>
      <w:r w:rsidR="006E28C6" w:rsidRPr="00E41AB3">
        <w:rPr>
          <w:rFonts w:ascii="Times New Roman" w:eastAsia="Times New Roman" w:hAnsi="Times New Roman" w:cs="Times New Roman"/>
          <w:bCs/>
          <w:iCs/>
          <w:kern w:val="36"/>
          <w:sz w:val="24"/>
          <w:szCs w:val="24"/>
          <w:lang w:eastAsia="lv-LV"/>
        </w:rPr>
        <w:t>u</w:t>
      </w:r>
      <w:r w:rsidR="00177567" w:rsidRPr="00E41AB3">
        <w:rPr>
          <w:rFonts w:ascii="Times New Roman" w:eastAsia="Times New Roman" w:hAnsi="Times New Roman" w:cs="Times New Roman"/>
          <w:bCs/>
          <w:iCs/>
          <w:kern w:val="36"/>
          <w:sz w:val="24"/>
          <w:szCs w:val="24"/>
          <w:lang w:eastAsia="lv-LV"/>
        </w:rPr>
        <w:t xml:space="preserve">ldījumiem uz 1 </w:t>
      </w:r>
      <w:r w:rsidR="00521B49" w:rsidRPr="00521B49">
        <w:rPr>
          <w:rFonts w:ascii="Times New Roman" w:eastAsia="Times New Roman" w:hAnsi="Times New Roman" w:cs="Times New Roman"/>
          <w:bCs/>
          <w:i/>
          <w:iCs/>
          <w:kern w:val="36"/>
          <w:sz w:val="24"/>
          <w:szCs w:val="24"/>
          <w:lang w:eastAsia="lv-LV"/>
        </w:rPr>
        <w:t>euro</w:t>
      </w:r>
      <w:r w:rsidR="00177567" w:rsidRPr="00E41AB3">
        <w:rPr>
          <w:rFonts w:ascii="Times New Roman" w:eastAsia="Times New Roman" w:hAnsi="Times New Roman" w:cs="Times New Roman"/>
          <w:bCs/>
          <w:iCs/>
          <w:kern w:val="36"/>
          <w:sz w:val="24"/>
          <w:szCs w:val="24"/>
          <w:lang w:eastAsia="lv-LV"/>
        </w:rPr>
        <w:t xml:space="preserve"> vidēji iegūstam 3 </w:t>
      </w:r>
      <w:r w:rsidR="00521B49" w:rsidRPr="00521B49">
        <w:rPr>
          <w:rFonts w:ascii="Times New Roman" w:eastAsia="Times New Roman" w:hAnsi="Times New Roman" w:cs="Times New Roman"/>
          <w:bCs/>
          <w:i/>
          <w:iCs/>
          <w:kern w:val="36"/>
          <w:sz w:val="24"/>
          <w:szCs w:val="24"/>
          <w:lang w:eastAsia="lv-LV"/>
        </w:rPr>
        <w:t>euro</w:t>
      </w:r>
      <w:r w:rsidR="00177567" w:rsidRPr="00E41AB3">
        <w:rPr>
          <w:rFonts w:ascii="Times New Roman" w:eastAsia="Times New Roman" w:hAnsi="Times New Roman" w:cs="Times New Roman"/>
          <w:bCs/>
          <w:iCs/>
          <w:kern w:val="36"/>
          <w:sz w:val="24"/>
          <w:szCs w:val="24"/>
          <w:lang w:eastAsia="lv-LV"/>
        </w:rPr>
        <w:t xml:space="preserve"> pievienot</w:t>
      </w:r>
      <w:r w:rsidR="0040722C" w:rsidRPr="00E41AB3">
        <w:rPr>
          <w:rFonts w:ascii="Times New Roman" w:eastAsia="Times New Roman" w:hAnsi="Times New Roman" w:cs="Times New Roman"/>
          <w:bCs/>
          <w:iCs/>
          <w:kern w:val="36"/>
          <w:sz w:val="24"/>
          <w:szCs w:val="24"/>
          <w:lang w:eastAsia="lv-LV"/>
        </w:rPr>
        <w:t>ā</w:t>
      </w:r>
      <w:r w:rsidR="00177567" w:rsidRPr="00E41AB3">
        <w:rPr>
          <w:rFonts w:ascii="Times New Roman" w:eastAsia="Times New Roman" w:hAnsi="Times New Roman" w:cs="Times New Roman"/>
          <w:bCs/>
          <w:iCs/>
          <w:kern w:val="36"/>
          <w:sz w:val="24"/>
          <w:szCs w:val="24"/>
          <w:lang w:eastAsia="lv-LV"/>
        </w:rPr>
        <w:t>s vērtības</w:t>
      </w:r>
      <w:r w:rsidR="005315CC" w:rsidRPr="00E41AB3">
        <w:rPr>
          <w:rFonts w:ascii="Times New Roman" w:eastAsia="Times New Roman" w:hAnsi="Times New Roman" w:cs="Times New Roman"/>
          <w:bCs/>
          <w:iCs/>
          <w:kern w:val="36"/>
          <w:sz w:val="24"/>
          <w:szCs w:val="24"/>
          <w:lang w:eastAsia="lv-LV"/>
        </w:rPr>
        <w:t xml:space="preserve">, </w:t>
      </w:r>
      <w:r w:rsidR="004D18CC">
        <w:rPr>
          <w:rFonts w:ascii="Times New Roman" w:eastAsia="Times New Roman" w:hAnsi="Times New Roman" w:cs="Times New Roman"/>
          <w:bCs/>
          <w:iCs/>
          <w:kern w:val="36"/>
          <w:sz w:val="24"/>
          <w:szCs w:val="24"/>
          <w:lang w:eastAsia="lv-LV"/>
        </w:rPr>
        <w:t>savukārt</w:t>
      </w:r>
      <w:r w:rsidR="005315CC" w:rsidRPr="00E41AB3">
        <w:rPr>
          <w:rFonts w:ascii="Times New Roman" w:eastAsia="Times New Roman" w:hAnsi="Times New Roman" w:cs="Times New Roman"/>
          <w:bCs/>
          <w:iCs/>
          <w:kern w:val="36"/>
          <w:sz w:val="24"/>
          <w:szCs w:val="24"/>
          <w:lang w:eastAsia="lv-LV"/>
        </w:rPr>
        <w:t xml:space="preserve"> </w:t>
      </w:r>
      <w:r w:rsidR="002B32B3" w:rsidRPr="00E41AB3">
        <w:rPr>
          <w:rFonts w:ascii="Times New Roman" w:eastAsia="Times New Roman" w:hAnsi="Times New Roman" w:cs="Times New Roman"/>
          <w:bCs/>
          <w:iCs/>
          <w:kern w:val="36"/>
          <w:sz w:val="24"/>
          <w:szCs w:val="24"/>
          <w:lang w:eastAsia="lv-LV"/>
        </w:rPr>
        <w:t>Rīgā 3,2</w:t>
      </w:r>
      <w:r w:rsidR="00177567" w:rsidRPr="00E41AB3">
        <w:rPr>
          <w:rFonts w:ascii="Times New Roman" w:eastAsia="Times New Roman" w:hAnsi="Times New Roman" w:cs="Times New Roman"/>
          <w:bCs/>
          <w:iCs/>
          <w:kern w:val="36"/>
          <w:sz w:val="24"/>
          <w:szCs w:val="24"/>
          <w:lang w:eastAsia="lv-LV"/>
        </w:rPr>
        <w:t xml:space="preserve"> </w:t>
      </w:r>
      <w:r w:rsidR="00521B49" w:rsidRPr="00521B49">
        <w:rPr>
          <w:rFonts w:ascii="Times New Roman" w:eastAsia="Times New Roman" w:hAnsi="Times New Roman" w:cs="Times New Roman"/>
          <w:bCs/>
          <w:i/>
          <w:iCs/>
          <w:kern w:val="36"/>
          <w:sz w:val="24"/>
          <w:szCs w:val="24"/>
          <w:lang w:eastAsia="lv-LV"/>
        </w:rPr>
        <w:t>euro</w:t>
      </w:r>
      <w:r w:rsidR="00177567" w:rsidRPr="00E41AB3">
        <w:rPr>
          <w:rFonts w:ascii="Times New Roman" w:eastAsia="Times New Roman" w:hAnsi="Times New Roman" w:cs="Times New Roman"/>
          <w:bCs/>
          <w:iCs/>
          <w:kern w:val="36"/>
          <w:sz w:val="24"/>
          <w:szCs w:val="24"/>
          <w:lang w:eastAsia="lv-LV"/>
        </w:rPr>
        <w:t>,</w:t>
      </w:r>
      <w:r w:rsidR="002B32B3" w:rsidRPr="00E41AB3">
        <w:rPr>
          <w:rFonts w:ascii="Times New Roman" w:eastAsia="Times New Roman" w:hAnsi="Times New Roman" w:cs="Times New Roman"/>
          <w:bCs/>
          <w:iCs/>
          <w:kern w:val="36"/>
          <w:sz w:val="24"/>
          <w:szCs w:val="24"/>
          <w:lang w:eastAsia="lv-LV"/>
        </w:rPr>
        <w:t xml:space="preserve"> bet Vidzemē 3,6 </w:t>
      </w:r>
      <w:r w:rsidR="00521B49" w:rsidRPr="00521B49">
        <w:rPr>
          <w:rFonts w:ascii="Times New Roman" w:eastAsia="Times New Roman" w:hAnsi="Times New Roman" w:cs="Times New Roman"/>
          <w:bCs/>
          <w:i/>
          <w:iCs/>
          <w:kern w:val="36"/>
          <w:sz w:val="24"/>
          <w:szCs w:val="24"/>
          <w:lang w:eastAsia="lv-LV"/>
        </w:rPr>
        <w:t>euro</w:t>
      </w:r>
      <w:r w:rsidR="002B32B3" w:rsidRPr="00E41AB3">
        <w:rPr>
          <w:rFonts w:ascii="Times New Roman" w:eastAsia="Times New Roman" w:hAnsi="Times New Roman" w:cs="Times New Roman"/>
          <w:bCs/>
          <w:iCs/>
          <w:kern w:val="36"/>
          <w:sz w:val="24"/>
          <w:szCs w:val="24"/>
          <w:lang w:eastAsia="lv-LV"/>
        </w:rPr>
        <w:t xml:space="preserve"> (kas ir augstākais Latvijā)</w:t>
      </w:r>
      <w:r w:rsidR="00177567" w:rsidRPr="00E41AB3">
        <w:rPr>
          <w:rFonts w:ascii="Times New Roman" w:eastAsia="Times New Roman" w:hAnsi="Times New Roman" w:cs="Times New Roman"/>
          <w:bCs/>
          <w:iCs/>
          <w:kern w:val="36"/>
          <w:sz w:val="24"/>
          <w:szCs w:val="24"/>
          <w:lang w:eastAsia="lv-LV"/>
        </w:rPr>
        <w:t xml:space="preserve">. </w:t>
      </w:r>
    </w:p>
    <w:p w14:paraId="4A4B2A74" w14:textId="5DD426A7" w:rsidR="00356794" w:rsidRDefault="00C43DB4" w:rsidP="004D18CC">
      <w:pPr>
        <w:spacing w:after="0"/>
        <w:jc w:val="both"/>
        <w:rPr>
          <w:rFonts w:ascii="Times New Roman" w:eastAsia="Times New Roman" w:hAnsi="Times New Roman" w:cs="Times New Roman"/>
          <w:bCs/>
          <w:iCs/>
          <w:kern w:val="36"/>
          <w:sz w:val="24"/>
          <w:szCs w:val="24"/>
          <w:lang w:eastAsia="lv-LV"/>
        </w:rPr>
      </w:pPr>
      <w:r w:rsidRPr="00E41AB3">
        <w:rPr>
          <w:rFonts w:ascii="Times New Roman" w:eastAsia="Times New Roman" w:hAnsi="Times New Roman" w:cs="Times New Roman"/>
          <w:b/>
          <w:bCs/>
          <w:iCs/>
          <w:kern w:val="36"/>
          <w:sz w:val="24"/>
          <w:szCs w:val="24"/>
          <w:lang w:eastAsia="lv-LV"/>
        </w:rPr>
        <w:t>Reģionālās attīstības atšķirības</w:t>
      </w:r>
      <w:r w:rsidR="00156369" w:rsidRPr="00E41AB3">
        <w:rPr>
          <w:rFonts w:ascii="Times New Roman" w:eastAsia="Times New Roman" w:hAnsi="Times New Roman" w:cs="Times New Roman"/>
          <w:b/>
          <w:bCs/>
          <w:iCs/>
          <w:kern w:val="36"/>
          <w:sz w:val="24"/>
          <w:szCs w:val="24"/>
          <w:lang w:eastAsia="lv-LV"/>
        </w:rPr>
        <w:t xml:space="preserve"> </w:t>
      </w:r>
      <w:r w:rsidR="00177567" w:rsidRPr="00E41AB3">
        <w:rPr>
          <w:rFonts w:ascii="Times New Roman" w:eastAsia="Times New Roman" w:hAnsi="Times New Roman" w:cs="Times New Roman"/>
          <w:b/>
          <w:bCs/>
          <w:iCs/>
          <w:kern w:val="36"/>
          <w:sz w:val="24"/>
          <w:szCs w:val="24"/>
          <w:lang w:eastAsia="lv-LV"/>
        </w:rPr>
        <w:t>veido</w:t>
      </w:r>
      <w:r w:rsidR="005315CC" w:rsidRPr="00E41AB3">
        <w:rPr>
          <w:rFonts w:ascii="Times New Roman" w:eastAsia="Times New Roman" w:hAnsi="Times New Roman" w:cs="Times New Roman"/>
          <w:b/>
          <w:bCs/>
          <w:iCs/>
          <w:kern w:val="36"/>
          <w:sz w:val="24"/>
          <w:szCs w:val="24"/>
          <w:lang w:eastAsia="lv-LV"/>
        </w:rPr>
        <w:t xml:space="preserve"> būtiski atšķirīgs kapitālo</w:t>
      </w:r>
      <w:r w:rsidR="00177567" w:rsidRPr="00E41AB3">
        <w:rPr>
          <w:rFonts w:ascii="Times New Roman" w:eastAsia="Times New Roman" w:hAnsi="Times New Roman" w:cs="Times New Roman"/>
          <w:b/>
          <w:bCs/>
          <w:iCs/>
          <w:kern w:val="36"/>
          <w:sz w:val="24"/>
          <w:szCs w:val="24"/>
          <w:lang w:eastAsia="lv-LV"/>
        </w:rPr>
        <w:t xml:space="preserve"> ieguldījumu apmērs</w:t>
      </w:r>
      <w:r w:rsidR="00177567" w:rsidRPr="00E41AB3">
        <w:rPr>
          <w:rFonts w:ascii="Times New Roman" w:eastAsia="Times New Roman" w:hAnsi="Times New Roman" w:cs="Times New Roman"/>
          <w:bCs/>
          <w:iCs/>
          <w:kern w:val="36"/>
          <w:sz w:val="24"/>
          <w:szCs w:val="24"/>
          <w:lang w:eastAsia="lv-LV"/>
        </w:rPr>
        <w:t>, kurš līdzīgi kā</w:t>
      </w:r>
      <w:r w:rsidR="00156369" w:rsidRPr="00E41AB3">
        <w:rPr>
          <w:rFonts w:ascii="Times New Roman" w:eastAsia="Times New Roman" w:hAnsi="Times New Roman" w:cs="Times New Roman"/>
          <w:bCs/>
          <w:iCs/>
          <w:kern w:val="36"/>
          <w:sz w:val="24"/>
          <w:szCs w:val="24"/>
          <w:lang w:eastAsia="lv-LV"/>
        </w:rPr>
        <w:t xml:space="preserve"> IKP un</w:t>
      </w:r>
      <w:r w:rsidR="00177567" w:rsidRPr="00E41AB3">
        <w:rPr>
          <w:rFonts w:ascii="Times New Roman" w:eastAsia="Times New Roman" w:hAnsi="Times New Roman" w:cs="Times New Roman"/>
          <w:bCs/>
          <w:iCs/>
          <w:kern w:val="36"/>
          <w:sz w:val="24"/>
          <w:szCs w:val="24"/>
          <w:lang w:eastAsia="lv-LV"/>
        </w:rPr>
        <w:t xml:space="preserve"> pievienotā vērtība atšķiras</w:t>
      </w:r>
      <w:r w:rsidR="00156369" w:rsidRPr="00E41AB3">
        <w:rPr>
          <w:rFonts w:ascii="Times New Roman" w:eastAsia="Times New Roman" w:hAnsi="Times New Roman" w:cs="Times New Roman"/>
          <w:bCs/>
          <w:iCs/>
          <w:kern w:val="36"/>
          <w:sz w:val="24"/>
          <w:szCs w:val="24"/>
          <w:lang w:eastAsia="lv-LV"/>
        </w:rPr>
        <w:t xml:space="preserve"> vairāk kā</w:t>
      </w:r>
      <w:r w:rsidR="00177567" w:rsidRPr="00E41AB3">
        <w:rPr>
          <w:rFonts w:ascii="Times New Roman" w:eastAsia="Times New Roman" w:hAnsi="Times New Roman" w:cs="Times New Roman"/>
          <w:bCs/>
          <w:iCs/>
          <w:kern w:val="36"/>
          <w:sz w:val="24"/>
          <w:szCs w:val="24"/>
          <w:lang w:eastAsia="lv-LV"/>
        </w:rPr>
        <w:t xml:space="preserve"> 2 reizes – augstākie kapitālie ieg</w:t>
      </w:r>
      <w:r w:rsidR="006E28C6" w:rsidRPr="00E41AB3">
        <w:rPr>
          <w:rFonts w:ascii="Times New Roman" w:eastAsia="Times New Roman" w:hAnsi="Times New Roman" w:cs="Times New Roman"/>
          <w:bCs/>
          <w:iCs/>
          <w:kern w:val="36"/>
          <w:sz w:val="24"/>
          <w:szCs w:val="24"/>
          <w:lang w:eastAsia="lv-LV"/>
        </w:rPr>
        <w:t>u</w:t>
      </w:r>
      <w:r w:rsidR="00177567" w:rsidRPr="00E41AB3">
        <w:rPr>
          <w:rFonts w:ascii="Times New Roman" w:eastAsia="Times New Roman" w:hAnsi="Times New Roman" w:cs="Times New Roman"/>
          <w:bCs/>
          <w:iCs/>
          <w:kern w:val="36"/>
          <w:sz w:val="24"/>
          <w:szCs w:val="24"/>
          <w:lang w:eastAsia="lv-LV"/>
        </w:rPr>
        <w:t xml:space="preserve">ldījumi uz </w:t>
      </w:r>
      <w:r w:rsidR="006E28C6" w:rsidRPr="00E41AB3">
        <w:rPr>
          <w:rFonts w:ascii="Times New Roman" w:eastAsia="Times New Roman" w:hAnsi="Times New Roman" w:cs="Times New Roman"/>
          <w:bCs/>
          <w:iCs/>
          <w:kern w:val="36"/>
          <w:sz w:val="24"/>
          <w:szCs w:val="24"/>
          <w:lang w:eastAsia="lv-LV"/>
        </w:rPr>
        <w:t xml:space="preserve">vienu </w:t>
      </w:r>
      <w:r w:rsidR="00177567" w:rsidRPr="00E41AB3">
        <w:rPr>
          <w:rFonts w:ascii="Times New Roman" w:eastAsia="Times New Roman" w:hAnsi="Times New Roman" w:cs="Times New Roman"/>
          <w:bCs/>
          <w:iCs/>
          <w:kern w:val="36"/>
          <w:sz w:val="24"/>
          <w:szCs w:val="24"/>
          <w:lang w:eastAsia="lv-LV"/>
        </w:rPr>
        <w:t>nodarbināto ir Pierīgā bet zemākie ir Latga</w:t>
      </w:r>
      <w:r w:rsidR="002B32B3" w:rsidRPr="00E41AB3">
        <w:rPr>
          <w:rFonts w:ascii="Times New Roman" w:eastAsia="Times New Roman" w:hAnsi="Times New Roman" w:cs="Times New Roman"/>
          <w:bCs/>
          <w:iCs/>
          <w:kern w:val="36"/>
          <w:sz w:val="24"/>
          <w:szCs w:val="24"/>
          <w:lang w:eastAsia="lv-LV"/>
        </w:rPr>
        <w:t>lē un Vidzemē (69% pret Latvijas vidējo)</w:t>
      </w:r>
      <w:r w:rsidR="00177567" w:rsidRPr="00E41AB3">
        <w:rPr>
          <w:rFonts w:ascii="Times New Roman" w:eastAsia="Times New Roman" w:hAnsi="Times New Roman" w:cs="Times New Roman"/>
          <w:bCs/>
          <w:iCs/>
          <w:kern w:val="36"/>
          <w:sz w:val="24"/>
          <w:szCs w:val="24"/>
          <w:lang w:eastAsia="lv-LV"/>
        </w:rPr>
        <w:t xml:space="preserve">. Līdzīga </w:t>
      </w:r>
      <w:r w:rsidR="00AD47DC" w:rsidRPr="00E41AB3">
        <w:rPr>
          <w:rFonts w:ascii="Times New Roman" w:eastAsia="Times New Roman" w:hAnsi="Times New Roman" w:cs="Times New Roman"/>
          <w:bCs/>
          <w:iCs/>
          <w:kern w:val="36"/>
          <w:sz w:val="24"/>
          <w:szCs w:val="24"/>
          <w:lang w:eastAsia="lv-LV"/>
        </w:rPr>
        <w:t xml:space="preserve">tendence </w:t>
      </w:r>
      <w:r w:rsidR="00177567" w:rsidRPr="00E41AB3">
        <w:rPr>
          <w:rFonts w:ascii="Times New Roman" w:eastAsia="Times New Roman" w:hAnsi="Times New Roman" w:cs="Times New Roman"/>
          <w:bCs/>
          <w:iCs/>
          <w:kern w:val="36"/>
          <w:sz w:val="24"/>
          <w:szCs w:val="24"/>
          <w:lang w:eastAsia="lv-LV"/>
        </w:rPr>
        <w:t xml:space="preserve">ir arī </w:t>
      </w:r>
      <w:r w:rsidR="00CA428A" w:rsidRPr="00E41AB3">
        <w:rPr>
          <w:rFonts w:ascii="Times New Roman" w:eastAsia="Times New Roman" w:hAnsi="Times New Roman" w:cs="Times New Roman"/>
          <w:bCs/>
          <w:iCs/>
          <w:kern w:val="36"/>
          <w:sz w:val="24"/>
          <w:szCs w:val="24"/>
          <w:lang w:eastAsia="lv-LV"/>
        </w:rPr>
        <w:t>ieguldījumiem</w:t>
      </w:r>
      <w:r w:rsidR="00177567" w:rsidRPr="00E41AB3">
        <w:rPr>
          <w:rFonts w:ascii="Times New Roman" w:eastAsia="Times New Roman" w:hAnsi="Times New Roman" w:cs="Times New Roman"/>
          <w:bCs/>
          <w:iCs/>
          <w:kern w:val="36"/>
          <w:sz w:val="24"/>
          <w:szCs w:val="24"/>
          <w:lang w:eastAsia="lv-LV"/>
        </w:rPr>
        <w:t xml:space="preserve"> personāla izmaks</w:t>
      </w:r>
      <w:r w:rsidR="006E28C6" w:rsidRPr="00E41AB3">
        <w:rPr>
          <w:rFonts w:ascii="Times New Roman" w:eastAsia="Times New Roman" w:hAnsi="Times New Roman" w:cs="Times New Roman"/>
          <w:bCs/>
          <w:iCs/>
          <w:kern w:val="36"/>
          <w:sz w:val="24"/>
          <w:szCs w:val="24"/>
          <w:lang w:eastAsia="lv-LV"/>
        </w:rPr>
        <w:t>ā</w:t>
      </w:r>
      <w:r w:rsidR="00177567" w:rsidRPr="00E41AB3">
        <w:rPr>
          <w:rFonts w:ascii="Times New Roman" w:eastAsia="Times New Roman" w:hAnsi="Times New Roman" w:cs="Times New Roman"/>
          <w:bCs/>
          <w:iCs/>
          <w:kern w:val="36"/>
          <w:sz w:val="24"/>
          <w:szCs w:val="24"/>
          <w:lang w:eastAsia="lv-LV"/>
        </w:rPr>
        <w:t>s.</w:t>
      </w:r>
    </w:p>
    <w:p w14:paraId="20361246" w14:textId="27F939ED" w:rsidR="00304F1E" w:rsidRPr="00FC055B" w:rsidRDefault="00304F1E" w:rsidP="00461EBC">
      <w:pPr>
        <w:spacing w:after="0" w:line="240" w:lineRule="auto"/>
        <w:ind w:left="357"/>
        <w:jc w:val="right"/>
        <w:rPr>
          <w:rFonts w:ascii="Times New Roman" w:hAnsi="Times New Roman" w:cs="Times New Roman"/>
          <w:i/>
          <w:sz w:val="24"/>
          <w:szCs w:val="24"/>
        </w:rPr>
      </w:pPr>
      <w:r w:rsidRPr="00FC055B">
        <w:rPr>
          <w:rFonts w:ascii="Times New Roman" w:hAnsi="Times New Roman" w:cs="Times New Roman"/>
          <w:i/>
          <w:sz w:val="24"/>
          <w:szCs w:val="24"/>
        </w:rPr>
        <w:t>Attēls Nr.2</w:t>
      </w:r>
      <w:r w:rsidR="004D18CC" w:rsidRPr="00E41AB3">
        <w:rPr>
          <w:rFonts w:ascii="Times New Roman" w:hAnsi="Times New Roman" w:cs="Times New Roman"/>
          <w:noProof/>
          <w:lang w:eastAsia="lv-LV"/>
        </w:rPr>
        <w:drawing>
          <wp:inline distT="0" distB="0" distL="0" distR="0" wp14:anchorId="1F2FF0EC" wp14:editId="78C47EC8">
            <wp:extent cx="6020435" cy="22402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B92D37" w14:textId="6ACFBE6A" w:rsidR="000429E9" w:rsidRPr="00E41AB3" w:rsidRDefault="000429E9" w:rsidP="00484401">
      <w:pPr>
        <w:spacing w:after="0" w:line="240" w:lineRule="auto"/>
        <w:jc w:val="both"/>
        <w:rPr>
          <w:rFonts w:ascii="Times New Roman" w:hAnsi="Times New Roman" w:cs="Times New Roman"/>
        </w:rPr>
      </w:pPr>
    </w:p>
    <w:p w14:paraId="6BCA0699" w14:textId="22DA72CC" w:rsidR="00177567" w:rsidRDefault="005315CC" w:rsidP="00F50D1F">
      <w:pPr>
        <w:jc w:val="both"/>
        <w:rPr>
          <w:rFonts w:ascii="Times New Roman" w:hAnsi="Times New Roman" w:cs="Times New Roman"/>
        </w:rPr>
      </w:pPr>
      <w:r w:rsidRPr="00E41AB3">
        <w:rPr>
          <w:rFonts w:ascii="Times New Roman" w:eastAsia="Times New Roman" w:hAnsi="Times New Roman" w:cs="Times New Roman"/>
          <w:bCs/>
          <w:iCs/>
          <w:kern w:val="36"/>
          <w:sz w:val="24"/>
          <w:szCs w:val="24"/>
          <w:lang w:eastAsia="lv-LV"/>
        </w:rPr>
        <w:t>A</w:t>
      </w:r>
      <w:r w:rsidR="00177567" w:rsidRPr="00E41AB3">
        <w:rPr>
          <w:rFonts w:ascii="Times New Roman" w:eastAsia="Times New Roman" w:hAnsi="Times New Roman" w:cs="Times New Roman"/>
          <w:bCs/>
          <w:iCs/>
          <w:kern w:val="36"/>
          <w:sz w:val="24"/>
          <w:szCs w:val="24"/>
          <w:lang w:eastAsia="lv-LV"/>
        </w:rPr>
        <w:t xml:space="preserve">pskatot kapitālos </w:t>
      </w:r>
      <w:r w:rsidR="00CA428A" w:rsidRPr="00E41AB3">
        <w:rPr>
          <w:rFonts w:ascii="Times New Roman" w:eastAsia="Times New Roman" w:hAnsi="Times New Roman" w:cs="Times New Roman"/>
          <w:bCs/>
          <w:iCs/>
          <w:kern w:val="36"/>
          <w:sz w:val="24"/>
          <w:szCs w:val="24"/>
          <w:lang w:eastAsia="lv-LV"/>
        </w:rPr>
        <w:t>ieguldījumus</w:t>
      </w:r>
      <w:r w:rsidR="00177567" w:rsidRPr="00E41AB3">
        <w:rPr>
          <w:rFonts w:ascii="Times New Roman" w:eastAsia="Times New Roman" w:hAnsi="Times New Roman" w:cs="Times New Roman"/>
          <w:bCs/>
          <w:iCs/>
          <w:kern w:val="36"/>
          <w:sz w:val="24"/>
          <w:szCs w:val="24"/>
          <w:lang w:eastAsia="lv-LV"/>
        </w:rPr>
        <w:t xml:space="preserve"> pēc to veidiem rūpniecības, IKT un pakalpojumu nozarēs (</w:t>
      </w:r>
      <w:r w:rsidR="00177567" w:rsidRPr="00E41AB3">
        <w:rPr>
          <w:rFonts w:ascii="Times New Roman" w:eastAsia="Times New Roman" w:hAnsi="Times New Roman" w:cs="Times New Roman"/>
          <w:bCs/>
          <w:i/>
          <w:iCs/>
          <w:kern w:val="36"/>
          <w:sz w:val="24"/>
          <w:szCs w:val="24"/>
          <w:lang w:eastAsia="lv-LV"/>
        </w:rPr>
        <w:t xml:space="preserve">šajā gadījumā privāto pakalpojumu jomās, </w:t>
      </w:r>
      <w:r w:rsidR="00CA428A" w:rsidRPr="00E41AB3">
        <w:rPr>
          <w:rFonts w:ascii="Times New Roman" w:eastAsia="Times New Roman" w:hAnsi="Times New Roman" w:cs="Times New Roman"/>
          <w:bCs/>
          <w:i/>
          <w:iCs/>
          <w:kern w:val="36"/>
          <w:sz w:val="24"/>
          <w:szCs w:val="24"/>
          <w:lang w:eastAsia="lv-LV"/>
        </w:rPr>
        <w:t>neapskatot</w:t>
      </w:r>
      <w:r w:rsidR="00177567" w:rsidRPr="00E41AB3">
        <w:rPr>
          <w:rFonts w:ascii="Times New Roman" w:eastAsia="Times New Roman" w:hAnsi="Times New Roman" w:cs="Times New Roman"/>
          <w:bCs/>
          <w:i/>
          <w:iCs/>
          <w:kern w:val="36"/>
          <w:sz w:val="24"/>
          <w:szCs w:val="24"/>
          <w:lang w:eastAsia="lv-LV"/>
        </w:rPr>
        <w:t xml:space="preserve"> jomas valsts pārvaldē kā izglītība, </w:t>
      </w:r>
      <w:r w:rsidR="008A6DA9" w:rsidRPr="00E41AB3">
        <w:rPr>
          <w:rFonts w:ascii="Times New Roman" w:eastAsia="Times New Roman" w:hAnsi="Times New Roman" w:cs="Times New Roman"/>
          <w:bCs/>
          <w:i/>
          <w:iCs/>
          <w:kern w:val="36"/>
          <w:sz w:val="24"/>
          <w:szCs w:val="24"/>
          <w:lang w:eastAsia="lv-LV"/>
        </w:rPr>
        <w:t>kultūr</w:t>
      </w:r>
      <w:r w:rsidR="0040722C" w:rsidRPr="00E41AB3">
        <w:rPr>
          <w:rFonts w:ascii="Times New Roman" w:eastAsia="Times New Roman" w:hAnsi="Times New Roman" w:cs="Times New Roman"/>
          <w:bCs/>
          <w:i/>
          <w:iCs/>
          <w:kern w:val="36"/>
          <w:sz w:val="24"/>
          <w:szCs w:val="24"/>
          <w:lang w:eastAsia="lv-LV"/>
        </w:rPr>
        <w:t>a</w:t>
      </w:r>
      <w:r w:rsidR="00177567" w:rsidRPr="00E41AB3">
        <w:rPr>
          <w:rFonts w:ascii="Times New Roman" w:eastAsia="Times New Roman" w:hAnsi="Times New Roman" w:cs="Times New Roman"/>
          <w:bCs/>
          <w:i/>
          <w:iCs/>
          <w:kern w:val="36"/>
          <w:sz w:val="24"/>
          <w:szCs w:val="24"/>
          <w:lang w:eastAsia="lv-LV"/>
        </w:rPr>
        <w:t xml:space="preserve"> u.c.</w:t>
      </w:r>
      <w:r w:rsidR="00177567" w:rsidRPr="00E41AB3">
        <w:rPr>
          <w:rFonts w:ascii="Times New Roman" w:eastAsia="Times New Roman" w:hAnsi="Times New Roman" w:cs="Times New Roman"/>
          <w:bCs/>
          <w:iCs/>
          <w:kern w:val="36"/>
          <w:sz w:val="24"/>
          <w:szCs w:val="24"/>
          <w:lang w:eastAsia="lv-LV"/>
        </w:rPr>
        <w:t>), redzam, ka visvairāk investīcijas veic iekārtās (45%) un ēku būvniecībā vai pārbūvē (39%)</w:t>
      </w:r>
      <w:r w:rsidR="00042097">
        <w:rPr>
          <w:rFonts w:ascii="Times New Roman" w:eastAsia="Times New Roman" w:hAnsi="Times New Roman" w:cs="Times New Roman"/>
          <w:bCs/>
          <w:iCs/>
          <w:kern w:val="36"/>
          <w:sz w:val="24"/>
          <w:szCs w:val="24"/>
          <w:lang w:eastAsia="lv-LV"/>
        </w:rPr>
        <w:t xml:space="preserve"> (</w:t>
      </w:r>
      <w:r w:rsidR="00042097" w:rsidRPr="00E41AB3">
        <w:rPr>
          <w:rFonts w:ascii="Times New Roman" w:eastAsia="Times New Roman" w:hAnsi="Times New Roman" w:cs="Times New Roman"/>
          <w:bCs/>
          <w:i/>
          <w:iCs/>
          <w:kern w:val="36"/>
          <w:sz w:val="24"/>
          <w:szCs w:val="24"/>
          <w:lang w:eastAsia="lv-LV"/>
        </w:rPr>
        <w:t>skatīt attēlu Nr.</w:t>
      </w:r>
      <w:r w:rsidR="00042097">
        <w:rPr>
          <w:rFonts w:ascii="Times New Roman" w:eastAsia="Times New Roman" w:hAnsi="Times New Roman" w:cs="Times New Roman"/>
          <w:bCs/>
          <w:i/>
          <w:iCs/>
          <w:kern w:val="36"/>
          <w:sz w:val="24"/>
          <w:szCs w:val="24"/>
          <w:lang w:eastAsia="lv-LV"/>
        </w:rPr>
        <w:t>3)</w:t>
      </w:r>
      <w:r w:rsidR="00177567" w:rsidRPr="00E41AB3">
        <w:rPr>
          <w:rFonts w:ascii="Times New Roman" w:eastAsia="Times New Roman" w:hAnsi="Times New Roman" w:cs="Times New Roman"/>
          <w:bCs/>
          <w:iCs/>
          <w:kern w:val="36"/>
          <w:sz w:val="24"/>
          <w:szCs w:val="24"/>
          <w:lang w:eastAsia="lv-LV"/>
        </w:rPr>
        <w:t>.</w:t>
      </w:r>
      <w:r w:rsidR="00177567" w:rsidRPr="00E41AB3">
        <w:rPr>
          <w:rFonts w:ascii="Times New Roman" w:hAnsi="Times New Roman" w:cs="Times New Roman"/>
        </w:rPr>
        <w:t xml:space="preserve"> </w:t>
      </w:r>
      <w:r w:rsidR="00CA428A" w:rsidRPr="00E41AB3">
        <w:rPr>
          <w:rFonts w:ascii="Times New Roman" w:eastAsia="Times New Roman" w:hAnsi="Times New Roman" w:cs="Times New Roman"/>
          <w:b/>
          <w:bCs/>
          <w:iCs/>
          <w:kern w:val="36"/>
          <w:sz w:val="24"/>
          <w:szCs w:val="24"/>
          <w:lang w:eastAsia="lv-LV"/>
        </w:rPr>
        <w:t xml:space="preserve">Līdz ar to infrastruktūras komponente ir cieši </w:t>
      </w:r>
      <w:r w:rsidRPr="00E41AB3">
        <w:rPr>
          <w:rFonts w:ascii="Times New Roman" w:eastAsia="Times New Roman" w:hAnsi="Times New Roman" w:cs="Times New Roman"/>
          <w:b/>
          <w:bCs/>
          <w:iCs/>
          <w:kern w:val="36"/>
          <w:sz w:val="24"/>
          <w:szCs w:val="24"/>
          <w:lang w:eastAsia="lv-LV"/>
        </w:rPr>
        <w:t>s</w:t>
      </w:r>
      <w:r w:rsidR="00CA428A" w:rsidRPr="00E41AB3">
        <w:rPr>
          <w:rFonts w:ascii="Times New Roman" w:eastAsia="Times New Roman" w:hAnsi="Times New Roman" w:cs="Times New Roman"/>
          <w:b/>
          <w:bCs/>
          <w:iCs/>
          <w:kern w:val="36"/>
          <w:sz w:val="24"/>
          <w:szCs w:val="24"/>
          <w:lang w:eastAsia="lv-LV"/>
        </w:rPr>
        <w:t>aistāma ar ieguldījumiem jaunu produktu un pakalpojumu attīstībā.</w:t>
      </w:r>
      <w:r w:rsidR="00CA428A" w:rsidRPr="00E41AB3">
        <w:rPr>
          <w:rFonts w:ascii="Times New Roman" w:eastAsia="Times New Roman" w:hAnsi="Times New Roman" w:cs="Times New Roman"/>
          <w:bCs/>
          <w:iCs/>
          <w:kern w:val="36"/>
          <w:sz w:val="24"/>
          <w:szCs w:val="24"/>
          <w:lang w:eastAsia="lv-LV"/>
        </w:rPr>
        <w:t xml:space="preserve"> </w:t>
      </w:r>
      <w:r w:rsidR="00CA428A" w:rsidRPr="00E41AB3">
        <w:rPr>
          <w:rFonts w:ascii="Times New Roman" w:hAnsi="Times New Roman" w:cs="Times New Roman"/>
        </w:rPr>
        <w:t xml:space="preserve"> </w:t>
      </w:r>
    </w:p>
    <w:p w14:paraId="0ECE22F6" w14:textId="0516AB6B" w:rsidR="00304F1E" w:rsidRPr="00F82C47" w:rsidRDefault="00304F1E" w:rsidP="00304F1E">
      <w:pPr>
        <w:spacing w:after="0" w:line="240" w:lineRule="auto"/>
        <w:ind w:left="357"/>
        <w:jc w:val="right"/>
        <w:rPr>
          <w:rFonts w:ascii="Times New Roman" w:hAnsi="Times New Roman" w:cs="Times New Roman"/>
          <w:i/>
          <w:sz w:val="24"/>
          <w:szCs w:val="24"/>
        </w:rPr>
      </w:pPr>
      <w:r w:rsidRPr="00F82C47">
        <w:rPr>
          <w:rFonts w:ascii="Times New Roman" w:hAnsi="Times New Roman" w:cs="Times New Roman"/>
          <w:i/>
          <w:sz w:val="24"/>
          <w:szCs w:val="24"/>
        </w:rPr>
        <w:t>Attēls Nr.3</w:t>
      </w:r>
    </w:p>
    <w:p w14:paraId="406BFFB0" w14:textId="54B917E5" w:rsidR="00D1751C" w:rsidRPr="00E41AB3" w:rsidRDefault="00F94B79" w:rsidP="00F50D1F">
      <w:pPr>
        <w:jc w:val="both"/>
        <w:rPr>
          <w:rFonts w:ascii="Times New Roman" w:hAnsi="Times New Roman" w:cs="Times New Roman"/>
        </w:rPr>
      </w:pPr>
      <w:r w:rsidRPr="00E41AB3">
        <w:rPr>
          <w:rFonts w:ascii="Times New Roman" w:hAnsi="Times New Roman" w:cs="Times New Roman"/>
          <w:noProof/>
          <w:lang w:eastAsia="lv-LV"/>
        </w:rPr>
        <w:drawing>
          <wp:inline distT="0" distB="0" distL="0" distR="0" wp14:anchorId="5BD68C66" wp14:editId="50D50796">
            <wp:extent cx="5915660" cy="1884459"/>
            <wp:effectExtent l="0" t="0" r="889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991E51" w14:textId="760E087A" w:rsidR="00970A0F" w:rsidRPr="00E41AB3" w:rsidRDefault="00303F0A" w:rsidP="00502DB1">
      <w:pPr>
        <w:jc w:val="both"/>
        <w:rPr>
          <w:rFonts w:ascii="Times New Roman" w:hAnsi="Times New Roman" w:cs="Times New Roman"/>
          <w:b/>
          <w:sz w:val="24"/>
          <w:szCs w:val="24"/>
        </w:rPr>
      </w:pPr>
      <w:r>
        <w:rPr>
          <w:rFonts w:ascii="Times New Roman" w:hAnsi="Times New Roman" w:cs="Times New Roman"/>
          <w:sz w:val="24"/>
          <w:szCs w:val="24"/>
        </w:rPr>
        <w:t>Attiecībā uz</w:t>
      </w:r>
      <w:r w:rsidR="00484401" w:rsidRPr="00E41AB3">
        <w:rPr>
          <w:rFonts w:ascii="Times New Roman" w:hAnsi="Times New Roman" w:cs="Times New Roman"/>
          <w:sz w:val="24"/>
          <w:szCs w:val="24"/>
        </w:rPr>
        <w:t xml:space="preserve"> </w:t>
      </w:r>
      <w:r>
        <w:rPr>
          <w:rFonts w:ascii="Times New Roman" w:hAnsi="Times New Roman" w:cs="Times New Roman"/>
          <w:sz w:val="24"/>
          <w:szCs w:val="24"/>
        </w:rPr>
        <w:t>k</w:t>
      </w:r>
      <w:r w:rsidR="00502DB1" w:rsidRPr="00E41AB3">
        <w:rPr>
          <w:rFonts w:ascii="Times New Roman" w:hAnsi="Times New Roman" w:cs="Times New Roman"/>
          <w:sz w:val="24"/>
          <w:szCs w:val="24"/>
        </w:rPr>
        <w:t>omersantu iespēj</w:t>
      </w:r>
      <w:r>
        <w:rPr>
          <w:rFonts w:ascii="Times New Roman" w:hAnsi="Times New Roman" w:cs="Times New Roman"/>
          <w:sz w:val="24"/>
          <w:szCs w:val="24"/>
        </w:rPr>
        <w:t>ām</w:t>
      </w:r>
      <w:r w:rsidR="00502DB1" w:rsidRPr="00E41AB3">
        <w:rPr>
          <w:rFonts w:ascii="Times New Roman" w:hAnsi="Times New Roman" w:cs="Times New Roman"/>
          <w:sz w:val="24"/>
          <w:szCs w:val="24"/>
        </w:rPr>
        <w:t xml:space="preserve"> pašiem piesaistīt finanšu resursu, būtisk</w:t>
      </w:r>
      <w:r w:rsidR="00C16510" w:rsidRPr="00E41AB3">
        <w:rPr>
          <w:rFonts w:ascii="Times New Roman" w:hAnsi="Times New Roman" w:cs="Times New Roman"/>
          <w:sz w:val="24"/>
          <w:szCs w:val="24"/>
        </w:rPr>
        <w:t>a</w:t>
      </w:r>
      <w:r w:rsidR="00502DB1" w:rsidRPr="00E41AB3">
        <w:rPr>
          <w:rFonts w:ascii="Times New Roman" w:hAnsi="Times New Roman" w:cs="Times New Roman"/>
          <w:sz w:val="24"/>
          <w:szCs w:val="24"/>
        </w:rPr>
        <w:t xml:space="preserve"> loma ir aizdevumu (kredītu) saņemšanai finanšu institūcij</w:t>
      </w:r>
      <w:r w:rsidR="00C16510" w:rsidRPr="00E41AB3">
        <w:rPr>
          <w:rFonts w:ascii="Times New Roman" w:hAnsi="Times New Roman" w:cs="Times New Roman"/>
          <w:sz w:val="24"/>
          <w:szCs w:val="24"/>
        </w:rPr>
        <w:t>ā</w:t>
      </w:r>
      <w:r w:rsidR="00502DB1" w:rsidRPr="00E41AB3">
        <w:rPr>
          <w:rFonts w:ascii="Times New Roman" w:hAnsi="Times New Roman" w:cs="Times New Roman"/>
          <w:sz w:val="24"/>
          <w:szCs w:val="24"/>
        </w:rPr>
        <w:t xml:space="preserve">s. </w:t>
      </w:r>
      <w:r w:rsidR="00502DB1" w:rsidRPr="00E41AB3">
        <w:rPr>
          <w:rFonts w:ascii="Times New Roman" w:hAnsi="Times New Roman" w:cs="Times New Roman"/>
          <w:b/>
          <w:sz w:val="24"/>
          <w:szCs w:val="24"/>
        </w:rPr>
        <w:t>2016</w:t>
      </w:r>
      <w:r w:rsidR="00C16510" w:rsidRPr="00E41AB3">
        <w:rPr>
          <w:rFonts w:ascii="Times New Roman" w:hAnsi="Times New Roman" w:cs="Times New Roman"/>
          <w:b/>
          <w:sz w:val="24"/>
          <w:szCs w:val="24"/>
        </w:rPr>
        <w:t>.</w:t>
      </w:r>
      <w:r w:rsidR="00502DB1" w:rsidRPr="00E41AB3">
        <w:rPr>
          <w:rFonts w:ascii="Times New Roman" w:hAnsi="Times New Roman" w:cs="Times New Roman"/>
          <w:b/>
          <w:sz w:val="24"/>
          <w:szCs w:val="24"/>
        </w:rPr>
        <w:t>-</w:t>
      </w:r>
      <w:proofErr w:type="gramStart"/>
      <w:r w:rsidR="00502DB1" w:rsidRPr="00E41AB3">
        <w:rPr>
          <w:rFonts w:ascii="Times New Roman" w:hAnsi="Times New Roman" w:cs="Times New Roman"/>
          <w:b/>
          <w:sz w:val="24"/>
          <w:szCs w:val="24"/>
        </w:rPr>
        <w:t>2018.gadā</w:t>
      </w:r>
      <w:proofErr w:type="gramEnd"/>
      <w:r w:rsidR="00502DB1" w:rsidRPr="00E41AB3">
        <w:rPr>
          <w:rFonts w:ascii="Times New Roman" w:hAnsi="Times New Roman" w:cs="Times New Roman"/>
          <w:b/>
          <w:sz w:val="24"/>
          <w:szCs w:val="24"/>
        </w:rPr>
        <w:t xml:space="preserve"> lielākais aizdevumu apmērs ir bijis Rīgas reģionā, bet mazākais Latgalē</w:t>
      </w:r>
      <w:r w:rsidR="00AA510B" w:rsidRPr="00E41AB3">
        <w:rPr>
          <w:rFonts w:ascii="Times New Roman" w:hAnsi="Times New Roman" w:cs="Times New Roman"/>
          <w:b/>
          <w:sz w:val="24"/>
          <w:szCs w:val="24"/>
        </w:rPr>
        <w:t xml:space="preserve"> un Vidzemē</w:t>
      </w:r>
      <w:r w:rsidR="00502DB1" w:rsidRPr="00E41AB3">
        <w:rPr>
          <w:rFonts w:ascii="Times New Roman" w:hAnsi="Times New Roman" w:cs="Times New Roman"/>
          <w:b/>
          <w:sz w:val="24"/>
          <w:szCs w:val="24"/>
        </w:rPr>
        <w:t xml:space="preserve">  (</w:t>
      </w:r>
      <w:r w:rsidR="00AA510B" w:rsidRPr="00E41AB3">
        <w:rPr>
          <w:rFonts w:ascii="Times New Roman" w:hAnsi="Times New Roman" w:cs="Times New Roman"/>
          <w:b/>
          <w:sz w:val="24"/>
          <w:szCs w:val="24"/>
        </w:rPr>
        <w:t>Vidzem</w:t>
      </w:r>
      <w:r>
        <w:rPr>
          <w:rFonts w:ascii="Times New Roman" w:hAnsi="Times New Roman" w:cs="Times New Roman"/>
          <w:b/>
          <w:sz w:val="24"/>
          <w:szCs w:val="24"/>
        </w:rPr>
        <w:t>ē</w:t>
      </w:r>
      <w:r w:rsidR="00AA510B" w:rsidRPr="00E41AB3">
        <w:rPr>
          <w:rFonts w:ascii="Times New Roman" w:hAnsi="Times New Roman" w:cs="Times New Roman"/>
          <w:b/>
          <w:sz w:val="24"/>
          <w:szCs w:val="24"/>
        </w:rPr>
        <w:t xml:space="preserve"> </w:t>
      </w:r>
      <w:r w:rsidR="00502DB1" w:rsidRPr="00E41AB3">
        <w:rPr>
          <w:rFonts w:ascii="Times New Roman" w:hAnsi="Times New Roman" w:cs="Times New Roman"/>
          <w:b/>
          <w:sz w:val="24"/>
          <w:szCs w:val="24"/>
        </w:rPr>
        <w:t xml:space="preserve">17 reizes mazāks kā Rīgā kopējā apjomā un </w:t>
      </w:r>
      <w:r w:rsidR="00AA510B" w:rsidRPr="00E41AB3">
        <w:rPr>
          <w:rFonts w:ascii="Times New Roman" w:hAnsi="Times New Roman" w:cs="Times New Roman"/>
          <w:b/>
          <w:sz w:val="24"/>
          <w:szCs w:val="24"/>
        </w:rPr>
        <w:t>4</w:t>
      </w:r>
      <w:r w:rsidR="00502DB1" w:rsidRPr="00E41AB3">
        <w:rPr>
          <w:rFonts w:ascii="Times New Roman" w:hAnsi="Times New Roman" w:cs="Times New Roman"/>
          <w:b/>
          <w:sz w:val="24"/>
          <w:szCs w:val="24"/>
        </w:rPr>
        <w:t>,5 reizes mazāks uz vienu nodarbināto).</w:t>
      </w:r>
      <w:r w:rsidR="00502DB1" w:rsidRPr="00E41AB3">
        <w:rPr>
          <w:rFonts w:ascii="Times New Roman" w:hAnsi="Times New Roman" w:cs="Times New Roman"/>
          <w:sz w:val="24"/>
          <w:szCs w:val="24"/>
        </w:rPr>
        <w:t xml:space="preserve"> Būtisku daļu no aizdevumiem veido ieguldījumi apgrozāmajos līdze</w:t>
      </w:r>
      <w:r w:rsidR="00C16510" w:rsidRPr="00E41AB3">
        <w:rPr>
          <w:rFonts w:ascii="Times New Roman" w:hAnsi="Times New Roman" w:cs="Times New Roman"/>
          <w:sz w:val="24"/>
          <w:szCs w:val="24"/>
        </w:rPr>
        <w:t>kļos (21% no visiem aizdevumiem</w:t>
      </w:r>
      <w:r w:rsidR="00502DB1" w:rsidRPr="00E41AB3">
        <w:rPr>
          <w:rFonts w:ascii="Times New Roman" w:hAnsi="Times New Roman" w:cs="Times New Roman"/>
          <w:sz w:val="24"/>
          <w:szCs w:val="24"/>
        </w:rPr>
        <w:t>) un nekustamajā īpašumā (38% no visiem aizdevumiem). Arī šajos aizdevum</w:t>
      </w:r>
      <w:r w:rsidR="00042097">
        <w:rPr>
          <w:rFonts w:ascii="Times New Roman" w:hAnsi="Times New Roman" w:cs="Times New Roman"/>
          <w:sz w:val="24"/>
          <w:szCs w:val="24"/>
        </w:rPr>
        <w:t>os</w:t>
      </w:r>
      <w:r w:rsidR="00502DB1" w:rsidRPr="00E41AB3">
        <w:rPr>
          <w:rFonts w:ascii="Times New Roman" w:hAnsi="Times New Roman" w:cs="Times New Roman"/>
          <w:sz w:val="24"/>
          <w:szCs w:val="24"/>
        </w:rPr>
        <w:t xml:space="preserve"> veido</w:t>
      </w:r>
      <w:r w:rsidR="00645B35" w:rsidRPr="00E41AB3">
        <w:rPr>
          <w:rFonts w:ascii="Times New Roman" w:hAnsi="Times New Roman" w:cs="Times New Roman"/>
          <w:sz w:val="24"/>
          <w:szCs w:val="24"/>
        </w:rPr>
        <w:t>jas</w:t>
      </w:r>
      <w:r w:rsidR="00502DB1" w:rsidRPr="00E41AB3">
        <w:rPr>
          <w:rFonts w:ascii="Times New Roman" w:hAnsi="Times New Roman" w:cs="Times New Roman"/>
          <w:sz w:val="24"/>
          <w:szCs w:val="24"/>
        </w:rPr>
        <w:t xml:space="preserve"> būtiskas reģionālās atšķirības – </w:t>
      </w:r>
      <w:r w:rsidR="00502DB1" w:rsidRPr="00E41AB3">
        <w:rPr>
          <w:rFonts w:ascii="Times New Roman" w:hAnsi="Times New Roman" w:cs="Times New Roman"/>
          <w:b/>
          <w:sz w:val="24"/>
          <w:szCs w:val="24"/>
        </w:rPr>
        <w:t xml:space="preserve">starp Rīgu un </w:t>
      </w:r>
      <w:r w:rsidR="00AA510B" w:rsidRPr="00E41AB3">
        <w:rPr>
          <w:rFonts w:ascii="Times New Roman" w:hAnsi="Times New Roman" w:cs="Times New Roman"/>
          <w:b/>
          <w:sz w:val="24"/>
          <w:szCs w:val="24"/>
        </w:rPr>
        <w:t xml:space="preserve">Vidzemi </w:t>
      </w:r>
      <w:r w:rsidR="00502DB1" w:rsidRPr="00E41AB3">
        <w:rPr>
          <w:rFonts w:ascii="Times New Roman" w:hAnsi="Times New Roman" w:cs="Times New Roman"/>
          <w:b/>
          <w:sz w:val="24"/>
          <w:szCs w:val="24"/>
        </w:rPr>
        <w:t xml:space="preserve">apgrozāmie līdzekļi atšķiras </w:t>
      </w:r>
      <w:r w:rsidR="00AA510B" w:rsidRPr="00E41AB3">
        <w:rPr>
          <w:rFonts w:ascii="Times New Roman" w:hAnsi="Times New Roman" w:cs="Times New Roman"/>
          <w:b/>
          <w:sz w:val="24"/>
          <w:szCs w:val="24"/>
        </w:rPr>
        <w:t xml:space="preserve">4,6 </w:t>
      </w:r>
      <w:r w:rsidR="00502DB1" w:rsidRPr="00E41AB3">
        <w:rPr>
          <w:rFonts w:ascii="Times New Roman" w:hAnsi="Times New Roman" w:cs="Times New Roman"/>
          <w:b/>
          <w:sz w:val="24"/>
          <w:szCs w:val="24"/>
        </w:rPr>
        <w:t xml:space="preserve">reizes, bet ieguldījumi nekustamajā īpašumā </w:t>
      </w:r>
      <w:r w:rsidR="00AA510B" w:rsidRPr="00E41AB3">
        <w:rPr>
          <w:rFonts w:ascii="Times New Roman" w:hAnsi="Times New Roman" w:cs="Times New Roman"/>
          <w:b/>
          <w:sz w:val="24"/>
          <w:szCs w:val="24"/>
        </w:rPr>
        <w:t>5,8</w:t>
      </w:r>
      <w:r w:rsidR="00502DB1" w:rsidRPr="00E41AB3">
        <w:rPr>
          <w:rFonts w:ascii="Times New Roman" w:hAnsi="Times New Roman" w:cs="Times New Roman"/>
          <w:b/>
          <w:sz w:val="24"/>
          <w:szCs w:val="24"/>
        </w:rPr>
        <w:t xml:space="preserve"> reizes</w:t>
      </w:r>
      <w:r w:rsidR="00042097">
        <w:rPr>
          <w:rFonts w:ascii="Times New Roman" w:hAnsi="Times New Roman" w:cs="Times New Roman"/>
          <w:b/>
          <w:sz w:val="24"/>
          <w:szCs w:val="24"/>
        </w:rPr>
        <w:t xml:space="preserve"> </w:t>
      </w:r>
      <w:r w:rsidR="00042097" w:rsidRPr="00042097">
        <w:rPr>
          <w:rFonts w:ascii="Times New Roman" w:hAnsi="Times New Roman" w:cs="Times New Roman"/>
          <w:bCs/>
          <w:sz w:val="24"/>
          <w:szCs w:val="24"/>
        </w:rPr>
        <w:t>(</w:t>
      </w:r>
      <w:r w:rsidR="00042097" w:rsidRPr="00042097">
        <w:rPr>
          <w:rFonts w:ascii="Times New Roman" w:eastAsia="Times New Roman" w:hAnsi="Times New Roman" w:cs="Times New Roman"/>
          <w:bCs/>
          <w:i/>
          <w:iCs/>
          <w:kern w:val="36"/>
          <w:sz w:val="24"/>
          <w:szCs w:val="24"/>
          <w:lang w:eastAsia="lv-LV"/>
        </w:rPr>
        <w:t>skatīt attēlu Nr.</w:t>
      </w:r>
      <w:r w:rsidR="00042097">
        <w:rPr>
          <w:rFonts w:ascii="Times New Roman" w:eastAsia="Times New Roman" w:hAnsi="Times New Roman" w:cs="Times New Roman"/>
          <w:bCs/>
          <w:i/>
          <w:iCs/>
          <w:kern w:val="36"/>
          <w:sz w:val="24"/>
          <w:szCs w:val="24"/>
          <w:lang w:eastAsia="lv-LV"/>
        </w:rPr>
        <w:t>4</w:t>
      </w:r>
      <w:r w:rsidR="00042097" w:rsidRPr="00042097">
        <w:rPr>
          <w:rFonts w:ascii="Times New Roman" w:eastAsia="Times New Roman" w:hAnsi="Times New Roman" w:cs="Times New Roman"/>
          <w:bCs/>
          <w:kern w:val="36"/>
          <w:sz w:val="24"/>
          <w:szCs w:val="24"/>
          <w:lang w:eastAsia="lv-LV"/>
        </w:rPr>
        <w:t>)</w:t>
      </w:r>
      <w:r w:rsidR="00502DB1" w:rsidRPr="00042097">
        <w:rPr>
          <w:rFonts w:ascii="Times New Roman" w:hAnsi="Times New Roman" w:cs="Times New Roman"/>
          <w:bCs/>
          <w:sz w:val="24"/>
          <w:szCs w:val="24"/>
        </w:rPr>
        <w:t>.</w:t>
      </w:r>
      <w:r w:rsidR="00970A0F" w:rsidRPr="00E41AB3">
        <w:rPr>
          <w:rFonts w:ascii="Times New Roman" w:hAnsi="Times New Roman" w:cs="Times New Roman"/>
          <w:b/>
          <w:sz w:val="24"/>
          <w:szCs w:val="24"/>
        </w:rPr>
        <w:t xml:space="preserve"> </w:t>
      </w:r>
    </w:p>
    <w:p w14:paraId="1402D966" w14:textId="72B04CEA" w:rsidR="00BE245A" w:rsidRDefault="00BE245A" w:rsidP="00BE245A">
      <w:pPr>
        <w:shd w:val="clear" w:color="auto" w:fill="FFFFFF" w:themeFill="background1"/>
        <w:tabs>
          <w:tab w:val="left" w:pos="0"/>
          <w:tab w:val="left" w:pos="2410"/>
          <w:tab w:val="left" w:pos="2835"/>
        </w:tabs>
        <w:spacing w:after="60"/>
        <w:jc w:val="right"/>
        <w:rPr>
          <w:rFonts w:ascii="Times New Roman" w:hAnsi="Times New Roman" w:cs="Times New Roman"/>
          <w:i/>
          <w:iCs/>
          <w:sz w:val="24"/>
          <w:szCs w:val="24"/>
        </w:rPr>
      </w:pPr>
      <w:r w:rsidRPr="00BE245A">
        <w:rPr>
          <w:rFonts w:ascii="Times New Roman" w:hAnsi="Times New Roman" w:cs="Times New Roman"/>
          <w:i/>
          <w:iCs/>
          <w:sz w:val="24"/>
          <w:szCs w:val="24"/>
        </w:rPr>
        <w:t>Attēls Nr.4</w:t>
      </w:r>
    </w:p>
    <w:p w14:paraId="708398B8" w14:textId="1E9E9CF5" w:rsidR="00F94B79" w:rsidRPr="00BE245A" w:rsidRDefault="00F94B79" w:rsidP="00BE245A">
      <w:pPr>
        <w:shd w:val="clear" w:color="auto" w:fill="FFFFFF" w:themeFill="background1"/>
        <w:tabs>
          <w:tab w:val="left" w:pos="0"/>
          <w:tab w:val="left" w:pos="2410"/>
          <w:tab w:val="left" w:pos="2835"/>
        </w:tabs>
        <w:spacing w:after="60"/>
        <w:jc w:val="right"/>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3E5548E0" wp14:editId="13B66671">
            <wp:extent cx="6450330" cy="3000439"/>
            <wp:effectExtent l="0" t="0" r="7620"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5529" cy="3007509"/>
                    </a:xfrm>
                    <a:prstGeom prst="rect">
                      <a:avLst/>
                    </a:prstGeom>
                    <a:noFill/>
                  </pic:spPr>
                </pic:pic>
              </a:graphicData>
            </a:graphic>
          </wp:inline>
        </w:drawing>
      </w:r>
    </w:p>
    <w:p w14:paraId="6AA2321F" w14:textId="4A51FBD7" w:rsidR="00502DB1" w:rsidRPr="00E41AB3" w:rsidRDefault="00C96D7B" w:rsidP="008A6DA9">
      <w:pPr>
        <w:shd w:val="clear" w:color="auto" w:fill="FFFFFF" w:themeFill="background1"/>
        <w:tabs>
          <w:tab w:val="left" w:pos="0"/>
          <w:tab w:val="left" w:pos="2410"/>
          <w:tab w:val="left" w:pos="2835"/>
        </w:tabs>
        <w:spacing w:after="60"/>
        <w:jc w:val="both"/>
        <w:rPr>
          <w:rFonts w:ascii="Times New Roman" w:hAnsi="Times New Roman" w:cs="Times New Roman"/>
          <w:sz w:val="24"/>
          <w:szCs w:val="24"/>
        </w:rPr>
      </w:pPr>
      <w:proofErr w:type="gramStart"/>
      <w:r w:rsidRPr="00E41AB3">
        <w:rPr>
          <w:rFonts w:ascii="Times New Roman" w:hAnsi="Times New Roman" w:cs="Times New Roman"/>
          <w:sz w:val="24"/>
          <w:szCs w:val="24"/>
        </w:rPr>
        <w:t>Izdevumos nekustamajā īpašumā būtisku loma</w:t>
      </w:r>
      <w:proofErr w:type="gramEnd"/>
      <w:r w:rsidRPr="00E41AB3">
        <w:rPr>
          <w:rFonts w:ascii="Times New Roman" w:hAnsi="Times New Roman" w:cs="Times New Roman"/>
          <w:sz w:val="24"/>
          <w:szCs w:val="24"/>
        </w:rPr>
        <w:t xml:space="preserve"> ir arī mājokļu tirgum un ar to saistītajām nozarēm (nozare “Operācijas ar </w:t>
      </w:r>
      <w:r w:rsidR="00C16510" w:rsidRPr="00E41AB3">
        <w:rPr>
          <w:rFonts w:ascii="Times New Roman" w:hAnsi="Times New Roman" w:cs="Times New Roman"/>
          <w:sz w:val="24"/>
          <w:szCs w:val="24"/>
        </w:rPr>
        <w:t>nekust</w:t>
      </w:r>
      <w:r w:rsidR="002C1559" w:rsidRPr="00E41AB3">
        <w:rPr>
          <w:rFonts w:ascii="Times New Roman" w:hAnsi="Times New Roman" w:cs="Times New Roman"/>
          <w:sz w:val="24"/>
          <w:szCs w:val="24"/>
        </w:rPr>
        <w:t>a</w:t>
      </w:r>
      <w:r w:rsidR="00C16510" w:rsidRPr="00E41AB3">
        <w:rPr>
          <w:rFonts w:ascii="Times New Roman" w:hAnsi="Times New Roman" w:cs="Times New Roman"/>
          <w:sz w:val="24"/>
          <w:szCs w:val="24"/>
        </w:rPr>
        <w:t>mo</w:t>
      </w:r>
      <w:r w:rsidRPr="00E41AB3">
        <w:rPr>
          <w:rFonts w:ascii="Times New Roman" w:hAnsi="Times New Roman" w:cs="Times New Roman"/>
          <w:sz w:val="24"/>
          <w:szCs w:val="24"/>
        </w:rPr>
        <w:t xml:space="preserve"> īpašumu)”, kur būtiski lielāk</w:t>
      </w:r>
      <w:r w:rsidR="00C16510" w:rsidRPr="00E41AB3">
        <w:rPr>
          <w:rFonts w:ascii="Times New Roman" w:hAnsi="Times New Roman" w:cs="Times New Roman"/>
          <w:sz w:val="24"/>
          <w:szCs w:val="24"/>
        </w:rPr>
        <w:t>ā</w:t>
      </w:r>
      <w:r w:rsidRPr="00E41AB3">
        <w:rPr>
          <w:rFonts w:ascii="Times New Roman" w:hAnsi="Times New Roman" w:cs="Times New Roman"/>
          <w:sz w:val="24"/>
          <w:szCs w:val="24"/>
        </w:rPr>
        <w:t xml:space="preserve"> daļ</w:t>
      </w:r>
      <w:r w:rsidR="00C16510" w:rsidRPr="00E41AB3">
        <w:rPr>
          <w:rFonts w:ascii="Times New Roman" w:hAnsi="Times New Roman" w:cs="Times New Roman"/>
          <w:sz w:val="24"/>
          <w:szCs w:val="24"/>
        </w:rPr>
        <w:t>a</w:t>
      </w:r>
      <w:r w:rsidRPr="00E41AB3">
        <w:rPr>
          <w:rFonts w:ascii="Times New Roman" w:hAnsi="Times New Roman" w:cs="Times New Roman"/>
          <w:sz w:val="24"/>
          <w:szCs w:val="24"/>
        </w:rPr>
        <w:t xml:space="preserve"> ieguldījum</w:t>
      </w:r>
      <w:r w:rsidR="00C16510" w:rsidRPr="00E41AB3">
        <w:rPr>
          <w:rFonts w:ascii="Times New Roman" w:hAnsi="Times New Roman" w:cs="Times New Roman"/>
          <w:sz w:val="24"/>
          <w:szCs w:val="24"/>
        </w:rPr>
        <w:t>u</w:t>
      </w:r>
      <w:r w:rsidRPr="00E41AB3">
        <w:rPr>
          <w:rFonts w:ascii="Times New Roman" w:hAnsi="Times New Roman" w:cs="Times New Roman"/>
          <w:sz w:val="24"/>
          <w:szCs w:val="24"/>
        </w:rPr>
        <w:t xml:space="preserve"> Rīgā ir veikti tieši šajā jomā (pārējos reģionos salīdzinoši nelieli). Vienlaikus apskatot apstrādes rūpniecību un strauji </w:t>
      </w:r>
      <w:r w:rsidRPr="00E41AB3">
        <w:rPr>
          <w:rFonts w:ascii="Times New Roman" w:hAnsi="Times New Roman" w:cs="Times New Roman"/>
          <w:sz w:val="24"/>
          <w:szCs w:val="24"/>
        </w:rPr>
        <w:lastRenderedPageBreak/>
        <w:t>augošo pakalpojumu nozari (2016</w:t>
      </w:r>
      <w:r w:rsidR="00C16510" w:rsidRPr="00E41AB3">
        <w:rPr>
          <w:rFonts w:ascii="Times New Roman" w:hAnsi="Times New Roman" w:cs="Times New Roman"/>
          <w:sz w:val="24"/>
          <w:szCs w:val="24"/>
        </w:rPr>
        <w:t>.</w:t>
      </w:r>
      <w:r w:rsidRPr="00E41AB3">
        <w:rPr>
          <w:rFonts w:ascii="Times New Roman" w:hAnsi="Times New Roman" w:cs="Times New Roman"/>
          <w:sz w:val="24"/>
          <w:szCs w:val="24"/>
        </w:rPr>
        <w:t xml:space="preserve">-2018.gadā IKT pievienotās vērtības pieaugums par 31%), </w:t>
      </w:r>
      <w:r w:rsidR="00C16510" w:rsidRPr="00E41AB3">
        <w:rPr>
          <w:rFonts w:ascii="Times New Roman" w:hAnsi="Times New Roman" w:cs="Times New Roman"/>
          <w:sz w:val="24"/>
          <w:szCs w:val="24"/>
        </w:rPr>
        <w:t>secināms, ka</w:t>
      </w:r>
      <w:r w:rsidRPr="00E41AB3">
        <w:rPr>
          <w:rFonts w:ascii="Times New Roman" w:hAnsi="Times New Roman" w:cs="Times New Roman"/>
          <w:sz w:val="24"/>
          <w:szCs w:val="24"/>
        </w:rPr>
        <w:t xml:space="preserve"> </w:t>
      </w:r>
      <w:r w:rsidR="00645B35" w:rsidRPr="00E41AB3">
        <w:rPr>
          <w:rFonts w:ascii="Times New Roman" w:hAnsi="Times New Roman" w:cs="Times New Roman"/>
          <w:sz w:val="24"/>
          <w:szCs w:val="24"/>
        </w:rPr>
        <w:t xml:space="preserve">šajās jomās nekustamajā īpašumā </w:t>
      </w:r>
      <w:r w:rsidRPr="00E41AB3">
        <w:rPr>
          <w:rFonts w:ascii="Times New Roman" w:hAnsi="Times New Roman" w:cs="Times New Roman"/>
          <w:sz w:val="24"/>
          <w:szCs w:val="24"/>
        </w:rPr>
        <w:t>ārpus Rīgas un Pierīgas ir būtiski mazāki ieguldījumi</w:t>
      </w:r>
      <w:r w:rsidR="00645B35" w:rsidRPr="00E41AB3">
        <w:rPr>
          <w:rFonts w:ascii="Times New Roman" w:hAnsi="Times New Roman" w:cs="Times New Roman"/>
          <w:sz w:val="24"/>
          <w:szCs w:val="24"/>
        </w:rPr>
        <w:t xml:space="preserve"> uz vienu aizņēmumu saņēmušo</w:t>
      </w:r>
      <w:r w:rsidR="00C16510" w:rsidRPr="00E41AB3">
        <w:rPr>
          <w:rFonts w:ascii="Times New Roman" w:hAnsi="Times New Roman" w:cs="Times New Roman"/>
          <w:sz w:val="24"/>
          <w:szCs w:val="24"/>
        </w:rPr>
        <w:t>.</w:t>
      </w:r>
      <w:r w:rsidRPr="00E41AB3">
        <w:rPr>
          <w:rFonts w:ascii="Times New Roman" w:hAnsi="Times New Roman" w:cs="Times New Roman"/>
          <w:sz w:val="24"/>
          <w:szCs w:val="24"/>
        </w:rPr>
        <w:t xml:space="preserve"> </w:t>
      </w:r>
      <w:r w:rsidR="00042097">
        <w:rPr>
          <w:rFonts w:ascii="Times New Roman" w:hAnsi="Times New Roman" w:cs="Times New Roman"/>
          <w:sz w:val="24"/>
          <w:szCs w:val="24"/>
        </w:rPr>
        <w:t>Kaut arī</w:t>
      </w:r>
      <w:r w:rsidRPr="00E41AB3">
        <w:rPr>
          <w:rFonts w:ascii="Times New Roman" w:hAnsi="Times New Roman" w:cs="Times New Roman"/>
          <w:sz w:val="24"/>
          <w:szCs w:val="24"/>
        </w:rPr>
        <w:t xml:space="preserve"> apstrādes rūpniecībā reģionos veiktais ieguldījums ir bijis līdzīgs Rīgas pilsētai, tas ir daudz straujāk noticis Pierīgā, bet pakalpojumu nozarē praktiski nav veikti ieguldījumi ārpus Rīgas un Pierīgas reģiona.</w:t>
      </w:r>
    </w:p>
    <w:p w14:paraId="7A1A1DB3" w14:textId="0E7E5C96" w:rsidR="00F50D1F" w:rsidRPr="00E41AB3" w:rsidRDefault="00AA510B" w:rsidP="00484401">
      <w:pPr>
        <w:jc w:val="both"/>
        <w:rPr>
          <w:rFonts w:ascii="Times New Roman" w:hAnsi="Times New Roman" w:cs="Times New Roman"/>
          <w:b/>
          <w:sz w:val="24"/>
          <w:szCs w:val="24"/>
        </w:rPr>
      </w:pPr>
      <w:r w:rsidRPr="00E41AB3">
        <w:rPr>
          <w:rFonts w:ascii="Times New Roman" w:hAnsi="Times New Roman" w:cs="Times New Roman"/>
          <w:sz w:val="24"/>
          <w:szCs w:val="24"/>
        </w:rPr>
        <w:t>Līdz ar to l</w:t>
      </w:r>
      <w:r w:rsidR="007D31EB" w:rsidRPr="00E41AB3">
        <w:rPr>
          <w:rFonts w:ascii="Times New Roman" w:hAnsi="Times New Roman" w:cs="Times New Roman"/>
          <w:sz w:val="24"/>
          <w:szCs w:val="24"/>
        </w:rPr>
        <w:t xml:space="preserve">ielāki kapitālie ieguldījumi nodrošina augstāku īpašuma vērtību, kas savukārt kalpo par nodrošinājumu privāto investīciju piesaistei. </w:t>
      </w:r>
      <w:r w:rsidR="007D31EB" w:rsidRPr="00E41AB3">
        <w:rPr>
          <w:rFonts w:ascii="Times New Roman" w:hAnsi="Times New Roman" w:cs="Times New Roman"/>
          <w:b/>
          <w:sz w:val="24"/>
          <w:szCs w:val="24"/>
        </w:rPr>
        <w:t xml:space="preserve">Līdz ar to </w:t>
      </w:r>
      <w:r w:rsidR="00CF4B7F" w:rsidRPr="00E41AB3">
        <w:rPr>
          <w:rFonts w:ascii="Times New Roman" w:hAnsi="Times New Roman" w:cs="Times New Roman"/>
          <w:b/>
          <w:sz w:val="24"/>
          <w:szCs w:val="24"/>
        </w:rPr>
        <w:t xml:space="preserve">reģionos </w:t>
      </w:r>
      <w:r w:rsidR="007D31EB" w:rsidRPr="00E41AB3">
        <w:rPr>
          <w:rFonts w:ascii="Times New Roman" w:hAnsi="Times New Roman" w:cs="Times New Roman"/>
          <w:b/>
          <w:sz w:val="24"/>
          <w:szCs w:val="24"/>
        </w:rPr>
        <w:t>veidojas zināms “apburtais loks”</w:t>
      </w:r>
      <w:r w:rsidR="00484401" w:rsidRPr="00E41AB3">
        <w:rPr>
          <w:rFonts w:ascii="Times New Roman" w:hAnsi="Times New Roman" w:cs="Times New Roman"/>
          <w:b/>
          <w:sz w:val="24"/>
          <w:szCs w:val="24"/>
        </w:rPr>
        <w:t xml:space="preserve"> - </w:t>
      </w:r>
      <w:r w:rsidR="007D31EB" w:rsidRPr="00E41AB3">
        <w:rPr>
          <w:rFonts w:ascii="Times New Roman" w:hAnsi="Times New Roman" w:cs="Times New Roman"/>
          <w:b/>
          <w:sz w:val="24"/>
          <w:szCs w:val="24"/>
        </w:rPr>
        <w:t>jo zemāka pievienotā vērtība, jo zemāki ieg</w:t>
      </w:r>
      <w:r w:rsidR="00CF4B7F" w:rsidRPr="00E41AB3">
        <w:rPr>
          <w:rFonts w:ascii="Times New Roman" w:hAnsi="Times New Roman" w:cs="Times New Roman"/>
          <w:b/>
          <w:sz w:val="24"/>
          <w:szCs w:val="24"/>
        </w:rPr>
        <w:t>u</w:t>
      </w:r>
      <w:r w:rsidR="007D31EB" w:rsidRPr="00E41AB3">
        <w:rPr>
          <w:rFonts w:ascii="Times New Roman" w:hAnsi="Times New Roman" w:cs="Times New Roman"/>
          <w:b/>
          <w:sz w:val="24"/>
          <w:szCs w:val="24"/>
        </w:rPr>
        <w:t>ldījumi un spēja piesaistīt invest</w:t>
      </w:r>
      <w:r w:rsidR="00F50D1F" w:rsidRPr="00E41AB3">
        <w:rPr>
          <w:rFonts w:ascii="Times New Roman" w:hAnsi="Times New Roman" w:cs="Times New Roman"/>
          <w:b/>
          <w:sz w:val="24"/>
          <w:szCs w:val="24"/>
        </w:rPr>
        <w:t xml:space="preserve">īcijas, lai arī </w:t>
      </w:r>
      <w:proofErr w:type="spellStart"/>
      <w:r w:rsidR="00F50D1F" w:rsidRPr="00E41AB3">
        <w:rPr>
          <w:rFonts w:ascii="Times New Roman" w:hAnsi="Times New Roman" w:cs="Times New Roman"/>
          <w:b/>
          <w:sz w:val="24"/>
          <w:szCs w:val="24"/>
        </w:rPr>
        <w:t>atdeve</w:t>
      </w:r>
      <w:proofErr w:type="spellEnd"/>
      <w:r w:rsidR="00F50D1F" w:rsidRPr="00E41AB3">
        <w:rPr>
          <w:rFonts w:ascii="Times New Roman" w:hAnsi="Times New Roman" w:cs="Times New Roman"/>
          <w:b/>
          <w:sz w:val="24"/>
          <w:szCs w:val="24"/>
        </w:rPr>
        <w:t xml:space="preserve"> reģionos ir gandrīz vienāda</w:t>
      </w:r>
      <w:r w:rsidR="00534B5B" w:rsidRPr="00E41AB3">
        <w:rPr>
          <w:rFonts w:ascii="Times New Roman" w:hAnsi="Times New Roman" w:cs="Times New Roman"/>
          <w:b/>
          <w:sz w:val="24"/>
          <w:szCs w:val="24"/>
        </w:rPr>
        <w:t>.</w:t>
      </w:r>
    </w:p>
    <w:p w14:paraId="1AC41253" w14:textId="3006940C" w:rsidR="00356794" w:rsidRPr="00E41AB3" w:rsidRDefault="002E446B" w:rsidP="00356794">
      <w:pPr>
        <w:spacing w:after="0" w:line="240" w:lineRule="auto"/>
        <w:jc w:val="both"/>
        <w:rPr>
          <w:rFonts w:ascii="Times New Roman" w:hAnsi="Times New Roman" w:cs="Times New Roman"/>
          <w:noProof/>
          <w:lang w:eastAsia="lv-LV"/>
        </w:rPr>
      </w:pPr>
      <w:r w:rsidRPr="00E41AB3">
        <w:rPr>
          <w:rFonts w:ascii="Times New Roman" w:eastAsia="Times New Roman" w:hAnsi="Times New Roman" w:cs="Times New Roman"/>
          <w:bCs/>
          <w:iCs/>
          <w:kern w:val="36"/>
          <w:sz w:val="24"/>
          <w:szCs w:val="24"/>
          <w:lang w:eastAsia="lv-LV"/>
        </w:rPr>
        <w:t>Būtiskas reģionālās attīstības atšķirības ir ietekmējušas arī iedz</w:t>
      </w:r>
      <w:r w:rsidR="00534B5B" w:rsidRPr="00E41AB3">
        <w:rPr>
          <w:rFonts w:ascii="Times New Roman" w:eastAsia="Times New Roman" w:hAnsi="Times New Roman" w:cs="Times New Roman"/>
          <w:bCs/>
          <w:iCs/>
          <w:kern w:val="36"/>
          <w:sz w:val="24"/>
          <w:szCs w:val="24"/>
          <w:lang w:eastAsia="lv-LV"/>
        </w:rPr>
        <w:t xml:space="preserve">īvotāju skaitu pēdējos 10 gados. Vienlaikus demogrāfijas izmaiņas </w:t>
      </w:r>
      <w:r w:rsidRPr="00E41AB3">
        <w:rPr>
          <w:rFonts w:ascii="Times New Roman" w:eastAsia="Times New Roman" w:hAnsi="Times New Roman" w:cs="Times New Roman"/>
          <w:bCs/>
          <w:iCs/>
          <w:kern w:val="36"/>
          <w:sz w:val="24"/>
          <w:szCs w:val="24"/>
          <w:lang w:eastAsia="lv-LV"/>
        </w:rPr>
        <w:t xml:space="preserve">atšķiras reģionāli – Pierīgā pēdējos 10 gados iedzīvotāju skaits ir samazinājies tikai par 1%, kamēr </w:t>
      </w:r>
      <w:r w:rsidR="00AA510B" w:rsidRPr="00E41AB3">
        <w:rPr>
          <w:rFonts w:ascii="Times New Roman" w:eastAsia="Times New Roman" w:hAnsi="Times New Roman" w:cs="Times New Roman"/>
          <w:bCs/>
          <w:iCs/>
          <w:kern w:val="36"/>
          <w:sz w:val="24"/>
          <w:szCs w:val="24"/>
          <w:lang w:eastAsia="lv-LV"/>
        </w:rPr>
        <w:t>Vidzemes reģionā par 21</w:t>
      </w:r>
      <w:r w:rsidRPr="00E41AB3">
        <w:rPr>
          <w:rFonts w:ascii="Times New Roman" w:eastAsia="Times New Roman" w:hAnsi="Times New Roman" w:cs="Times New Roman"/>
          <w:bCs/>
          <w:iCs/>
          <w:kern w:val="36"/>
          <w:sz w:val="24"/>
          <w:szCs w:val="24"/>
          <w:lang w:eastAsia="lv-LV"/>
        </w:rPr>
        <w:t xml:space="preserve">%. </w:t>
      </w:r>
      <w:r w:rsidR="00303F0A">
        <w:rPr>
          <w:rFonts w:ascii="Times New Roman" w:eastAsia="Times New Roman" w:hAnsi="Times New Roman" w:cs="Times New Roman"/>
          <w:bCs/>
          <w:iCs/>
          <w:kern w:val="36"/>
          <w:sz w:val="24"/>
          <w:szCs w:val="24"/>
          <w:lang w:eastAsia="lv-LV"/>
        </w:rPr>
        <w:t>Vairākos</w:t>
      </w:r>
      <w:r w:rsidRPr="00E41AB3">
        <w:rPr>
          <w:rFonts w:ascii="Times New Roman" w:eastAsia="Times New Roman" w:hAnsi="Times New Roman" w:cs="Times New Roman"/>
          <w:bCs/>
          <w:iCs/>
          <w:kern w:val="36"/>
          <w:sz w:val="24"/>
          <w:szCs w:val="24"/>
          <w:lang w:eastAsia="lv-LV"/>
        </w:rPr>
        <w:t xml:space="preserve"> reģion</w:t>
      </w:r>
      <w:r w:rsidR="00303F0A">
        <w:rPr>
          <w:rFonts w:ascii="Times New Roman" w:eastAsia="Times New Roman" w:hAnsi="Times New Roman" w:cs="Times New Roman"/>
          <w:bCs/>
          <w:iCs/>
          <w:kern w:val="36"/>
          <w:sz w:val="24"/>
          <w:szCs w:val="24"/>
          <w:lang w:eastAsia="lv-LV"/>
        </w:rPr>
        <w:t>os</w:t>
      </w:r>
      <w:r w:rsidRPr="00E41AB3">
        <w:rPr>
          <w:rFonts w:ascii="Times New Roman" w:eastAsia="Times New Roman" w:hAnsi="Times New Roman" w:cs="Times New Roman"/>
          <w:bCs/>
          <w:iCs/>
          <w:kern w:val="36"/>
          <w:sz w:val="24"/>
          <w:szCs w:val="24"/>
          <w:lang w:eastAsia="lv-LV"/>
        </w:rPr>
        <w:t xml:space="preserve"> galvenais iedzīvotāju skaita samazinājum</w:t>
      </w:r>
      <w:r w:rsidR="00303F0A">
        <w:rPr>
          <w:rFonts w:ascii="Times New Roman" w:eastAsia="Times New Roman" w:hAnsi="Times New Roman" w:cs="Times New Roman"/>
          <w:bCs/>
          <w:iCs/>
          <w:kern w:val="36"/>
          <w:sz w:val="24"/>
          <w:szCs w:val="24"/>
          <w:lang w:eastAsia="lv-LV"/>
        </w:rPr>
        <w:t>a iemesls</w:t>
      </w:r>
      <w:r w:rsidRPr="00E41AB3">
        <w:rPr>
          <w:rFonts w:ascii="Times New Roman" w:eastAsia="Times New Roman" w:hAnsi="Times New Roman" w:cs="Times New Roman"/>
          <w:bCs/>
          <w:iCs/>
          <w:kern w:val="36"/>
          <w:sz w:val="24"/>
          <w:szCs w:val="24"/>
          <w:lang w:eastAsia="lv-LV"/>
        </w:rPr>
        <w:t xml:space="preserve"> ir bijusi emigrācija, kas galvenokārt ir iedzīvotāj</w:t>
      </w:r>
      <w:r w:rsidR="007D2627" w:rsidRPr="00E41AB3">
        <w:rPr>
          <w:rFonts w:ascii="Times New Roman" w:eastAsia="Times New Roman" w:hAnsi="Times New Roman" w:cs="Times New Roman"/>
          <w:bCs/>
          <w:iCs/>
          <w:kern w:val="36"/>
          <w:sz w:val="24"/>
          <w:szCs w:val="24"/>
          <w:lang w:eastAsia="lv-LV"/>
        </w:rPr>
        <w:t>i</w:t>
      </w:r>
      <w:r w:rsidRPr="00E41AB3">
        <w:rPr>
          <w:rFonts w:ascii="Times New Roman" w:eastAsia="Times New Roman" w:hAnsi="Times New Roman" w:cs="Times New Roman"/>
          <w:bCs/>
          <w:iCs/>
          <w:kern w:val="36"/>
          <w:sz w:val="24"/>
          <w:szCs w:val="24"/>
          <w:lang w:eastAsia="lv-LV"/>
        </w:rPr>
        <w:t xml:space="preserve"> darbspējas vecumā, kas būtiski ietekmē arī ataudzi un nākotnes demogrāfijas prognozes</w:t>
      </w:r>
      <w:r w:rsidR="00534B5B" w:rsidRPr="00E41AB3">
        <w:rPr>
          <w:rFonts w:ascii="Times New Roman" w:eastAsia="Times New Roman" w:hAnsi="Times New Roman" w:cs="Times New Roman"/>
          <w:bCs/>
          <w:iCs/>
          <w:kern w:val="36"/>
          <w:sz w:val="24"/>
          <w:szCs w:val="24"/>
          <w:lang w:eastAsia="lv-LV"/>
        </w:rPr>
        <w:t>.</w:t>
      </w:r>
    </w:p>
    <w:p w14:paraId="116F0571" w14:textId="77777777" w:rsidR="00356794" w:rsidRPr="00E41AB3" w:rsidRDefault="00356794" w:rsidP="00356794">
      <w:pPr>
        <w:spacing w:after="0" w:line="240" w:lineRule="auto"/>
        <w:jc w:val="both"/>
        <w:rPr>
          <w:rFonts w:ascii="Times New Roman" w:eastAsia="Times New Roman" w:hAnsi="Times New Roman" w:cs="Times New Roman"/>
          <w:bCs/>
          <w:iCs/>
          <w:kern w:val="36"/>
          <w:sz w:val="24"/>
          <w:szCs w:val="24"/>
          <w:lang w:eastAsia="lv-LV"/>
        </w:rPr>
      </w:pPr>
    </w:p>
    <w:p w14:paraId="337B823A" w14:textId="74928F6C" w:rsidR="002E446B" w:rsidRPr="00E41AB3" w:rsidRDefault="002E446B" w:rsidP="006819D6">
      <w:pPr>
        <w:tabs>
          <w:tab w:val="left" w:pos="2454"/>
        </w:tabs>
        <w:jc w:val="both"/>
        <w:rPr>
          <w:rFonts w:ascii="Times New Roman" w:eastAsia="Times New Roman" w:hAnsi="Times New Roman" w:cs="Times New Roman"/>
          <w:b/>
          <w:bCs/>
          <w:iCs/>
          <w:kern w:val="36"/>
          <w:sz w:val="24"/>
          <w:szCs w:val="24"/>
          <w:lang w:eastAsia="lv-LV"/>
        </w:rPr>
      </w:pPr>
      <w:r w:rsidRPr="00E41AB3">
        <w:rPr>
          <w:rFonts w:ascii="Times New Roman" w:eastAsia="Times New Roman" w:hAnsi="Times New Roman" w:cs="Times New Roman"/>
          <w:bCs/>
          <w:iCs/>
          <w:kern w:val="36"/>
          <w:sz w:val="24"/>
          <w:szCs w:val="24"/>
          <w:lang w:eastAsia="lv-LV"/>
        </w:rPr>
        <w:t>Iedzīvotāju skaits ietekmē arī pašvaldību ieņēmumus un iespēj</w:t>
      </w:r>
      <w:r w:rsidR="00E20B43" w:rsidRPr="00E41AB3">
        <w:rPr>
          <w:rFonts w:ascii="Times New Roman" w:eastAsia="Times New Roman" w:hAnsi="Times New Roman" w:cs="Times New Roman"/>
          <w:bCs/>
          <w:iCs/>
          <w:kern w:val="36"/>
          <w:sz w:val="24"/>
          <w:szCs w:val="24"/>
          <w:lang w:eastAsia="lv-LV"/>
        </w:rPr>
        <w:t xml:space="preserve">as nodrošināt tiem pakalpojumus. </w:t>
      </w:r>
      <w:r w:rsidR="00E20B43" w:rsidRPr="00E41AB3">
        <w:rPr>
          <w:rFonts w:ascii="Times New Roman" w:eastAsia="Times New Roman" w:hAnsi="Times New Roman" w:cs="Times New Roman"/>
          <w:b/>
          <w:bCs/>
          <w:iCs/>
          <w:kern w:val="36"/>
          <w:sz w:val="24"/>
          <w:szCs w:val="24"/>
          <w:lang w:eastAsia="lv-LV"/>
        </w:rPr>
        <w:t>Rezultātā reģionos ar lielāko iedzīvotāju skaita samazinājumu ir arī būtiski zemāk</w:t>
      </w:r>
      <w:r w:rsidR="009A434C" w:rsidRPr="00E41AB3">
        <w:rPr>
          <w:rFonts w:ascii="Times New Roman" w:eastAsia="Times New Roman" w:hAnsi="Times New Roman" w:cs="Times New Roman"/>
          <w:b/>
          <w:bCs/>
          <w:iCs/>
          <w:kern w:val="36"/>
          <w:sz w:val="24"/>
          <w:szCs w:val="24"/>
          <w:lang w:eastAsia="lv-LV"/>
        </w:rPr>
        <w:t>i</w:t>
      </w:r>
      <w:r w:rsidR="00E20B43" w:rsidRPr="00E41AB3">
        <w:rPr>
          <w:rFonts w:ascii="Times New Roman" w:eastAsia="Times New Roman" w:hAnsi="Times New Roman" w:cs="Times New Roman"/>
          <w:b/>
          <w:bCs/>
          <w:iCs/>
          <w:kern w:val="36"/>
          <w:sz w:val="24"/>
          <w:szCs w:val="24"/>
          <w:lang w:eastAsia="lv-LV"/>
        </w:rPr>
        <w:t xml:space="preserve"> pašvaldību nodokļu ieņēmumi</w:t>
      </w:r>
      <w:r w:rsidR="00E20B43" w:rsidRPr="00E41AB3">
        <w:rPr>
          <w:rFonts w:ascii="Times New Roman" w:eastAsia="Times New Roman" w:hAnsi="Times New Roman" w:cs="Times New Roman"/>
          <w:bCs/>
          <w:iCs/>
          <w:kern w:val="36"/>
          <w:sz w:val="24"/>
          <w:szCs w:val="24"/>
          <w:lang w:eastAsia="lv-LV"/>
        </w:rPr>
        <w:t xml:space="preserve"> – </w:t>
      </w:r>
      <w:r w:rsidR="00AA510B" w:rsidRPr="00E41AB3">
        <w:rPr>
          <w:rFonts w:ascii="Times New Roman" w:eastAsia="Times New Roman" w:hAnsi="Times New Roman" w:cs="Times New Roman"/>
          <w:bCs/>
          <w:iCs/>
          <w:kern w:val="36"/>
          <w:sz w:val="24"/>
          <w:szCs w:val="24"/>
          <w:lang w:eastAsia="lv-LV"/>
        </w:rPr>
        <w:t>Vidzemes</w:t>
      </w:r>
      <w:r w:rsidR="00E20B43" w:rsidRPr="00E41AB3">
        <w:rPr>
          <w:rFonts w:ascii="Times New Roman" w:eastAsia="Times New Roman" w:hAnsi="Times New Roman" w:cs="Times New Roman"/>
          <w:bCs/>
          <w:iCs/>
          <w:kern w:val="36"/>
          <w:sz w:val="24"/>
          <w:szCs w:val="24"/>
          <w:lang w:eastAsia="lv-LV"/>
        </w:rPr>
        <w:t xml:space="preserve"> reģionā iedzīvotāju skaits ir samazinājies 2 reizes </w:t>
      </w:r>
      <w:r w:rsidR="008E66BD" w:rsidRPr="00E41AB3">
        <w:rPr>
          <w:rFonts w:ascii="Times New Roman" w:eastAsia="Times New Roman" w:hAnsi="Times New Roman" w:cs="Times New Roman"/>
          <w:bCs/>
          <w:iCs/>
          <w:kern w:val="36"/>
          <w:sz w:val="24"/>
          <w:szCs w:val="24"/>
          <w:lang w:eastAsia="lv-LV"/>
        </w:rPr>
        <w:t>straujāk nekā</w:t>
      </w:r>
      <w:r w:rsidR="00E20B43" w:rsidRPr="00E41AB3">
        <w:rPr>
          <w:rFonts w:ascii="Times New Roman" w:eastAsia="Times New Roman" w:hAnsi="Times New Roman" w:cs="Times New Roman"/>
          <w:bCs/>
          <w:iCs/>
          <w:kern w:val="36"/>
          <w:sz w:val="24"/>
          <w:szCs w:val="24"/>
          <w:lang w:eastAsia="lv-LV"/>
        </w:rPr>
        <w:t xml:space="preserve"> Rīgā un nodokļu ieņēmumi uz </w:t>
      </w:r>
      <w:r w:rsidR="00042097">
        <w:rPr>
          <w:rFonts w:ascii="Times New Roman" w:eastAsia="Times New Roman" w:hAnsi="Times New Roman" w:cs="Times New Roman"/>
          <w:bCs/>
          <w:iCs/>
          <w:kern w:val="36"/>
          <w:sz w:val="24"/>
          <w:szCs w:val="24"/>
          <w:lang w:eastAsia="lv-LV"/>
        </w:rPr>
        <w:t>vienu</w:t>
      </w:r>
      <w:r w:rsidR="00E20B43" w:rsidRPr="00E41AB3">
        <w:rPr>
          <w:rFonts w:ascii="Times New Roman" w:eastAsia="Times New Roman" w:hAnsi="Times New Roman" w:cs="Times New Roman"/>
          <w:bCs/>
          <w:iCs/>
          <w:kern w:val="36"/>
          <w:sz w:val="24"/>
          <w:szCs w:val="24"/>
          <w:lang w:eastAsia="lv-LV"/>
        </w:rPr>
        <w:t xml:space="preserve"> iedzīvotāj ir arī </w:t>
      </w:r>
      <w:r w:rsidR="00AA510B" w:rsidRPr="00E41AB3">
        <w:rPr>
          <w:rFonts w:ascii="Times New Roman" w:eastAsia="Times New Roman" w:hAnsi="Times New Roman" w:cs="Times New Roman"/>
          <w:bCs/>
          <w:iCs/>
          <w:kern w:val="36"/>
          <w:sz w:val="24"/>
          <w:szCs w:val="24"/>
          <w:lang w:eastAsia="lv-LV"/>
        </w:rPr>
        <w:t>1,71</w:t>
      </w:r>
      <w:r w:rsidR="00E20B43" w:rsidRPr="00E41AB3">
        <w:rPr>
          <w:rFonts w:ascii="Times New Roman" w:eastAsia="Times New Roman" w:hAnsi="Times New Roman" w:cs="Times New Roman"/>
          <w:bCs/>
          <w:iCs/>
          <w:kern w:val="36"/>
          <w:sz w:val="24"/>
          <w:szCs w:val="24"/>
          <w:lang w:eastAsia="lv-LV"/>
        </w:rPr>
        <w:t xml:space="preserve"> reiz</w:t>
      </w:r>
      <w:r w:rsidR="00AA510B" w:rsidRPr="00E41AB3">
        <w:rPr>
          <w:rFonts w:ascii="Times New Roman" w:eastAsia="Times New Roman" w:hAnsi="Times New Roman" w:cs="Times New Roman"/>
          <w:bCs/>
          <w:iCs/>
          <w:kern w:val="36"/>
          <w:sz w:val="24"/>
          <w:szCs w:val="24"/>
          <w:lang w:eastAsia="lv-LV"/>
        </w:rPr>
        <w:t>i</w:t>
      </w:r>
      <w:r w:rsidR="00E20B43" w:rsidRPr="00E41AB3">
        <w:rPr>
          <w:rFonts w:ascii="Times New Roman" w:eastAsia="Times New Roman" w:hAnsi="Times New Roman" w:cs="Times New Roman"/>
          <w:bCs/>
          <w:iCs/>
          <w:kern w:val="36"/>
          <w:sz w:val="24"/>
          <w:szCs w:val="24"/>
          <w:lang w:eastAsia="lv-LV"/>
        </w:rPr>
        <w:t xml:space="preserve"> </w:t>
      </w:r>
      <w:r w:rsidR="008E66BD" w:rsidRPr="00E41AB3">
        <w:rPr>
          <w:rFonts w:ascii="Times New Roman" w:eastAsia="Times New Roman" w:hAnsi="Times New Roman" w:cs="Times New Roman"/>
          <w:bCs/>
          <w:iCs/>
          <w:kern w:val="36"/>
          <w:sz w:val="24"/>
          <w:szCs w:val="24"/>
          <w:lang w:eastAsia="lv-LV"/>
        </w:rPr>
        <w:t>mazāki nekā</w:t>
      </w:r>
      <w:r w:rsidR="00E20B43" w:rsidRPr="00E41AB3">
        <w:rPr>
          <w:rFonts w:ascii="Times New Roman" w:eastAsia="Times New Roman" w:hAnsi="Times New Roman" w:cs="Times New Roman"/>
          <w:bCs/>
          <w:iCs/>
          <w:kern w:val="36"/>
          <w:sz w:val="24"/>
          <w:szCs w:val="24"/>
          <w:lang w:eastAsia="lv-LV"/>
        </w:rPr>
        <w:t xml:space="preserve"> Rīgā</w:t>
      </w:r>
      <w:r w:rsidR="00741ED0" w:rsidRPr="00E41AB3">
        <w:rPr>
          <w:rFonts w:ascii="Times New Roman" w:eastAsia="Times New Roman" w:hAnsi="Times New Roman" w:cs="Times New Roman"/>
          <w:bCs/>
          <w:iCs/>
          <w:kern w:val="36"/>
          <w:sz w:val="24"/>
          <w:szCs w:val="24"/>
          <w:lang w:eastAsia="lv-LV"/>
        </w:rPr>
        <w:t xml:space="preserve"> (</w:t>
      </w:r>
      <w:r w:rsidR="00BA13A1" w:rsidRPr="00BA13A1">
        <w:rPr>
          <w:rFonts w:ascii="Times New Roman" w:eastAsia="Times New Roman" w:hAnsi="Times New Roman" w:cs="Times New Roman"/>
          <w:bCs/>
          <w:i/>
          <w:kern w:val="36"/>
          <w:sz w:val="24"/>
          <w:szCs w:val="24"/>
          <w:lang w:eastAsia="lv-LV"/>
        </w:rPr>
        <w:t>skatīt</w:t>
      </w:r>
      <w:r w:rsidR="00BA13A1">
        <w:rPr>
          <w:rFonts w:ascii="Times New Roman" w:eastAsia="Times New Roman" w:hAnsi="Times New Roman" w:cs="Times New Roman"/>
          <w:bCs/>
          <w:iCs/>
          <w:kern w:val="36"/>
          <w:sz w:val="24"/>
          <w:szCs w:val="24"/>
          <w:lang w:eastAsia="lv-LV"/>
        </w:rPr>
        <w:t xml:space="preserve"> </w:t>
      </w:r>
      <w:r w:rsidR="00741ED0" w:rsidRPr="00E41AB3">
        <w:rPr>
          <w:rFonts w:ascii="Times New Roman" w:eastAsia="Times New Roman" w:hAnsi="Times New Roman" w:cs="Times New Roman"/>
          <w:bCs/>
          <w:i/>
          <w:iCs/>
          <w:kern w:val="36"/>
          <w:sz w:val="24"/>
          <w:szCs w:val="24"/>
          <w:lang w:eastAsia="lv-LV"/>
        </w:rPr>
        <w:t>attēl</w:t>
      </w:r>
      <w:r w:rsidR="00BA13A1">
        <w:rPr>
          <w:rFonts w:ascii="Times New Roman" w:eastAsia="Times New Roman" w:hAnsi="Times New Roman" w:cs="Times New Roman"/>
          <w:bCs/>
          <w:i/>
          <w:iCs/>
          <w:kern w:val="36"/>
          <w:sz w:val="24"/>
          <w:szCs w:val="24"/>
          <w:lang w:eastAsia="lv-LV"/>
        </w:rPr>
        <w:t>u</w:t>
      </w:r>
      <w:r w:rsidR="00741ED0" w:rsidRPr="00E41AB3">
        <w:rPr>
          <w:rFonts w:ascii="Times New Roman" w:eastAsia="Times New Roman" w:hAnsi="Times New Roman" w:cs="Times New Roman"/>
          <w:bCs/>
          <w:i/>
          <w:iCs/>
          <w:kern w:val="36"/>
          <w:sz w:val="24"/>
          <w:szCs w:val="24"/>
          <w:lang w:eastAsia="lv-LV"/>
        </w:rPr>
        <w:t xml:space="preserve"> Nr.</w:t>
      </w:r>
      <w:r w:rsidR="00534B5B" w:rsidRPr="00E41AB3">
        <w:rPr>
          <w:rFonts w:ascii="Times New Roman" w:eastAsia="Times New Roman" w:hAnsi="Times New Roman" w:cs="Times New Roman"/>
          <w:bCs/>
          <w:i/>
          <w:iCs/>
          <w:kern w:val="36"/>
          <w:sz w:val="24"/>
          <w:szCs w:val="24"/>
          <w:lang w:eastAsia="lv-LV"/>
        </w:rPr>
        <w:t>5</w:t>
      </w:r>
      <w:r w:rsidR="00741ED0" w:rsidRPr="00E41AB3">
        <w:rPr>
          <w:rFonts w:ascii="Times New Roman" w:eastAsia="Times New Roman" w:hAnsi="Times New Roman" w:cs="Times New Roman"/>
          <w:bCs/>
          <w:iCs/>
          <w:kern w:val="36"/>
          <w:sz w:val="24"/>
          <w:szCs w:val="24"/>
          <w:lang w:eastAsia="lv-LV"/>
        </w:rPr>
        <w:t>)</w:t>
      </w:r>
      <w:r w:rsidR="00E20B43" w:rsidRPr="00E41AB3">
        <w:rPr>
          <w:rFonts w:ascii="Times New Roman" w:eastAsia="Times New Roman" w:hAnsi="Times New Roman" w:cs="Times New Roman"/>
          <w:bCs/>
          <w:iCs/>
          <w:kern w:val="36"/>
          <w:sz w:val="24"/>
          <w:szCs w:val="24"/>
          <w:lang w:eastAsia="lv-LV"/>
        </w:rPr>
        <w:t>. Tā kā ir būtiska nodokļu ieņēmumu starpība</w:t>
      </w:r>
      <w:r w:rsidR="007D2627" w:rsidRPr="00E41AB3">
        <w:rPr>
          <w:rFonts w:ascii="Times New Roman" w:eastAsia="Times New Roman" w:hAnsi="Times New Roman" w:cs="Times New Roman"/>
          <w:bCs/>
          <w:iCs/>
          <w:kern w:val="36"/>
          <w:sz w:val="24"/>
          <w:szCs w:val="24"/>
          <w:lang w:eastAsia="lv-LV"/>
        </w:rPr>
        <w:t>,</w:t>
      </w:r>
      <w:r w:rsidR="00534B5B" w:rsidRPr="00E41AB3">
        <w:rPr>
          <w:rFonts w:ascii="Times New Roman" w:eastAsia="Times New Roman" w:hAnsi="Times New Roman" w:cs="Times New Roman"/>
          <w:bCs/>
          <w:iCs/>
          <w:kern w:val="36"/>
          <w:sz w:val="24"/>
          <w:szCs w:val="24"/>
          <w:lang w:eastAsia="lv-LV"/>
        </w:rPr>
        <w:t xml:space="preserve"> darbaspējīgā iedzīvotāju daļas emigrācija negatīvi ietekmē iespējas izlīdzināt nodokļu ieņēmumus. </w:t>
      </w:r>
      <w:r w:rsidR="00E20B43" w:rsidRPr="00E41AB3">
        <w:rPr>
          <w:rFonts w:ascii="Times New Roman" w:eastAsia="Times New Roman" w:hAnsi="Times New Roman" w:cs="Times New Roman"/>
          <w:bCs/>
          <w:iCs/>
          <w:kern w:val="36"/>
          <w:sz w:val="24"/>
          <w:szCs w:val="24"/>
          <w:lang w:eastAsia="lv-LV"/>
        </w:rPr>
        <w:t xml:space="preserve"> </w:t>
      </w:r>
      <w:r w:rsidR="00741ED0" w:rsidRPr="00E41AB3">
        <w:rPr>
          <w:rFonts w:ascii="Times New Roman" w:eastAsia="Times New Roman" w:hAnsi="Times New Roman" w:cs="Times New Roman"/>
          <w:b/>
          <w:bCs/>
          <w:iCs/>
          <w:kern w:val="36"/>
          <w:sz w:val="24"/>
          <w:szCs w:val="24"/>
          <w:lang w:eastAsia="lv-LV"/>
        </w:rPr>
        <w:t xml:space="preserve">Līdz ar to Latvijā starp reģioniem ir </w:t>
      </w:r>
      <w:r w:rsidRPr="00E41AB3">
        <w:rPr>
          <w:rFonts w:ascii="Times New Roman" w:eastAsia="Times New Roman" w:hAnsi="Times New Roman" w:cs="Times New Roman"/>
          <w:b/>
          <w:bCs/>
          <w:iCs/>
          <w:kern w:val="36"/>
          <w:sz w:val="24"/>
          <w:szCs w:val="24"/>
          <w:lang w:eastAsia="lv-LV"/>
        </w:rPr>
        <w:t>atšķirīg</w:t>
      </w:r>
      <w:r w:rsidR="00641E1A" w:rsidRPr="00E41AB3">
        <w:rPr>
          <w:rFonts w:ascii="Times New Roman" w:eastAsia="Times New Roman" w:hAnsi="Times New Roman" w:cs="Times New Roman"/>
          <w:b/>
          <w:bCs/>
          <w:iCs/>
          <w:kern w:val="36"/>
          <w:sz w:val="24"/>
          <w:szCs w:val="24"/>
          <w:lang w:eastAsia="lv-LV"/>
        </w:rPr>
        <w:t>i</w:t>
      </w:r>
      <w:r w:rsidRPr="00E41AB3">
        <w:rPr>
          <w:rFonts w:ascii="Times New Roman" w:eastAsia="Times New Roman" w:hAnsi="Times New Roman" w:cs="Times New Roman"/>
          <w:b/>
          <w:bCs/>
          <w:iCs/>
          <w:kern w:val="36"/>
          <w:sz w:val="24"/>
          <w:szCs w:val="24"/>
          <w:lang w:eastAsia="lv-LV"/>
        </w:rPr>
        <w:t xml:space="preserve"> izaicinājum</w:t>
      </w:r>
      <w:r w:rsidR="00641E1A" w:rsidRPr="00E41AB3">
        <w:rPr>
          <w:rFonts w:ascii="Times New Roman" w:eastAsia="Times New Roman" w:hAnsi="Times New Roman" w:cs="Times New Roman"/>
          <w:b/>
          <w:bCs/>
          <w:iCs/>
          <w:kern w:val="36"/>
          <w:sz w:val="24"/>
          <w:szCs w:val="24"/>
          <w:lang w:eastAsia="lv-LV"/>
        </w:rPr>
        <w:t>i</w:t>
      </w:r>
      <w:r w:rsidRPr="00E41AB3">
        <w:rPr>
          <w:rFonts w:ascii="Times New Roman" w:eastAsia="Times New Roman" w:hAnsi="Times New Roman" w:cs="Times New Roman"/>
          <w:b/>
          <w:bCs/>
          <w:iCs/>
          <w:kern w:val="36"/>
          <w:sz w:val="24"/>
          <w:szCs w:val="24"/>
          <w:lang w:eastAsia="lv-LV"/>
        </w:rPr>
        <w:t>:</w:t>
      </w:r>
    </w:p>
    <w:p w14:paraId="243FBD6B" w14:textId="28BFA592" w:rsidR="002E446B" w:rsidRPr="00E41AB3" w:rsidRDefault="002E446B" w:rsidP="006819D6">
      <w:pPr>
        <w:pStyle w:val="Sarakstarindkopa"/>
        <w:numPr>
          <w:ilvl w:val="0"/>
          <w:numId w:val="15"/>
        </w:numPr>
        <w:tabs>
          <w:tab w:val="left" w:pos="2454"/>
        </w:tabs>
        <w:jc w:val="both"/>
        <w:rPr>
          <w:rFonts w:ascii="Times New Roman" w:eastAsia="Times New Roman" w:hAnsi="Times New Roman" w:cs="Times New Roman"/>
          <w:bCs/>
          <w:iCs/>
          <w:kern w:val="36"/>
          <w:sz w:val="24"/>
          <w:szCs w:val="24"/>
          <w:lang w:eastAsia="lv-LV"/>
        </w:rPr>
      </w:pPr>
      <w:r w:rsidRPr="00E41AB3">
        <w:rPr>
          <w:rFonts w:ascii="Times New Roman" w:eastAsia="Times New Roman" w:hAnsi="Times New Roman" w:cs="Times New Roman"/>
          <w:bCs/>
          <w:iCs/>
          <w:kern w:val="36"/>
          <w:sz w:val="24"/>
          <w:szCs w:val="24"/>
          <w:lang w:eastAsia="lv-LV"/>
        </w:rPr>
        <w:t xml:space="preserve">Iedzīvotāju skaita samazinājums nozīmē mazāk nodokļu maksātāju, kā arī mazāk klientu pakalpojumiem (attiecīgi </w:t>
      </w:r>
      <w:r w:rsidR="009A434C" w:rsidRPr="00E41AB3">
        <w:rPr>
          <w:rFonts w:ascii="Times New Roman" w:eastAsia="Times New Roman" w:hAnsi="Times New Roman" w:cs="Times New Roman"/>
          <w:bCs/>
          <w:iCs/>
          <w:kern w:val="36"/>
          <w:sz w:val="24"/>
          <w:szCs w:val="24"/>
          <w:lang w:eastAsia="lv-LV"/>
        </w:rPr>
        <w:t xml:space="preserve">to sniegšanas </w:t>
      </w:r>
      <w:r w:rsidRPr="00E41AB3">
        <w:rPr>
          <w:rFonts w:ascii="Times New Roman" w:eastAsia="Times New Roman" w:hAnsi="Times New Roman" w:cs="Times New Roman"/>
          <w:bCs/>
          <w:iCs/>
          <w:kern w:val="36"/>
          <w:sz w:val="24"/>
          <w:szCs w:val="24"/>
          <w:lang w:eastAsia="lv-LV"/>
        </w:rPr>
        <w:t>izmaksas uz klientu pieaug).</w:t>
      </w:r>
    </w:p>
    <w:p w14:paraId="6CF9E947" w14:textId="512132FE" w:rsidR="00E20B43" w:rsidRPr="00E41AB3" w:rsidRDefault="002E446B" w:rsidP="00042097">
      <w:pPr>
        <w:pStyle w:val="Sarakstarindkopa"/>
        <w:numPr>
          <w:ilvl w:val="0"/>
          <w:numId w:val="15"/>
        </w:numPr>
        <w:tabs>
          <w:tab w:val="left" w:pos="2454"/>
        </w:tabs>
        <w:jc w:val="both"/>
        <w:rPr>
          <w:rFonts w:ascii="Times New Roman" w:hAnsi="Times New Roman" w:cs="Times New Roman"/>
        </w:rPr>
      </w:pPr>
      <w:r w:rsidRPr="00E41AB3">
        <w:rPr>
          <w:rFonts w:ascii="Times New Roman" w:eastAsia="Times New Roman" w:hAnsi="Times New Roman" w:cs="Times New Roman"/>
          <w:bCs/>
          <w:iCs/>
          <w:kern w:val="36"/>
          <w:sz w:val="24"/>
          <w:szCs w:val="24"/>
          <w:lang w:eastAsia="lv-LV"/>
        </w:rPr>
        <w:t>Iedzīvotāju skaita pieaugums nozīmē straujāku pakalpojumu pieprasījum</w:t>
      </w:r>
      <w:r w:rsidR="00947BE0" w:rsidRPr="00E41AB3">
        <w:rPr>
          <w:rFonts w:ascii="Times New Roman" w:eastAsia="Times New Roman" w:hAnsi="Times New Roman" w:cs="Times New Roman"/>
          <w:bCs/>
          <w:iCs/>
          <w:kern w:val="36"/>
          <w:sz w:val="24"/>
          <w:szCs w:val="24"/>
          <w:lang w:eastAsia="lv-LV"/>
        </w:rPr>
        <w:t>a pieaugumu</w:t>
      </w:r>
      <w:r w:rsidR="001C7955" w:rsidRPr="00E41AB3">
        <w:rPr>
          <w:rFonts w:ascii="Times New Roman" w:eastAsia="Times New Roman" w:hAnsi="Times New Roman" w:cs="Times New Roman"/>
          <w:bCs/>
          <w:iCs/>
          <w:kern w:val="36"/>
          <w:sz w:val="24"/>
          <w:szCs w:val="24"/>
          <w:lang w:eastAsia="lv-LV"/>
        </w:rPr>
        <w:t>.</w:t>
      </w:r>
    </w:p>
    <w:p w14:paraId="75BABDBB" w14:textId="77777777" w:rsidR="00042097" w:rsidRDefault="00042097" w:rsidP="00042097">
      <w:pPr>
        <w:pStyle w:val="Sarakstarindkopa"/>
        <w:spacing w:after="0"/>
        <w:jc w:val="right"/>
        <w:rPr>
          <w:rFonts w:ascii="Times New Roman" w:eastAsia="Times New Roman" w:hAnsi="Times New Roman" w:cs="Times New Roman"/>
          <w:bCs/>
          <w:i/>
          <w:sz w:val="24"/>
          <w:szCs w:val="24"/>
          <w:lang w:eastAsia="lv-LV"/>
        </w:rPr>
      </w:pPr>
    </w:p>
    <w:p w14:paraId="1477DC74" w14:textId="30B39DD5" w:rsidR="00042097" w:rsidRPr="00042097" w:rsidRDefault="00042097" w:rsidP="00042097">
      <w:pPr>
        <w:pStyle w:val="Sarakstarindkopa"/>
        <w:spacing w:after="0"/>
        <w:jc w:val="right"/>
        <w:rPr>
          <w:rFonts w:ascii="Times New Roman" w:eastAsia="Times New Roman" w:hAnsi="Times New Roman" w:cs="Times New Roman"/>
          <w:bCs/>
          <w:i/>
          <w:sz w:val="24"/>
          <w:szCs w:val="24"/>
          <w:lang w:eastAsia="lv-LV"/>
        </w:rPr>
      </w:pPr>
      <w:r w:rsidRPr="00042097">
        <w:rPr>
          <w:rFonts w:ascii="Times New Roman" w:eastAsia="Times New Roman" w:hAnsi="Times New Roman" w:cs="Times New Roman"/>
          <w:bCs/>
          <w:i/>
          <w:sz w:val="24"/>
          <w:szCs w:val="24"/>
          <w:lang w:eastAsia="lv-LV"/>
        </w:rPr>
        <w:t>Attēls Nr.5</w:t>
      </w:r>
    </w:p>
    <w:p w14:paraId="5550F999" w14:textId="65968E25" w:rsidR="00042097" w:rsidRPr="00042097" w:rsidRDefault="00053BF3" w:rsidP="00053BF3">
      <w:pPr>
        <w:spacing w:after="0" w:line="240" w:lineRule="auto"/>
        <w:jc w:val="center"/>
        <w:rPr>
          <w:rFonts w:ascii="Times New Roman" w:eastAsia="Times New Roman" w:hAnsi="Times New Roman" w:cs="Times New Roman"/>
          <w:bCs/>
          <w:iCs/>
          <w:kern w:val="36"/>
          <w:sz w:val="24"/>
          <w:szCs w:val="24"/>
          <w:lang w:eastAsia="lv-LV"/>
        </w:rPr>
      </w:pPr>
      <w:r>
        <w:rPr>
          <w:rFonts w:ascii="Times New Roman" w:eastAsia="Times New Roman" w:hAnsi="Times New Roman" w:cs="Times New Roman"/>
          <w:bCs/>
          <w:iCs/>
          <w:noProof/>
          <w:kern w:val="36"/>
          <w:sz w:val="24"/>
          <w:szCs w:val="24"/>
          <w:lang w:eastAsia="lv-LV"/>
        </w:rPr>
        <w:drawing>
          <wp:inline distT="0" distB="0" distL="0" distR="0" wp14:anchorId="56A90E03" wp14:editId="638CD364">
            <wp:extent cx="4309607" cy="2659433"/>
            <wp:effectExtent l="0" t="0" r="0" b="762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2864" cy="2698469"/>
                    </a:xfrm>
                    <a:prstGeom prst="rect">
                      <a:avLst/>
                    </a:prstGeom>
                    <a:noFill/>
                  </pic:spPr>
                </pic:pic>
              </a:graphicData>
            </a:graphic>
          </wp:inline>
        </w:drawing>
      </w:r>
    </w:p>
    <w:p w14:paraId="4E8CC719" w14:textId="77777777" w:rsidR="00481190" w:rsidRPr="00E41AB3" w:rsidRDefault="00481190" w:rsidP="00CF2AC3">
      <w:pPr>
        <w:pStyle w:val="Sarakstarindkopa"/>
        <w:tabs>
          <w:tab w:val="left" w:pos="2454"/>
        </w:tabs>
        <w:spacing w:after="0"/>
        <w:ind w:hanging="862"/>
        <w:jc w:val="center"/>
        <w:rPr>
          <w:rFonts w:ascii="Times New Roman" w:hAnsi="Times New Roman" w:cs="Times New Roman"/>
        </w:rPr>
      </w:pPr>
    </w:p>
    <w:p w14:paraId="4A3AC614" w14:textId="6D7967EC" w:rsidR="00C96577" w:rsidRPr="00E41AB3" w:rsidRDefault="00534B5B" w:rsidP="00481190">
      <w:p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Cs/>
          <w:sz w:val="24"/>
          <w:szCs w:val="24"/>
          <w:lang w:eastAsia="lv-LV"/>
        </w:rPr>
        <w:t>Vienlaikus, lai arī Vidzemē</w:t>
      </w:r>
      <w:r w:rsidR="00356794" w:rsidRPr="00E41AB3">
        <w:rPr>
          <w:rFonts w:ascii="Times New Roman" w:eastAsia="Times New Roman" w:hAnsi="Times New Roman" w:cs="Times New Roman"/>
          <w:bCs/>
          <w:sz w:val="24"/>
          <w:szCs w:val="24"/>
          <w:lang w:eastAsia="lv-LV"/>
        </w:rPr>
        <w:t xml:space="preserve"> ir notikusi būtiska iedzīvotāju skaita samazināšanās, tā</w:t>
      </w:r>
      <w:r w:rsidR="00303F0A">
        <w:rPr>
          <w:rFonts w:ascii="Times New Roman" w:eastAsia="Times New Roman" w:hAnsi="Times New Roman" w:cs="Times New Roman"/>
          <w:bCs/>
          <w:sz w:val="24"/>
          <w:szCs w:val="24"/>
          <w:lang w:eastAsia="lv-LV"/>
        </w:rPr>
        <w:t>s</w:t>
      </w:r>
      <w:r w:rsidR="00356794" w:rsidRPr="00E41AB3">
        <w:rPr>
          <w:rFonts w:ascii="Times New Roman" w:eastAsia="Times New Roman" w:hAnsi="Times New Roman" w:cs="Times New Roman"/>
          <w:bCs/>
          <w:sz w:val="24"/>
          <w:szCs w:val="24"/>
          <w:lang w:eastAsia="lv-LV"/>
        </w:rPr>
        <w:t xml:space="preserve"> iekšienē ir novērojamas būtiskas atšķirības</w:t>
      </w:r>
      <w:r w:rsidR="00C96577" w:rsidRPr="00E41AB3">
        <w:rPr>
          <w:rFonts w:ascii="Times New Roman" w:eastAsia="Times New Roman" w:hAnsi="Times New Roman" w:cs="Times New Roman"/>
          <w:bCs/>
          <w:sz w:val="24"/>
          <w:szCs w:val="24"/>
          <w:lang w:eastAsia="lv-LV"/>
        </w:rPr>
        <w:t xml:space="preserve">. </w:t>
      </w:r>
      <w:r w:rsidR="00C96577" w:rsidRPr="00E41AB3">
        <w:rPr>
          <w:rFonts w:ascii="Times New Roman" w:eastAsia="Times New Roman" w:hAnsi="Times New Roman" w:cs="Times New Roman"/>
          <w:b/>
          <w:bCs/>
          <w:sz w:val="24"/>
          <w:szCs w:val="24"/>
          <w:lang w:eastAsia="lv-LV"/>
        </w:rPr>
        <w:t>Reģionu attīstības centros koncentrējas būtiska daļa iedzīvotāju un uzņēmumu, kur atsevišķu nozaru vadošie uzņēmumi apstrādes rūpniecībā nāk tieši no reģioniem</w:t>
      </w:r>
      <w:r w:rsidR="00C96577" w:rsidRPr="00E41AB3">
        <w:rPr>
          <w:rFonts w:ascii="Times New Roman" w:eastAsia="Times New Roman" w:hAnsi="Times New Roman" w:cs="Times New Roman"/>
          <w:bCs/>
          <w:sz w:val="24"/>
          <w:szCs w:val="24"/>
          <w:lang w:eastAsia="lv-LV"/>
        </w:rPr>
        <w:t>. Līdz ar to attīstības centros veidojas priekšnoteikum</w:t>
      </w:r>
      <w:r w:rsidR="00042097">
        <w:rPr>
          <w:rFonts w:ascii="Times New Roman" w:eastAsia="Times New Roman" w:hAnsi="Times New Roman" w:cs="Times New Roman"/>
          <w:bCs/>
          <w:sz w:val="24"/>
          <w:szCs w:val="24"/>
          <w:lang w:eastAsia="lv-LV"/>
        </w:rPr>
        <w:t>i</w:t>
      </w:r>
      <w:r w:rsidR="00C96577" w:rsidRPr="00E41AB3">
        <w:rPr>
          <w:rFonts w:ascii="Times New Roman" w:eastAsia="Times New Roman" w:hAnsi="Times New Roman" w:cs="Times New Roman"/>
          <w:bCs/>
          <w:sz w:val="24"/>
          <w:szCs w:val="24"/>
          <w:lang w:eastAsia="lv-LV"/>
        </w:rPr>
        <w:t xml:space="preserve"> daudz straujākai attīstībai, lai mazinātu reģionālās attīstības atšķirības. </w:t>
      </w:r>
    </w:p>
    <w:p w14:paraId="7B7126F7" w14:textId="4C978EBD" w:rsidR="00356794" w:rsidRDefault="00C96577" w:rsidP="00481190">
      <w:p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Cs/>
          <w:sz w:val="24"/>
          <w:szCs w:val="24"/>
          <w:lang w:eastAsia="lv-LV"/>
        </w:rPr>
        <w:lastRenderedPageBreak/>
        <w:t xml:space="preserve">Šādas </w:t>
      </w:r>
      <w:r w:rsidRPr="00E41AB3">
        <w:rPr>
          <w:rFonts w:ascii="Times New Roman" w:eastAsia="Times New Roman" w:hAnsi="Times New Roman" w:cs="Times New Roman"/>
          <w:b/>
          <w:bCs/>
          <w:sz w:val="24"/>
          <w:szCs w:val="24"/>
          <w:lang w:eastAsia="lv-LV"/>
        </w:rPr>
        <w:t>pozitīvas tendence</w:t>
      </w:r>
      <w:r w:rsidR="00303F0A">
        <w:rPr>
          <w:rFonts w:ascii="Times New Roman" w:eastAsia="Times New Roman" w:hAnsi="Times New Roman" w:cs="Times New Roman"/>
          <w:b/>
          <w:bCs/>
          <w:sz w:val="24"/>
          <w:szCs w:val="24"/>
          <w:lang w:eastAsia="lv-LV"/>
        </w:rPr>
        <w:t>s</w:t>
      </w:r>
      <w:r w:rsidRPr="00E41AB3">
        <w:rPr>
          <w:rFonts w:ascii="Times New Roman" w:eastAsia="Times New Roman" w:hAnsi="Times New Roman" w:cs="Times New Roman"/>
          <w:b/>
          <w:bCs/>
          <w:sz w:val="24"/>
          <w:szCs w:val="24"/>
          <w:lang w:eastAsia="lv-LV"/>
        </w:rPr>
        <w:t xml:space="preserve"> ir vērojamas arī Vidzemes reģionā, kur </w:t>
      </w:r>
      <w:r w:rsidR="00481190" w:rsidRPr="00E41AB3">
        <w:rPr>
          <w:rFonts w:ascii="Times New Roman" w:eastAsia="Times New Roman" w:hAnsi="Times New Roman" w:cs="Times New Roman"/>
          <w:b/>
          <w:bCs/>
          <w:sz w:val="24"/>
          <w:szCs w:val="24"/>
          <w:lang w:eastAsia="lv-LV"/>
        </w:rPr>
        <w:t>atsevišķi attīstības centri ir noķēruši vai pat apsteiguši Rīgu</w:t>
      </w:r>
      <w:r w:rsidR="00481190" w:rsidRPr="00E41AB3">
        <w:rPr>
          <w:rFonts w:ascii="Times New Roman" w:eastAsia="Times New Roman" w:hAnsi="Times New Roman" w:cs="Times New Roman"/>
          <w:bCs/>
          <w:sz w:val="24"/>
          <w:szCs w:val="24"/>
          <w:lang w:eastAsia="lv-LV"/>
        </w:rPr>
        <w:t>.</w:t>
      </w:r>
      <w:r w:rsidRPr="00E41AB3">
        <w:rPr>
          <w:rFonts w:ascii="Times New Roman" w:eastAsia="Times New Roman" w:hAnsi="Times New Roman" w:cs="Times New Roman"/>
          <w:bCs/>
          <w:sz w:val="24"/>
          <w:szCs w:val="24"/>
          <w:lang w:eastAsia="lv-LV"/>
        </w:rPr>
        <w:t xml:space="preserve"> Piemēram,</w:t>
      </w:r>
      <w:r w:rsidR="00481190" w:rsidRPr="00E41AB3">
        <w:rPr>
          <w:rFonts w:ascii="Times New Roman" w:eastAsia="Times New Roman" w:hAnsi="Times New Roman" w:cs="Times New Roman"/>
          <w:bCs/>
          <w:sz w:val="24"/>
          <w:szCs w:val="24"/>
          <w:lang w:eastAsia="lv-LV"/>
        </w:rPr>
        <w:t xml:space="preserve"> </w:t>
      </w:r>
      <w:r w:rsidR="00863F68" w:rsidRPr="00E41AB3">
        <w:rPr>
          <w:rFonts w:ascii="Times New Roman" w:eastAsia="Times New Roman" w:hAnsi="Times New Roman" w:cs="Times New Roman"/>
          <w:bCs/>
          <w:sz w:val="24"/>
          <w:szCs w:val="24"/>
          <w:lang w:eastAsia="lv-LV"/>
        </w:rPr>
        <w:t>Valmieras pilsēta 2019.gadā ir sasniegusi pozitīvu iedzīvotāju bilanci (</w:t>
      </w:r>
      <w:r w:rsidR="00481190" w:rsidRPr="00E41AB3">
        <w:rPr>
          <w:rFonts w:ascii="Times New Roman" w:eastAsia="Times New Roman" w:hAnsi="Times New Roman" w:cs="Times New Roman"/>
          <w:bCs/>
          <w:sz w:val="24"/>
          <w:szCs w:val="24"/>
          <w:lang w:eastAsia="lv-LV"/>
        </w:rPr>
        <w:t>+0,45%). Tāpat 2019.gadā ļoti būtiski samazinājies iedzīvotāju skaita krituma temps Cēsīs (-0</w:t>
      </w:r>
      <w:r w:rsidR="00BA13A1">
        <w:rPr>
          <w:rFonts w:ascii="Times New Roman" w:eastAsia="Times New Roman" w:hAnsi="Times New Roman" w:cs="Times New Roman"/>
          <w:bCs/>
          <w:sz w:val="24"/>
          <w:szCs w:val="24"/>
          <w:lang w:eastAsia="lv-LV"/>
        </w:rPr>
        <w:t>,</w:t>
      </w:r>
      <w:r w:rsidR="00481190" w:rsidRPr="00E41AB3">
        <w:rPr>
          <w:rFonts w:ascii="Times New Roman" w:eastAsia="Times New Roman" w:hAnsi="Times New Roman" w:cs="Times New Roman"/>
          <w:bCs/>
          <w:sz w:val="24"/>
          <w:szCs w:val="24"/>
          <w:lang w:eastAsia="lv-LV"/>
        </w:rPr>
        <w:t>68%) un Smiltenē (-0,50%), kas ir zemāk par vidējo Latvij</w:t>
      </w:r>
      <w:r w:rsidRPr="00E41AB3">
        <w:rPr>
          <w:rFonts w:ascii="Times New Roman" w:eastAsia="Times New Roman" w:hAnsi="Times New Roman" w:cs="Times New Roman"/>
          <w:bCs/>
          <w:sz w:val="24"/>
          <w:szCs w:val="24"/>
          <w:lang w:eastAsia="lv-LV"/>
        </w:rPr>
        <w:t>ā (</w:t>
      </w:r>
      <w:r w:rsidR="00481190" w:rsidRPr="00E41AB3">
        <w:rPr>
          <w:rFonts w:ascii="Times New Roman" w:eastAsia="Times New Roman" w:hAnsi="Times New Roman" w:cs="Times New Roman"/>
          <w:bCs/>
          <w:sz w:val="24"/>
          <w:szCs w:val="24"/>
          <w:lang w:eastAsia="lv-LV"/>
        </w:rPr>
        <w:t>-0,74%)</w:t>
      </w:r>
      <w:r w:rsidR="00534B5B" w:rsidRPr="00E41AB3">
        <w:rPr>
          <w:rFonts w:ascii="Times New Roman" w:eastAsia="Times New Roman" w:hAnsi="Times New Roman" w:cs="Times New Roman"/>
          <w:bCs/>
          <w:sz w:val="24"/>
          <w:szCs w:val="24"/>
          <w:lang w:eastAsia="lv-LV"/>
        </w:rPr>
        <w:t>, Smiltenes gadījumā arī</w:t>
      </w:r>
      <w:r w:rsidR="00303F0A">
        <w:rPr>
          <w:rFonts w:ascii="Times New Roman" w:eastAsia="Times New Roman" w:hAnsi="Times New Roman" w:cs="Times New Roman"/>
          <w:bCs/>
          <w:sz w:val="24"/>
          <w:szCs w:val="24"/>
          <w:lang w:eastAsia="lv-LV"/>
        </w:rPr>
        <w:t xml:space="preserve"> ir</w:t>
      </w:r>
      <w:r w:rsidR="00534B5B" w:rsidRPr="00E41AB3">
        <w:rPr>
          <w:rFonts w:ascii="Times New Roman" w:eastAsia="Times New Roman" w:hAnsi="Times New Roman" w:cs="Times New Roman"/>
          <w:bCs/>
          <w:sz w:val="24"/>
          <w:szCs w:val="24"/>
          <w:lang w:eastAsia="lv-LV"/>
        </w:rPr>
        <w:t xml:space="preserve"> labāki rādītāji kā Rīgai</w:t>
      </w:r>
      <w:r w:rsidR="00481190" w:rsidRPr="00E41AB3">
        <w:rPr>
          <w:rFonts w:ascii="Times New Roman" w:eastAsia="Times New Roman" w:hAnsi="Times New Roman" w:cs="Times New Roman"/>
          <w:bCs/>
          <w:sz w:val="24"/>
          <w:szCs w:val="24"/>
          <w:lang w:eastAsia="lv-LV"/>
        </w:rPr>
        <w:t xml:space="preserve">.  Šī tendence sakrīt arī ar nodarbinātības iespējām, kas šajos attīstības centros ir līdzīgas vai pat </w:t>
      </w:r>
      <w:r w:rsidR="008E66BD" w:rsidRPr="00E41AB3">
        <w:rPr>
          <w:rFonts w:ascii="Times New Roman" w:eastAsia="Times New Roman" w:hAnsi="Times New Roman" w:cs="Times New Roman"/>
          <w:bCs/>
          <w:sz w:val="24"/>
          <w:szCs w:val="24"/>
          <w:lang w:eastAsia="lv-LV"/>
        </w:rPr>
        <w:t>labākas nekā</w:t>
      </w:r>
      <w:r w:rsidR="00481190" w:rsidRPr="00E41AB3">
        <w:rPr>
          <w:rFonts w:ascii="Times New Roman" w:eastAsia="Times New Roman" w:hAnsi="Times New Roman" w:cs="Times New Roman"/>
          <w:bCs/>
          <w:sz w:val="24"/>
          <w:szCs w:val="24"/>
          <w:lang w:eastAsia="lv-LV"/>
        </w:rPr>
        <w:t xml:space="preserve"> Rīgā – bezdarba līmenis Smiltenē un Valmierā ir </w:t>
      </w:r>
      <w:r w:rsidR="008E66BD" w:rsidRPr="00E41AB3">
        <w:rPr>
          <w:rFonts w:ascii="Times New Roman" w:eastAsia="Times New Roman" w:hAnsi="Times New Roman" w:cs="Times New Roman"/>
          <w:bCs/>
          <w:sz w:val="24"/>
          <w:szCs w:val="24"/>
          <w:lang w:eastAsia="lv-LV"/>
        </w:rPr>
        <w:t>zemāks nekā</w:t>
      </w:r>
      <w:r w:rsidR="00481190" w:rsidRPr="00E41AB3">
        <w:rPr>
          <w:rFonts w:ascii="Times New Roman" w:eastAsia="Times New Roman" w:hAnsi="Times New Roman" w:cs="Times New Roman"/>
          <w:bCs/>
          <w:sz w:val="24"/>
          <w:szCs w:val="24"/>
          <w:lang w:eastAsia="lv-LV"/>
        </w:rPr>
        <w:t xml:space="preserve"> Rīgas pilsētā</w:t>
      </w:r>
      <w:r w:rsidR="00042097">
        <w:rPr>
          <w:rFonts w:ascii="Times New Roman" w:eastAsia="Times New Roman" w:hAnsi="Times New Roman" w:cs="Times New Roman"/>
          <w:bCs/>
          <w:sz w:val="24"/>
          <w:szCs w:val="24"/>
          <w:lang w:eastAsia="lv-LV"/>
        </w:rPr>
        <w:t xml:space="preserve"> (</w:t>
      </w:r>
      <w:r w:rsidR="00042097" w:rsidRPr="00E41AB3">
        <w:rPr>
          <w:rFonts w:ascii="Times New Roman" w:eastAsia="Times New Roman" w:hAnsi="Times New Roman" w:cs="Times New Roman"/>
          <w:bCs/>
          <w:i/>
          <w:iCs/>
          <w:kern w:val="36"/>
          <w:sz w:val="24"/>
          <w:szCs w:val="24"/>
          <w:lang w:eastAsia="lv-LV"/>
        </w:rPr>
        <w:t>skatīt attēlu Nr.</w:t>
      </w:r>
      <w:r w:rsidR="00042097">
        <w:rPr>
          <w:rFonts w:ascii="Times New Roman" w:eastAsia="Times New Roman" w:hAnsi="Times New Roman" w:cs="Times New Roman"/>
          <w:bCs/>
          <w:i/>
          <w:iCs/>
          <w:kern w:val="36"/>
          <w:sz w:val="24"/>
          <w:szCs w:val="24"/>
          <w:lang w:eastAsia="lv-LV"/>
        </w:rPr>
        <w:t>6</w:t>
      </w:r>
      <w:r w:rsidR="00042097">
        <w:rPr>
          <w:rFonts w:ascii="Times New Roman" w:eastAsia="Times New Roman" w:hAnsi="Times New Roman" w:cs="Times New Roman"/>
          <w:bCs/>
          <w:sz w:val="24"/>
          <w:szCs w:val="24"/>
          <w:lang w:eastAsia="lv-LV"/>
        </w:rPr>
        <w:t>)</w:t>
      </w:r>
      <w:r w:rsidR="00481190" w:rsidRPr="00E41AB3">
        <w:rPr>
          <w:rFonts w:ascii="Times New Roman" w:eastAsia="Times New Roman" w:hAnsi="Times New Roman" w:cs="Times New Roman"/>
          <w:bCs/>
          <w:sz w:val="24"/>
          <w:szCs w:val="24"/>
          <w:lang w:eastAsia="lv-LV"/>
        </w:rPr>
        <w:t>.</w:t>
      </w:r>
    </w:p>
    <w:p w14:paraId="39ED8BF5" w14:textId="204FD4EF" w:rsidR="00BE245A" w:rsidRPr="00E41AB3" w:rsidRDefault="00BE245A" w:rsidP="00BE245A">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Nr.6</w:t>
      </w:r>
    </w:p>
    <w:tbl>
      <w:tblPr>
        <w:tblStyle w:val="Reatabula"/>
        <w:tblW w:w="11058" w:type="dxa"/>
        <w:tblInd w:w="-9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4962"/>
      </w:tblGrid>
      <w:tr w:rsidR="00863F68" w:rsidRPr="00E41AB3" w14:paraId="7BFDE4D6" w14:textId="77777777" w:rsidTr="00902D5C">
        <w:trPr>
          <w:trHeight w:val="3468"/>
        </w:trPr>
        <w:tc>
          <w:tcPr>
            <w:tcW w:w="6096" w:type="dxa"/>
          </w:tcPr>
          <w:p w14:paraId="4DE2D4C2" w14:textId="5C6C23B6" w:rsidR="00863F68" w:rsidRPr="00E41AB3" w:rsidRDefault="00863F68" w:rsidP="00356794">
            <w:pPr>
              <w:rPr>
                <w:rFonts w:ascii="Times New Roman" w:eastAsia="Times New Roman" w:hAnsi="Times New Roman" w:cs="Times New Roman"/>
                <w:bCs/>
                <w:sz w:val="24"/>
                <w:szCs w:val="24"/>
                <w:lang w:eastAsia="lv-LV"/>
              </w:rPr>
            </w:pPr>
            <w:r w:rsidRPr="00E41AB3">
              <w:rPr>
                <w:rFonts w:ascii="Times New Roman" w:hAnsi="Times New Roman" w:cs="Times New Roman"/>
                <w:noProof/>
                <w:lang w:eastAsia="lv-LV"/>
              </w:rPr>
              <w:drawing>
                <wp:inline distT="0" distB="0" distL="0" distR="0" wp14:anchorId="3BA2F6A7" wp14:editId="7B5A1AF4">
                  <wp:extent cx="3683000" cy="208324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62" w:type="dxa"/>
          </w:tcPr>
          <w:p w14:paraId="1208F078" w14:textId="105CF0DF" w:rsidR="00863F68" w:rsidRPr="00E41AB3" w:rsidRDefault="00481190" w:rsidP="00356794">
            <w:pPr>
              <w:rPr>
                <w:rFonts w:ascii="Times New Roman" w:eastAsia="Times New Roman" w:hAnsi="Times New Roman" w:cs="Times New Roman"/>
                <w:bCs/>
                <w:sz w:val="24"/>
                <w:szCs w:val="24"/>
                <w:lang w:eastAsia="lv-LV"/>
              </w:rPr>
            </w:pPr>
            <w:r w:rsidRPr="00E41AB3">
              <w:rPr>
                <w:rFonts w:ascii="Times New Roman" w:hAnsi="Times New Roman" w:cs="Times New Roman"/>
                <w:noProof/>
                <w:lang w:eastAsia="lv-LV"/>
              </w:rPr>
              <w:drawing>
                <wp:inline distT="0" distB="0" distL="0" distR="0" wp14:anchorId="5891456C" wp14:editId="54F88DE8">
                  <wp:extent cx="2882900" cy="20828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509E8906" w14:textId="4DF5CCED" w:rsidR="00C96577" w:rsidRDefault="00C96577" w:rsidP="00A3260C">
      <w:p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Cs/>
          <w:sz w:val="24"/>
          <w:szCs w:val="24"/>
          <w:lang w:eastAsia="lv-LV"/>
        </w:rPr>
        <w:t xml:space="preserve">Lai arī pārējos </w:t>
      </w:r>
      <w:r w:rsidR="00A210E3" w:rsidRPr="00E41AB3">
        <w:rPr>
          <w:rFonts w:ascii="Times New Roman" w:eastAsia="Times New Roman" w:hAnsi="Times New Roman" w:cs="Times New Roman"/>
          <w:bCs/>
          <w:sz w:val="24"/>
          <w:szCs w:val="24"/>
          <w:lang w:eastAsia="lv-LV"/>
        </w:rPr>
        <w:t xml:space="preserve">attīstības </w:t>
      </w:r>
      <w:r w:rsidRPr="00E41AB3">
        <w:rPr>
          <w:rFonts w:ascii="Times New Roman" w:eastAsia="Times New Roman" w:hAnsi="Times New Roman" w:cs="Times New Roman"/>
          <w:bCs/>
          <w:sz w:val="24"/>
          <w:szCs w:val="24"/>
          <w:lang w:eastAsia="lv-LV"/>
        </w:rPr>
        <w:t xml:space="preserve">centros ir salīdzinoši augsts bezdarba līmenis, kas ir raksturīgs Vidzemes reģionam un tā attīstības līmenim (otrs zemākais IKP aiz Latgales), </w:t>
      </w:r>
      <w:r w:rsidR="00A210E3" w:rsidRPr="00E41AB3">
        <w:rPr>
          <w:rFonts w:ascii="Times New Roman" w:eastAsia="Times New Roman" w:hAnsi="Times New Roman" w:cs="Times New Roman"/>
          <w:bCs/>
          <w:sz w:val="24"/>
          <w:szCs w:val="24"/>
          <w:lang w:eastAsia="lv-LV"/>
        </w:rPr>
        <w:t xml:space="preserve">tajos </w:t>
      </w:r>
      <w:r w:rsidRPr="00E41AB3">
        <w:rPr>
          <w:rFonts w:ascii="Times New Roman" w:eastAsia="Times New Roman" w:hAnsi="Times New Roman" w:cs="Times New Roman"/>
          <w:bCs/>
          <w:sz w:val="24"/>
          <w:szCs w:val="24"/>
          <w:lang w:eastAsia="lv-LV"/>
        </w:rPr>
        <w:t>arī ir</w:t>
      </w:r>
      <w:r w:rsidR="00A210E3" w:rsidRPr="00E41AB3">
        <w:rPr>
          <w:rFonts w:ascii="Times New Roman" w:eastAsia="Times New Roman" w:hAnsi="Times New Roman" w:cs="Times New Roman"/>
          <w:bCs/>
          <w:sz w:val="24"/>
          <w:szCs w:val="24"/>
          <w:lang w:eastAsia="lv-LV"/>
        </w:rPr>
        <w:t xml:space="preserve"> novērojami</w:t>
      </w:r>
      <w:r w:rsidRPr="00E41AB3">
        <w:rPr>
          <w:rFonts w:ascii="Times New Roman" w:eastAsia="Times New Roman" w:hAnsi="Times New Roman" w:cs="Times New Roman"/>
          <w:bCs/>
          <w:sz w:val="24"/>
          <w:szCs w:val="24"/>
          <w:lang w:eastAsia="lv-LV"/>
        </w:rPr>
        <w:t xml:space="preserve"> priekšnoteikumi straujākai attīstībai. </w:t>
      </w:r>
      <w:r w:rsidR="00D26014" w:rsidRPr="00E41AB3">
        <w:rPr>
          <w:rFonts w:ascii="Times New Roman" w:eastAsia="Times New Roman" w:hAnsi="Times New Roman" w:cs="Times New Roman"/>
          <w:bCs/>
          <w:sz w:val="24"/>
          <w:szCs w:val="24"/>
          <w:lang w:eastAsia="lv-LV"/>
        </w:rPr>
        <w:t>Viens no galvenajiem faktoriem iedzīvotāju skaita samazinājumam</w:t>
      </w:r>
      <w:r w:rsidR="00534B5B" w:rsidRPr="00E41AB3">
        <w:rPr>
          <w:rFonts w:ascii="Times New Roman" w:eastAsia="Times New Roman" w:hAnsi="Times New Roman" w:cs="Times New Roman"/>
          <w:bCs/>
          <w:sz w:val="24"/>
          <w:szCs w:val="24"/>
          <w:lang w:eastAsia="lv-LV"/>
        </w:rPr>
        <w:t xml:space="preserve"> ir bijusi emigrācija</w:t>
      </w:r>
      <w:r w:rsidR="00FC055B">
        <w:rPr>
          <w:rFonts w:ascii="Times New Roman" w:eastAsia="Times New Roman" w:hAnsi="Times New Roman" w:cs="Times New Roman"/>
          <w:bCs/>
          <w:sz w:val="24"/>
          <w:szCs w:val="24"/>
          <w:lang w:eastAsia="lv-LV"/>
        </w:rPr>
        <w:t>,</w:t>
      </w:r>
      <w:r w:rsidR="00534B5B" w:rsidRPr="00E41AB3">
        <w:rPr>
          <w:rFonts w:ascii="Times New Roman" w:eastAsia="Times New Roman" w:hAnsi="Times New Roman" w:cs="Times New Roman"/>
          <w:bCs/>
          <w:sz w:val="24"/>
          <w:szCs w:val="24"/>
          <w:lang w:eastAsia="lv-LV"/>
        </w:rPr>
        <w:t xml:space="preserve"> kas ir cieši saistīts ar darba algas apmēru</w:t>
      </w:r>
      <w:r w:rsidR="00A210E3" w:rsidRPr="00E41AB3">
        <w:rPr>
          <w:rFonts w:ascii="Times New Roman" w:eastAsia="Times New Roman" w:hAnsi="Times New Roman" w:cs="Times New Roman"/>
          <w:bCs/>
          <w:sz w:val="24"/>
          <w:szCs w:val="24"/>
          <w:lang w:eastAsia="lv-LV"/>
        </w:rPr>
        <w:t>.</w:t>
      </w:r>
      <w:r w:rsidR="00D26014" w:rsidRPr="00E41AB3">
        <w:rPr>
          <w:rFonts w:ascii="Times New Roman" w:eastAsia="Times New Roman" w:hAnsi="Times New Roman" w:cs="Times New Roman"/>
          <w:bCs/>
          <w:sz w:val="24"/>
          <w:szCs w:val="24"/>
          <w:lang w:eastAsia="lv-LV"/>
        </w:rPr>
        <w:t xml:space="preserve"> Lai arī Vidzemē vidējā </w:t>
      </w:r>
      <w:r w:rsidR="00BA13A1">
        <w:rPr>
          <w:rFonts w:ascii="Times New Roman" w:eastAsia="Times New Roman" w:hAnsi="Times New Roman" w:cs="Times New Roman"/>
          <w:bCs/>
          <w:sz w:val="24"/>
          <w:szCs w:val="24"/>
          <w:lang w:eastAsia="lv-LV"/>
        </w:rPr>
        <w:t xml:space="preserve">bruto </w:t>
      </w:r>
      <w:r w:rsidR="00D26014" w:rsidRPr="00E41AB3">
        <w:rPr>
          <w:rFonts w:ascii="Times New Roman" w:eastAsia="Times New Roman" w:hAnsi="Times New Roman" w:cs="Times New Roman"/>
          <w:bCs/>
          <w:sz w:val="24"/>
          <w:szCs w:val="24"/>
          <w:lang w:eastAsia="lv-LV"/>
        </w:rPr>
        <w:t xml:space="preserve">darba alga ir zem Latvijas vidējā, vairākos attīstības centros tās </w:t>
      </w:r>
      <w:r w:rsidR="00A210E3" w:rsidRPr="00E41AB3">
        <w:rPr>
          <w:rFonts w:ascii="Times New Roman" w:eastAsia="Times New Roman" w:hAnsi="Times New Roman" w:cs="Times New Roman"/>
          <w:bCs/>
          <w:sz w:val="24"/>
          <w:szCs w:val="24"/>
          <w:lang w:eastAsia="lv-LV"/>
        </w:rPr>
        <w:t xml:space="preserve">pieauguma </w:t>
      </w:r>
      <w:r w:rsidR="00D26014" w:rsidRPr="00E41AB3">
        <w:rPr>
          <w:rFonts w:ascii="Times New Roman" w:eastAsia="Times New Roman" w:hAnsi="Times New Roman" w:cs="Times New Roman"/>
          <w:bCs/>
          <w:sz w:val="24"/>
          <w:szCs w:val="24"/>
          <w:lang w:eastAsia="lv-LV"/>
        </w:rPr>
        <w:t>temps ir daudz straujā</w:t>
      </w:r>
      <w:r w:rsidR="00534B5B" w:rsidRPr="00E41AB3">
        <w:rPr>
          <w:rFonts w:ascii="Times New Roman" w:eastAsia="Times New Roman" w:hAnsi="Times New Roman" w:cs="Times New Roman"/>
          <w:bCs/>
          <w:sz w:val="24"/>
          <w:szCs w:val="24"/>
          <w:lang w:eastAsia="lv-LV"/>
        </w:rPr>
        <w:t xml:space="preserve">ks </w:t>
      </w:r>
      <w:r w:rsidR="00303F0A">
        <w:rPr>
          <w:rFonts w:ascii="Times New Roman" w:eastAsia="Times New Roman" w:hAnsi="Times New Roman" w:cs="Times New Roman"/>
          <w:bCs/>
          <w:sz w:val="24"/>
          <w:szCs w:val="24"/>
          <w:lang w:eastAsia="lv-LV"/>
        </w:rPr>
        <w:t>nekā</w:t>
      </w:r>
      <w:r w:rsidR="00534B5B" w:rsidRPr="00E41AB3">
        <w:rPr>
          <w:rFonts w:ascii="Times New Roman" w:eastAsia="Times New Roman" w:hAnsi="Times New Roman" w:cs="Times New Roman"/>
          <w:bCs/>
          <w:sz w:val="24"/>
          <w:szCs w:val="24"/>
          <w:lang w:eastAsia="lv-LV"/>
        </w:rPr>
        <w:t xml:space="preserve"> Rīgā </w:t>
      </w:r>
      <w:r w:rsidR="00107876" w:rsidRPr="00E41AB3">
        <w:rPr>
          <w:rFonts w:ascii="Times New Roman" w:eastAsia="Times New Roman" w:hAnsi="Times New Roman" w:cs="Times New Roman"/>
          <w:bCs/>
          <w:sz w:val="24"/>
          <w:szCs w:val="24"/>
          <w:lang w:eastAsia="lv-LV"/>
        </w:rPr>
        <w:t>– Alūksnes, Madonas un Gulbenes novadā sasniedzot 37-48% darba samaksas pieaugumu 2014.-20</w:t>
      </w:r>
      <w:r w:rsidR="00303F0A">
        <w:rPr>
          <w:rFonts w:ascii="Times New Roman" w:eastAsia="Times New Roman" w:hAnsi="Times New Roman" w:cs="Times New Roman"/>
          <w:bCs/>
          <w:sz w:val="24"/>
          <w:szCs w:val="24"/>
          <w:lang w:eastAsia="lv-LV"/>
        </w:rPr>
        <w:t>18.</w:t>
      </w:r>
      <w:r w:rsidR="00107876" w:rsidRPr="00E41AB3">
        <w:rPr>
          <w:rFonts w:ascii="Times New Roman" w:eastAsia="Times New Roman" w:hAnsi="Times New Roman" w:cs="Times New Roman"/>
          <w:bCs/>
          <w:sz w:val="24"/>
          <w:szCs w:val="24"/>
          <w:lang w:eastAsia="lv-LV"/>
        </w:rPr>
        <w:t>gada</w:t>
      </w:r>
      <w:r w:rsidR="00303F0A">
        <w:rPr>
          <w:rFonts w:ascii="Times New Roman" w:eastAsia="Times New Roman" w:hAnsi="Times New Roman" w:cs="Times New Roman"/>
          <w:bCs/>
          <w:sz w:val="24"/>
          <w:szCs w:val="24"/>
          <w:lang w:eastAsia="lv-LV"/>
        </w:rPr>
        <w:t>m</w:t>
      </w:r>
      <w:r w:rsidR="00107876" w:rsidRPr="00E41AB3">
        <w:rPr>
          <w:rFonts w:ascii="Times New Roman" w:eastAsia="Times New Roman" w:hAnsi="Times New Roman" w:cs="Times New Roman"/>
          <w:bCs/>
          <w:sz w:val="24"/>
          <w:szCs w:val="24"/>
          <w:lang w:eastAsia="lv-LV"/>
        </w:rPr>
        <w:t>, kas ir  10-21% straujāk kā Rīgā</w:t>
      </w:r>
      <w:r w:rsidR="00534B5B" w:rsidRPr="00E41AB3">
        <w:rPr>
          <w:rFonts w:ascii="Times New Roman" w:eastAsia="Times New Roman" w:hAnsi="Times New Roman" w:cs="Times New Roman"/>
          <w:bCs/>
          <w:sz w:val="24"/>
          <w:szCs w:val="24"/>
          <w:lang w:eastAsia="lv-LV"/>
        </w:rPr>
        <w:t xml:space="preserve"> (</w:t>
      </w:r>
      <w:r w:rsidR="00534B5B" w:rsidRPr="00BA13A1">
        <w:rPr>
          <w:rFonts w:ascii="Times New Roman" w:eastAsia="Times New Roman" w:hAnsi="Times New Roman" w:cs="Times New Roman"/>
          <w:bCs/>
          <w:i/>
          <w:iCs/>
          <w:sz w:val="24"/>
          <w:szCs w:val="24"/>
          <w:lang w:eastAsia="lv-LV"/>
        </w:rPr>
        <w:t>skatīt</w:t>
      </w:r>
      <w:r w:rsidR="00534B5B" w:rsidRPr="00E41AB3">
        <w:rPr>
          <w:rFonts w:ascii="Times New Roman" w:eastAsia="Times New Roman" w:hAnsi="Times New Roman" w:cs="Times New Roman"/>
          <w:bCs/>
          <w:sz w:val="24"/>
          <w:szCs w:val="24"/>
          <w:lang w:eastAsia="lv-LV"/>
        </w:rPr>
        <w:t xml:space="preserve"> </w:t>
      </w:r>
      <w:r w:rsidR="00534B5B" w:rsidRPr="00E41AB3">
        <w:rPr>
          <w:rFonts w:ascii="Times New Roman" w:eastAsia="Times New Roman" w:hAnsi="Times New Roman" w:cs="Times New Roman"/>
          <w:bCs/>
          <w:i/>
          <w:sz w:val="24"/>
          <w:szCs w:val="24"/>
          <w:lang w:eastAsia="lv-LV"/>
        </w:rPr>
        <w:t>attēlu Nr.7</w:t>
      </w:r>
      <w:r w:rsidR="00534B5B" w:rsidRPr="00E41AB3">
        <w:rPr>
          <w:rFonts w:ascii="Times New Roman" w:eastAsia="Times New Roman" w:hAnsi="Times New Roman" w:cs="Times New Roman"/>
          <w:bCs/>
          <w:sz w:val="24"/>
          <w:szCs w:val="24"/>
          <w:lang w:eastAsia="lv-LV"/>
        </w:rPr>
        <w:t>)</w:t>
      </w:r>
      <w:r w:rsidR="00107876" w:rsidRPr="00E41AB3">
        <w:rPr>
          <w:rFonts w:ascii="Times New Roman" w:eastAsia="Times New Roman" w:hAnsi="Times New Roman" w:cs="Times New Roman"/>
          <w:bCs/>
          <w:sz w:val="24"/>
          <w:szCs w:val="24"/>
          <w:lang w:eastAsia="lv-LV"/>
        </w:rPr>
        <w:t>.</w:t>
      </w:r>
    </w:p>
    <w:p w14:paraId="72412453" w14:textId="77777777" w:rsidR="00BE245A" w:rsidRPr="00E41AB3" w:rsidRDefault="00BE245A" w:rsidP="00BE245A">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Nr.7</w:t>
      </w:r>
    </w:p>
    <w:p w14:paraId="084272D7" w14:textId="5485039A" w:rsidR="00107876" w:rsidRPr="00E41AB3" w:rsidRDefault="00107876" w:rsidP="00107876">
      <w:pPr>
        <w:spacing w:after="0"/>
        <w:jc w:val="center"/>
        <w:rPr>
          <w:rFonts w:ascii="Times New Roman" w:eastAsia="Times New Roman" w:hAnsi="Times New Roman" w:cs="Times New Roman"/>
          <w:bCs/>
          <w:sz w:val="24"/>
          <w:szCs w:val="24"/>
          <w:lang w:eastAsia="lv-LV"/>
        </w:rPr>
      </w:pPr>
      <w:r w:rsidRPr="00E41AB3">
        <w:rPr>
          <w:rFonts w:ascii="Times New Roman" w:hAnsi="Times New Roman" w:cs="Times New Roman"/>
          <w:noProof/>
          <w:lang w:eastAsia="lv-LV"/>
        </w:rPr>
        <w:drawing>
          <wp:inline distT="0" distB="0" distL="0" distR="0" wp14:anchorId="0DE80C35" wp14:editId="68076AF4">
            <wp:extent cx="5514340" cy="242514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2BA19B" w14:textId="77777777" w:rsidR="00534B5B" w:rsidRPr="00E41AB3" w:rsidRDefault="00534B5B" w:rsidP="00A3260C">
      <w:pPr>
        <w:spacing w:after="0"/>
        <w:jc w:val="center"/>
        <w:rPr>
          <w:rFonts w:ascii="Times New Roman" w:eastAsia="Times New Roman" w:hAnsi="Times New Roman" w:cs="Times New Roman"/>
          <w:bCs/>
          <w:sz w:val="24"/>
          <w:szCs w:val="24"/>
          <w:lang w:eastAsia="lv-LV"/>
        </w:rPr>
      </w:pPr>
    </w:p>
    <w:p w14:paraId="78F18165" w14:textId="043BE67D" w:rsidR="00A3260C" w:rsidRPr="00E41AB3" w:rsidRDefault="002A2588" w:rsidP="009B3400">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Ievērojot minēto statistiku un </w:t>
      </w:r>
      <w:r w:rsidR="002D6B39">
        <w:rPr>
          <w:rFonts w:ascii="Times New Roman" w:eastAsia="Times New Roman" w:hAnsi="Times New Roman" w:cs="Times New Roman"/>
          <w:b/>
          <w:bCs/>
          <w:sz w:val="24"/>
          <w:szCs w:val="24"/>
          <w:lang w:eastAsia="lv-LV"/>
        </w:rPr>
        <w:t xml:space="preserve">veikto </w:t>
      </w:r>
      <w:r>
        <w:rPr>
          <w:rFonts w:ascii="Times New Roman" w:eastAsia="Times New Roman" w:hAnsi="Times New Roman" w:cs="Times New Roman"/>
          <w:b/>
          <w:bCs/>
          <w:sz w:val="24"/>
          <w:szCs w:val="24"/>
          <w:lang w:eastAsia="lv-LV"/>
        </w:rPr>
        <w:t xml:space="preserve">analīzi, </w:t>
      </w:r>
      <w:r w:rsidR="000843A8" w:rsidRPr="00E41AB3">
        <w:rPr>
          <w:rFonts w:ascii="Times New Roman" w:eastAsia="Times New Roman" w:hAnsi="Times New Roman" w:cs="Times New Roman"/>
          <w:b/>
          <w:bCs/>
          <w:sz w:val="24"/>
          <w:szCs w:val="24"/>
          <w:lang w:eastAsia="lv-LV"/>
        </w:rPr>
        <w:t>g</w:t>
      </w:r>
      <w:r w:rsidR="00A3260C" w:rsidRPr="00E41AB3">
        <w:rPr>
          <w:rFonts w:ascii="Times New Roman" w:eastAsia="Times New Roman" w:hAnsi="Times New Roman" w:cs="Times New Roman"/>
          <w:b/>
          <w:bCs/>
          <w:sz w:val="24"/>
          <w:szCs w:val="24"/>
          <w:lang w:eastAsia="lv-LV"/>
        </w:rPr>
        <w:t>alvenie izaicinājumi</w:t>
      </w:r>
      <w:r w:rsidR="000843A8" w:rsidRPr="00E41AB3">
        <w:rPr>
          <w:rFonts w:ascii="Times New Roman" w:eastAsia="Times New Roman" w:hAnsi="Times New Roman" w:cs="Times New Roman"/>
          <w:b/>
          <w:bCs/>
          <w:sz w:val="24"/>
          <w:szCs w:val="24"/>
          <w:lang w:eastAsia="lv-LV"/>
        </w:rPr>
        <w:t xml:space="preserve"> Vidzeme</w:t>
      </w:r>
      <w:r>
        <w:rPr>
          <w:rFonts w:ascii="Times New Roman" w:eastAsia="Times New Roman" w:hAnsi="Times New Roman" w:cs="Times New Roman"/>
          <w:b/>
          <w:bCs/>
          <w:sz w:val="24"/>
          <w:szCs w:val="24"/>
          <w:lang w:eastAsia="lv-LV"/>
        </w:rPr>
        <w:t>s reģionam</w:t>
      </w:r>
      <w:r w:rsidR="00CE2BBF">
        <w:rPr>
          <w:rFonts w:ascii="Times New Roman" w:eastAsia="Times New Roman" w:hAnsi="Times New Roman" w:cs="Times New Roman"/>
          <w:b/>
          <w:bCs/>
          <w:sz w:val="24"/>
          <w:szCs w:val="24"/>
          <w:lang w:eastAsia="lv-LV"/>
        </w:rPr>
        <w:t xml:space="preserve"> </w:t>
      </w:r>
      <w:r w:rsidR="00042097">
        <w:rPr>
          <w:rFonts w:ascii="Times New Roman" w:eastAsia="Times New Roman" w:hAnsi="Times New Roman" w:cs="Times New Roman"/>
          <w:b/>
          <w:bCs/>
          <w:sz w:val="24"/>
          <w:szCs w:val="24"/>
          <w:lang w:eastAsia="lv-LV"/>
        </w:rPr>
        <w:t>ir</w:t>
      </w:r>
      <w:r w:rsidR="00A3260C" w:rsidRPr="00E41AB3">
        <w:rPr>
          <w:rFonts w:ascii="Times New Roman" w:eastAsia="Times New Roman" w:hAnsi="Times New Roman" w:cs="Times New Roman"/>
          <w:b/>
          <w:bCs/>
          <w:sz w:val="24"/>
          <w:szCs w:val="24"/>
          <w:lang w:eastAsia="lv-LV"/>
        </w:rPr>
        <w:t>:</w:t>
      </w:r>
    </w:p>
    <w:p w14:paraId="024C845C" w14:textId="77777777" w:rsidR="000843A8" w:rsidRPr="00E41AB3" w:rsidRDefault="00A3260C" w:rsidP="009B3400">
      <w:pPr>
        <w:pStyle w:val="Sarakstarindkopa"/>
        <w:numPr>
          <w:ilvl w:val="0"/>
          <w:numId w:val="33"/>
        </w:numPr>
        <w:spacing w:after="0"/>
        <w:jc w:val="both"/>
        <w:rPr>
          <w:rFonts w:ascii="Times New Roman" w:eastAsia="Times New Roman" w:hAnsi="Times New Roman" w:cs="Times New Roman"/>
          <w:b/>
          <w:bCs/>
          <w:sz w:val="24"/>
          <w:szCs w:val="24"/>
          <w:lang w:eastAsia="lv-LV"/>
        </w:rPr>
      </w:pPr>
      <w:r w:rsidRPr="00E41AB3">
        <w:rPr>
          <w:rFonts w:ascii="Times New Roman" w:eastAsia="Times New Roman" w:hAnsi="Times New Roman" w:cs="Times New Roman"/>
          <w:b/>
          <w:bCs/>
          <w:sz w:val="24"/>
          <w:szCs w:val="24"/>
          <w:lang w:eastAsia="lv-LV"/>
        </w:rPr>
        <w:t>Uzņēmējdarbības izaugsme</w:t>
      </w:r>
      <w:r w:rsidR="000843A8" w:rsidRPr="00E41AB3">
        <w:rPr>
          <w:rFonts w:ascii="Times New Roman" w:eastAsia="Times New Roman" w:hAnsi="Times New Roman" w:cs="Times New Roman"/>
          <w:b/>
          <w:bCs/>
          <w:sz w:val="24"/>
          <w:szCs w:val="24"/>
          <w:lang w:eastAsia="lv-LV"/>
        </w:rPr>
        <w:t>:</w:t>
      </w:r>
    </w:p>
    <w:p w14:paraId="247B9D2C" w14:textId="6BB51712" w:rsidR="00A3260C" w:rsidRPr="00E41AB3" w:rsidRDefault="000843A8" w:rsidP="009B3400">
      <w:pPr>
        <w:pStyle w:val="Sarakstarindkopa"/>
        <w:numPr>
          <w:ilvl w:val="1"/>
          <w:numId w:val="33"/>
        </w:num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Cs/>
          <w:sz w:val="24"/>
          <w:szCs w:val="24"/>
          <w:lang w:eastAsia="lv-LV"/>
        </w:rPr>
        <w:t>Kā novērst “tirgus nepilnības” privātā kapitāla piesaiste reģionā (pašvaldību loma)</w:t>
      </w:r>
      <w:r w:rsidR="004C46F4">
        <w:rPr>
          <w:rFonts w:ascii="Times New Roman" w:eastAsia="Times New Roman" w:hAnsi="Times New Roman" w:cs="Times New Roman"/>
          <w:bCs/>
          <w:sz w:val="24"/>
          <w:szCs w:val="24"/>
          <w:lang w:eastAsia="lv-LV"/>
        </w:rPr>
        <w:t>?</w:t>
      </w:r>
    </w:p>
    <w:p w14:paraId="21F775A6" w14:textId="47285701" w:rsidR="00A3260C" w:rsidRPr="00E41AB3" w:rsidRDefault="000843A8" w:rsidP="009B3400">
      <w:pPr>
        <w:pStyle w:val="Sarakstarindkopa"/>
        <w:numPr>
          <w:ilvl w:val="1"/>
          <w:numId w:val="33"/>
        </w:num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Cs/>
          <w:sz w:val="24"/>
          <w:szCs w:val="24"/>
          <w:lang w:eastAsia="lv-LV"/>
        </w:rPr>
        <w:t xml:space="preserve">Kā piesaistīt cilvēkresursus tālākai attīstībai? </w:t>
      </w:r>
    </w:p>
    <w:p w14:paraId="0B7522C5" w14:textId="6E6FCBC2" w:rsidR="00053BF3" w:rsidRDefault="00A3260C" w:rsidP="009B3400">
      <w:pPr>
        <w:pStyle w:val="Sarakstarindkopa"/>
        <w:numPr>
          <w:ilvl w:val="0"/>
          <w:numId w:val="33"/>
        </w:numPr>
        <w:spacing w:after="0"/>
        <w:jc w:val="both"/>
        <w:rPr>
          <w:rFonts w:ascii="Times New Roman" w:eastAsia="Times New Roman" w:hAnsi="Times New Roman" w:cs="Times New Roman"/>
          <w:bCs/>
          <w:sz w:val="24"/>
          <w:szCs w:val="24"/>
          <w:lang w:eastAsia="lv-LV"/>
        </w:rPr>
      </w:pPr>
      <w:r w:rsidRPr="00E41AB3">
        <w:rPr>
          <w:rFonts w:ascii="Times New Roman" w:eastAsia="Times New Roman" w:hAnsi="Times New Roman" w:cs="Times New Roman"/>
          <w:b/>
          <w:bCs/>
          <w:sz w:val="24"/>
          <w:szCs w:val="24"/>
          <w:lang w:eastAsia="lv-LV"/>
        </w:rPr>
        <w:t>Pakalpojumu efektivitāte</w:t>
      </w:r>
      <w:r w:rsidR="000843A8" w:rsidRPr="00E41AB3">
        <w:rPr>
          <w:rFonts w:ascii="Times New Roman" w:eastAsia="Times New Roman" w:hAnsi="Times New Roman" w:cs="Times New Roman"/>
          <w:bCs/>
          <w:sz w:val="24"/>
          <w:szCs w:val="24"/>
          <w:lang w:eastAsia="lv-LV"/>
        </w:rPr>
        <w:t xml:space="preserve"> – kā nodrošināt </w:t>
      </w:r>
      <w:r w:rsidR="00CE2BBF">
        <w:rPr>
          <w:rFonts w:ascii="Times New Roman" w:eastAsia="Times New Roman" w:hAnsi="Times New Roman" w:cs="Times New Roman"/>
          <w:bCs/>
          <w:sz w:val="24"/>
          <w:szCs w:val="24"/>
          <w:lang w:eastAsia="lv-LV"/>
        </w:rPr>
        <w:t xml:space="preserve">kvalitatīvus </w:t>
      </w:r>
      <w:r w:rsidR="000843A8" w:rsidRPr="00E41AB3">
        <w:rPr>
          <w:rFonts w:ascii="Times New Roman" w:eastAsia="Times New Roman" w:hAnsi="Times New Roman" w:cs="Times New Roman"/>
          <w:bCs/>
          <w:sz w:val="24"/>
          <w:szCs w:val="24"/>
          <w:lang w:eastAsia="lv-LV"/>
        </w:rPr>
        <w:t xml:space="preserve">pakalpojumus </w:t>
      </w:r>
      <w:r w:rsidR="00CE2BBF">
        <w:rPr>
          <w:rFonts w:ascii="Times New Roman" w:eastAsia="Times New Roman" w:hAnsi="Times New Roman" w:cs="Times New Roman"/>
          <w:bCs/>
          <w:sz w:val="24"/>
          <w:szCs w:val="24"/>
          <w:lang w:eastAsia="lv-LV"/>
        </w:rPr>
        <w:t xml:space="preserve">iedzīvotājiem </w:t>
      </w:r>
      <w:r w:rsidR="000843A8" w:rsidRPr="00E41AB3">
        <w:rPr>
          <w:rFonts w:ascii="Times New Roman" w:eastAsia="Times New Roman" w:hAnsi="Times New Roman" w:cs="Times New Roman"/>
          <w:bCs/>
          <w:sz w:val="24"/>
          <w:szCs w:val="24"/>
          <w:lang w:eastAsia="lv-LV"/>
        </w:rPr>
        <w:t>pie mainīgās demogrāfijas (krītošs un atsevišķ</w:t>
      </w:r>
      <w:r w:rsidR="00042097">
        <w:rPr>
          <w:rFonts w:ascii="Times New Roman" w:eastAsia="Times New Roman" w:hAnsi="Times New Roman" w:cs="Times New Roman"/>
          <w:bCs/>
          <w:sz w:val="24"/>
          <w:szCs w:val="24"/>
          <w:lang w:eastAsia="lv-LV"/>
        </w:rPr>
        <w:t>ā</w:t>
      </w:r>
      <w:r w:rsidR="000843A8" w:rsidRPr="00E41AB3">
        <w:rPr>
          <w:rFonts w:ascii="Times New Roman" w:eastAsia="Times New Roman" w:hAnsi="Times New Roman" w:cs="Times New Roman"/>
          <w:bCs/>
          <w:sz w:val="24"/>
          <w:szCs w:val="24"/>
          <w:lang w:eastAsia="lv-LV"/>
        </w:rPr>
        <w:t>s vietās augošs iedzīvotāju skaits)</w:t>
      </w:r>
      <w:r w:rsidR="00053BF3">
        <w:rPr>
          <w:rFonts w:ascii="Times New Roman" w:eastAsia="Times New Roman" w:hAnsi="Times New Roman" w:cs="Times New Roman"/>
          <w:bCs/>
          <w:sz w:val="24"/>
          <w:szCs w:val="24"/>
          <w:lang w:eastAsia="lv-LV"/>
        </w:rPr>
        <w:br w:type="page"/>
      </w:r>
    </w:p>
    <w:p w14:paraId="15F552C6" w14:textId="3FECCFB6" w:rsidR="00107876" w:rsidRPr="00E41AB3" w:rsidRDefault="00F02D79" w:rsidP="004C46F4">
      <w:pPr>
        <w:pStyle w:val="Virsraksts1"/>
        <w:numPr>
          <w:ilvl w:val="0"/>
          <w:numId w:val="19"/>
        </w:numPr>
        <w:spacing w:after="240"/>
        <w:rPr>
          <w:rFonts w:ascii="Times New Roman" w:hAnsi="Times New Roman" w:cs="Times New Roman"/>
          <w:b/>
          <w:color w:val="auto"/>
        </w:rPr>
      </w:pPr>
      <w:bookmarkStart w:id="3" w:name="_Toc24034133"/>
      <w:r>
        <w:rPr>
          <w:rFonts w:ascii="Times New Roman" w:hAnsi="Times New Roman" w:cs="Times New Roman"/>
          <w:b/>
          <w:color w:val="auto"/>
        </w:rPr>
        <w:lastRenderedPageBreak/>
        <w:t>Investīcijas</w:t>
      </w:r>
      <w:r w:rsidR="000843A8" w:rsidRPr="00E41AB3">
        <w:rPr>
          <w:rFonts w:ascii="Times New Roman" w:hAnsi="Times New Roman" w:cs="Times New Roman"/>
          <w:b/>
          <w:color w:val="auto"/>
        </w:rPr>
        <w:t xml:space="preserve"> Vidzemei </w:t>
      </w:r>
      <w:r w:rsidR="00303F0A">
        <w:rPr>
          <w:rFonts w:ascii="Times New Roman" w:hAnsi="Times New Roman" w:cs="Times New Roman"/>
          <w:b/>
          <w:color w:val="auto"/>
        </w:rPr>
        <w:t xml:space="preserve">ES fondu </w:t>
      </w:r>
      <w:r w:rsidR="000843A8" w:rsidRPr="00E41AB3">
        <w:rPr>
          <w:rFonts w:ascii="Times New Roman" w:hAnsi="Times New Roman" w:cs="Times New Roman"/>
          <w:b/>
          <w:color w:val="auto"/>
        </w:rPr>
        <w:t>2014</w:t>
      </w:r>
      <w:r w:rsidR="00E41AB3" w:rsidRPr="00E41AB3">
        <w:rPr>
          <w:rFonts w:ascii="Times New Roman" w:hAnsi="Times New Roman" w:cs="Times New Roman"/>
          <w:b/>
          <w:color w:val="auto"/>
        </w:rPr>
        <w:t>.</w:t>
      </w:r>
      <w:r w:rsidR="000843A8" w:rsidRPr="00E41AB3">
        <w:rPr>
          <w:rFonts w:ascii="Times New Roman" w:hAnsi="Times New Roman" w:cs="Times New Roman"/>
          <w:b/>
          <w:color w:val="auto"/>
        </w:rPr>
        <w:t>-2020</w:t>
      </w:r>
      <w:r w:rsidR="00E41AB3" w:rsidRPr="00E41AB3">
        <w:rPr>
          <w:rFonts w:ascii="Times New Roman" w:hAnsi="Times New Roman" w:cs="Times New Roman"/>
          <w:b/>
          <w:color w:val="auto"/>
        </w:rPr>
        <w:t>.gada plānošanas periodā</w:t>
      </w:r>
      <w:bookmarkEnd w:id="3"/>
    </w:p>
    <w:p w14:paraId="5B1A272B" w14:textId="77777777" w:rsidR="00771F38" w:rsidRDefault="009B3400" w:rsidP="005A3B2A">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Lai veicinātu uzņēmējdarbības izaugsmi un nodrošinātu efektīvus un kvalitatīvus pakalpojumus iedzīvotājiem, jau </w:t>
      </w:r>
      <w:r w:rsidRPr="009B3400">
        <w:rPr>
          <w:rFonts w:ascii="Times New Roman" w:hAnsi="Times New Roman" w:cs="Times New Roman"/>
          <w:bCs/>
          <w:color w:val="000000" w:themeColor="text1"/>
          <w:sz w:val="24"/>
          <w:szCs w:val="24"/>
        </w:rPr>
        <w:t>ES fondu 2014.-2020.gada plānošanas periodā</w:t>
      </w:r>
      <w:r>
        <w:rPr>
          <w:rFonts w:ascii="Times New Roman" w:hAnsi="Times New Roman" w:cs="Times New Roman"/>
          <w:bCs/>
          <w:color w:val="000000" w:themeColor="text1"/>
          <w:sz w:val="24"/>
          <w:szCs w:val="24"/>
        </w:rPr>
        <w:t xml:space="preserve"> notiek dažādi atbalsta pasākumi. Tos pietiekami aktīvi izmanto arī Vidzemes plānošanas reģiona pašvaldības, lai attīstītu ne tikai savu vietējo infrastruktūru, bet arī reģion</w:t>
      </w:r>
      <w:r w:rsidR="00042097">
        <w:rPr>
          <w:rFonts w:ascii="Times New Roman" w:hAnsi="Times New Roman" w:cs="Times New Roman"/>
          <w:bCs/>
          <w:color w:val="000000" w:themeColor="text1"/>
          <w:sz w:val="24"/>
          <w:szCs w:val="24"/>
        </w:rPr>
        <w:t>u</w:t>
      </w:r>
      <w:r>
        <w:rPr>
          <w:rFonts w:ascii="Times New Roman" w:hAnsi="Times New Roman" w:cs="Times New Roman"/>
          <w:bCs/>
          <w:color w:val="000000" w:themeColor="text1"/>
          <w:sz w:val="24"/>
          <w:szCs w:val="24"/>
        </w:rPr>
        <w:t xml:space="preserve"> kopumā.</w:t>
      </w:r>
      <w:r w:rsidR="00771F38">
        <w:rPr>
          <w:rFonts w:ascii="Times New Roman" w:hAnsi="Times New Roman" w:cs="Times New Roman"/>
          <w:bCs/>
          <w:color w:val="000000" w:themeColor="text1"/>
          <w:sz w:val="24"/>
          <w:szCs w:val="24"/>
        </w:rPr>
        <w:t xml:space="preserve"> </w:t>
      </w:r>
    </w:p>
    <w:p w14:paraId="71462F4F" w14:textId="2F829B63" w:rsidR="009B3400" w:rsidRDefault="00771F38" w:rsidP="005A3B2A">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sidRPr="000460F8">
        <w:rPr>
          <w:rFonts w:ascii="Times New Roman" w:hAnsi="Times New Roman" w:cs="Times New Roman"/>
          <w:bCs/>
          <w:color w:val="000000" w:themeColor="text1"/>
          <w:sz w:val="24"/>
          <w:szCs w:val="24"/>
        </w:rPr>
        <w:t xml:space="preserve">Šajā </w:t>
      </w:r>
      <w:r w:rsidR="007452D6">
        <w:rPr>
          <w:rFonts w:ascii="Times New Roman" w:hAnsi="Times New Roman" w:cs="Times New Roman"/>
          <w:bCs/>
          <w:color w:val="000000" w:themeColor="text1"/>
          <w:sz w:val="24"/>
          <w:szCs w:val="24"/>
        </w:rPr>
        <w:t>sadaļā</w:t>
      </w:r>
      <w:r w:rsidRPr="000460F8">
        <w:rPr>
          <w:rFonts w:ascii="Times New Roman" w:hAnsi="Times New Roman" w:cs="Times New Roman"/>
          <w:bCs/>
          <w:color w:val="000000" w:themeColor="text1"/>
          <w:sz w:val="24"/>
          <w:szCs w:val="24"/>
        </w:rPr>
        <w:t xml:space="preserve"> sniegta informācija par </w:t>
      </w:r>
      <w:r w:rsidRPr="00F02D79">
        <w:rPr>
          <w:rFonts w:ascii="Times New Roman" w:hAnsi="Times New Roman" w:cs="Times New Roman"/>
          <w:bCs/>
          <w:color w:val="000000" w:themeColor="text1"/>
          <w:sz w:val="24"/>
          <w:szCs w:val="24"/>
        </w:rPr>
        <w:t>Eiropas Reģionālās attīstības fonda</w:t>
      </w:r>
      <w:r w:rsidR="008E37E0">
        <w:rPr>
          <w:rFonts w:ascii="Times New Roman" w:hAnsi="Times New Roman" w:cs="Times New Roman"/>
          <w:bCs/>
          <w:color w:val="000000" w:themeColor="text1"/>
          <w:sz w:val="24"/>
          <w:szCs w:val="24"/>
        </w:rPr>
        <w:t xml:space="preserve"> (turpmāk – ERAF)</w:t>
      </w:r>
      <w:r>
        <w:rPr>
          <w:rFonts w:ascii="Times New Roman" w:hAnsi="Times New Roman" w:cs="Times New Roman"/>
          <w:bCs/>
          <w:color w:val="000000" w:themeColor="text1"/>
          <w:sz w:val="24"/>
          <w:szCs w:val="24"/>
        </w:rPr>
        <w:t xml:space="preserve"> un Kohēzijas fonda specifisko atbalsta </w:t>
      </w:r>
      <w:r w:rsidRPr="007B7291">
        <w:rPr>
          <w:rFonts w:ascii="Times New Roman" w:hAnsi="Times New Roman" w:cs="Times New Roman"/>
          <w:bCs/>
          <w:color w:val="000000" w:themeColor="text1"/>
          <w:sz w:val="24"/>
          <w:szCs w:val="24"/>
        </w:rPr>
        <w:t>mērķ</w:t>
      </w:r>
      <w:r>
        <w:rPr>
          <w:rFonts w:ascii="Times New Roman" w:hAnsi="Times New Roman" w:cs="Times New Roman"/>
          <w:bCs/>
          <w:color w:val="000000" w:themeColor="text1"/>
          <w:sz w:val="24"/>
          <w:szCs w:val="24"/>
        </w:rPr>
        <w:t>u</w:t>
      </w:r>
      <w:r w:rsidRPr="007B7291">
        <w:rPr>
          <w:rFonts w:ascii="Times New Roman" w:hAnsi="Times New Roman" w:cs="Times New Roman"/>
          <w:bCs/>
          <w:color w:val="000000" w:themeColor="text1"/>
          <w:sz w:val="24"/>
          <w:szCs w:val="24"/>
        </w:rPr>
        <w:t xml:space="preserve"> (turpmāk – SAM)</w:t>
      </w:r>
      <w:r>
        <w:rPr>
          <w:rFonts w:ascii="Times New Roman" w:hAnsi="Times New Roman" w:cs="Times New Roman"/>
          <w:bCs/>
          <w:color w:val="000000" w:themeColor="text1"/>
          <w:sz w:val="24"/>
          <w:szCs w:val="24"/>
        </w:rPr>
        <w:t xml:space="preserve"> </w:t>
      </w:r>
      <w:r w:rsidRPr="000460F8">
        <w:rPr>
          <w:rFonts w:ascii="Times New Roman" w:hAnsi="Times New Roman" w:cs="Times New Roman"/>
          <w:bCs/>
          <w:color w:val="000000" w:themeColor="text1"/>
          <w:sz w:val="24"/>
          <w:szCs w:val="24"/>
        </w:rPr>
        <w:t xml:space="preserve">ieviešanas </w:t>
      </w:r>
      <w:r w:rsidR="0021587F">
        <w:rPr>
          <w:rFonts w:ascii="Times New Roman" w:hAnsi="Times New Roman" w:cs="Times New Roman"/>
          <w:bCs/>
          <w:color w:val="000000" w:themeColor="text1"/>
          <w:sz w:val="24"/>
          <w:szCs w:val="24"/>
        </w:rPr>
        <w:t>progresu</w:t>
      </w:r>
      <w:r>
        <w:rPr>
          <w:rFonts w:ascii="Times New Roman" w:hAnsi="Times New Roman" w:cs="Times New Roman"/>
          <w:bCs/>
          <w:color w:val="000000" w:themeColor="text1"/>
          <w:sz w:val="24"/>
          <w:szCs w:val="24"/>
        </w:rPr>
        <w:t>,</w:t>
      </w:r>
      <w:r w:rsidRPr="00771F38">
        <w:rPr>
          <w:rFonts w:ascii="Times New Roman" w:hAnsi="Times New Roman" w:cs="Times New Roman"/>
          <w:bCs/>
          <w:color w:val="000000" w:themeColor="text1"/>
          <w:sz w:val="24"/>
          <w:szCs w:val="24"/>
        </w:rPr>
        <w:t xml:space="preserve"> </w:t>
      </w:r>
      <w:r w:rsidR="004736A1">
        <w:rPr>
          <w:rFonts w:ascii="Times New Roman" w:hAnsi="Times New Roman" w:cs="Times New Roman"/>
          <w:bCs/>
          <w:color w:val="000000" w:themeColor="text1"/>
          <w:sz w:val="24"/>
          <w:szCs w:val="24"/>
        </w:rPr>
        <w:t>datus</w:t>
      </w:r>
      <w:r w:rsidRPr="000460F8">
        <w:rPr>
          <w:rFonts w:ascii="Times New Roman" w:hAnsi="Times New Roman" w:cs="Times New Roman"/>
          <w:bCs/>
          <w:color w:val="000000" w:themeColor="text1"/>
          <w:sz w:val="24"/>
          <w:szCs w:val="24"/>
        </w:rPr>
        <w:t xml:space="preserve"> no vienotās Kohēzijas politikas informācijas sistēmas </w:t>
      </w:r>
      <w:r w:rsidRPr="00771F38">
        <w:rPr>
          <w:rFonts w:ascii="Times New Roman" w:hAnsi="Times New Roman" w:cs="Times New Roman"/>
          <w:bCs/>
          <w:color w:val="000000" w:themeColor="text1"/>
          <w:sz w:val="24"/>
          <w:szCs w:val="24"/>
        </w:rPr>
        <w:t xml:space="preserve">iegūstot </w:t>
      </w:r>
      <w:proofErr w:type="gramStart"/>
      <w:r w:rsidRPr="00771F38">
        <w:rPr>
          <w:rFonts w:ascii="Times New Roman" w:hAnsi="Times New Roman" w:cs="Times New Roman"/>
          <w:bCs/>
          <w:color w:val="000000" w:themeColor="text1"/>
          <w:sz w:val="24"/>
          <w:szCs w:val="24"/>
        </w:rPr>
        <w:t>201</w:t>
      </w:r>
      <w:r>
        <w:rPr>
          <w:rFonts w:ascii="Times New Roman" w:hAnsi="Times New Roman" w:cs="Times New Roman"/>
          <w:bCs/>
          <w:color w:val="000000" w:themeColor="text1"/>
          <w:sz w:val="24"/>
          <w:szCs w:val="24"/>
        </w:rPr>
        <w:t>9</w:t>
      </w:r>
      <w:r w:rsidRPr="000460F8">
        <w:rPr>
          <w:rFonts w:ascii="Times New Roman" w:hAnsi="Times New Roman" w:cs="Times New Roman"/>
          <w:bCs/>
          <w:color w:val="000000" w:themeColor="text1"/>
          <w:sz w:val="24"/>
          <w:szCs w:val="24"/>
        </w:rPr>
        <w:t>.gada</w:t>
      </w:r>
      <w:proofErr w:type="gramEnd"/>
      <w:r w:rsidRPr="000460F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w:t>
      </w:r>
      <w:r w:rsidRPr="000460F8">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oktobrī</w:t>
      </w:r>
      <w:r w:rsidRPr="000460F8">
        <w:rPr>
          <w:rFonts w:ascii="Times New Roman" w:hAnsi="Times New Roman" w:cs="Times New Roman"/>
          <w:bCs/>
          <w:color w:val="000000" w:themeColor="text1"/>
          <w:sz w:val="24"/>
          <w:szCs w:val="24"/>
        </w:rPr>
        <w:t>.</w:t>
      </w:r>
    </w:p>
    <w:p w14:paraId="610479D4" w14:textId="547C5F94" w:rsidR="00CB3506" w:rsidRDefault="00F02D79" w:rsidP="005A3B2A">
      <w:pPr>
        <w:pStyle w:val="Sarakstarindkopa"/>
        <w:suppressAutoHyphens/>
        <w:spacing w:after="120"/>
        <w:ind w:left="0"/>
        <w:contextualSpacing w:val="0"/>
        <w:jc w:val="both"/>
        <w:rPr>
          <w:rFonts w:ascii="Times New Roman" w:hAnsi="Times New Roman" w:cs="Times New Roman"/>
          <w:bCs/>
          <w:color w:val="000000" w:themeColor="text1"/>
          <w:sz w:val="24"/>
          <w:szCs w:val="24"/>
        </w:rPr>
      </w:pPr>
      <w:bookmarkStart w:id="4" w:name="_Hlk23314861"/>
      <w:r w:rsidRPr="00F02D79">
        <w:rPr>
          <w:rFonts w:ascii="Times New Roman" w:hAnsi="Times New Roman" w:cs="Times New Roman"/>
          <w:bCs/>
          <w:color w:val="000000" w:themeColor="text1"/>
          <w:sz w:val="24"/>
          <w:szCs w:val="24"/>
        </w:rPr>
        <w:t xml:space="preserve">Kopumā VARAM (turpmāk – Vides aizsardzības un reģionālās attīstības ministrija) pārziņā esošo atbalsta </w:t>
      </w:r>
      <w:proofErr w:type="gramStart"/>
      <w:r w:rsidR="00EF428B">
        <w:rPr>
          <w:rFonts w:ascii="Times New Roman" w:hAnsi="Times New Roman" w:cs="Times New Roman"/>
          <w:bCs/>
          <w:color w:val="000000" w:themeColor="text1"/>
          <w:sz w:val="24"/>
          <w:szCs w:val="24"/>
        </w:rPr>
        <w:t>instrumentu –</w:t>
      </w:r>
      <w:r w:rsidRPr="00F02D79">
        <w:rPr>
          <w:rFonts w:ascii="Times New Roman" w:hAnsi="Times New Roman" w:cs="Times New Roman"/>
          <w:bCs/>
          <w:color w:val="000000" w:themeColor="text1"/>
          <w:sz w:val="24"/>
          <w:szCs w:val="24"/>
        </w:rPr>
        <w:t>ER</w:t>
      </w:r>
      <w:proofErr w:type="gramEnd"/>
      <w:r w:rsidRPr="00F02D79">
        <w:rPr>
          <w:rFonts w:ascii="Times New Roman" w:hAnsi="Times New Roman" w:cs="Times New Roman"/>
          <w:bCs/>
          <w:color w:val="000000" w:themeColor="text1"/>
          <w:sz w:val="24"/>
          <w:szCs w:val="24"/>
        </w:rPr>
        <w:t>AF</w:t>
      </w:r>
      <w:r w:rsidR="00EF428B">
        <w:rPr>
          <w:rFonts w:ascii="Times New Roman" w:hAnsi="Times New Roman" w:cs="Times New Roman"/>
          <w:bCs/>
          <w:color w:val="000000" w:themeColor="text1"/>
          <w:sz w:val="24"/>
          <w:szCs w:val="24"/>
        </w:rPr>
        <w:t xml:space="preserve">, </w:t>
      </w:r>
      <w:r w:rsidRPr="00F02D79">
        <w:rPr>
          <w:rFonts w:ascii="Times New Roman" w:hAnsi="Times New Roman" w:cs="Times New Roman"/>
          <w:bCs/>
          <w:color w:val="000000" w:themeColor="text1"/>
          <w:sz w:val="24"/>
          <w:szCs w:val="24"/>
        </w:rPr>
        <w:t>Kohēzijas fonda</w:t>
      </w:r>
      <w:r w:rsidR="00A47066">
        <w:rPr>
          <w:rFonts w:ascii="Times New Roman" w:hAnsi="Times New Roman" w:cs="Times New Roman"/>
          <w:bCs/>
          <w:color w:val="000000" w:themeColor="text1"/>
          <w:sz w:val="24"/>
          <w:szCs w:val="24"/>
        </w:rPr>
        <w:t xml:space="preserve"> un </w:t>
      </w:r>
      <w:r w:rsidR="00A47066" w:rsidRPr="004705BB">
        <w:rPr>
          <w:rFonts w:ascii="Times New Roman" w:hAnsi="Times New Roman" w:cs="Times New Roman"/>
          <w:bCs/>
          <w:color w:val="000000" w:themeColor="text1"/>
          <w:sz w:val="24"/>
          <w:szCs w:val="24"/>
        </w:rPr>
        <w:t>“Eiropas teritoriālā sadarbība” mērķa programm</w:t>
      </w:r>
      <w:r w:rsidR="00A47066">
        <w:rPr>
          <w:rFonts w:ascii="Times New Roman" w:hAnsi="Times New Roman" w:cs="Times New Roman"/>
          <w:bCs/>
          <w:color w:val="000000" w:themeColor="text1"/>
          <w:sz w:val="24"/>
          <w:szCs w:val="24"/>
        </w:rPr>
        <w:t>u –</w:t>
      </w:r>
      <w:r w:rsidRPr="00F02D79">
        <w:rPr>
          <w:rFonts w:ascii="Times New Roman" w:hAnsi="Times New Roman" w:cs="Times New Roman"/>
          <w:bCs/>
          <w:color w:val="000000" w:themeColor="text1"/>
          <w:sz w:val="24"/>
          <w:szCs w:val="24"/>
        </w:rPr>
        <w:t xml:space="preserve"> finansējums</w:t>
      </w:r>
      <w:r w:rsidR="006F3611">
        <w:rPr>
          <w:rFonts w:ascii="Times New Roman" w:hAnsi="Times New Roman" w:cs="Times New Roman"/>
          <w:bCs/>
          <w:color w:val="000000" w:themeColor="text1"/>
          <w:sz w:val="24"/>
          <w:szCs w:val="24"/>
        </w:rPr>
        <w:t xml:space="preserve"> Vidzemes plānošanas reģionam</w:t>
      </w:r>
      <w:r w:rsidR="00EF428B">
        <w:rPr>
          <w:rFonts w:ascii="Times New Roman" w:hAnsi="Times New Roman" w:cs="Times New Roman"/>
          <w:bCs/>
          <w:color w:val="000000" w:themeColor="text1"/>
          <w:sz w:val="24"/>
          <w:szCs w:val="24"/>
        </w:rPr>
        <w:t xml:space="preserve"> </w:t>
      </w:r>
      <w:r w:rsidR="005A3B2A" w:rsidRPr="008E66BD">
        <w:rPr>
          <w:rFonts w:ascii="Times New Roman" w:hAnsi="Times New Roman" w:cs="Times New Roman"/>
          <w:bCs/>
          <w:color w:val="000000" w:themeColor="text1"/>
          <w:sz w:val="24"/>
          <w:szCs w:val="24"/>
        </w:rPr>
        <w:t>ir</w:t>
      </w:r>
      <w:r w:rsidR="00A47066">
        <w:rPr>
          <w:rFonts w:ascii="Times New Roman" w:hAnsi="Times New Roman" w:cs="Times New Roman"/>
          <w:bCs/>
          <w:color w:val="000000" w:themeColor="text1"/>
          <w:sz w:val="24"/>
          <w:szCs w:val="24"/>
        </w:rPr>
        <w:t xml:space="preserve"> </w:t>
      </w:r>
      <w:r w:rsidR="00A47066" w:rsidRPr="00A47066">
        <w:rPr>
          <w:rFonts w:ascii="Times New Roman" w:hAnsi="Times New Roman" w:cs="Times New Roman"/>
          <w:b/>
          <w:color w:val="000000" w:themeColor="text1"/>
          <w:sz w:val="24"/>
          <w:szCs w:val="24"/>
        </w:rPr>
        <w:t xml:space="preserve">68,56 </w:t>
      </w:r>
      <w:proofErr w:type="spellStart"/>
      <w:r w:rsidR="00A47066" w:rsidRPr="00A47066">
        <w:rPr>
          <w:rFonts w:ascii="Times New Roman" w:hAnsi="Times New Roman" w:cs="Times New Roman"/>
          <w:b/>
          <w:color w:val="000000" w:themeColor="text1"/>
          <w:sz w:val="24"/>
          <w:szCs w:val="24"/>
        </w:rPr>
        <w:t>milj</w:t>
      </w:r>
      <w:r w:rsidR="00A47066">
        <w:rPr>
          <w:rFonts w:ascii="Times New Roman" w:hAnsi="Times New Roman" w:cs="Times New Roman"/>
          <w:bCs/>
          <w:color w:val="000000" w:themeColor="text1"/>
          <w:sz w:val="24"/>
          <w:szCs w:val="24"/>
        </w:rPr>
        <w:t>.</w:t>
      </w:r>
      <w:r w:rsidR="00A47066" w:rsidRPr="00A47066">
        <w:rPr>
          <w:rFonts w:ascii="Times New Roman" w:hAnsi="Times New Roman" w:cs="Times New Roman"/>
          <w:bCs/>
          <w:i/>
          <w:iCs/>
          <w:color w:val="000000" w:themeColor="text1"/>
          <w:sz w:val="24"/>
          <w:szCs w:val="24"/>
        </w:rPr>
        <w:t>euro</w:t>
      </w:r>
      <w:proofErr w:type="spellEnd"/>
      <w:r w:rsidR="00A47066">
        <w:rPr>
          <w:rFonts w:ascii="Times New Roman" w:hAnsi="Times New Roman" w:cs="Times New Roman"/>
          <w:bCs/>
          <w:color w:val="000000" w:themeColor="text1"/>
          <w:sz w:val="24"/>
          <w:szCs w:val="24"/>
        </w:rPr>
        <w:t>.</w:t>
      </w:r>
      <w:r w:rsidR="006F3611">
        <w:rPr>
          <w:rFonts w:ascii="Times New Roman" w:hAnsi="Times New Roman" w:cs="Times New Roman"/>
          <w:bCs/>
          <w:color w:val="000000" w:themeColor="text1"/>
          <w:sz w:val="24"/>
          <w:szCs w:val="24"/>
        </w:rPr>
        <w:t xml:space="preserve"> Tai skaitā </w:t>
      </w:r>
      <w:r w:rsidR="006F3611" w:rsidRPr="007B7291">
        <w:rPr>
          <w:rFonts w:ascii="Times New Roman" w:hAnsi="Times New Roman" w:cs="Times New Roman"/>
          <w:bCs/>
          <w:color w:val="000000" w:themeColor="text1"/>
          <w:sz w:val="24"/>
          <w:szCs w:val="24"/>
        </w:rPr>
        <w:t>SAM</w:t>
      </w:r>
      <w:r w:rsidR="006F3611">
        <w:rPr>
          <w:rFonts w:ascii="Times New Roman" w:hAnsi="Times New Roman" w:cs="Times New Roman"/>
          <w:bCs/>
          <w:color w:val="000000" w:themeColor="text1"/>
          <w:sz w:val="24"/>
          <w:szCs w:val="24"/>
        </w:rPr>
        <w:t xml:space="preserve"> </w:t>
      </w:r>
      <w:r w:rsidR="00CB3506">
        <w:rPr>
          <w:rFonts w:ascii="Times New Roman" w:hAnsi="Times New Roman" w:cs="Times New Roman"/>
          <w:bCs/>
          <w:color w:val="000000" w:themeColor="text1"/>
          <w:sz w:val="24"/>
          <w:szCs w:val="24"/>
        </w:rPr>
        <w:t>reģionālās attīstības un vides investīcij</w:t>
      </w:r>
      <w:r w:rsidR="004931DB">
        <w:rPr>
          <w:rFonts w:ascii="Times New Roman" w:hAnsi="Times New Roman" w:cs="Times New Roman"/>
          <w:bCs/>
          <w:color w:val="000000" w:themeColor="text1"/>
          <w:sz w:val="24"/>
          <w:szCs w:val="24"/>
        </w:rPr>
        <w:t>ām</w:t>
      </w:r>
      <w:r w:rsidR="00CB3506">
        <w:rPr>
          <w:rFonts w:ascii="Times New Roman" w:hAnsi="Times New Roman" w:cs="Times New Roman"/>
          <w:bCs/>
          <w:color w:val="000000" w:themeColor="text1"/>
          <w:sz w:val="24"/>
          <w:szCs w:val="24"/>
        </w:rPr>
        <w:t xml:space="preserve"> </w:t>
      </w:r>
      <w:r w:rsidR="006F3611">
        <w:rPr>
          <w:rFonts w:ascii="Times New Roman" w:hAnsi="Times New Roman" w:cs="Times New Roman"/>
          <w:bCs/>
          <w:color w:val="000000" w:themeColor="text1"/>
          <w:sz w:val="24"/>
          <w:szCs w:val="24"/>
        </w:rPr>
        <w:t>paredzēti</w:t>
      </w:r>
      <w:r w:rsidR="005A3B2A" w:rsidRPr="008E66BD">
        <w:rPr>
          <w:rFonts w:ascii="Times New Roman" w:hAnsi="Times New Roman" w:cs="Times New Roman"/>
          <w:bCs/>
          <w:color w:val="000000" w:themeColor="text1"/>
          <w:sz w:val="24"/>
          <w:szCs w:val="24"/>
        </w:rPr>
        <w:t xml:space="preserve"> </w:t>
      </w:r>
      <w:r w:rsidR="005A3B2A" w:rsidRPr="008E66BD">
        <w:rPr>
          <w:rFonts w:ascii="Times New Roman" w:hAnsi="Times New Roman" w:cs="Times New Roman"/>
          <w:b/>
          <w:color w:val="000000" w:themeColor="text1"/>
          <w:sz w:val="24"/>
          <w:szCs w:val="24"/>
        </w:rPr>
        <w:t>54,76</w:t>
      </w:r>
      <w:r w:rsidR="005A3B2A" w:rsidRPr="00A80966">
        <w:rPr>
          <w:rFonts w:ascii="Times New Roman" w:hAnsi="Times New Roman" w:cs="Times New Roman"/>
          <w:b/>
          <w:color w:val="000000" w:themeColor="text1"/>
          <w:sz w:val="24"/>
          <w:szCs w:val="24"/>
        </w:rPr>
        <w:t xml:space="preserve"> </w:t>
      </w:r>
      <w:proofErr w:type="spellStart"/>
      <w:r w:rsidR="005A3B2A" w:rsidRPr="00A80966">
        <w:rPr>
          <w:rFonts w:ascii="Times New Roman" w:hAnsi="Times New Roman" w:cs="Times New Roman"/>
          <w:b/>
          <w:color w:val="000000" w:themeColor="text1"/>
          <w:sz w:val="24"/>
          <w:szCs w:val="24"/>
        </w:rPr>
        <w:t>milj</w:t>
      </w:r>
      <w:r w:rsidR="005A3B2A" w:rsidRPr="00A80966">
        <w:rPr>
          <w:rFonts w:ascii="Times New Roman" w:hAnsi="Times New Roman" w:cs="Times New Roman"/>
          <w:bCs/>
          <w:color w:val="000000" w:themeColor="text1"/>
          <w:sz w:val="24"/>
          <w:szCs w:val="24"/>
        </w:rPr>
        <w:t>.</w:t>
      </w:r>
      <w:r w:rsidR="00521B49" w:rsidRPr="00521B49">
        <w:rPr>
          <w:rFonts w:ascii="Times New Roman" w:hAnsi="Times New Roman" w:cs="Times New Roman"/>
          <w:bCs/>
          <w:i/>
          <w:color w:val="000000" w:themeColor="text1"/>
          <w:sz w:val="24"/>
          <w:szCs w:val="24"/>
        </w:rPr>
        <w:t>euro</w:t>
      </w:r>
      <w:proofErr w:type="spellEnd"/>
      <w:r w:rsidR="004931DB">
        <w:rPr>
          <w:rFonts w:ascii="Times New Roman" w:hAnsi="Times New Roman" w:cs="Times New Roman"/>
          <w:bCs/>
          <w:color w:val="000000" w:themeColor="text1"/>
          <w:sz w:val="24"/>
          <w:szCs w:val="24"/>
        </w:rPr>
        <w:t xml:space="preserve">, savukārt </w:t>
      </w:r>
      <w:r w:rsidR="004931DB" w:rsidRPr="004705BB">
        <w:rPr>
          <w:rFonts w:ascii="Times New Roman" w:hAnsi="Times New Roman" w:cs="Times New Roman"/>
          <w:bCs/>
          <w:color w:val="000000" w:themeColor="text1"/>
          <w:sz w:val="24"/>
          <w:szCs w:val="24"/>
        </w:rPr>
        <w:t>“Eiropas teritoriālā sadarbība” mērķa programm</w:t>
      </w:r>
      <w:r w:rsidR="004931DB">
        <w:rPr>
          <w:rFonts w:ascii="Times New Roman" w:hAnsi="Times New Roman" w:cs="Times New Roman"/>
          <w:bCs/>
          <w:color w:val="000000" w:themeColor="text1"/>
          <w:sz w:val="24"/>
          <w:szCs w:val="24"/>
        </w:rPr>
        <w:t>ās k</w:t>
      </w:r>
      <w:r w:rsidR="00CB3506" w:rsidRPr="004705BB">
        <w:rPr>
          <w:rFonts w:ascii="Times New Roman" w:hAnsi="Times New Roman" w:cs="Times New Roman"/>
          <w:bCs/>
          <w:color w:val="000000" w:themeColor="text1"/>
          <w:sz w:val="24"/>
          <w:szCs w:val="24"/>
        </w:rPr>
        <w:t xml:space="preserve">opējais piesaistītais ERAF finansējums sadarbības projektu īstenošanai Latvijas partneriem no Vidzemes ir </w:t>
      </w:r>
      <w:r w:rsidR="00CB3506" w:rsidRPr="00DE58A5">
        <w:rPr>
          <w:rFonts w:ascii="Times New Roman" w:hAnsi="Times New Roman" w:cs="Times New Roman"/>
          <w:b/>
          <w:color w:val="000000" w:themeColor="text1"/>
          <w:sz w:val="24"/>
          <w:szCs w:val="24"/>
        </w:rPr>
        <w:t xml:space="preserve">13,8 </w:t>
      </w:r>
      <w:proofErr w:type="spellStart"/>
      <w:r w:rsidR="00CB3506" w:rsidRPr="00DE58A5">
        <w:rPr>
          <w:rFonts w:ascii="Times New Roman" w:hAnsi="Times New Roman" w:cs="Times New Roman"/>
          <w:b/>
          <w:color w:val="000000" w:themeColor="text1"/>
          <w:sz w:val="24"/>
          <w:szCs w:val="24"/>
        </w:rPr>
        <w:t>milj.</w:t>
      </w:r>
      <w:r w:rsidR="00CB3506" w:rsidRPr="00CB3506">
        <w:rPr>
          <w:rFonts w:ascii="Times New Roman" w:hAnsi="Times New Roman" w:cs="Times New Roman"/>
          <w:bCs/>
          <w:i/>
          <w:color w:val="000000" w:themeColor="text1"/>
          <w:sz w:val="24"/>
          <w:szCs w:val="24"/>
        </w:rPr>
        <w:t>euro</w:t>
      </w:r>
      <w:proofErr w:type="spellEnd"/>
      <w:r w:rsidR="004931DB">
        <w:rPr>
          <w:rFonts w:ascii="Times New Roman" w:hAnsi="Times New Roman" w:cs="Times New Roman"/>
          <w:bCs/>
          <w:i/>
          <w:color w:val="000000" w:themeColor="text1"/>
          <w:sz w:val="24"/>
          <w:szCs w:val="24"/>
        </w:rPr>
        <w:t>.</w:t>
      </w:r>
    </w:p>
    <w:p w14:paraId="19A5E046" w14:textId="7BA504E6" w:rsidR="00141BCE" w:rsidRPr="00A80966" w:rsidRDefault="00141BCE" w:rsidP="00141BCE">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Ziņojuma pielikumā pievienoti</w:t>
      </w:r>
      <w:r w:rsidR="00FD4FA9">
        <w:rPr>
          <w:rFonts w:ascii="Times New Roman" w:hAnsi="Times New Roman" w:cs="Times New Roman"/>
          <w:bCs/>
          <w:color w:val="000000" w:themeColor="text1"/>
          <w:sz w:val="24"/>
          <w:szCs w:val="24"/>
        </w:rPr>
        <w:t xml:space="preserve"> Vidzemes uzņēmējdarbības atbalsta infrastruktūras un energoefektivitātes paaugstināšanas</w:t>
      </w:r>
      <w:r>
        <w:rPr>
          <w:rFonts w:ascii="Times New Roman" w:hAnsi="Times New Roman" w:cs="Times New Roman"/>
          <w:bCs/>
          <w:color w:val="000000" w:themeColor="text1"/>
          <w:sz w:val="24"/>
          <w:szCs w:val="24"/>
        </w:rPr>
        <w:t xml:space="preserve"> projektu </w:t>
      </w:r>
      <w:r w:rsidR="00FD4FA9">
        <w:rPr>
          <w:rFonts w:ascii="Times New Roman" w:hAnsi="Times New Roman" w:cs="Times New Roman"/>
          <w:bCs/>
          <w:color w:val="000000" w:themeColor="text1"/>
          <w:sz w:val="24"/>
          <w:szCs w:val="24"/>
        </w:rPr>
        <w:t>piemēri</w:t>
      </w:r>
      <w:r>
        <w:rPr>
          <w:rFonts w:ascii="Times New Roman" w:hAnsi="Times New Roman" w:cs="Times New Roman"/>
          <w:bCs/>
          <w:color w:val="000000" w:themeColor="text1"/>
          <w:sz w:val="24"/>
          <w:szCs w:val="24"/>
        </w:rPr>
        <w:t xml:space="preserve">, kas dod ieskatu reģionālās attīstības, vides un teritoriālās sadarbības </w:t>
      </w:r>
      <w:r w:rsidR="00FD4FA9">
        <w:rPr>
          <w:rFonts w:ascii="Times New Roman" w:hAnsi="Times New Roman" w:cs="Times New Roman"/>
          <w:bCs/>
          <w:color w:val="000000" w:themeColor="text1"/>
          <w:sz w:val="24"/>
          <w:szCs w:val="24"/>
        </w:rPr>
        <w:t>investīciju virzienos</w:t>
      </w:r>
      <w:r>
        <w:rPr>
          <w:rFonts w:ascii="Times New Roman" w:hAnsi="Times New Roman" w:cs="Times New Roman"/>
          <w:bCs/>
          <w:color w:val="000000" w:themeColor="text1"/>
          <w:sz w:val="24"/>
          <w:szCs w:val="24"/>
        </w:rPr>
        <w:t xml:space="preserve">. </w:t>
      </w:r>
    </w:p>
    <w:p w14:paraId="2AE8E8FA" w14:textId="42030739" w:rsidR="001C7955" w:rsidRPr="00314B1D" w:rsidRDefault="00F02D79" w:rsidP="004C46F4">
      <w:pPr>
        <w:pStyle w:val="Virsraksts1"/>
        <w:numPr>
          <w:ilvl w:val="1"/>
          <w:numId w:val="19"/>
        </w:numPr>
        <w:spacing w:after="240"/>
        <w:rPr>
          <w:rFonts w:ascii="Times New Roman" w:hAnsi="Times New Roman" w:cs="Times New Roman"/>
          <w:b/>
          <w:color w:val="auto"/>
          <w:sz w:val="28"/>
          <w:szCs w:val="28"/>
        </w:rPr>
      </w:pPr>
      <w:bookmarkStart w:id="5" w:name="_Hlk23234969"/>
      <w:bookmarkStart w:id="6" w:name="_Toc24034134"/>
      <w:bookmarkEnd w:id="4"/>
      <w:r>
        <w:rPr>
          <w:rFonts w:ascii="Times New Roman" w:hAnsi="Times New Roman" w:cs="Times New Roman"/>
          <w:b/>
          <w:color w:val="auto"/>
          <w:sz w:val="28"/>
          <w:szCs w:val="28"/>
        </w:rPr>
        <w:t>Investīcijas</w:t>
      </w:r>
      <w:r w:rsidR="00E41AB3" w:rsidRPr="00314B1D">
        <w:rPr>
          <w:rFonts w:ascii="Times New Roman" w:hAnsi="Times New Roman" w:cs="Times New Roman"/>
          <w:b/>
          <w:color w:val="auto"/>
          <w:sz w:val="28"/>
          <w:szCs w:val="28"/>
        </w:rPr>
        <w:t xml:space="preserve"> </w:t>
      </w:r>
      <w:bookmarkEnd w:id="5"/>
      <w:r w:rsidR="00E41AB3" w:rsidRPr="00314B1D">
        <w:rPr>
          <w:rFonts w:ascii="Times New Roman" w:hAnsi="Times New Roman" w:cs="Times New Roman"/>
          <w:b/>
          <w:color w:val="auto"/>
          <w:sz w:val="28"/>
          <w:szCs w:val="28"/>
        </w:rPr>
        <w:t>uzņēmējdarbībai</w:t>
      </w:r>
      <w:bookmarkEnd w:id="6"/>
    </w:p>
    <w:p w14:paraId="6ADBDCBE" w14:textId="7D9DC072" w:rsidR="000D36D7" w:rsidRPr="00A80966" w:rsidRDefault="000D36D7" w:rsidP="000D36D7">
      <w:pPr>
        <w:suppressAutoHyphens/>
        <w:spacing w:after="120" w:line="240" w:lineRule="auto"/>
        <w:jc w:val="both"/>
        <w:rPr>
          <w:rFonts w:ascii="Times New Roman" w:hAnsi="Times New Roman" w:cs="Times New Roman"/>
          <w:b/>
          <w:color w:val="000000" w:themeColor="text1"/>
          <w:sz w:val="24"/>
          <w:szCs w:val="24"/>
        </w:rPr>
      </w:pPr>
      <w:r w:rsidRPr="00A80966">
        <w:rPr>
          <w:rFonts w:ascii="Times New Roman" w:hAnsi="Times New Roman" w:cs="Times New Roman"/>
          <w:b/>
          <w:color w:val="000000" w:themeColor="text1"/>
          <w:sz w:val="24"/>
          <w:szCs w:val="24"/>
        </w:rPr>
        <w:t>3.3.1.SAM</w:t>
      </w:r>
      <w:r w:rsidR="00627577" w:rsidRPr="00A80966">
        <w:rPr>
          <w:rStyle w:val="Vresatsauce"/>
          <w:rFonts w:ascii="Times New Roman" w:hAnsi="Times New Roman" w:cs="Times New Roman"/>
          <w:b/>
          <w:color w:val="000000" w:themeColor="text1"/>
          <w:sz w:val="24"/>
          <w:szCs w:val="24"/>
        </w:rPr>
        <w:footnoteReference w:id="1"/>
      </w:r>
      <w:r w:rsidRPr="00A80966">
        <w:rPr>
          <w:rFonts w:ascii="Times New Roman" w:hAnsi="Times New Roman" w:cs="Times New Roman"/>
          <w:b/>
          <w:color w:val="000000" w:themeColor="text1"/>
          <w:sz w:val="24"/>
          <w:szCs w:val="24"/>
        </w:rPr>
        <w:t xml:space="preserve"> un </w:t>
      </w:r>
      <w:r w:rsidRPr="00A80966">
        <w:rPr>
          <w:rFonts w:ascii="Times New Roman" w:eastAsia="Calibri" w:hAnsi="Times New Roman" w:cs="Times New Roman"/>
          <w:b/>
          <w:bCs/>
          <w:sz w:val="24"/>
          <w:szCs w:val="24"/>
          <w:lang w:eastAsia="ar-SA"/>
        </w:rPr>
        <w:t>5.6.2.SAM</w:t>
      </w:r>
      <w:r w:rsidR="00627577" w:rsidRPr="00A80966">
        <w:rPr>
          <w:rStyle w:val="Vresatsauce"/>
          <w:rFonts w:ascii="Times New Roman" w:eastAsia="Calibri" w:hAnsi="Times New Roman" w:cs="Times New Roman"/>
          <w:b/>
          <w:bCs/>
          <w:sz w:val="24"/>
          <w:szCs w:val="24"/>
          <w:lang w:eastAsia="ar-SA"/>
        </w:rPr>
        <w:footnoteReference w:id="2"/>
      </w:r>
      <w:r w:rsidRPr="00A80966">
        <w:rPr>
          <w:rFonts w:ascii="Times New Roman" w:eastAsia="Calibri" w:hAnsi="Times New Roman" w:cs="Times New Roman"/>
          <w:b/>
          <w:bCs/>
          <w:sz w:val="24"/>
          <w:szCs w:val="24"/>
          <w:lang w:eastAsia="ar-SA"/>
        </w:rPr>
        <w:t xml:space="preserve"> </w:t>
      </w:r>
      <w:r w:rsidRPr="00A80966">
        <w:rPr>
          <w:rFonts w:ascii="Times New Roman" w:hAnsi="Times New Roman" w:cs="Times New Roman"/>
          <w:b/>
          <w:color w:val="000000" w:themeColor="text1"/>
          <w:sz w:val="24"/>
          <w:szCs w:val="24"/>
        </w:rPr>
        <w:t>projektu ieviešanas progress</w:t>
      </w:r>
    </w:p>
    <w:p w14:paraId="0FB04EC0" w14:textId="40699028" w:rsidR="000D36D7" w:rsidRPr="00A80966" w:rsidRDefault="000D36D7" w:rsidP="000D36D7">
      <w:pPr>
        <w:pStyle w:val="Sarakstarindkopa"/>
        <w:suppressAutoHyphens/>
        <w:spacing w:after="120"/>
        <w:ind w:left="0"/>
        <w:contextualSpacing w:val="0"/>
        <w:jc w:val="both"/>
        <w:rPr>
          <w:rFonts w:ascii="Times New Roman" w:hAnsi="Times New Roman" w:cs="Times New Roman"/>
          <w:bCs/>
          <w:color w:val="000000" w:themeColor="text1"/>
          <w:sz w:val="24"/>
          <w:szCs w:val="24"/>
        </w:rPr>
      </w:pPr>
      <w:bookmarkStart w:id="7" w:name="_Hlk23313591"/>
      <w:r w:rsidRPr="00A80966">
        <w:rPr>
          <w:rFonts w:ascii="Times New Roman" w:hAnsi="Times New Roman" w:cs="Times New Roman"/>
          <w:bCs/>
          <w:color w:val="000000" w:themeColor="text1"/>
          <w:sz w:val="24"/>
          <w:szCs w:val="24"/>
        </w:rPr>
        <w:t xml:space="preserve">Vidzemes plānošanas reģionā kopumā 3.3.1.SAM un 5.6.2.SAM ietvaros no </w:t>
      </w:r>
      <w:r w:rsidRPr="00A80966">
        <w:rPr>
          <w:rFonts w:ascii="Times New Roman" w:hAnsi="Times New Roman" w:cs="Times New Roman"/>
          <w:b/>
          <w:color w:val="000000" w:themeColor="text1"/>
          <w:sz w:val="24"/>
          <w:szCs w:val="24"/>
        </w:rPr>
        <w:t>26</w:t>
      </w:r>
      <w:r w:rsidR="0058797E">
        <w:rPr>
          <w:rStyle w:val="Vresatsauce"/>
          <w:rFonts w:ascii="Times New Roman" w:hAnsi="Times New Roman" w:cs="Times New Roman"/>
          <w:b/>
          <w:color w:val="000000" w:themeColor="text1"/>
          <w:sz w:val="24"/>
          <w:szCs w:val="24"/>
        </w:rPr>
        <w:footnoteReference w:id="3"/>
      </w:r>
      <w:r w:rsidRPr="00A80966">
        <w:rPr>
          <w:rFonts w:ascii="Times New Roman" w:hAnsi="Times New Roman" w:cs="Times New Roman"/>
          <w:bCs/>
          <w:color w:val="000000" w:themeColor="text1"/>
          <w:sz w:val="24"/>
          <w:szCs w:val="24"/>
        </w:rPr>
        <w:t xml:space="preserve"> pašvaldībām 2014. – 2020.gada plānošanas periodā ES fondu finansējums ir pieejams </w:t>
      </w:r>
      <w:r w:rsidRPr="00A80966">
        <w:rPr>
          <w:rFonts w:ascii="Times New Roman" w:hAnsi="Times New Roman" w:cs="Times New Roman"/>
          <w:b/>
          <w:color w:val="000000" w:themeColor="text1"/>
          <w:sz w:val="24"/>
          <w:szCs w:val="24"/>
        </w:rPr>
        <w:t>15</w:t>
      </w:r>
      <w:r w:rsidRPr="00A80966">
        <w:rPr>
          <w:rFonts w:ascii="Times New Roman" w:hAnsi="Times New Roman" w:cs="Times New Roman"/>
          <w:bCs/>
          <w:color w:val="000000" w:themeColor="text1"/>
          <w:sz w:val="24"/>
          <w:szCs w:val="24"/>
        </w:rPr>
        <w:t xml:space="preserve"> pašvaldībām </w:t>
      </w:r>
      <w:r w:rsidRPr="00A80966">
        <w:rPr>
          <w:rFonts w:ascii="Times New Roman" w:hAnsi="Times New Roman" w:cs="Times New Roman"/>
          <w:b/>
          <w:color w:val="000000" w:themeColor="text1"/>
          <w:sz w:val="24"/>
          <w:szCs w:val="24"/>
        </w:rPr>
        <w:t>46,66</w:t>
      </w:r>
      <w:r w:rsidRPr="00A80966">
        <w:rPr>
          <w:rFonts w:ascii="Times New Roman" w:hAnsi="Times New Roman" w:cs="Times New Roman"/>
          <w:bCs/>
          <w:color w:val="000000" w:themeColor="text1"/>
          <w:sz w:val="24"/>
          <w:szCs w:val="24"/>
        </w:rPr>
        <w:t xml:space="preserve"> </w:t>
      </w:r>
      <w:proofErr w:type="spellStart"/>
      <w:r w:rsidRPr="00FC055B">
        <w:rPr>
          <w:rFonts w:ascii="Times New Roman" w:hAnsi="Times New Roman" w:cs="Times New Roman"/>
          <w:b/>
          <w:color w:val="000000" w:themeColor="text1"/>
          <w:sz w:val="24"/>
          <w:szCs w:val="24"/>
        </w:rPr>
        <w:t>milj</w:t>
      </w:r>
      <w:r w:rsidRPr="00A80966">
        <w:rPr>
          <w:rFonts w:ascii="Times New Roman" w:hAnsi="Times New Roman" w:cs="Times New Roman"/>
          <w:bCs/>
          <w:color w:val="000000" w:themeColor="text1"/>
          <w:sz w:val="24"/>
          <w:szCs w:val="24"/>
        </w:rPr>
        <w:t>.</w:t>
      </w:r>
      <w:r w:rsidRPr="00FC055B">
        <w:rPr>
          <w:rFonts w:ascii="Times New Roman" w:hAnsi="Times New Roman" w:cs="Times New Roman"/>
          <w:bCs/>
          <w:i/>
          <w:iCs/>
          <w:color w:val="000000" w:themeColor="text1"/>
          <w:sz w:val="24"/>
          <w:szCs w:val="24"/>
        </w:rPr>
        <w:t>e</w:t>
      </w:r>
      <w:r w:rsidR="00FC055B" w:rsidRPr="00FC055B">
        <w:rPr>
          <w:rFonts w:ascii="Times New Roman" w:hAnsi="Times New Roman" w:cs="Times New Roman"/>
          <w:bCs/>
          <w:i/>
          <w:iCs/>
          <w:color w:val="000000" w:themeColor="text1"/>
          <w:sz w:val="24"/>
          <w:szCs w:val="24"/>
        </w:rPr>
        <w:t>u</w:t>
      </w:r>
      <w:r w:rsidRPr="00FC055B">
        <w:rPr>
          <w:rFonts w:ascii="Times New Roman" w:hAnsi="Times New Roman" w:cs="Times New Roman"/>
          <w:bCs/>
          <w:i/>
          <w:iCs/>
          <w:color w:val="000000" w:themeColor="text1"/>
          <w:sz w:val="24"/>
          <w:szCs w:val="24"/>
        </w:rPr>
        <w:t>ro</w:t>
      </w:r>
      <w:proofErr w:type="spellEnd"/>
      <w:r w:rsidRPr="00A80966">
        <w:rPr>
          <w:rFonts w:ascii="Times New Roman" w:hAnsi="Times New Roman" w:cs="Times New Roman"/>
          <w:bCs/>
          <w:color w:val="000000" w:themeColor="text1"/>
          <w:sz w:val="24"/>
          <w:szCs w:val="24"/>
        </w:rPr>
        <w:t xml:space="preserve"> apmērā. Pašvaldībām ārpus nacionālas un reģionālas nozīmes centriem bija iespēja pretendēt uz ES fondu finansējumu 3.3.1.SAM </w:t>
      </w:r>
      <w:r w:rsidRPr="00A80966">
        <w:rPr>
          <w:rFonts w:ascii="Times New Roman" w:eastAsia="Times New Roman" w:hAnsi="Times New Roman" w:cs="Times New Roman"/>
          <w:bCs/>
          <w:sz w:val="24"/>
          <w:szCs w:val="24"/>
        </w:rPr>
        <w:t>3.kārtā</w:t>
      </w:r>
      <w:r w:rsidRPr="00A80966">
        <w:rPr>
          <w:rStyle w:val="Vresatsauce"/>
          <w:rFonts w:ascii="Times New Roman" w:eastAsia="Times New Roman" w:hAnsi="Times New Roman" w:cs="Times New Roman"/>
          <w:bCs/>
          <w:sz w:val="24"/>
          <w:szCs w:val="24"/>
        </w:rPr>
        <w:footnoteReference w:id="4"/>
      </w:r>
      <w:r w:rsidRPr="00A80966">
        <w:rPr>
          <w:rFonts w:ascii="Times New Roman" w:eastAsia="Times New Roman" w:hAnsi="Times New Roman" w:cs="Times New Roman"/>
          <w:bCs/>
          <w:sz w:val="24"/>
          <w:szCs w:val="24"/>
        </w:rPr>
        <w:t xml:space="preserve">, tomēr </w:t>
      </w:r>
      <w:r w:rsidRPr="00A80966">
        <w:rPr>
          <w:rFonts w:ascii="Times New Roman" w:hAnsi="Times New Roman" w:cs="Times New Roman"/>
          <w:b/>
          <w:color w:val="000000" w:themeColor="text1"/>
          <w:sz w:val="24"/>
          <w:szCs w:val="24"/>
        </w:rPr>
        <w:t>11</w:t>
      </w:r>
      <w:r w:rsidRPr="00A80966">
        <w:rPr>
          <w:rFonts w:ascii="Times New Roman" w:hAnsi="Times New Roman" w:cs="Times New Roman"/>
          <w:bCs/>
          <w:color w:val="000000" w:themeColor="text1"/>
          <w:sz w:val="24"/>
          <w:szCs w:val="24"/>
        </w:rPr>
        <w:t xml:space="preserve"> pašvaldības (visas pašvaldības ārpus nacionālas un reģionālas nozīmes centriem) projektu priekšatlasē vai nu nepiedalījās (</w:t>
      </w:r>
      <w:r w:rsidR="00C64D55">
        <w:rPr>
          <w:rFonts w:ascii="Times New Roman" w:hAnsi="Times New Roman" w:cs="Times New Roman"/>
          <w:bCs/>
          <w:color w:val="000000" w:themeColor="text1"/>
          <w:sz w:val="24"/>
          <w:szCs w:val="24"/>
        </w:rPr>
        <w:t>sešas</w:t>
      </w:r>
      <w:r w:rsidRPr="00A80966">
        <w:rPr>
          <w:rFonts w:ascii="Times New Roman" w:hAnsi="Times New Roman" w:cs="Times New Roman"/>
          <w:bCs/>
          <w:color w:val="000000" w:themeColor="text1"/>
          <w:sz w:val="24"/>
          <w:szCs w:val="24"/>
        </w:rPr>
        <w:t xml:space="preserve"> pašvaldības), vai arī neiekļuva to pašvaldību sarakstā, kuru projektiem atbilstoši efektivitātes rādītājiem tika piešķirts finansējums </w:t>
      </w:r>
      <w:r w:rsidR="007774B3" w:rsidRPr="00A80966">
        <w:rPr>
          <w:rFonts w:ascii="Times New Roman" w:hAnsi="Times New Roman" w:cs="Times New Roman"/>
          <w:bCs/>
          <w:color w:val="000000" w:themeColor="text1"/>
          <w:sz w:val="24"/>
          <w:szCs w:val="24"/>
        </w:rPr>
        <w:t>(</w:t>
      </w:r>
      <w:r w:rsidR="00C64D55">
        <w:rPr>
          <w:rFonts w:ascii="Times New Roman" w:hAnsi="Times New Roman" w:cs="Times New Roman"/>
          <w:bCs/>
          <w:color w:val="000000" w:themeColor="text1"/>
          <w:sz w:val="24"/>
          <w:szCs w:val="24"/>
        </w:rPr>
        <w:t>piecas</w:t>
      </w:r>
      <w:r w:rsidRPr="00A80966">
        <w:rPr>
          <w:rFonts w:ascii="Times New Roman" w:hAnsi="Times New Roman" w:cs="Times New Roman"/>
          <w:bCs/>
          <w:color w:val="000000" w:themeColor="text1"/>
          <w:sz w:val="24"/>
          <w:szCs w:val="24"/>
        </w:rPr>
        <w:t xml:space="preserve"> pašvaldības).</w:t>
      </w:r>
    </w:p>
    <w:p w14:paraId="79C9DA9D" w14:textId="27EF395D" w:rsidR="000D36D7" w:rsidRPr="00A80966" w:rsidRDefault="000D36D7" w:rsidP="000D36D7">
      <w:pPr>
        <w:pStyle w:val="Sarakstarindkopa"/>
        <w:suppressAutoHyphens/>
        <w:spacing w:after="120"/>
        <w:ind w:left="0"/>
        <w:contextualSpacing w:val="0"/>
        <w:jc w:val="both"/>
        <w:rPr>
          <w:rFonts w:ascii="Times New Roman" w:hAnsi="Times New Roman" w:cs="Times New Roman"/>
          <w:bCs/>
          <w:color w:val="000000" w:themeColor="text1"/>
          <w:sz w:val="24"/>
          <w:szCs w:val="24"/>
        </w:rPr>
      </w:pPr>
      <w:bookmarkStart w:id="8" w:name="_Hlk23316289"/>
      <w:bookmarkEnd w:id="7"/>
      <w:r w:rsidRPr="00A80966">
        <w:rPr>
          <w:rFonts w:ascii="Times New Roman" w:hAnsi="Times New Roman" w:cs="Times New Roman"/>
          <w:bCs/>
          <w:color w:val="000000" w:themeColor="text1"/>
          <w:sz w:val="24"/>
          <w:szCs w:val="24"/>
        </w:rPr>
        <w:t>Līdz šim</w:t>
      </w:r>
      <w:r w:rsidRPr="00A80966">
        <w:rPr>
          <w:rFonts w:ascii="Times New Roman" w:hAnsi="Times New Roman" w:cs="Times New Roman"/>
          <w:sz w:val="24"/>
          <w:szCs w:val="24"/>
        </w:rPr>
        <w:t xml:space="preserve"> ir iesniegti, apstiprināti projekti vai arī noslēgti līgumi par </w:t>
      </w:r>
      <w:r w:rsidRPr="00A80966">
        <w:rPr>
          <w:rFonts w:ascii="Times New Roman" w:hAnsi="Times New Roman" w:cs="Times New Roman"/>
          <w:b/>
          <w:bCs/>
          <w:sz w:val="24"/>
          <w:szCs w:val="24"/>
        </w:rPr>
        <w:t>64</w:t>
      </w:r>
      <w:r w:rsidRPr="00A80966">
        <w:rPr>
          <w:rFonts w:ascii="Times New Roman" w:hAnsi="Times New Roman" w:cs="Times New Roman"/>
          <w:sz w:val="24"/>
          <w:szCs w:val="24"/>
        </w:rPr>
        <w:t xml:space="preserve"> projektu īstenošanu par 39,25 </w:t>
      </w:r>
      <w:proofErr w:type="spellStart"/>
      <w:r w:rsidRPr="00A80966">
        <w:rPr>
          <w:rFonts w:ascii="Times New Roman" w:hAnsi="Times New Roman" w:cs="Times New Roman"/>
          <w:sz w:val="24"/>
          <w:szCs w:val="24"/>
        </w:rPr>
        <w:t>milj.</w:t>
      </w:r>
      <w:r w:rsidR="00521B49" w:rsidRPr="00521B49">
        <w:rPr>
          <w:rFonts w:ascii="Times New Roman" w:hAnsi="Times New Roman" w:cs="Times New Roman"/>
          <w:i/>
          <w:sz w:val="24"/>
          <w:szCs w:val="24"/>
        </w:rPr>
        <w:t>euro</w:t>
      </w:r>
      <w:proofErr w:type="spellEnd"/>
      <w:r w:rsidRPr="00A80966">
        <w:rPr>
          <w:rFonts w:ascii="Times New Roman" w:hAnsi="Times New Roman" w:cs="Times New Roman"/>
          <w:sz w:val="24"/>
          <w:szCs w:val="24"/>
        </w:rPr>
        <w:t xml:space="preserve"> (84%), tai skaitā iesniegti </w:t>
      </w:r>
      <w:r w:rsidRPr="00A80966">
        <w:rPr>
          <w:rFonts w:ascii="Times New Roman" w:hAnsi="Times New Roman" w:cs="Times New Roman"/>
          <w:b/>
          <w:bCs/>
          <w:sz w:val="24"/>
          <w:szCs w:val="24"/>
        </w:rPr>
        <w:t>četr</w:t>
      </w:r>
      <w:r w:rsidR="00303C67">
        <w:rPr>
          <w:rFonts w:ascii="Times New Roman" w:hAnsi="Times New Roman" w:cs="Times New Roman"/>
          <w:b/>
          <w:bCs/>
          <w:sz w:val="24"/>
          <w:szCs w:val="24"/>
        </w:rPr>
        <w:t>i</w:t>
      </w:r>
      <w:r w:rsidRPr="00A80966">
        <w:rPr>
          <w:rFonts w:ascii="Times New Roman" w:hAnsi="Times New Roman" w:cs="Times New Roman"/>
          <w:sz w:val="24"/>
          <w:szCs w:val="24"/>
        </w:rPr>
        <w:t xml:space="preserve"> projektu iesniegumi par 5,33 </w:t>
      </w:r>
      <w:proofErr w:type="spellStart"/>
      <w:r w:rsidRPr="00A80966">
        <w:rPr>
          <w:rFonts w:ascii="Times New Roman" w:hAnsi="Times New Roman" w:cs="Times New Roman"/>
          <w:sz w:val="24"/>
          <w:szCs w:val="24"/>
        </w:rPr>
        <w:t>milj.</w:t>
      </w:r>
      <w:r w:rsidR="00521B49" w:rsidRPr="00521B49">
        <w:rPr>
          <w:rFonts w:ascii="Times New Roman" w:hAnsi="Times New Roman" w:cs="Times New Roman"/>
          <w:i/>
          <w:sz w:val="24"/>
          <w:szCs w:val="24"/>
        </w:rPr>
        <w:t>euro</w:t>
      </w:r>
      <w:proofErr w:type="spellEnd"/>
      <w:r w:rsidRPr="00A80966">
        <w:rPr>
          <w:rFonts w:ascii="Times New Roman" w:hAnsi="Times New Roman" w:cs="Times New Roman"/>
          <w:sz w:val="24"/>
          <w:szCs w:val="24"/>
        </w:rPr>
        <w:t xml:space="preserve"> (11%), apstiprināti </w:t>
      </w:r>
      <w:r w:rsidRPr="00A80966">
        <w:rPr>
          <w:rFonts w:ascii="Times New Roman" w:hAnsi="Times New Roman" w:cs="Times New Roman"/>
          <w:b/>
          <w:bCs/>
          <w:sz w:val="24"/>
          <w:szCs w:val="24"/>
        </w:rPr>
        <w:t>pieci</w:t>
      </w:r>
      <w:r w:rsidRPr="00A80966">
        <w:rPr>
          <w:rFonts w:ascii="Times New Roman" w:hAnsi="Times New Roman" w:cs="Times New Roman"/>
          <w:sz w:val="24"/>
          <w:szCs w:val="24"/>
        </w:rPr>
        <w:t xml:space="preserve"> projekti par 4,32 </w:t>
      </w:r>
      <w:proofErr w:type="spellStart"/>
      <w:r w:rsidRPr="00A80966">
        <w:rPr>
          <w:rFonts w:ascii="Times New Roman" w:hAnsi="Times New Roman" w:cs="Times New Roman"/>
          <w:sz w:val="24"/>
          <w:szCs w:val="24"/>
        </w:rPr>
        <w:t>milj.</w:t>
      </w:r>
      <w:r w:rsidR="00521B49" w:rsidRPr="00521B49">
        <w:rPr>
          <w:rFonts w:ascii="Times New Roman" w:hAnsi="Times New Roman" w:cs="Times New Roman"/>
          <w:i/>
          <w:sz w:val="24"/>
          <w:szCs w:val="24"/>
        </w:rPr>
        <w:t>euro</w:t>
      </w:r>
      <w:proofErr w:type="spellEnd"/>
      <w:r w:rsidRPr="00A80966">
        <w:rPr>
          <w:rFonts w:ascii="Times New Roman" w:hAnsi="Times New Roman" w:cs="Times New Roman"/>
          <w:sz w:val="24"/>
          <w:szCs w:val="24"/>
        </w:rPr>
        <w:t xml:space="preserve"> (9%), noslēgti </w:t>
      </w:r>
      <w:r w:rsidRPr="00A80966">
        <w:rPr>
          <w:rFonts w:ascii="Times New Roman" w:hAnsi="Times New Roman" w:cs="Times New Roman"/>
          <w:b/>
          <w:bCs/>
          <w:sz w:val="24"/>
          <w:szCs w:val="24"/>
        </w:rPr>
        <w:t>29</w:t>
      </w:r>
      <w:r w:rsidRPr="00A80966">
        <w:rPr>
          <w:rFonts w:ascii="Times New Roman" w:hAnsi="Times New Roman" w:cs="Times New Roman"/>
          <w:sz w:val="24"/>
          <w:szCs w:val="24"/>
        </w:rPr>
        <w:t xml:space="preserve"> līgumi par projekt</w:t>
      </w:r>
      <w:r w:rsidR="00303C67">
        <w:rPr>
          <w:rFonts w:ascii="Times New Roman" w:hAnsi="Times New Roman" w:cs="Times New Roman"/>
          <w:sz w:val="24"/>
          <w:szCs w:val="24"/>
        </w:rPr>
        <w:t>u</w:t>
      </w:r>
      <w:r w:rsidRPr="00A80966">
        <w:rPr>
          <w:rFonts w:ascii="Times New Roman" w:hAnsi="Times New Roman" w:cs="Times New Roman"/>
          <w:sz w:val="24"/>
          <w:szCs w:val="24"/>
        </w:rPr>
        <w:t xml:space="preserve"> īstenošanu par </w:t>
      </w:r>
      <w:r w:rsidRPr="00FC055B">
        <w:rPr>
          <w:rFonts w:ascii="Times New Roman" w:hAnsi="Times New Roman" w:cs="Times New Roman"/>
          <w:b/>
          <w:bCs/>
          <w:sz w:val="24"/>
          <w:szCs w:val="24"/>
        </w:rPr>
        <w:t xml:space="preserve">18,55 </w:t>
      </w:r>
      <w:proofErr w:type="spellStart"/>
      <w:r w:rsidRPr="00FC055B">
        <w:rPr>
          <w:rFonts w:ascii="Times New Roman" w:hAnsi="Times New Roman" w:cs="Times New Roman"/>
          <w:b/>
          <w:bCs/>
          <w:sz w:val="24"/>
          <w:szCs w:val="24"/>
        </w:rPr>
        <w:t>milj</w:t>
      </w:r>
      <w:r w:rsidRPr="00A80966">
        <w:rPr>
          <w:rFonts w:ascii="Times New Roman" w:hAnsi="Times New Roman" w:cs="Times New Roman"/>
          <w:sz w:val="24"/>
          <w:szCs w:val="24"/>
        </w:rPr>
        <w:t>.</w:t>
      </w:r>
      <w:r w:rsidR="00521B49" w:rsidRPr="00521B49">
        <w:rPr>
          <w:rFonts w:ascii="Times New Roman" w:hAnsi="Times New Roman" w:cs="Times New Roman"/>
          <w:i/>
          <w:sz w:val="24"/>
          <w:szCs w:val="24"/>
        </w:rPr>
        <w:t>euro</w:t>
      </w:r>
      <w:proofErr w:type="spellEnd"/>
      <w:r w:rsidRPr="00A80966">
        <w:rPr>
          <w:rFonts w:ascii="Times New Roman" w:hAnsi="Times New Roman" w:cs="Times New Roman"/>
          <w:sz w:val="24"/>
          <w:szCs w:val="24"/>
        </w:rPr>
        <w:t xml:space="preserve"> </w:t>
      </w:r>
      <w:r w:rsidRPr="00A80966">
        <w:rPr>
          <w:rFonts w:ascii="Times New Roman" w:hAnsi="Times New Roman" w:cs="Times New Roman"/>
          <w:sz w:val="24"/>
          <w:szCs w:val="24"/>
        </w:rPr>
        <w:lastRenderedPageBreak/>
        <w:t xml:space="preserve">(40%), bet pabeigti </w:t>
      </w:r>
      <w:r w:rsidRPr="00A80966">
        <w:rPr>
          <w:rFonts w:ascii="Times New Roman" w:hAnsi="Times New Roman" w:cs="Times New Roman"/>
          <w:b/>
          <w:bCs/>
          <w:sz w:val="24"/>
          <w:szCs w:val="24"/>
        </w:rPr>
        <w:t>2</w:t>
      </w:r>
      <w:r w:rsidR="00A80966" w:rsidRPr="00A80966">
        <w:rPr>
          <w:rFonts w:ascii="Times New Roman" w:hAnsi="Times New Roman" w:cs="Times New Roman"/>
          <w:b/>
          <w:bCs/>
          <w:sz w:val="24"/>
          <w:szCs w:val="24"/>
        </w:rPr>
        <w:t>6</w:t>
      </w:r>
      <w:r w:rsidRPr="00A80966">
        <w:rPr>
          <w:rFonts w:ascii="Times New Roman" w:hAnsi="Times New Roman" w:cs="Times New Roman"/>
          <w:sz w:val="24"/>
          <w:szCs w:val="24"/>
        </w:rPr>
        <w:t xml:space="preserve"> projekti par </w:t>
      </w:r>
      <w:r w:rsidR="00A80966" w:rsidRPr="00FC055B">
        <w:rPr>
          <w:rFonts w:ascii="Times New Roman" w:hAnsi="Times New Roman" w:cs="Times New Roman"/>
          <w:b/>
          <w:bCs/>
          <w:sz w:val="24"/>
          <w:szCs w:val="24"/>
        </w:rPr>
        <w:t>11,04</w:t>
      </w:r>
      <w:r w:rsidRPr="00FC055B">
        <w:rPr>
          <w:rFonts w:ascii="Times New Roman" w:hAnsi="Times New Roman" w:cs="Times New Roman"/>
          <w:b/>
          <w:bCs/>
          <w:sz w:val="24"/>
          <w:szCs w:val="24"/>
        </w:rPr>
        <w:t xml:space="preserve"> </w:t>
      </w:r>
      <w:proofErr w:type="spellStart"/>
      <w:r w:rsidRPr="00FC055B">
        <w:rPr>
          <w:rFonts w:ascii="Times New Roman" w:hAnsi="Times New Roman" w:cs="Times New Roman"/>
          <w:b/>
          <w:bCs/>
          <w:sz w:val="24"/>
          <w:szCs w:val="24"/>
        </w:rPr>
        <w:t>milj</w:t>
      </w:r>
      <w:r w:rsidRPr="00A80966">
        <w:rPr>
          <w:rFonts w:ascii="Times New Roman" w:hAnsi="Times New Roman" w:cs="Times New Roman"/>
          <w:sz w:val="24"/>
          <w:szCs w:val="24"/>
        </w:rPr>
        <w:t>.</w:t>
      </w:r>
      <w:r w:rsidR="00521B49" w:rsidRPr="00521B49">
        <w:rPr>
          <w:rFonts w:ascii="Times New Roman" w:hAnsi="Times New Roman" w:cs="Times New Roman"/>
          <w:i/>
          <w:iCs/>
          <w:sz w:val="24"/>
          <w:szCs w:val="24"/>
        </w:rPr>
        <w:t>euro</w:t>
      </w:r>
      <w:proofErr w:type="spellEnd"/>
      <w:r w:rsidRPr="00A80966">
        <w:rPr>
          <w:rFonts w:ascii="Times New Roman" w:hAnsi="Times New Roman" w:cs="Times New Roman"/>
          <w:sz w:val="24"/>
          <w:szCs w:val="24"/>
        </w:rPr>
        <w:t xml:space="preserve"> (2</w:t>
      </w:r>
      <w:r w:rsidR="00A80966" w:rsidRPr="00A80966">
        <w:rPr>
          <w:rFonts w:ascii="Times New Roman" w:hAnsi="Times New Roman" w:cs="Times New Roman"/>
          <w:sz w:val="24"/>
          <w:szCs w:val="24"/>
        </w:rPr>
        <w:t>4</w:t>
      </w:r>
      <w:r w:rsidRPr="00A80966">
        <w:rPr>
          <w:rFonts w:ascii="Times New Roman" w:hAnsi="Times New Roman" w:cs="Times New Roman"/>
          <w:sz w:val="24"/>
          <w:szCs w:val="24"/>
        </w:rPr>
        <w:t xml:space="preserve">%). Vēl nav iesniegti plānotie projektu iesniegumi par </w:t>
      </w:r>
      <w:r w:rsidR="00A80966" w:rsidRPr="00FC055B">
        <w:rPr>
          <w:rFonts w:ascii="Times New Roman" w:hAnsi="Times New Roman" w:cs="Times New Roman"/>
          <w:b/>
          <w:bCs/>
          <w:sz w:val="24"/>
          <w:szCs w:val="24"/>
        </w:rPr>
        <w:t>7,41</w:t>
      </w:r>
      <w:r w:rsidRPr="00FC055B">
        <w:rPr>
          <w:rFonts w:ascii="Times New Roman" w:hAnsi="Times New Roman" w:cs="Times New Roman"/>
          <w:b/>
          <w:bCs/>
          <w:sz w:val="24"/>
          <w:szCs w:val="24"/>
        </w:rPr>
        <w:t xml:space="preserve"> </w:t>
      </w:r>
      <w:proofErr w:type="spellStart"/>
      <w:r w:rsidRPr="00FC055B">
        <w:rPr>
          <w:rFonts w:ascii="Times New Roman" w:hAnsi="Times New Roman" w:cs="Times New Roman"/>
          <w:b/>
          <w:bCs/>
          <w:sz w:val="24"/>
          <w:szCs w:val="24"/>
        </w:rPr>
        <w:t>milj</w:t>
      </w:r>
      <w:r w:rsidRPr="00A80966">
        <w:rPr>
          <w:rFonts w:ascii="Times New Roman" w:hAnsi="Times New Roman" w:cs="Times New Roman"/>
          <w:sz w:val="24"/>
          <w:szCs w:val="24"/>
        </w:rPr>
        <w:t>.</w:t>
      </w:r>
      <w:r w:rsidR="00521B49" w:rsidRPr="00521B49">
        <w:rPr>
          <w:rFonts w:ascii="Times New Roman" w:hAnsi="Times New Roman" w:cs="Times New Roman"/>
          <w:i/>
          <w:sz w:val="24"/>
          <w:szCs w:val="24"/>
        </w:rPr>
        <w:t>euro</w:t>
      </w:r>
      <w:proofErr w:type="spellEnd"/>
      <w:r w:rsidRPr="00A80966">
        <w:rPr>
          <w:rFonts w:ascii="Times New Roman" w:hAnsi="Times New Roman" w:cs="Times New Roman"/>
          <w:sz w:val="24"/>
          <w:szCs w:val="24"/>
        </w:rPr>
        <w:t xml:space="preserve"> (</w:t>
      </w:r>
      <w:r w:rsidR="00A80966" w:rsidRPr="00A80966">
        <w:rPr>
          <w:rFonts w:ascii="Times New Roman" w:hAnsi="Times New Roman" w:cs="Times New Roman"/>
          <w:sz w:val="24"/>
          <w:szCs w:val="24"/>
        </w:rPr>
        <w:t>16</w:t>
      </w:r>
      <w:r w:rsidRPr="00A80966">
        <w:rPr>
          <w:rFonts w:ascii="Times New Roman" w:hAnsi="Times New Roman" w:cs="Times New Roman"/>
          <w:sz w:val="24"/>
          <w:szCs w:val="24"/>
        </w:rPr>
        <w:t>%).</w:t>
      </w:r>
    </w:p>
    <w:bookmarkEnd w:id="8"/>
    <w:p w14:paraId="4FD4A216" w14:textId="15A72ABB" w:rsidR="000D36D7" w:rsidRDefault="000D36D7" w:rsidP="000D36D7">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sidRPr="00A80966">
        <w:rPr>
          <w:rFonts w:ascii="Times New Roman" w:hAnsi="Times New Roman" w:cs="Times New Roman"/>
          <w:bCs/>
          <w:color w:val="000000" w:themeColor="text1"/>
          <w:sz w:val="24"/>
          <w:szCs w:val="24"/>
        </w:rPr>
        <w:t>Salīdzinājumā ar pārējiem plānošanas reģioniem Vidzemes plānošanas reģiona projektu īstenošanas progress ir viens no labākajiem, un Vidzemes plānošanas reģiona pašvaldībām ir relatīvi vislielākais noslēgto līgumu un pabeigto projektu apjoms (71%) (</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Pr="00BE245A">
        <w:rPr>
          <w:rFonts w:ascii="Times New Roman" w:hAnsi="Times New Roman" w:cs="Times New Roman"/>
          <w:bCs/>
          <w:i/>
          <w:iCs/>
          <w:color w:val="000000" w:themeColor="text1"/>
          <w:sz w:val="24"/>
          <w:szCs w:val="24"/>
        </w:rPr>
        <w:t>ttēlu</w:t>
      </w:r>
      <w:r w:rsidR="004828EA">
        <w:rPr>
          <w:rFonts w:ascii="Times New Roman" w:hAnsi="Times New Roman" w:cs="Times New Roman"/>
          <w:bCs/>
          <w:i/>
          <w:iCs/>
          <w:color w:val="000000" w:themeColor="text1"/>
          <w:sz w:val="24"/>
          <w:szCs w:val="24"/>
        </w:rPr>
        <w:t xml:space="preserve"> Nr.8</w:t>
      </w:r>
      <w:r w:rsidRPr="00A80966">
        <w:rPr>
          <w:rFonts w:ascii="Times New Roman" w:hAnsi="Times New Roman" w:cs="Times New Roman"/>
          <w:bCs/>
          <w:color w:val="000000" w:themeColor="text1"/>
          <w:sz w:val="24"/>
          <w:szCs w:val="24"/>
        </w:rPr>
        <w:t>).</w:t>
      </w:r>
    </w:p>
    <w:p w14:paraId="4C684B67" w14:textId="2C79B239" w:rsidR="00BE245A" w:rsidRPr="00BE245A" w:rsidRDefault="00BE245A" w:rsidP="00BE245A">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w:t>
      </w:r>
      <w:r>
        <w:rPr>
          <w:rFonts w:ascii="Times New Roman" w:eastAsia="Times New Roman" w:hAnsi="Times New Roman" w:cs="Times New Roman"/>
          <w:bCs/>
          <w:i/>
          <w:sz w:val="24"/>
          <w:szCs w:val="24"/>
          <w:lang w:eastAsia="lv-LV"/>
        </w:rPr>
        <w:t>8</w:t>
      </w:r>
    </w:p>
    <w:p w14:paraId="1C019672" w14:textId="09EF93A5" w:rsidR="00FE56A8" w:rsidRDefault="009D081F" w:rsidP="00974433">
      <w:pPr>
        <w:suppressAutoHyphens/>
        <w:spacing w:after="120" w:line="240" w:lineRule="auto"/>
        <w:jc w:val="both"/>
        <w:rPr>
          <w:rFonts w:ascii="Times New Roman" w:hAnsi="Times New Roman" w:cs="Times New Roman"/>
          <w:b/>
          <w:color w:val="000000" w:themeColor="text1"/>
          <w:sz w:val="24"/>
          <w:szCs w:val="24"/>
        </w:rPr>
      </w:pPr>
      <w:bookmarkStart w:id="9" w:name="_Hlk23235044"/>
      <w:r>
        <w:rPr>
          <w:noProof/>
          <w:lang w:eastAsia="lv-LV"/>
        </w:rPr>
        <w:drawing>
          <wp:inline distT="0" distB="0" distL="0" distR="0" wp14:anchorId="46FFDFF5" wp14:editId="762BFD52">
            <wp:extent cx="4906218" cy="316628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6218" cy="3166281"/>
                    </a:xfrm>
                    <a:prstGeom prst="rect">
                      <a:avLst/>
                    </a:prstGeom>
                  </pic:spPr>
                </pic:pic>
              </a:graphicData>
            </a:graphic>
          </wp:inline>
        </w:drawing>
      </w:r>
    </w:p>
    <w:p w14:paraId="5279A881" w14:textId="5F8B9BE9" w:rsidR="009D081F" w:rsidRDefault="009D081F" w:rsidP="00974433">
      <w:pPr>
        <w:suppressAutoHyphens/>
        <w:spacing w:after="120" w:line="240" w:lineRule="auto"/>
        <w:jc w:val="both"/>
        <w:rPr>
          <w:rFonts w:ascii="Times New Roman" w:hAnsi="Times New Roman" w:cs="Times New Roman"/>
          <w:b/>
          <w:color w:val="000000" w:themeColor="text1"/>
          <w:sz w:val="24"/>
          <w:szCs w:val="24"/>
        </w:rPr>
      </w:pPr>
    </w:p>
    <w:p w14:paraId="6C41CC06" w14:textId="3BE003E1" w:rsidR="00186060" w:rsidRPr="00A80966" w:rsidRDefault="00186060" w:rsidP="00974433">
      <w:pPr>
        <w:suppressAutoHyphens/>
        <w:spacing w:after="120" w:line="240" w:lineRule="auto"/>
        <w:jc w:val="both"/>
        <w:rPr>
          <w:rFonts w:ascii="Times New Roman" w:hAnsi="Times New Roman" w:cs="Times New Roman"/>
          <w:b/>
          <w:color w:val="000000" w:themeColor="text1"/>
          <w:sz w:val="24"/>
          <w:szCs w:val="24"/>
        </w:rPr>
      </w:pPr>
      <w:r w:rsidRPr="00A80966">
        <w:rPr>
          <w:rFonts w:ascii="Times New Roman" w:hAnsi="Times New Roman" w:cs="Times New Roman"/>
          <w:b/>
          <w:color w:val="000000" w:themeColor="text1"/>
          <w:sz w:val="24"/>
          <w:szCs w:val="24"/>
        </w:rPr>
        <w:t xml:space="preserve">Sasniedzamo iznākuma rādītāju statuss </w:t>
      </w:r>
    </w:p>
    <w:bookmarkEnd w:id="9"/>
    <w:p w14:paraId="712BFA15" w14:textId="31AFD500" w:rsidR="00E35DFF" w:rsidRPr="00A80966" w:rsidRDefault="00186060" w:rsidP="00FB538A">
      <w:pPr>
        <w:pStyle w:val="Sarakstarindkopa"/>
        <w:suppressAutoHyphens/>
        <w:spacing w:after="0"/>
        <w:ind w:left="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MK noteikumos Nr.593</w:t>
      </w:r>
      <w:r w:rsidRPr="00A80966">
        <w:rPr>
          <w:rStyle w:val="Vresatsauce"/>
          <w:rFonts w:ascii="Times New Roman" w:hAnsi="Times New Roman" w:cs="Times New Roman"/>
          <w:color w:val="000000" w:themeColor="text1"/>
          <w:sz w:val="24"/>
          <w:szCs w:val="24"/>
        </w:rPr>
        <w:footnoteReference w:id="5"/>
      </w:r>
      <w:r w:rsidRPr="00A80966">
        <w:rPr>
          <w:rFonts w:ascii="Times New Roman" w:hAnsi="Times New Roman" w:cs="Times New Roman"/>
          <w:color w:val="000000" w:themeColor="text1"/>
          <w:sz w:val="24"/>
          <w:szCs w:val="24"/>
        </w:rPr>
        <w:t xml:space="preserve"> </w:t>
      </w:r>
      <w:r w:rsidR="00E35DFF" w:rsidRPr="00A80966">
        <w:rPr>
          <w:rFonts w:ascii="Times New Roman" w:hAnsi="Times New Roman" w:cs="Times New Roman"/>
          <w:color w:val="000000" w:themeColor="text1"/>
          <w:sz w:val="24"/>
          <w:szCs w:val="24"/>
        </w:rPr>
        <w:t>un MK noteikumos Nr.645</w:t>
      </w:r>
      <w:r w:rsidR="00E35DFF" w:rsidRPr="00A80966">
        <w:rPr>
          <w:rStyle w:val="Vresatsauce"/>
          <w:rFonts w:ascii="Times New Roman" w:hAnsi="Times New Roman" w:cs="Times New Roman"/>
          <w:color w:val="000000" w:themeColor="text1"/>
          <w:sz w:val="24"/>
          <w:szCs w:val="24"/>
        </w:rPr>
        <w:footnoteReference w:id="6"/>
      </w:r>
      <w:r w:rsidR="00E35DFF" w:rsidRPr="00A80966">
        <w:rPr>
          <w:rFonts w:ascii="Times New Roman" w:hAnsi="Times New Roman" w:cs="Times New Roman"/>
          <w:color w:val="000000" w:themeColor="text1"/>
          <w:sz w:val="24"/>
          <w:szCs w:val="24"/>
        </w:rPr>
        <w:t xml:space="preserve"> ir noteikts šāds sasniedzamo iznākuma rādītāju apjoms:</w:t>
      </w:r>
    </w:p>
    <w:p w14:paraId="2D7C4552" w14:textId="4EEAB26E" w:rsidR="00E35DFF" w:rsidRPr="00A80966" w:rsidRDefault="00FB538A" w:rsidP="00FB538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a</w:t>
      </w:r>
      <w:r w:rsidR="00E35DFF" w:rsidRPr="00A80966">
        <w:rPr>
          <w:rFonts w:ascii="Times New Roman" w:hAnsi="Times New Roman" w:cs="Times New Roman"/>
          <w:color w:val="000000" w:themeColor="text1"/>
          <w:sz w:val="24"/>
          <w:szCs w:val="24"/>
        </w:rPr>
        <w:t>tbalstīto komersantu skaits – 202 komersanti</w:t>
      </w:r>
      <w:r w:rsidR="00B4653B">
        <w:rPr>
          <w:rFonts w:ascii="Times New Roman" w:hAnsi="Times New Roman" w:cs="Times New Roman"/>
          <w:color w:val="000000" w:themeColor="text1"/>
          <w:sz w:val="24"/>
          <w:szCs w:val="24"/>
        </w:rPr>
        <w:t xml:space="preserve"> (Vidzemes plānošanas reģionam – 34 komersanti)</w:t>
      </w:r>
      <w:r w:rsidR="008F3830">
        <w:rPr>
          <w:rStyle w:val="Vresatsauce"/>
          <w:rFonts w:ascii="Times New Roman" w:hAnsi="Times New Roman" w:cs="Times New Roman"/>
          <w:color w:val="000000" w:themeColor="text1"/>
          <w:sz w:val="24"/>
          <w:szCs w:val="24"/>
        </w:rPr>
        <w:footnoteReference w:id="7"/>
      </w:r>
      <w:r w:rsidR="00E35DFF" w:rsidRPr="00A80966">
        <w:rPr>
          <w:rFonts w:ascii="Times New Roman" w:hAnsi="Times New Roman" w:cs="Times New Roman"/>
          <w:color w:val="000000" w:themeColor="text1"/>
          <w:sz w:val="24"/>
          <w:szCs w:val="24"/>
        </w:rPr>
        <w:t>;</w:t>
      </w:r>
    </w:p>
    <w:p w14:paraId="6F9F1B50" w14:textId="7F2D23F3" w:rsidR="00E35DFF" w:rsidRPr="00A80966" w:rsidRDefault="00E35DFF" w:rsidP="00FB538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 xml:space="preserve">jaunizveidoto darba vietu skaits </w:t>
      </w:r>
      <w:r w:rsidRPr="00A80966">
        <w:rPr>
          <w:rFonts w:ascii="Times New Roman" w:hAnsi="Times New Roman" w:cs="Times New Roman"/>
          <w:sz w:val="24"/>
          <w:szCs w:val="24"/>
        </w:rPr>
        <w:t>– 4</w:t>
      </w:r>
      <w:r w:rsidR="008F3830">
        <w:rPr>
          <w:rFonts w:ascii="Times New Roman" w:hAnsi="Times New Roman" w:cs="Times New Roman"/>
          <w:sz w:val="24"/>
          <w:szCs w:val="24"/>
        </w:rPr>
        <w:t xml:space="preserve"> </w:t>
      </w:r>
      <w:r w:rsidRPr="00A80966">
        <w:rPr>
          <w:rFonts w:ascii="Times New Roman" w:hAnsi="Times New Roman" w:cs="Times New Roman"/>
          <w:sz w:val="24"/>
          <w:szCs w:val="24"/>
        </w:rPr>
        <w:t>933 darbavietas</w:t>
      </w:r>
      <w:r w:rsidR="00B4653B">
        <w:rPr>
          <w:rFonts w:ascii="Times New Roman" w:hAnsi="Times New Roman" w:cs="Times New Roman"/>
          <w:sz w:val="24"/>
          <w:szCs w:val="24"/>
        </w:rPr>
        <w:t xml:space="preserve"> </w:t>
      </w:r>
      <w:r w:rsidR="00B4653B">
        <w:rPr>
          <w:rFonts w:ascii="Times New Roman" w:hAnsi="Times New Roman" w:cs="Times New Roman"/>
          <w:color w:val="000000" w:themeColor="text1"/>
          <w:sz w:val="24"/>
          <w:szCs w:val="24"/>
        </w:rPr>
        <w:t>(Vidzemes plānošanas reģionam – 833 darbavietas)</w:t>
      </w:r>
      <w:r w:rsidRPr="00A80966">
        <w:rPr>
          <w:rFonts w:ascii="Times New Roman" w:hAnsi="Times New Roman" w:cs="Times New Roman"/>
          <w:sz w:val="24"/>
          <w:szCs w:val="24"/>
        </w:rPr>
        <w:t>;</w:t>
      </w:r>
    </w:p>
    <w:p w14:paraId="57B8EA02" w14:textId="6B5A4968" w:rsidR="00E35DFF" w:rsidRPr="00A80966" w:rsidRDefault="00E35DFF" w:rsidP="00FB538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 xml:space="preserve">privāto komersantu nefinanšu investīcijas </w:t>
      </w:r>
      <w:r w:rsidRPr="00A80966">
        <w:rPr>
          <w:rFonts w:ascii="Times New Roman" w:hAnsi="Times New Roman" w:cs="Times New Roman"/>
          <w:sz w:val="24"/>
          <w:szCs w:val="24"/>
        </w:rPr>
        <w:t xml:space="preserve">300 743 664 </w:t>
      </w:r>
      <w:r w:rsidR="00521B49" w:rsidRPr="00521B49">
        <w:rPr>
          <w:rFonts w:ascii="Times New Roman" w:hAnsi="Times New Roman" w:cs="Times New Roman"/>
          <w:i/>
          <w:sz w:val="24"/>
          <w:szCs w:val="24"/>
        </w:rPr>
        <w:t>euro</w:t>
      </w:r>
      <w:r w:rsidR="00B4653B">
        <w:rPr>
          <w:rFonts w:ascii="Times New Roman" w:hAnsi="Times New Roman" w:cs="Times New Roman"/>
          <w:i/>
          <w:sz w:val="24"/>
          <w:szCs w:val="24"/>
        </w:rPr>
        <w:t xml:space="preserve"> </w:t>
      </w:r>
      <w:r w:rsidR="00B4653B">
        <w:rPr>
          <w:rFonts w:ascii="Times New Roman" w:hAnsi="Times New Roman" w:cs="Times New Roman"/>
          <w:color w:val="000000" w:themeColor="text1"/>
          <w:sz w:val="24"/>
          <w:szCs w:val="24"/>
        </w:rPr>
        <w:t xml:space="preserve">(Vidzemes plānošanas reģionam – </w:t>
      </w:r>
      <w:r w:rsidR="00B4653B" w:rsidRPr="00B4653B">
        <w:rPr>
          <w:rFonts w:ascii="Times New Roman" w:hAnsi="Times New Roman" w:cs="Times New Roman"/>
          <w:color w:val="000000" w:themeColor="text1"/>
          <w:sz w:val="24"/>
          <w:szCs w:val="24"/>
        </w:rPr>
        <w:t>50 781</w:t>
      </w:r>
      <w:r w:rsidR="00B4653B">
        <w:rPr>
          <w:rFonts w:ascii="Times New Roman" w:hAnsi="Times New Roman" w:cs="Times New Roman"/>
          <w:color w:val="000000" w:themeColor="text1"/>
          <w:sz w:val="24"/>
          <w:szCs w:val="24"/>
        </w:rPr>
        <w:t> </w:t>
      </w:r>
      <w:r w:rsidR="00B4653B" w:rsidRPr="00B4653B">
        <w:rPr>
          <w:rFonts w:ascii="Times New Roman" w:hAnsi="Times New Roman" w:cs="Times New Roman"/>
          <w:color w:val="000000" w:themeColor="text1"/>
          <w:sz w:val="24"/>
          <w:szCs w:val="24"/>
        </w:rPr>
        <w:t>272</w:t>
      </w:r>
      <w:r w:rsidR="00B4653B">
        <w:rPr>
          <w:rFonts w:ascii="Times New Roman" w:hAnsi="Times New Roman" w:cs="Times New Roman"/>
          <w:color w:val="000000" w:themeColor="text1"/>
          <w:sz w:val="24"/>
          <w:szCs w:val="24"/>
        </w:rPr>
        <w:t xml:space="preserve"> </w:t>
      </w:r>
      <w:r w:rsidR="00B4653B" w:rsidRPr="000A281E">
        <w:rPr>
          <w:rFonts w:ascii="Times New Roman" w:hAnsi="Times New Roman" w:cs="Times New Roman"/>
          <w:i/>
          <w:iCs/>
          <w:color w:val="000000" w:themeColor="text1"/>
          <w:sz w:val="24"/>
          <w:szCs w:val="24"/>
        </w:rPr>
        <w:t>euro</w:t>
      </w:r>
      <w:r w:rsidR="00B4653B">
        <w:rPr>
          <w:rFonts w:ascii="Times New Roman" w:hAnsi="Times New Roman" w:cs="Times New Roman"/>
          <w:color w:val="000000" w:themeColor="text1"/>
          <w:sz w:val="24"/>
          <w:szCs w:val="24"/>
        </w:rPr>
        <w:t>)</w:t>
      </w:r>
      <w:r w:rsidRPr="00A80966">
        <w:rPr>
          <w:rFonts w:ascii="Times New Roman" w:hAnsi="Times New Roman" w:cs="Times New Roman"/>
          <w:sz w:val="24"/>
          <w:szCs w:val="24"/>
        </w:rPr>
        <w:t>;</w:t>
      </w:r>
    </w:p>
    <w:p w14:paraId="3A1214A3" w14:textId="40A5DAA4" w:rsidR="00E35DFF" w:rsidRPr="00A80966" w:rsidRDefault="00E35DFF" w:rsidP="00FB538A">
      <w:pPr>
        <w:pStyle w:val="Sarakstarindkopa"/>
        <w:numPr>
          <w:ilvl w:val="0"/>
          <w:numId w:val="35"/>
        </w:numPr>
        <w:suppressAutoHyphens/>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atjaunoto degradēto teritoriju platība – vismaz 556 ha</w:t>
      </w:r>
      <w:r w:rsidR="00B4653B">
        <w:rPr>
          <w:rFonts w:ascii="Times New Roman" w:hAnsi="Times New Roman" w:cs="Times New Roman"/>
          <w:color w:val="000000" w:themeColor="text1"/>
          <w:sz w:val="24"/>
          <w:szCs w:val="24"/>
        </w:rPr>
        <w:t xml:space="preserve"> (Vidzemes plānošanas reģionam – 94 ha)</w:t>
      </w:r>
      <w:r w:rsidRPr="00A80966">
        <w:rPr>
          <w:rFonts w:ascii="Times New Roman" w:hAnsi="Times New Roman" w:cs="Times New Roman"/>
          <w:color w:val="000000" w:themeColor="text1"/>
          <w:sz w:val="24"/>
          <w:szCs w:val="24"/>
        </w:rPr>
        <w:t>.</w:t>
      </w:r>
    </w:p>
    <w:p w14:paraId="141E8C5A" w14:textId="0910AB19" w:rsidR="00FB538A" w:rsidRDefault="008F3830" w:rsidP="00186060">
      <w:pPr>
        <w:pStyle w:val="Sarakstarindkopa"/>
        <w:suppressAutoHyphens/>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Kā pozitīvu faktu jāmin, ka j</w:t>
      </w:r>
      <w:r w:rsidR="00FB538A" w:rsidRPr="00A80966">
        <w:rPr>
          <w:rFonts w:ascii="Times New Roman" w:hAnsi="Times New Roman" w:cs="Times New Roman"/>
          <w:color w:val="000000" w:themeColor="text1"/>
          <w:sz w:val="24"/>
          <w:szCs w:val="24"/>
        </w:rPr>
        <w:t xml:space="preserve">au iesniegtajos projektos plānotie rādītāji </w:t>
      </w:r>
      <w:r>
        <w:rPr>
          <w:rFonts w:ascii="Times New Roman" w:hAnsi="Times New Roman" w:cs="Times New Roman"/>
          <w:color w:val="000000" w:themeColor="text1"/>
          <w:sz w:val="24"/>
          <w:szCs w:val="24"/>
        </w:rPr>
        <w:t xml:space="preserve">būtiski </w:t>
      </w:r>
      <w:r w:rsidR="00FB538A" w:rsidRPr="00A80966">
        <w:rPr>
          <w:rFonts w:ascii="Times New Roman" w:hAnsi="Times New Roman" w:cs="Times New Roman"/>
          <w:color w:val="000000" w:themeColor="text1"/>
          <w:sz w:val="24"/>
          <w:szCs w:val="24"/>
        </w:rPr>
        <w:t xml:space="preserve">pārsniedz normatīvajos aktos paredzētos sasniedzamos iznākuma </w:t>
      </w:r>
      <w:r w:rsidR="00FB538A" w:rsidRPr="008E66BD">
        <w:rPr>
          <w:rFonts w:ascii="Times New Roman" w:hAnsi="Times New Roman" w:cs="Times New Roman"/>
          <w:color w:val="000000" w:themeColor="text1"/>
          <w:sz w:val="24"/>
          <w:szCs w:val="24"/>
        </w:rPr>
        <w:t>rādītājus (</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00BA13A1" w:rsidRPr="00BE245A">
        <w:rPr>
          <w:rFonts w:ascii="Times New Roman" w:hAnsi="Times New Roman" w:cs="Times New Roman"/>
          <w:bCs/>
          <w:i/>
          <w:iCs/>
          <w:color w:val="000000" w:themeColor="text1"/>
          <w:sz w:val="24"/>
          <w:szCs w:val="24"/>
        </w:rPr>
        <w:t>ttēlu</w:t>
      </w:r>
      <w:r w:rsidR="00BA13A1">
        <w:rPr>
          <w:rFonts w:ascii="Times New Roman" w:hAnsi="Times New Roman" w:cs="Times New Roman"/>
          <w:bCs/>
          <w:i/>
          <w:iCs/>
          <w:color w:val="000000" w:themeColor="text1"/>
          <w:sz w:val="24"/>
          <w:szCs w:val="24"/>
        </w:rPr>
        <w:t xml:space="preserve"> </w:t>
      </w:r>
      <w:r w:rsidR="00FB538A" w:rsidRPr="008E66BD">
        <w:rPr>
          <w:rFonts w:ascii="Times New Roman" w:hAnsi="Times New Roman" w:cs="Times New Roman"/>
          <w:i/>
          <w:iCs/>
          <w:color w:val="000000" w:themeColor="text1"/>
          <w:sz w:val="24"/>
          <w:szCs w:val="24"/>
        </w:rPr>
        <w:t>Nr</w:t>
      </w:r>
      <w:r w:rsidR="008E66BD" w:rsidRPr="008E66BD">
        <w:rPr>
          <w:rFonts w:ascii="Times New Roman" w:hAnsi="Times New Roman" w:cs="Times New Roman"/>
          <w:i/>
          <w:iCs/>
          <w:color w:val="000000" w:themeColor="text1"/>
          <w:sz w:val="24"/>
          <w:szCs w:val="24"/>
        </w:rPr>
        <w:t>.</w:t>
      </w:r>
      <w:r w:rsidR="00EF428B">
        <w:rPr>
          <w:rFonts w:ascii="Times New Roman" w:hAnsi="Times New Roman" w:cs="Times New Roman"/>
          <w:i/>
          <w:iCs/>
          <w:color w:val="000000" w:themeColor="text1"/>
          <w:sz w:val="24"/>
          <w:szCs w:val="24"/>
        </w:rPr>
        <w:t>9</w:t>
      </w:r>
      <w:r w:rsidR="008E66BD" w:rsidRPr="008E66BD">
        <w:rPr>
          <w:rFonts w:ascii="Times New Roman" w:hAnsi="Times New Roman" w:cs="Times New Roman"/>
          <w:color w:val="000000" w:themeColor="text1"/>
          <w:sz w:val="24"/>
          <w:szCs w:val="24"/>
        </w:rPr>
        <w:t>)</w:t>
      </w:r>
      <w:r w:rsidR="008E66BD">
        <w:rPr>
          <w:rFonts w:ascii="Times New Roman" w:hAnsi="Times New Roman" w:cs="Times New Roman"/>
          <w:color w:val="000000" w:themeColor="text1"/>
          <w:sz w:val="24"/>
          <w:szCs w:val="24"/>
        </w:rPr>
        <w:t>.</w:t>
      </w:r>
    </w:p>
    <w:p w14:paraId="249365E1" w14:textId="50535033" w:rsidR="000A281E" w:rsidRDefault="000A281E" w:rsidP="000A281E">
      <w:pPr>
        <w:pStyle w:val="Sarakstarindkopa"/>
        <w:suppressAutoHyphens/>
        <w:ind w:left="0"/>
        <w:contextualSpacing w:val="0"/>
        <w:jc w:val="right"/>
        <w:rPr>
          <w:rFonts w:ascii="Times New Roman" w:hAnsi="Times New Roman" w:cs="Times New Roman"/>
          <w:color w:val="000000" w:themeColor="text1"/>
          <w:sz w:val="24"/>
          <w:szCs w:val="24"/>
        </w:rPr>
      </w:pPr>
      <w:r w:rsidRPr="00E41AB3">
        <w:rPr>
          <w:rFonts w:ascii="Times New Roman" w:eastAsia="Times New Roman" w:hAnsi="Times New Roman" w:cs="Times New Roman"/>
          <w:bCs/>
          <w:i/>
          <w:sz w:val="24"/>
          <w:szCs w:val="24"/>
          <w:lang w:eastAsia="lv-LV"/>
        </w:rPr>
        <w:t>Attēls Nr.</w:t>
      </w:r>
      <w:r w:rsidR="00EF428B">
        <w:rPr>
          <w:rFonts w:ascii="Times New Roman" w:eastAsia="Times New Roman" w:hAnsi="Times New Roman" w:cs="Times New Roman"/>
          <w:bCs/>
          <w:i/>
          <w:sz w:val="24"/>
          <w:szCs w:val="24"/>
          <w:lang w:eastAsia="lv-LV"/>
        </w:rPr>
        <w:t>9</w:t>
      </w:r>
    </w:p>
    <w:p w14:paraId="2B692CA1" w14:textId="0B6996C5" w:rsidR="000A281E" w:rsidRPr="00A80966" w:rsidRDefault="000A281E" w:rsidP="00186060">
      <w:pPr>
        <w:pStyle w:val="Sarakstarindkopa"/>
        <w:suppressAutoHyphens/>
        <w:ind w:left="0"/>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027D5429" wp14:editId="00B0F99D">
            <wp:extent cx="4656260" cy="2816352"/>
            <wp:effectExtent l="0" t="0" r="0" b="317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1948" cy="2856084"/>
                    </a:xfrm>
                    <a:prstGeom prst="rect">
                      <a:avLst/>
                    </a:prstGeom>
                    <a:noFill/>
                  </pic:spPr>
                </pic:pic>
              </a:graphicData>
            </a:graphic>
          </wp:inline>
        </w:drawing>
      </w:r>
    </w:p>
    <w:p w14:paraId="333CF126" w14:textId="1FA188CC" w:rsidR="00186060" w:rsidRPr="00A80966" w:rsidRDefault="00FB538A" w:rsidP="00186060">
      <w:pPr>
        <w:pStyle w:val="Sarakstarindkopa"/>
        <w:suppressAutoHyphens/>
        <w:ind w:left="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 xml:space="preserve">Vidzemes plānošanas reģionā uz ziņojuma sagatavošanas brīdi ir radīta </w:t>
      </w:r>
      <w:r w:rsidR="001670AE">
        <w:rPr>
          <w:rFonts w:ascii="Times New Roman" w:hAnsi="Times New Roman" w:cs="Times New Roman"/>
          <w:color w:val="000000" w:themeColor="text1"/>
          <w:sz w:val="24"/>
          <w:szCs w:val="24"/>
        </w:rPr>
        <w:t>231</w:t>
      </w:r>
      <w:r w:rsidR="001670AE" w:rsidRPr="00A80966">
        <w:rPr>
          <w:rFonts w:ascii="Times New Roman" w:hAnsi="Times New Roman" w:cs="Times New Roman"/>
          <w:color w:val="000000" w:themeColor="text1"/>
          <w:sz w:val="24"/>
          <w:szCs w:val="24"/>
        </w:rPr>
        <w:t xml:space="preserve"> </w:t>
      </w:r>
      <w:r w:rsidRPr="00A80966">
        <w:rPr>
          <w:rFonts w:ascii="Times New Roman" w:hAnsi="Times New Roman" w:cs="Times New Roman"/>
          <w:color w:val="000000" w:themeColor="text1"/>
          <w:sz w:val="24"/>
          <w:szCs w:val="24"/>
        </w:rPr>
        <w:t>jauna darbavieta no 922 plānotajām darbavietām</w:t>
      </w:r>
      <w:r w:rsidR="008F3830">
        <w:rPr>
          <w:rFonts w:ascii="Times New Roman" w:hAnsi="Times New Roman" w:cs="Times New Roman"/>
          <w:color w:val="000000" w:themeColor="text1"/>
          <w:sz w:val="24"/>
          <w:szCs w:val="24"/>
        </w:rPr>
        <w:t xml:space="preserve"> projektos</w:t>
      </w:r>
      <w:r w:rsidRPr="00A80966">
        <w:rPr>
          <w:rFonts w:ascii="Times New Roman" w:hAnsi="Times New Roman" w:cs="Times New Roman"/>
          <w:color w:val="000000" w:themeColor="text1"/>
          <w:sz w:val="24"/>
          <w:szCs w:val="24"/>
        </w:rPr>
        <w:t xml:space="preserve">, piesaistītas 41 </w:t>
      </w:r>
      <w:proofErr w:type="spellStart"/>
      <w:r w:rsidRPr="00A80966">
        <w:rPr>
          <w:rFonts w:ascii="Times New Roman" w:hAnsi="Times New Roman" w:cs="Times New Roman"/>
          <w:color w:val="000000" w:themeColor="text1"/>
          <w:sz w:val="24"/>
          <w:szCs w:val="24"/>
        </w:rPr>
        <w:t>milj.</w:t>
      </w:r>
      <w:r w:rsidR="00521B49" w:rsidRPr="00521B49">
        <w:rPr>
          <w:rFonts w:ascii="Times New Roman" w:hAnsi="Times New Roman" w:cs="Times New Roman"/>
          <w:i/>
          <w:color w:val="000000" w:themeColor="text1"/>
          <w:sz w:val="24"/>
          <w:szCs w:val="24"/>
        </w:rPr>
        <w:t>euro</w:t>
      </w:r>
      <w:proofErr w:type="spellEnd"/>
      <w:r w:rsidRPr="00A80966">
        <w:rPr>
          <w:rFonts w:ascii="Times New Roman" w:hAnsi="Times New Roman" w:cs="Times New Roman"/>
          <w:color w:val="000000" w:themeColor="text1"/>
          <w:sz w:val="24"/>
          <w:szCs w:val="24"/>
        </w:rPr>
        <w:t xml:space="preserve"> privātās nefinanšu investīcijas no 77 </w:t>
      </w:r>
      <w:proofErr w:type="spellStart"/>
      <w:r w:rsidRPr="00A80966">
        <w:rPr>
          <w:rFonts w:ascii="Times New Roman" w:hAnsi="Times New Roman" w:cs="Times New Roman"/>
          <w:color w:val="000000" w:themeColor="text1"/>
          <w:sz w:val="24"/>
          <w:szCs w:val="24"/>
        </w:rPr>
        <w:t>milj.</w:t>
      </w:r>
      <w:r w:rsidR="00521B49" w:rsidRPr="00521B49">
        <w:rPr>
          <w:rFonts w:ascii="Times New Roman" w:hAnsi="Times New Roman" w:cs="Times New Roman"/>
          <w:i/>
          <w:color w:val="000000" w:themeColor="text1"/>
          <w:sz w:val="24"/>
          <w:szCs w:val="24"/>
        </w:rPr>
        <w:t>euro</w:t>
      </w:r>
      <w:proofErr w:type="spellEnd"/>
      <w:r w:rsidRPr="00A80966">
        <w:rPr>
          <w:rFonts w:ascii="Times New Roman" w:hAnsi="Times New Roman" w:cs="Times New Roman"/>
          <w:color w:val="000000" w:themeColor="text1"/>
          <w:sz w:val="24"/>
          <w:szCs w:val="24"/>
        </w:rPr>
        <w:t xml:space="preserve"> plānotajām nefinanšu investīcijām</w:t>
      </w:r>
      <w:r w:rsidR="008F3830">
        <w:rPr>
          <w:rFonts w:ascii="Times New Roman" w:hAnsi="Times New Roman" w:cs="Times New Roman"/>
          <w:color w:val="000000" w:themeColor="text1"/>
          <w:sz w:val="24"/>
          <w:szCs w:val="24"/>
        </w:rPr>
        <w:t xml:space="preserve"> projektos</w:t>
      </w:r>
      <w:r w:rsidRPr="00A80966">
        <w:rPr>
          <w:rFonts w:ascii="Times New Roman" w:hAnsi="Times New Roman" w:cs="Times New Roman"/>
          <w:color w:val="000000" w:themeColor="text1"/>
          <w:sz w:val="24"/>
          <w:szCs w:val="24"/>
        </w:rPr>
        <w:t>, atbalstīts 71 komersants no 128 atbalstāmajiem komersantiem</w:t>
      </w:r>
      <w:r w:rsidR="008F3830">
        <w:rPr>
          <w:rFonts w:ascii="Times New Roman" w:hAnsi="Times New Roman" w:cs="Times New Roman"/>
          <w:color w:val="000000" w:themeColor="text1"/>
          <w:sz w:val="24"/>
          <w:szCs w:val="24"/>
        </w:rPr>
        <w:t xml:space="preserve"> projektos</w:t>
      </w:r>
      <w:r w:rsidRPr="00A80966">
        <w:rPr>
          <w:rFonts w:ascii="Times New Roman" w:hAnsi="Times New Roman" w:cs="Times New Roman"/>
          <w:color w:val="000000" w:themeColor="text1"/>
          <w:sz w:val="24"/>
          <w:szCs w:val="24"/>
        </w:rPr>
        <w:t xml:space="preserve"> un atjaunoti 44 ha degradētās teritorijas no 123 ha atjaunojamām degradētajām teritorijām</w:t>
      </w:r>
      <w:r w:rsidR="008F3830">
        <w:rPr>
          <w:rFonts w:ascii="Times New Roman" w:hAnsi="Times New Roman" w:cs="Times New Roman"/>
          <w:color w:val="000000" w:themeColor="text1"/>
          <w:sz w:val="24"/>
          <w:szCs w:val="24"/>
        </w:rPr>
        <w:t>, kas paredzētas projektos</w:t>
      </w:r>
      <w:r w:rsidRPr="00A80966">
        <w:rPr>
          <w:rFonts w:ascii="Times New Roman" w:hAnsi="Times New Roman" w:cs="Times New Roman"/>
          <w:color w:val="000000" w:themeColor="text1"/>
          <w:sz w:val="24"/>
          <w:szCs w:val="24"/>
        </w:rPr>
        <w:t>.</w:t>
      </w:r>
    </w:p>
    <w:p w14:paraId="5700E8DD" w14:textId="74C0E986" w:rsidR="000A281E" w:rsidRDefault="007D6692" w:rsidP="000A281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Kopumā iznākuma rādītāju izpildi var novērtēt kā apmierinošu, ņemot vērā to, ka </w:t>
      </w:r>
      <w:r w:rsidRPr="007D6692">
        <w:rPr>
          <w:rFonts w:ascii="Times New Roman" w:hAnsi="Times New Roman" w:cs="Times New Roman"/>
          <w:color w:val="000000" w:themeColor="text1"/>
          <w:sz w:val="24"/>
          <w:szCs w:val="24"/>
        </w:rPr>
        <w:t>MK noteikumos Nr.593 un MK noteikumos Nr.645</w:t>
      </w:r>
      <w:r>
        <w:rPr>
          <w:rFonts w:ascii="Times New Roman" w:hAnsi="Times New Roman" w:cs="Times New Roman"/>
          <w:color w:val="000000" w:themeColor="text1"/>
          <w:sz w:val="24"/>
          <w:szCs w:val="24"/>
        </w:rPr>
        <w:t xml:space="preserve"> noteiktās vērtības jāsasniedz līdz </w:t>
      </w:r>
      <w:r w:rsidRPr="000A281E">
        <w:rPr>
          <w:rFonts w:ascii="Times New Roman" w:hAnsi="Times New Roman" w:cs="Times New Roman"/>
          <w:color w:val="000000" w:themeColor="text1"/>
          <w:sz w:val="24"/>
          <w:szCs w:val="24"/>
        </w:rPr>
        <w:t>2023.gada 31.decembrim</w:t>
      </w:r>
      <w:r w:rsidR="000A281E">
        <w:rPr>
          <w:rFonts w:ascii="Times New Roman" w:hAnsi="Times New Roman" w:cs="Times New Roman"/>
          <w:color w:val="000000" w:themeColor="text1"/>
          <w:sz w:val="24"/>
          <w:szCs w:val="24"/>
        </w:rPr>
        <w:t xml:space="preserve"> </w:t>
      </w:r>
      <w:r w:rsidR="000A281E" w:rsidRPr="008E66BD">
        <w:rPr>
          <w:rFonts w:ascii="Times New Roman" w:hAnsi="Times New Roman" w:cs="Times New Roman"/>
          <w:color w:val="000000" w:themeColor="text1"/>
          <w:sz w:val="24"/>
          <w:szCs w:val="24"/>
        </w:rPr>
        <w:t>(</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00BA13A1" w:rsidRPr="00BE245A">
        <w:rPr>
          <w:rFonts w:ascii="Times New Roman" w:hAnsi="Times New Roman" w:cs="Times New Roman"/>
          <w:bCs/>
          <w:i/>
          <w:iCs/>
          <w:color w:val="000000" w:themeColor="text1"/>
          <w:sz w:val="24"/>
          <w:szCs w:val="24"/>
        </w:rPr>
        <w:t>ttēlu</w:t>
      </w:r>
      <w:r w:rsidR="00BA13A1">
        <w:rPr>
          <w:rFonts w:ascii="Times New Roman" w:hAnsi="Times New Roman" w:cs="Times New Roman"/>
          <w:bCs/>
          <w:i/>
          <w:iCs/>
          <w:color w:val="000000" w:themeColor="text1"/>
          <w:sz w:val="24"/>
          <w:szCs w:val="24"/>
        </w:rPr>
        <w:t xml:space="preserve"> </w:t>
      </w:r>
      <w:r w:rsidR="000A281E" w:rsidRPr="008E66BD">
        <w:rPr>
          <w:rFonts w:ascii="Times New Roman" w:hAnsi="Times New Roman" w:cs="Times New Roman"/>
          <w:i/>
          <w:iCs/>
          <w:color w:val="000000" w:themeColor="text1"/>
          <w:sz w:val="24"/>
          <w:szCs w:val="24"/>
        </w:rPr>
        <w:t>Nr.1</w:t>
      </w:r>
      <w:r w:rsidR="00EF428B">
        <w:rPr>
          <w:rFonts w:ascii="Times New Roman" w:hAnsi="Times New Roman" w:cs="Times New Roman"/>
          <w:i/>
          <w:iCs/>
          <w:color w:val="000000" w:themeColor="text1"/>
          <w:sz w:val="24"/>
          <w:szCs w:val="24"/>
        </w:rPr>
        <w:t>0</w:t>
      </w:r>
      <w:r w:rsidR="000A281E" w:rsidRPr="008E66BD">
        <w:rPr>
          <w:rFonts w:ascii="Times New Roman" w:hAnsi="Times New Roman" w:cs="Times New Roman"/>
          <w:color w:val="000000" w:themeColor="text1"/>
          <w:sz w:val="24"/>
          <w:szCs w:val="24"/>
        </w:rPr>
        <w:t>)</w:t>
      </w:r>
      <w:r w:rsidR="008F3830">
        <w:rPr>
          <w:rFonts w:ascii="Times New Roman" w:hAnsi="Times New Roman" w:cs="Times New Roman"/>
          <w:color w:val="000000" w:themeColor="text1"/>
          <w:sz w:val="24"/>
          <w:szCs w:val="24"/>
        </w:rPr>
        <w:t>.</w:t>
      </w:r>
    </w:p>
    <w:p w14:paraId="2ECBEC04" w14:textId="4EAF58F3" w:rsidR="00BE245A" w:rsidRPr="00BE245A" w:rsidRDefault="00BE245A" w:rsidP="00BE245A">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w:t>
      </w:r>
      <w:r>
        <w:rPr>
          <w:rFonts w:ascii="Times New Roman" w:eastAsia="Times New Roman" w:hAnsi="Times New Roman" w:cs="Times New Roman"/>
          <w:bCs/>
          <w:i/>
          <w:sz w:val="24"/>
          <w:szCs w:val="24"/>
          <w:lang w:eastAsia="lv-LV"/>
        </w:rPr>
        <w:t>1</w:t>
      </w:r>
      <w:r w:rsidR="00EF428B">
        <w:rPr>
          <w:rFonts w:ascii="Times New Roman" w:eastAsia="Times New Roman" w:hAnsi="Times New Roman" w:cs="Times New Roman"/>
          <w:bCs/>
          <w:i/>
          <w:sz w:val="24"/>
          <w:szCs w:val="24"/>
          <w:lang w:eastAsia="lv-LV"/>
        </w:rPr>
        <w:t>0</w:t>
      </w:r>
    </w:p>
    <w:p w14:paraId="43FC1918" w14:textId="3B737CE8" w:rsidR="00186060" w:rsidRPr="00186060" w:rsidRDefault="00FE1A2B" w:rsidP="00186060">
      <w:pPr>
        <w:pStyle w:val="Sarakstarindkopa"/>
        <w:suppressAutoHyphens/>
        <w:ind w:left="0"/>
        <w:contextualSpacing w:val="0"/>
        <w:jc w:val="both"/>
        <w:rPr>
          <w:rFonts w:ascii="Times New Roman" w:hAnsi="Times New Roman" w:cs="Times New Roman"/>
          <w:color w:val="000000" w:themeColor="text1"/>
          <w:szCs w:val="24"/>
        </w:rPr>
      </w:pPr>
      <w:r>
        <w:rPr>
          <w:rFonts w:ascii="Times New Roman" w:hAnsi="Times New Roman" w:cs="Times New Roman"/>
          <w:noProof/>
          <w:color w:val="000000" w:themeColor="text1"/>
          <w:szCs w:val="24"/>
          <w:lang w:eastAsia="lv-LV"/>
        </w:rPr>
        <w:lastRenderedPageBreak/>
        <w:drawing>
          <wp:inline distT="0" distB="0" distL="0" distR="0" wp14:anchorId="578D6550" wp14:editId="5243FA13">
            <wp:extent cx="6006761" cy="4017997"/>
            <wp:effectExtent l="0" t="0" r="0" b="190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2874" cy="4028775"/>
                    </a:xfrm>
                    <a:prstGeom prst="rect">
                      <a:avLst/>
                    </a:prstGeom>
                    <a:noFill/>
                  </pic:spPr>
                </pic:pic>
              </a:graphicData>
            </a:graphic>
          </wp:inline>
        </w:drawing>
      </w:r>
    </w:p>
    <w:p w14:paraId="395B82D7" w14:textId="005BDA66" w:rsidR="00186060" w:rsidRPr="005B1348" w:rsidRDefault="00F02D79" w:rsidP="004C46F4">
      <w:pPr>
        <w:pStyle w:val="Virsraksts1"/>
        <w:numPr>
          <w:ilvl w:val="1"/>
          <w:numId w:val="19"/>
        </w:numPr>
        <w:spacing w:after="240"/>
        <w:rPr>
          <w:rFonts w:ascii="Times New Roman" w:hAnsi="Times New Roman" w:cs="Times New Roman"/>
          <w:b/>
          <w:color w:val="auto"/>
          <w:sz w:val="28"/>
          <w:szCs w:val="28"/>
        </w:rPr>
      </w:pPr>
      <w:bookmarkStart w:id="10" w:name="_Hlk23235121"/>
      <w:bookmarkStart w:id="11" w:name="_Toc24034135"/>
      <w:r>
        <w:rPr>
          <w:rFonts w:ascii="Times New Roman" w:hAnsi="Times New Roman" w:cs="Times New Roman"/>
          <w:b/>
          <w:color w:val="auto"/>
          <w:sz w:val="28"/>
          <w:szCs w:val="28"/>
        </w:rPr>
        <w:t>Investīcijas</w:t>
      </w:r>
      <w:r w:rsidR="00186060" w:rsidRPr="005B1348">
        <w:rPr>
          <w:rFonts w:ascii="Times New Roman" w:hAnsi="Times New Roman" w:cs="Times New Roman"/>
          <w:b/>
          <w:color w:val="auto"/>
          <w:sz w:val="28"/>
          <w:szCs w:val="28"/>
        </w:rPr>
        <w:t xml:space="preserve"> pakalpojum</w:t>
      </w:r>
      <w:r w:rsidR="005B1348">
        <w:rPr>
          <w:rFonts w:ascii="Times New Roman" w:hAnsi="Times New Roman" w:cs="Times New Roman"/>
          <w:b/>
          <w:color w:val="auto"/>
          <w:sz w:val="28"/>
          <w:szCs w:val="28"/>
        </w:rPr>
        <w:t xml:space="preserve">u </w:t>
      </w:r>
      <w:r w:rsidR="00994F93">
        <w:rPr>
          <w:rFonts w:ascii="Times New Roman" w:hAnsi="Times New Roman" w:cs="Times New Roman"/>
          <w:b/>
          <w:color w:val="auto"/>
          <w:sz w:val="28"/>
          <w:szCs w:val="28"/>
        </w:rPr>
        <w:t xml:space="preserve">efektivitātes </w:t>
      </w:r>
      <w:r w:rsidR="005B1348">
        <w:rPr>
          <w:rFonts w:ascii="Times New Roman" w:hAnsi="Times New Roman" w:cs="Times New Roman"/>
          <w:b/>
          <w:color w:val="auto"/>
          <w:sz w:val="28"/>
          <w:szCs w:val="28"/>
        </w:rPr>
        <w:t>uzlabošanai</w:t>
      </w:r>
      <w:r w:rsidR="00994F93">
        <w:rPr>
          <w:rFonts w:ascii="Times New Roman" w:hAnsi="Times New Roman" w:cs="Times New Roman"/>
          <w:b/>
          <w:color w:val="auto"/>
          <w:sz w:val="28"/>
          <w:szCs w:val="28"/>
        </w:rPr>
        <w:t xml:space="preserve"> reģionos</w:t>
      </w:r>
      <w:bookmarkEnd w:id="11"/>
    </w:p>
    <w:p w14:paraId="5D58DAFA" w14:textId="7E338FBB" w:rsidR="007C40D5" w:rsidRPr="007C40D5" w:rsidRDefault="007C40D5" w:rsidP="007C40D5">
      <w:pPr>
        <w:pStyle w:val="Sarakstarindkopa"/>
        <w:suppressAutoHyphens/>
        <w:spacing w:after="120"/>
        <w:ind w:left="0"/>
        <w:contextualSpacing w:val="0"/>
        <w:jc w:val="both"/>
        <w:rPr>
          <w:rFonts w:ascii="Times New Roman" w:hAnsi="Times New Roman" w:cs="Times New Roman"/>
          <w:bCs/>
          <w:color w:val="000000" w:themeColor="text1"/>
          <w:sz w:val="24"/>
          <w:szCs w:val="24"/>
        </w:rPr>
      </w:pPr>
      <w:bookmarkStart w:id="12" w:name="_Hlk23429324"/>
      <w:r w:rsidRPr="007C40D5">
        <w:rPr>
          <w:rFonts w:ascii="Times New Roman" w:hAnsi="Times New Roman" w:cs="Times New Roman"/>
          <w:bCs/>
          <w:color w:val="000000" w:themeColor="text1"/>
          <w:sz w:val="24"/>
          <w:szCs w:val="24"/>
        </w:rPr>
        <w:t xml:space="preserve">ES fondu finansējums tiek piesaistīts, lai uzlabotu sabiedriskos ūdenssaimniecības un siltumapgādes pakalpojumus, kā arī </w:t>
      </w:r>
      <w:r>
        <w:rPr>
          <w:rFonts w:ascii="Times New Roman" w:hAnsi="Times New Roman" w:cs="Times New Roman"/>
          <w:bCs/>
          <w:color w:val="000000" w:themeColor="text1"/>
          <w:sz w:val="24"/>
          <w:szCs w:val="24"/>
        </w:rPr>
        <w:t xml:space="preserve">mazinātu klimata pārmaiņas un </w:t>
      </w:r>
      <w:r w:rsidRPr="007C40D5">
        <w:rPr>
          <w:rFonts w:ascii="Times New Roman" w:hAnsi="Times New Roman" w:cs="Times New Roman"/>
          <w:bCs/>
          <w:color w:val="000000" w:themeColor="text1"/>
          <w:sz w:val="24"/>
          <w:szCs w:val="24"/>
        </w:rPr>
        <w:t>nodrošinātu pakalpojumu atbilstību vides aizsardzības prasībām, tajā skaitā ES direktīvām, piemēram</w:t>
      </w:r>
      <w:r>
        <w:rPr>
          <w:rFonts w:ascii="Times New Roman" w:hAnsi="Times New Roman" w:cs="Times New Roman"/>
          <w:bCs/>
          <w:color w:val="000000" w:themeColor="text1"/>
          <w:sz w:val="24"/>
          <w:szCs w:val="24"/>
        </w:rPr>
        <w:t>,</w:t>
      </w:r>
      <w:r w:rsidRPr="007C40D5">
        <w:rPr>
          <w:rFonts w:ascii="Times New Roman" w:hAnsi="Times New Roman" w:cs="Times New Roman"/>
          <w:bCs/>
          <w:color w:val="000000" w:themeColor="text1"/>
          <w:sz w:val="24"/>
          <w:szCs w:val="24"/>
        </w:rPr>
        <w:t xml:space="preserve"> atkritumsaimniecības jomā; turklāt ES fondu finansējums paredz ieguldījumus, lai iedzīvotāju izziņas un dabas vērtību iepazīšanas procesā netiktu nodarīts neatgriezenisks kaitējums īpaši aizsargājamo sugu un dzīvotņu teritorijām</w:t>
      </w:r>
      <w:r>
        <w:rPr>
          <w:rFonts w:ascii="Times New Roman" w:hAnsi="Times New Roman" w:cs="Times New Roman"/>
          <w:bCs/>
          <w:color w:val="000000" w:themeColor="text1"/>
          <w:sz w:val="24"/>
          <w:szCs w:val="24"/>
        </w:rPr>
        <w:t>.</w:t>
      </w:r>
    </w:p>
    <w:bookmarkEnd w:id="12"/>
    <w:p w14:paraId="4A635EEF" w14:textId="696185DA" w:rsidR="00F02498" w:rsidRPr="00314B1D" w:rsidRDefault="00314B1D" w:rsidP="004C46F4">
      <w:pPr>
        <w:suppressAutoHyphens/>
        <w:spacing w:line="240" w:lineRule="auto"/>
        <w:ind w:left="360"/>
        <w:jc w:val="both"/>
        <w:rPr>
          <w:rFonts w:ascii="Times New Roman" w:hAnsi="Times New Roman" w:cs="Times New Roman"/>
          <w:b/>
          <w:szCs w:val="24"/>
        </w:rPr>
      </w:pPr>
      <w:r w:rsidRPr="00314B1D">
        <w:rPr>
          <w:rFonts w:ascii="Times New Roman" w:eastAsia="Calibri" w:hAnsi="Times New Roman" w:cs="Times New Roman"/>
          <w:b/>
          <w:lang w:eastAsia="ar-SA"/>
        </w:rPr>
        <w:t>4.2.2.SAM</w:t>
      </w:r>
      <w:r w:rsidRPr="00314B1D">
        <w:rPr>
          <w:rFonts w:ascii="Times New Roman" w:eastAsia="Calibri" w:hAnsi="Times New Roman" w:cs="Times New Roman"/>
          <w:b/>
          <w:vertAlign w:val="superscript"/>
          <w:lang w:eastAsia="ar-SA"/>
        </w:rPr>
        <w:footnoteReference w:id="8"/>
      </w:r>
      <w:r w:rsidRPr="00314B1D">
        <w:rPr>
          <w:rFonts w:ascii="Times New Roman" w:eastAsia="Calibri" w:hAnsi="Times New Roman" w:cs="Times New Roman"/>
          <w:b/>
          <w:lang w:eastAsia="ar-SA"/>
        </w:rPr>
        <w:t xml:space="preserve"> </w:t>
      </w:r>
      <w:r w:rsidR="00F02498" w:rsidRPr="00314B1D">
        <w:rPr>
          <w:rFonts w:ascii="Times New Roman" w:eastAsia="Calibri" w:hAnsi="Times New Roman" w:cs="Times New Roman"/>
          <w:b/>
          <w:lang w:eastAsia="ar-SA"/>
        </w:rPr>
        <w:t>5.3.1.SAM</w:t>
      </w:r>
      <w:r w:rsidR="00F02498" w:rsidRPr="00314B1D">
        <w:rPr>
          <w:rFonts w:ascii="Times New Roman" w:hAnsi="Times New Roman" w:cs="Times New Roman"/>
          <w:b/>
          <w:vertAlign w:val="superscript"/>
          <w:lang w:eastAsia="ar-SA"/>
        </w:rPr>
        <w:footnoteReference w:id="9"/>
      </w:r>
      <w:r w:rsidR="00F02498" w:rsidRPr="00314B1D">
        <w:rPr>
          <w:rFonts w:ascii="Times New Roman" w:eastAsia="Calibri" w:hAnsi="Times New Roman" w:cs="Times New Roman"/>
          <w:b/>
          <w:lang w:eastAsia="ar-SA"/>
        </w:rPr>
        <w:t>, 5.2.1.SAM</w:t>
      </w:r>
      <w:r w:rsidR="00F02498" w:rsidRPr="00314B1D">
        <w:rPr>
          <w:rFonts w:ascii="Times New Roman" w:hAnsi="Times New Roman" w:cs="Times New Roman"/>
          <w:b/>
          <w:vertAlign w:val="superscript"/>
          <w:lang w:eastAsia="ar-SA"/>
        </w:rPr>
        <w:footnoteReference w:id="10"/>
      </w:r>
      <w:r w:rsidR="00F02498" w:rsidRPr="00314B1D">
        <w:rPr>
          <w:rFonts w:ascii="Times New Roman" w:eastAsia="Calibri" w:hAnsi="Times New Roman" w:cs="Times New Roman"/>
          <w:b/>
          <w:lang w:eastAsia="ar-SA"/>
        </w:rPr>
        <w:t>, 5.4.1.SAM</w:t>
      </w:r>
      <w:r w:rsidR="00F02498" w:rsidRPr="00314B1D">
        <w:rPr>
          <w:rStyle w:val="Vresatsauce"/>
          <w:rFonts w:ascii="Times New Roman" w:eastAsia="Calibri" w:hAnsi="Times New Roman" w:cs="Times New Roman"/>
          <w:b/>
          <w:lang w:eastAsia="ar-SA"/>
        </w:rPr>
        <w:footnoteReference w:id="11"/>
      </w:r>
      <w:r>
        <w:rPr>
          <w:rFonts w:ascii="Times New Roman" w:eastAsia="Calibri" w:hAnsi="Times New Roman" w:cs="Times New Roman"/>
          <w:b/>
          <w:lang w:eastAsia="ar-SA"/>
        </w:rPr>
        <w:t xml:space="preserve"> </w:t>
      </w:r>
      <w:r>
        <w:rPr>
          <w:rFonts w:ascii="Times New Roman" w:hAnsi="Times New Roman" w:cs="Times New Roman"/>
          <w:b/>
          <w:color w:val="000000" w:themeColor="text1"/>
          <w:szCs w:val="24"/>
        </w:rPr>
        <w:t>p</w:t>
      </w:r>
      <w:r w:rsidRPr="000D36D7">
        <w:rPr>
          <w:rFonts w:ascii="Times New Roman" w:hAnsi="Times New Roman" w:cs="Times New Roman"/>
          <w:b/>
          <w:color w:val="000000" w:themeColor="text1"/>
          <w:szCs w:val="24"/>
        </w:rPr>
        <w:t xml:space="preserve">rojektu ieviešanas </w:t>
      </w:r>
      <w:r w:rsidRPr="00314B1D">
        <w:rPr>
          <w:rFonts w:ascii="Times New Roman" w:hAnsi="Times New Roman" w:cs="Times New Roman"/>
          <w:b/>
          <w:szCs w:val="24"/>
        </w:rPr>
        <w:t>progress</w:t>
      </w:r>
    </w:p>
    <w:p w14:paraId="535C001B" w14:textId="098A1BC9" w:rsidR="00314B1D" w:rsidRPr="00A24E93" w:rsidRDefault="00314B1D" w:rsidP="00314B1D">
      <w:pPr>
        <w:pStyle w:val="Sarakstarindkopa"/>
        <w:suppressAutoHyphens/>
        <w:spacing w:after="120"/>
        <w:ind w:left="0"/>
        <w:contextualSpacing w:val="0"/>
        <w:jc w:val="both"/>
        <w:rPr>
          <w:rFonts w:ascii="Times New Roman" w:hAnsi="Times New Roman" w:cs="Times New Roman"/>
          <w:bCs/>
          <w:color w:val="000000" w:themeColor="text1"/>
          <w:sz w:val="16"/>
          <w:szCs w:val="16"/>
        </w:rPr>
      </w:pPr>
      <w:bookmarkStart w:id="13" w:name="_Hlk23341343"/>
      <w:r w:rsidRPr="00A80966">
        <w:rPr>
          <w:rFonts w:ascii="Times New Roman" w:hAnsi="Times New Roman" w:cs="Times New Roman"/>
          <w:bCs/>
          <w:color w:val="000000" w:themeColor="text1"/>
          <w:sz w:val="24"/>
          <w:szCs w:val="24"/>
        </w:rPr>
        <w:t xml:space="preserve">Vidzemes plānošanas reģionā kopumā </w:t>
      </w:r>
      <w:r w:rsidR="00632F66" w:rsidRPr="00632F66">
        <w:rPr>
          <w:rFonts w:ascii="Times New Roman" w:hAnsi="Times New Roman" w:cs="Times New Roman"/>
          <w:bCs/>
          <w:color w:val="000000" w:themeColor="text1"/>
          <w:sz w:val="24"/>
          <w:szCs w:val="24"/>
        </w:rPr>
        <w:t>4.2.2.SAM</w:t>
      </w:r>
      <w:r w:rsidR="00632F66">
        <w:rPr>
          <w:rFonts w:ascii="Times New Roman" w:hAnsi="Times New Roman" w:cs="Times New Roman"/>
          <w:bCs/>
          <w:color w:val="000000" w:themeColor="text1"/>
          <w:sz w:val="24"/>
          <w:szCs w:val="24"/>
        </w:rPr>
        <w:t>,</w:t>
      </w:r>
      <w:r w:rsidR="00632F66" w:rsidRPr="00632F66">
        <w:rPr>
          <w:rFonts w:ascii="Times New Roman" w:hAnsi="Times New Roman" w:cs="Times New Roman"/>
          <w:bCs/>
          <w:color w:val="000000" w:themeColor="text1"/>
          <w:sz w:val="24"/>
          <w:szCs w:val="24"/>
        </w:rPr>
        <w:t xml:space="preserve"> 5.3.1.SAM, 5.2.1.SAM</w:t>
      </w:r>
      <w:r w:rsidR="00632F66">
        <w:rPr>
          <w:rFonts w:ascii="Times New Roman" w:hAnsi="Times New Roman" w:cs="Times New Roman"/>
          <w:bCs/>
          <w:color w:val="000000" w:themeColor="text1"/>
          <w:sz w:val="24"/>
          <w:szCs w:val="24"/>
        </w:rPr>
        <w:t xml:space="preserve"> un</w:t>
      </w:r>
      <w:r w:rsidR="00632F66" w:rsidRPr="00632F66">
        <w:rPr>
          <w:rFonts w:ascii="Times New Roman" w:hAnsi="Times New Roman" w:cs="Times New Roman"/>
          <w:bCs/>
          <w:color w:val="000000" w:themeColor="text1"/>
          <w:sz w:val="24"/>
          <w:szCs w:val="24"/>
        </w:rPr>
        <w:t xml:space="preserve"> 5.4.1.SAM </w:t>
      </w:r>
      <w:r w:rsidRPr="00A80966">
        <w:rPr>
          <w:rFonts w:ascii="Times New Roman" w:hAnsi="Times New Roman" w:cs="Times New Roman"/>
          <w:bCs/>
          <w:color w:val="000000" w:themeColor="text1"/>
          <w:sz w:val="24"/>
          <w:szCs w:val="24"/>
        </w:rPr>
        <w:t xml:space="preserve">ietvaros </w:t>
      </w:r>
      <w:r w:rsidRPr="00A80966">
        <w:rPr>
          <w:rFonts w:ascii="Times New Roman" w:hAnsi="Times New Roman" w:cs="Times New Roman"/>
          <w:b/>
          <w:color w:val="000000" w:themeColor="text1"/>
          <w:sz w:val="24"/>
          <w:szCs w:val="24"/>
        </w:rPr>
        <w:t>26</w:t>
      </w:r>
      <w:r w:rsidRPr="00A80966">
        <w:rPr>
          <w:rFonts w:ascii="Times New Roman" w:hAnsi="Times New Roman" w:cs="Times New Roman"/>
          <w:bCs/>
          <w:color w:val="000000" w:themeColor="text1"/>
          <w:sz w:val="24"/>
          <w:szCs w:val="24"/>
        </w:rPr>
        <w:t xml:space="preserve"> pašvaldībām 2014. – 2020.gada plānošanas periodā ES fondu finansējums ir pieejams </w:t>
      </w:r>
      <w:r w:rsidR="00A24E93">
        <w:rPr>
          <w:rFonts w:ascii="Times New Roman" w:hAnsi="Times New Roman" w:cs="Times New Roman"/>
          <w:b/>
          <w:color w:val="000000" w:themeColor="text1"/>
          <w:sz w:val="24"/>
          <w:szCs w:val="24"/>
        </w:rPr>
        <w:t>9,63</w:t>
      </w:r>
      <w:r w:rsidRPr="00A80966">
        <w:rPr>
          <w:rFonts w:ascii="Times New Roman" w:hAnsi="Times New Roman" w:cs="Times New Roman"/>
          <w:bCs/>
          <w:color w:val="000000" w:themeColor="text1"/>
          <w:sz w:val="24"/>
          <w:szCs w:val="24"/>
        </w:rPr>
        <w:t xml:space="preserve"> milj. </w:t>
      </w:r>
      <w:r w:rsidR="00521B49" w:rsidRPr="00521B49">
        <w:rPr>
          <w:rFonts w:ascii="Times New Roman" w:hAnsi="Times New Roman" w:cs="Times New Roman"/>
          <w:bCs/>
          <w:i/>
          <w:color w:val="000000" w:themeColor="text1"/>
          <w:sz w:val="24"/>
          <w:szCs w:val="24"/>
        </w:rPr>
        <w:t>euro</w:t>
      </w:r>
      <w:r w:rsidRPr="00A80966">
        <w:rPr>
          <w:rFonts w:ascii="Times New Roman" w:hAnsi="Times New Roman" w:cs="Times New Roman"/>
          <w:bCs/>
          <w:color w:val="000000" w:themeColor="text1"/>
          <w:sz w:val="24"/>
          <w:szCs w:val="24"/>
        </w:rPr>
        <w:t xml:space="preserve"> apmērā. </w:t>
      </w:r>
    </w:p>
    <w:p w14:paraId="0B7CE128" w14:textId="10415F3C" w:rsidR="00314B1D" w:rsidRDefault="00A24E93" w:rsidP="00314B1D">
      <w:pPr>
        <w:pStyle w:val="Sarakstarindkopa"/>
        <w:suppressAutoHyphens/>
        <w:spacing w:after="120"/>
        <w:ind w:left="0"/>
        <w:contextualSpacing w:val="0"/>
        <w:jc w:val="both"/>
        <w:rPr>
          <w:rFonts w:ascii="Times New Roman" w:hAnsi="Times New Roman" w:cs="Times New Roman"/>
          <w:sz w:val="24"/>
          <w:szCs w:val="24"/>
        </w:rPr>
      </w:pPr>
      <w:r w:rsidRPr="00A24E93">
        <w:rPr>
          <w:rFonts w:ascii="Times New Roman" w:hAnsi="Times New Roman" w:cs="Times New Roman"/>
          <w:bCs/>
          <w:color w:val="000000" w:themeColor="text1"/>
          <w:sz w:val="24"/>
          <w:szCs w:val="24"/>
        </w:rPr>
        <w:t xml:space="preserve">Līdz šim ir iesniegti, apstiprināti projekti vai arī noslēgti līgumi par 22 projektu īstenošanu par 8,1 milj. </w:t>
      </w:r>
      <w:r w:rsidR="00521B49" w:rsidRPr="00521B49">
        <w:rPr>
          <w:rFonts w:ascii="Times New Roman" w:hAnsi="Times New Roman" w:cs="Times New Roman"/>
          <w:bCs/>
          <w:i/>
          <w:color w:val="000000" w:themeColor="text1"/>
          <w:sz w:val="24"/>
          <w:szCs w:val="24"/>
        </w:rPr>
        <w:t>euro</w:t>
      </w:r>
      <w:r w:rsidRPr="00A24E93">
        <w:rPr>
          <w:rFonts w:ascii="Times New Roman" w:hAnsi="Times New Roman" w:cs="Times New Roman"/>
          <w:bCs/>
          <w:color w:val="000000" w:themeColor="text1"/>
          <w:sz w:val="24"/>
          <w:szCs w:val="24"/>
        </w:rPr>
        <w:t xml:space="preserve"> (84%), tai skaitā iesniegti trīs projektu iesniegumi par 0,725 milj. </w:t>
      </w:r>
      <w:r w:rsidR="00521B49" w:rsidRPr="00521B49">
        <w:rPr>
          <w:rFonts w:ascii="Times New Roman" w:hAnsi="Times New Roman" w:cs="Times New Roman"/>
          <w:bCs/>
          <w:i/>
          <w:color w:val="000000" w:themeColor="text1"/>
          <w:sz w:val="24"/>
          <w:szCs w:val="24"/>
        </w:rPr>
        <w:t>euro</w:t>
      </w:r>
      <w:r w:rsidRPr="00A24E93">
        <w:rPr>
          <w:rFonts w:ascii="Times New Roman" w:hAnsi="Times New Roman" w:cs="Times New Roman"/>
          <w:bCs/>
          <w:color w:val="000000" w:themeColor="text1"/>
          <w:sz w:val="24"/>
          <w:szCs w:val="24"/>
        </w:rPr>
        <w:t xml:space="preserve"> (8%), noslēgti 15 līgumi par projekta īstenošanu par 5,34 milj. </w:t>
      </w:r>
      <w:r w:rsidR="00521B49" w:rsidRPr="00521B49">
        <w:rPr>
          <w:rFonts w:ascii="Times New Roman" w:hAnsi="Times New Roman" w:cs="Times New Roman"/>
          <w:bCs/>
          <w:i/>
          <w:color w:val="000000" w:themeColor="text1"/>
          <w:sz w:val="24"/>
          <w:szCs w:val="24"/>
        </w:rPr>
        <w:t>euro</w:t>
      </w:r>
      <w:r w:rsidRPr="00A24E93">
        <w:rPr>
          <w:rFonts w:ascii="Times New Roman" w:hAnsi="Times New Roman" w:cs="Times New Roman"/>
          <w:bCs/>
          <w:color w:val="000000" w:themeColor="text1"/>
          <w:sz w:val="24"/>
          <w:szCs w:val="24"/>
        </w:rPr>
        <w:t xml:space="preserve"> (55%), bet pabeigti </w:t>
      </w:r>
      <w:r w:rsidR="00971E48">
        <w:rPr>
          <w:rFonts w:ascii="Times New Roman" w:hAnsi="Times New Roman" w:cs="Times New Roman"/>
          <w:bCs/>
          <w:color w:val="000000" w:themeColor="text1"/>
          <w:sz w:val="24"/>
          <w:szCs w:val="24"/>
        </w:rPr>
        <w:t>četri</w:t>
      </w:r>
      <w:r w:rsidRPr="00A24E93">
        <w:rPr>
          <w:rFonts w:ascii="Times New Roman" w:hAnsi="Times New Roman" w:cs="Times New Roman"/>
          <w:bCs/>
          <w:color w:val="000000" w:themeColor="text1"/>
          <w:sz w:val="24"/>
          <w:szCs w:val="24"/>
        </w:rPr>
        <w:t xml:space="preserve"> projekti par 1,86 milj. </w:t>
      </w:r>
      <w:r w:rsidR="00521B49" w:rsidRPr="00521B49">
        <w:rPr>
          <w:rFonts w:ascii="Times New Roman" w:hAnsi="Times New Roman" w:cs="Times New Roman"/>
          <w:bCs/>
          <w:i/>
          <w:color w:val="000000" w:themeColor="text1"/>
          <w:sz w:val="24"/>
          <w:szCs w:val="24"/>
        </w:rPr>
        <w:t>euro</w:t>
      </w:r>
      <w:r w:rsidRPr="00A24E93">
        <w:rPr>
          <w:rFonts w:ascii="Times New Roman" w:hAnsi="Times New Roman" w:cs="Times New Roman"/>
          <w:bCs/>
          <w:color w:val="000000" w:themeColor="text1"/>
          <w:sz w:val="24"/>
          <w:szCs w:val="24"/>
        </w:rPr>
        <w:t xml:space="preserve"> (19%). Vēl nav iesniegti plānotie projektu iesniegumi par 0,177 milj. </w:t>
      </w:r>
      <w:r w:rsidR="00521B49" w:rsidRPr="00521B49">
        <w:rPr>
          <w:rFonts w:ascii="Times New Roman" w:hAnsi="Times New Roman" w:cs="Times New Roman"/>
          <w:bCs/>
          <w:i/>
          <w:color w:val="000000" w:themeColor="text1"/>
          <w:sz w:val="24"/>
          <w:szCs w:val="24"/>
        </w:rPr>
        <w:t>euro</w:t>
      </w:r>
      <w:r w:rsidRPr="00A24E93">
        <w:rPr>
          <w:rFonts w:ascii="Times New Roman" w:hAnsi="Times New Roman" w:cs="Times New Roman"/>
          <w:bCs/>
          <w:color w:val="000000" w:themeColor="text1"/>
          <w:sz w:val="24"/>
          <w:szCs w:val="24"/>
        </w:rPr>
        <w:t xml:space="preserve"> (2%).</w:t>
      </w:r>
    </w:p>
    <w:bookmarkEnd w:id="13"/>
    <w:p w14:paraId="6DF02385" w14:textId="3159A990" w:rsidR="00F84A16" w:rsidRDefault="00F84A16" w:rsidP="00F84A16">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sidRPr="00A80966">
        <w:rPr>
          <w:rFonts w:ascii="Times New Roman" w:hAnsi="Times New Roman" w:cs="Times New Roman"/>
          <w:bCs/>
          <w:color w:val="000000" w:themeColor="text1"/>
          <w:sz w:val="24"/>
          <w:szCs w:val="24"/>
        </w:rPr>
        <w:t xml:space="preserve">Salīdzinājumā ar pārējiem plānošanas reģioniem Vidzemes plānošanas reģiona projektu īstenošanas progress ir </w:t>
      </w:r>
      <w:r w:rsidR="00F82C47">
        <w:rPr>
          <w:rFonts w:ascii="Times New Roman" w:hAnsi="Times New Roman" w:cs="Times New Roman"/>
          <w:bCs/>
          <w:color w:val="000000" w:themeColor="text1"/>
          <w:sz w:val="24"/>
          <w:szCs w:val="24"/>
        </w:rPr>
        <w:t xml:space="preserve">līdzīgs citiem </w:t>
      </w:r>
      <w:r w:rsidRPr="00A80966">
        <w:rPr>
          <w:rFonts w:ascii="Times New Roman" w:hAnsi="Times New Roman" w:cs="Times New Roman"/>
          <w:bCs/>
          <w:color w:val="000000" w:themeColor="text1"/>
          <w:sz w:val="24"/>
          <w:szCs w:val="24"/>
        </w:rPr>
        <w:t>plānošanas reģion</w:t>
      </w:r>
      <w:r w:rsidR="00F82C47">
        <w:rPr>
          <w:rFonts w:ascii="Times New Roman" w:hAnsi="Times New Roman" w:cs="Times New Roman"/>
          <w:bCs/>
          <w:color w:val="000000" w:themeColor="text1"/>
          <w:sz w:val="24"/>
          <w:szCs w:val="24"/>
        </w:rPr>
        <w:t xml:space="preserve">iem, bet ar lielāko pabeigto projektu īpatsvaru naudas izteiksmē </w:t>
      </w:r>
      <w:r w:rsidRPr="00A80966">
        <w:rPr>
          <w:rFonts w:ascii="Times New Roman" w:hAnsi="Times New Roman" w:cs="Times New Roman"/>
          <w:bCs/>
          <w:color w:val="000000" w:themeColor="text1"/>
          <w:sz w:val="24"/>
          <w:szCs w:val="24"/>
        </w:rPr>
        <w:t>(</w:t>
      </w:r>
      <w:r w:rsidR="00F82C47">
        <w:rPr>
          <w:rFonts w:ascii="Times New Roman" w:hAnsi="Times New Roman" w:cs="Times New Roman"/>
          <w:bCs/>
          <w:color w:val="000000" w:themeColor="text1"/>
          <w:sz w:val="24"/>
          <w:szCs w:val="24"/>
        </w:rPr>
        <w:t>23</w:t>
      </w:r>
      <w:r w:rsidRPr="00A80966">
        <w:rPr>
          <w:rFonts w:ascii="Times New Roman" w:hAnsi="Times New Roman" w:cs="Times New Roman"/>
          <w:bCs/>
          <w:color w:val="000000" w:themeColor="text1"/>
          <w:sz w:val="24"/>
          <w:szCs w:val="24"/>
        </w:rPr>
        <w:t>%) (</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00BA13A1" w:rsidRPr="00BE245A">
        <w:rPr>
          <w:rFonts w:ascii="Times New Roman" w:hAnsi="Times New Roman" w:cs="Times New Roman"/>
          <w:bCs/>
          <w:i/>
          <w:iCs/>
          <w:color w:val="000000" w:themeColor="text1"/>
          <w:sz w:val="24"/>
          <w:szCs w:val="24"/>
        </w:rPr>
        <w:t>ttēlu</w:t>
      </w:r>
      <w:r w:rsidR="00BA13A1">
        <w:rPr>
          <w:rFonts w:ascii="Times New Roman" w:hAnsi="Times New Roman" w:cs="Times New Roman"/>
          <w:bCs/>
          <w:i/>
          <w:iCs/>
          <w:color w:val="000000" w:themeColor="text1"/>
          <w:sz w:val="24"/>
          <w:szCs w:val="24"/>
        </w:rPr>
        <w:t xml:space="preserve"> </w:t>
      </w:r>
      <w:r w:rsidR="00BE245A" w:rsidRPr="004828EA">
        <w:rPr>
          <w:rFonts w:ascii="Times New Roman" w:hAnsi="Times New Roman" w:cs="Times New Roman"/>
          <w:bCs/>
          <w:i/>
          <w:iCs/>
          <w:color w:val="000000" w:themeColor="text1"/>
          <w:sz w:val="24"/>
          <w:szCs w:val="24"/>
        </w:rPr>
        <w:t>Nr.1</w:t>
      </w:r>
      <w:r w:rsidR="00EF428B">
        <w:rPr>
          <w:rFonts w:ascii="Times New Roman" w:hAnsi="Times New Roman" w:cs="Times New Roman"/>
          <w:bCs/>
          <w:i/>
          <w:iCs/>
          <w:color w:val="000000" w:themeColor="text1"/>
          <w:sz w:val="24"/>
          <w:szCs w:val="24"/>
        </w:rPr>
        <w:t>1</w:t>
      </w:r>
      <w:r w:rsidRPr="00A80966">
        <w:rPr>
          <w:rFonts w:ascii="Times New Roman" w:hAnsi="Times New Roman" w:cs="Times New Roman"/>
          <w:bCs/>
          <w:color w:val="000000" w:themeColor="text1"/>
          <w:sz w:val="24"/>
          <w:szCs w:val="24"/>
        </w:rPr>
        <w:t>).</w:t>
      </w:r>
    </w:p>
    <w:p w14:paraId="24B80D28" w14:textId="1675E5FF" w:rsidR="00BE245A" w:rsidRDefault="00BE245A" w:rsidP="00BE245A">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lastRenderedPageBreak/>
        <w:t>Attēls Nr.</w:t>
      </w:r>
      <w:r>
        <w:rPr>
          <w:rFonts w:ascii="Times New Roman" w:eastAsia="Times New Roman" w:hAnsi="Times New Roman" w:cs="Times New Roman"/>
          <w:bCs/>
          <w:i/>
          <w:sz w:val="24"/>
          <w:szCs w:val="24"/>
          <w:lang w:eastAsia="lv-LV"/>
        </w:rPr>
        <w:t>1</w:t>
      </w:r>
      <w:r w:rsidR="00EF428B">
        <w:rPr>
          <w:rFonts w:ascii="Times New Roman" w:eastAsia="Times New Roman" w:hAnsi="Times New Roman" w:cs="Times New Roman"/>
          <w:bCs/>
          <w:i/>
          <w:sz w:val="24"/>
          <w:szCs w:val="24"/>
          <w:lang w:eastAsia="lv-LV"/>
        </w:rPr>
        <w:t>1</w:t>
      </w:r>
    </w:p>
    <w:p w14:paraId="1826CD41" w14:textId="77777777" w:rsidR="00F82C47" w:rsidRPr="00BE245A" w:rsidRDefault="00F82C47" w:rsidP="00BE245A">
      <w:pPr>
        <w:spacing w:after="0"/>
        <w:jc w:val="right"/>
        <w:rPr>
          <w:rFonts w:ascii="Times New Roman" w:eastAsia="Times New Roman" w:hAnsi="Times New Roman" w:cs="Times New Roman"/>
          <w:bCs/>
          <w:i/>
          <w:sz w:val="24"/>
          <w:szCs w:val="24"/>
          <w:lang w:eastAsia="lv-LV"/>
        </w:rPr>
      </w:pPr>
    </w:p>
    <w:p w14:paraId="5FD33998" w14:textId="48734B21" w:rsidR="00D43BE1" w:rsidRDefault="004A1DEA" w:rsidP="00F84A16">
      <w:pPr>
        <w:suppressAutoHyphens/>
        <w:spacing w:after="12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65E50CB2" wp14:editId="6BC9000C">
            <wp:extent cx="5556250" cy="3107117"/>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6892" cy="3113068"/>
                    </a:xfrm>
                    <a:prstGeom prst="rect">
                      <a:avLst/>
                    </a:prstGeom>
                    <a:noFill/>
                  </pic:spPr>
                </pic:pic>
              </a:graphicData>
            </a:graphic>
          </wp:inline>
        </w:drawing>
      </w:r>
    </w:p>
    <w:p w14:paraId="2170E07E" w14:textId="77777777" w:rsidR="00910618" w:rsidRDefault="00910618" w:rsidP="00F84A16">
      <w:pPr>
        <w:suppressAutoHyphens/>
        <w:spacing w:after="120" w:line="240" w:lineRule="auto"/>
        <w:jc w:val="both"/>
        <w:rPr>
          <w:rFonts w:ascii="Times New Roman" w:eastAsia="Calibri" w:hAnsi="Times New Roman" w:cs="Times New Roman"/>
          <w:b/>
          <w:lang w:eastAsia="ar-SA"/>
        </w:rPr>
      </w:pPr>
    </w:p>
    <w:p w14:paraId="64ACCAE9" w14:textId="77777777" w:rsidR="007C40D5" w:rsidRDefault="007C40D5" w:rsidP="00F84A16">
      <w:pPr>
        <w:suppressAutoHyphens/>
        <w:spacing w:after="120" w:line="240" w:lineRule="auto"/>
        <w:jc w:val="both"/>
        <w:rPr>
          <w:rFonts w:ascii="Times New Roman" w:eastAsia="Calibri" w:hAnsi="Times New Roman" w:cs="Times New Roman"/>
          <w:b/>
          <w:lang w:eastAsia="ar-SA"/>
        </w:rPr>
      </w:pPr>
    </w:p>
    <w:p w14:paraId="1367702F" w14:textId="53F135B1" w:rsidR="00F84A16" w:rsidRPr="00A80966" w:rsidRDefault="008E66BD" w:rsidP="00F84A16">
      <w:pPr>
        <w:suppressAutoHyphens/>
        <w:spacing w:after="120" w:line="240" w:lineRule="auto"/>
        <w:jc w:val="both"/>
        <w:rPr>
          <w:rFonts w:ascii="Times New Roman" w:hAnsi="Times New Roman" w:cs="Times New Roman"/>
          <w:b/>
          <w:color w:val="000000" w:themeColor="text1"/>
          <w:sz w:val="24"/>
          <w:szCs w:val="24"/>
        </w:rPr>
      </w:pPr>
      <w:r w:rsidRPr="00314B1D">
        <w:rPr>
          <w:rFonts w:ascii="Times New Roman" w:eastAsia="Calibri" w:hAnsi="Times New Roman" w:cs="Times New Roman"/>
          <w:b/>
          <w:lang w:eastAsia="ar-SA"/>
        </w:rPr>
        <w:t>4.2.2.SAM 5.3.1.SAM, 5.2.1.SAM, 5.4.1.SAM</w:t>
      </w:r>
      <w:r>
        <w:rPr>
          <w:rFonts w:ascii="Times New Roman" w:eastAsia="Calibri" w:hAnsi="Times New Roman" w:cs="Times New Roman"/>
          <w:b/>
          <w:lang w:eastAsia="ar-SA"/>
        </w:rPr>
        <w:t xml:space="preserve"> s</w:t>
      </w:r>
      <w:r w:rsidR="00F84A16" w:rsidRPr="00A80966">
        <w:rPr>
          <w:rFonts w:ascii="Times New Roman" w:hAnsi="Times New Roman" w:cs="Times New Roman"/>
          <w:b/>
          <w:color w:val="000000" w:themeColor="text1"/>
          <w:sz w:val="24"/>
          <w:szCs w:val="24"/>
        </w:rPr>
        <w:t xml:space="preserve">asniedzamo iznākuma rādītāju statuss </w:t>
      </w:r>
    </w:p>
    <w:p w14:paraId="26C35B2C" w14:textId="2F62C90F" w:rsidR="001F6B5A" w:rsidRPr="00B841C2" w:rsidRDefault="001F6B5A" w:rsidP="001F6B5A">
      <w:pPr>
        <w:pStyle w:val="Sarakstarindkopa"/>
        <w:suppressAutoHyphens/>
        <w:spacing w:after="0"/>
        <w:ind w:left="0"/>
        <w:contextualSpacing w:val="0"/>
        <w:jc w:val="both"/>
        <w:rPr>
          <w:rFonts w:ascii="Times New Roman" w:hAnsi="Times New Roman" w:cs="Times New Roman"/>
          <w:color w:val="000000" w:themeColor="text1"/>
          <w:sz w:val="24"/>
          <w:szCs w:val="24"/>
        </w:rPr>
      </w:pPr>
      <w:r w:rsidRPr="00B841C2">
        <w:rPr>
          <w:rFonts w:ascii="Times New Roman" w:hAnsi="Times New Roman" w:cs="Times New Roman"/>
          <w:color w:val="000000" w:themeColor="text1"/>
          <w:sz w:val="24"/>
          <w:szCs w:val="24"/>
        </w:rPr>
        <w:t>MK noteikumos Nr.</w:t>
      </w:r>
      <w:r>
        <w:rPr>
          <w:rFonts w:ascii="Times New Roman" w:hAnsi="Times New Roman" w:cs="Times New Roman"/>
          <w:color w:val="000000" w:themeColor="text1"/>
          <w:sz w:val="24"/>
          <w:szCs w:val="24"/>
        </w:rPr>
        <w:t>152</w:t>
      </w:r>
      <w:r>
        <w:rPr>
          <w:rStyle w:val="Vresatsauce"/>
          <w:rFonts w:ascii="Times New Roman" w:hAnsi="Times New Roman" w:cs="Times New Roman"/>
          <w:color w:val="000000" w:themeColor="text1"/>
          <w:sz w:val="24"/>
          <w:szCs w:val="24"/>
        </w:rPr>
        <w:footnoteReference w:id="12"/>
      </w:r>
      <w:r>
        <w:rPr>
          <w:rFonts w:ascii="Times New Roman" w:hAnsi="Times New Roman" w:cs="Times New Roman"/>
          <w:color w:val="000000" w:themeColor="text1"/>
          <w:sz w:val="24"/>
          <w:szCs w:val="24"/>
        </w:rPr>
        <w:t xml:space="preserve">, </w:t>
      </w:r>
      <w:r w:rsidRPr="00B841C2">
        <w:rPr>
          <w:rFonts w:ascii="Times New Roman" w:hAnsi="Times New Roman" w:cs="Times New Roman"/>
          <w:color w:val="000000" w:themeColor="text1"/>
          <w:sz w:val="24"/>
          <w:szCs w:val="24"/>
        </w:rPr>
        <w:t>MK noteikumos Nr.403</w:t>
      </w:r>
      <w:r w:rsidRPr="00B841C2">
        <w:rPr>
          <w:rStyle w:val="Vresatsau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MK noteikumos Nr.494</w:t>
      </w:r>
      <w:r>
        <w:rPr>
          <w:rStyle w:val="Vresatsauce"/>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 MK noteikumos Nr.588</w:t>
      </w:r>
      <w:r>
        <w:rPr>
          <w:rStyle w:val="Vresatsauce"/>
          <w:rFonts w:ascii="Times New Roman" w:hAnsi="Times New Roman" w:cs="Times New Roman"/>
          <w:color w:val="000000" w:themeColor="text1"/>
          <w:sz w:val="24"/>
          <w:szCs w:val="24"/>
        </w:rPr>
        <w:footnoteReference w:id="15"/>
      </w:r>
      <w:r>
        <w:rPr>
          <w:rFonts w:ascii="Times New Roman" w:hAnsi="Times New Roman" w:cs="Times New Roman"/>
          <w:color w:val="000000" w:themeColor="text1"/>
          <w:sz w:val="24"/>
          <w:szCs w:val="24"/>
        </w:rPr>
        <w:t>, MK noteikumos Nr. 498</w:t>
      </w:r>
      <w:r>
        <w:rPr>
          <w:rStyle w:val="Vresatsauce"/>
          <w:rFonts w:ascii="Times New Roman" w:hAnsi="Times New Roman" w:cs="Times New Roman"/>
          <w:color w:val="000000" w:themeColor="text1"/>
          <w:sz w:val="24"/>
          <w:szCs w:val="24"/>
        </w:rPr>
        <w:footnoteReference w:id="16"/>
      </w:r>
      <w:r>
        <w:rPr>
          <w:rFonts w:ascii="Times New Roman" w:hAnsi="Times New Roman" w:cs="Times New Roman"/>
          <w:color w:val="000000" w:themeColor="text1"/>
          <w:sz w:val="24"/>
          <w:szCs w:val="24"/>
        </w:rPr>
        <w:t xml:space="preserve"> </w:t>
      </w:r>
      <w:r w:rsidRPr="00B841C2">
        <w:rPr>
          <w:rFonts w:ascii="Times New Roman" w:hAnsi="Times New Roman" w:cs="Times New Roman"/>
          <w:color w:val="000000" w:themeColor="text1"/>
          <w:sz w:val="24"/>
          <w:szCs w:val="24"/>
        </w:rPr>
        <w:t>un MK noteikumos Nr.</w:t>
      </w:r>
      <w:r>
        <w:rPr>
          <w:rFonts w:ascii="Times New Roman" w:hAnsi="Times New Roman" w:cs="Times New Roman"/>
          <w:color w:val="000000" w:themeColor="text1"/>
          <w:sz w:val="24"/>
          <w:szCs w:val="24"/>
        </w:rPr>
        <w:t>514</w:t>
      </w:r>
      <w:r w:rsidRPr="00B841C2">
        <w:rPr>
          <w:rStyle w:val="Vresatsauce"/>
          <w:rFonts w:ascii="Times New Roman" w:hAnsi="Times New Roman" w:cs="Times New Roman"/>
          <w:color w:val="000000" w:themeColor="text1"/>
          <w:sz w:val="24"/>
          <w:szCs w:val="24"/>
        </w:rPr>
        <w:footnoteReference w:id="17"/>
      </w:r>
      <w:r w:rsidRPr="00B841C2">
        <w:rPr>
          <w:rFonts w:ascii="Times New Roman" w:hAnsi="Times New Roman" w:cs="Times New Roman"/>
          <w:color w:val="000000" w:themeColor="text1"/>
          <w:sz w:val="24"/>
          <w:szCs w:val="24"/>
        </w:rPr>
        <w:t xml:space="preserve"> ir noteikts šāds sasniedzamo iznākuma rādītāju apjoms:</w:t>
      </w:r>
    </w:p>
    <w:p w14:paraId="0FB1AEE2" w14:textId="5FB5076C" w:rsidR="001F6B5A" w:rsidRDefault="001F6B5A" w:rsidP="001F6B5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1F6B5A">
        <w:rPr>
          <w:rFonts w:ascii="Times New Roman" w:hAnsi="Times New Roman" w:cs="Times New Roman"/>
          <w:color w:val="000000" w:themeColor="text1"/>
          <w:sz w:val="24"/>
          <w:szCs w:val="24"/>
        </w:rPr>
        <w:t>primārās enerģijas gada patēriņa samazinājums sabiedriskajās ēkās – vismaz 20 536 239 kilovatstundas gadā</w:t>
      </w:r>
      <w:r>
        <w:rPr>
          <w:rFonts w:ascii="Times New Roman" w:hAnsi="Times New Roman" w:cs="Times New Roman"/>
          <w:color w:val="000000" w:themeColor="text1"/>
          <w:sz w:val="24"/>
          <w:szCs w:val="24"/>
        </w:rPr>
        <w:t>;</w:t>
      </w:r>
    </w:p>
    <w:p w14:paraId="3EEA9EB7" w14:textId="1315DC21" w:rsidR="001F6B5A" w:rsidRDefault="001F6B5A" w:rsidP="001F6B5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1F6B5A">
        <w:rPr>
          <w:rFonts w:ascii="Times New Roman" w:hAnsi="Times New Roman" w:cs="Times New Roman"/>
          <w:color w:val="000000" w:themeColor="text1"/>
          <w:sz w:val="24"/>
          <w:szCs w:val="24"/>
        </w:rPr>
        <w:t>aprēķinātais siltumnīcefekta gāzu samazinājums gadā – vismaz 5 180 ogļskābās gāzes ekvivalenta tonnas</w:t>
      </w:r>
      <w:r>
        <w:rPr>
          <w:rFonts w:ascii="Times New Roman" w:hAnsi="Times New Roman" w:cs="Times New Roman"/>
          <w:color w:val="000000" w:themeColor="text1"/>
          <w:sz w:val="24"/>
          <w:szCs w:val="24"/>
        </w:rPr>
        <w:t>;</w:t>
      </w:r>
    </w:p>
    <w:p w14:paraId="2F8D622E" w14:textId="46323896" w:rsidR="001F6B5A" w:rsidRPr="00B841C2" w:rsidRDefault="001F6B5A" w:rsidP="001F6B5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sidRPr="00B841C2">
        <w:rPr>
          <w:rFonts w:ascii="Times New Roman" w:hAnsi="Times New Roman" w:cs="Times New Roman"/>
          <w:color w:val="000000" w:themeColor="text1"/>
          <w:sz w:val="24"/>
          <w:szCs w:val="24"/>
        </w:rPr>
        <w:lastRenderedPageBreak/>
        <w:t>projektu ietvaros nodrošināti mājsaimniecību pieslēgumi centralizētajiem notekūdeņu attīrīšanas pakalpojumiem – 41 790 iedzīvotājiem;</w:t>
      </w:r>
    </w:p>
    <w:p w14:paraId="5DFC4538" w14:textId="77777777" w:rsidR="001F6B5A" w:rsidRDefault="001F6B5A" w:rsidP="001F6B5A">
      <w:pPr>
        <w:pStyle w:val="Sarakstarindkopa"/>
        <w:numPr>
          <w:ilvl w:val="0"/>
          <w:numId w:val="35"/>
        </w:numPr>
        <w:suppressAutoHyphens/>
        <w:spacing w:after="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atkritumu pārstrādes jaudas pieaugums – 170 000 t/gadā;</w:t>
      </w:r>
    </w:p>
    <w:p w14:paraId="1D9274CB" w14:textId="105B8026" w:rsidR="001F6B5A" w:rsidRDefault="001F6B5A" w:rsidP="000A281E">
      <w:pPr>
        <w:pStyle w:val="Sarakstarindkopa"/>
        <w:numPr>
          <w:ilvl w:val="0"/>
          <w:numId w:val="35"/>
        </w:numPr>
        <w:suppressAutoHyphens/>
        <w:contextualSpacing w:val="0"/>
        <w:jc w:val="both"/>
        <w:rPr>
          <w:rFonts w:ascii="Times New Roman" w:hAnsi="Times New Roman" w:cs="Times New Roman"/>
          <w:color w:val="000000" w:themeColor="text1"/>
          <w:sz w:val="24"/>
          <w:szCs w:val="24"/>
        </w:rPr>
      </w:pPr>
      <w:r w:rsidRPr="00B841C2">
        <w:rPr>
          <w:rFonts w:ascii="Times New Roman" w:hAnsi="Times New Roman" w:cs="Times New Roman"/>
          <w:color w:val="000000" w:themeColor="text1"/>
          <w:sz w:val="24"/>
          <w:szCs w:val="24"/>
        </w:rPr>
        <w:t>dzīvotņu platība, kas projektu ietvaros saņem atbalstu, lai panāktu labāku aizsardzības pakāpi – 9 318 ha</w:t>
      </w:r>
      <w:r>
        <w:rPr>
          <w:rFonts w:ascii="Times New Roman" w:hAnsi="Times New Roman" w:cs="Times New Roman"/>
          <w:color w:val="000000" w:themeColor="text1"/>
          <w:sz w:val="24"/>
          <w:szCs w:val="24"/>
        </w:rPr>
        <w:t>.</w:t>
      </w:r>
    </w:p>
    <w:p w14:paraId="4791BA5C" w14:textId="13BA1007" w:rsidR="000A281E" w:rsidRDefault="007C40D5" w:rsidP="00F119AE">
      <w:p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4.2.2.SAM ietvaros</w:t>
      </w:r>
      <w:r w:rsidR="00F119AE">
        <w:rPr>
          <w:rFonts w:ascii="Times New Roman" w:hAnsi="Times New Roman" w:cs="Times New Roman"/>
          <w:color w:val="000000" w:themeColor="text1"/>
          <w:sz w:val="24"/>
          <w:szCs w:val="24"/>
        </w:rPr>
        <w:t xml:space="preserve"> Vidzemes plānošanas reģionā šobrīd notiek projektu īstenošana pašvaldību ēku energoefektivitātes jomā, un aptuveni par 40% ir sasniegtas attiecīgo iznākuma rādītāju vērtības – gan </w:t>
      </w:r>
      <w:r w:rsidR="00F119AE" w:rsidRPr="001F6B5A">
        <w:rPr>
          <w:rFonts w:ascii="Times New Roman" w:hAnsi="Times New Roman" w:cs="Times New Roman"/>
          <w:color w:val="000000" w:themeColor="text1"/>
          <w:sz w:val="24"/>
          <w:szCs w:val="24"/>
        </w:rPr>
        <w:t>primārās enerģijas gada patēriņa samazinājums sabiedriskajās ēkās</w:t>
      </w:r>
      <w:r w:rsidR="00F119AE">
        <w:rPr>
          <w:rFonts w:ascii="Times New Roman" w:hAnsi="Times New Roman" w:cs="Times New Roman"/>
          <w:color w:val="000000" w:themeColor="text1"/>
          <w:sz w:val="24"/>
          <w:szCs w:val="24"/>
        </w:rPr>
        <w:t xml:space="preserve">, gan </w:t>
      </w:r>
      <w:r w:rsidR="00F119AE" w:rsidRPr="001F6B5A">
        <w:rPr>
          <w:rFonts w:ascii="Times New Roman" w:hAnsi="Times New Roman" w:cs="Times New Roman"/>
          <w:color w:val="000000" w:themeColor="text1"/>
          <w:sz w:val="24"/>
          <w:szCs w:val="24"/>
        </w:rPr>
        <w:t>aprēķinātais siltumnīcefekta gāzu samazinājums gadā</w:t>
      </w:r>
      <w:r w:rsidR="00F119AE">
        <w:rPr>
          <w:rFonts w:ascii="Times New Roman" w:hAnsi="Times New Roman" w:cs="Times New Roman"/>
          <w:color w:val="000000" w:themeColor="text1"/>
          <w:sz w:val="24"/>
          <w:szCs w:val="24"/>
        </w:rPr>
        <w:t xml:space="preserve"> </w:t>
      </w:r>
      <w:r w:rsidR="00F119AE" w:rsidRPr="008E66BD">
        <w:rPr>
          <w:rFonts w:ascii="Times New Roman" w:hAnsi="Times New Roman" w:cs="Times New Roman"/>
          <w:color w:val="000000" w:themeColor="text1"/>
          <w:sz w:val="24"/>
          <w:szCs w:val="24"/>
        </w:rPr>
        <w:t>(</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00BA13A1" w:rsidRPr="00BE245A">
        <w:rPr>
          <w:rFonts w:ascii="Times New Roman" w:hAnsi="Times New Roman" w:cs="Times New Roman"/>
          <w:bCs/>
          <w:i/>
          <w:iCs/>
          <w:color w:val="000000" w:themeColor="text1"/>
          <w:sz w:val="24"/>
          <w:szCs w:val="24"/>
        </w:rPr>
        <w:t>ttēlu</w:t>
      </w:r>
      <w:r w:rsidR="00BA13A1">
        <w:rPr>
          <w:rFonts w:ascii="Times New Roman" w:hAnsi="Times New Roman" w:cs="Times New Roman"/>
          <w:bCs/>
          <w:i/>
          <w:iCs/>
          <w:color w:val="000000" w:themeColor="text1"/>
          <w:sz w:val="24"/>
          <w:szCs w:val="24"/>
        </w:rPr>
        <w:t xml:space="preserve"> </w:t>
      </w:r>
      <w:r w:rsidR="00F119AE" w:rsidRPr="008E66BD">
        <w:rPr>
          <w:rFonts w:ascii="Times New Roman" w:hAnsi="Times New Roman" w:cs="Times New Roman"/>
          <w:i/>
          <w:iCs/>
          <w:color w:val="000000" w:themeColor="text1"/>
          <w:sz w:val="24"/>
          <w:szCs w:val="24"/>
        </w:rPr>
        <w:t>Nr.1</w:t>
      </w:r>
      <w:r w:rsidR="00EF428B">
        <w:rPr>
          <w:rFonts w:ascii="Times New Roman" w:hAnsi="Times New Roman" w:cs="Times New Roman"/>
          <w:i/>
          <w:iCs/>
          <w:color w:val="000000" w:themeColor="text1"/>
          <w:sz w:val="24"/>
          <w:szCs w:val="24"/>
        </w:rPr>
        <w:t>2</w:t>
      </w:r>
      <w:r w:rsidR="00F119AE" w:rsidRPr="008E66BD">
        <w:rPr>
          <w:rFonts w:ascii="Times New Roman" w:hAnsi="Times New Roman" w:cs="Times New Roman"/>
          <w:color w:val="000000" w:themeColor="text1"/>
          <w:sz w:val="24"/>
          <w:szCs w:val="24"/>
        </w:rPr>
        <w:t>)</w:t>
      </w:r>
      <w:r w:rsidR="00F119AE">
        <w:rPr>
          <w:rFonts w:ascii="Times New Roman" w:hAnsi="Times New Roman" w:cs="Times New Roman"/>
          <w:color w:val="000000" w:themeColor="text1"/>
          <w:sz w:val="24"/>
          <w:szCs w:val="24"/>
        </w:rPr>
        <w:t>.</w:t>
      </w:r>
    </w:p>
    <w:p w14:paraId="08577385" w14:textId="4686A990" w:rsidR="00F119AE" w:rsidRPr="004828EA" w:rsidRDefault="00F119AE" w:rsidP="00F119AE">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w:t>
      </w:r>
      <w:r>
        <w:rPr>
          <w:rFonts w:ascii="Times New Roman" w:eastAsia="Times New Roman" w:hAnsi="Times New Roman" w:cs="Times New Roman"/>
          <w:bCs/>
          <w:i/>
          <w:sz w:val="24"/>
          <w:szCs w:val="24"/>
          <w:lang w:eastAsia="lv-LV"/>
        </w:rPr>
        <w:t>1</w:t>
      </w:r>
      <w:r w:rsidR="00EF428B">
        <w:rPr>
          <w:rFonts w:ascii="Times New Roman" w:eastAsia="Times New Roman" w:hAnsi="Times New Roman" w:cs="Times New Roman"/>
          <w:bCs/>
          <w:i/>
          <w:sz w:val="24"/>
          <w:szCs w:val="24"/>
          <w:lang w:eastAsia="lv-LV"/>
        </w:rPr>
        <w:t>2</w:t>
      </w:r>
    </w:p>
    <w:p w14:paraId="1DF76652" w14:textId="77777777" w:rsidR="00F119AE" w:rsidRPr="00186060" w:rsidRDefault="00F119AE" w:rsidP="00F119AE">
      <w:pPr>
        <w:pStyle w:val="Sarakstarindkopa"/>
        <w:suppressAutoHyphens/>
        <w:ind w:left="0"/>
        <w:contextualSpacing w:val="0"/>
        <w:jc w:val="both"/>
        <w:rPr>
          <w:rFonts w:ascii="Times New Roman" w:hAnsi="Times New Roman" w:cs="Times New Roman"/>
          <w:color w:val="000000" w:themeColor="text1"/>
          <w:szCs w:val="24"/>
        </w:rPr>
      </w:pPr>
      <w:r>
        <w:rPr>
          <w:rFonts w:ascii="Times New Roman" w:hAnsi="Times New Roman" w:cs="Times New Roman"/>
          <w:noProof/>
          <w:color w:val="000000" w:themeColor="text1"/>
          <w:szCs w:val="24"/>
          <w:lang w:eastAsia="lv-LV"/>
        </w:rPr>
        <w:drawing>
          <wp:inline distT="0" distB="0" distL="0" distR="0" wp14:anchorId="371D29B0" wp14:editId="18E64A1C">
            <wp:extent cx="5765800" cy="2328617"/>
            <wp:effectExtent l="0" t="0" r="635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8433" cy="2333719"/>
                    </a:xfrm>
                    <a:prstGeom prst="rect">
                      <a:avLst/>
                    </a:prstGeom>
                    <a:noFill/>
                  </pic:spPr>
                </pic:pic>
              </a:graphicData>
            </a:graphic>
          </wp:inline>
        </w:drawing>
      </w:r>
    </w:p>
    <w:p w14:paraId="178FF284" w14:textId="77777777" w:rsidR="00F119AE" w:rsidRDefault="00F119AE" w:rsidP="001F6B5A">
      <w:pPr>
        <w:suppressAutoHyphens/>
        <w:jc w:val="both"/>
        <w:rPr>
          <w:rFonts w:ascii="Times New Roman" w:hAnsi="Times New Roman" w:cs="Times New Roman"/>
          <w:color w:val="000000" w:themeColor="text1"/>
          <w:sz w:val="24"/>
          <w:szCs w:val="24"/>
        </w:rPr>
      </w:pPr>
    </w:p>
    <w:p w14:paraId="48A657F2" w14:textId="77657091" w:rsidR="00F119AE" w:rsidRDefault="00F119AE" w:rsidP="00F119AE">
      <w:pPr>
        <w:pStyle w:val="Sarakstarindkopa"/>
        <w:suppressAutoHyphens/>
        <w:ind w:left="0"/>
        <w:contextualSpacing w:val="0"/>
        <w:jc w:val="both"/>
        <w:rPr>
          <w:rFonts w:ascii="Times New Roman" w:hAnsi="Times New Roman" w:cs="Times New Roman"/>
          <w:color w:val="000000" w:themeColor="text1"/>
          <w:sz w:val="24"/>
          <w:szCs w:val="24"/>
        </w:rPr>
      </w:pPr>
      <w:r w:rsidRPr="00A80966">
        <w:rPr>
          <w:rFonts w:ascii="Times New Roman" w:hAnsi="Times New Roman" w:cs="Times New Roman"/>
          <w:color w:val="000000" w:themeColor="text1"/>
          <w:sz w:val="24"/>
          <w:szCs w:val="24"/>
        </w:rPr>
        <w:t>Salīdzinājumā ar pārējiem plānošanas reģioniem Vidzemes plānošanas reģionam šobrīd ir otr</w:t>
      </w:r>
      <w:r>
        <w:rPr>
          <w:rFonts w:ascii="Times New Roman" w:hAnsi="Times New Roman" w:cs="Times New Roman"/>
          <w:color w:val="000000" w:themeColor="text1"/>
          <w:sz w:val="24"/>
          <w:szCs w:val="24"/>
        </w:rPr>
        <w:t xml:space="preserve">s </w:t>
      </w:r>
      <w:r w:rsidRPr="00A80966">
        <w:rPr>
          <w:rFonts w:ascii="Times New Roman" w:hAnsi="Times New Roman" w:cs="Times New Roman"/>
          <w:color w:val="000000" w:themeColor="text1"/>
          <w:sz w:val="24"/>
          <w:szCs w:val="24"/>
        </w:rPr>
        <w:t>labākais sasniegto iznākumu rādītāju rezultāts.</w:t>
      </w:r>
    </w:p>
    <w:p w14:paraId="4500479C" w14:textId="1309ABF1" w:rsidR="001F6B5A" w:rsidRDefault="00E570B7" w:rsidP="001F6B5A">
      <w:pPr>
        <w:suppressAutoHyphens/>
        <w:jc w:val="both"/>
        <w:rPr>
          <w:rFonts w:ascii="Times New Roman" w:hAnsi="Times New Roman" w:cs="Times New Roman"/>
          <w:color w:val="000000" w:themeColor="text1"/>
          <w:sz w:val="24"/>
          <w:szCs w:val="24"/>
        </w:rPr>
      </w:pPr>
      <w:r w:rsidRPr="00E570B7">
        <w:rPr>
          <w:rFonts w:ascii="Times New Roman" w:hAnsi="Times New Roman" w:cs="Times New Roman"/>
          <w:color w:val="000000" w:themeColor="text1"/>
          <w:sz w:val="24"/>
          <w:szCs w:val="24"/>
        </w:rPr>
        <w:t xml:space="preserve">ES fondu investīcijas </w:t>
      </w:r>
      <w:r w:rsidRPr="00E570B7">
        <w:rPr>
          <w:rFonts w:ascii="Times New Roman" w:hAnsi="Times New Roman" w:cs="Times New Roman"/>
          <w:b/>
          <w:color w:val="000000" w:themeColor="text1"/>
          <w:sz w:val="24"/>
          <w:szCs w:val="24"/>
        </w:rPr>
        <w:t>ūdenssaimniecībā</w:t>
      </w:r>
      <w:r w:rsidRPr="00E570B7">
        <w:rPr>
          <w:rFonts w:ascii="Times New Roman" w:hAnsi="Times New Roman" w:cs="Times New Roman"/>
          <w:color w:val="000000" w:themeColor="text1"/>
          <w:sz w:val="24"/>
          <w:szCs w:val="24"/>
        </w:rPr>
        <w:t xml:space="preserve"> ir plānotas Komunālo notekūdeņu direktīvas 91/271/EEK prasību izpildei, nodrošinot tehniski un ekonomiski pamatotu centralizēto kanalizācijas tīklu izbūvi. Valstī kopumā līdz 2019.gada oktobrim nodrošināta mājsaimniecību pieslēgumu izveide centralizētajiem kanalizācijas tīkliem 3 491 iedzīvotājam, kas ir 9,2% no plānotā. Tā kā pieslēgumu izbūve notiek pēc projektā izbūvēto centralizēto kanalizācijas tīklu nodošanas ekspluatācijā, tad iznākuma rādītāja straujāka sasniegšana tiek prognozēta pēc 2021.gada </w:t>
      </w:r>
      <w:r w:rsidRPr="00E570B7">
        <w:rPr>
          <w:rFonts w:ascii="Times New Roman" w:hAnsi="Times New Roman" w:cs="Times New Roman"/>
          <w:bCs/>
          <w:color w:val="000000" w:themeColor="text1"/>
          <w:sz w:val="24"/>
          <w:szCs w:val="24"/>
        </w:rPr>
        <w:t xml:space="preserve">% </w:t>
      </w:r>
      <w:r w:rsidR="00971E48" w:rsidRPr="00A80966">
        <w:rPr>
          <w:rFonts w:ascii="Times New Roman" w:hAnsi="Times New Roman" w:cs="Times New Roman"/>
          <w:bCs/>
          <w:color w:val="000000" w:themeColor="text1"/>
          <w:sz w:val="24"/>
          <w:szCs w:val="24"/>
        </w:rPr>
        <w:t xml:space="preserve"> (</w:t>
      </w:r>
      <w:r w:rsidR="00BA13A1">
        <w:rPr>
          <w:rFonts w:ascii="Times New Roman" w:hAnsi="Times New Roman" w:cs="Times New Roman"/>
          <w:i/>
          <w:sz w:val="24"/>
          <w:szCs w:val="24"/>
        </w:rPr>
        <w:t>skatīt</w:t>
      </w:r>
      <w:r w:rsidR="00BA13A1">
        <w:rPr>
          <w:rFonts w:ascii="Times New Roman" w:hAnsi="Times New Roman" w:cs="Times New Roman"/>
          <w:bCs/>
          <w:i/>
          <w:iCs/>
          <w:color w:val="000000" w:themeColor="text1"/>
          <w:sz w:val="24"/>
          <w:szCs w:val="24"/>
        </w:rPr>
        <w:t xml:space="preserve"> a</w:t>
      </w:r>
      <w:r w:rsidR="00BA13A1" w:rsidRPr="00BE245A">
        <w:rPr>
          <w:rFonts w:ascii="Times New Roman" w:hAnsi="Times New Roman" w:cs="Times New Roman"/>
          <w:bCs/>
          <w:i/>
          <w:iCs/>
          <w:color w:val="000000" w:themeColor="text1"/>
          <w:sz w:val="24"/>
          <w:szCs w:val="24"/>
        </w:rPr>
        <w:t>ttēlu</w:t>
      </w:r>
      <w:r w:rsidR="00BA13A1">
        <w:rPr>
          <w:rFonts w:ascii="Times New Roman" w:hAnsi="Times New Roman" w:cs="Times New Roman"/>
          <w:bCs/>
          <w:i/>
          <w:iCs/>
          <w:color w:val="000000" w:themeColor="text1"/>
          <w:sz w:val="24"/>
          <w:szCs w:val="24"/>
        </w:rPr>
        <w:t xml:space="preserve"> </w:t>
      </w:r>
      <w:r w:rsidR="00971E48" w:rsidRPr="004828EA">
        <w:rPr>
          <w:rFonts w:ascii="Times New Roman" w:hAnsi="Times New Roman" w:cs="Times New Roman"/>
          <w:bCs/>
          <w:i/>
          <w:iCs/>
          <w:color w:val="000000" w:themeColor="text1"/>
          <w:sz w:val="24"/>
          <w:szCs w:val="24"/>
        </w:rPr>
        <w:t>Nr.1</w:t>
      </w:r>
      <w:r w:rsidR="00EF428B">
        <w:rPr>
          <w:rFonts w:ascii="Times New Roman" w:hAnsi="Times New Roman" w:cs="Times New Roman"/>
          <w:bCs/>
          <w:i/>
          <w:iCs/>
          <w:color w:val="000000" w:themeColor="text1"/>
          <w:sz w:val="24"/>
          <w:szCs w:val="24"/>
        </w:rPr>
        <w:t>3</w:t>
      </w:r>
      <w:r w:rsidR="00971E48" w:rsidRPr="00A80966">
        <w:rPr>
          <w:rFonts w:ascii="Times New Roman" w:hAnsi="Times New Roman" w:cs="Times New Roman"/>
          <w:bCs/>
          <w:color w:val="000000" w:themeColor="text1"/>
          <w:sz w:val="24"/>
          <w:szCs w:val="24"/>
        </w:rPr>
        <w:t>)</w:t>
      </w:r>
      <w:r w:rsidR="001F6B5A" w:rsidRPr="001230ED">
        <w:rPr>
          <w:rFonts w:ascii="Times New Roman" w:hAnsi="Times New Roman" w:cs="Times New Roman"/>
          <w:color w:val="000000" w:themeColor="text1"/>
          <w:sz w:val="24"/>
          <w:szCs w:val="24"/>
        </w:rPr>
        <w:t>.</w:t>
      </w:r>
    </w:p>
    <w:p w14:paraId="2A7E0E07" w14:textId="06924F54" w:rsidR="000A281E" w:rsidRPr="004828EA" w:rsidRDefault="000A281E" w:rsidP="000A281E">
      <w:pPr>
        <w:spacing w:after="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w:t>
      </w:r>
      <w:r>
        <w:rPr>
          <w:rFonts w:ascii="Times New Roman" w:eastAsia="Times New Roman" w:hAnsi="Times New Roman" w:cs="Times New Roman"/>
          <w:bCs/>
          <w:i/>
          <w:sz w:val="24"/>
          <w:szCs w:val="24"/>
          <w:lang w:eastAsia="lv-LV"/>
        </w:rPr>
        <w:t>1</w:t>
      </w:r>
      <w:r w:rsidR="00EF428B">
        <w:rPr>
          <w:rFonts w:ascii="Times New Roman" w:eastAsia="Times New Roman" w:hAnsi="Times New Roman" w:cs="Times New Roman"/>
          <w:bCs/>
          <w:i/>
          <w:sz w:val="24"/>
          <w:szCs w:val="24"/>
          <w:lang w:eastAsia="lv-LV"/>
        </w:rPr>
        <w:t>3</w:t>
      </w:r>
    </w:p>
    <w:p w14:paraId="229775E5" w14:textId="76C80FF3" w:rsidR="000A281E" w:rsidRDefault="00EF428B" w:rsidP="001F6B5A">
      <w:pPr>
        <w:suppressAutoHyphens/>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lastRenderedPageBreak/>
        <w:drawing>
          <wp:inline distT="0" distB="0" distL="0" distR="0" wp14:anchorId="7E53856E" wp14:editId="5AE7E286">
            <wp:extent cx="6063133" cy="244685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2489" cy="2458706"/>
                    </a:xfrm>
                    <a:prstGeom prst="rect">
                      <a:avLst/>
                    </a:prstGeom>
                    <a:noFill/>
                  </pic:spPr>
                </pic:pic>
              </a:graphicData>
            </a:graphic>
          </wp:inline>
        </w:drawing>
      </w:r>
    </w:p>
    <w:p w14:paraId="0B79B85C" w14:textId="680D2ED1" w:rsidR="00E570B7" w:rsidRDefault="00E570B7" w:rsidP="00E570B7">
      <w:pPr>
        <w:pStyle w:val="Sarakstarindkopa"/>
        <w:suppressAutoHyphens/>
        <w:ind w:left="0"/>
        <w:contextualSpacing w:val="0"/>
        <w:jc w:val="both"/>
        <w:rPr>
          <w:rFonts w:ascii="Times New Roman" w:hAnsi="Times New Roman"/>
          <w:sz w:val="24"/>
          <w:szCs w:val="24"/>
        </w:rPr>
      </w:pPr>
      <w:r w:rsidRPr="00647CB2">
        <w:rPr>
          <w:rFonts w:ascii="Times New Roman" w:hAnsi="Times New Roman" w:cs="Times New Roman"/>
          <w:color w:val="000000" w:themeColor="text1"/>
          <w:sz w:val="24"/>
          <w:szCs w:val="24"/>
        </w:rPr>
        <w:t xml:space="preserve">Vidzemes plānošanas reģionā tiek īstenoti ūdenssaimniecības projekti </w:t>
      </w:r>
      <w:r>
        <w:rPr>
          <w:rFonts w:ascii="Times New Roman" w:hAnsi="Times New Roman" w:cs="Times New Roman"/>
          <w:color w:val="000000" w:themeColor="text1"/>
          <w:sz w:val="24"/>
          <w:szCs w:val="24"/>
        </w:rPr>
        <w:t>sešās</w:t>
      </w:r>
      <w:r w:rsidRPr="00647CB2">
        <w:rPr>
          <w:rFonts w:ascii="Times New Roman" w:hAnsi="Times New Roman" w:cs="Times New Roman"/>
          <w:color w:val="000000" w:themeColor="text1"/>
          <w:sz w:val="24"/>
          <w:szCs w:val="24"/>
        </w:rPr>
        <w:t xml:space="preserve"> notekūdeņu aglomerācijās: Alūksnē, Cēsīs, Rūjienā, Smiltenē, Valkā un Valmierā</w:t>
      </w:r>
      <w:r>
        <w:rPr>
          <w:rFonts w:ascii="Times New Roman" w:hAnsi="Times New Roman" w:cs="Times New Roman"/>
          <w:color w:val="000000" w:themeColor="text1"/>
          <w:sz w:val="24"/>
          <w:szCs w:val="24"/>
        </w:rPr>
        <w:t>,</w:t>
      </w:r>
      <w:r w:rsidRPr="00647CB2">
        <w:rPr>
          <w:rFonts w:ascii="Times New Roman" w:hAnsi="Times New Roman" w:cs="Times New Roman"/>
          <w:color w:val="000000" w:themeColor="text1"/>
          <w:sz w:val="24"/>
          <w:szCs w:val="24"/>
        </w:rPr>
        <w:t xml:space="preserve"> kopumā nodrošinot 3,1 </w:t>
      </w:r>
      <w:proofErr w:type="spellStart"/>
      <w:r w:rsidRPr="00647CB2">
        <w:rPr>
          <w:rFonts w:ascii="Times New Roman" w:hAnsi="Times New Roman" w:cs="Times New Roman"/>
          <w:color w:val="000000" w:themeColor="text1"/>
          <w:sz w:val="24"/>
          <w:szCs w:val="24"/>
        </w:rPr>
        <w:t>milj.</w:t>
      </w:r>
      <w:r w:rsidRPr="008A700C">
        <w:rPr>
          <w:rFonts w:ascii="Times New Roman" w:hAnsi="Times New Roman" w:cs="Times New Roman"/>
          <w:i/>
          <w:color w:val="000000" w:themeColor="text1"/>
          <w:sz w:val="24"/>
          <w:szCs w:val="24"/>
        </w:rPr>
        <w:t>euro</w:t>
      </w:r>
      <w:proofErr w:type="spellEnd"/>
      <w:r w:rsidRPr="00647CB2">
        <w:rPr>
          <w:rFonts w:ascii="Times New Roman" w:hAnsi="Times New Roman" w:cs="Times New Roman"/>
          <w:color w:val="000000" w:themeColor="text1"/>
          <w:sz w:val="24"/>
          <w:szCs w:val="24"/>
        </w:rPr>
        <w:t xml:space="preserve"> Kohēzijas fonda finansējuma apguvi.</w:t>
      </w:r>
      <w:r>
        <w:rPr>
          <w:rFonts w:ascii="Times New Roman" w:hAnsi="Times New Roman" w:cs="Times New Roman"/>
          <w:color w:val="000000" w:themeColor="text1"/>
          <w:sz w:val="24"/>
          <w:szCs w:val="24"/>
        </w:rPr>
        <w:t xml:space="preserve"> </w:t>
      </w:r>
      <w:r>
        <w:rPr>
          <w:rFonts w:ascii="Times New Roman" w:hAnsi="Times New Roman"/>
          <w:sz w:val="24"/>
          <w:szCs w:val="24"/>
        </w:rPr>
        <w:t xml:space="preserve">Vidzemes reģiona projekti uz 2019. gada 23. oktobri uzrāda vislabāko apguves progresu, t.i. veikti projektos plānotie </w:t>
      </w:r>
      <w:r w:rsidRPr="00145687">
        <w:rPr>
          <w:rFonts w:ascii="Times New Roman" w:hAnsi="Times New Roman"/>
          <w:bCs/>
          <w:sz w:val="24"/>
          <w:szCs w:val="24"/>
        </w:rPr>
        <w:t>darbi 73% apjomā</w:t>
      </w:r>
      <w:r w:rsidRPr="00145687">
        <w:rPr>
          <w:rFonts w:ascii="Times New Roman" w:hAnsi="Times New Roman"/>
          <w:sz w:val="24"/>
          <w:szCs w:val="24"/>
        </w:rPr>
        <w:t xml:space="preserve">, nodrošinot </w:t>
      </w:r>
      <w:r>
        <w:rPr>
          <w:rFonts w:ascii="Times New Roman" w:hAnsi="Times New Roman"/>
          <w:sz w:val="24"/>
          <w:szCs w:val="24"/>
        </w:rPr>
        <w:t xml:space="preserve">mājsaimniecību pieslēgumus pie projekta ietvaros izbūvētajiem centralizētajiem kanalizācijas tīkliem 120 iedzīvotājiem. Tā kā līdz 2019.gada beigām būvdarbus plānots pabeigt vairumā projektu (2020.gadā būvdarbi tiek turpināti tikai Valmierā), tad pēc būvdarbu pabeigšanas vienlaikus projekta īstenošanas termiņā ir iespēja izbūvēt projektos plānotos mājsaimniecību pieslēgumus. </w:t>
      </w:r>
      <w:r w:rsidRPr="00A66301">
        <w:rPr>
          <w:rFonts w:ascii="Times New Roman" w:hAnsi="Times New Roman"/>
          <w:sz w:val="24"/>
          <w:szCs w:val="24"/>
        </w:rPr>
        <w:t xml:space="preserve">No pirmās kārtas projektiem (ūdenssaimniecības attīstība aglomerācijās ar </w:t>
      </w:r>
      <w:proofErr w:type="spellStart"/>
      <w:r w:rsidRPr="00A66301">
        <w:rPr>
          <w:rFonts w:ascii="Times New Roman" w:hAnsi="Times New Roman"/>
          <w:sz w:val="24"/>
          <w:szCs w:val="24"/>
        </w:rPr>
        <w:t>cilvēkekvivalentu</w:t>
      </w:r>
      <w:proofErr w:type="spellEnd"/>
      <w:r w:rsidRPr="00A66301">
        <w:rPr>
          <w:rFonts w:ascii="Times New Roman" w:hAnsi="Times New Roman"/>
          <w:sz w:val="24"/>
          <w:szCs w:val="24"/>
        </w:rPr>
        <w:t xml:space="preserve"> lielāku par 10 000), kuriem līdz 2018.gada beigām bija jāsasniedz starpposma iznākuma rādītājs, Cēsis un Valmiera divkārt pārsniedza plānoto rādītāju, līdz ar to nodrošinot valstī kopējā </w:t>
      </w:r>
      <w:r>
        <w:rPr>
          <w:rFonts w:ascii="Times New Roman" w:hAnsi="Times New Roman" w:cs="Times New Roman"/>
          <w:color w:val="000000" w:themeColor="text1"/>
          <w:sz w:val="24"/>
          <w:szCs w:val="24"/>
        </w:rPr>
        <w:t xml:space="preserve">darbības programmā “Izaugsme un nodarbinātība” noteiktā </w:t>
      </w:r>
      <w:r w:rsidRPr="00A66301">
        <w:rPr>
          <w:rFonts w:ascii="Times New Roman" w:hAnsi="Times New Roman"/>
          <w:sz w:val="24"/>
          <w:szCs w:val="24"/>
        </w:rPr>
        <w:t>starpposma rādītāja sasniegšanu.</w:t>
      </w:r>
    </w:p>
    <w:p w14:paraId="57A24FCD" w14:textId="77777777" w:rsidR="00E570B7" w:rsidRDefault="00E570B7" w:rsidP="00E570B7">
      <w:pPr>
        <w:pStyle w:val="Sarakstarindkopa"/>
        <w:suppressAutoHyphens/>
        <w:ind w:left="0"/>
        <w:contextualSpacing w:val="0"/>
        <w:jc w:val="both"/>
        <w:rPr>
          <w:rFonts w:ascii="Times New Roman" w:hAnsi="Times New Roman" w:cs="Times New Roman"/>
          <w:color w:val="000000" w:themeColor="text1"/>
          <w:sz w:val="24"/>
          <w:szCs w:val="24"/>
        </w:rPr>
      </w:pPr>
      <w:r w:rsidRPr="00E570B7">
        <w:rPr>
          <w:rFonts w:ascii="Times New Roman" w:hAnsi="Times New Roman" w:cs="Times New Roman"/>
          <w:b/>
          <w:bCs/>
          <w:color w:val="000000" w:themeColor="text1"/>
          <w:sz w:val="24"/>
          <w:szCs w:val="24"/>
        </w:rPr>
        <w:t>Atkritumsaimniecības</w:t>
      </w:r>
      <w:r>
        <w:rPr>
          <w:rFonts w:ascii="Times New Roman" w:hAnsi="Times New Roman" w:cs="Times New Roman"/>
          <w:color w:val="000000" w:themeColor="text1"/>
          <w:sz w:val="24"/>
          <w:szCs w:val="24"/>
        </w:rPr>
        <w:t xml:space="preserve"> jomā ir plānota infrastruktūras izbūve </w:t>
      </w:r>
      <w:r w:rsidRPr="00BE28E7">
        <w:rPr>
          <w:rFonts w:ascii="Times New Roman" w:hAnsi="Times New Roman" w:cs="Times New Roman"/>
          <w:color w:val="000000" w:themeColor="text1"/>
          <w:sz w:val="24"/>
          <w:szCs w:val="24"/>
        </w:rPr>
        <w:t xml:space="preserve">atkritumu pārstrādes </w:t>
      </w:r>
      <w:r>
        <w:rPr>
          <w:rFonts w:ascii="Times New Roman" w:hAnsi="Times New Roman" w:cs="Times New Roman"/>
          <w:color w:val="000000" w:themeColor="text1"/>
          <w:sz w:val="24"/>
          <w:szCs w:val="24"/>
        </w:rPr>
        <w:t xml:space="preserve">un </w:t>
      </w:r>
      <w:r w:rsidRPr="00BE28E7">
        <w:rPr>
          <w:rFonts w:ascii="Times New Roman" w:hAnsi="Times New Roman" w:cs="Times New Roman"/>
          <w:color w:val="000000" w:themeColor="text1"/>
          <w:sz w:val="24"/>
          <w:szCs w:val="24"/>
        </w:rPr>
        <w:t xml:space="preserve">atkritumu reģenerācijas ar enerģijas atguvi jaudas </w:t>
      </w:r>
      <w:r>
        <w:rPr>
          <w:rFonts w:ascii="Times New Roman" w:hAnsi="Times New Roman" w:cs="Times New Roman"/>
          <w:color w:val="000000" w:themeColor="text1"/>
          <w:sz w:val="24"/>
          <w:szCs w:val="24"/>
        </w:rPr>
        <w:t>attīstībai. Atklāta konkursa ietvaros noslēgtajos un pabeigtajos līgumos kopumā plānots atkritumu pārstrādes jaudas pieaugums par 155 573 t/gadā.  Atklātā konkursā projekta iesniegumu par</w:t>
      </w:r>
      <w:r w:rsidRPr="000D63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7C64EB">
        <w:rPr>
          <w:rFonts w:ascii="Times New Roman" w:hAnsi="Times New Roman" w:cs="Times New Roman"/>
          <w:color w:val="000000" w:themeColor="text1"/>
          <w:sz w:val="24"/>
          <w:szCs w:val="24"/>
        </w:rPr>
        <w:t xml:space="preserve">ioloģiski noārdāmo atkritumu pārstrādes rūpnīcas </w:t>
      </w:r>
      <w:r>
        <w:rPr>
          <w:rFonts w:ascii="Times New Roman" w:hAnsi="Times New Roman" w:cs="Times New Roman"/>
          <w:color w:val="000000" w:themeColor="text1"/>
          <w:sz w:val="24"/>
          <w:szCs w:val="24"/>
        </w:rPr>
        <w:t xml:space="preserve">izveidi </w:t>
      </w:r>
      <w:r w:rsidRPr="007C64EB">
        <w:rPr>
          <w:rFonts w:ascii="Times New Roman" w:hAnsi="Times New Roman" w:cs="Times New Roman"/>
          <w:color w:val="000000" w:themeColor="text1"/>
          <w:sz w:val="24"/>
          <w:szCs w:val="24"/>
        </w:rPr>
        <w:t>Daib</w:t>
      </w:r>
      <w:r>
        <w:rPr>
          <w:rFonts w:ascii="Times New Roman" w:hAnsi="Times New Roman" w:cs="Times New Roman"/>
          <w:color w:val="000000" w:themeColor="text1"/>
          <w:sz w:val="24"/>
          <w:szCs w:val="24"/>
        </w:rPr>
        <w:t xml:space="preserve">ē iesniedza arī </w:t>
      </w:r>
      <w:r w:rsidRPr="007C64EB">
        <w:rPr>
          <w:rFonts w:ascii="Times New Roman" w:hAnsi="Times New Roman" w:cs="Times New Roman"/>
          <w:color w:val="000000" w:themeColor="text1"/>
          <w:sz w:val="24"/>
          <w:szCs w:val="24"/>
        </w:rPr>
        <w:t>SIA “ZAAO”</w:t>
      </w:r>
      <w:r>
        <w:rPr>
          <w:rFonts w:ascii="Times New Roman" w:hAnsi="Times New Roman" w:cs="Times New Roman"/>
          <w:color w:val="000000" w:themeColor="text1"/>
          <w:sz w:val="24"/>
          <w:szCs w:val="24"/>
        </w:rPr>
        <w:t xml:space="preserve">, taču projekts neiekļuva apstiprināto projektu sarakstā dēļ nepietiekamā ES fondu finansējuma.  </w:t>
      </w:r>
      <w:r w:rsidRPr="007C64EB">
        <w:rPr>
          <w:rFonts w:ascii="Times New Roman" w:hAnsi="Times New Roman" w:cs="Times New Roman"/>
          <w:color w:val="000000" w:themeColor="text1"/>
          <w:sz w:val="24"/>
          <w:szCs w:val="24"/>
        </w:rPr>
        <w:t xml:space="preserve"> </w:t>
      </w:r>
    </w:p>
    <w:p w14:paraId="0D1F0763" w14:textId="07DCE2E6" w:rsidR="00F84A16" w:rsidRDefault="00E570B7" w:rsidP="00E570B7">
      <w:pPr>
        <w:pStyle w:val="Sarakstarindkopa"/>
        <w:suppressAutoHyphens/>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Līdz 2018.gada beigām pašvaldību īstenotajos a</w:t>
      </w:r>
      <w:r w:rsidRPr="001230ED">
        <w:rPr>
          <w:rFonts w:ascii="Times New Roman" w:hAnsi="Times New Roman" w:cs="Times New Roman"/>
          <w:color w:val="000000" w:themeColor="text1"/>
          <w:sz w:val="24"/>
          <w:szCs w:val="24"/>
        </w:rPr>
        <w:t>ntropogēno slodzi mazinošas infrastruktūras izbūve</w:t>
      </w:r>
      <w:r>
        <w:rPr>
          <w:rFonts w:ascii="Times New Roman" w:hAnsi="Times New Roman" w:cs="Times New Roman"/>
          <w:color w:val="000000" w:themeColor="text1"/>
          <w:sz w:val="24"/>
          <w:szCs w:val="24"/>
        </w:rPr>
        <w:t>s</w:t>
      </w:r>
      <w:r w:rsidRPr="001230ED">
        <w:rPr>
          <w:rFonts w:ascii="Times New Roman" w:hAnsi="Times New Roman" w:cs="Times New Roman"/>
          <w:color w:val="000000" w:themeColor="text1"/>
          <w:sz w:val="24"/>
          <w:szCs w:val="24"/>
        </w:rPr>
        <w:t xml:space="preserve"> </w:t>
      </w:r>
      <w:proofErr w:type="spellStart"/>
      <w:r w:rsidRPr="00701382">
        <w:rPr>
          <w:rFonts w:ascii="Times New Roman" w:hAnsi="Times New Roman" w:cs="Times New Roman"/>
          <w:b/>
          <w:i/>
          <w:iCs/>
          <w:color w:val="000000" w:themeColor="text1"/>
          <w:sz w:val="24"/>
          <w:szCs w:val="24"/>
        </w:rPr>
        <w:t>Natura</w:t>
      </w:r>
      <w:proofErr w:type="spellEnd"/>
      <w:r w:rsidRPr="00701382">
        <w:rPr>
          <w:rFonts w:ascii="Times New Roman" w:hAnsi="Times New Roman" w:cs="Times New Roman"/>
          <w:b/>
          <w:i/>
          <w:iCs/>
          <w:color w:val="000000" w:themeColor="text1"/>
          <w:sz w:val="24"/>
          <w:szCs w:val="24"/>
        </w:rPr>
        <w:t xml:space="preserve"> 2000 </w:t>
      </w:r>
      <w:r w:rsidRPr="00701382">
        <w:rPr>
          <w:rFonts w:ascii="Times New Roman" w:hAnsi="Times New Roman" w:cs="Times New Roman"/>
          <w:b/>
          <w:color w:val="000000" w:themeColor="text1"/>
          <w:sz w:val="24"/>
          <w:szCs w:val="24"/>
        </w:rPr>
        <w:t>teritorijās</w:t>
      </w:r>
      <w:r>
        <w:rPr>
          <w:rFonts w:ascii="Times New Roman" w:hAnsi="Times New Roman" w:cs="Times New Roman"/>
          <w:color w:val="000000" w:themeColor="text1"/>
          <w:sz w:val="24"/>
          <w:szCs w:val="24"/>
        </w:rPr>
        <w:t xml:space="preserve"> projektos tika ievērojami pārsniegts plānotais iznākuma rādītājs, nodrošinot labāku aizsardzības pakāpi 48 466 ha platībā. </w:t>
      </w:r>
      <w:r w:rsidRPr="00E361E7">
        <w:rPr>
          <w:rFonts w:ascii="Times New Roman" w:hAnsi="Times New Roman" w:cs="Times New Roman"/>
          <w:color w:val="000000" w:themeColor="text1"/>
          <w:sz w:val="24"/>
          <w:szCs w:val="24"/>
        </w:rPr>
        <w:t xml:space="preserve">Vidzemes plānošanas reģionā </w:t>
      </w:r>
      <w:r>
        <w:rPr>
          <w:rFonts w:ascii="Times New Roman" w:hAnsi="Times New Roman" w:cs="Times New Roman"/>
          <w:color w:val="000000" w:themeColor="text1"/>
          <w:sz w:val="24"/>
          <w:szCs w:val="24"/>
        </w:rPr>
        <w:t>a</w:t>
      </w:r>
      <w:r w:rsidRPr="0075263C">
        <w:rPr>
          <w:rFonts w:ascii="Times New Roman" w:hAnsi="Times New Roman" w:cs="Times New Roman"/>
          <w:color w:val="000000" w:themeColor="text1"/>
          <w:sz w:val="24"/>
          <w:szCs w:val="24"/>
        </w:rPr>
        <w:t xml:space="preserve">tklātā projektu iesniegumu konkursā infrastruktūras izveidei </w:t>
      </w:r>
      <w:proofErr w:type="spellStart"/>
      <w:r w:rsidRPr="00701382">
        <w:rPr>
          <w:rFonts w:ascii="Times New Roman" w:hAnsi="Times New Roman" w:cs="Times New Roman"/>
          <w:i/>
          <w:iCs/>
          <w:color w:val="000000" w:themeColor="text1"/>
          <w:sz w:val="24"/>
          <w:szCs w:val="24"/>
        </w:rPr>
        <w:t>Natura</w:t>
      </w:r>
      <w:proofErr w:type="spellEnd"/>
      <w:r w:rsidRPr="00701382">
        <w:rPr>
          <w:rFonts w:ascii="Times New Roman" w:hAnsi="Times New Roman" w:cs="Times New Roman"/>
          <w:i/>
          <w:iCs/>
          <w:color w:val="000000" w:themeColor="text1"/>
          <w:sz w:val="24"/>
          <w:szCs w:val="24"/>
        </w:rPr>
        <w:t xml:space="preserve"> 2000</w:t>
      </w:r>
      <w:r w:rsidRPr="0075263C">
        <w:rPr>
          <w:rFonts w:ascii="Times New Roman" w:hAnsi="Times New Roman" w:cs="Times New Roman"/>
          <w:color w:val="000000" w:themeColor="text1"/>
          <w:sz w:val="24"/>
          <w:szCs w:val="24"/>
        </w:rPr>
        <w:t xml:space="preserve"> teritorijās īstenoti divi projekti: Alūksnes novadā aizsargājamo ainavu apvidū “Veclaicene”, kā arī Cēsu un Pārgaujas novadā Gaujas nacionālajā parkā. Kopumā šajos projektos izbūvētā infrastruktūra mazina antropogēno ietekmi un nodrošina dzīvotņu labāku aizsardzības pakāpi 15 997 ha lielā platībā</w:t>
      </w:r>
      <w:r>
        <w:rPr>
          <w:rFonts w:ascii="Times New Roman" w:hAnsi="Times New Roman" w:cs="Times New Roman"/>
          <w:color w:val="000000" w:themeColor="text1"/>
          <w:sz w:val="24"/>
          <w:szCs w:val="24"/>
        </w:rPr>
        <w:t>, kas veido 33% no kopējā darbības programmā “Izaugsme un nodarbinātība” noteiktā sasniedzamā rādītāja</w:t>
      </w:r>
      <w:r w:rsidR="001F6B5A" w:rsidRPr="0075263C">
        <w:rPr>
          <w:rFonts w:ascii="Times New Roman" w:hAnsi="Times New Roman" w:cs="Times New Roman"/>
          <w:color w:val="000000" w:themeColor="text1"/>
          <w:sz w:val="24"/>
          <w:szCs w:val="24"/>
        </w:rPr>
        <w:t>.</w:t>
      </w:r>
    </w:p>
    <w:p w14:paraId="595F447B" w14:textId="1FA63160" w:rsidR="004705BB" w:rsidRPr="005B1348" w:rsidRDefault="00F02D79" w:rsidP="004705BB">
      <w:pPr>
        <w:pStyle w:val="Virsraksts1"/>
        <w:numPr>
          <w:ilvl w:val="1"/>
          <w:numId w:val="19"/>
        </w:numPr>
        <w:spacing w:after="240"/>
        <w:rPr>
          <w:rFonts w:ascii="Times New Roman" w:hAnsi="Times New Roman" w:cs="Times New Roman"/>
          <w:b/>
          <w:color w:val="auto"/>
          <w:sz w:val="28"/>
          <w:szCs w:val="28"/>
        </w:rPr>
      </w:pPr>
      <w:bookmarkStart w:id="14" w:name="_Toc24034136"/>
      <w:r>
        <w:rPr>
          <w:rFonts w:ascii="Times New Roman" w:hAnsi="Times New Roman" w:cs="Times New Roman"/>
          <w:b/>
          <w:color w:val="auto"/>
          <w:sz w:val="28"/>
          <w:szCs w:val="28"/>
        </w:rPr>
        <w:t>Investīcijas</w:t>
      </w:r>
      <w:r w:rsidR="004705BB" w:rsidRPr="005B1348">
        <w:rPr>
          <w:rFonts w:ascii="Times New Roman" w:hAnsi="Times New Roman" w:cs="Times New Roman"/>
          <w:b/>
          <w:color w:val="auto"/>
          <w:sz w:val="28"/>
          <w:szCs w:val="28"/>
        </w:rPr>
        <w:t xml:space="preserve"> </w:t>
      </w:r>
      <w:r w:rsidR="004705BB">
        <w:rPr>
          <w:rFonts w:ascii="Times New Roman" w:hAnsi="Times New Roman" w:cs="Times New Roman"/>
          <w:b/>
          <w:color w:val="auto"/>
          <w:sz w:val="28"/>
          <w:szCs w:val="28"/>
        </w:rPr>
        <w:t>teritoriālajai sadarbībai</w:t>
      </w:r>
      <w:bookmarkEnd w:id="14"/>
    </w:p>
    <w:p w14:paraId="0CBB3B19" w14:textId="5FCEA7EA" w:rsidR="004705BB" w:rsidRPr="004705BB" w:rsidRDefault="004705BB" w:rsidP="004705BB">
      <w:pPr>
        <w:suppressAutoHyphens/>
        <w:spacing w:after="120"/>
        <w:jc w:val="both"/>
        <w:rPr>
          <w:rFonts w:ascii="Times New Roman" w:hAnsi="Times New Roman" w:cs="Times New Roman"/>
          <w:bCs/>
          <w:color w:val="000000" w:themeColor="text1"/>
          <w:sz w:val="24"/>
          <w:szCs w:val="24"/>
        </w:rPr>
      </w:pPr>
      <w:r w:rsidRPr="004705BB">
        <w:rPr>
          <w:rFonts w:ascii="Times New Roman" w:hAnsi="Times New Roman" w:cs="Times New Roman"/>
          <w:bCs/>
          <w:color w:val="000000" w:themeColor="text1"/>
          <w:sz w:val="24"/>
          <w:szCs w:val="24"/>
        </w:rPr>
        <w:t xml:space="preserve">Uz 2019.gada 1.oktobri 2014.-2020.gada plānošanas periodā </w:t>
      </w:r>
      <w:r w:rsidRPr="00DE58A5">
        <w:rPr>
          <w:rFonts w:ascii="Times New Roman" w:hAnsi="Times New Roman" w:cs="Times New Roman"/>
          <w:b/>
          <w:color w:val="000000" w:themeColor="text1"/>
          <w:sz w:val="24"/>
          <w:szCs w:val="24"/>
        </w:rPr>
        <w:t>Vidzemes plānošanas reģionā kopā tiek īstenoti 70 starptautiski projekti</w:t>
      </w:r>
      <w:r w:rsidRPr="004705BB">
        <w:rPr>
          <w:rFonts w:ascii="Times New Roman" w:hAnsi="Times New Roman" w:cs="Times New Roman"/>
          <w:bCs/>
          <w:color w:val="000000" w:themeColor="text1"/>
          <w:sz w:val="24"/>
          <w:szCs w:val="24"/>
        </w:rPr>
        <w:t xml:space="preserve"> Eiropas </w:t>
      </w:r>
      <w:r>
        <w:rPr>
          <w:rFonts w:ascii="Times New Roman" w:hAnsi="Times New Roman" w:cs="Times New Roman"/>
          <w:bCs/>
          <w:color w:val="000000" w:themeColor="text1"/>
          <w:sz w:val="24"/>
          <w:szCs w:val="24"/>
        </w:rPr>
        <w:t>S</w:t>
      </w:r>
      <w:r w:rsidRPr="004705BB">
        <w:rPr>
          <w:rFonts w:ascii="Times New Roman" w:hAnsi="Times New Roman" w:cs="Times New Roman"/>
          <w:bCs/>
          <w:color w:val="000000" w:themeColor="text1"/>
          <w:sz w:val="24"/>
          <w:szCs w:val="24"/>
        </w:rPr>
        <w:t>trukturālo un investīciju fond</w:t>
      </w:r>
      <w:r w:rsidR="00DE58A5">
        <w:rPr>
          <w:rFonts w:ascii="Times New Roman" w:hAnsi="Times New Roman" w:cs="Times New Roman"/>
          <w:bCs/>
          <w:color w:val="000000" w:themeColor="text1"/>
          <w:sz w:val="24"/>
          <w:szCs w:val="24"/>
        </w:rPr>
        <w:t>a</w:t>
      </w:r>
      <w:r w:rsidRPr="004705BB">
        <w:rPr>
          <w:rFonts w:ascii="Times New Roman" w:hAnsi="Times New Roman" w:cs="Times New Roman"/>
          <w:bCs/>
          <w:color w:val="000000" w:themeColor="text1"/>
          <w:sz w:val="24"/>
          <w:szCs w:val="24"/>
        </w:rPr>
        <w:t xml:space="preserve"> “Eiropas teritoriālā sadarbība” mērķa programmās (turpmāk – sadarbības programmas), kuros 133 institūcijas no Vidzemes</w:t>
      </w:r>
      <w:r w:rsidR="00DE58A5">
        <w:rPr>
          <w:rFonts w:ascii="Times New Roman" w:hAnsi="Times New Roman" w:cs="Times New Roman"/>
          <w:bCs/>
          <w:color w:val="000000" w:themeColor="text1"/>
          <w:sz w:val="24"/>
          <w:szCs w:val="24"/>
        </w:rPr>
        <w:t xml:space="preserve"> plānošanas reģiona</w:t>
      </w:r>
      <w:r w:rsidRPr="004705BB">
        <w:rPr>
          <w:rFonts w:ascii="Times New Roman" w:hAnsi="Times New Roman" w:cs="Times New Roman"/>
          <w:bCs/>
          <w:color w:val="000000" w:themeColor="text1"/>
          <w:sz w:val="24"/>
          <w:szCs w:val="24"/>
        </w:rPr>
        <w:t xml:space="preserve"> sadarbojas ar 650 institūcijām no </w:t>
      </w:r>
      <w:r w:rsidRPr="00521B49">
        <w:rPr>
          <w:rFonts w:ascii="Times New Roman" w:hAnsi="Times New Roman" w:cs="Times New Roman"/>
          <w:bCs/>
          <w:color w:val="000000" w:themeColor="text1"/>
          <w:sz w:val="24"/>
          <w:szCs w:val="24"/>
        </w:rPr>
        <w:t>28 ES</w:t>
      </w:r>
      <w:r w:rsidRPr="004705BB">
        <w:rPr>
          <w:rFonts w:ascii="Times New Roman" w:hAnsi="Times New Roman" w:cs="Times New Roman"/>
          <w:bCs/>
          <w:color w:val="000000" w:themeColor="text1"/>
          <w:sz w:val="24"/>
          <w:szCs w:val="24"/>
        </w:rPr>
        <w:t xml:space="preserve"> dalībvalstīm, Norvēģijas, </w:t>
      </w:r>
      <w:r w:rsidRPr="004705BB">
        <w:rPr>
          <w:rFonts w:ascii="Times New Roman" w:hAnsi="Times New Roman" w:cs="Times New Roman"/>
          <w:bCs/>
          <w:color w:val="000000" w:themeColor="text1"/>
          <w:sz w:val="24"/>
          <w:szCs w:val="24"/>
        </w:rPr>
        <w:lastRenderedPageBreak/>
        <w:t xml:space="preserve">Šveices un Krievijas Federācijas. Sadarbības projekti tiek īstenoti Igaunijas-Latvijas pārrobežu sadarbības programmā, Latvijas-Lietuvas pārrobežu sadarbības programmā, Centrālā Baltijas jūras reģiona programmā, </w:t>
      </w:r>
      <w:proofErr w:type="spellStart"/>
      <w:r w:rsidRPr="00701382">
        <w:rPr>
          <w:rFonts w:ascii="Times New Roman" w:hAnsi="Times New Roman" w:cs="Times New Roman"/>
          <w:bCs/>
          <w:i/>
          <w:iCs/>
          <w:color w:val="000000" w:themeColor="text1"/>
          <w:sz w:val="24"/>
          <w:szCs w:val="24"/>
        </w:rPr>
        <w:t>Interreg</w:t>
      </w:r>
      <w:proofErr w:type="spellEnd"/>
      <w:r w:rsidRPr="004705BB">
        <w:rPr>
          <w:rFonts w:ascii="Times New Roman" w:hAnsi="Times New Roman" w:cs="Times New Roman"/>
          <w:bCs/>
          <w:color w:val="000000" w:themeColor="text1"/>
          <w:sz w:val="24"/>
          <w:szCs w:val="24"/>
        </w:rPr>
        <w:t xml:space="preserve"> Baltijas jūras reģiona programmā, </w:t>
      </w:r>
      <w:r w:rsidRPr="00701382">
        <w:rPr>
          <w:rFonts w:ascii="Times New Roman" w:hAnsi="Times New Roman" w:cs="Times New Roman"/>
          <w:bCs/>
          <w:i/>
          <w:iCs/>
          <w:color w:val="000000" w:themeColor="text1"/>
          <w:sz w:val="24"/>
          <w:szCs w:val="24"/>
        </w:rPr>
        <w:t xml:space="preserve">INTERREG </w:t>
      </w:r>
      <w:r w:rsidR="00701382">
        <w:rPr>
          <w:rFonts w:ascii="Times New Roman" w:hAnsi="Times New Roman" w:cs="Times New Roman"/>
          <w:bCs/>
          <w:i/>
          <w:iCs/>
          <w:color w:val="000000" w:themeColor="text1"/>
          <w:sz w:val="24"/>
          <w:szCs w:val="24"/>
        </w:rPr>
        <w:t>EUROPE</w:t>
      </w:r>
      <w:r w:rsidRPr="004705BB">
        <w:rPr>
          <w:rFonts w:ascii="Times New Roman" w:hAnsi="Times New Roman" w:cs="Times New Roman"/>
          <w:bCs/>
          <w:color w:val="000000" w:themeColor="text1"/>
          <w:sz w:val="24"/>
          <w:szCs w:val="24"/>
        </w:rPr>
        <w:t xml:space="preserve"> </w:t>
      </w:r>
      <w:proofErr w:type="spellStart"/>
      <w:r w:rsidRPr="004705BB">
        <w:rPr>
          <w:rFonts w:ascii="Times New Roman" w:hAnsi="Times New Roman" w:cs="Times New Roman"/>
          <w:bCs/>
          <w:color w:val="000000" w:themeColor="text1"/>
          <w:sz w:val="24"/>
          <w:szCs w:val="24"/>
        </w:rPr>
        <w:t>starpreģionu</w:t>
      </w:r>
      <w:proofErr w:type="spellEnd"/>
      <w:r w:rsidRPr="004705BB">
        <w:rPr>
          <w:rFonts w:ascii="Times New Roman" w:hAnsi="Times New Roman" w:cs="Times New Roman"/>
          <w:bCs/>
          <w:color w:val="000000" w:themeColor="text1"/>
          <w:sz w:val="24"/>
          <w:szCs w:val="24"/>
        </w:rPr>
        <w:t xml:space="preserve"> sadarbības programmā, </w:t>
      </w:r>
      <w:r w:rsidRPr="00701382">
        <w:rPr>
          <w:rFonts w:ascii="Times New Roman" w:hAnsi="Times New Roman" w:cs="Times New Roman"/>
          <w:bCs/>
          <w:i/>
          <w:iCs/>
          <w:color w:val="000000" w:themeColor="text1"/>
          <w:sz w:val="24"/>
          <w:szCs w:val="24"/>
        </w:rPr>
        <w:t>URBACT III</w:t>
      </w:r>
      <w:r w:rsidRPr="004705BB">
        <w:rPr>
          <w:rFonts w:ascii="Times New Roman" w:hAnsi="Times New Roman" w:cs="Times New Roman"/>
          <w:bCs/>
          <w:color w:val="000000" w:themeColor="text1"/>
          <w:sz w:val="24"/>
          <w:szCs w:val="24"/>
        </w:rPr>
        <w:t xml:space="preserve"> pilsētvides attīstības programmā un Latvijas – Krievijas pārrobežu sadarbības programmā.</w:t>
      </w:r>
    </w:p>
    <w:p w14:paraId="1E3B1594" w14:textId="6C3BAACC" w:rsidR="00DE58A5" w:rsidRDefault="004705BB" w:rsidP="004705BB">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sidRPr="004705BB">
        <w:rPr>
          <w:rFonts w:ascii="Times New Roman" w:hAnsi="Times New Roman" w:cs="Times New Roman"/>
          <w:bCs/>
          <w:color w:val="000000" w:themeColor="text1"/>
          <w:sz w:val="24"/>
          <w:szCs w:val="24"/>
        </w:rPr>
        <w:t xml:space="preserve">Kopējais piesaistītais ERAF finansējums sadarbības projektu īstenošanai Latvijas partneriem no Vidzemes ir </w:t>
      </w:r>
      <w:r w:rsidRPr="00DE58A5">
        <w:rPr>
          <w:rFonts w:ascii="Times New Roman" w:hAnsi="Times New Roman" w:cs="Times New Roman"/>
          <w:b/>
          <w:color w:val="000000" w:themeColor="text1"/>
          <w:sz w:val="24"/>
          <w:szCs w:val="24"/>
        </w:rPr>
        <w:t xml:space="preserve">13,8 </w:t>
      </w:r>
      <w:proofErr w:type="spellStart"/>
      <w:r w:rsidR="00DE58A5" w:rsidRPr="00DE58A5">
        <w:rPr>
          <w:rFonts w:ascii="Times New Roman" w:hAnsi="Times New Roman" w:cs="Times New Roman"/>
          <w:b/>
          <w:color w:val="000000" w:themeColor="text1"/>
          <w:sz w:val="24"/>
          <w:szCs w:val="24"/>
        </w:rPr>
        <w:t>milj.</w:t>
      </w:r>
      <w:r w:rsidR="00521B49" w:rsidRPr="00CB3506">
        <w:rPr>
          <w:rFonts w:ascii="Times New Roman" w:hAnsi="Times New Roman" w:cs="Times New Roman"/>
          <w:bCs/>
          <w:i/>
          <w:color w:val="000000" w:themeColor="text1"/>
          <w:sz w:val="24"/>
          <w:szCs w:val="24"/>
        </w:rPr>
        <w:t>euro</w:t>
      </w:r>
      <w:proofErr w:type="spellEnd"/>
      <w:r w:rsidRPr="004705BB">
        <w:rPr>
          <w:rFonts w:ascii="Times New Roman" w:hAnsi="Times New Roman" w:cs="Times New Roman"/>
          <w:bCs/>
          <w:color w:val="000000" w:themeColor="text1"/>
          <w:sz w:val="24"/>
          <w:szCs w:val="24"/>
        </w:rPr>
        <w:t>. Sadarbības projekti tiek īstenoti tādās jomās kā transports – mobilitātes pakalpojumu pieejamības palielināšana, energoefektivitātes paaugstināšana, viedā specializācija, pētniecības un inovāciju infrastruktūras izmantošana, eko inovāciju virzība starptautiskos tirgos, kultūras tūrisma attīstība (HANSA, Livonijas kulinārais ceļš), industriālā mantojuma attīstība, vides resursu ilgtspējīga izmantošana, uzņēmējdarbības vides attīstība (kokapstrādes un mēbeļu industrijā), atkritumu atkārtota izmantošana.</w:t>
      </w:r>
      <w:r w:rsidR="00DE58A5">
        <w:rPr>
          <w:rFonts w:ascii="Times New Roman" w:hAnsi="Times New Roman" w:cs="Times New Roman"/>
          <w:bCs/>
          <w:color w:val="000000" w:themeColor="text1"/>
          <w:sz w:val="24"/>
          <w:szCs w:val="24"/>
        </w:rPr>
        <w:t xml:space="preserve"> </w:t>
      </w:r>
    </w:p>
    <w:p w14:paraId="44EF8C64" w14:textId="576B5BCE" w:rsidR="00F84A16" w:rsidRDefault="00DE58A5" w:rsidP="004705BB">
      <w:pPr>
        <w:pStyle w:val="Sarakstarindkopa"/>
        <w:suppressAutoHyphens/>
        <w:spacing w:after="120"/>
        <w:ind w:left="0"/>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Pielikumā ir aprakstīti </w:t>
      </w:r>
      <w:r w:rsidR="00E81BFB">
        <w:rPr>
          <w:rFonts w:ascii="Times New Roman" w:hAnsi="Times New Roman" w:cs="Times New Roman"/>
          <w:bCs/>
          <w:color w:val="000000" w:themeColor="text1"/>
          <w:sz w:val="24"/>
          <w:szCs w:val="24"/>
        </w:rPr>
        <w:t>četri</w:t>
      </w:r>
      <w:r>
        <w:rPr>
          <w:rFonts w:ascii="Times New Roman" w:hAnsi="Times New Roman" w:cs="Times New Roman"/>
          <w:bCs/>
          <w:color w:val="000000" w:themeColor="text1"/>
          <w:sz w:val="24"/>
          <w:szCs w:val="24"/>
        </w:rPr>
        <w:t xml:space="preserve"> teritoriālās sadarbības labās prakses piemēri.</w:t>
      </w:r>
    </w:p>
    <w:p w14:paraId="2314B8B2" w14:textId="0E2713B2" w:rsidR="001C7955" w:rsidRPr="001B61C6" w:rsidRDefault="001C7955" w:rsidP="00902D5C">
      <w:pPr>
        <w:pStyle w:val="Virsraksts1"/>
        <w:numPr>
          <w:ilvl w:val="0"/>
          <w:numId w:val="19"/>
        </w:numPr>
        <w:spacing w:after="240"/>
        <w:rPr>
          <w:rFonts w:ascii="Times New Roman" w:hAnsi="Times New Roman" w:cs="Times New Roman"/>
          <w:b/>
          <w:color w:val="auto"/>
        </w:rPr>
      </w:pPr>
      <w:bookmarkStart w:id="15" w:name="_Toc24034137"/>
      <w:bookmarkEnd w:id="10"/>
      <w:r w:rsidRPr="001B61C6">
        <w:rPr>
          <w:rFonts w:ascii="Times New Roman" w:hAnsi="Times New Roman" w:cs="Times New Roman"/>
          <w:b/>
          <w:color w:val="auto"/>
        </w:rPr>
        <w:t>Reģionālās politikas mērķi 2021</w:t>
      </w:r>
      <w:r w:rsidR="001B61C6">
        <w:rPr>
          <w:rFonts w:ascii="Times New Roman" w:hAnsi="Times New Roman" w:cs="Times New Roman"/>
          <w:b/>
          <w:color w:val="auto"/>
        </w:rPr>
        <w:t>.</w:t>
      </w:r>
      <w:r w:rsidRPr="001B61C6">
        <w:rPr>
          <w:rFonts w:ascii="Times New Roman" w:hAnsi="Times New Roman" w:cs="Times New Roman"/>
          <w:b/>
          <w:color w:val="auto"/>
        </w:rPr>
        <w:t>-2027</w:t>
      </w:r>
      <w:r w:rsidR="001B61C6">
        <w:rPr>
          <w:rFonts w:ascii="Times New Roman" w:hAnsi="Times New Roman" w:cs="Times New Roman"/>
          <w:b/>
          <w:color w:val="auto"/>
        </w:rPr>
        <w:t>.</w:t>
      </w:r>
      <w:r w:rsidRPr="001B61C6">
        <w:rPr>
          <w:rFonts w:ascii="Times New Roman" w:hAnsi="Times New Roman" w:cs="Times New Roman"/>
          <w:b/>
          <w:color w:val="auto"/>
        </w:rPr>
        <w:t>gadam</w:t>
      </w:r>
      <w:bookmarkEnd w:id="15"/>
    </w:p>
    <w:p w14:paraId="75E2DB8E" w14:textId="7C7E12FF" w:rsidR="001C7955" w:rsidRPr="00E41AB3" w:rsidRDefault="001C7955" w:rsidP="001C7955">
      <w:pPr>
        <w:spacing w:after="120"/>
        <w:jc w:val="both"/>
        <w:rPr>
          <w:rFonts w:ascii="Times New Roman" w:hAnsi="Times New Roman" w:cs="Times New Roman"/>
          <w:b/>
          <w:sz w:val="24"/>
        </w:rPr>
      </w:pPr>
      <w:r w:rsidRPr="00E41AB3">
        <w:rPr>
          <w:rFonts w:ascii="Times New Roman" w:hAnsi="Times New Roman" w:cs="Times New Roman"/>
          <w:b/>
          <w:sz w:val="24"/>
        </w:rPr>
        <w:t xml:space="preserve">Reģionālās politikas mērķis ir reģionu potenciāla attīstība un </w:t>
      </w:r>
      <w:r w:rsidRPr="00E41AB3">
        <w:rPr>
          <w:rFonts w:ascii="Times New Roman" w:hAnsi="Times New Roman" w:cs="Times New Roman"/>
          <w:b/>
          <w:sz w:val="24"/>
          <w:szCs w:val="24"/>
        </w:rPr>
        <w:t>sociālekonomisko</w:t>
      </w:r>
      <w:r w:rsidRPr="00E41AB3">
        <w:rPr>
          <w:rFonts w:ascii="Times New Roman" w:hAnsi="Times New Roman" w:cs="Times New Roman"/>
          <w:b/>
          <w:sz w:val="24"/>
        </w:rPr>
        <w:t xml:space="preserve"> atšķirību mazināšana, stiprinot to iekšējo un ārējo konkurētspēju, kā arī nodrošinot teritoriju specifikai atbilstošus risinājumus </w:t>
      </w:r>
      <w:proofErr w:type="spellStart"/>
      <w:r w:rsidRPr="00E41AB3">
        <w:rPr>
          <w:rFonts w:ascii="Times New Roman" w:hAnsi="Times New Roman" w:cs="Times New Roman"/>
          <w:b/>
          <w:sz w:val="24"/>
        </w:rPr>
        <w:t>apdzīvojuma</w:t>
      </w:r>
      <w:proofErr w:type="spellEnd"/>
      <w:r w:rsidRPr="00E41AB3">
        <w:rPr>
          <w:rFonts w:ascii="Times New Roman" w:hAnsi="Times New Roman" w:cs="Times New Roman"/>
          <w:b/>
          <w:sz w:val="24"/>
        </w:rPr>
        <w:t xml:space="preserve"> un </w:t>
      </w:r>
      <w:r w:rsidRPr="00E41AB3">
        <w:rPr>
          <w:rFonts w:ascii="Times New Roman" w:hAnsi="Times New Roman" w:cs="Times New Roman"/>
          <w:b/>
          <w:sz w:val="24"/>
          <w:szCs w:val="24"/>
        </w:rPr>
        <w:t xml:space="preserve">kvalitatīvas </w:t>
      </w:r>
      <w:r w:rsidRPr="00E41AB3">
        <w:rPr>
          <w:rFonts w:ascii="Times New Roman" w:hAnsi="Times New Roman" w:cs="Times New Roman"/>
          <w:b/>
          <w:sz w:val="24"/>
        </w:rPr>
        <w:t>dzīves vides attīstībai.</w:t>
      </w:r>
    </w:p>
    <w:p w14:paraId="129160F9" w14:textId="236DEFDD" w:rsidR="00BA13A1" w:rsidRPr="00E41AB3" w:rsidRDefault="00BA13A1" w:rsidP="00BA13A1">
      <w:pPr>
        <w:spacing w:after="120"/>
        <w:jc w:val="both"/>
        <w:rPr>
          <w:rFonts w:ascii="Times New Roman" w:hAnsi="Times New Roman" w:cs="Times New Roman"/>
          <w:sz w:val="24"/>
          <w:szCs w:val="24"/>
        </w:rPr>
      </w:pPr>
      <w:r w:rsidRPr="00E41AB3">
        <w:rPr>
          <w:rFonts w:ascii="Times New Roman" w:hAnsi="Times New Roman" w:cs="Times New Roman"/>
          <w:sz w:val="24"/>
          <w:szCs w:val="24"/>
        </w:rPr>
        <w:t>Pēc VARAM aprēķiniem pie esošā ekonomiskās attīstības tempa, lai sasniegtu reģionālās atšķirības 75%</w:t>
      </w:r>
      <w:r w:rsidRPr="00E41AB3">
        <w:rPr>
          <w:rStyle w:val="Vresatsauce"/>
          <w:rFonts w:ascii="Times New Roman" w:hAnsi="Times New Roman" w:cs="Times New Roman"/>
          <w:sz w:val="24"/>
          <w:szCs w:val="24"/>
        </w:rPr>
        <w:footnoteReference w:id="18"/>
      </w:r>
      <w:r w:rsidRPr="00E41AB3">
        <w:rPr>
          <w:rFonts w:ascii="Times New Roman" w:hAnsi="Times New Roman" w:cs="Times New Roman"/>
          <w:sz w:val="24"/>
          <w:szCs w:val="24"/>
        </w:rPr>
        <w:t xml:space="preserve"> apmērā no </w:t>
      </w:r>
      <w:proofErr w:type="gramStart"/>
      <w:r w:rsidRPr="00E41AB3">
        <w:rPr>
          <w:rFonts w:ascii="Times New Roman" w:hAnsi="Times New Roman" w:cs="Times New Roman"/>
          <w:sz w:val="24"/>
          <w:szCs w:val="24"/>
        </w:rPr>
        <w:t>Latvijas vidējā IKP,</w:t>
      </w:r>
      <w:proofErr w:type="gramEnd"/>
      <w:r w:rsidRPr="00E41AB3">
        <w:rPr>
          <w:rFonts w:ascii="Times New Roman" w:hAnsi="Times New Roman" w:cs="Times New Roman"/>
          <w:sz w:val="24"/>
          <w:szCs w:val="24"/>
        </w:rPr>
        <w:t xml:space="preserve"> būtu nepieciešami 50 gadu, sasniedzot </w:t>
      </w:r>
      <w:r>
        <w:rPr>
          <w:rFonts w:ascii="Times New Roman" w:hAnsi="Times New Roman" w:cs="Times New Roman"/>
          <w:sz w:val="24"/>
          <w:szCs w:val="24"/>
        </w:rPr>
        <w:t xml:space="preserve">7 </w:t>
      </w:r>
      <w:r w:rsidRPr="00E41AB3">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94</w:t>
      </w:r>
      <w:r w:rsidRPr="00E41AB3">
        <w:rPr>
          <w:rFonts w:ascii="Times New Roman" w:hAnsi="Times New Roman" w:cs="Times New Roman"/>
          <w:sz w:val="24"/>
          <w:szCs w:val="24"/>
        </w:rPr>
        <w:t xml:space="preserve"> milj. </w:t>
      </w:r>
      <w:r w:rsidRPr="00521B49">
        <w:rPr>
          <w:rFonts w:ascii="Times New Roman" w:hAnsi="Times New Roman" w:cs="Times New Roman"/>
          <w:i/>
          <w:iCs/>
          <w:sz w:val="24"/>
          <w:szCs w:val="24"/>
        </w:rPr>
        <w:t>euro</w:t>
      </w:r>
      <w:r w:rsidRPr="00E41AB3">
        <w:rPr>
          <w:rFonts w:ascii="Times New Roman" w:hAnsi="Times New Roman" w:cs="Times New Roman"/>
          <w:sz w:val="24"/>
          <w:szCs w:val="24"/>
        </w:rPr>
        <w:t xml:space="preserve"> IKP pieaugumu reģionos. VARAM uzskata, ka nepieciešams izvirzīt ambiciozāku mērķi – sasniegt šādu reģionālo atšķirību samazināšanos 20 gados.</w:t>
      </w:r>
    </w:p>
    <w:p w14:paraId="6591D472" w14:textId="74310519" w:rsidR="00BA13A1" w:rsidRDefault="00BA13A1" w:rsidP="00BA13A1">
      <w:pPr>
        <w:spacing w:after="120"/>
        <w:jc w:val="both"/>
        <w:rPr>
          <w:rFonts w:ascii="Times New Roman" w:hAnsi="Times New Roman" w:cs="Times New Roman"/>
          <w:sz w:val="24"/>
          <w:szCs w:val="24"/>
        </w:rPr>
      </w:pPr>
      <w:r w:rsidRPr="00E41AB3">
        <w:rPr>
          <w:rFonts w:ascii="Times New Roman" w:hAnsi="Times New Roman" w:cs="Times New Roman"/>
          <w:b/>
          <w:sz w:val="24"/>
          <w:szCs w:val="24"/>
        </w:rPr>
        <w:t xml:space="preserve">Līdz ar to reģionālās politikas vidējā termiņa, t.sk. ES fondu 2021.-2027.gada plānošanas perioda, mērķis ir samazināt IKP starpību starp reģioniem vismaz par </w:t>
      </w:r>
      <w:r>
        <w:rPr>
          <w:rFonts w:ascii="Times New Roman" w:hAnsi="Times New Roman" w:cs="Times New Roman"/>
          <w:b/>
          <w:sz w:val="24"/>
          <w:szCs w:val="24"/>
        </w:rPr>
        <w:t>astoņiem</w:t>
      </w:r>
      <w:r w:rsidRPr="00E41AB3">
        <w:rPr>
          <w:rFonts w:ascii="Times New Roman" w:hAnsi="Times New Roman" w:cs="Times New Roman"/>
          <w:b/>
          <w:sz w:val="24"/>
          <w:szCs w:val="24"/>
        </w:rPr>
        <w:t xml:space="preserve"> procentpunktiem</w:t>
      </w:r>
      <w:r w:rsidRPr="00E41AB3">
        <w:rPr>
          <w:rFonts w:ascii="Times New Roman" w:hAnsi="Times New Roman" w:cs="Times New Roman"/>
          <w:sz w:val="24"/>
          <w:szCs w:val="24"/>
        </w:rPr>
        <w:t xml:space="preserve">, kas prasītu reģionos papildu 1 657 </w:t>
      </w:r>
      <w:proofErr w:type="spellStart"/>
      <w:r w:rsidRPr="00E41AB3">
        <w:rPr>
          <w:rFonts w:ascii="Times New Roman" w:hAnsi="Times New Roman" w:cs="Times New Roman"/>
          <w:sz w:val="24"/>
          <w:szCs w:val="24"/>
        </w:rPr>
        <w:t>milj.</w:t>
      </w:r>
      <w:r w:rsidRPr="00521B49">
        <w:rPr>
          <w:rFonts w:ascii="Times New Roman" w:hAnsi="Times New Roman" w:cs="Times New Roman"/>
          <w:i/>
          <w:iCs/>
          <w:sz w:val="24"/>
          <w:szCs w:val="24"/>
        </w:rPr>
        <w:t>euro</w:t>
      </w:r>
      <w:proofErr w:type="spellEnd"/>
      <w:r w:rsidRPr="00E41AB3">
        <w:rPr>
          <w:rFonts w:ascii="Times New Roman" w:hAnsi="Times New Roman" w:cs="Times New Roman"/>
          <w:sz w:val="24"/>
          <w:szCs w:val="24"/>
        </w:rPr>
        <w:t xml:space="preserve"> IKP pieaugumu.</w:t>
      </w:r>
      <w:r>
        <w:rPr>
          <w:rFonts w:ascii="Times New Roman" w:hAnsi="Times New Roman" w:cs="Times New Roman"/>
          <w:sz w:val="24"/>
          <w:szCs w:val="24"/>
        </w:rPr>
        <w:t xml:space="preserve"> </w:t>
      </w:r>
      <w:r w:rsidRPr="00B53DA0">
        <w:rPr>
          <w:rFonts w:ascii="Times New Roman" w:hAnsi="Times New Roman" w:cs="Times New Roman"/>
          <w:b/>
          <w:sz w:val="24"/>
          <w:szCs w:val="24"/>
        </w:rPr>
        <w:t>V</w:t>
      </w:r>
      <w:r>
        <w:rPr>
          <w:rFonts w:ascii="Times New Roman" w:hAnsi="Times New Roman" w:cs="Times New Roman"/>
          <w:b/>
          <w:sz w:val="24"/>
          <w:szCs w:val="24"/>
        </w:rPr>
        <w:t>i</w:t>
      </w:r>
      <w:r w:rsidRPr="00B53DA0">
        <w:rPr>
          <w:rFonts w:ascii="Times New Roman" w:hAnsi="Times New Roman" w:cs="Times New Roman"/>
          <w:b/>
          <w:sz w:val="24"/>
          <w:szCs w:val="24"/>
        </w:rPr>
        <w:t xml:space="preserve">dzemes plānošanas reģionam </w:t>
      </w:r>
      <w:proofErr w:type="gramStart"/>
      <w:r w:rsidRPr="00B53DA0">
        <w:rPr>
          <w:rFonts w:ascii="Times New Roman" w:hAnsi="Times New Roman" w:cs="Times New Roman"/>
          <w:b/>
          <w:sz w:val="24"/>
          <w:szCs w:val="24"/>
        </w:rPr>
        <w:t>2027.gadā</w:t>
      </w:r>
      <w:proofErr w:type="gramEnd"/>
      <w:r w:rsidRPr="00B53DA0">
        <w:rPr>
          <w:rFonts w:ascii="Times New Roman" w:hAnsi="Times New Roman" w:cs="Times New Roman"/>
          <w:b/>
          <w:sz w:val="24"/>
          <w:szCs w:val="24"/>
        </w:rPr>
        <w:t xml:space="preserve"> būtu jāsasniedz jau 72%</w:t>
      </w:r>
      <w:r w:rsidRPr="00B53DA0">
        <w:rPr>
          <w:rFonts w:ascii="Times New Roman" w:hAnsi="Times New Roman" w:cs="Times New Roman"/>
          <w:sz w:val="24"/>
          <w:szCs w:val="24"/>
        </w:rPr>
        <w:t xml:space="preserve"> pret Latvijas vidējo Latvijā (bāzes vērtība 2016.gādā  66%). Šādam pieauguma 2021.-2027.gada plānošanas periodā būtu jāsasniedz IKP pieaugums 364,69 </w:t>
      </w:r>
      <w:proofErr w:type="spellStart"/>
      <w:r w:rsidRPr="00B53DA0">
        <w:rPr>
          <w:rFonts w:ascii="Times New Roman" w:hAnsi="Times New Roman" w:cs="Times New Roman"/>
          <w:sz w:val="24"/>
          <w:szCs w:val="24"/>
        </w:rPr>
        <w:t>milj.</w:t>
      </w:r>
      <w:r w:rsidRPr="00B53DA0">
        <w:rPr>
          <w:rFonts w:ascii="Times New Roman" w:hAnsi="Times New Roman" w:cs="Times New Roman"/>
          <w:i/>
          <w:sz w:val="24"/>
          <w:szCs w:val="24"/>
        </w:rPr>
        <w:t>euro</w:t>
      </w:r>
      <w:proofErr w:type="spellEnd"/>
      <w:r w:rsidRPr="00B53DA0">
        <w:rPr>
          <w:rFonts w:ascii="Times New Roman" w:hAnsi="Times New Roman" w:cs="Times New Roman"/>
          <w:sz w:val="24"/>
          <w:szCs w:val="24"/>
        </w:rPr>
        <w:t xml:space="preserve"> apmērā</w:t>
      </w:r>
      <w:r>
        <w:rPr>
          <w:rFonts w:ascii="Times New Roman" w:hAnsi="Times New Roman" w:cs="Times New Roman"/>
          <w:sz w:val="24"/>
          <w:szCs w:val="24"/>
        </w:rPr>
        <w:t xml:space="preserve"> (</w:t>
      </w:r>
      <w:r>
        <w:rPr>
          <w:rFonts w:ascii="Times New Roman" w:hAnsi="Times New Roman" w:cs="Times New Roman"/>
          <w:i/>
          <w:sz w:val="24"/>
          <w:szCs w:val="24"/>
        </w:rPr>
        <w:t>skatīt attēlu Nr.1</w:t>
      </w:r>
      <w:r w:rsidR="00EF428B">
        <w:rPr>
          <w:rFonts w:ascii="Times New Roman" w:hAnsi="Times New Roman" w:cs="Times New Roman"/>
          <w:i/>
          <w:sz w:val="24"/>
          <w:szCs w:val="24"/>
        </w:rPr>
        <w:t>4</w:t>
      </w:r>
      <w:r>
        <w:rPr>
          <w:rFonts w:ascii="Times New Roman" w:hAnsi="Times New Roman" w:cs="Times New Roman"/>
          <w:sz w:val="24"/>
          <w:szCs w:val="24"/>
        </w:rPr>
        <w:t>)</w:t>
      </w:r>
      <w:r w:rsidRPr="00B53DA0">
        <w:rPr>
          <w:rFonts w:ascii="Times New Roman" w:hAnsi="Times New Roman" w:cs="Times New Roman"/>
          <w:sz w:val="24"/>
          <w:szCs w:val="24"/>
        </w:rPr>
        <w:t>.</w:t>
      </w:r>
    </w:p>
    <w:p w14:paraId="179D7C48" w14:textId="77777777" w:rsidR="002F458E" w:rsidRDefault="002F458E" w:rsidP="00BA13A1">
      <w:pPr>
        <w:spacing w:after="120"/>
        <w:jc w:val="both"/>
        <w:rPr>
          <w:rFonts w:ascii="Times New Roman" w:hAnsi="Times New Roman" w:cs="Times New Roman"/>
          <w:sz w:val="24"/>
          <w:szCs w:val="24"/>
        </w:rPr>
      </w:pPr>
    </w:p>
    <w:p w14:paraId="2C2AC646" w14:textId="0D266312" w:rsidR="00F070DB" w:rsidRDefault="00F070DB" w:rsidP="00BA13A1">
      <w:pPr>
        <w:spacing w:after="120"/>
        <w:jc w:val="right"/>
        <w:rPr>
          <w:rFonts w:ascii="Times New Roman" w:eastAsia="Times New Roman" w:hAnsi="Times New Roman" w:cs="Times New Roman"/>
          <w:bCs/>
          <w:i/>
          <w:sz w:val="24"/>
          <w:szCs w:val="24"/>
          <w:lang w:eastAsia="lv-LV"/>
        </w:rPr>
      </w:pPr>
      <w:r w:rsidRPr="00E41AB3">
        <w:rPr>
          <w:rFonts w:ascii="Times New Roman" w:eastAsia="Times New Roman" w:hAnsi="Times New Roman" w:cs="Times New Roman"/>
          <w:bCs/>
          <w:i/>
          <w:sz w:val="24"/>
          <w:szCs w:val="24"/>
          <w:lang w:eastAsia="lv-LV"/>
        </w:rPr>
        <w:t>Attēls Nr.</w:t>
      </w:r>
      <w:r>
        <w:rPr>
          <w:rFonts w:ascii="Times New Roman" w:eastAsia="Times New Roman" w:hAnsi="Times New Roman" w:cs="Times New Roman"/>
          <w:bCs/>
          <w:i/>
          <w:sz w:val="24"/>
          <w:szCs w:val="24"/>
          <w:lang w:eastAsia="lv-LV"/>
        </w:rPr>
        <w:t>1</w:t>
      </w:r>
      <w:r w:rsidR="00EF428B">
        <w:rPr>
          <w:rFonts w:ascii="Times New Roman" w:eastAsia="Times New Roman" w:hAnsi="Times New Roman" w:cs="Times New Roman"/>
          <w:bCs/>
          <w:i/>
          <w:sz w:val="24"/>
          <w:szCs w:val="24"/>
          <w:lang w:eastAsia="lv-LV"/>
        </w:rPr>
        <w:t>4</w:t>
      </w:r>
    </w:p>
    <w:p w14:paraId="116C5521" w14:textId="77777777" w:rsidR="00F070DB" w:rsidRPr="002F458E" w:rsidRDefault="00F070DB" w:rsidP="00F070DB">
      <w:pPr>
        <w:spacing w:after="0" w:line="240" w:lineRule="auto"/>
        <w:jc w:val="center"/>
        <w:rPr>
          <w:rFonts w:ascii="Times New Roman" w:eastAsia="Times New Roman" w:hAnsi="Times New Roman" w:cs="Times New Roman"/>
          <w:b/>
          <w:szCs w:val="24"/>
          <w:lang w:eastAsia="lv-LV"/>
        </w:rPr>
      </w:pPr>
      <w:r w:rsidRPr="002F458E">
        <w:rPr>
          <w:rFonts w:ascii="Times New Roman" w:eastAsia="Times New Roman" w:hAnsi="Times New Roman" w:cs="Times New Roman"/>
          <w:b/>
          <w:szCs w:val="24"/>
          <w:lang w:eastAsia="lv-LV"/>
        </w:rPr>
        <w:t xml:space="preserve">Vidzemes plānošanas reģiona IKP pieauguma temps </w:t>
      </w:r>
    </w:p>
    <w:p w14:paraId="00054220" w14:textId="26010D6A" w:rsidR="00F070DB" w:rsidRPr="002F458E" w:rsidRDefault="00F070DB" w:rsidP="00F070DB">
      <w:pPr>
        <w:spacing w:after="0" w:line="240" w:lineRule="auto"/>
        <w:jc w:val="center"/>
        <w:rPr>
          <w:rFonts w:ascii="Times New Roman" w:eastAsia="Times New Roman" w:hAnsi="Times New Roman" w:cs="Times New Roman"/>
          <w:b/>
          <w:szCs w:val="24"/>
          <w:lang w:eastAsia="lv-LV"/>
        </w:rPr>
      </w:pPr>
      <w:r w:rsidRPr="002F458E">
        <w:rPr>
          <w:rFonts w:ascii="Times New Roman" w:eastAsia="Times New Roman" w:hAnsi="Times New Roman" w:cs="Times New Roman"/>
          <w:b/>
          <w:szCs w:val="24"/>
          <w:lang w:eastAsia="lv-LV"/>
        </w:rPr>
        <w:t>ar un bez ES fondiem pret Latv</w:t>
      </w:r>
      <w:bookmarkStart w:id="16" w:name="_GoBack"/>
      <w:bookmarkEnd w:id="16"/>
      <w:r w:rsidRPr="002F458E">
        <w:rPr>
          <w:rFonts w:ascii="Times New Roman" w:eastAsia="Times New Roman" w:hAnsi="Times New Roman" w:cs="Times New Roman"/>
          <w:b/>
          <w:szCs w:val="24"/>
          <w:lang w:eastAsia="lv-LV"/>
        </w:rPr>
        <w:t>ijas vidējo IKP līmeni</w:t>
      </w:r>
    </w:p>
    <w:p w14:paraId="64C67F2B" w14:textId="77777777" w:rsidR="00F070DB" w:rsidRPr="00E41AB3" w:rsidRDefault="00F070DB" w:rsidP="00F070DB">
      <w:pPr>
        <w:spacing w:after="120"/>
        <w:jc w:val="both"/>
        <w:rPr>
          <w:rFonts w:ascii="Times New Roman" w:hAnsi="Times New Roman" w:cs="Times New Roman"/>
          <w:sz w:val="24"/>
          <w:szCs w:val="24"/>
        </w:rPr>
      </w:pPr>
      <w:r w:rsidRPr="00C65740">
        <w:rPr>
          <w:noProof/>
          <w:sz w:val="28"/>
          <w:lang w:eastAsia="lv-LV"/>
        </w:rPr>
        <w:lastRenderedPageBreak/>
        <w:drawing>
          <wp:inline distT="0" distB="0" distL="0" distR="0" wp14:anchorId="7251119B" wp14:editId="2B1D4D96">
            <wp:extent cx="6120765" cy="3419061"/>
            <wp:effectExtent l="0" t="0" r="0" b="0"/>
            <wp:docPr id="7" name="Chart 7">
              <a:extLst xmlns:a="http://schemas.openxmlformats.org/drawingml/2006/main">
                <a:ext uri="{FF2B5EF4-FFF2-40B4-BE49-F238E27FC236}">
                  <a16:creationId xmlns:a16="http://schemas.microsoft.com/office/drawing/2014/main" id="{1752B7EA-376D-42F1-B513-0D352555F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F1DF5C" w14:textId="77777777" w:rsidR="00062BB0" w:rsidRDefault="00062BB0" w:rsidP="00062BB0">
      <w:pPr>
        <w:pStyle w:val="Bezatstarpm"/>
        <w:spacing w:after="240"/>
        <w:rPr>
          <w:rFonts w:ascii="Times New Roman" w:hAnsi="Times New Roman" w:cs="Times New Roman"/>
          <w:b/>
          <w:sz w:val="28"/>
          <w:szCs w:val="28"/>
        </w:rPr>
      </w:pPr>
      <w:bookmarkStart w:id="17" w:name="_Toc18329616"/>
      <w:bookmarkStart w:id="18" w:name="_Toc23236385"/>
      <w:r>
        <w:rPr>
          <w:rFonts w:ascii="Times New Roman" w:hAnsi="Times New Roman" w:cs="Times New Roman"/>
          <w:b/>
          <w:sz w:val="28"/>
          <w:szCs w:val="28"/>
        </w:rPr>
        <w:t>Reģionālas politikas pamatnostādnes 2021-2027.gadam izvirza šādus galvenos virzienus:</w:t>
      </w:r>
    </w:p>
    <w:p w14:paraId="35A87E40" w14:textId="11C44EF6" w:rsidR="001C7955" w:rsidRPr="001B61C6" w:rsidRDefault="001C7955" w:rsidP="001B61C6">
      <w:pPr>
        <w:pStyle w:val="Bezatstarpm"/>
        <w:spacing w:after="240"/>
        <w:rPr>
          <w:rFonts w:ascii="Times New Roman" w:hAnsi="Times New Roman" w:cs="Times New Roman"/>
          <w:b/>
          <w:sz w:val="28"/>
          <w:szCs w:val="28"/>
        </w:rPr>
      </w:pPr>
      <w:r w:rsidRPr="001B61C6">
        <w:rPr>
          <w:rFonts w:ascii="Times New Roman" w:hAnsi="Times New Roman" w:cs="Times New Roman"/>
          <w:b/>
          <w:sz w:val="28"/>
          <w:szCs w:val="28"/>
        </w:rPr>
        <w:t>A. Uzņēmējdarbības vides uzlabošana reģionos</w:t>
      </w:r>
      <w:bookmarkEnd w:id="17"/>
      <w:bookmarkEnd w:id="18"/>
    </w:p>
    <w:p w14:paraId="1C003CF0" w14:textId="77777777" w:rsidR="001C7955" w:rsidRPr="00E41AB3" w:rsidRDefault="001C7955" w:rsidP="001C7955">
      <w:pPr>
        <w:spacing w:after="120"/>
        <w:jc w:val="both"/>
        <w:rPr>
          <w:rFonts w:ascii="Times New Roman" w:hAnsi="Times New Roman" w:cs="Times New Roman"/>
          <w:sz w:val="24"/>
          <w:szCs w:val="24"/>
        </w:rPr>
      </w:pPr>
      <w:r w:rsidRPr="00E41AB3">
        <w:rPr>
          <w:rFonts w:ascii="Times New Roman" w:hAnsi="Times New Roman" w:cs="Times New Roman"/>
          <w:sz w:val="24"/>
          <w:szCs w:val="24"/>
        </w:rPr>
        <w:t xml:space="preserve">Reģionālajā attīstībā izšķiroša loma ir uzņēmējdarbības videi reģionos, jo tā sniedz nodarbinātības iespējas un līdz ar to labklājību iedzīvotājiem, stimulē iedzīvotāju palikšanu dzīvesvietās, samazinot teritoriju </w:t>
      </w:r>
      <w:proofErr w:type="spellStart"/>
      <w:r w:rsidRPr="00E41AB3">
        <w:rPr>
          <w:rFonts w:ascii="Times New Roman" w:hAnsi="Times New Roman" w:cs="Times New Roman"/>
          <w:sz w:val="24"/>
          <w:szCs w:val="24"/>
        </w:rPr>
        <w:t>depopulāciju</w:t>
      </w:r>
      <w:proofErr w:type="spellEnd"/>
      <w:r w:rsidRPr="00E41AB3">
        <w:rPr>
          <w:rFonts w:ascii="Times New Roman" w:hAnsi="Times New Roman" w:cs="Times New Roman"/>
          <w:sz w:val="24"/>
          <w:szCs w:val="24"/>
        </w:rPr>
        <w:t xml:space="preserve">, kā arī rada ienākumus pašvaldību budžetos no nodokļiem, kas savukārt dod iespējas veikt ieguldījumus teritorijas infrastruktūras uzlabošanā, rezultātā kopumā paaugstinot iedzīvotāju dzīves kvalitāti.  </w:t>
      </w:r>
    </w:p>
    <w:p w14:paraId="502E74F0" w14:textId="1B25EA77" w:rsidR="001C7955" w:rsidRPr="00E41AB3" w:rsidRDefault="001C7955" w:rsidP="001C7955">
      <w:pPr>
        <w:spacing w:after="120"/>
        <w:jc w:val="both"/>
        <w:rPr>
          <w:rFonts w:ascii="Times New Roman" w:hAnsi="Times New Roman" w:cs="Times New Roman"/>
          <w:sz w:val="24"/>
          <w:szCs w:val="24"/>
        </w:rPr>
      </w:pPr>
      <w:r w:rsidRPr="00E41AB3">
        <w:rPr>
          <w:rFonts w:ascii="Times New Roman" w:hAnsi="Times New Roman" w:cs="Times New Roman"/>
          <w:sz w:val="24"/>
          <w:szCs w:val="24"/>
        </w:rPr>
        <w:t>Kā liecina apskatītie statistikas dati (sk</w:t>
      </w:r>
      <w:r w:rsidR="00701382">
        <w:rPr>
          <w:rFonts w:ascii="Times New Roman" w:hAnsi="Times New Roman" w:cs="Times New Roman"/>
          <w:sz w:val="24"/>
          <w:szCs w:val="24"/>
        </w:rPr>
        <w:t>at</w:t>
      </w:r>
      <w:r w:rsidRPr="00E41AB3">
        <w:rPr>
          <w:rFonts w:ascii="Times New Roman" w:hAnsi="Times New Roman" w:cs="Times New Roman"/>
          <w:sz w:val="24"/>
          <w:szCs w:val="24"/>
        </w:rPr>
        <w:t>. 1.</w:t>
      </w:r>
      <w:r w:rsidR="00701382">
        <w:rPr>
          <w:rFonts w:ascii="Times New Roman" w:hAnsi="Times New Roman" w:cs="Times New Roman"/>
          <w:sz w:val="24"/>
          <w:szCs w:val="24"/>
        </w:rPr>
        <w:t>sa</w:t>
      </w:r>
      <w:r w:rsidRPr="00E41AB3">
        <w:rPr>
          <w:rFonts w:ascii="Times New Roman" w:hAnsi="Times New Roman" w:cs="Times New Roman"/>
          <w:sz w:val="24"/>
          <w:szCs w:val="24"/>
        </w:rPr>
        <w:t xml:space="preserve">daļu), pastāv būtiska “tirgus nepilnība” - ekonomika koncentrējas Rīgā un tās apkārtnē, radot nesamērīgas reģionālās attīstības atšķirības. Ņemot vērā, ka reģionālās attīstības atšķirības ietekmē kapitālo ieguldījumu apjoms, kas </w:t>
      </w:r>
      <w:r w:rsidR="00303C67">
        <w:rPr>
          <w:rFonts w:ascii="Times New Roman" w:hAnsi="Times New Roman" w:cs="Times New Roman"/>
          <w:sz w:val="24"/>
          <w:szCs w:val="24"/>
        </w:rPr>
        <w:t xml:space="preserve">ir </w:t>
      </w:r>
      <w:r w:rsidRPr="00E41AB3">
        <w:rPr>
          <w:rFonts w:ascii="Times New Roman" w:hAnsi="Times New Roman" w:cs="Times New Roman"/>
          <w:sz w:val="24"/>
          <w:szCs w:val="24"/>
        </w:rPr>
        <w:t xml:space="preserve">tieši saistīts ar ieguldījumiem uzņēmējdarbības infrastruktūrā, kuras tirgus vērtība arī reģionāli ir atšķirīga, tad uzņēmējdarbības vide (galvenokārt infrastruktūra) ir būtisks priekšnosacījums jaunu investīciju ienākšanai reģionos. Ieguldījumiem infrastruktūrā ir ilgāks atmaksāšanās periods, līdz ar to, komersantam veicot ieguldījumus infrastruktūrā, tiek iesaldētas investīcijas, ko komersants varētu investēt jaunu produktu attīstībā. </w:t>
      </w:r>
    </w:p>
    <w:p w14:paraId="21490C68" w14:textId="6159A0CE" w:rsidR="001C7955" w:rsidRPr="00E41AB3" w:rsidRDefault="001C7955" w:rsidP="001C7955">
      <w:pPr>
        <w:spacing w:after="120"/>
        <w:jc w:val="both"/>
        <w:rPr>
          <w:rFonts w:ascii="Times New Roman" w:hAnsi="Times New Roman" w:cs="Times New Roman"/>
          <w:sz w:val="24"/>
          <w:szCs w:val="24"/>
        </w:rPr>
      </w:pPr>
      <w:r w:rsidRPr="00E41AB3">
        <w:rPr>
          <w:rFonts w:ascii="Times New Roman" w:hAnsi="Times New Roman" w:cs="Times New Roman"/>
          <w:b/>
          <w:sz w:val="24"/>
          <w:szCs w:val="24"/>
          <w:u w:val="single"/>
        </w:rPr>
        <w:t>Tāpēc reģionālās ekonomikas attīstībā būtiska loma ir tieši pašvaldībām kā vietējās attīstības līderiem</w:t>
      </w:r>
      <w:r w:rsidRPr="00E41AB3">
        <w:rPr>
          <w:rFonts w:ascii="Times New Roman" w:hAnsi="Times New Roman" w:cs="Times New Roman"/>
          <w:sz w:val="24"/>
          <w:szCs w:val="24"/>
        </w:rPr>
        <w:t>, kas sadarbībā ar komersantiem veido uzņēmējdarbībai labvēlīgu vidi, tādējādi noņemot slogu komersantam veikt ieguldījumus infrastruktūrā un dodot iespēju komersantam novirzīt investīcijas produkt</w:t>
      </w:r>
      <w:r w:rsidR="00303C67">
        <w:rPr>
          <w:rFonts w:ascii="Times New Roman" w:hAnsi="Times New Roman" w:cs="Times New Roman"/>
          <w:sz w:val="24"/>
          <w:szCs w:val="24"/>
        </w:rPr>
        <w:t>u</w:t>
      </w:r>
      <w:r w:rsidRPr="00E41AB3">
        <w:rPr>
          <w:rFonts w:ascii="Times New Roman" w:hAnsi="Times New Roman" w:cs="Times New Roman"/>
          <w:sz w:val="24"/>
          <w:szCs w:val="24"/>
        </w:rPr>
        <w:t xml:space="preserve"> attīstībai. </w:t>
      </w:r>
    </w:p>
    <w:p w14:paraId="0A6DB6DE" w14:textId="573FC7C8" w:rsidR="001C7955" w:rsidRPr="00E41AB3" w:rsidRDefault="001C7955" w:rsidP="001C7955">
      <w:pPr>
        <w:spacing w:after="120"/>
        <w:jc w:val="both"/>
        <w:rPr>
          <w:rFonts w:ascii="Times New Roman" w:hAnsi="Times New Roman" w:cs="Times New Roman"/>
          <w:sz w:val="24"/>
          <w:szCs w:val="24"/>
        </w:rPr>
      </w:pPr>
      <w:r w:rsidRPr="00E41AB3">
        <w:rPr>
          <w:rFonts w:ascii="Times New Roman" w:hAnsi="Times New Roman" w:cs="Times New Roman"/>
          <w:sz w:val="24"/>
          <w:szCs w:val="24"/>
        </w:rPr>
        <w:t xml:space="preserve">Ņemot vērā cilvēkresursu trūkumu reģionos, būtiski veidot tādus atbalsta instrumentus, kas tiešā veidā būtu mērķēti uz darba algu pieaugumu un cilvēkresursu piesaisti reģioniem. Vienlaikus jānorāda, ka pašreizējais uzņēmējdarbības biznesa modelis vairumā uzņēmumu ir vāji orientēts uz produktu ar augstu pievienoto vērtību radīšanu, kas būtu pamats lielākām darba algām. Latvijas </w:t>
      </w:r>
      <w:r w:rsidRPr="00E41AB3">
        <w:rPr>
          <w:rFonts w:ascii="Times New Roman" w:hAnsi="Times New Roman" w:cs="Times New Roman"/>
          <w:sz w:val="24"/>
          <w:szCs w:val="24"/>
        </w:rPr>
        <w:lastRenderedPageBreak/>
        <w:t>inovācijas sniegums jau vairākus gadus ir starp zemākajiem Eiropā.</w:t>
      </w:r>
      <w:r w:rsidRPr="00E41AB3">
        <w:rPr>
          <w:rFonts w:ascii="Times New Roman" w:hAnsi="Times New Roman" w:cs="Times New Roman"/>
          <w:sz w:val="24"/>
          <w:szCs w:val="24"/>
          <w:vertAlign w:val="superscript"/>
        </w:rPr>
        <w:footnoteReference w:id="19"/>
      </w:r>
      <w:r w:rsidRPr="00E41AB3">
        <w:rPr>
          <w:rFonts w:ascii="Times New Roman" w:hAnsi="Times New Roman" w:cs="Times New Roman"/>
          <w:sz w:val="24"/>
          <w:szCs w:val="24"/>
        </w:rPr>
        <w:t xml:space="preserve"> Tādēļ būtiski ir radīt apstākļus, kas nodrošina pāreju no dabas resursu pārdales un salīdzinoši lēta darbaspēka (dabiskās priekšrocības) izmantošanas uz inovatīvu un zināšanām balstītu ekonomiku</w:t>
      </w:r>
      <w:r w:rsidRPr="00E41AB3">
        <w:rPr>
          <w:rFonts w:ascii="Times New Roman" w:hAnsi="Times New Roman" w:cs="Times New Roman"/>
          <w:sz w:val="24"/>
          <w:szCs w:val="24"/>
          <w:vertAlign w:val="superscript"/>
        </w:rPr>
        <w:footnoteReference w:id="20"/>
      </w:r>
      <w:r w:rsidRPr="00E41AB3">
        <w:rPr>
          <w:rFonts w:ascii="Times New Roman" w:hAnsi="Times New Roman" w:cs="Times New Roman"/>
          <w:sz w:val="24"/>
          <w:szCs w:val="24"/>
        </w:rPr>
        <w:t>, kas rada augstu pievienoto vērtību un vienlaikus veicina straujāku labklājības līmeņa celšanos un iespēju nodrošināt augstāku atlīdzību darba spēkam.</w:t>
      </w:r>
    </w:p>
    <w:p w14:paraId="2E0D2842" w14:textId="77777777" w:rsidR="001C7955" w:rsidRPr="00E41AB3" w:rsidRDefault="001C7955" w:rsidP="001C7955">
      <w:pPr>
        <w:spacing w:after="120"/>
        <w:jc w:val="both"/>
        <w:rPr>
          <w:rFonts w:ascii="Times New Roman" w:hAnsi="Times New Roman" w:cs="Times New Roman"/>
          <w:sz w:val="24"/>
        </w:rPr>
      </w:pPr>
      <w:proofErr w:type="spellStart"/>
      <w:r w:rsidRPr="00E41AB3">
        <w:rPr>
          <w:rFonts w:ascii="Times New Roman" w:hAnsi="Times New Roman" w:cs="Times New Roman"/>
          <w:sz w:val="24"/>
        </w:rPr>
        <w:t>Apakšmērķa</w:t>
      </w:r>
      <w:proofErr w:type="spellEnd"/>
      <w:r w:rsidRPr="00E41AB3">
        <w:rPr>
          <w:rFonts w:ascii="Times New Roman" w:hAnsi="Times New Roman" w:cs="Times New Roman"/>
          <w:sz w:val="24"/>
        </w:rPr>
        <w:t xml:space="preserve"> sasniegšanai tiek izvirzīti šādi rīcības virzieni:</w:t>
      </w:r>
    </w:p>
    <w:p w14:paraId="49CE3C00" w14:textId="77777777" w:rsidR="001C7955" w:rsidRPr="00E41AB3" w:rsidRDefault="001C7955" w:rsidP="001C7955">
      <w:pPr>
        <w:spacing w:after="120"/>
        <w:jc w:val="both"/>
        <w:rPr>
          <w:rFonts w:ascii="Times New Roman" w:hAnsi="Times New Roman" w:cs="Times New Roman"/>
          <w:b/>
          <w:sz w:val="24"/>
        </w:rPr>
      </w:pPr>
      <w:r w:rsidRPr="00E41AB3">
        <w:rPr>
          <w:rFonts w:ascii="Times New Roman" w:hAnsi="Times New Roman" w:cs="Times New Roman"/>
          <w:b/>
          <w:sz w:val="24"/>
        </w:rPr>
        <w:t>A1. Vietas sagatavošana uzņēmējam un to produktivitāte;</w:t>
      </w:r>
    </w:p>
    <w:p w14:paraId="07E0A58B" w14:textId="69BE5155" w:rsidR="001C7955" w:rsidRDefault="001C7955" w:rsidP="001C7955">
      <w:pPr>
        <w:spacing w:after="120"/>
        <w:jc w:val="both"/>
        <w:rPr>
          <w:rFonts w:ascii="Times New Roman" w:hAnsi="Times New Roman" w:cs="Times New Roman"/>
          <w:b/>
          <w:bCs/>
          <w:sz w:val="24"/>
          <w:szCs w:val="24"/>
        </w:rPr>
      </w:pPr>
      <w:r w:rsidRPr="00E41AB3">
        <w:rPr>
          <w:rFonts w:ascii="Times New Roman" w:hAnsi="Times New Roman" w:cs="Times New Roman"/>
          <w:b/>
          <w:bCs/>
          <w:sz w:val="24"/>
          <w:szCs w:val="24"/>
        </w:rPr>
        <w:t xml:space="preserve">A2. </w:t>
      </w:r>
      <w:proofErr w:type="spellStart"/>
      <w:r w:rsidRPr="00E41AB3">
        <w:rPr>
          <w:rFonts w:ascii="Times New Roman" w:hAnsi="Times New Roman" w:cs="Times New Roman"/>
          <w:b/>
          <w:bCs/>
          <w:sz w:val="24"/>
          <w:szCs w:val="24"/>
        </w:rPr>
        <w:t>Cilvēkkapitāla</w:t>
      </w:r>
      <w:proofErr w:type="spellEnd"/>
      <w:r w:rsidRPr="00E41AB3">
        <w:rPr>
          <w:rFonts w:ascii="Times New Roman" w:hAnsi="Times New Roman" w:cs="Times New Roman"/>
          <w:b/>
          <w:bCs/>
          <w:sz w:val="24"/>
          <w:szCs w:val="24"/>
        </w:rPr>
        <w:t xml:space="preserve"> piesaiste reģionos.</w:t>
      </w:r>
    </w:p>
    <w:p w14:paraId="45431E64" w14:textId="77777777" w:rsidR="004C46F4" w:rsidRPr="00E41AB3" w:rsidRDefault="004C46F4" w:rsidP="004C46F4">
      <w:pPr>
        <w:spacing w:after="0"/>
        <w:jc w:val="both"/>
        <w:rPr>
          <w:rFonts w:ascii="Times New Roman" w:hAnsi="Times New Roman" w:cs="Times New Roman"/>
          <w:b/>
          <w:sz w:val="24"/>
        </w:rPr>
      </w:pPr>
    </w:p>
    <w:p w14:paraId="14F5D61F" w14:textId="77777777" w:rsidR="001C7955" w:rsidRPr="004C46F4" w:rsidRDefault="001C7955" w:rsidP="001B61C6">
      <w:pPr>
        <w:pStyle w:val="Bezatstarpm"/>
        <w:spacing w:after="240"/>
        <w:rPr>
          <w:rFonts w:ascii="Times New Roman" w:hAnsi="Times New Roman" w:cs="Times New Roman"/>
          <w:b/>
          <w:sz w:val="28"/>
          <w:szCs w:val="28"/>
        </w:rPr>
      </w:pPr>
      <w:bookmarkStart w:id="19" w:name="_Toc18329617"/>
      <w:bookmarkStart w:id="20" w:name="_Toc23236386"/>
      <w:r w:rsidRPr="004C46F4">
        <w:rPr>
          <w:rFonts w:ascii="Times New Roman" w:hAnsi="Times New Roman" w:cs="Times New Roman"/>
          <w:b/>
          <w:sz w:val="28"/>
          <w:szCs w:val="28"/>
        </w:rPr>
        <w:t>B. Pakalpojumu efektivitātes uzlabošana reģionos</w:t>
      </w:r>
      <w:bookmarkEnd w:id="19"/>
      <w:bookmarkEnd w:id="20"/>
    </w:p>
    <w:p w14:paraId="36242FFD" w14:textId="77777777" w:rsidR="001C7955" w:rsidRPr="00E41AB3" w:rsidRDefault="001C7955" w:rsidP="001C7955">
      <w:pPr>
        <w:spacing w:after="120"/>
        <w:jc w:val="both"/>
        <w:rPr>
          <w:rFonts w:ascii="Times New Roman" w:hAnsi="Times New Roman" w:cs="Times New Roman"/>
          <w:sz w:val="24"/>
          <w:szCs w:val="24"/>
        </w:rPr>
      </w:pPr>
      <w:r w:rsidRPr="00E41AB3">
        <w:rPr>
          <w:rFonts w:ascii="Times New Roman" w:hAnsi="Times New Roman" w:cs="Times New Roman"/>
          <w:sz w:val="24"/>
          <w:szCs w:val="24"/>
        </w:rPr>
        <w:t>Ņemot vērā iedzīvotāju skaita samazināšanos reģionos, nepieciešams pārskatīt un padarīt efektīvāku pakalpojumu nodrošināšanas tīklu. Vienlaikus izaicinājumi starp teritorijām ir atšķirīgi – teritorijās, kur samazinās iedzīvotāju skaits, jāveido risinājums pakalpojumu uzturēšanas izmaksu samazināšanai uz klientu, savukārt teritorijās, kur pieaug iedzīvotāju skaits, jāpalielina pakalpojuma pieejamība un kvalitāte. Tāpēc būtiski apskatīt risinājumus gan pašai pakalpojumu nodrošināšanai atbilstoši demogrāfijas izaicinājumiem, gan veidojot sasniedzamību un dzīves vidi atbilstoši teritorijas specifikai un pakalpojumu sasniegšanai. Lai veiktu pārmaiņas, būtiska ir arī plānošanas reģionu un pašvaldību kapacitāte, lai varētu ieviest jaunus risinājumus.</w:t>
      </w:r>
    </w:p>
    <w:p w14:paraId="2551D6C0" w14:textId="77777777" w:rsidR="001C7955" w:rsidRPr="00E41AB3" w:rsidRDefault="001C7955" w:rsidP="001C7955">
      <w:pPr>
        <w:spacing w:after="120"/>
        <w:jc w:val="both"/>
        <w:rPr>
          <w:rFonts w:ascii="Times New Roman" w:hAnsi="Times New Roman" w:cs="Times New Roman"/>
          <w:sz w:val="24"/>
        </w:rPr>
      </w:pPr>
      <w:proofErr w:type="spellStart"/>
      <w:r w:rsidRPr="00E41AB3">
        <w:rPr>
          <w:rFonts w:ascii="Times New Roman" w:hAnsi="Times New Roman" w:cs="Times New Roman"/>
          <w:sz w:val="24"/>
        </w:rPr>
        <w:t>Apakšmērķa</w:t>
      </w:r>
      <w:proofErr w:type="spellEnd"/>
      <w:r w:rsidRPr="00E41AB3">
        <w:rPr>
          <w:rFonts w:ascii="Times New Roman" w:hAnsi="Times New Roman" w:cs="Times New Roman"/>
          <w:sz w:val="24"/>
        </w:rPr>
        <w:t xml:space="preserve"> sasniegšanai tiek izvirzīti šādi rīcības virzieni:</w:t>
      </w:r>
    </w:p>
    <w:p w14:paraId="4FA8556C" w14:textId="77777777" w:rsidR="001C7955" w:rsidRPr="00E41AB3" w:rsidRDefault="001C7955" w:rsidP="001C7955">
      <w:pPr>
        <w:spacing w:after="120"/>
        <w:jc w:val="both"/>
        <w:rPr>
          <w:rFonts w:ascii="Times New Roman" w:hAnsi="Times New Roman" w:cs="Times New Roman"/>
          <w:b/>
          <w:bCs/>
          <w:sz w:val="24"/>
          <w:szCs w:val="24"/>
        </w:rPr>
      </w:pPr>
      <w:r w:rsidRPr="00E41AB3">
        <w:rPr>
          <w:rFonts w:ascii="Times New Roman" w:hAnsi="Times New Roman" w:cs="Times New Roman"/>
          <w:b/>
          <w:bCs/>
          <w:sz w:val="24"/>
          <w:szCs w:val="24"/>
        </w:rPr>
        <w:t>B1. Pakalpojumu nodrošināšana reģionos atbilstoši demogrāfijas izaicinājumiem;</w:t>
      </w:r>
    </w:p>
    <w:p w14:paraId="07E1E9A1" w14:textId="77777777" w:rsidR="001C7955" w:rsidRPr="00E41AB3" w:rsidRDefault="001C7955" w:rsidP="001C7955">
      <w:pPr>
        <w:spacing w:after="120"/>
        <w:jc w:val="both"/>
        <w:rPr>
          <w:rFonts w:ascii="Times New Roman" w:hAnsi="Times New Roman" w:cs="Times New Roman"/>
          <w:b/>
          <w:bCs/>
          <w:sz w:val="24"/>
          <w:szCs w:val="24"/>
        </w:rPr>
      </w:pPr>
      <w:r w:rsidRPr="00E41AB3">
        <w:rPr>
          <w:rFonts w:ascii="Times New Roman" w:hAnsi="Times New Roman" w:cs="Times New Roman"/>
          <w:b/>
          <w:bCs/>
          <w:sz w:val="24"/>
          <w:szCs w:val="24"/>
        </w:rPr>
        <w:t>B2. Sasniedzamība un dzīves vide reģionos;</w:t>
      </w:r>
    </w:p>
    <w:p w14:paraId="00CC6D5B" w14:textId="77777777" w:rsidR="001C7955" w:rsidRPr="00E41AB3" w:rsidRDefault="001C7955" w:rsidP="001C7955">
      <w:pPr>
        <w:spacing w:after="120"/>
        <w:jc w:val="both"/>
        <w:rPr>
          <w:rFonts w:ascii="Times New Roman" w:hAnsi="Times New Roman" w:cs="Times New Roman"/>
          <w:b/>
          <w:bCs/>
          <w:sz w:val="24"/>
          <w:szCs w:val="24"/>
        </w:rPr>
      </w:pPr>
      <w:r w:rsidRPr="00E41AB3">
        <w:rPr>
          <w:rFonts w:ascii="Times New Roman" w:hAnsi="Times New Roman" w:cs="Times New Roman"/>
          <w:b/>
          <w:bCs/>
          <w:sz w:val="24"/>
          <w:szCs w:val="24"/>
        </w:rPr>
        <w:t>B3. Plānošanas reģionu un pašvaldību administrācijas darba efektivitāte.</w:t>
      </w:r>
    </w:p>
    <w:p w14:paraId="5884181F" w14:textId="1DC2DF0F" w:rsidR="001C7955" w:rsidRPr="003028C7" w:rsidRDefault="003028C7" w:rsidP="003028C7">
      <w:pPr>
        <w:spacing w:after="120"/>
        <w:jc w:val="both"/>
        <w:rPr>
          <w:rFonts w:ascii="Times New Roman" w:hAnsi="Times New Roman" w:cs="Times New Roman"/>
          <w:sz w:val="24"/>
          <w:szCs w:val="24"/>
        </w:rPr>
      </w:pPr>
      <w:r>
        <w:rPr>
          <w:rFonts w:ascii="Times New Roman" w:hAnsi="Times New Roman" w:cs="Times New Roman"/>
          <w:sz w:val="24"/>
          <w:szCs w:val="24"/>
        </w:rPr>
        <w:t xml:space="preserve">Kā būtiskākais avots </w:t>
      </w:r>
      <w:r w:rsidR="00E570B7">
        <w:rPr>
          <w:rFonts w:ascii="Times New Roman" w:hAnsi="Times New Roman" w:cs="Times New Roman"/>
          <w:sz w:val="24"/>
          <w:szCs w:val="24"/>
        </w:rPr>
        <w:t>reģionālās politikas mērķu sasniegšanai</w:t>
      </w:r>
      <w:r>
        <w:rPr>
          <w:rFonts w:ascii="Times New Roman" w:hAnsi="Times New Roman" w:cs="Times New Roman"/>
          <w:sz w:val="24"/>
          <w:szCs w:val="24"/>
        </w:rPr>
        <w:t xml:space="preserve"> paredzēto ieguldījumu finansēšanai (t.i., investīcijām infrastruktūrā) plānots ES fondu finansējums 2021.-2027.gada plānošanas periodam, kā arī citi ārvalstu finanšu instrumenti. Rīcības uzdevumu īstenošanai pieejamais finansējums būs atkarīgs no Nacionālais attīstības plāna 2021. – 2027.gadam un sarunām ar Eiropas Komisiju par Latvijai pieejamā ES fondu finansējuma izlietojumu, ņemot vērā, ka Eiropas Savienības līmenī vēl turpinās diskusijas par ES dalībvalstīm pieejamo ES fondu finansējumu 2021.–2027.gada plānošanas periodam un atbalsta tvērumu.</w:t>
      </w:r>
    </w:p>
    <w:p w14:paraId="5E784747" w14:textId="77777777" w:rsidR="005976BF" w:rsidRPr="005976BF" w:rsidRDefault="005976BF" w:rsidP="005976BF">
      <w:pPr>
        <w:spacing w:after="0"/>
        <w:jc w:val="both"/>
        <w:rPr>
          <w:rFonts w:ascii="Times New Roman" w:eastAsia="Times New Roman" w:hAnsi="Times New Roman" w:cs="Times New Roman"/>
          <w:bCs/>
          <w:sz w:val="24"/>
          <w:szCs w:val="24"/>
          <w:lang w:eastAsia="lv-LV"/>
        </w:rPr>
      </w:pPr>
    </w:p>
    <w:p w14:paraId="411236C4" w14:textId="0E820BBD" w:rsidR="005976BF" w:rsidRPr="005976BF" w:rsidRDefault="005976BF" w:rsidP="005976BF">
      <w:pPr>
        <w:spacing w:after="0"/>
        <w:jc w:val="both"/>
        <w:rPr>
          <w:rFonts w:ascii="Times New Roman" w:eastAsia="Times New Roman" w:hAnsi="Times New Roman" w:cs="Times New Roman"/>
          <w:bCs/>
          <w:sz w:val="24"/>
          <w:szCs w:val="24"/>
          <w:lang w:eastAsia="lv-LV"/>
        </w:rPr>
      </w:pPr>
      <w:r w:rsidRPr="005976BF">
        <w:rPr>
          <w:rFonts w:ascii="Times New Roman" w:eastAsia="Times New Roman" w:hAnsi="Times New Roman" w:cs="Times New Roman"/>
          <w:bCs/>
          <w:sz w:val="24"/>
          <w:szCs w:val="24"/>
          <w:lang w:eastAsia="lv-LV"/>
        </w:rPr>
        <w:t>Vides aizsardzības un reģionālās attīstības ministrs</w:t>
      </w:r>
      <w:r>
        <w:rPr>
          <w:rFonts w:ascii="Times New Roman" w:eastAsia="Times New Roman" w:hAnsi="Times New Roman" w:cs="Times New Roman"/>
          <w:bCs/>
          <w:sz w:val="24"/>
          <w:szCs w:val="24"/>
          <w:lang w:eastAsia="lv-LV"/>
        </w:rPr>
        <w:tab/>
      </w:r>
      <w:r w:rsidRPr="005976BF">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proofErr w:type="spellStart"/>
      <w:r>
        <w:rPr>
          <w:rFonts w:ascii="Times New Roman" w:eastAsia="Times New Roman" w:hAnsi="Times New Roman" w:cs="Times New Roman"/>
          <w:bCs/>
          <w:sz w:val="24"/>
          <w:szCs w:val="24"/>
          <w:lang w:eastAsia="lv-LV"/>
        </w:rPr>
        <w:t>J.Pūce</w:t>
      </w:r>
      <w:proofErr w:type="spellEnd"/>
    </w:p>
    <w:p w14:paraId="6ECA137B" w14:textId="77777777" w:rsidR="00E570B7" w:rsidRDefault="00E570B7" w:rsidP="005976BF">
      <w:pPr>
        <w:spacing w:after="0"/>
        <w:jc w:val="both"/>
        <w:rPr>
          <w:rFonts w:ascii="Times New Roman" w:eastAsia="Times New Roman" w:hAnsi="Times New Roman" w:cs="Times New Roman"/>
          <w:bCs/>
          <w:sz w:val="20"/>
          <w:szCs w:val="20"/>
          <w:lang w:eastAsia="lv-LV"/>
        </w:rPr>
      </w:pPr>
    </w:p>
    <w:p w14:paraId="2222C038" w14:textId="118D24D1" w:rsidR="005976BF" w:rsidRPr="005976BF" w:rsidRDefault="005976BF" w:rsidP="005976BF">
      <w:pPr>
        <w:spacing w:after="0"/>
        <w:jc w:val="both"/>
        <w:rPr>
          <w:rFonts w:ascii="Times New Roman" w:eastAsia="Times New Roman" w:hAnsi="Times New Roman" w:cs="Times New Roman"/>
          <w:bCs/>
          <w:sz w:val="20"/>
          <w:szCs w:val="20"/>
          <w:lang w:eastAsia="lv-LV"/>
        </w:rPr>
      </w:pPr>
      <w:r w:rsidRPr="005976BF">
        <w:rPr>
          <w:rFonts w:ascii="Times New Roman" w:eastAsia="Times New Roman" w:hAnsi="Times New Roman" w:cs="Times New Roman"/>
          <w:bCs/>
          <w:sz w:val="20"/>
          <w:szCs w:val="20"/>
          <w:lang w:eastAsia="lv-LV"/>
        </w:rPr>
        <w:t>Timermanis 66016709</w:t>
      </w:r>
    </w:p>
    <w:p w14:paraId="4992F617" w14:textId="6843F14E" w:rsidR="005976BF" w:rsidRPr="00E570B7" w:rsidRDefault="002F458E" w:rsidP="005976BF">
      <w:pPr>
        <w:spacing w:after="0"/>
        <w:jc w:val="both"/>
        <w:rPr>
          <w:rFonts w:ascii="Times New Roman" w:eastAsia="Times New Roman" w:hAnsi="Times New Roman" w:cs="Times New Roman"/>
          <w:bCs/>
          <w:sz w:val="20"/>
          <w:szCs w:val="20"/>
          <w:lang w:eastAsia="lv-LV"/>
        </w:rPr>
      </w:pPr>
      <w:hyperlink r:id="rId26" w:history="1">
        <w:r w:rsidR="005976BF" w:rsidRPr="005976BF">
          <w:rPr>
            <w:rStyle w:val="Hipersaite"/>
            <w:rFonts w:ascii="Times New Roman" w:eastAsia="Times New Roman" w:hAnsi="Times New Roman" w:cs="Times New Roman"/>
            <w:bCs/>
            <w:sz w:val="20"/>
            <w:szCs w:val="20"/>
            <w:lang w:eastAsia="lv-LV"/>
          </w:rPr>
          <w:t>Ritvars.Timermanis@varam.gov.lv</w:t>
        </w:r>
      </w:hyperlink>
      <w:r w:rsidR="005976BF" w:rsidRPr="005976BF">
        <w:rPr>
          <w:rFonts w:ascii="Times New Roman" w:eastAsia="Times New Roman" w:hAnsi="Times New Roman" w:cs="Times New Roman"/>
          <w:bCs/>
          <w:sz w:val="20"/>
          <w:szCs w:val="20"/>
          <w:lang w:eastAsia="lv-LV"/>
        </w:rPr>
        <w:t xml:space="preserve"> </w:t>
      </w:r>
    </w:p>
    <w:sectPr w:rsidR="005976BF" w:rsidRPr="00E570B7" w:rsidSect="000A281E">
      <w:headerReference w:type="default" r:id="rId27"/>
      <w:footerReference w:type="default" r:id="rId28"/>
      <w:pgSz w:w="11906" w:h="16838"/>
      <w:pgMar w:top="1276"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0CCC" w14:textId="77777777" w:rsidR="00065F8A" w:rsidRDefault="00065F8A" w:rsidP="00EA4605">
      <w:pPr>
        <w:spacing w:after="0" w:line="240" w:lineRule="auto"/>
      </w:pPr>
      <w:r>
        <w:separator/>
      </w:r>
    </w:p>
  </w:endnote>
  <w:endnote w:type="continuationSeparator" w:id="0">
    <w:p w14:paraId="7C6E68E3" w14:textId="77777777" w:rsidR="00065F8A" w:rsidRDefault="00065F8A" w:rsidP="00E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804D" w14:textId="13F68AA1" w:rsidR="00117E5B" w:rsidRDefault="00117E5B" w:rsidP="00117E5B">
    <w:pPr>
      <w:pStyle w:val="Nosaukums"/>
      <w:jc w:val="both"/>
    </w:pPr>
    <w:r>
      <w:rPr>
        <w:rFonts w:ascii="Times New Roman" w:eastAsia="Times New Roman" w:hAnsi="Times New Roman" w:cs="Times New Roman"/>
        <w:sz w:val="20"/>
        <w:szCs w:val="20"/>
      </w:rPr>
      <w:t>VARAMZin_0</w:t>
    </w:r>
    <w:r w:rsidR="002F458E">
      <w:rPr>
        <w:rFonts w:ascii="Times New Roman" w:eastAsia="Times New Roman" w:hAnsi="Times New Roman" w:cs="Times New Roman"/>
        <w:sz w:val="20"/>
        <w:szCs w:val="20"/>
      </w:rPr>
      <w:t>8</w:t>
    </w:r>
    <w:r>
      <w:rPr>
        <w:rFonts w:ascii="Times New Roman" w:eastAsia="Times New Roman" w:hAnsi="Times New Roman" w:cs="Times New Roman"/>
        <w:sz w:val="20"/>
        <w:szCs w:val="20"/>
      </w:rPr>
      <w:t>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5BD" w14:textId="77777777" w:rsidR="00065F8A" w:rsidRDefault="00065F8A" w:rsidP="00EA4605">
      <w:pPr>
        <w:spacing w:after="0" w:line="240" w:lineRule="auto"/>
      </w:pPr>
      <w:r>
        <w:separator/>
      </w:r>
    </w:p>
  </w:footnote>
  <w:footnote w:type="continuationSeparator" w:id="0">
    <w:p w14:paraId="68D16334" w14:textId="77777777" w:rsidR="00065F8A" w:rsidRDefault="00065F8A" w:rsidP="00EA4605">
      <w:pPr>
        <w:spacing w:after="0" w:line="240" w:lineRule="auto"/>
      </w:pPr>
      <w:r>
        <w:continuationSeparator/>
      </w:r>
    </w:p>
  </w:footnote>
  <w:footnote w:id="1">
    <w:p w14:paraId="32867248" w14:textId="409E1AE0" w:rsidR="00627577" w:rsidRPr="001F6B5A" w:rsidRDefault="00627577" w:rsidP="000A281E">
      <w:pPr>
        <w:pStyle w:val="Vresteksts"/>
        <w:jc w:val="both"/>
        <w:rPr>
          <w:rFonts w:ascii="Times New Roman" w:hAnsi="Times New Roman" w:cs="Times New Roman"/>
          <w:lang w:val="lv-LV"/>
        </w:rPr>
      </w:pPr>
      <w:r w:rsidRPr="001F6B5A">
        <w:rPr>
          <w:rStyle w:val="Vresatsauce"/>
          <w:rFonts w:ascii="Times New Roman" w:hAnsi="Times New Roman" w:cs="Times New Roman"/>
          <w:lang w:val="lv-LV"/>
        </w:rPr>
        <w:footnoteRef/>
      </w:r>
      <w:r w:rsidRPr="001F6B5A">
        <w:rPr>
          <w:rFonts w:ascii="Times New Roman" w:hAnsi="Times New Roman" w:cs="Times New Roman"/>
          <w:lang w:val="lv-LV"/>
        </w:rPr>
        <w:t xml:space="preserve"> </w:t>
      </w:r>
      <w:r w:rsidR="00521B49" w:rsidRPr="001F6B5A">
        <w:rPr>
          <w:rFonts w:ascii="Times New Roman" w:hAnsi="Times New Roman" w:cs="Times New Roman"/>
          <w:lang w:val="lv-LV"/>
        </w:rPr>
        <w:t>3.3.1.specifiskā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p>
  </w:footnote>
  <w:footnote w:id="2">
    <w:p w14:paraId="27ECC462" w14:textId="036220D2" w:rsidR="00627577" w:rsidRPr="001F6B5A" w:rsidRDefault="00627577" w:rsidP="000A281E">
      <w:pPr>
        <w:pStyle w:val="Vresteksts"/>
        <w:jc w:val="both"/>
        <w:rPr>
          <w:rFonts w:ascii="Times New Roman" w:hAnsi="Times New Roman" w:cs="Times New Roman"/>
          <w:lang w:val="lv-LV"/>
        </w:rPr>
      </w:pPr>
      <w:r w:rsidRPr="001F6B5A">
        <w:rPr>
          <w:rStyle w:val="Vresatsauce"/>
          <w:rFonts w:ascii="Times New Roman" w:hAnsi="Times New Roman" w:cs="Times New Roman"/>
          <w:lang w:val="lv-LV"/>
        </w:rPr>
        <w:footnoteRef/>
      </w:r>
      <w:r w:rsidRPr="001F6B5A">
        <w:rPr>
          <w:rFonts w:ascii="Times New Roman" w:hAnsi="Times New Roman" w:cs="Times New Roman"/>
          <w:lang w:val="lv-LV"/>
        </w:rPr>
        <w:t xml:space="preserve"> </w:t>
      </w:r>
      <w:r w:rsidR="00521B49" w:rsidRPr="001F6B5A">
        <w:rPr>
          <w:rFonts w:ascii="Times New Roman" w:hAnsi="Times New Roman" w:cs="Times New Roman"/>
          <w:lang w:val="lv-LV"/>
        </w:rPr>
        <w:t>5.6.2.specifiskā atbalsta mērķis “Teritoriju revitalizācija, reģenerējot degradētās teritorijas atbilstoši pašvaldību integrētajām attīstības programmām”</w:t>
      </w:r>
    </w:p>
  </w:footnote>
  <w:footnote w:id="3">
    <w:p w14:paraId="47E26220" w14:textId="5D60463D" w:rsidR="0058797E" w:rsidRPr="001F6B5A" w:rsidRDefault="0058797E" w:rsidP="000A281E">
      <w:pPr>
        <w:spacing w:after="0"/>
        <w:jc w:val="both"/>
        <w:rPr>
          <w:rFonts w:ascii="Times New Roman" w:eastAsia="Times New Roman" w:hAnsi="Times New Roman" w:cs="Times New Roman"/>
          <w:color w:val="000000"/>
          <w:sz w:val="20"/>
          <w:szCs w:val="20"/>
          <w:lang w:eastAsia="lv-LV"/>
        </w:rPr>
      </w:pPr>
      <w:r w:rsidRPr="001F6B5A">
        <w:rPr>
          <w:rStyle w:val="Vresatsauce"/>
          <w:rFonts w:ascii="Times New Roman" w:hAnsi="Times New Roman" w:cs="Times New Roman"/>
          <w:sz w:val="20"/>
          <w:szCs w:val="20"/>
        </w:rPr>
        <w:footnoteRef/>
      </w:r>
      <w:r w:rsidRPr="001F6B5A">
        <w:rPr>
          <w:rFonts w:ascii="Times New Roman" w:hAnsi="Times New Roman" w:cs="Times New Roman"/>
          <w:sz w:val="20"/>
          <w:szCs w:val="20"/>
        </w:rPr>
        <w:t xml:space="preserve"> </w:t>
      </w:r>
      <w:r w:rsidRPr="001F6B5A">
        <w:rPr>
          <w:rFonts w:ascii="Times New Roman" w:eastAsia="Times New Roman" w:hAnsi="Times New Roman" w:cs="Times New Roman"/>
          <w:color w:val="000000"/>
          <w:sz w:val="20"/>
          <w:szCs w:val="20"/>
          <w:lang w:eastAsia="lv-LV"/>
        </w:rPr>
        <w:t xml:space="preserve">Vidzemes plānošanas reģions ietver </w:t>
      </w:r>
      <w:r w:rsidRPr="001F6B5A">
        <w:rPr>
          <w:rFonts w:ascii="Times New Roman" w:eastAsia="Times New Roman" w:hAnsi="Times New Roman" w:cs="Times New Roman"/>
          <w:b/>
          <w:bCs/>
          <w:color w:val="000000"/>
          <w:sz w:val="20"/>
          <w:szCs w:val="20"/>
          <w:lang w:eastAsia="lv-LV"/>
        </w:rPr>
        <w:t>26</w:t>
      </w:r>
      <w:r w:rsidRPr="001F6B5A">
        <w:rPr>
          <w:rFonts w:ascii="Times New Roman" w:eastAsia="Times New Roman" w:hAnsi="Times New Roman" w:cs="Times New Roman"/>
          <w:color w:val="000000"/>
          <w:sz w:val="20"/>
          <w:szCs w:val="20"/>
          <w:lang w:eastAsia="lv-LV"/>
        </w:rPr>
        <w:t xml:space="preserve"> pašvaldības – </w:t>
      </w:r>
      <w:r w:rsidRPr="001F6B5A">
        <w:rPr>
          <w:rFonts w:ascii="Times New Roman" w:eastAsia="Times New Roman" w:hAnsi="Times New Roman" w:cs="Times New Roman"/>
          <w:b/>
          <w:bCs/>
          <w:color w:val="000000"/>
          <w:sz w:val="20"/>
          <w:szCs w:val="20"/>
          <w:lang w:eastAsia="lv-LV"/>
        </w:rPr>
        <w:t>vienu</w:t>
      </w:r>
      <w:r w:rsidRPr="001F6B5A">
        <w:rPr>
          <w:rFonts w:ascii="Times New Roman" w:eastAsia="Times New Roman" w:hAnsi="Times New Roman" w:cs="Times New Roman"/>
          <w:color w:val="000000"/>
          <w:sz w:val="20"/>
          <w:szCs w:val="20"/>
          <w:lang w:eastAsia="lv-LV"/>
        </w:rPr>
        <w:t xml:space="preserve"> nacionālas nozīmes centru – Valmieras pilsētas pašvaldību, </w:t>
      </w:r>
      <w:r w:rsidRPr="001F6B5A">
        <w:rPr>
          <w:rFonts w:ascii="Times New Roman" w:eastAsia="Times New Roman" w:hAnsi="Times New Roman" w:cs="Times New Roman"/>
          <w:b/>
          <w:bCs/>
          <w:color w:val="000000"/>
          <w:sz w:val="20"/>
          <w:szCs w:val="20"/>
          <w:lang w:eastAsia="lv-LV"/>
        </w:rPr>
        <w:t>sešus</w:t>
      </w:r>
      <w:r w:rsidRPr="001F6B5A">
        <w:rPr>
          <w:rFonts w:ascii="Times New Roman" w:eastAsia="Times New Roman" w:hAnsi="Times New Roman" w:cs="Times New Roman"/>
          <w:color w:val="000000"/>
          <w:sz w:val="20"/>
          <w:szCs w:val="20"/>
          <w:lang w:eastAsia="lv-LV"/>
        </w:rPr>
        <w:t xml:space="preserve"> reģionālas nozīmes centrus – Alūksnes, Cēsu, Gulbenes, Madonas, Smiltenes un Valkas novada pašvaldību, kā arī </w:t>
      </w:r>
      <w:r w:rsidRPr="001F6B5A">
        <w:rPr>
          <w:rFonts w:ascii="Times New Roman" w:eastAsia="Times New Roman" w:hAnsi="Times New Roman" w:cs="Times New Roman"/>
          <w:b/>
          <w:bCs/>
          <w:color w:val="000000"/>
          <w:sz w:val="20"/>
          <w:szCs w:val="20"/>
          <w:lang w:eastAsia="lv-LV"/>
        </w:rPr>
        <w:t>19</w:t>
      </w:r>
      <w:r w:rsidRPr="001F6B5A">
        <w:rPr>
          <w:rFonts w:ascii="Times New Roman" w:eastAsia="Times New Roman" w:hAnsi="Times New Roman" w:cs="Times New Roman"/>
          <w:color w:val="000000"/>
          <w:sz w:val="20"/>
          <w:szCs w:val="20"/>
          <w:lang w:eastAsia="lv-LV"/>
        </w:rPr>
        <w:t xml:space="preserve"> novadus ārpus nacionālas un reģionālas nozīmes centriem - Amatas, Apes, Beverīnas, Burtnieku, Cesvaines, Ērgļu, Jaunpiebalgas, Kocēnu, Līgatnes, Lubānas, Mazsalacas, Naukšēnu, Pārgaujas, Priekuļu, Raunas, Rūjienas, Strenču, Varakļānu  un Vecpiebalgas novadu.</w:t>
      </w:r>
    </w:p>
  </w:footnote>
  <w:footnote w:id="4">
    <w:p w14:paraId="4D02C5B1" w14:textId="77777777" w:rsidR="000D36D7" w:rsidRPr="001F6B5A" w:rsidRDefault="000D36D7" w:rsidP="008A700C">
      <w:pPr>
        <w:pStyle w:val="Vresteksts"/>
        <w:jc w:val="both"/>
        <w:rPr>
          <w:rFonts w:ascii="Times New Roman" w:hAnsi="Times New Roman" w:cs="Times New Roman"/>
          <w:lang w:val="lv-LV"/>
        </w:rPr>
      </w:pPr>
      <w:r w:rsidRPr="001F6B5A">
        <w:rPr>
          <w:rStyle w:val="Vresatsauce"/>
          <w:rFonts w:ascii="Times New Roman" w:hAnsi="Times New Roman" w:cs="Times New Roman"/>
          <w:lang w:val="lv-LV"/>
        </w:rPr>
        <w:footnoteRef/>
      </w:r>
      <w:r w:rsidRPr="001F6B5A">
        <w:rPr>
          <w:rFonts w:ascii="Times New Roman" w:hAnsi="Times New Roman" w:cs="Times New Roman"/>
          <w:lang w:val="lv-LV"/>
        </w:rPr>
        <w:t xml:space="preserve"> 3.3.1.SAM trešā projektu iesniegumu atlases kārta “Ieguldījumi uzņēmējdarbībai nozīmīgā infrastruktūrā pašvaldībās, kuras nav nacionālas vai reģionālas nozīmes attīstības centru pašvaldības”</w:t>
      </w:r>
    </w:p>
  </w:footnote>
  <w:footnote w:id="5">
    <w:p w14:paraId="40A5CD54" w14:textId="77777777" w:rsidR="00186060" w:rsidRPr="001F6B5A" w:rsidRDefault="00186060" w:rsidP="008A700C">
      <w:pPr>
        <w:pStyle w:val="Vresteksts"/>
        <w:jc w:val="both"/>
        <w:rPr>
          <w:rFonts w:ascii="Times New Roman" w:hAnsi="Times New Roman" w:cs="Times New Roman"/>
          <w:lang w:val="lv-LV"/>
        </w:rPr>
      </w:pPr>
      <w:r w:rsidRPr="001F6B5A">
        <w:rPr>
          <w:rStyle w:val="Vresatsauce"/>
          <w:rFonts w:ascii="Times New Roman" w:hAnsi="Times New Roman" w:cs="Times New Roman"/>
          <w:lang w:val="lv-LV"/>
        </w:rPr>
        <w:footnoteRef/>
      </w:r>
      <w:r w:rsidRPr="001F6B5A">
        <w:rPr>
          <w:rFonts w:ascii="Times New Roman" w:hAnsi="Times New Roman" w:cs="Times New Roman"/>
          <w:lang w:val="lv-LV"/>
        </w:rPr>
        <w:t xml:space="preserve"> Ministru kabineta 2015.gada 13.oktobra noteikumi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ootnote>
  <w:footnote w:id="6">
    <w:p w14:paraId="694B0EF0" w14:textId="03C3AA9B" w:rsidR="00E35DFF" w:rsidRPr="001F6B5A" w:rsidRDefault="00E35DFF" w:rsidP="000A281E">
      <w:pPr>
        <w:pStyle w:val="Vresteksts"/>
        <w:jc w:val="both"/>
        <w:rPr>
          <w:rFonts w:ascii="Times New Roman" w:hAnsi="Times New Roman" w:cs="Times New Roman"/>
          <w:lang w:val="lv-LV"/>
        </w:rPr>
      </w:pPr>
      <w:r w:rsidRPr="001F6B5A">
        <w:rPr>
          <w:rStyle w:val="Vresatsauce"/>
          <w:rFonts w:ascii="Times New Roman" w:hAnsi="Times New Roman" w:cs="Times New Roman"/>
        </w:rPr>
        <w:footnoteRef/>
      </w:r>
      <w:r w:rsidRPr="001F6B5A">
        <w:rPr>
          <w:rFonts w:ascii="Times New Roman" w:hAnsi="Times New Roman" w:cs="Times New Roman"/>
          <w:lang w:val="lv-LV"/>
        </w:rPr>
        <w:t xml:space="preserve"> </w:t>
      </w:r>
      <w:r w:rsidR="00910618" w:rsidRPr="001F6B5A">
        <w:rPr>
          <w:rFonts w:ascii="Times New Roman" w:hAnsi="Times New Roman" w:cs="Times New Roman"/>
          <w:lang w:val="lv-LV"/>
        </w:rPr>
        <w:t>Ministru kabineta 2015. gada 10. novembra noteikumi Nr. 645 "Darbības programmas "Izaugsme un nodarbinātība" 5.6.2. specifiskā atbalsta mērķa "Teritoriju revitalizācija, reģenerējot degradētās teritorijas atbilstoši pašvaldību integrētajām attīstības programmām" īstenošanas noteikumi"</w:t>
      </w:r>
    </w:p>
  </w:footnote>
  <w:footnote w:id="7">
    <w:p w14:paraId="1CCBFFF4" w14:textId="5BF5FA53" w:rsidR="008F3830" w:rsidRPr="000A281E" w:rsidRDefault="008F3830" w:rsidP="000A281E">
      <w:pPr>
        <w:pStyle w:val="Vresteksts"/>
        <w:jc w:val="both"/>
        <w:rPr>
          <w:rFonts w:ascii="Times New Roman" w:hAnsi="Times New Roman" w:cs="Times New Roman"/>
          <w:lang w:val="lv-LV"/>
        </w:rPr>
      </w:pPr>
      <w:r w:rsidRPr="000A281E">
        <w:rPr>
          <w:rStyle w:val="Vresatsauce"/>
          <w:rFonts w:ascii="Times New Roman" w:hAnsi="Times New Roman" w:cs="Times New Roman"/>
        </w:rPr>
        <w:footnoteRef/>
      </w:r>
      <w:r w:rsidRPr="000A281E">
        <w:rPr>
          <w:rFonts w:ascii="Times New Roman" w:hAnsi="Times New Roman" w:cs="Times New Roman"/>
          <w:lang w:val="lv-LV"/>
        </w:rPr>
        <w:t xml:space="preserve"> Aprēķins veikts proporcionāli Vidzemes plānošanas reģionam pieejamam ERAF finansējumam</w:t>
      </w:r>
    </w:p>
  </w:footnote>
  <w:footnote w:id="8">
    <w:p w14:paraId="1AEAE10D" w14:textId="77777777" w:rsidR="00314B1D" w:rsidRPr="008A700C" w:rsidRDefault="00314B1D" w:rsidP="008A700C">
      <w:pPr>
        <w:pStyle w:val="Vresteksts"/>
        <w:jc w:val="both"/>
        <w:rPr>
          <w:rFonts w:ascii="Times New Roman" w:hAnsi="Times New Roman" w:cs="Times New Roman"/>
          <w:lang w:val="lv-LV"/>
        </w:rPr>
      </w:pPr>
      <w:r w:rsidRPr="008A700C">
        <w:rPr>
          <w:rStyle w:val="Vresatsauce"/>
          <w:rFonts w:ascii="Times New Roman" w:hAnsi="Times New Roman" w:cs="Times New Roman"/>
        </w:rPr>
        <w:footnoteRef/>
      </w:r>
      <w:r w:rsidRPr="008A700C">
        <w:rPr>
          <w:rFonts w:ascii="Times New Roman" w:hAnsi="Times New Roman" w:cs="Times New Roman"/>
          <w:lang w:val="lv-LV"/>
        </w:rPr>
        <w:t xml:space="preserve"> 4.2.2.specifiskā atbalsta mērķis “Atbilstoši pašvaldības integrētajām attīstības programmām sekmēt energoefektivitātes paaugstināšanu un atjaunojamo energoresursu izmantošanu pašvaldību ēkās”</w:t>
      </w:r>
    </w:p>
  </w:footnote>
  <w:footnote w:id="9">
    <w:p w14:paraId="5DF18246" w14:textId="77777777" w:rsidR="00F02498" w:rsidRPr="008A700C" w:rsidRDefault="00F02498" w:rsidP="008A700C">
      <w:pPr>
        <w:pStyle w:val="Vresteksts"/>
        <w:jc w:val="both"/>
        <w:rPr>
          <w:rFonts w:ascii="Times New Roman" w:hAnsi="Times New Roman" w:cs="Times New Roman"/>
          <w:lang w:val="lv-LV"/>
        </w:rPr>
      </w:pPr>
      <w:r w:rsidRPr="008A700C">
        <w:rPr>
          <w:rStyle w:val="Vresatsauce"/>
          <w:rFonts w:ascii="Times New Roman" w:hAnsi="Times New Roman" w:cs="Times New Roman"/>
        </w:rPr>
        <w:footnoteRef/>
      </w:r>
      <w:r w:rsidRPr="008A700C">
        <w:rPr>
          <w:rFonts w:ascii="Times New Roman" w:hAnsi="Times New Roman" w:cs="Times New Roman"/>
          <w:lang w:val="lv-LV"/>
        </w:rPr>
        <w:t xml:space="preserve"> 5.3.1.specifiskais atbalsta mērķis “Attīstīt un uzlabot ūdensapgādes un kanalizācijas sistēmas pakalpojumu kvalitāti un nodrošināt pieslēgšanas iespējas”</w:t>
      </w:r>
    </w:p>
  </w:footnote>
  <w:footnote w:id="10">
    <w:p w14:paraId="151F911F" w14:textId="77777777" w:rsidR="00F02498" w:rsidRPr="008A700C" w:rsidRDefault="00F02498" w:rsidP="008A700C">
      <w:pPr>
        <w:pStyle w:val="Vresteksts"/>
        <w:jc w:val="both"/>
        <w:rPr>
          <w:rFonts w:ascii="Times New Roman" w:hAnsi="Times New Roman" w:cs="Times New Roman"/>
          <w:lang w:val="lv-LV"/>
        </w:rPr>
      </w:pPr>
      <w:r w:rsidRPr="008A700C">
        <w:rPr>
          <w:rStyle w:val="Vresatsauce"/>
          <w:rFonts w:ascii="Times New Roman" w:hAnsi="Times New Roman" w:cs="Times New Roman"/>
        </w:rPr>
        <w:footnoteRef/>
      </w:r>
      <w:r w:rsidRPr="008A700C">
        <w:rPr>
          <w:rFonts w:ascii="Times New Roman" w:hAnsi="Times New Roman" w:cs="Times New Roman"/>
          <w:lang w:val="lv-LV"/>
        </w:rPr>
        <w:t xml:space="preserve"> 5.2.1.specifiskais atbalsta mērķis “Veicināt dažāda veida atkritumu atkārtotu izmantošanu, pārstrādi un reģenerāciju”</w:t>
      </w:r>
    </w:p>
  </w:footnote>
  <w:footnote w:id="11">
    <w:p w14:paraId="770F15FE" w14:textId="310332E3" w:rsidR="00F02498" w:rsidRPr="008A700C" w:rsidRDefault="00F02498" w:rsidP="000A281E">
      <w:pPr>
        <w:pStyle w:val="Vresteksts"/>
        <w:jc w:val="both"/>
        <w:rPr>
          <w:rFonts w:ascii="Times New Roman" w:hAnsi="Times New Roman" w:cs="Times New Roman"/>
          <w:lang w:val="lv-LV"/>
        </w:rPr>
      </w:pPr>
      <w:r w:rsidRPr="008A700C">
        <w:rPr>
          <w:rStyle w:val="Vresatsauce"/>
          <w:rFonts w:ascii="Times New Roman" w:hAnsi="Times New Roman" w:cs="Times New Roman"/>
        </w:rPr>
        <w:footnoteRef/>
      </w:r>
      <w:r w:rsidRPr="008A700C">
        <w:rPr>
          <w:rFonts w:ascii="Times New Roman" w:hAnsi="Times New Roman" w:cs="Times New Roman"/>
          <w:lang w:val="lv-LV"/>
        </w:rPr>
        <w:t xml:space="preserve"> 5.4.1.specifiskais atbalsta mērķis</w:t>
      </w:r>
      <w:r w:rsidR="00FE56A8">
        <w:rPr>
          <w:rFonts w:ascii="Times New Roman" w:hAnsi="Times New Roman" w:cs="Times New Roman"/>
          <w:lang w:val="lv-LV"/>
        </w:rPr>
        <w:t xml:space="preserve"> </w:t>
      </w:r>
      <w:r w:rsidR="00FE56A8" w:rsidRPr="00FE56A8">
        <w:rPr>
          <w:rFonts w:ascii="Times New Roman" w:hAnsi="Times New Roman" w:cs="Times New Roman"/>
          <w:lang w:val="lv-LV"/>
        </w:rPr>
        <w:t>5.4</w:t>
      </w:r>
      <w:r w:rsidR="00FE56A8">
        <w:rPr>
          <w:rFonts w:ascii="Times New Roman" w:hAnsi="Times New Roman" w:cs="Times New Roman"/>
          <w:lang w:val="lv-LV"/>
        </w:rPr>
        <w:t>.1.</w:t>
      </w:r>
      <w:r w:rsidR="00FE56A8" w:rsidRPr="00FE56A8">
        <w:rPr>
          <w:rFonts w:ascii="Times New Roman" w:hAnsi="Times New Roman" w:cs="Times New Roman"/>
          <w:lang w:val="lv-LV"/>
        </w:rPr>
        <w:t xml:space="preserve"> "Saglabāt un atjaunot bioloģisko daudzveidību un aizsargāt ekosistēmas"</w:t>
      </w:r>
    </w:p>
  </w:footnote>
  <w:footnote w:id="12">
    <w:p w14:paraId="7BC811FF" w14:textId="0A915292" w:rsidR="001F6B5A" w:rsidRPr="000A281E" w:rsidRDefault="001F6B5A" w:rsidP="000A281E">
      <w:pPr>
        <w:pStyle w:val="Vresteksts"/>
        <w:jc w:val="both"/>
        <w:rPr>
          <w:rFonts w:ascii="Times New Roman" w:hAnsi="Times New Roman" w:cs="Times New Roman"/>
          <w:lang w:val="lv-LV"/>
        </w:rPr>
      </w:pPr>
      <w:r w:rsidRPr="000A281E">
        <w:rPr>
          <w:rStyle w:val="Vresatsauce"/>
          <w:rFonts w:ascii="Times New Roman" w:hAnsi="Times New Roman" w:cs="Times New Roman"/>
        </w:rPr>
        <w:footnoteRef/>
      </w:r>
      <w:r w:rsidRPr="000A281E">
        <w:rPr>
          <w:rFonts w:ascii="Times New Roman" w:hAnsi="Times New Roman" w:cs="Times New Roman"/>
          <w:lang w:val="lv-LV"/>
        </w:rPr>
        <w:t xml:space="preserve"> Ministru kabineta 2016.gada 8.marta noteikumi Nr.152 </w:t>
      </w:r>
      <w:r>
        <w:rPr>
          <w:rFonts w:ascii="Times New Roman" w:hAnsi="Times New Roman" w:cs="Times New Roman"/>
          <w:lang w:val="lv-LV"/>
        </w:rPr>
        <w:t>“</w:t>
      </w:r>
      <w:r w:rsidRPr="000A281E">
        <w:rPr>
          <w:rFonts w:ascii="Times New Roman" w:hAnsi="Times New Roman" w:cs="Times New Roman"/>
          <w:lang w:val="lv-LV"/>
        </w:rPr>
        <w:t xml:space="preserve">Darbības programmas </w:t>
      </w:r>
      <w:r>
        <w:rPr>
          <w:rFonts w:ascii="Times New Roman" w:hAnsi="Times New Roman" w:cs="Times New Roman"/>
          <w:lang w:val="lv-LV"/>
        </w:rPr>
        <w:t>“</w:t>
      </w:r>
      <w:r w:rsidRPr="000A281E">
        <w:rPr>
          <w:rFonts w:ascii="Times New Roman" w:hAnsi="Times New Roman" w:cs="Times New Roman"/>
          <w:lang w:val="lv-LV"/>
        </w:rPr>
        <w:t>Izaugsme un nodarbinātība</w:t>
      </w:r>
      <w:r>
        <w:rPr>
          <w:rFonts w:ascii="Times New Roman" w:hAnsi="Times New Roman" w:cs="Times New Roman"/>
          <w:lang w:val="lv-LV"/>
        </w:rPr>
        <w:t>”</w:t>
      </w:r>
      <w:r w:rsidRPr="000A281E">
        <w:rPr>
          <w:rFonts w:ascii="Times New Roman" w:hAnsi="Times New Roman" w:cs="Times New Roman"/>
          <w:lang w:val="lv-LV"/>
        </w:rPr>
        <w:t xml:space="preserve"> 4.2.2. specifiskā atbalsta mērķa </w:t>
      </w:r>
      <w:r>
        <w:rPr>
          <w:rFonts w:ascii="Times New Roman" w:hAnsi="Times New Roman" w:cs="Times New Roman"/>
          <w:lang w:val="lv-LV"/>
        </w:rPr>
        <w:t>“</w:t>
      </w:r>
      <w:r w:rsidRPr="000A281E">
        <w:rPr>
          <w:rFonts w:ascii="Times New Roman" w:hAnsi="Times New Roman" w:cs="Times New Roman"/>
          <w:lang w:val="lv-LV"/>
        </w:rPr>
        <w:t>Atbilstoši pašvaldības integrētajām attīstības programmām sekmēt energoefektivitātes paaugstināšanu un atjaunojamo energoresursu izmantošanu pašvaldību ēkās</w:t>
      </w:r>
      <w:r>
        <w:rPr>
          <w:rFonts w:ascii="Times New Roman" w:hAnsi="Times New Roman" w:cs="Times New Roman"/>
          <w:lang w:val="lv-LV"/>
        </w:rPr>
        <w:t>”</w:t>
      </w:r>
      <w:r w:rsidRPr="000A281E">
        <w:rPr>
          <w:rFonts w:ascii="Times New Roman" w:hAnsi="Times New Roman" w:cs="Times New Roman"/>
          <w:lang w:val="lv-LV"/>
        </w:rPr>
        <w:t xml:space="preserve"> īstenošanas noteikumi</w:t>
      </w:r>
      <w:r>
        <w:rPr>
          <w:rFonts w:ascii="Times New Roman" w:hAnsi="Times New Roman" w:cs="Times New Roman"/>
          <w:lang w:val="lv-LV"/>
        </w:rPr>
        <w:t>”</w:t>
      </w:r>
    </w:p>
  </w:footnote>
  <w:footnote w:id="13">
    <w:p w14:paraId="4E29C015" w14:textId="77777777" w:rsidR="001F6B5A" w:rsidRPr="008A700C" w:rsidRDefault="001F6B5A" w:rsidP="008A700C">
      <w:pPr>
        <w:pStyle w:val="Vresteksts"/>
        <w:jc w:val="both"/>
        <w:rPr>
          <w:rFonts w:ascii="Times New Roman" w:hAnsi="Times New Roman" w:cs="Times New Roman"/>
          <w:lang w:val="lv-LV"/>
        </w:rPr>
      </w:pPr>
      <w:r w:rsidRPr="008A700C">
        <w:rPr>
          <w:rStyle w:val="Vresatsauce"/>
          <w:rFonts w:ascii="Times New Roman" w:hAnsi="Times New Roman" w:cs="Times New Roman"/>
          <w:lang w:val="lv-LV"/>
        </w:rPr>
        <w:footnoteRef/>
      </w:r>
      <w:r w:rsidRPr="008A700C">
        <w:rPr>
          <w:rFonts w:ascii="Times New Roman" w:hAnsi="Times New Roman" w:cs="Times New Roman"/>
          <w:lang w:val="lv-LV"/>
        </w:rPr>
        <w:t xml:space="preserve"> Ministru kabineta 2016.gada 21.jūnija noteikumi Nr.403 “Darbības programmas “Izaugsme un nodarbinātība” 5.3.1. specifiskā atbalsta mērķa “Attīstīt un uzlabot ūdensapgādes un kanalizācijas sistēmas pakalpojumu kvalitāti un nodrošināt pieslēgšanas iespējas” īstenošanas noteikumi”</w:t>
      </w:r>
    </w:p>
  </w:footnote>
  <w:footnote w:id="14">
    <w:p w14:paraId="32BAD2E0" w14:textId="77777777" w:rsidR="001F6B5A" w:rsidRPr="000A281E" w:rsidRDefault="001F6B5A" w:rsidP="000A281E">
      <w:pPr>
        <w:pStyle w:val="Vresteksts"/>
        <w:jc w:val="both"/>
        <w:rPr>
          <w:rFonts w:ascii="Times New Roman" w:hAnsi="Times New Roman" w:cs="Times New Roman"/>
          <w:lang w:val="lv-LV"/>
        </w:rPr>
      </w:pPr>
      <w:r w:rsidRPr="000A281E">
        <w:rPr>
          <w:rStyle w:val="Vresatsauce"/>
          <w:rFonts w:ascii="Times New Roman" w:hAnsi="Times New Roman" w:cs="Times New Roman"/>
        </w:rPr>
        <w:footnoteRef/>
      </w:r>
      <w:r w:rsidRPr="000A281E">
        <w:rPr>
          <w:rFonts w:ascii="Times New Roman" w:hAnsi="Times New Roman" w:cs="Times New Roman"/>
          <w:lang w:val="lv-LV"/>
        </w:rPr>
        <w:t xml:space="preserve"> </w:t>
      </w:r>
      <w:r w:rsidRPr="008A700C">
        <w:rPr>
          <w:rFonts w:ascii="Times New Roman" w:hAnsi="Times New Roman" w:cs="Times New Roman"/>
          <w:lang w:val="lv-LV"/>
        </w:rPr>
        <w:t>Ministru kabineta 2016.gada 26.jūlija noteikumi Nr.494 “Darbības programmas "Izaugsme un nodarbinātība" 5.2.1. specifiskā atbalsta mērķa "Veicināt dažāda veida atkritumu atkārtotu izmantošanu, pārstrādi un reģenerāciju" 5.2.1.1. pasākuma "Atkritumu dalītas savākšanas sistēmas attīstība" īstenošanas noteikumi”</w:t>
      </w:r>
    </w:p>
  </w:footnote>
  <w:footnote w:id="15">
    <w:p w14:paraId="4438AEC5" w14:textId="77777777" w:rsidR="001F6B5A" w:rsidRPr="000A281E" w:rsidRDefault="001F6B5A" w:rsidP="000A281E">
      <w:pPr>
        <w:pStyle w:val="Vresteksts"/>
        <w:jc w:val="both"/>
        <w:rPr>
          <w:rFonts w:ascii="Times New Roman" w:hAnsi="Times New Roman" w:cs="Times New Roman"/>
          <w:lang w:val="lv-LV"/>
        </w:rPr>
      </w:pPr>
      <w:r w:rsidRPr="000A281E">
        <w:rPr>
          <w:rStyle w:val="Vresatsauce"/>
          <w:rFonts w:ascii="Times New Roman" w:hAnsi="Times New Roman" w:cs="Times New Roman"/>
        </w:rPr>
        <w:footnoteRef/>
      </w:r>
      <w:r w:rsidRPr="000A281E">
        <w:rPr>
          <w:rFonts w:ascii="Times New Roman" w:hAnsi="Times New Roman" w:cs="Times New Roman"/>
          <w:lang w:val="lv-LV"/>
        </w:rPr>
        <w:t xml:space="preserve"> </w:t>
      </w:r>
      <w:r w:rsidRPr="008A700C">
        <w:rPr>
          <w:rFonts w:ascii="Times New Roman" w:hAnsi="Times New Roman" w:cs="Times New Roman"/>
          <w:lang w:val="lv-LV"/>
        </w:rPr>
        <w:t>Ministru kabineta 2016.gada 30.augusta noteikumi Nr.588 “Darbības programmas "Izaugsme un nodarbinātība" 5.2.1. specifiskā atbalsta mērķa "Veicināt dažāda veida atkritumu atkārtotu izmantošanu, pārstrādi un reģenerāciju" 5.2.1.2. pasākuma "Atkritumu pārstrādes veicināšana" īstenošanas noteikumi”</w:t>
      </w:r>
    </w:p>
  </w:footnote>
  <w:footnote w:id="16">
    <w:p w14:paraId="4D959BC6" w14:textId="77777777" w:rsidR="001F6B5A" w:rsidRPr="000A281E" w:rsidRDefault="001F6B5A" w:rsidP="000A281E">
      <w:pPr>
        <w:pStyle w:val="Vresteksts"/>
        <w:jc w:val="both"/>
        <w:rPr>
          <w:rFonts w:ascii="Times New Roman" w:hAnsi="Times New Roman" w:cs="Times New Roman"/>
          <w:lang w:val="lv-LV"/>
        </w:rPr>
      </w:pPr>
      <w:r w:rsidRPr="000A281E">
        <w:rPr>
          <w:rStyle w:val="Vresatsauce"/>
          <w:rFonts w:ascii="Times New Roman" w:hAnsi="Times New Roman" w:cs="Times New Roman"/>
        </w:rPr>
        <w:footnoteRef/>
      </w:r>
      <w:r w:rsidRPr="000A281E">
        <w:rPr>
          <w:rFonts w:ascii="Times New Roman" w:hAnsi="Times New Roman" w:cs="Times New Roman"/>
          <w:lang w:val="lv-LV"/>
        </w:rPr>
        <w:t xml:space="preserve"> </w:t>
      </w:r>
      <w:r w:rsidRPr="008A700C">
        <w:rPr>
          <w:rFonts w:ascii="Times New Roman" w:hAnsi="Times New Roman" w:cs="Times New Roman"/>
          <w:lang w:val="lv-LV"/>
        </w:rPr>
        <w:t>Ministru kabineta 2017. gada 22. augusta noteikumi Nr. 498 “Darbības programmas “Izaugsme un nodarbinātība” 5.2.1. specifiskā atbalsta mērķa “Veicināt dažāda veida atkritumu atkārtotu izmantošanu, pārstrādi un reģenerāciju” 5.2.1.3. pasākuma “Atkritumu reģenerācijas veicināšana” īstenošanas noteikumi”</w:t>
      </w:r>
    </w:p>
  </w:footnote>
  <w:footnote w:id="17">
    <w:p w14:paraId="7F85DD75" w14:textId="4ED39B5C" w:rsidR="001F6B5A" w:rsidRPr="008A700C" w:rsidRDefault="001F6B5A" w:rsidP="000A281E">
      <w:pPr>
        <w:pStyle w:val="Vresteksts"/>
        <w:jc w:val="both"/>
        <w:rPr>
          <w:rFonts w:ascii="Times New Roman" w:hAnsi="Times New Roman" w:cs="Times New Roman"/>
          <w:lang w:val="lv-LV"/>
        </w:rPr>
      </w:pPr>
      <w:r w:rsidRPr="008A700C">
        <w:rPr>
          <w:rStyle w:val="Vresatsauce"/>
          <w:rFonts w:ascii="Times New Roman" w:hAnsi="Times New Roman" w:cs="Times New Roman"/>
        </w:rPr>
        <w:footnoteRef/>
      </w:r>
      <w:r w:rsidRPr="008A700C">
        <w:rPr>
          <w:rFonts w:ascii="Times New Roman" w:hAnsi="Times New Roman" w:cs="Times New Roman"/>
          <w:lang w:val="lv-LV"/>
        </w:rPr>
        <w:t xml:space="preserve"> </w:t>
      </w:r>
      <w:r w:rsidR="008A700C" w:rsidRPr="00753EA4">
        <w:rPr>
          <w:rFonts w:ascii="Times New Roman" w:hAnsi="Times New Roman" w:cs="Times New Roman"/>
          <w:lang w:val="lv-LV"/>
        </w:rPr>
        <w:t xml:space="preserve">Ministru kabineta </w:t>
      </w:r>
      <w:r w:rsidRPr="008A700C">
        <w:rPr>
          <w:rFonts w:ascii="Times New Roman" w:hAnsi="Times New Roman" w:cs="Times New Roman"/>
          <w:lang w:val="lv-LV"/>
        </w:rPr>
        <w:t xml:space="preserve">2016.gada 2.augusta noteikumi Nr.514  „Darbības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8A700C">
        <w:rPr>
          <w:rFonts w:ascii="Times New Roman" w:hAnsi="Times New Roman" w:cs="Times New Roman"/>
          <w:lang w:val="lv-LV"/>
        </w:rPr>
        <w:t>Natura</w:t>
      </w:r>
      <w:proofErr w:type="spellEnd"/>
      <w:r w:rsidRPr="008A700C">
        <w:rPr>
          <w:rFonts w:ascii="Times New Roman" w:hAnsi="Times New Roman" w:cs="Times New Roman"/>
          <w:lang w:val="lv-LV"/>
        </w:rPr>
        <w:t xml:space="preserve"> 2000 teritorijās” īstenošanas noteikumi”</w:t>
      </w:r>
    </w:p>
  </w:footnote>
  <w:footnote w:id="18">
    <w:p w14:paraId="74DCEAF0" w14:textId="77777777" w:rsidR="00BA13A1" w:rsidRPr="008A700C" w:rsidRDefault="00BA13A1" w:rsidP="00BA13A1">
      <w:pPr>
        <w:pStyle w:val="Vresteksts"/>
        <w:jc w:val="both"/>
        <w:rPr>
          <w:rFonts w:ascii="Times New Roman" w:hAnsi="Times New Roman" w:cs="Times New Roman"/>
          <w:lang w:val="lv-LV"/>
        </w:rPr>
      </w:pPr>
      <w:r w:rsidRPr="008A700C">
        <w:rPr>
          <w:rStyle w:val="Vresatsauce"/>
          <w:rFonts w:ascii="Times New Roman" w:hAnsi="Times New Roman" w:cs="Times New Roman"/>
          <w:lang w:val="lv-LV"/>
        </w:rPr>
        <w:footnoteRef/>
      </w:r>
      <w:r w:rsidRPr="008A700C">
        <w:rPr>
          <w:rFonts w:ascii="Times New Roman" w:hAnsi="Times New Roman" w:cs="Times New Roman"/>
          <w:lang w:val="lv-LV"/>
        </w:rPr>
        <w:t xml:space="preserve"> Mērķis – 75% no Latvijas vidējā IKP uz vienu iedzīvotāju – </w:t>
      </w:r>
      <w:proofErr w:type="gramStart"/>
      <w:r w:rsidRPr="008A700C">
        <w:rPr>
          <w:rFonts w:ascii="Times New Roman" w:hAnsi="Times New Roman" w:cs="Times New Roman"/>
          <w:lang w:val="lv-LV"/>
        </w:rPr>
        <w:t>noteikts līdzīgi kā Eiropas</w:t>
      </w:r>
      <w:proofErr w:type="gramEnd"/>
      <w:r w:rsidRPr="008A700C">
        <w:rPr>
          <w:rFonts w:ascii="Times New Roman" w:hAnsi="Times New Roman" w:cs="Times New Roman"/>
          <w:lang w:val="lv-LV"/>
        </w:rPr>
        <w:t xml:space="preserve"> Savienības Kohēzijas politikā tiek iedalīti NUTS 2 reģioni (visa Latvija ir viens NUTS 2 reģions), nosakot tiem pieejamo atbalsta intensitāti – virs un zem 75% no ES vidējā IKP uz vienu iedzīvotāju.</w:t>
      </w:r>
    </w:p>
  </w:footnote>
  <w:footnote w:id="19">
    <w:p w14:paraId="304999CB" w14:textId="77777777" w:rsidR="008730B6" w:rsidRDefault="001C7955" w:rsidP="008A700C">
      <w:pPr>
        <w:pStyle w:val="Vresteksts"/>
        <w:jc w:val="both"/>
        <w:rPr>
          <w:rFonts w:ascii="Times New Roman" w:hAnsi="Times New Roman" w:cs="Times New Roman"/>
          <w:lang w:val="lv-LV"/>
        </w:rPr>
      </w:pPr>
      <w:r w:rsidRPr="008A700C">
        <w:rPr>
          <w:rStyle w:val="Vresatsauce"/>
          <w:rFonts w:ascii="Times New Roman" w:hAnsi="Times New Roman" w:cs="Times New Roman"/>
          <w:lang w:val="lv-LV"/>
        </w:rPr>
        <w:footnoteRef/>
      </w:r>
      <w:r w:rsidRPr="008A700C">
        <w:rPr>
          <w:rFonts w:ascii="Times New Roman" w:hAnsi="Times New Roman" w:cs="Times New Roman"/>
          <w:lang w:val="lv-LV"/>
        </w:rPr>
        <w:t xml:space="preserve"> </w:t>
      </w:r>
      <w:proofErr w:type="spellStart"/>
      <w:r w:rsidR="00521B49" w:rsidRPr="008A700C">
        <w:rPr>
          <w:rFonts w:ascii="Times New Roman" w:hAnsi="Times New Roman" w:cs="Times New Roman"/>
          <w:i/>
          <w:lang w:val="lv-LV"/>
        </w:rPr>
        <w:t>Euro</w:t>
      </w:r>
      <w:r w:rsidRPr="008A700C">
        <w:rPr>
          <w:rFonts w:ascii="Times New Roman" w:hAnsi="Times New Roman" w:cs="Times New Roman"/>
          <w:lang w:val="lv-LV"/>
        </w:rPr>
        <w:t>pean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Commission</w:t>
      </w:r>
      <w:proofErr w:type="spellEnd"/>
      <w:r w:rsidRPr="008A700C">
        <w:rPr>
          <w:rFonts w:ascii="Times New Roman" w:hAnsi="Times New Roman" w:cs="Times New Roman"/>
          <w:lang w:val="lv-LV"/>
        </w:rPr>
        <w:t xml:space="preserve"> (2019). </w:t>
      </w:r>
      <w:proofErr w:type="spellStart"/>
      <w:r w:rsidRPr="008A700C">
        <w:rPr>
          <w:rFonts w:ascii="Times New Roman" w:hAnsi="Times New Roman" w:cs="Times New Roman"/>
          <w:lang w:val="lv-LV"/>
        </w:rPr>
        <w:t>Commission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staff</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working</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document</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Country</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Report</w:t>
      </w:r>
      <w:proofErr w:type="spellEnd"/>
      <w:r w:rsidRPr="008A700C">
        <w:rPr>
          <w:rFonts w:ascii="Times New Roman" w:hAnsi="Times New Roman" w:cs="Times New Roman"/>
          <w:lang w:val="lv-LV"/>
        </w:rPr>
        <w:t xml:space="preserve"> Latvia 2019. 2019 </w:t>
      </w:r>
      <w:proofErr w:type="spellStart"/>
      <w:r w:rsidR="00521B49" w:rsidRPr="008A700C">
        <w:rPr>
          <w:rFonts w:ascii="Times New Roman" w:hAnsi="Times New Roman" w:cs="Times New Roman"/>
          <w:i/>
          <w:lang w:val="lv-LV"/>
        </w:rPr>
        <w:t>Euro</w:t>
      </w:r>
      <w:r w:rsidRPr="008A700C">
        <w:rPr>
          <w:rFonts w:ascii="Times New Roman" w:hAnsi="Times New Roman" w:cs="Times New Roman"/>
          <w:lang w:val="lv-LV"/>
        </w:rPr>
        <w:t>pean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Semester</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Assessment</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of</w:t>
      </w:r>
      <w:proofErr w:type="spellEnd"/>
      <w:r w:rsidRPr="008A700C">
        <w:rPr>
          <w:rFonts w:ascii="Times New Roman" w:hAnsi="Times New Roman" w:cs="Times New Roman"/>
          <w:lang w:val="lv-LV"/>
        </w:rPr>
        <w:t xml:space="preserve"> progress </w:t>
      </w:r>
      <w:proofErr w:type="spellStart"/>
      <w:r w:rsidRPr="008A700C">
        <w:rPr>
          <w:rFonts w:ascii="Times New Roman" w:hAnsi="Times New Roman" w:cs="Times New Roman"/>
          <w:lang w:val="lv-LV"/>
        </w:rPr>
        <w:t>on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structural</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reforms</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prevention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and</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correction</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of</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macroeconomic</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imbalances</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and</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results</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of</w:t>
      </w:r>
      <w:proofErr w:type="spellEnd"/>
      <w:r w:rsidRPr="008A700C">
        <w:rPr>
          <w:rFonts w:ascii="Times New Roman" w:hAnsi="Times New Roman" w:cs="Times New Roman"/>
          <w:lang w:val="lv-LV"/>
        </w:rPr>
        <w:t xml:space="preserve"> in-</w:t>
      </w:r>
      <w:proofErr w:type="spellStart"/>
      <w:r w:rsidRPr="008A700C">
        <w:rPr>
          <w:rFonts w:ascii="Times New Roman" w:hAnsi="Times New Roman" w:cs="Times New Roman"/>
          <w:lang w:val="lv-LV"/>
        </w:rPr>
        <w:t>depth</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reviews</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under</w:t>
      </w:r>
      <w:proofErr w:type="spellEnd"/>
      <w:r w:rsidRPr="008A700C">
        <w:rPr>
          <w:rFonts w:ascii="Times New Roman" w:hAnsi="Times New Roman" w:cs="Times New Roman"/>
          <w:lang w:val="lv-LV"/>
        </w:rPr>
        <w:t xml:space="preserve"> </w:t>
      </w:r>
      <w:proofErr w:type="spellStart"/>
      <w:r w:rsidRPr="008A700C">
        <w:rPr>
          <w:rFonts w:ascii="Times New Roman" w:hAnsi="Times New Roman" w:cs="Times New Roman"/>
          <w:lang w:val="lv-LV"/>
        </w:rPr>
        <w:t>Regulation</w:t>
      </w:r>
      <w:proofErr w:type="spellEnd"/>
      <w:r w:rsidRPr="008A700C">
        <w:rPr>
          <w:rFonts w:ascii="Times New Roman" w:hAnsi="Times New Roman" w:cs="Times New Roman"/>
          <w:lang w:val="lv-LV"/>
        </w:rPr>
        <w:t xml:space="preserve"> (EU) No 1176/2011. </w:t>
      </w:r>
    </w:p>
    <w:p w14:paraId="3A54C4C2" w14:textId="6F29C3CE" w:rsidR="001C7955" w:rsidRPr="008A700C" w:rsidRDefault="001C7955" w:rsidP="008A700C">
      <w:pPr>
        <w:pStyle w:val="Vresteksts"/>
        <w:jc w:val="both"/>
        <w:rPr>
          <w:rFonts w:ascii="Times New Roman" w:hAnsi="Times New Roman" w:cs="Times New Roman"/>
          <w:lang w:val="lv-LV"/>
        </w:rPr>
      </w:pPr>
      <w:r w:rsidRPr="008A700C">
        <w:rPr>
          <w:rFonts w:ascii="Times New Roman" w:hAnsi="Times New Roman" w:cs="Times New Roman"/>
          <w:lang w:val="lv-LV"/>
        </w:rPr>
        <w:t xml:space="preserve">Pieejams: </w:t>
      </w:r>
      <w:hyperlink r:id="rId1" w:history="1">
        <w:r w:rsidRPr="008A700C">
          <w:rPr>
            <w:rStyle w:val="Hipersaite"/>
            <w:rFonts w:ascii="Times New Roman" w:hAnsi="Times New Roman" w:cs="Times New Roman"/>
            <w:lang w:val="lv-LV"/>
          </w:rPr>
          <w:t>https://ec.</w:t>
        </w:r>
        <w:r w:rsidR="00521B49" w:rsidRPr="008A700C">
          <w:rPr>
            <w:rStyle w:val="Hipersaite"/>
            <w:rFonts w:ascii="Times New Roman" w:hAnsi="Times New Roman" w:cs="Times New Roman"/>
            <w:i/>
            <w:lang w:val="lv-LV"/>
          </w:rPr>
          <w:t>euro</w:t>
        </w:r>
        <w:r w:rsidRPr="008A700C">
          <w:rPr>
            <w:rStyle w:val="Hipersaite"/>
            <w:rFonts w:ascii="Times New Roman" w:hAnsi="Times New Roman" w:cs="Times New Roman"/>
            <w:lang w:val="lv-LV"/>
          </w:rPr>
          <w:t>pa.eu/info/sites/info/files/file_import/2019-</w:t>
        </w:r>
        <w:r w:rsidR="00521B49" w:rsidRPr="008A700C">
          <w:rPr>
            <w:rStyle w:val="Hipersaite"/>
            <w:rFonts w:ascii="Times New Roman" w:hAnsi="Times New Roman" w:cs="Times New Roman"/>
            <w:i/>
            <w:lang w:val="lv-LV"/>
          </w:rPr>
          <w:t>euro</w:t>
        </w:r>
        <w:r w:rsidRPr="008A700C">
          <w:rPr>
            <w:rStyle w:val="Hipersaite"/>
            <w:rFonts w:ascii="Times New Roman" w:hAnsi="Times New Roman" w:cs="Times New Roman"/>
            <w:lang w:val="lv-LV"/>
          </w:rPr>
          <w:t>pean-semester-country-report-latvia_en.pdf</w:t>
        </w:r>
      </w:hyperlink>
      <w:r w:rsidRPr="008A700C">
        <w:rPr>
          <w:rFonts w:ascii="Times New Roman" w:hAnsi="Times New Roman" w:cs="Times New Roman"/>
          <w:lang w:val="lv-LV"/>
        </w:rPr>
        <w:t>.</w:t>
      </w:r>
    </w:p>
  </w:footnote>
  <w:footnote w:id="20">
    <w:p w14:paraId="610D0C75" w14:textId="182EC2EC" w:rsidR="001C7955" w:rsidRPr="008A700C" w:rsidRDefault="001C7955" w:rsidP="000A281E">
      <w:pPr>
        <w:jc w:val="both"/>
        <w:outlineLvl w:val="1"/>
        <w:rPr>
          <w:rFonts w:ascii="Times New Roman" w:eastAsiaTheme="majorEastAsia" w:hAnsi="Times New Roman" w:cs="Times New Roman"/>
          <w:sz w:val="20"/>
          <w:szCs w:val="20"/>
        </w:rPr>
      </w:pPr>
      <w:r w:rsidRPr="008A700C">
        <w:rPr>
          <w:rStyle w:val="Vresatsauce"/>
          <w:rFonts w:ascii="Times New Roman" w:hAnsi="Times New Roman" w:cs="Times New Roman"/>
          <w:sz w:val="20"/>
          <w:szCs w:val="20"/>
        </w:rPr>
        <w:footnoteRef/>
      </w:r>
      <w:r w:rsidRPr="008A700C">
        <w:rPr>
          <w:rFonts w:ascii="Times New Roman" w:hAnsi="Times New Roman" w:cs="Times New Roman"/>
          <w:sz w:val="20"/>
          <w:szCs w:val="20"/>
        </w:rPr>
        <w:t xml:space="preserve"> </w:t>
      </w:r>
      <w:proofErr w:type="spellStart"/>
      <w:r w:rsidR="00521B49" w:rsidRPr="008A700C">
        <w:rPr>
          <w:rFonts w:ascii="Times New Roman" w:eastAsia="Times New Roman" w:hAnsi="Times New Roman" w:cs="Times New Roman"/>
          <w:i/>
          <w:sz w:val="20"/>
          <w:szCs w:val="20"/>
        </w:rPr>
        <w:t>Euro</w:t>
      </w:r>
      <w:r w:rsidRPr="008A700C">
        <w:rPr>
          <w:rFonts w:ascii="Times New Roman" w:eastAsia="Times New Roman" w:hAnsi="Times New Roman" w:cs="Times New Roman"/>
          <w:sz w:val="20"/>
          <w:szCs w:val="20"/>
        </w:rPr>
        <w:t>pean</w:t>
      </w:r>
      <w:proofErr w:type="spellEnd"/>
      <w:r w:rsidRPr="008A700C">
        <w:rPr>
          <w:rFonts w:ascii="Times New Roman" w:eastAsia="Times New Roman" w:hAnsi="Times New Roman" w:cs="Times New Roman"/>
          <w:sz w:val="20"/>
          <w:szCs w:val="20"/>
        </w:rPr>
        <w:t xml:space="preserve"> </w:t>
      </w:r>
      <w:proofErr w:type="spellStart"/>
      <w:r w:rsidRPr="008A700C">
        <w:rPr>
          <w:rFonts w:ascii="Times New Roman" w:eastAsia="Times New Roman" w:hAnsi="Times New Roman" w:cs="Times New Roman"/>
          <w:sz w:val="20"/>
          <w:szCs w:val="20"/>
        </w:rPr>
        <w:t>Innovation</w:t>
      </w:r>
      <w:proofErr w:type="spellEnd"/>
      <w:r w:rsidRPr="008A700C">
        <w:rPr>
          <w:rFonts w:ascii="Times New Roman" w:eastAsia="Times New Roman" w:hAnsi="Times New Roman" w:cs="Times New Roman"/>
          <w:sz w:val="20"/>
          <w:szCs w:val="20"/>
        </w:rPr>
        <w:t xml:space="preserve"> </w:t>
      </w:r>
      <w:proofErr w:type="spellStart"/>
      <w:r w:rsidRPr="008A700C">
        <w:rPr>
          <w:rFonts w:ascii="Times New Roman" w:eastAsia="Times New Roman" w:hAnsi="Times New Roman" w:cs="Times New Roman"/>
          <w:sz w:val="20"/>
          <w:szCs w:val="20"/>
        </w:rPr>
        <w:t>Scoreboard</w:t>
      </w:r>
      <w:proofErr w:type="spellEnd"/>
      <w:r w:rsidRPr="008A700C">
        <w:rPr>
          <w:rFonts w:ascii="Times New Roman" w:eastAsia="Times New Roman" w:hAnsi="Times New Roman" w:cs="Times New Roman"/>
          <w:sz w:val="20"/>
          <w:szCs w:val="20"/>
        </w:rPr>
        <w:t xml:space="preserve"> 2018:</w:t>
      </w:r>
      <w:r w:rsidRPr="008A700C">
        <w:rPr>
          <w:rFonts w:ascii="Times New Roman" w:eastAsia="Times New Roman" w:hAnsi="Times New Roman" w:cs="Times New Roman"/>
          <w:b/>
          <w:bCs/>
          <w:sz w:val="20"/>
          <w:szCs w:val="20"/>
        </w:rPr>
        <w:t xml:space="preserve"> </w:t>
      </w:r>
      <w:hyperlink r:id="rId2">
        <w:r w:rsidRPr="008A700C">
          <w:rPr>
            <w:rFonts w:ascii="Times New Roman" w:eastAsiaTheme="majorEastAsia" w:hAnsi="Times New Roman" w:cs="Times New Roman"/>
            <w:sz w:val="20"/>
            <w:szCs w:val="20"/>
            <w:u w:val="single"/>
          </w:rPr>
          <w:t>https://ec.</w:t>
        </w:r>
        <w:r w:rsidR="00521B49" w:rsidRPr="008A700C">
          <w:rPr>
            <w:rFonts w:ascii="Times New Roman" w:eastAsiaTheme="majorEastAsia" w:hAnsi="Times New Roman" w:cs="Times New Roman"/>
            <w:i/>
            <w:sz w:val="20"/>
            <w:szCs w:val="20"/>
            <w:u w:val="single"/>
          </w:rPr>
          <w:t>euro</w:t>
        </w:r>
        <w:r w:rsidRPr="008A700C">
          <w:rPr>
            <w:rFonts w:ascii="Times New Roman" w:eastAsiaTheme="majorEastAsia" w:hAnsi="Times New Roman" w:cs="Times New Roman"/>
            <w:sz w:val="20"/>
            <w:szCs w:val="20"/>
            <w:u w:val="single"/>
          </w:rPr>
          <w:t>pa.eu/docsroom/documents/33147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59815"/>
      <w:docPartObj>
        <w:docPartGallery w:val="Page Numbers (Top of Page)"/>
        <w:docPartUnique/>
      </w:docPartObj>
    </w:sdtPr>
    <w:sdtEndPr/>
    <w:sdtContent>
      <w:p w14:paraId="55D3B031" w14:textId="1AD61E86" w:rsidR="00C12916" w:rsidRDefault="00C12916" w:rsidP="00BE245A">
        <w:pPr>
          <w:pStyle w:val="Galvene"/>
          <w:jc w:val="center"/>
        </w:pPr>
        <w:r>
          <w:fldChar w:fldCharType="begin"/>
        </w:r>
        <w:r>
          <w:instrText>PAGE   \* MERGEFORMAT</w:instrText>
        </w:r>
        <w:r>
          <w:fldChar w:fldCharType="separate"/>
        </w:r>
        <w:r w:rsidR="009D081F">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AE6"/>
    <w:multiLevelType w:val="hybridMultilevel"/>
    <w:tmpl w:val="394EC41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 w15:restartNumberingAfterBreak="0">
    <w:nsid w:val="02EC4936"/>
    <w:multiLevelType w:val="hybridMultilevel"/>
    <w:tmpl w:val="C37E5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811CA"/>
    <w:multiLevelType w:val="hybridMultilevel"/>
    <w:tmpl w:val="4956C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950F45"/>
    <w:multiLevelType w:val="hybridMultilevel"/>
    <w:tmpl w:val="12CA2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81205"/>
    <w:multiLevelType w:val="hybridMultilevel"/>
    <w:tmpl w:val="F6164B54"/>
    <w:lvl w:ilvl="0" w:tplc="6002BF1C">
      <w:start w:val="1"/>
      <w:numFmt w:val="bullet"/>
      <w:lvlText w:val=""/>
      <w:lvlJc w:val="left"/>
      <w:pPr>
        <w:tabs>
          <w:tab w:val="num" w:pos="720"/>
        </w:tabs>
        <w:ind w:left="720" w:hanging="360"/>
      </w:pPr>
      <w:rPr>
        <w:rFonts w:ascii="Wingdings" w:hAnsi="Wingdings" w:hint="default"/>
      </w:rPr>
    </w:lvl>
    <w:lvl w:ilvl="1" w:tplc="31BA0738">
      <w:start w:val="1"/>
      <w:numFmt w:val="bullet"/>
      <w:lvlText w:val=""/>
      <w:lvlJc w:val="left"/>
      <w:pPr>
        <w:tabs>
          <w:tab w:val="num" w:pos="1440"/>
        </w:tabs>
        <w:ind w:left="1440" w:hanging="360"/>
      </w:pPr>
      <w:rPr>
        <w:rFonts w:ascii="Wingdings" w:hAnsi="Wingdings" w:hint="default"/>
      </w:rPr>
    </w:lvl>
    <w:lvl w:ilvl="2" w:tplc="65BC79DA" w:tentative="1">
      <w:start w:val="1"/>
      <w:numFmt w:val="bullet"/>
      <w:lvlText w:val=""/>
      <w:lvlJc w:val="left"/>
      <w:pPr>
        <w:tabs>
          <w:tab w:val="num" w:pos="2160"/>
        </w:tabs>
        <w:ind w:left="2160" w:hanging="360"/>
      </w:pPr>
      <w:rPr>
        <w:rFonts w:ascii="Wingdings" w:hAnsi="Wingdings" w:hint="default"/>
      </w:rPr>
    </w:lvl>
    <w:lvl w:ilvl="3" w:tplc="03C2AD40" w:tentative="1">
      <w:start w:val="1"/>
      <w:numFmt w:val="bullet"/>
      <w:lvlText w:val=""/>
      <w:lvlJc w:val="left"/>
      <w:pPr>
        <w:tabs>
          <w:tab w:val="num" w:pos="2880"/>
        </w:tabs>
        <w:ind w:left="2880" w:hanging="360"/>
      </w:pPr>
      <w:rPr>
        <w:rFonts w:ascii="Wingdings" w:hAnsi="Wingdings" w:hint="default"/>
      </w:rPr>
    </w:lvl>
    <w:lvl w:ilvl="4" w:tplc="1D2A54BE" w:tentative="1">
      <w:start w:val="1"/>
      <w:numFmt w:val="bullet"/>
      <w:lvlText w:val=""/>
      <w:lvlJc w:val="left"/>
      <w:pPr>
        <w:tabs>
          <w:tab w:val="num" w:pos="3600"/>
        </w:tabs>
        <w:ind w:left="3600" w:hanging="360"/>
      </w:pPr>
      <w:rPr>
        <w:rFonts w:ascii="Wingdings" w:hAnsi="Wingdings" w:hint="default"/>
      </w:rPr>
    </w:lvl>
    <w:lvl w:ilvl="5" w:tplc="86F26388" w:tentative="1">
      <w:start w:val="1"/>
      <w:numFmt w:val="bullet"/>
      <w:lvlText w:val=""/>
      <w:lvlJc w:val="left"/>
      <w:pPr>
        <w:tabs>
          <w:tab w:val="num" w:pos="4320"/>
        </w:tabs>
        <w:ind w:left="4320" w:hanging="360"/>
      </w:pPr>
      <w:rPr>
        <w:rFonts w:ascii="Wingdings" w:hAnsi="Wingdings" w:hint="default"/>
      </w:rPr>
    </w:lvl>
    <w:lvl w:ilvl="6" w:tplc="D7045212" w:tentative="1">
      <w:start w:val="1"/>
      <w:numFmt w:val="bullet"/>
      <w:lvlText w:val=""/>
      <w:lvlJc w:val="left"/>
      <w:pPr>
        <w:tabs>
          <w:tab w:val="num" w:pos="5040"/>
        </w:tabs>
        <w:ind w:left="5040" w:hanging="360"/>
      </w:pPr>
      <w:rPr>
        <w:rFonts w:ascii="Wingdings" w:hAnsi="Wingdings" w:hint="default"/>
      </w:rPr>
    </w:lvl>
    <w:lvl w:ilvl="7" w:tplc="FB42AC28" w:tentative="1">
      <w:start w:val="1"/>
      <w:numFmt w:val="bullet"/>
      <w:lvlText w:val=""/>
      <w:lvlJc w:val="left"/>
      <w:pPr>
        <w:tabs>
          <w:tab w:val="num" w:pos="5760"/>
        </w:tabs>
        <w:ind w:left="5760" w:hanging="360"/>
      </w:pPr>
      <w:rPr>
        <w:rFonts w:ascii="Wingdings" w:hAnsi="Wingdings" w:hint="default"/>
      </w:rPr>
    </w:lvl>
    <w:lvl w:ilvl="8" w:tplc="24485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5E"/>
    <w:multiLevelType w:val="multilevel"/>
    <w:tmpl w:val="1F844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F66D0"/>
    <w:multiLevelType w:val="hybridMultilevel"/>
    <w:tmpl w:val="5BD68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D865E7"/>
    <w:multiLevelType w:val="hybridMultilevel"/>
    <w:tmpl w:val="42C016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3C527A"/>
    <w:multiLevelType w:val="hybridMultilevel"/>
    <w:tmpl w:val="029A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817B2"/>
    <w:multiLevelType w:val="hybridMultilevel"/>
    <w:tmpl w:val="3A5E7122"/>
    <w:lvl w:ilvl="0" w:tplc="56CA06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D6F59"/>
    <w:multiLevelType w:val="hybridMultilevel"/>
    <w:tmpl w:val="0D96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B3DF2"/>
    <w:multiLevelType w:val="hybridMultilevel"/>
    <w:tmpl w:val="E1122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732F1"/>
    <w:multiLevelType w:val="hybridMultilevel"/>
    <w:tmpl w:val="5C6C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C27F6C"/>
    <w:multiLevelType w:val="hybridMultilevel"/>
    <w:tmpl w:val="3762F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3656E1"/>
    <w:multiLevelType w:val="hybridMultilevel"/>
    <w:tmpl w:val="8D44F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C656AC"/>
    <w:multiLevelType w:val="hybridMultilevel"/>
    <w:tmpl w:val="3D426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D15969"/>
    <w:multiLevelType w:val="hybridMultilevel"/>
    <w:tmpl w:val="CE702C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FBC48A5"/>
    <w:multiLevelType w:val="hybridMultilevel"/>
    <w:tmpl w:val="8AA098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074F68"/>
    <w:multiLevelType w:val="hybridMultilevel"/>
    <w:tmpl w:val="9F08A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E015BE"/>
    <w:multiLevelType w:val="hybridMultilevel"/>
    <w:tmpl w:val="0FFA6BB2"/>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45E11818"/>
    <w:multiLevelType w:val="hybridMultilevel"/>
    <w:tmpl w:val="AA90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D47ACF"/>
    <w:multiLevelType w:val="hybridMultilevel"/>
    <w:tmpl w:val="FA1ED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E86734"/>
    <w:multiLevelType w:val="hybridMultilevel"/>
    <w:tmpl w:val="232C9C78"/>
    <w:lvl w:ilvl="0" w:tplc="8F7603A8">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AEFEBBDE" w:tentative="1">
      <w:start w:val="1"/>
      <w:numFmt w:val="bullet"/>
      <w:lvlText w:val=""/>
      <w:lvlJc w:val="left"/>
      <w:pPr>
        <w:tabs>
          <w:tab w:val="num" w:pos="2160"/>
        </w:tabs>
        <w:ind w:left="2160" w:hanging="360"/>
      </w:pPr>
      <w:rPr>
        <w:rFonts w:ascii="Wingdings" w:hAnsi="Wingdings" w:hint="default"/>
      </w:rPr>
    </w:lvl>
    <w:lvl w:ilvl="3" w:tplc="C6983A58" w:tentative="1">
      <w:start w:val="1"/>
      <w:numFmt w:val="bullet"/>
      <w:lvlText w:val=""/>
      <w:lvlJc w:val="left"/>
      <w:pPr>
        <w:tabs>
          <w:tab w:val="num" w:pos="2880"/>
        </w:tabs>
        <w:ind w:left="2880" w:hanging="360"/>
      </w:pPr>
      <w:rPr>
        <w:rFonts w:ascii="Wingdings" w:hAnsi="Wingdings" w:hint="default"/>
      </w:rPr>
    </w:lvl>
    <w:lvl w:ilvl="4" w:tplc="B0347024" w:tentative="1">
      <w:start w:val="1"/>
      <w:numFmt w:val="bullet"/>
      <w:lvlText w:val=""/>
      <w:lvlJc w:val="left"/>
      <w:pPr>
        <w:tabs>
          <w:tab w:val="num" w:pos="3600"/>
        </w:tabs>
        <w:ind w:left="3600" w:hanging="360"/>
      </w:pPr>
      <w:rPr>
        <w:rFonts w:ascii="Wingdings" w:hAnsi="Wingdings" w:hint="default"/>
      </w:rPr>
    </w:lvl>
    <w:lvl w:ilvl="5" w:tplc="8C7AAC84" w:tentative="1">
      <w:start w:val="1"/>
      <w:numFmt w:val="bullet"/>
      <w:lvlText w:val=""/>
      <w:lvlJc w:val="left"/>
      <w:pPr>
        <w:tabs>
          <w:tab w:val="num" w:pos="4320"/>
        </w:tabs>
        <w:ind w:left="4320" w:hanging="360"/>
      </w:pPr>
      <w:rPr>
        <w:rFonts w:ascii="Wingdings" w:hAnsi="Wingdings" w:hint="default"/>
      </w:rPr>
    </w:lvl>
    <w:lvl w:ilvl="6" w:tplc="C8784080" w:tentative="1">
      <w:start w:val="1"/>
      <w:numFmt w:val="bullet"/>
      <w:lvlText w:val=""/>
      <w:lvlJc w:val="left"/>
      <w:pPr>
        <w:tabs>
          <w:tab w:val="num" w:pos="5040"/>
        </w:tabs>
        <w:ind w:left="5040" w:hanging="360"/>
      </w:pPr>
      <w:rPr>
        <w:rFonts w:ascii="Wingdings" w:hAnsi="Wingdings" w:hint="default"/>
      </w:rPr>
    </w:lvl>
    <w:lvl w:ilvl="7" w:tplc="C03A2360" w:tentative="1">
      <w:start w:val="1"/>
      <w:numFmt w:val="bullet"/>
      <w:lvlText w:val=""/>
      <w:lvlJc w:val="left"/>
      <w:pPr>
        <w:tabs>
          <w:tab w:val="num" w:pos="5760"/>
        </w:tabs>
        <w:ind w:left="5760" w:hanging="360"/>
      </w:pPr>
      <w:rPr>
        <w:rFonts w:ascii="Wingdings" w:hAnsi="Wingdings" w:hint="default"/>
      </w:rPr>
    </w:lvl>
    <w:lvl w:ilvl="8" w:tplc="68DC3D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C549F"/>
    <w:multiLevelType w:val="hybridMultilevel"/>
    <w:tmpl w:val="1DB4E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2E5575"/>
    <w:multiLevelType w:val="hybridMultilevel"/>
    <w:tmpl w:val="3D2AF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91279A"/>
    <w:multiLevelType w:val="multilevel"/>
    <w:tmpl w:val="2F22A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A84E5B"/>
    <w:multiLevelType w:val="hybridMultilevel"/>
    <w:tmpl w:val="38D236CA"/>
    <w:lvl w:ilvl="0" w:tplc="AE84A206">
      <w:start w:val="11"/>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C359E"/>
    <w:multiLevelType w:val="hybridMultilevel"/>
    <w:tmpl w:val="7A802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653AB8"/>
    <w:multiLevelType w:val="hybridMultilevel"/>
    <w:tmpl w:val="CD90B5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24134D8"/>
    <w:multiLevelType w:val="hybridMultilevel"/>
    <w:tmpl w:val="050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44D02"/>
    <w:multiLevelType w:val="multilevel"/>
    <w:tmpl w:val="F99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646A0"/>
    <w:multiLevelType w:val="hybridMultilevel"/>
    <w:tmpl w:val="39BA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86363"/>
    <w:multiLevelType w:val="multilevel"/>
    <w:tmpl w:val="2F22A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144327"/>
    <w:multiLevelType w:val="hybridMultilevel"/>
    <w:tmpl w:val="C4046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2A49F0"/>
    <w:multiLevelType w:val="hybridMultilevel"/>
    <w:tmpl w:val="7EECB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D666F1"/>
    <w:multiLevelType w:val="multilevel"/>
    <w:tmpl w:val="1752E76E"/>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701957"/>
    <w:multiLevelType w:val="hybridMultilevel"/>
    <w:tmpl w:val="A2147F72"/>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hint="default"/>
      </w:rPr>
    </w:lvl>
    <w:lvl w:ilvl="2" w:tplc="FD7E682C">
      <w:start w:val="1"/>
      <w:numFmt w:val="bullet"/>
      <w:lvlText w:val=""/>
      <w:lvlJc w:val="left"/>
      <w:pPr>
        <w:ind w:left="785" w:hanging="360"/>
      </w:pPr>
      <w:rPr>
        <w:rFonts w:ascii="Wingdings" w:hAnsi="Wingdings"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hint="default"/>
      </w:rPr>
    </w:lvl>
    <w:lvl w:ilvl="8" w:tplc="7DF0DB9A">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8"/>
  </w:num>
  <w:num w:numId="4">
    <w:abstractNumId w:val="16"/>
  </w:num>
  <w:num w:numId="5">
    <w:abstractNumId w:val="0"/>
  </w:num>
  <w:num w:numId="6">
    <w:abstractNumId w:val="5"/>
  </w:num>
  <w:num w:numId="7">
    <w:abstractNumId w:val="20"/>
  </w:num>
  <w:num w:numId="8">
    <w:abstractNumId w:val="34"/>
  </w:num>
  <w:num w:numId="9">
    <w:abstractNumId w:val="3"/>
  </w:num>
  <w:num w:numId="10">
    <w:abstractNumId w:val="4"/>
  </w:num>
  <w:num w:numId="11">
    <w:abstractNumId w:val="2"/>
  </w:num>
  <w:num w:numId="12">
    <w:abstractNumId w:val="22"/>
  </w:num>
  <w:num w:numId="13">
    <w:abstractNumId w:val="23"/>
  </w:num>
  <w:num w:numId="14">
    <w:abstractNumId w:val="13"/>
  </w:num>
  <w:num w:numId="15">
    <w:abstractNumId w:val="14"/>
  </w:num>
  <w:num w:numId="16">
    <w:abstractNumId w:val="30"/>
  </w:num>
  <w:num w:numId="17">
    <w:abstractNumId w:val="7"/>
  </w:num>
  <w:num w:numId="18">
    <w:abstractNumId w:val="36"/>
  </w:num>
  <w:num w:numId="19">
    <w:abstractNumId w:val="25"/>
  </w:num>
  <w:num w:numId="20">
    <w:abstractNumId w:val="21"/>
  </w:num>
  <w:num w:numId="21">
    <w:abstractNumId w:val="8"/>
  </w:num>
  <w:num w:numId="22">
    <w:abstractNumId w:val="31"/>
  </w:num>
  <w:num w:numId="23">
    <w:abstractNumId w:val="29"/>
  </w:num>
  <w:num w:numId="24">
    <w:abstractNumId w:val="10"/>
  </w:num>
  <w:num w:numId="25">
    <w:abstractNumId w:val="26"/>
  </w:num>
  <w:num w:numId="26">
    <w:abstractNumId w:val="9"/>
  </w:num>
  <w:num w:numId="27">
    <w:abstractNumId w:val="1"/>
  </w:num>
  <w:num w:numId="28">
    <w:abstractNumId w:val="11"/>
  </w:num>
  <w:num w:numId="29">
    <w:abstractNumId w:val="6"/>
  </w:num>
  <w:num w:numId="30">
    <w:abstractNumId w:val="18"/>
  </w:num>
  <w:num w:numId="31">
    <w:abstractNumId w:val="12"/>
  </w:num>
  <w:num w:numId="32">
    <w:abstractNumId w:val="33"/>
  </w:num>
  <w:num w:numId="33">
    <w:abstractNumId w:val="17"/>
  </w:num>
  <w:num w:numId="34">
    <w:abstractNumId w:val="35"/>
  </w:num>
  <w:num w:numId="35">
    <w:abstractNumId w:val="27"/>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55"/>
    <w:rsid w:val="0001072F"/>
    <w:rsid w:val="00033C83"/>
    <w:rsid w:val="00042097"/>
    <w:rsid w:val="000429E9"/>
    <w:rsid w:val="000460F8"/>
    <w:rsid w:val="00053BF3"/>
    <w:rsid w:val="00062BB0"/>
    <w:rsid w:val="00065F8A"/>
    <w:rsid w:val="00081212"/>
    <w:rsid w:val="000843A8"/>
    <w:rsid w:val="00084516"/>
    <w:rsid w:val="00091714"/>
    <w:rsid w:val="000945D5"/>
    <w:rsid w:val="000A281E"/>
    <w:rsid w:val="000A3D1F"/>
    <w:rsid w:val="000A54BF"/>
    <w:rsid w:val="000B144C"/>
    <w:rsid w:val="000C0403"/>
    <w:rsid w:val="000D36D7"/>
    <w:rsid w:val="000E3F0A"/>
    <w:rsid w:val="000E65D2"/>
    <w:rsid w:val="000F7848"/>
    <w:rsid w:val="0010074C"/>
    <w:rsid w:val="00107876"/>
    <w:rsid w:val="00117E5B"/>
    <w:rsid w:val="001208A3"/>
    <w:rsid w:val="00124D84"/>
    <w:rsid w:val="00141BCE"/>
    <w:rsid w:val="00153C3D"/>
    <w:rsid w:val="00156369"/>
    <w:rsid w:val="00160D67"/>
    <w:rsid w:val="00162B1F"/>
    <w:rsid w:val="00166A12"/>
    <w:rsid w:val="001670AE"/>
    <w:rsid w:val="00170082"/>
    <w:rsid w:val="00177567"/>
    <w:rsid w:val="00186060"/>
    <w:rsid w:val="0018690C"/>
    <w:rsid w:val="001912E1"/>
    <w:rsid w:val="001A3D2E"/>
    <w:rsid w:val="001A5E17"/>
    <w:rsid w:val="001B61C6"/>
    <w:rsid w:val="001C65BC"/>
    <w:rsid w:val="001C7955"/>
    <w:rsid w:val="001D26D3"/>
    <w:rsid w:val="001E55B3"/>
    <w:rsid w:val="001E65EE"/>
    <w:rsid w:val="001F59FB"/>
    <w:rsid w:val="001F6B5A"/>
    <w:rsid w:val="00201B3A"/>
    <w:rsid w:val="00212F45"/>
    <w:rsid w:val="0021587F"/>
    <w:rsid w:val="002177B2"/>
    <w:rsid w:val="00227345"/>
    <w:rsid w:val="00235582"/>
    <w:rsid w:val="0023700E"/>
    <w:rsid w:val="00240A8D"/>
    <w:rsid w:val="00251AC4"/>
    <w:rsid w:val="00251EC1"/>
    <w:rsid w:val="0027326A"/>
    <w:rsid w:val="00280F5A"/>
    <w:rsid w:val="00290E3E"/>
    <w:rsid w:val="002A2588"/>
    <w:rsid w:val="002A6BD7"/>
    <w:rsid w:val="002B32B3"/>
    <w:rsid w:val="002C1559"/>
    <w:rsid w:val="002C49E6"/>
    <w:rsid w:val="002C5DEC"/>
    <w:rsid w:val="002D1F77"/>
    <w:rsid w:val="002D59B4"/>
    <w:rsid w:val="002D6B39"/>
    <w:rsid w:val="002E446B"/>
    <w:rsid w:val="002E5F3D"/>
    <w:rsid w:val="002E7ACD"/>
    <w:rsid w:val="002F458E"/>
    <w:rsid w:val="003028C7"/>
    <w:rsid w:val="00303C67"/>
    <w:rsid w:val="00303F0A"/>
    <w:rsid w:val="00304F1E"/>
    <w:rsid w:val="003103E1"/>
    <w:rsid w:val="00314B1D"/>
    <w:rsid w:val="003257EA"/>
    <w:rsid w:val="003423B0"/>
    <w:rsid w:val="00350C5B"/>
    <w:rsid w:val="00356794"/>
    <w:rsid w:val="0035695A"/>
    <w:rsid w:val="003633CA"/>
    <w:rsid w:val="00374027"/>
    <w:rsid w:val="003816E6"/>
    <w:rsid w:val="003904DE"/>
    <w:rsid w:val="0039328E"/>
    <w:rsid w:val="003C447C"/>
    <w:rsid w:val="003D2EBB"/>
    <w:rsid w:val="0040722C"/>
    <w:rsid w:val="00410D05"/>
    <w:rsid w:val="00421D1A"/>
    <w:rsid w:val="0043009B"/>
    <w:rsid w:val="004463EA"/>
    <w:rsid w:val="00461EBC"/>
    <w:rsid w:val="00462D3D"/>
    <w:rsid w:val="00463629"/>
    <w:rsid w:val="00466DCF"/>
    <w:rsid w:val="00467D26"/>
    <w:rsid w:val="004705BB"/>
    <w:rsid w:val="004736A1"/>
    <w:rsid w:val="004770B0"/>
    <w:rsid w:val="00477F51"/>
    <w:rsid w:val="00481190"/>
    <w:rsid w:val="004828EA"/>
    <w:rsid w:val="00484401"/>
    <w:rsid w:val="00486147"/>
    <w:rsid w:val="004911CE"/>
    <w:rsid w:val="004931DB"/>
    <w:rsid w:val="004A1DEA"/>
    <w:rsid w:val="004A3CF4"/>
    <w:rsid w:val="004B2793"/>
    <w:rsid w:val="004C46F4"/>
    <w:rsid w:val="004D18CC"/>
    <w:rsid w:val="00502DB1"/>
    <w:rsid w:val="00521B49"/>
    <w:rsid w:val="005315CC"/>
    <w:rsid w:val="00534B5B"/>
    <w:rsid w:val="005363D0"/>
    <w:rsid w:val="00545B15"/>
    <w:rsid w:val="005514E7"/>
    <w:rsid w:val="005527ED"/>
    <w:rsid w:val="00585B3F"/>
    <w:rsid w:val="0058797E"/>
    <w:rsid w:val="005941CA"/>
    <w:rsid w:val="005976BF"/>
    <w:rsid w:val="005A3B2A"/>
    <w:rsid w:val="005B1348"/>
    <w:rsid w:val="005C4F55"/>
    <w:rsid w:val="005D07C7"/>
    <w:rsid w:val="005E2302"/>
    <w:rsid w:val="005E2A19"/>
    <w:rsid w:val="00610A3C"/>
    <w:rsid w:val="0061170B"/>
    <w:rsid w:val="0062710A"/>
    <w:rsid w:val="00627577"/>
    <w:rsid w:val="00632F66"/>
    <w:rsid w:val="006372A1"/>
    <w:rsid w:val="00641E1A"/>
    <w:rsid w:val="00645B35"/>
    <w:rsid w:val="00645B81"/>
    <w:rsid w:val="00647B68"/>
    <w:rsid w:val="0065153F"/>
    <w:rsid w:val="00664163"/>
    <w:rsid w:val="006642D8"/>
    <w:rsid w:val="00673C7F"/>
    <w:rsid w:val="006819D6"/>
    <w:rsid w:val="00682D7D"/>
    <w:rsid w:val="006867C9"/>
    <w:rsid w:val="006A1C7B"/>
    <w:rsid w:val="006A2C2B"/>
    <w:rsid w:val="006B6212"/>
    <w:rsid w:val="006C1AFB"/>
    <w:rsid w:val="006D6526"/>
    <w:rsid w:val="006D78CA"/>
    <w:rsid w:val="006E02E1"/>
    <w:rsid w:val="006E28C6"/>
    <w:rsid w:val="006F3611"/>
    <w:rsid w:val="006F3FCD"/>
    <w:rsid w:val="00701382"/>
    <w:rsid w:val="00723FD9"/>
    <w:rsid w:val="00736452"/>
    <w:rsid w:val="00741ED0"/>
    <w:rsid w:val="007452D6"/>
    <w:rsid w:val="0075251C"/>
    <w:rsid w:val="00771F38"/>
    <w:rsid w:val="0077515B"/>
    <w:rsid w:val="007774B3"/>
    <w:rsid w:val="007B051E"/>
    <w:rsid w:val="007B6087"/>
    <w:rsid w:val="007B7291"/>
    <w:rsid w:val="007C185B"/>
    <w:rsid w:val="007C1A20"/>
    <w:rsid w:val="007C40D5"/>
    <w:rsid w:val="007C4B73"/>
    <w:rsid w:val="007C4DDB"/>
    <w:rsid w:val="007C6441"/>
    <w:rsid w:val="007D2627"/>
    <w:rsid w:val="007D31EB"/>
    <w:rsid w:val="007D6692"/>
    <w:rsid w:val="007F06E3"/>
    <w:rsid w:val="008043B9"/>
    <w:rsid w:val="00804C51"/>
    <w:rsid w:val="0082088D"/>
    <w:rsid w:val="00837071"/>
    <w:rsid w:val="00853C44"/>
    <w:rsid w:val="00861F3E"/>
    <w:rsid w:val="00863F68"/>
    <w:rsid w:val="00871594"/>
    <w:rsid w:val="008730B6"/>
    <w:rsid w:val="00881763"/>
    <w:rsid w:val="0089428A"/>
    <w:rsid w:val="00894663"/>
    <w:rsid w:val="00894C8D"/>
    <w:rsid w:val="00897B2B"/>
    <w:rsid w:val="008A340D"/>
    <w:rsid w:val="008A6DA9"/>
    <w:rsid w:val="008A700C"/>
    <w:rsid w:val="008B06EC"/>
    <w:rsid w:val="008C3CD0"/>
    <w:rsid w:val="008D3818"/>
    <w:rsid w:val="008E37E0"/>
    <w:rsid w:val="008E5C29"/>
    <w:rsid w:val="008E66BD"/>
    <w:rsid w:val="008F3830"/>
    <w:rsid w:val="00901ED7"/>
    <w:rsid w:val="00902D5C"/>
    <w:rsid w:val="00906852"/>
    <w:rsid w:val="00910618"/>
    <w:rsid w:val="00924812"/>
    <w:rsid w:val="00925A3F"/>
    <w:rsid w:val="0094767E"/>
    <w:rsid w:val="00947BE0"/>
    <w:rsid w:val="00970A0F"/>
    <w:rsid w:val="00971E48"/>
    <w:rsid w:val="00973386"/>
    <w:rsid w:val="00974433"/>
    <w:rsid w:val="00977649"/>
    <w:rsid w:val="00994F93"/>
    <w:rsid w:val="00997F22"/>
    <w:rsid w:val="009A0E32"/>
    <w:rsid w:val="009A434C"/>
    <w:rsid w:val="009A7A1C"/>
    <w:rsid w:val="009B07C6"/>
    <w:rsid w:val="009B3400"/>
    <w:rsid w:val="009D081F"/>
    <w:rsid w:val="009D5A7D"/>
    <w:rsid w:val="009F38F3"/>
    <w:rsid w:val="00A1467F"/>
    <w:rsid w:val="00A210E3"/>
    <w:rsid w:val="00A21B03"/>
    <w:rsid w:val="00A23D79"/>
    <w:rsid w:val="00A24E93"/>
    <w:rsid w:val="00A3260C"/>
    <w:rsid w:val="00A465A3"/>
    <w:rsid w:val="00A47066"/>
    <w:rsid w:val="00A7592B"/>
    <w:rsid w:val="00A80966"/>
    <w:rsid w:val="00A84E86"/>
    <w:rsid w:val="00A879B8"/>
    <w:rsid w:val="00A90D64"/>
    <w:rsid w:val="00A94DFC"/>
    <w:rsid w:val="00AA510B"/>
    <w:rsid w:val="00AA6415"/>
    <w:rsid w:val="00AD47DC"/>
    <w:rsid w:val="00AD4AD2"/>
    <w:rsid w:val="00AD7138"/>
    <w:rsid w:val="00AE43EC"/>
    <w:rsid w:val="00AF3C4D"/>
    <w:rsid w:val="00B06FC0"/>
    <w:rsid w:val="00B31C78"/>
    <w:rsid w:val="00B4653B"/>
    <w:rsid w:val="00B540BE"/>
    <w:rsid w:val="00B6274B"/>
    <w:rsid w:val="00B66F28"/>
    <w:rsid w:val="00B71CDF"/>
    <w:rsid w:val="00B82B19"/>
    <w:rsid w:val="00B8485D"/>
    <w:rsid w:val="00B84C76"/>
    <w:rsid w:val="00B85F63"/>
    <w:rsid w:val="00B86354"/>
    <w:rsid w:val="00BA13A1"/>
    <w:rsid w:val="00BC05F5"/>
    <w:rsid w:val="00BC42EA"/>
    <w:rsid w:val="00BD56B6"/>
    <w:rsid w:val="00BE245A"/>
    <w:rsid w:val="00C12916"/>
    <w:rsid w:val="00C1639C"/>
    <w:rsid w:val="00C16510"/>
    <w:rsid w:val="00C371D5"/>
    <w:rsid w:val="00C37B50"/>
    <w:rsid w:val="00C43DB4"/>
    <w:rsid w:val="00C46507"/>
    <w:rsid w:val="00C578AA"/>
    <w:rsid w:val="00C64D55"/>
    <w:rsid w:val="00C720CE"/>
    <w:rsid w:val="00C7780C"/>
    <w:rsid w:val="00C80CBE"/>
    <w:rsid w:val="00C9326D"/>
    <w:rsid w:val="00C96577"/>
    <w:rsid w:val="00C96D7B"/>
    <w:rsid w:val="00C97232"/>
    <w:rsid w:val="00CA428A"/>
    <w:rsid w:val="00CB3506"/>
    <w:rsid w:val="00CB5BE7"/>
    <w:rsid w:val="00CB6F17"/>
    <w:rsid w:val="00CC33E3"/>
    <w:rsid w:val="00CC68CF"/>
    <w:rsid w:val="00CD2939"/>
    <w:rsid w:val="00CE245B"/>
    <w:rsid w:val="00CE2BBF"/>
    <w:rsid w:val="00CF2AC3"/>
    <w:rsid w:val="00CF329E"/>
    <w:rsid w:val="00CF4B7F"/>
    <w:rsid w:val="00D1751C"/>
    <w:rsid w:val="00D21AEE"/>
    <w:rsid w:val="00D26014"/>
    <w:rsid w:val="00D43BE1"/>
    <w:rsid w:val="00D52A95"/>
    <w:rsid w:val="00D65836"/>
    <w:rsid w:val="00D65D5A"/>
    <w:rsid w:val="00D86394"/>
    <w:rsid w:val="00D86725"/>
    <w:rsid w:val="00DA566A"/>
    <w:rsid w:val="00DC715B"/>
    <w:rsid w:val="00DD1DD3"/>
    <w:rsid w:val="00DE58A5"/>
    <w:rsid w:val="00DF3072"/>
    <w:rsid w:val="00E0303E"/>
    <w:rsid w:val="00E035D7"/>
    <w:rsid w:val="00E036D1"/>
    <w:rsid w:val="00E03D4F"/>
    <w:rsid w:val="00E15517"/>
    <w:rsid w:val="00E20B43"/>
    <w:rsid w:val="00E211D1"/>
    <w:rsid w:val="00E35DFF"/>
    <w:rsid w:val="00E41148"/>
    <w:rsid w:val="00E41AB3"/>
    <w:rsid w:val="00E422B0"/>
    <w:rsid w:val="00E4238F"/>
    <w:rsid w:val="00E447B9"/>
    <w:rsid w:val="00E45F83"/>
    <w:rsid w:val="00E520C5"/>
    <w:rsid w:val="00E570B7"/>
    <w:rsid w:val="00E81BFB"/>
    <w:rsid w:val="00E843B8"/>
    <w:rsid w:val="00E87638"/>
    <w:rsid w:val="00E90002"/>
    <w:rsid w:val="00E915E3"/>
    <w:rsid w:val="00EA4605"/>
    <w:rsid w:val="00EB3084"/>
    <w:rsid w:val="00EB3BE7"/>
    <w:rsid w:val="00EB5801"/>
    <w:rsid w:val="00EB5A12"/>
    <w:rsid w:val="00EC38F4"/>
    <w:rsid w:val="00ED6E7E"/>
    <w:rsid w:val="00EE2390"/>
    <w:rsid w:val="00EF3987"/>
    <w:rsid w:val="00EF428B"/>
    <w:rsid w:val="00F01A78"/>
    <w:rsid w:val="00F02498"/>
    <w:rsid w:val="00F02D79"/>
    <w:rsid w:val="00F03454"/>
    <w:rsid w:val="00F070DB"/>
    <w:rsid w:val="00F07267"/>
    <w:rsid w:val="00F119AE"/>
    <w:rsid w:val="00F25EF6"/>
    <w:rsid w:val="00F36C34"/>
    <w:rsid w:val="00F50D1F"/>
    <w:rsid w:val="00F74D0B"/>
    <w:rsid w:val="00F82C47"/>
    <w:rsid w:val="00F84A16"/>
    <w:rsid w:val="00F94B79"/>
    <w:rsid w:val="00F9588D"/>
    <w:rsid w:val="00F97AD9"/>
    <w:rsid w:val="00FB538A"/>
    <w:rsid w:val="00FC055B"/>
    <w:rsid w:val="00FC0DC6"/>
    <w:rsid w:val="00FD4EFA"/>
    <w:rsid w:val="00FD4FA9"/>
    <w:rsid w:val="00FE1A2B"/>
    <w:rsid w:val="00FE1DCE"/>
    <w:rsid w:val="00FE56A8"/>
    <w:rsid w:val="00FF0666"/>
    <w:rsid w:val="00FF4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0F8909"/>
  <w15:chartTrackingRefBased/>
  <w15:docId w15:val="{9B7D0964-6173-48FF-AA59-73D19142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A16"/>
  </w:style>
  <w:style w:type="paragraph" w:styleId="Virsraksts1">
    <w:name w:val="heading 1"/>
    <w:basedOn w:val="Parasts"/>
    <w:next w:val="Parasts"/>
    <w:link w:val="Virsraksts1Rakstz"/>
    <w:uiPriority w:val="9"/>
    <w:qFormat/>
    <w:rsid w:val="006A1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6A1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1F59FB"/>
    <w:pPr>
      <w:ind w:left="720"/>
      <w:contextualSpacing/>
    </w:pPr>
  </w:style>
  <w:style w:type="paragraph" w:customStyle="1" w:styleId="paragraph">
    <w:name w:val="paragraph"/>
    <w:basedOn w:val="Parasts"/>
    <w:rsid w:val="00EA46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EA4605"/>
  </w:style>
  <w:style w:type="character" w:customStyle="1" w:styleId="eop">
    <w:name w:val="eop"/>
    <w:basedOn w:val="Noklusjumarindkopasfonts"/>
    <w:rsid w:val="00EA4605"/>
  </w:style>
  <w:style w:type="character" w:customStyle="1" w:styleId="spellingerror">
    <w:name w:val="spellingerror"/>
    <w:basedOn w:val="Noklusjumarindkopasfonts"/>
    <w:rsid w:val="00EA4605"/>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EA4605"/>
    <w:rPr>
      <w:vertAlign w:val="superscript"/>
    </w:rPr>
  </w:style>
  <w:style w:type="paragraph" w:styleId="Vresteksts">
    <w:name w:val="footnote text"/>
    <w:aliases w:val="Footnote,Footnote Text Char Char,Footnote Text Char Char Char Char,Footnote Text Char Char Char Char Char Char,Footnote Text Char1 Char Char,Footnote Text Char1 Char Char1 Char,Footnote Text Char1 Char Char1 Char Char,Fußnote Char,f,Char10"/>
    <w:basedOn w:val="Parasts"/>
    <w:link w:val="VrestekstsRakstz"/>
    <w:uiPriority w:val="99"/>
    <w:unhideWhenUsed/>
    <w:qFormat/>
    <w:rsid w:val="00EA4605"/>
    <w:pPr>
      <w:spacing w:after="0" w:line="240" w:lineRule="auto"/>
    </w:pPr>
    <w:rPr>
      <w:rFonts w:eastAsiaTheme="minorEastAsia"/>
      <w:sz w:val="20"/>
      <w:szCs w:val="20"/>
      <w:lang w:val="en-GB" w:eastAsia="en-GB"/>
    </w:rPr>
  </w:style>
  <w:style w:type="character" w:customStyle="1" w:styleId="VrestekstsRakstz">
    <w:name w:val="Vēres teksts Rakstz."/>
    <w:aliases w:val="Footnote Rakstz.,Footnote Text Char Char Rakstz.,Footnote Text Char Char Char Char Rakstz.,Footnote Text Char Char Char Char Char Char Rakstz.,Footnote Text Char1 Char Char Rakstz.,Footnote Text Char1 Char Char1 Char Rakstz."/>
    <w:basedOn w:val="Noklusjumarindkopasfonts"/>
    <w:link w:val="Vresteksts"/>
    <w:uiPriority w:val="99"/>
    <w:rsid w:val="00EA4605"/>
    <w:rPr>
      <w:rFonts w:eastAsiaTheme="minorEastAsia"/>
      <w:sz w:val="20"/>
      <w:szCs w:val="20"/>
      <w:lang w:val="en-GB" w:eastAsia="en-GB"/>
    </w:rPr>
  </w:style>
  <w:style w:type="character" w:styleId="Komentraatsauce">
    <w:name w:val="annotation reference"/>
    <w:basedOn w:val="Noklusjumarindkopasfonts"/>
    <w:uiPriority w:val="99"/>
    <w:semiHidden/>
    <w:unhideWhenUsed/>
    <w:rsid w:val="00EA4605"/>
    <w:rPr>
      <w:sz w:val="16"/>
      <w:szCs w:val="16"/>
    </w:rPr>
  </w:style>
  <w:style w:type="paragraph" w:styleId="Komentrateksts">
    <w:name w:val="annotation text"/>
    <w:basedOn w:val="Parasts"/>
    <w:link w:val="KomentratekstsRakstz"/>
    <w:uiPriority w:val="99"/>
    <w:unhideWhenUsed/>
    <w:rsid w:val="00EA4605"/>
    <w:pPr>
      <w:spacing w:after="0" w:line="240" w:lineRule="auto"/>
      <w:jc w:val="both"/>
    </w:pPr>
    <w:rPr>
      <w:sz w:val="20"/>
      <w:szCs w:val="20"/>
    </w:rPr>
  </w:style>
  <w:style w:type="character" w:customStyle="1" w:styleId="KomentratekstsRakstz">
    <w:name w:val="Komentāra teksts Rakstz."/>
    <w:basedOn w:val="Noklusjumarindkopasfonts"/>
    <w:link w:val="Komentrateksts"/>
    <w:uiPriority w:val="99"/>
    <w:rsid w:val="00EA4605"/>
    <w:rPr>
      <w:sz w:val="20"/>
      <w:szCs w:val="20"/>
    </w:rPr>
  </w:style>
  <w:style w:type="paragraph" w:styleId="Balonteksts">
    <w:name w:val="Balloon Text"/>
    <w:basedOn w:val="Parasts"/>
    <w:link w:val="BalontekstsRakstz"/>
    <w:uiPriority w:val="99"/>
    <w:semiHidden/>
    <w:unhideWhenUsed/>
    <w:rsid w:val="00EA46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4605"/>
    <w:rPr>
      <w:rFonts w:ascii="Segoe UI" w:hAnsi="Segoe UI" w:cs="Segoe UI"/>
      <w:sz w:val="18"/>
      <w:szCs w:val="18"/>
    </w:rPr>
  </w:style>
  <w:style w:type="paragraph" w:styleId="Galvene">
    <w:name w:val="header"/>
    <w:basedOn w:val="Parasts"/>
    <w:link w:val="GalveneRakstz"/>
    <w:uiPriority w:val="99"/>
    <w:unhideWhenUsed/>
    <w:rsid w:val="008A6D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6DA9"/>
  </w:style>
  <w:style w:type="paragraph" w:styleId="Kjene">
    <w:name w:val="footer"/>
    <w:basedOn w:val="Parasts"/>
    <w:link w:val="KjeneRakstz"/>
    <w:uiPriority w:val="99"/>
    <w:unhideWhenUsed/>
    <w:rsid w:val="008A6D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6DA9"/>
  </w:style>
  <w:style w:type="table" w:styleId="Reatabula">
    <w:name w:val="Table Grid"/>
    <w:basedOn w:val="Parastatabula"/>
    <w:uiPriority w:val="39"/>
    <w:rsid w:val="008B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F4B7F"/>
    <w:pPr>
      <w:spacing w:after="160"/>
      <w:jc w:val="left"/>
    </w:pPr>
    <w:rPr>
      <w:b/>
      <w:bCs/>
    </w:rPr>
  </w:style>
  <w:style w:type="character" w:customStyle="1" w:styleId="KomentratmaRakstz">
    <w:name w:val="Komentāra tēma Rakstz."/>
    <w:basedOn w:val="KomentratekstsRakstz"/>
    <w:link w:val="Komentratma"/>
    <w:uiPriority w:val="99"/>
    <w:semiHidden/>
    <w:rsid w:val="00CF4B7F"/>
    <w:rPr>
      <w:b/>
      <w:bCs/>
      <w:sz w:val="20"/>
      <w:szCs w:val="20"/>
    </w:rPr>
  </w:style>
  <w:style w:type="character" w:styleId="Izmantotahipersaite">
    <w:name w:val="FollowedHyperlink"/>
    <w:aliases w:val="Footnote Text Char1,Footnote Text Char Char Char Char Char Char Char Char Char"/>
    <w:rsid w:val="00EC38F4"/>
    <w:rPr>
      <w:rFonts w:ascii="Times New Roman" w:eastAsia="Times New Roman" w:hAnsi="Times New Roman" w:cs="Times New Roman"/>
      <w:sz w:val="20"/>
      <w:szCs w:val="20"/>
      <w:lang w:val="en-AU"/>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EC38F4"/>
    <w:pPr>
      <w:spacing w:line="240" w:lineRule="exact"/>
      <w:jc w:val="both"/>
    </w:pPr>
    <w:rPr>
      <w:vertAlign w:val="superscript"/>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EC38F4"/>
  </w:style>
  <w:style w:type="paragraph" w:customStyle="1" w:styleId="tv213">
    <w:name w:val="tv213"/>
    <w:basedOn w:val="Parasts"/>
    <w:rsid w:val="00A90D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6A1C7B"/>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6A1C7B"/>
    <w:rPr>
      <w:rFonts w:asciiTheme="majorHAnsi" w:eastAsiaTheme="majorEastAsia" w:hAnsiTheme="majorHAnsi" w:cstheme="majorBidi"/>
      <w:color w:val="2E74B5" w:themeColor="accent1" w:themeShade="BF"/>
      <w:sz w:val="26"/>
      <w:szCs w:val="26"/>
    </w:rPr>
  </w:style>
  <w:style w:type="paragraph" w:styleId="Saturardtjavirsraksts">
    <w:name w:val="TOC Heading"/>
    <w:basedOn w:val="Virsraksts1"/>
    <w:next w:val="Parasts"/>
    <w:uiPriority w:val="39"/>
    <w:unhideWhenUsed/>
    <w:qFormat/>
    <w:rsid w:val="006A1C7B"/>
    <w:pPr>
      <w:outlineLvl w:val="9"/>
    </w:pPr>
    <w:rPr>
      <w:lang w:val="en-US"/>
    </w:rPr>
  </w:style>
  <w:style w:type="paragraph" w:styleId="Saturs1">
    <w:name w:val="toc 1"/>
    <w:basedOn w:val="Parasts"/>
    <w:next w:val="Parasts"/>
    <w:autoRedefine/>
    <w:uiPriority w:val="39"/>
    <w:unhideWhenUsed/>
    <w:rsid w:val="00902D5C"/>
    <w:pPr>
      <w:tabs>
        <w:tab w:val="left" w:pos="440"/>
        <w:tab w:val="right" w:leader="dot" w:pos="9346"/>
      </w:tabs>
      <w:spacing w:after="100" w:line="480" w:lineRule="auto"/>
    </w:pPr>
  </w:style>
  <w:style w:type="paragraph" w:styleId="Saturs2">
    <w:name w:val="toc 2"/>
    <w:basedOn w:val="Parasts"/>
    <w:next w:val="Parasts"/>
    <w:autoRedefine/>
    <w:uiPriority w:val="39"/>
    <w:unhideWhenUsed/>
    <w:rsid w:val="006A1C7B"/>
    <w:pPr>
      <w:spacing w:after="100"/>
      <w:ind w:left="220"/>
    </w:pPr>
  </w:style>
  <w:style w:type="character" w:styleId="Hipersaite">
    <w:name w:val="Hyperlink"/>
    <w:basedOn w:val="Noklusjumarindkopasfonts"/>
    <w:uiPriority w:val="99"/>
    <w:unhideWhenUsed/>
    <w:rsid w:val="006A1C7B"/>
    <w:rPr>
      <w:color w:val="0563C1" w:themeColor="hyperlink"/>
      <w:u w:val="single"/>
    </w:rPr>
  </w:style>
  <w:style w:type="paragraph" w:styleId="Prskatjums">
    <w:name w:val="Revision"/>
    <w:hidden/>
    <w:uiPriority w:val="99"/>
    <w:semiHidden/>
    <w:rsid w:val="009A0E32"/>
    <w:pPr>
      <w:spacing w:after="0" w:line="240" w:lineRule="auto"/>
    </w:pPr>
  </w:style>
  <w:style w:type="paragraph" w:customStyle="1" w:styleId="CharCharCharChar">
    <w:name w:val="Char Char Char Char"/>
    <w:aliases w:val="Char2"/>
    <w:basedOn w:val="Parasts"/>
    <w:next w:val="Parasts"/>
    <w:uiPriority w:val="99"/>
    <w:rsid w:val="005A3B2A"/>
    <w:pPr>
      <w:spacing w:line="240" w:lineRule="exact"/>
      <w:jc w:val="both"/>
      <w:textAlignment w:val="baseline"/>
    </w:pPr>
    <w:rPr>
      <w:rFonts w:ascii="Times New Roman" w:hAnsi="Times New Roman"/>
      <w:sz w:val="24"/>
      <w:vertAlign w:val="superscript"/>
    </w:rPr>
  </w:style>
  <w:style w:type="paragraph" w:styleId="Bezatstarpm">
    <w:name w:val="No Spacing"/>
    <w:uiPriority w:val="1"/>
    <w:qFormat/>
    <w:rsid w:val="001B61C6"/>
    <w:pPr>
      <w:spacing w:after="0" w:line="240" w:lineRule="auto"/>
    </w:pPr>
  </w:style>
  <w:style w:type="character" w:customStyle="1" w:styleId="Neatrisintapieminana1">
    <w:name w:val="Neatrisināta pieminēšana1"/>
    <w:basedOn w:val="Noklusjumarindkopasfonts"/>
    <w:uiPriority w:val="99"/>
    <w:semiHidden/>
    <w:unhideWhenUsed/>
    <w:rsid w:val="005976BF"/>
    <w:rPr>
      <w:color w:val="605E5C"/>
      <w:shd w:val="clear" w:color="auto" w:fill="E1DFDD"/>
    </w:rPr>
  </w:style>
  <w:style w:type="paragraph" w:styleId="Nosaukums">
    <w:name w:val="Title"/>
    <w:basedOn w:val="Parasts"/>
    <w:next w:val="Parasts"/>
    <w:link w:val="NosaukumsRakstz"/>
    <w:qFormat/>
    <w:rsid w:val="00117E5B"/>
    <w:pPr>
      <w:keepNext/>
      <w:keepLines/>
      <w:spacing w:after="60" w:line="276" w:lineRule="auto"/>
    </w:pPr>
    <w:rPr>
      <w:rFonts w:ascii="Arial" w:eastAsia="Arial" w:hAnsi="Arial" w:cs="Arial"/>
      <w:sz w:val="52"/>
      <w:szCs w:val="52"/>
      <w:lang w:val="lv" w:eastAsia="lv-LV"/>
    </w:rPr>
  </w:style>
  <w:style w:type="character" w:customStyle="1" w:styleId="NosaukumsRakstz">
    <w:name w:val="Nosaukums Rakstz."/>
    <w:basedOn w:val="Noklusjumarindkopasfonts"/>
    <w:link w:val="Nosaukums"/>
    <w:rsid w:val="00117E5B"/>
    <w:rPr>
      <w:rFonts w:ascii="Arial" w:eastAsia="Arial" w:hAnsi="Arial" w:cs="Arial"/>
      <w:sz w:val="52"/>
      <w:szCs w:val="52"/>
      <w:lang w:val="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0193">
      <w:bodyDiv w:val="1"/>
      <w:marLeft w:val="0"/>
      <w:marRight w:val="0"/>
      <w:marTop w:val="0"/>
      <w:marBottom w:val="0"/>
      <w:divBdr>
        <w:top w:val="none" w:sz="0" w:space="0" w:color="auto"/>
        <w:left w:val="none" w:sz="0" w:space="0" w:color="auto"/>
        <w:bottom w:val="none" w:sz="0" w:space="0" w:color="auto"/>
        <w:right w:val="none" w:sz="0" w:space="0" w:color="auto"/>
      </w:divBdr>
      <w:divsChild>
        <w:div w:id="121927215">
          <w:marLeft w:val="720"/>
          <w:marRight w:val="0"/>
          <w:marTop w:val="91"/>
          <w:marBottom w:val="0"/>
          <w:divBdr>
            <w:top w:val="none" w:sz="0" w:space="0" w:color="auto"/>
            <w:left w:val="none" w:sz="0" w:space="0" w:color="auto"/>
            <w:bottom w:val="none" w:sz="0" w:space="0" w:color="auto"/>
            <w:right w:val="none" w:sz="0" w:space="0" w:color="auto"/>
          </w:divBdr>
        </w:div>
        <w:div w:id="1875271633">
          <w:marLeft w:val="1915"/>
          <w:marRight w:val="0"/>
          <w:marTop w:val="91"/>
          <w:marBottom w:val="0"/>
          <w:divBdr>
            <w:top w:val="none" w:sz="0" w:space="0" w:color="auto"/>
            <w:left w:val="none" w:sz="0" w:space="0" w:color="auto"/>
            <w:bottom w:val="none" w:sz="0" w:space="0" w:color="auto"/>
            <w:right w:val="none" w:sz="0" w:space="0" w:color="auto"/>
          </w:divBdr>
        </w:div>
      </w:divsChild>
    </w:div>
    <w:div w:id="599022461">
      <w:bodyDiv w:val="1"/>
      <w:marLeft w:val="0"/>
      <w:marRight w:val="0"/>
      <w:marTop w:val="0"/>
      <w:marBottom w:val="0"/>
      <w:divBdr>
        <w:top w:val="none" w:sz="0" w:space="0" w:color="auto"/>
        <w:left w:val="none" w:sz="0" w:space="0" w:color="auto"/>
        <w:bottom w:val="none" w:sz="0" w:space="0" w:color="auto"/>
        <w:right w:val="none" w:sz="0" w:space="0" w:color="auto"/>
      </w:divBdr>
    </w:div>
    <w:div w:id="667754291">
      <w:bodyDiv w:val="1"/>
      <w:marLeft w:val="0"/>
      <w:marRight w:val="0"/>
      <w:marTop w:val="0"/>
      <w:marBottom w:val="0"/>
      <w:divBdr>
        <w:top w:val="none" w:sz="0" w:space="0" w:color="auto"/>
        <w:left w:val="none" w:sz="0" w:space="0" w:color="auto"/>
        <w:bottom w:val="none" w:sz="0" w:space="0" w:color="auto"/>
        <w:right w:val="none" w:sz="0" w:space="0" w:color="auto"/>
      </w:divBdr>
    </w:div>
    <w:div w:id="1185633040">
      <w:bodyDiv w:val="1"/>
      <w:marLeft w:val="0"/>
      <w:marRight w:val="0"/>
      <w:marTop w:val="0"/>
      <w:marBottom w:val="0"/>
      <w:divBdr>
        <w:top w:val="none" w:sz="0" w:space="0" w:color="auto"/>
        <w:left w:val="none" w:sz="0" w:space="0" w:color="auto"/>
        <w:bottom w:val="none" w:sz="0" w:space="0" w:color="auto"/>
        <w:right w:val="none" w:sz="0" w:space="0" w:color="auto"/>
      </w:divBdr>
    </w:div>
    <w:div w:id="1259558571">
      <w:bodyDiv w:val="1"/>
      <w:marLeft w:val="0"/>
      <w:marRight w:val="0"/>
      <w:marTop w:val="0"/>
      <w:marBottom w:val="0"/>
      <w:divBdr>
        <w:top w:val="none" w:sz="0" w:space="0" w:color="auto"/>
        <w:left w:val="none" w:sz="0" w:space="0" w:color="auto"/>
        <w:bottom w:val="none" w:sz="0" w:space="0" w:color="auto"/>
        <w:right w:val="none" w:sz="0" w:space="0" w:color="auto"/>
      </w:divBdr>
    </w:div>
    <w:div w:id="1323121956">
      <w:bodyDiv w:val="1"/>
      <w:marLeft w:val="0"/>
      <w:marRight w:val="0"/>
      <w:marTop w:val="0"/>
      <w:marBottom w:val="0"/>
      <w:divBdr>
        <w:top w:val="none" w:sz="0" w:space="0" w:color="auto"/>
        <w:left w:val="none" w:sz="0" w:space="0" w:color="auto"/>
        <w:bottom w:val="none" w:sz="0" w:space="0" w:color="auto"/>
        <w:right w:val="none" w:sz="0" w:space="0" w:color="auto"/>
      </w:divBdr>
    </w:div>
    <w:div w:id="1391731613">
      <w:bodyDiv w:val="1"/>
      <w:marLeft w:val="0"/>
      <w:marRight w:val="0"/>
      <w:marTop w:val="0"/>
      <w:marBottom w:val="0"/>
      <w:divBdr>
        <w:top w:val="none" w:sz="0" w:space="0" w:color="auto"/>
        <w:left w:val="none" w:sz="0" w:space="0" w:color="auto"/>
        <w:bottom w:val="none" w:sz="0" w:space="0" w:color="auto"/>
        <w:right w:val="none" w:sz="0" w:space="0" w:color="auto"/>
      </w:divBdr>
    </w:div>
    <w:div w:id="1576354845">
      <w:bodyDiv w:val="1"/>
      <w:marLeft w:val="0"/>
      <w:marRight w:val="0"/>
      <w:marTop w:val="0"/>
      <w:marBottom w:val="0"/>
      <w:divBdr>
        <w:top w:val="none" w:sz="0" w:space="0" w:color="auto"/>
        <w:left w:val="none" w:sz="0" w:space="0" w:color="auto"/>
        <w:bottom w:val="none" w:sz="0" w:space="0" w:color="auto"/>
        <w:right w:val="none" w:sz="0" w:space="0" w:color="auto"/>
      </w:divBdr>
    </w:div>
    <w:div w:id="1786653784">
      <w:bodyDiv w:val="1"/>
      <w:marLeft w:val="0"/>
      <w:marRight w:val="0"/>
      <w:marTop w:val="0"/>
      <w:marBottom w:val="0"/>
      <w:divBdr>
        <w:top w:val="none" w:sz="0" w:space="0" w:color="auto"/>
        <w:left w:val="none" w:sz="0" w:space="0" w:color="auto"/>
        <w:bottom w:val="none" w:sz="0" w:space="0" w:color="auto"/>
        <w:right w:val="none" w:sz="0" w:space="0" w:color="auto"/>
      </w:divBdr>
    </w:div>
    <w:div w:id="18810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yperlink" Target="mailto:Ritvars.Timermanis@varam.gov.lv"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33147" TargetMode="External"/><Relationship Id="rId1" Type="http://schemas.openxmlformats.org/officeDocument/2006/relationships/hyperlink" Target="https://ec.europa.eu/info/sites/info/files/file_import/2019-european-semester-country-report-latvia_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sm\Desktop\RPP_2021-2027\Grafikiem_2509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ivisBremsmits\Documents\Reg_pol\RPP\Jauns%20RPP\VSS_sludinasanai\Aprekini\Pievienota_vertib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ivisBremsmits\Documents\Reg_pol\RPP\Jauns%20RPP\VSS_sludinasanai\Aprekini\Kapit&#257;lie%20ieg&#363;ld&#299;jum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ivisBremsmits\Documents\Prezentacijas\Aluksne_12.11.2019\RAIM_DATU_ATLASE_LV%2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ivisBremsmits\Documents\Prezentacijas\Aluksne_12.11.2019\RAIM_DATU_ATLASE_LV_alg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100" b="0"/>
              <a:t>Reģionu IKP uz 1 iedzīvotāju pret Latvijas vidējo IKP uz 1 iedzīvotāju 2006.-2016.gads (CSP)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0477915974516456E-2"/>
          <c:y val="0.21885374242012853"/>
          <c:w val="0.59695812808270621"/>
          <c:h val="0.56413295320843515"/>
        </c:manualLayout>
      </c:layout>
      <c:barChart>
        <c:barDir val="col"/>
        <c:grouping val="clustered"/>
        <c:varyColors val="0"/>
        <c:ser>
          <c:idx val="0"/>
          <c:order val="0"/>
          <c:tx>
            <c:strRef>
              <c:f>Sheet1!$B$21</c:f>
              <c:strCache>
                <c:ptCount val="1"/>
                <c:pt idx="0">
                  <c:v>Reģionu IKP uz 1 iedz. pret Latvijas vidējo IKP uz 1 iedz. (2006.gads)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Sheet1!$A$22:$A$27</c:f>
              <c:strCache>
                <c:ptCount val="6"/>
                <c:pt idx="0">
                  <c:v>Rīgas reģions</c:v>
                </c:pt>
                <c:pt idx="1">
                  <c:v>Pierīgas reģions</c:v>
                </c:pt>
                <c:pt idx="2">
                  <c:v>Kurzemes reģions</c:v>
                </c:pt>
                <c:pt idx="3">
                  <c:v>Vidzemes reģions</c:v>
                </c:pt>
                <c:pt idx="4">
                  <c:v>Zemgales reģions</c:v>
                </c:pt>
                <c:pt idx="5">
                  <c:v>Latgales reģions</c:v>
                </c:pt>
              </c:strCache>
            </c:strRef>
          </c:cat>
          <c:val>
            <c:numRef>
              <c:f>Sheet1!$B$22:$B$27</c:f>
              <c:numCache>
                <c:formatCode>0%</c:formatCode>
                <c:ptCount val="6"/>
                <c:pt idx="0">
                  <c:v>1.7692008303061755</c:v>
                </c:pt>
                <c:pt idx="1">
                  <c:v>0.75077841203943951</c:v>
                </c:pt>
                <c:pt idx="2">
                  <c:v>0.76855215360664242</c:v>
                </c:pt>
                <c:pt idx="3">
                  <c:v>0.6063829787234043</c:v>
                </c:pt>
                <c:pt idx="4">
                  <c:v>0.60884795018162952</c:v>
                </c:pt>
                <c:pt idx="5">
                  <c:v>0.46004151530877013</c:v>
                </c:pt>
              </c:numCache>
            </c:numRef>
          </c:val>
          <c:extLst>
            <c:ext xmlns:c16="http://schemas.microsoft.com/office/drawing/2014/chart" uri="{C3380CC4-5D6E-409C-BE32-E72D297353CC}">
              <c16:uniqueId val="{00000000-8AD7-4F82-A793-2650994625C8}"/>
            </c:ext>
          </c:extLst>
        </c:ser>
        <c:ser>
          <c:idx val="1"/>
          <c:order val="1"/>
          <c:tx>
            <c:strRef>
              <c:f>Sheet1!$C$21</c:f>
              <c:strCache>
                <c:ptCount val="1"/>
                <c:pt idx="0">
                  <c:v>Reģionu IKP uz 1 iedz. pret Latvijas vidējo IKP uz 1 iedz. (2016.gads)</c:v>
                </c:pt>
              </c:strCache>
            </c:strRef>
          </c:tx>
          <c:spPr>
            <a:solidFill>
              <a:schemeClr val="accent2"/>
            </a:solidFill>
            <a:ln>
              <a:noFill/>
            </a:ln>
            <a:effectLst/>
          </c:spPr>
          <c:invertIfNegative val="0"/>
          <c:dLbls>
            <c:dLbl>
              <c:idx val="2"/>
              <c:layout>
                <c:manualLayout>
                  <c:x val="8.9156357962776808E-3"/>
                  <c:y val="3.9269585705870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D7-4F82-A793-2650994625C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Sheet1!$A$22:$A$27</c:f>
              <c:strCache>
                <c:ptCount val="6"/>
                <c:pt idx="0">
                  <c:v>Rīgas reģions</c:v>
                </c:pt>
                <c:pt idx="1">
                  <c:v>Pierīgas reģions</c:v>
                </c:pt>
                <c:pt idx="2">
                  <c:v>Kurzemes reģions</c:v>
                </c:pt>
                <c:pt idx="3">
                  <c:v>Vidzemes reģions</c:v>
                </c:pt>
                <c:pt idx="4">
                  <c:v>Zemgales reģions</c:v>
                </c:pt>
                <c:pt idx="5">
                  <c:v>Latgales reģions</c:v>
                </c:pt>
              </c:strCache>
            </c:strRef>
          </c:cat>
          <c:val>
            <c:numRef>
              <c:f>Sheet1!$C$22:$C$27</c:f>
              <c:numCache>
                <c:formatCode>0%</c:formatCode>
                <c:ptCount val="6"/>
                <c:pt idx="0">
                  <c:v>1.6494248376242273</c:v>
                </c:pt>
                <c:pt idx="1">
                  <c:v>0.81735660067297911</c:v>
                </c:pt>
                <c:pt idx="2">
                  <c:v>0.74379841928163393</c:v>
                </c:pt>
                <c:pt idx="3">
                  <c:v>0.65764144299240945</c:v>
                </c:pt>
                <c:pt idx="4">
                  <c:v>0.62962673135613112</c:v>
                </c:pt>
                <c:pt idx="5">
                  <c:v>0.50989905313404804</c:v>
                </c:pt>
              </c:numCache>
            </c:numRef>
          </c:val>
          <c:extLst>
            <c:ext xmlns:c16="http://schemas.microsoft.com/office/drawing/2014/chart" uri="{C3380CC4-5D6E-409C-BE32-E72D297353CC}">
              <c16:uniqueId val="{00000002-8AD7-4F82-A793-2650994625C8}"/>
            </c:ext>
          </c:extLst>
        </c:ser>
        <c:dLbls>
          <c:showLegendKey val="0"/>
          <c:showVal val="0"/>
          <c:showCatName val="0"/>
          <c:showSerName val="0"/>
          <c:showPercent val="0"/>
          <c:showBubbleSize val="0"/>
        </c:dLbls>
        <c:gapWidth val="150"/>
        <c:axId val="467433392"/>
        <c:axId val="467433720"/>
      </c:barChart>
      <c:lineChart>
        <c:grouping val="standard"/>
        <c:varyColors val="0"/>
        <c:ser>
          <c:idx val="2"/>
          <c:order val="2"/>
          <c:tx>
            <c:strRef>
              <c:f>Sheet1!$D$21</c:f>
              <c:strCache>
                <c:ptCount val="1"/>
                <c:pt idx="0">
                  <c:v>Pieaugums pret  Latvijas vidējo IKP uz 1 iedz. (2006.-2016.)</c:v>
                </c:pt>
              </c:strCache>
            </c:strRef>
          </c:tx>
          <c:spPr>
            <a:ln w="28575" cap="rnd">
              <a:solidFill>
                <a:srgbClr val="00B050"/>
              </a:solidFill>
              <a:round/>
            </a:ln>
            <a:effectLst/>
          </c:spPr>
          <c:marker>
            <c:symbol val="none"/>
          </c:marker>
          <c:dLbls>
            <c:dLbl>
              <c:idx val="2"/>
              <c:layout>
                <c:manualLayout>
                  <c:x val="-2.3955155053963291E-2"/>
                  <c:y val="-0.1067053590616115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D7-4F82-A793-2650994625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Sheet1!$A$22:$A$27</c:f>
              <c:strCache>
                <c:ptCount val="6"/>
                <c:pt idx="0">
                  <c:v>Rīgas reģions</c:v>
                </c:pt>
                <c:pt idx="1">
                  <c:v>Pierīgas reģions</c:v>
                </c:pt>
                <c:pt idx="2">
                  <c:v>Kurzemes reģions</c:v>
                </c:pt>
                <c:pt idx="3">
                  <c:v>Vidzemes reģions</c:v>
                </c:pt>
                <c:pt idx="4">
                  <c:v>Zemgales reģions</c:v>
                </c:pt>
                <c:pt idx="5">
                  <c:v>Latgales reģions</c:v>
                </c:pt>
              </c:strCache>
            </c:strRef>
          </c:cat>
          <c:val>
            <c:numRef>
              <c:f>Sheet1!$D$22:$D$27</c:f>
              <c:numCache>
                <c:formatCode>0%</c:formatCode>
                <c:ptCount val="6"/>
                <c:pt idx="0">
                  <c:v>0.93279999999999996</c:v>
                </c:pt>
                <c:pt idx="1">
                  <c:v>1.0892999999999999</c:v>
                </c:pt>
                <c:pt idx="2">
                  <c:v>0.96830000000000005</c:v>
                </c:pt>
                <c:pt idx="3">
                  <c:v>1.0851</c:v>
                </c:pt>
                <c:pt idx="4">
                  <c:v>1.0347</c:v>
                </c:pt>
                <c:pt idx="5">
                  <c:v>1.109</c:v>
                </c:pt>
              </c:numCache>
            </c:numRef>
          </c:val>
          <c:smooth val="0"/>
          <c:extLst>
            <c:ext xmlns:c16="http://schemas.microsoft.com/office/drawing/2014/chart" uri="{C3380CC4-5D6E-409C-BE32-E72D297353CC}">
              <c16:uniqueId val="{00000004-8AD7-4F82-A793-2650994625C8}"/>
            </c:ext>
          </c:extLst>
        </c:ser>
        <c:ser>
          <c:idx val="3"/>
          <c:order val="3"/>
          <c:tx>
            <c:strRef>
              <c:f>Sheet1!$E$21</c:f>
              <c:strCache>
                <c:ptCount val="1"/>
                <c:pt idx="0">
                  <c:v>Latvijas vidējais IKP uz 1 iedz.</c:v>
                </c:pt>
              </c:strCache>
            </c:strRef>
          </c:tx>
          <c:spPr>
            <a:ln w="28575" cap="rnd">
              <a:solidFill>
                <a:schemeClr val="accent4"/>
              </a:solidFill>
              <a:round/>
            </a:ln>
            <a:effectLst/>
          </c:spPr>
          <c:marker>
            <c:symbol val="none"/>
          </c:marker>
          <c:cat>
            <c:strRef>
              <c:f>Sheet1!$A$22:$A$27</c:f>
              <c:strCache>
                <c:ptCount val="6"/>
                <c:pt idx="0">
                  <c:v>Rīgas reģions</c:v>
                </c:pt>
                <c:pt idx="1">
                  <c:v>Pierīgas reģions</c:v>
                </c:pt>
                <c:pt idx="2">
                  <c:v>Kurzemes reģions</c:v>
                </c:pt>
                <c:pt idx="3">
                  <c:v>Vidzemes reģions</c:v>
                </c:pt>
                <c:pt idx="4">
                  <c:v>Zemgales reģions</c:v>
                </c:pt>
                <c:pt idx="5">
                  <c:v>Latgales reģions</c:v>
                </c:pt>
              </c:strCache>
            </c:strRef>
          </c:cat>
          <c:val>
            <c:numRef>
              <c:f>Sheet1!$E$22:$E$27</c:f>
              <c:numCache>
                <c:formatCode>0%</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5-8AD7-4F82-A793-2650994625C8}"/>
            </c:ext>
          </c:extLst>
        </c:ser>
        <c:dLbls>
          <c:showLegendKey val="0"/>
          <c:showVal val="0"/>
          <c:showCatName val="0"/>
          <c:showSerName val="0"/>
          <c:showPercent val="0"/>
          <c:showBubbleSize val="0"/>
        </c:dLbls>
        <c:marker val="1"/>
        <c:smooth val="0"/>
        <c:axId val="467443888"/>
        <c:axId val="467439952"/>
      </c:lineChart>
      <c:catAx>
        <c:axId val="46743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67433720"/>
        <c:crosses val="autoZero"/>
        <c:auto val="1"/>
        <c:lblAlgn val="ctr"/>
        <c:lblOffset val="100"/>
        <c:noMultiLvlLbl val="0"/>
      </c:catAx>
      <c:valAx>
        <c:axId val="467433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67433392"/>
        <c:crosses val="autoZero"/>
        <c:crossBetween val="between"/>
      </c:valAx>
      <c:valAx>
        <c:axId val="467439952"/>
        <c:scaling>
          <c:orientation val="minMax"/>
          <c:min val="0.85000000000000009"/>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67443888"/>
        <c:crosses val="max"/>
        <c:crossBetween val="between"/>
      </c:valAx>
      <c:catAx>
        <c:axId val="467443888"/>
        <c:scaling>
          <c:orientation val="minMax"/>
        </c:scaling>
        <c:delete val="1"/>
        <c:axPos val="b"/>
        <c:numFmt formatCode="General" sourceLinked="1"/>
        <c:majorTickMark val="none"/>
        <c:minorTickMark val="none"/>
        <c:tickLblPos val="nextTo"/>
        <c:crossAx val="467439952"/>
        <c:crosses val="autoZero"/>
        <c:auto val="1"/>
        <c:lblAlgn val="ctr"/>
        <c:lblOffset val="100"/>
        <c:noMultiLvlLbl val="0"/>
      </c:catAx>
      <c:spPr>
        <a:noFill/>
        <a:ln>
          <a:noFill/>
        </a:ln>
        <a:effectLst/>
      </c:spPr>
    </c:plotArea>
    <c:legend>
      <c:legendPos val="r"/>
      <c:layout>
        <c:manualLayout>
          <c:xMode val="edge"/>
          <c:yMode val="edge"/>
          <c:x val="0.73999084226621226"/>
          <c:y val="0.16567096106899848"/>
          <c:w val="0.23840197545400282"/>
          <c:h val="0.83357420747938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Pievienotā vērtība reģionos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7090008220364797E-2"/>
          <c:y val="0.14812300319488819"/>
          <c:w val="0.53783166165116869"/>
          <c:h val="0.62744113355638853"/>
        </c:manualLayout>
      </c:layout>
      <c:barChart>
        <c:barDir val="col"/>
        <c:grouping val="clustered"/>
        <c:varyColors val="0"/>
        <c:ser>
          <c:idx val="0"/>
          <c:order val="0"/>
          <c:tx>
            <c:strRef>
              <c:f>'SBG050'!$AF$14</c:f>
              <c:strCache>
                <c:ptCount val="1"/>
                <c:pt idx="0">
                  <c:v>Kapitālie iegūldījumi uz nodarbināto</c:v>
                </c:pt>
              </c:strCache>
            </c:strRef>
          </c:tx>
          <c:spPr>
            <a:solidFill>
              <a:schemeClr val="accent1"/>
            </a:solidFill>
            <a:ln>
              <a:noFill/>
            </a:ln>
            <a:effectLst/>
          </c:spPr>
          <c:invertIfNegative val="0"/>
          <c:dLbls>
            <c:delete val="1"/>
          </c:dLbls>
          <c:cat>
            <c:strRef>
              <c:f>'SBG050'!$AE$15:$AE$20</c:f>
              <c:strCache>
                <c:ptCount val="6"/>
                <c:pt idx="0">
                  <c:v>Rīgas reģions</c:v>
                </c:pt>
                <c:pt idx="1">
                  <c:v>Pierīgas reģions</c:v>
                </c:pt>
                <c:pt idx="2">
                  <c:v>Zemgales reģions</c:v>
                </c:pt>
                <c:pt idx="3">
                  <c:v>Vidzemes reģions</c:v>
                </c:pt>
                <c:pt idx="4">
                  <c:v>Kurzemes reģions</c:v>
                </c:pt>
                <c:pt idx="5">
                  <c:v>Latgales reģions</c:v>
                </c:pt>
              </c:strCache>
            </c:strRef>
          </c:cat>
          <c:val>
            <c:numRef>
              <c:f>'SBG050'!$AF$15:$AF$20</c:f>
              <c:numCache>
                <c:formatCode>0%</c:formatCode>
                <c:ptCount val="6"/>
                <c:pt idx="0">
                  <c:v>1.0007436404048515</c:v>
                </c:pt>
                <c:pt idx="1">
                  <c:v>1.1599867437188012</c:v>
                </c:pt>
                <c:pt idx="2">
                  <c:v>0.74348637282604135</c:v>
                </c:pt>
                <c:pt idx="3">
                  <c:v>0.69043655839401996</c:v>
                </c:pt>
                <c:pt idx="4">
                  <c:v>0.81711963314456149</c:v>
                </c:pt>
                <c:pt idx="5">
                  <c:v>0.53485378994995758</c:v>
                </c:pt>
              </c:numCache>
            </c:numRef>
          </c:val>
          <c:extLst>
            <c:ext xmlns:c16="http://schemas.microsoft.com/office/drawing/2014/chart" uri="{C3380CC4-5D6E-409C-BE32-E72D297353CC}">
              <c16:uniqueId val="{00000000-0AC4-4844-A933-E0B2A37CFCA8}"/>
            </c:ext>
          </c:extLst>
        </c:ser>
        <c:ser>
          <c:idx val="1"/>
          <c:order val="1"/>
          <c:tx>
            <c:strRef>
              <c:f>'SBG050'!$AG$14</c:f>
              <c:strCache>
                <c:ptCount val="1"/>
                <c:pt idx="0">
                  <c:v>Personāla izmaksas  uz nodarbināto</c:v>
                </c:pt>
              </c:strCache>
            </c:strRef>
          </c:tx>
          <c:spPr>
            <a:solidFill>
              <a:schemeClr val="accent2"/>
            </a:solidFill>
            <a:ln>
              <a:noFill/>
            </a:ln>
            <a:effectLst/>
          </c:spPr>
          <c:invertIfNegative val="0"/>
          <c:dLbls>
            <c:delete val="1"/>
          </c:dLbls>
          <c:cat>
            <c:strRef>
              <c:f>'SBG050'!$AE$15:$AE$20</c:f>
              <c:strCache>
                <c:ptCount val="6"/>
                <c:pt idx="0">
                  <c:v>Rīgas reģions</c:v>
                </c:pt>
                <c:pt idx="1">
                  <c:v>Pierīgas reģions</c:v>
                </c:pt>
                <c:pt idx="2">
                  <c:v>Zemgales reģions</c:v>
                </c:pt>
                <c:pt idx="3">
                  <c:v>Vidzemes reģions</c:v>
                </c:pt>
                <c:pt idx="4">
                  <c:v>Kurzemes reģions</c:v>
                </c:pt>
                <c:pt idx="5">
                  <c:v>Latgales reģions</c:v>
                </c:pt>
              </c:strCache>
            </c:strRef>
          </c:cat>
          <c:val>
            <c:numRef>
              <c:f>'SBG050'!$AG$15:$AG$20</c:f>
              <c:numCache>
                <c:formatCode>0%</c:formatCode>
                <c:ptCount val="6"/>
                <c:pt idx="0">
                  <c:v>1.0002632739619537</c:v>
                </c:pt>
                <c:pt idx="1">
                  <c:v>0.9095266878153847</c:v>
                </c:pt>
                <c:pt idx="2">
                  <c:v>0.79069132009038057</c:v>
                </c:pt>
                <c:pt idx="3">
                  <c:v>0.77515368690955322</c:v>
                </c:pt>
                <c:pt idx="4">
                  <c:v>0.71439250930342446</c:v>
                </c:pt>
                <c:pt idx="5">
                  <c:v>0.57522488543160999</c:v>
                </c:pt>
              </c:numCache>
            </c:numRef>
          </c:val>
          <c:extLst>
            <c:ext xmlns:c16="http://schemas.microsoft.com/office/drawing/2014/chart" uri="{C3380CC4-5D6E-409C-BE32-E72D297353CC}">
              <c16:uniqueId val="{00000001-0AC4-4844-A933-E0B2A37CFCA8}"/>
            </c:ext>
          </c:extLst>
        </c:ser>
        <c:dLbls>
          <c:showLegendKey val="0"/>
          <c:showVal val="1"/>
          <c:showCatName val="0"/>
          <c:showSerName val="0"/>
          <c:showPercent val="0"/>
          <c:showBubbleSize val="0"/>
        </c:dLbls>
        <c:gapWidth val="219"/>
        <c:axId val="126405528"/>
        <c:axId val="126447240"/>
      </c:barChart>
      <c:lineChart>
        <c:grouping val="standard"/>
        <c:varyColors val="0"/>
        <c:ser>
          <c:idx val="2"/>
          <c:order val="2"/>
          <c:tx>
            <c:strRef>
              <c:f>'SBG050'!$AH$14</c:f>
              <c:strCache>
                <c:ptCount val="1"/>
                <c:pt idx="0">
                  <c:v>Atdeve - pievienotā vērtība uz 1 euro personāla izmaksām</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'SBG050'!$AE$15:$AE$20</c:f>
              <c:strCache>
                <c:ptCount val="6"/>
                <c:pt idx="0">
                  <c:v>Rīgas reģions</c:v>
                </c:pt>
                <c:pt idx="1">
                  <c:v>Pierīgas reģions</c:v>
                </c:pt>
                <c:pt idx="2">
                  <c:v>Zemgales reģions</c:v>
                </c:pt>
                <c:pt idx="3">
                  <c:v>Vidzemes reģions</c:v>
                </c:pt>
                <c:pt idx="4">
                  <c:v>Kurzemes reģions</c:v>
                </c:pt>
                <c:pt idx="5">
                  <c:v>Latgales reģions</c:v>
                </c:pt>
              </c:strCache>
            </c:strRef>
          </c:cat>
          <c:val>
            <c:numRef>
              <c:f>'SBG050'!$AH$15:$AH$20</c:f>
              <c:numCache>
                <c:formatCode>0.0</c:formatCode>
                <c:ptCount val="6"/>
                <c:pt idx="0">
                  <c:v>1.8787947577301038</c:v>
                </c:pt>
                <c:pt idx="1">
                  <c:v>1.658840335388847</c:v>
                </c:pt>
                <c:pt idx="2">
                  <c:v>1.8344241772112608</c:v>
                </c:pt>
                <c:pt idx="3">
                  <c:v>1.7296419410989583</c:v>
                </c:pt>
                <c:pt idx="4">
                  <c:v>1.7594088631046205</c:v>
                </c:pt>
                <c:pt idx="5">
                  <c:v>1.7067650079782295</c:v>
                </c:pt>
              </c:numCache>
            </c:numRef>
          </c:val>
          <c:smooth val="0"/>
          <c:extLst>
            <c:ext xmlns:c16="http://schemas.microsoft.com/office/drawing/2014/chart" uri="{C3380CC4-5D6E-409C-BE32-E72D297353CC}">
              <c16:uniqueId val="{00000002-0AC4-4844-A933-E0B2A37CFCA8}"/>
            </c:ext>
          </c:extLst>
        </c:ser>
        <c:ser>
          <c:idx val="3"/>
          <c:order val="3"/>
          <c:tx>
            <c:strRef>
              <c:f>'SBG050'!$AI$14</c:f>
              <c:strCache>
                <c:ptCount val="1"/>
                <c:pt idx="0">
                  <c:v>Atdeve - pievienotā vērtība  uz 1 euro kapitāliem iegūldījumiem</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'SBG050'!$AE$15:$AE$20</c:f>
              <c:strCache>
                <c:ptCount val="6"/>
                <c:pt idx="0">
                  <c:v>Rīgas reģions</c:v>
                </c:pt>
                <c:pt idx="1">
                  <c:v>Pierīgas reģions</c:v>
                </c:pt>
                <c:pt idx="2">
                  <c:v>Zemgales reģions</c:v>
                </c:pt>
                <c:pt idx="3">
                  <c:v>Vidzemes reģions</c:v>
                </c:pt>
                <c:pt idx="4">
                  <c:v>Kurzemes reģions</c:v>
                </c:pt>
                <c:pt idx="5">
                  <c:v>Latgales reģions</c:v>
                </c:pt>
              </c:strCache>
            </c:strRef>
          </c:cat>
          <c:val>
            <c:numRef>
              <c:f>'SBG050'!$AI$15:$AI$20</c:f>
              <c:numCache>
                <c:formatCode>0.0</c:formatCode>
                <c:ptCount val="6"/>
                <c:pt idx="0">
                  <c:v>3.2188303655753927</c:v>
                </c:pt>
                <c:pt idx="1">
                  <c:v>2.3845610311692487</c:v>
                </c:pt>
                <c:pt idx="2">
                  <c:v>3.5766394203225991</c:v>
                </c:pt>
                <c:pt idx="3">
                  <c:v>3.5600957648069915</c:v>
                </c:pt>
                <c:pt idx="4">
                  <c:v>2.8200671965737132</c:v>
                </c:pt>
                <c:pt idx="5">
                  <c:v>3.365253261990524</c:v>
                </c:pt>
              </c:numCache>
            </c:numRef>
          </c:val>
          <c:smooth val="0"/>
          <c:extLst>
            <c:ext xmlns:c16="http://schemas.microsoft.com/office/drawing/2014/chart" uri="{C3380CC4-5D6E-409C-BE32-E72D297353CC}">
              <c16:uniqueId val="{00000003-0AC4-4844-A933-E0B2A37CFCA8}"/>
            </c:ext>
          </c:extLst>
        </c:ser>
        <c:dLbls>
          <c:showLegendKey val="0"/>
          <c:showVal val="1"/>
          <c:showCatName val="0"/>
          <c:showSerName val="0"/>
          <c:showPercent val="0"/>
          <c:showBubbleSize val="0"/>
        </c:dLbls>
        <c:marker val="1"/>
        <c:smooth val="0"/>
        <c:axId val="126458248"/>
        <c:axId val="126447624"/>
      </c:lineChart>
      <c:catAx>
        <c:axId val="12640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447240"/>
        <c:crosses val="autoZero"/>
        <c:auto val="1"/>
        <c:lblAlgn val="ctr"/>
        <c:lblOffset val="100"/>
        <c:noMultiLvlLbl val="0"/>
      </c:catAx>
      <c:valAx>
        <c:axId val="126447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405528"/>
        <c:crosses val="autoZero"/>
        <c:crossBetween val="between"/>
      </c:valAx>
      <c:valAx>
        <c:axId val="12644762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458248"/>
        <c:crosses val="max"/>
        <c:crossBetween val="between"/>
      </c:valAx>
      <c:catAx>
        <c:axId val="126458248"/>
        <c:scaling>
          <c:orientation val="minMax"/>
        </c:scaling>
        <c:delete val="1"/>
        <c:axPos val="b"/>
        <c:numFmt formatCode="General" sourceLinked="1"/>
        <c:majorTickMark val="out"/>
        <c:minorTickMark val="none"/>
        <c:tickLblPos val="nextTo"/>
        <c:crossAx val="126447624"/>
        <c:crosses val="autoZero"/>
        <c:auto val="1"/>
        <c:lblAlgn val="ctr"/>
        <c:lblOffset val="100"/>
        <c:noMultiLvlLbl val="0"/>
      </c:catAx>
      <c:spPr>
        <a:noFill/>
        <a:ln>
          <a:noFill/>
        </a:ln>
        <a:effectLst/>
      </c:spPr>
    </c:plotArea>
    <c:legend>
      <c:legendPos val="b"/>
      <c:layout>
        <c:manualLayout>
          <c:xMode val="edge"/>
          <c:yMode val="edge"/>
          <c:x val="0.64774408710982556"/>
          <c:y val="0.18130801740836705"/>
          <c:w val="0.35052642452324922"/>
          <c:h val="0.646966742975019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a:t>Kapitālie iegūldījumi rūpniecībā, IKT un pakalpojumu nozarē (2018.g.) </a:t>
            </a:r>
          </a:p>
        </c:rich>
      </c:tx>
      <c:layout>
        <c:manualLayout>
          <c:xMode val="edge"/>
          <c:yMode val="edge"/>
          <c:x val="0.13130098754830399"/>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170098834526592E-2"/>
          <c:y val="0.26036329762459243"/>
          <c:w val="0.36172022684310023"/>
          <c:h val="0.7023754075454121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51-4C95-91A9-3ACBE048BD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51-4C95-91A9-3ACBE048BD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51-4C95-91A9-3ACBE048BD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51-4C95-91A9-3ACBE048BDBE}"/>
              </c:ext>
            </c:extLst>
          </c:dPt>
          <c:dLbls>
            <c:dLbl>
              <c:idx val="0"/>
              <c:layout>
                <c:manualLayout>
                  <c:x val="-1.161746956383565E-2"/>
                  <c:y val="-4.45477682327120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51-4C95-91A9-3ACBE048BDB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IV030c!$J$11:$M$11</c:f>
              <c:strCache>
                <c:ptCount val="4"/>
                <c:pt idx="0">
                  <c:v>..Bruto kapitālieguldījumi  zemesgabalos</c:v>
                </c:pt>
                <c:pt idx="1">
                  <c:v>..Bruto kapitālieguldījumi  esošajās ēkās un konstrukcijās, ēku būvniecībā un pārbūvē</c:v>
                </c:pt>
                <c:pt idx="2">
                  <c:v>..Bruto kapitālieguldījumi  mašīnās un iekārtās</c:v>
                </c:pt>
                <c:pt idx="3">
                  <c:v>..Bruto kapitālieguldījumi pārējos pamatlīdzekļos</c:v>
                </c:pt>
              </c:strCache>
            </c:strRef>
          </c:cat>
          <c:val>
            <c:numRef>
              <c:f>IV030c!$J$12:$M$12</c:f>
              <c:numCache>
                <c:formatCode>0%</c:formatCode>
                <c:ptCount val="4"/>
                <c:pt idx="0">
                  <c:v>2.6661468193109078E-2</c:v>
                </c:pt>
                <c:pt idx="1">
                  <c:v>0.38732993909561791</c:v>
                </c:pt>
                <c:pt idx="2">
                  <c:v>0.44914430789990301</c:v>
                </c:pt>
                <c:pt idx="3">
                  <c:v>0.13686047733561985</c:v>
                </c:pt>
              </c:numCache>
            </c:numRef>
          </c:val>
          <c:extLst>
            <c:ext xmlns:c16="http://schemas.microsoft.com/office/drawing/2014/chart" uri="{C3380CC4-5D6E-409C-BE32-E72D297353CC}">
              <c16:uniqueId val="{00000008-C351-4C95-91A9-3ACBE048BDB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0167605981412047"/>
          <c:y val="0.20323134532349277"/>
          <c:w val="0.58728020204000908"/>
          <c:h val="0.75247778052010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Bezdarbs 2019.gads (RAIM)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Grafiki_Centri!$C$44</c:f>
              <c:strCache>
                <c:ptCount val="1"/>
                <c:pt idx="0">
                  <c:v>Bezdarba līmenis (%, NVA)</c:v>
                </c:pt>
              </c:strCache>
            </c:strRef>
          </c:tx>
          <c:spPr>
            <a:solidFill>
              <a:schemeClr val="accent1"/>
            </a:solidFill>
            <a:ln>
              <a:noFill/>
            </a:ln>
            <a:effectLst/>
          </c:spPr>
          <c:invertIfNegative val="0"/>
          <c:cat>
            <c:strRef>
              <c:f>Grafiki_Centri!$B$45:$B$51</c:f>
              <c:strCache>
                <c:ptCount val="7"/>
                <c:pt idx="0">
                  <c:v>Alūksnes novads</c:v>
                </c:pt>
                <c:pt idx="1">
                  <c:v>Madonas novads</c:v>
                </c:pt>
                <c:pt idx="2">
                  <c:v>Valkas novads</c:v>
                </c:pt>
                <c:pt idx="3">
                  <c:v>Gulbenes novads</c:v>
                </c:pt>
                <c:pt idx="4">
                  <c:v>Cēsu novads</c:v>
                </c:pt>
                <c:pt idx="5">
                  <c:v>Valmiera</c:v>
                </c:pt>
                <c:pt idx="6">
                  <c:v>Smiltenes novads</c:v>
                </c:pt>
              </c:strCache>
            </c:strRef>
          </c:cat>
          <c:val>
            <c:numRef>
              <c:f>Grafiki_Centri!$C$45:$C$51</c:f>
              <c:numCache>
                <c:formatCode>0.00%</c:formatCode>
                <c:ptCount val="7"/>
                <c:pt idx="0">
                  <c:v>8.1000000000000003E-2</c:v>
                </c:pt>
                <c:pt idx="1">
                  <c:v>7.1999999999999995E-2</c:v>
                </c:pt>
                <c:pt idx="2">
                  <c:v>0.06</c:v>
                </c:pt>
                <c:pt idx="3">
                  <c:v>5.8000000000000003E-2</c:v>
                </c:pt>
                <c:pt idx="4">
                  <c:v>4.2999999999999997E-2</c:v>
                </c:pt>
                <c:pt idx="5">
                  <c:v>2.9000000000000001E-2</c:v>
                </c:pt>
                <c:pt idx="6">
                  <c:v>2.7E-2</c:v>
                </c:pt>
              </c:numCache>
            </c:numRef>
          </c:val>
          <c:extLst>
            <c:ext xmlns:c16="http://schemas.microsoft.com/office/drawing/2014/chart" uri="{C3380CC4-5D6E-409C-BE32-E72D297353CC}">
              <c16:uniqueId val="{00000000-3AF3-4F58-99A9-1DB118F6948D}"/>
            </c:ext>
          </c:extLst>
        </c:ser>
        <c:dLbls>
          <c:showLegendKey val="0"/>
          <c:showVal val="0"/>
          <c:showCatName val="0"/>
          <c:showSerName val="0"/>
          <c:showPercent val="0"/>
          <c:showBubbleSize val="0"/>
        </c:dLbls>
        <c:gapWidth val="219"/>
        <c:axId val="126976352"/>
        <c:axId val="126814800"/>
      </c:barChart>
      <c:lineChart>
        <c:grouping val="standard"/>
        <c:varyColors val="0"/>
        <c:ser>
          <c:idx val="1"/>
          <c:order val="1"/>
          <c:tx>
            <c:strRef>
              <c:f>Grafiki_Centri!$D$44</c:f>
              <c:strCache>
                <c:ptCount val="1"/>
                <c:pt idx="0">
                  <c:v>Bezdarbs Rīgā</c:v>
                </c:pt>
              </c:strCache>
            </c:strRef>
          </c:tx>
          <c:spPr>
            <a:ln w="28575" cap="rnd">
              <a:solidFill>
                <a:schemeClr val="accent2"/>
              </a:solidFill>
              <a:round/>
            </a:ln>
            <a:effectLst/>
          </c:spPr>
          <c:marker>
            <c:symbol val="none"/>
          </c:marker>
          <c:cat>
            <c:strRef>
              <c:f>Grafiki_Centri!$B$45:$B$51</c:f>
              <c:strCache>
                <c:ptCount val="7"/>
                <c:pt idx="0">
                  <c:v>Alūksnes novads</c:v>
                </c:pt>
                <c:pt idx="1">
                  <c:v>Madonas novads</c:v>
                </c:pt>
                <c:pt idx="2">
                  <c:v>Valkas novads</c:v>
                </c:pt>
                <c:pt idx="3">
                  <c:v>Gulbenes novads</c:v>
                </c:pt>
                <c:pt idx="4">
                  <c:v>Cēsu novads</c:v>
                </c:pt>
                <c:pt idx="5">
                  <c:v>Valmiera</c:v>
                </c:pt>
                <c:pt idx="6">
                  <c:v>Smiltenes novads</c:v>
                </c:pt>
              </c:strCache>
            </c:strRef>
          </c:cat>
          <c:val>
            <c:numRef>
              <c:f>Grafiki_Centri!$D$45:$D$51</c:f>
              <c:numCache>
                <c:formatCode>General</c:formatCode>
                <c:ptCount val="7"/>
                <c:pt idx="0">
                  <c:v>3.2000000000000001E-2</c:v>
                </c:pt>
                <c:pt idx="1">
                  <c:v>3.2000000000000001E-2</c:v>
                </c:pt>
                <c:pt idx="2">
                  <c:v>3.2000000000000001E-2</c:v>
                </c:pt>
                <c:pt idx="3">
                  <c:v>3.2000000000000001E-2</c:v>
                </c:pt>
                <c:pt idx="4">
                  <c:v>3.2000000000000001E-2</c:v>
                </c:pt>
                <c:pt idx="5">
                  <c:v>3.2000000000000001E-2</c:v>
                </c:pt>
                <c:pt idx="6">
                  <c:v>3.2000000000000001E-2</c:v>
                </c:pt>
              </c:numCache>
            </c:numRef>
          </c:val>
          <c:smooth val="0"/>
          <c:extLst>
            <c:ext xmlns:c16="http://schemas.microsoft.com/office/drawing/2014/chart" uri="{C3380CC4-5D6E-409C-BE32-E72D297353CC}">
              <c16:uniqueId val="{00000001-3AF3-4F58-99A9-1DB118F6948D}"/>
            </c:ext>
          </c:extLst>
        </c:ser>
        <c:dLbls>
          <c:showLegendKey val="0"/>
          <c:showVal val="0"/>
          <c:showCatName val="0"/>
          <c:showSerName val="0"/>
          <c:showPercent val="0"/>
          <c:showBubbleSize val="0"/>
        </c:dLbls>
        <c:marker val="1"/>
        <c:smooth val="0"/>
        <c:axId val="126976352"/>
        <c:axId val="126814800"/>
      </c:lineChart>
      <c:catAx>
        <c:axId val="1269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26814800"/>
        <c:crosses val="autoZero"/>
        <c:auto val="1"/>
        <c:lblAlgn val="ctr"/>
        <c:lblOffset val="100"/>
        <c:noMultiLvlLbl val="0"/>
      </c:catAx>
      <c:valAx>
        <c:axId val="126814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97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Iedzīvotāju skaita izmaiņas 2018.-2019.gads (RAIM)</a:t>
            </a:r>
          </a:p>
        </c:rich>
      </c:tx>
      <c:layout>
        <c:manualLayout>
          <c:xMode val="edge"/>
          <c:yMode val="edge"/>
          <c:x val="0.1568611467619410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101181102362205"/>
          <c:y val="0.2056505665450355"/>
          <c:w val="0.8612104111986002"/>
          <c:h val="0.59414538121759175"/>
        </c:manualLayout>
      </c:layout>
      <c:barChart>
        <c:barDir val="col"/>
        <c:grouping val="clustered"/>
        <c:varyColors val="0"/>
        <c:ser>
          <c:idx val="0"/>
          <c:order val="0"/>
          <c:tx>
            <c:strRef>
              <c:f>Grafiki_Centri!$H$53</c:f>
              <c:strCache>
                <c:ptCount val="1"/>
                <c:pt idx="0">
                  <c:v>Iedzīvotāju skaita izmaiņas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Grafiki_Centri!$G$54:$G$56</c:f>
              <c:strCache>
                <c:ptCount val="3"/>
                <c:pt idx="0">
                  <c:v>Cēsu novads</c:v>
                </c:pt>
                <c:pt idx="1">
                  <c:v>Smiltenes novads</c:v>
                </c:pt>
                <c:pt idx="2">
                  <c:v>Valmiera</c:v>
                </c:pt>
              </c:strCache>
            </c:strRef>
          </c:cat>
          <c:val>
            <c:numRef>
              <c:f>Grafiki_Centri!$H$54:$H$56</c:f>
              <c:numCache>
                <c:formatCode>0.00%</c:formatCode>
                <c:ptCount val="3"/>
                <c:pt idx="0">
                  <c:v>-6.8392769907181204E-3</c:v>
                </c:pt>
                <c:pt idx="1">
                  <c:v>-5.0035180986631204E-3</c:v>
                </c:pt>
                <c:pt idx="2">
                  <c:v>4.46572256195687E-3</c:v>
                </c:pt>
              </c:numCache>
            </c:numRef>
          </c:val>
          <c:extLst>
            <c:ext xmlns:c16="http://schemas.microsoft.com/office/drawing/2014/chart" uri="{C3380CC4-5D6E-409C-BE32-E72D297353CC}">
              <c16:uniqueId val="{00000000-C945-495E-AFB5-5A77B67FFA14}"/>
            </c:ext>
          </c:extLst>
        </c:ser>
        <c:dLbls>
          <c:showLegendKey val="0"/>
          <c:showVal val="1"/>
          <c:showCatName val="0"/>
          <c:showSerName val="0"/>
          <c:showPercent val="0"/>
          <c:showBubbleSize val="0"/>
        </c:dLbls>
        <c:gapWidth val="219"/>
        <c:axId val="126815584"/>
        <c:axId val="126815976"/>
      </c:barChart>
      <c:lineChart>
        <c:grouping val="standard"/>
        <c:varyColors val="0"/>
        <c:ser>
          <c:idx val="1"/>
          <c:order val="1"/>
          <c:tx>
            <c:strRef>
              <c:f>Grafiki_Centri!$I$53</c:f>
              <c:strCache>
                <c:ptCount val="1"/>
                <c:pt idx="0">
                  <c:v>Rīgas iedzīvotāju skaita izmaiņas </c:v>
                </c:pt>
              </c:strCache>
            </c:strRef>
          </c:tx>
          <c:spPr>
            <a:ln w="28575" cap="rnd">
              <a:solidFill>
                <a:schemeClr val="accent2"/>
              </a:solidFill>
              <a:round/>
            </a:ln>
            <a:effectLst/>
          </c:spPr>
          <c:marker>
            <c:symbol val="none"/>
          </c:marker>
          <c:dLbls>
            <c:delete val="1"/>
          </c:dLbls>
          <c:cat>
            <c:strRef>
              <c:f>Grafiki_Centri!$G$54:$G$56</c:f>
              <c:strCache>
                <c:ptCount val="3"/>
                <c:pt idx="0">
                  <c:v>Cēsu novads</c:v>
                </c:pt>
                <c:pt idx="1">
                  <c:v>Smiltenes novads</c:v>
                </c:pt>
                <c:pt idx="2">
                  <c:v>Valmiera</c:v>
                </c:pt>
              </c:strCache>
            </c:strRef>
          </c:cat>
          <c:val>
            <c:numRef>
              <c:f>Grafiki_Centri!$I$54:$I$56</c:f>
              <c:numCache>
                <c:formatCode>0.00%</c:formatCode>
                <c:ptCount val="3"/>
                <c:pt idx="0">
                  <c:v>-5.8011822030513598E-3</c:v>
                </c:pt>
                <c:pt idx="1">
                  <c:v>-5.8011822030513598E-3</c:v>
                </c:pt>
                <c:pt idx="2">
                  <c:v>-5.8011822030513598E-3</c:v>
                </c:pt>
              </c:numCache>
            </c:numRef>
          </c:val>
          <c:smooth val="0"/>
          <c:extLst>
            <c:ext xmlns:c16="http://schemas.microsoft.com/office/drawing/2014/chart" uri="{C3380CC4-5D6E-409C-BE32-E72D297353CC}">
              <c16:uniqueId val="{00000001-C945-495E-AFB5-5A77B67FFA14}"/>
            </c:ext>
          </c:extLst>
        </c:ser>
        <c:ser>
          <c:idx val="2"/>
          <c:order val="2"/>
          <c:tx>
            <c:strRef>
              <c:f>Grafiki_Centri!$J$53</c:f>
              <c:strCache>
                <c:ptCount val="1"/>
                <c:pt idx="0">
                  <c:v>Latvijā iedzīvotāju skaita izmaiņas</c:v>
                </c:pt>
              </c:strCache>
            </c:strRef>
          </c:tx>
          <c:spPr>
            <a:ln w="28575" cap="rnd">
              <a:solidFill>
                <a:schemeClr val="accent3"/>
              </a:solidFill>
              <a:round/>
            </a:ln>
            <a:effectLst/>
          </c:spPr>
          <c:marker>
            <c:symbol val="none"/>
          </c:marker>
          <c:dLbls>
            <c:delete val="1"/>
          </c:dLbls>
          <c:cat>
            <c:strRef>
              <c:f>Grafiki_Centri!$G$54:$G$56</c:f>
              <c:strCache>
                <c:ptCount val="3"/>
                <c:pt idx="0">
                  <c:v>Cēsu novads</c:v>
                </c:pt>
                <c:pt idx="1">
                  <c:v>Smiltenes novads</c:v>
                </c:pt>
                <c:pt idx="2">
                  <c:v>Valmiera</c:v>
                </c:pt>
              </c:strCache>
            </c:strRef>
          </c:cat>
          <c:val>
            <c:numRef>
              <c:f>Grafiki_Centri!$J$54:$J$56</c:f>
              <c:numCache>
                <c:formatCode>0.00%</c:formatCode>
                <c:ptCount val="3"/>
                <c:pt idx="0">
                  <c:v>-7.4000000000000003E-3</c:v>
                </c:pt>
                <c:pt idx="1">
                  <c:v>-7.4000000000000003E-3</c:v>
                </c:pt>
                <c:pt idx="2">
                  <c:v>-7.4000000000000003E-3</c:v>
                </c:pt>
              </c:numCache>
            </c:numRef>
          </c:val>
          <c:smooth val="0"/>
          <c:extLst>
            <c:ext xmlns:c16="http://schemas.microsoft.com/office/drawing/2014/chart" uri="{C3380CC4-5D6E-409C-BE32-E72D297353CC}">
              <c16:uniqueId val="{00000002-C945-495E-AFB5-5A77B67FFA14}"/>
            </c:ext>
          </c:extLst>
        </c:ser>
        <c:dLbls>
          <c:showLegendKey val="0"/>
          <c:showVal val="1"/>
          <c:showCatName val="0"/>
          <c:showSerName val="0"/>
          <c:showPercent val="0"/>
          <c:showBubbleSize val="0"/>
        </c:dLbls>
        <c:marker val="1"/>
        <c:smooth val="0"/>
        <c:axId val="126815584"/>
        <c:axId val="126815976"/>
      </c:lineChart>
      <c:catAx>
        <c:axId val="12681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26815976"/>
        <c:crosses val="autoZero"/>
        <c:auto val="1"/>
        <c:lblAlgn val="ctr"/>
        <c:lblOffset val="100"/>
        <c:noMultiLvlLbl val="0"/>
      </c:catAx>
      <c:valAx>
        <c:axId val="126815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815584"/>
        <c:crosses val="autoZero"/>
        <c:crossBetween val="between"/>
      </c:valAx>
      <c:spPr>
        <a:noFill/>
        <a:ln>
          <a:noFill/>
        </a:ln>
        <a:effectLst/>
      </c:spPr>
    </c:plotArea>
    <c:legend>
      <c:legendPos val="b"/>
      <c:layout>
        <c:manualLayout>
          <c:xMode val="edge"/>
          <c:yMode val="edge"/>
          <c:x val="0.1727293954476426"/>
          <c:y val="0.80847815075747109"/>
          <c:w val="0.65454085797803707"/>
          <c:h val="0.191521849242528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a:t>Mēneša vidējā bruto darba samaksas</a:t>
            </a:r>
            <a:r>
              <a:rPr lang="lv-LV" sz="1200" baseline="0"/>
              <a:t> pieaugums bez lielajiem komersantiem 2014.-2018.gads (RAIMS)</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'Attistibas centri'!$C$16</c:f>
              <c:strCache>
                <c:ptCount val="1"/>
                <c:pt idx="0">
                  <c:v>Pieauguma temps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'Attistibas centri'!$B$17:$B$23</c:f>
              <c:strCache>
                <c:ptCount val="7"/>
                <c:pt idx="0">
                  <c:v>Valmiera</c:v>
                </c:pt>
                <c:pt idx="1">
                  <c:v>Cēsu novads</c:v>
                </c:pt>
                <c:pt idx="2">
                  <c:v>Smiltenes novads</c:v>
                </c:pt>
                <c:pt idx="3">
                  <c:v>Valkas novads</c:v>
                </c:pt>
                <c:pt idx="4">
                  <c:v>Alūksnes novads</c:v>
                </c:pt>
                <c:pt idx="5">
                  <c:v>Madonas novads</c:v>
                </c:pt>
                <c:pt idx="6">
                  <c:v>Gulbenes novads</c:v>
                </c:pt>
              </c:strCache>
            </c:strRef>
          </c:cat>
          <c:val>
            <c:numRef>
              <c:f>'Attistibas centri'!$C$17:$C$23</c:f>
              <c:numCache>
                <c:formatCode>0%</c:formatCode>
                <c:ptCount val="7"/>
                <c:pt idx="0">
                  <c:v>0.30677290836652998</c:v>
                </c:pt>
                <c:pt idx="1">
                  <c:v>0.31034482758621001</c:v>
                </c:pt>
                <c:pt idx="2">
                  <c:v>0.328173374613</c:v>
                </c:pt>
                <c:pt idx="3">
                  <c:v>0.34159292035397998</c:v>
                </c:pt>
                <c:pt idx="4">
                  <c:v>0.36711281070745999</c:v>
                </c:pt>
                <c:pt idx="5">
                  <c:v>0.38996763754045</c:v>
                </c:pt>
                <c:pt idx="6">
                  <c:v>0.47652173913043</c:v>
                </c:pt>
              </c:numCache>
            </c:numRef>
          </c:val>
          <c:extLst>
            <c:ext xmlns:c16="http://schemas.microsoft.com/office/drawing/2014/chart" uri="{C3380CC4-5D6E-409C-BE32-E72D297353CC}">
              <c16:uniqueId val="{00000000-F0BA-4991-AB03-F3AF447E445E}"/>
            </c:ext>
          </c:extLst>
        </c:ser>
        <c:dLbls>
          <c:showLegendKey val="0"/>
          <c:showVal val="1"/>
          <c:showCatName val="0"/>
          <c:showSerName val="0"/>
          <c:showPercent val="0"/>
          <c:showBubbleSize val="0"/>
        </c:dLbls>
        <c:gapWidth val="219"/>
        <c:axId val="126816760"/>
        <c:axId val="126817152"/>
      </c:barChart>
      <c:lineChart>
        <c:grouping val="standard"/>
        <c:varyColors val="0"/>
        <c:ser>
          <c:idx val="1"/>
          <c:order val="1"/>
          <c:tx>
            <c:strRef>
              <c:f>'Attistibas centri'!$D$16</c:f>
              <c:strCache>
                <c:ptCount val="1"/>
                <c:pt idx="0">
                  <c:v>Rīgas pieauguma temps</c:v>
                </c:pt>
              </c:strCache>
            </c:strRef>
          </c:tx>
          <c:spPr>
            <a:ln w="28575" cap="rnd">
              <a:solidFill>
                <a:schemeClr val="accent2"/>
              </a:solidFill>
              <a:round/>
            </a:ln>
            <a:effectLst/>
          </c:spPr>
          <c:marker>
            <c:symbol val="none"/>
          </c:marker>
          <c:dLbls>
            <c:delete val="1"/>
          </c:dLbls>
          <c:cat>
            <c:strRef>
              <c:f>'Attistibas centri'!$B$17:$B$23</c:f>
              <c:strCache>
                <c:ptCount val="7"/>
                <c:pt idx="0">
                  <c:v>Valmiera</c:v>
                </c:pt>
                <c:pt idx="1">
                  <c:v>Cēsu novads</c:v>
                </c:pt>
                <c:pt idx="2">
                  <c:v>Smiltenes novads</c:v>
                </c:pt>
                <c:pt idx="3">
                  <c:v>Valkas novads</c:v>
                </c:pt>
                <c:pt idx="4">
                  <c:v>Alūksnes novads</c:v>
                </c:pt>
                <c:pt idx="5">
                  <c:v>Madonas novads</c:v>
                </c:pt>
                <c:pt idx="6">
                  <c:v>Gulbenes novads</c:v>
                </c:pt>
              </c:strCache>
            </c:strRef>
          </c:cat>
          <c:val>
            <c:numRef>
              <c:f>'Attistibas centri'!$D$17:$D$23</c:f>
              <c:numCache>
                <c:formatCode>0%</c:formatCode>
                <c:ptCount val="7"/>
                <c:pt idx="0">
                  <c:v>0.26785714285714002</c:v>
                </c:pt>
                <c:pt idx="1">
                  <c:v>0.26785714285714002</c:v>
                </c:pt>
                <c:pt idx="2">
                  <c:v>0.26785714285714002</c:v>
                </c:pt>
                <c:pt idx="3">
                  <c:v>0.26785714285714002</c:v>
                </c:pt>
                <c:pt idx="4">
                  <c:v>0.26785714285714002</c:v>
                </c:pt>
                <c:pt idx="5">
                  <c:v>0.26785714285714002</c:v>
                </c:pt>
                <c:pt idx="6">
                  <c:v>0.26785714285714002</c:v>
                </c:pt>
              </c:numCache>
            </c:numRef>
          </c:val>
          <c:smooth val="0"/>
          <c:extLst>
            <c:ext xmlns:c16="http://schemas.microsoft.com/office/drawing/2014/chart" uri="{C3380CC4-5D6E-409C-BE32-E72D297353CC}">
              <c16:uniqueId val="{00000001-F0BA-4991-AB03-F3AF447E445E}"/>
            </c:ext>
          </c:extLst>
        </c:ser>
        <c:dLbls>
          <c:showLegendKey val="0"/>
          <c:showVal val="1"/>
          <c:showCatName val="0"/>
          <c:showSerName val="0"/>
          <c:showPercent val="0"/>
          <c:showBubbleSize val="0"/>
        </c:dLbls>
        <c:marker val="1"/>
        <c:smooth val="0"/>
        <c:axId val="126816760"/>
        <c:axId val="126817152"/>
      </c:lineChart>
      <c:catAx>
        <c:axId val="12681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817152"/>
        <c:crosses val="autoZero"/>
        <c:auto val="1"/>
        <c:lblAlgn val="ctr"/>
        <c:lblOffset val="100"/>
        <c:noMultiLvlLbl val="0"/>
      </c:catAx>
      <c:valAx>
        <c:axId val="12681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81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7949475065617"/>
          <c:y val="4.9299711189093508E-2"/>
          <c:w val="0.58427296587926503"/>
          <c:h val="0.81701584648698111"/>
        </c:manualLayout>
      </c:layout>
      <c:lineChart>
        <c:grouping val="standard"/>
        <c:varyColors val="0"/>
        <c:ser>
          <c:idx val="0"/>
          <c:order val="0"/>
          <c:tx>
            <c:strRef>
              <c:f>Sheet1!$A$3</c:f>
              <c:strCache>
                <c:ptCount val="1"/>
                <c:pt idx="0">
                  <c:v>Vidējais IKP uz 1 iedzīvotāju reģionos pret vidējo valstī - mērķis (75%)</c:v>
                </c:pt>
              </c:strCache>
            </c:strRef>
          </c:tx>
          <c:spPr>
            <a:ln w="38100" cap="rnd">
              <a:solidFill>
                <a:schemeClr val="accent1"/>
              </a:solidFill>
              <a:round/>
            </a:ln>
            <a:effectLst/>
          </c:spPr>
          <c:marker>
            <c:symbol val="none"/>
          </c:marker>
          <c:cat>
            <c:strRef>
              <c:f>Sheet1!$B$2:$E$2</c:f>
              <c:strCache>
                <c:ptCount val="4"/>
                <c:pt idx="0">
                  <c:v>2020.g.</c:v>
                </c:pt>
                <c:pt idx="1">
                  <c:v>10 gadi</c:v>
                </c:pt>
                <c:pt idx="2">
                  <c:v>20 gadi</c:v>
                </c:pt>
                <c:pt idx="3">
                  <c:v>30 gadi</c:v>
                </c:pt>
              </c:strCache>
            </c:strRef>
          </c:cat>
          <c:val>
            <c:numRef>
              <c:f>Sheet1!$B$3:$E$3</c:f>
              <c:numCache>
                <c:formatCode>0%</c:formatCode>
                <c:ptCount val="4"/>
                <c:pt idx="0">
                  <c:v>0.75</c:v>
                </c:pt>
                <c:pt idx="1">
                  <c:v>0.75</c:v>
                </c:pt>
                <c:pt idx="2">
                  <c:v>0.75</c:v>
                </c:pt>
                <c:pt idx="3">
                  <c:v>0.75</c:v>
                </c:pt>
              </c:numCache>
            </c:numRef>
          </c:val>
          <c:smooth val="0"/>
          <c:extLst>
            <c:ext xmlns:c16="http://schemas.microsoft.com/office/drawing/2014/chart" uri="{C3380CC4-5D6E-409C-BE32-E72D297353CC}">
              <c16:uniqueId val="{00000000-3911-4E5E-8180-1929DCE358C3}"/>
            </c:ext>
          </c:extLst>
        </c:ser>
        <c:ser>
          <c:idx val="1"/>
          <c:order val="1"/>
          <c:tx>
            <c:strRef>
              <c:f>Sheet1!$A$4</c:f>
              <c:strCache>
                <c:ptCount val="1"/>
                <c:pt idx="0">
                  <c:v>Vidzemes reģiona IKP uz 1 iedzīvotāju pret vidējo valstī - esošais temps (bez ES fondiem)</c:v>
                </c:pt>
              </c:strCache>
            </c:strRef>
          </c:tx>
          <c:spPr>
            <a:ln w="38100" cap="rnd">
              <a:solidFill>
                <a:srgbClr val="C00000"/>
              </a:solidFill>
              <a:round/>
              <a:tailEnd type="triangle"/>
            </a:ln>
            <a:effectLst/>
          </c:spPr>
          <c:marker>
            <c:symbol val="none"/>
          </c:marker>
          <c:cat>
            <c:strRef>
              <c:f>Sheet1!$B$2:$E$2</c:f>
              <c:strCache>
                <c:ptCount val="4"/>
                <c:pt idx="0">
                  <c:v>2020.g.</c:v>
                </c:pt>
                <c:pt idx="1">
                  <c:v>10 gadi</c:v>
                </c:pt>
                <c:pt idx="2">
                  <c:v>20 gadi</c:v>
                </c:pt>
                <c:pt idx="3">
                  <c:v>30 gadi</c:v>
                </c:pt>
              </c:strCache>
            </c:strRef>
          </c:cat>
          <c:val>
            <c:numRef>
              <c:f>Sheet1!$B$4:$E$4</c:f>
              <c:numCache>
                <c:formatCode>0%</c:formatCode>
                <c:ptCount val="4"/>
                <c:pt idx="0">
                  <c:v>0.66</c:v>
                </c:pt>
                <c:pt idx="1">
                  <c:v>0.68700000000000006</c:v>
                </c:pt>
                <c:pt idx="2">
                  <c:v>0.71699999999999997</c:v>
                </c:pt>
                <c:pt idx="3">
                  <c:v>0.75</c:v>
                </c:pt>
              </c:numCache>
            </c:numRef>
          </c:val>
          <c:smooth val="0"/>
          <c:extLst>
            <c:ext xmlns:c16="http://schemas.microsoft.com/office/drawing/2014/chart" uri="{C3380CC4-5D6E-409C-BE32-E72D297353CC}">
              <c16:uniqueId val="{00000001-3911-4E5E-8180-1929DCE358C3}"/>
            </c:ext>
          </c:extLst>
        </c:ser>
        <c:ser>
          <c:idx val="2"/>
          <c:order val="2"/>
          <c:tx>
            <c:strRef>
              <c:f>Sheet1!$A$5</c:f>
              <c:strCache>
                <c:ptCount val="1"/>
                <c:pt idx="0">
                  <c:v>Vidzemes reģiona IKP uz 1 iedzīvotāju pret vidējo valstī - intensīvais temps (ar ES fondiem)</c:v>
                </c:pt>
              </c:strCache>
            </c:strRef>
          </c:tx>
          <c:spPr>
            <a:ln w="38100" cap="rnd">
              <a:solidFill>
                <a:srgbClr val="00B050"/>
              </a:solidFill>
              <a:round/>
              <a:tailEnd type="triangle" w="med" len="med"/>
            </a:ln>
            <a:effectLst/>
          </c:spPr>
          <c:marker>
            <c:symbol val="none"/>
          </c:marker>
          <c:cat>
            <c:strRef>
              <c:f>Sheet1!$B$2:$E$2</c:f>
              <c:strCache>
                <c:ptCount val="4"/>
                <c:pt idx="0">
                  <c:v>2020.g.</c:v>
                </c:pt>
                <c:pt idx="1">
                  <c:v>10 gadi</c:v>
                </c:pt>
                <c:pt idx="2">
                  <c:v>20 gadi</c:v>
                </c:pt>
                <c:pt idx="3">
                  <c:v>30 gadi</c:v>
                </c:pt>
              </c:strCache>
            </c:strRef>
          </c:cat>
          <c:val>
            <c:numRef>
              <c:f>Sheet1!$B$5:$E$5</c:f>
              <c:numCache>
                <c:formatCode>0%</c:formatCode>
                <c:ptCount val="4"/>
                <c:pt idx="0">
                  <c:v>0.66</c:v>
                </c:pt>
                <c:pt idx="1">
                  <c:v>0.75</c:v>
                </c:pt>
              </c:numCache>
            </c:numRef>
          </c:val>
          <c:smooth val="0"/>
          <c:extLst>
            <c:ext xmlns:c16="http://schemas.microsoft.com/office/drawing/2014/chart" uri="{C3380CC4-5D6E-409C-BE32-E72D297353CC}">
              <c16:uniqueId val="{00000002-3911-4E5E-8180-1929DCE358C3}"/>
            </c:ext>
          </c:extLst>
        </c:ser>
        <c:dLbls>
          <c:showLegendKey val="0"/>
          <c:showVal val="0"/>
          <c:showCatName val="0"/>
          <c:showSerName val="0"/>
          <c:showPercent val="0"/>
          <c:showBubbleSize val="0"/>
        </c:dLbls>
        <c:smooth val="0"/>
        <c:axId val="126817936"/>
        <c:axId val="126818328"/>
      </c:lineChart>
      <c:catAx>
        <c:axId val="12681793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1"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126818328"/>
        <c:crosses val="autoZero"/>
        <c:auto val="1"/>
        <c:lblAlgn val="ctr"/>
        <c:lblOffset val="100"/>
        <c:noMultiLvlLbl val="0"/>
      </c:catAx>
      <c:valAx>
        <c:axId val="126818328"/>
        <c:scaling>
          <c:orientation val="minMax"/>
          <c:max val="0.78"/>
          <c:min val="0.660000000000000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r>
                  <a:rPr lang="lv-LV" sz="1400" b="1"/>
                  <a:t>IKP</a:t>
                </a:r>
              </a:p>
            </c:rich>
          </c:tx>
          <c:layout>
            <c:manualLayout>
              <c:xMode val="edge"/>
              <c:yMode val="edge"/>
              <c:x val="1.5018243793739989E-2"/>
              <c:y val="0.4150990136851074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126817936"/>
        <c:crosses val="autoZero"/>
        <c:crossBetween val="midCat"/>
        <c:majorUnit val="1.0000000000000002E-2"/>
      </c:valAx>
      <c:spPr>
        <a:noFill/>
        <a:ln>
          <a:noFill/>
        </a:ln>
        <a:effectLst/>
      </c:spPr>
    </c:plotArea>
    <c:legend>
      <c:legendPos val="r"/>
      <c:layout>
        <c:manualLayout>
          <c:xMode val="edge"/>
          <c:yMode val="edge"/>
          <c:x val="0.73700255732702546"/>
          <c:y val="3.8772569536190522E-2"/>
          <c:w val="0.24099785467883159"/>
          <c:h val="0.905605876446652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0.31459</cdr:x>
      <cdr:y>0.26399</cdr:y>
    </cdr:from>
    <cdr:to>
      <cdr:x>0.31901</cdr:x>
      <cdr:y>0.89183</cdr:y>
    </cdr:to>
    <cdr:cxnSp macro="">
      <cdr:nvCxnSpPr>
        <cdr:cNvPr id="3" name="Straight Connector 2">
          <a:extLst xmlns:a="http://schemas.openxmlformats.org/drawingml/2006/main">
            <a:ext uri="{FF2B5EF4-FFF2-40B4-BE49-F238E27FC236}">
              <a16:creationId xmlns:a16="http://schemas.microsoft.com/office/drawing/2014/main" id="{5A580044-D37C-49B8-891B-980FD0B38686}"/>
            </a:ext>
          </a:extLst>
        </cdr:cNvPr>
        <cdr:cNvCxnSpPr/>
      </cdr:nvCxnSpPr>
      <cdr:spPr>
        <a:xfrm xmlns:a="http://schemas.openxmlformats.org/drawingml/2006/main" flipH="1">
          <a:off x="1925504" y="749329"/>
          <a:ext cx="27054" cy="1782093"/>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0.71175</cdr:x>
      <cdr:y>0.25193</cdr:y>
    </cdr:from>
    <cdr:to>
      <cdr:x>0.71429</cdr:x>
      <cdr:y>0.86835</cdr:y>
    </cdr:to>
    <cdr:cxnSp macro="">
      <cdr:nvCxnSpPr>
        <cdr:cNvPr id="8" name="Straight Connector 7">
          <a:extLst xmlns:a="http://schemas.openxmlformats.org/drawingml/2006/main">
            <a:ext uri="{FF2B5EF4-FFF2-40B4-BE49-F238E27FC236}">
              <a16:creationId xmlns:a16="http://schemas.microsoft.com/office/drawing/2014/main" id="{A8DB3665-2104-4DCA-B51B-9FE725E2211B}"/>
            </a:ext>
          </a:extLst>
        </cdr:cNvPr>
        <cdr:cNvCxnSpPr/>
      </cdr:nvCxnSpPr>
      <cdr:spPr>
        <a:xfrm xmlns:a="http://schemas.openxmlformats.org/drawingml/2006/main" flipH="1">
          <a:off x="4793050" y="776288"/>
          <a:ext cx="17076" cy="1899392"/>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0.07763</cdr:x>
      <cdr:y>0.09712</cdr:y>
    </cdr:from>
    <cdr:to>
      <cdr:x>0.44681</cdr:x>
      <cdr:y>0.30078</cdr:y>
    </cdr:to>
    <cdr:sp macro="" textlink="">
      <cdr:nvSpPr>
        <cdr:cNvPr id="9" name="TextBox 8">
          <a:extLst xmlns:a="http://schemas.openxmlformats.org/drawingml/2006/main">
            <a:ext uri="{FF2B5EF4-FFF2-40B4-BE49-F238E27FC236}">
              <a16:creationId xmlns:a16="http://schemas.microsoft.com/office/drawing/2014/main" id="{5AAC3E53-36EF-41D9-8EF4-3E01CCD4B8D9}"/>
            </a:ext>
          </a:extLst>
        </cdr:cNvPr>
        <cdr:cNvSpPr txBox="1"/>
      </cdr:nvSpPr>
      <cdr:spPr>
        <a:xfrm xmlns:a="http://schemas.openxmlformats.org/drawingml/2006/main">
          <a:off x="475162" y="275659"/>
          <a:ext cx="2259664" cy="57807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defTabSz="938213" rtl="0" eaLnBrk="0" fontAlgn="base" hangingPunct="0">
            <a:spcBef>
              <a:spcPct val="0"/>
            </a:spcBef>
            <a:spcAft>
              <a:spcPct val="0"/>
            </a:spcAft>
            <a:defRPr sz="1700" kern="1200">
              <a:solidFill>
                <a:schemeClr val="tx1"/>
              </a:solidFill>
              <a:latin typeface="Times New Roman" pitchFamily="18" charset="0"/>
              <a:ea typeface="+mn-ea"/>
              <a:cs typeface="Arial" charset="0"/>
            </a:defRPr>
          </a:lvl1pPr>
          <a:lvl2pPr marL="468313" indent="-11113" algn="l" defTabSz="938213" rtl="0" eaLnBrk="0" fontAlgn="base" hangingPunct="0">
            <a:spcBef>
              <a:spcPct val="0"/>
            </a:spcBef>
            <a:spcAft>
              <a:spcPct val="0"/>
            </a:spcAft>
            <a:defRPr sz="1700" kern="1200">
              <a:solidFill>
                <a:schemeClr val="tx1"/>
              </a:solidFill>
              <a:latin typeface="Times New Roman" pitchFamily="18" charset="0"/>
              <a:ea typeface="+mn-ea"/>
              <a:cs typeface="Arial" charset="0"/>
            </a:defRPr>
          </a:lvl2pPr>
          <a:lvl3pPr marL="938213" indent="-23813" algn="l" defTabSz="938213" rtl="0" eaLnBrk="0" fontAlgn="base" hangingPunct="0">
            <a:spcBef>
              <a:spcPct val="0"/>
            </a:spcBef>
            <a:spcAft>
              <a:spcPct val="0"/>
            </a:spcAft>
            <a:defRPr sz="1700" kern="1200">
              <a:solidFill>
                <a:schemeClr val="tx1"/>
              </a:solidFill>
              <a:latin typeface="Times New Roman" pitchFamily="18" charset="0"/>
              <a:ea typeface="+mn-ea"/>
              <a:cs typeface="Arial" charset="0"/>
            </a:defRPr>
          </a:lvl3pPr>
          <a:lvl4pPr marL="1408113" indent="-36513" algn="l" defTabSz="938213" rtl="0" eaLnBrk="0" fontAlgn="base" hangingPunct="0">
            <a:spcBef>
              <a:spcPct val="0"/>
            </a:spcBef>
            <a:spcAft>
              <a:spcPct val="0"/>
            </a:spcAft>
            <a:defRPr sz="1700" kern="1200">
              <a:solidFill>
                <a:schemeClr val="tx1"/>
              </a:solidFill>
              <a:latin typeface="Times New Roman" pitchFamily="18" charset="0"/>
              <a:ea typeface="+mn-ea"/>
              <a:cs typeface="Arial" charset="0"/>
            </a:defRPr>
          </a:lvl4pPr>
          <a:lvl5pPr marL="1878013" indent="-49213" algn="l" defTabSz="938213" rtl="0" eaLnBrk="0" fontAlgn="base" hangingPunct="0">
            <a:spcBef>
              <a:spcPct val="0"/>
            </a:spcBef>
            <a:spcAft>
              <a:spcPct val="0"/>
            </a:spcAft>
            <a:defRPr sz="1700" kern="1200">
              <a:solidFill>
                <a:schemeClr val="tx1"/>
              </a:solidFill>
              <a:latin typeface="Times New Roman" pitchFamily="18" charset="0"/>
              <a:ea typeface="+mn-ea"/>
              <a:cs typeface="Arial" charset="0"/>
            </a:defRPr>
          </a:lvl5pPr>
          <a:lvl6pPr marL="2286000" algn="l" defTabSz="914400" rtl="0" eaLnBrk="1" latinLnBrk="0" hangingPunct="1">
            <a:defRPr sz="1700" kern="1200">
              <a:solidFill>
                <a:schemeClr val="tx1"/>
              </a:solidFill>
              <a:latin typeface="Times New Roman" pitchFamily="18" charset="0"/>
              <a:ea typeface="+mn-ea"/>
              <a:cs typeface="Arial" charset="0"/>
            </a:defRPr>
          </a:lvl6pPr>
          <a:lvl7pPr marL="2743200" algn="l" defTabSz="914400" rtl="0" eaLnBrk="1" latinLnBrk="0" hangingPunct="1">
            <a:defRPr sz="1700" kern="1200">
              <a:solidFill>
                <a:schemeClr val="tx1"/>
              </a:solidFill>
              <a:latin typeface="Times New Roman" pitchFamily="18" charset="0"/>
              <a:ea typeface="+mn-ea"/>
              <a:cs typeface="Arial" charset="0"/>
            </a:defRPr>
          </a:lvl7pPr>
          <a:lvl8pPr marL="3200400" algn="l" defTabSz="914400" rtl="0" eaLnBrk="1" latinLnBrk="0" hangingPunct="1">
            <a:defRPr sz="1700" kern="1200">
              <a:solidFill>
                <a:schemeClr val="tx1"/>
              </a:solidFill>
              <a:latin typeface="Times New Roman" pitchFamily="18" charset="0"/>
              <a:ea typeface="+mn-ea"/>
              <a:cs typeface="Arial" charset="0"/>
            </a:defRPr>
          </a:lvl8pPr>
          <a:lvl9pPr marL="3657600" algn="l" defTabSz="914400" rtl="0" eaLnBrk="1" latinLnBrk="0" hangingPunct="1">
            <a:defRPr sz="1700" kern="1200">
              <a:solidFill>
                <a:schemeClr val="tx1"/>
              </a:solidFill>
              <a:latin typeface="Times New Roman" pitchFamily="18" charset="0"/>
              <a:ea typeface="+mn-ea"/>
              <a:cs typeface="Arial" charset="0"/>
            </a:defRPr>
          </a:lvl9pPr>
        </a:lstStyle>
        <a:p xmlns:a="http://schemas.openxmlformats.org/drawingml/2006/main">
          <a:pPr algn="ctr"/>
          <a:r>
            <a:rPr lang="lv-LV" sz="1200" dirty="0">
              <a:solidFill>
                <a:srgbClr val="006600"/>
              </a:solidFill>
              <a:latin typeface="Times New Roman" panose="02020603050405020304" pitchFamily="18" charset="0"/>
              <a:ea typeface="Verdana" panose="020B0604030504040204" pitchFamily="34" charset="0"/>
              <a:cs typeface="Times New Roman" panose="02020603050405020304" pitchFamily="18" charset="0"/>
            </a:rPr>
            <a:t>7 gados </a:t>
          </a:r>
        </a:p>
        <a:p xmlns:a="http://schemas.openxmlformats.org/drawingml/2006/main">
          <a:pPr algn="ctr"/>
          <a:r>
            <a:rPr lang="lv-LV" sz="1200" dirty="0">
              <a:solidFill>
                <a:srgbClr val="006600"/>
              </a:solidFill>
              <a:latin typeface="Times New Roman" panose="02020603050405020304" pitchFamily="18" charset="0"/>
              <a:ea typeface="Verdana" panose="020B0604030504040204" pitchFamily="34" charset="0"/>
              <a:cs typeface="Times New Roman" panose="02020603050405020304" pitchFamily="18" charset="0"/>
            </a:rPr>
            <a:t>+ 365 milj. </a:t>
          </a:r>
          <a:r>
            <a:rPr lang="lv-LV" sz="1200" i="1" dirty="0">
              <a:solidFill>
                <a:srgbClr val="006600"/>
              </a:solidFill>
              <a:latin typeface="Times New Roman" panose="02020603050405020304" pitchFamily="18" charset="0"/>
              <a:ea typeface="Verdana" panose="020B0604030504040204" pitchFamily="34" charset="0"/>
              <a:cs typeface="Times New Roman" panose="02020603050405020304" pitchFamily="18" charset="0"/>
            </a:rPr>
            <a:t>euro</a:t>
          </a:r>
          <a:r>
            <a:rPr lang="lv-LV" sz="1200" dirty="0">
              <a:solidFill>
                <a:srgbClr val="006600"/>
              </a:solidFill>
              <a:latin typeface="Times New Roman" panose="02020603050405020304" pitchFamily="18" charset="0"/>
              <a:ea typeface="Verdana" panose="020B0604030504040204" pitchFamily="34" charset="0"/>
              <a:cs typeface="Times New Roman" panose="02020603050405020304" pitchFamily="18" charset="0"/>
            </a:rPr>
            <a:t> IKP</a:t>
          </a:r>
        </a:p>
        <a:p xmlns:a="http://schemas.openxmlformats.org/drawingml/2006/main">
          <a:pPr algn="r"/>
          <a:endParaRPr lang="lv-LV" sz="14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0.1878</cdr:x>
      <cdr:y>0.8771</cdr:y>
    </cdr:from>
    <cdr:to>
      <cdr:x>0.30237</cdr:x>
      <cdr:y>0.96056</cdr:y>
    </cdr:to>
    <cdr:sp macro="" textlink="">
      <cdr:nvSpPr>
        <cdr:cNvPr id="10" name="TextBox 9">
          <a:extLst xmlns:a="http://schemas.openxmlformats.org/drawingml/2006/main">
            <a:ext uri="{FF2B5EF4-FFF2-40B4-BE49-F238E27FC236}">
              <a16:creationId xmlns:a16="http://schemas.microsoft.com/office/drawing/2014/main" id="{7FF64256-D50B-4FF7-87BC-402D4B946E31}"/>
            </a:ext>
          </a:extLst>
        </cdr:cNvPr>
        <cdr:cNvSpPr txBox="1"/>
      </cdr:nvSpPr>
      <cdr:spPr>
        <a:xfrm xmlns:a="http://schemas.openxmlformats.org/drawingml/2006/main">
          <a:off x="1149465" y="2790353"/>
          <a:ext cx="701256" cy="26551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lv-LV" sz="1200" b="1" i="1">
              <a:solidFill>
                <a:srgbClr val="002060"/>
              </a:solidFill>
              <a:latin typeface="Times New Roman" panose="02020603050405020304" pitchFamily="18" charset="0"/>
              <a:cs typeface="Times New Roman" panose="02020603050405020304" pitchFamily="18" charset="0"/>
            </a:rPr>
            <a:t>2027.g.</a:t>
          </a:r>
        </a:p>
      </cdr:txBody>
    </cdr:sp>
  </cdr:relSizeAnchor>
  <cdr:relSizeAnchor xmlns:cdr="http://schemas.openxmlformats.org/drawingml/2006/chartDrawing">
    <cdr:from>
      <cdr:x>0.02877</cdr:x>
      <cdr:y>0.11502</cdr:y>
    </cdr:from>
    <cdr:to>
      <cdr:x>0.39795</cdr:x>
      <cdr:y>0.31868</cdr:y>
    </cdr:to>
    <cdr:sp macro="" textlink="">
      <cdr:nvSpPr>
        <cdr:cNvPr id="12" name="TextBox 8">
          <a:extLst xmlns:a="http://schemas.openxmlformats.org/drawingml/2006/main">
            <a:ext uri="{FF2B5EF4-FFF2-40B4-BE49-F238E27FC236}">
              <a16:creationId xmlns:a16="http://schemas.microsoft.com/office/drawing/2014/main" id="{5AAC3E53-36EF-41D9-8EF4-3E01CCD4B8D9}"/>
            </a:ext>
          </a:extLst>
        </cdr:cNvPr>
        <cdr:cNvSpPr txBox="1"/>
      </cdr:nvSpPr>
      <cdr:spPr>
        <a:xfrm xmlns:a="http://schemas.openxmlformats.org/drawingml/2006/main">
          <a:off x="176106" y="326466"/>
          <a:ext cx="2259664" cy="578079"/>
        </a:xfrm>
        <a:prstGeom xmlns:a="http://schemas.openxmlformats.org/drawingml/2006/main" prst="rect">
          <a:avLst/>
        </a:prstGeom>
        <a:noFill xmlns:a="http://schemas.openxmlformats.org/drawingml/2006/main"/>
      </cdr:spPr>
    </cdr:sp>
  </cdr:relSizeAnchor>
  <cdr:relSizeAnchor xmlns:cdr="http://schemas.openxmlformats.org/drawingml/2006/chartDrawing">
    <cdr:from>
      <cdr:x>0.24754</cdr:x>
      <cdr:y>0.25387</cdr:y>
    </cdr:from>
    <cdr:to>
      <cdr:x>0.25196</cdr:x>
      <cdr:y>0.88171</cdr:y>
    </cdr:to>
    <cdr:cxnSp macro="">
      <cdr:nvCxnSpPr>
        <cdr:cNvPr id="13" name="Straight Connector 12">
          <a:extLst xmlns:a="http://schemas.openxmlformats.org/drawingml/2006/main">
            <a:ext uri="{FF2B5EF4-FFF2-40B4-BE49-F238E27FC236}">
              <a16:creationId xmlns:a16="http://schemas.microsoft.com/office/drawing/2014/main" id="{5A580044-D37C-49B8-891B-980FD0B38686}"/>
            </a:ext>
          </a:extLst>
        </cdr:cNvPr>
        <cdr:cNvCxnSpPr/>
      </cdr:nvCxnSpPr>
      <cdr:spPr>
        <a:xfrm xmlns:a="http://schemas.openxmlformats.org/drawingml/2006/main" flipH="1">
          <a:off x="1515155" y="720609"/>
          <a:ext cx="27054" cy="1782093"/>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8" ma:contentTypeDescription="Izveidot jaunu dokumentu." ma:contentTypeScope="" ma:versionID="7948e1089d15b80576f908ddfc69c1ca">
  <xsd:schema xmlns:xsd="http://www.w3.org/2001/XMLSchema" xmlns:xs="http://www.w3.org/2001/XMLSchema" xmlns:p="http://schemas.microsoft.com/office/2006/metadata/properties" xmlns:ns3="ace8e44c-fa88-44c0-8590-dfda63664a63" targetNamespace="http://schemas.microsoft.com/office/2006/metadata/properties" ma:root="true" ma:fieldsID="f1bd79e0f9959ed660ec615692a7dc67" ns3:_="">
    <xsd:import namespace="ace8e44c-fa88-44c0-8590-dfda63664a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DA32-BD77-4D24-AB02-6A1D0C61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512CC-067A-4D08-B05C-F53269E05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E2558-15C0-42CA-9760-CCB347AA4B81}">
  <ds:schemaRefs>
    <ds:schemaRef ds:uri="http://schemas.microsoft.com/sharepoint/v3/contenttype/forms"/>
  </ds:schemaRefs>
</ds:datastoreItem>
</file>

<file path=customXml/itemProps4.xml><?xml version="1.0" encoding="utf-8"?>
<ds:datastoreItem xmlns:ds="http://schemas.openxmlformats.org/officeDocument/2006/customXml" ds:itemID="{C4972D27-398B-42AC-845D-225B91F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16245</Words>
  <Characters>9260</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Bremšmits</dc:creator>
  <cp:keywords/>
  <dc:description/>
  <cp:lastModifiedBy>Ritvars Timermanis</cp:lastModifiedBy>
  <cp:revision>3</cp:revision>
  <cp:lastPrinted>2019-08-28T09:14:00Z</cp:lastPrinted>
  <dcterms:created xsi:type="dcterms:W3CDTF">2019-11-08T07:08:00Z</dcterms:created>
  <dcterms:modified xsi:type="dcterms:W3CDTF">2019-11-08T07:10:00Z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