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D3" w:rsidRPr="009C11D3" w:rsidRDefault="009C11D3" w:rsidP="009C11D3">
      <w:pPr>
        <w:rPr>
          <w:b/>
          <w:i/>
          <w:noProof/>
          <w:sz w:val="22"/>
          <w:lang w:val="en-GB"/>
        </w:rPr>
      </w:pPr>
      <w:r w:rsidRPr="009C11D3">
        <w:rPr>
          <w:noProof/>
          <w:sz w:val="26"/>
          <w:szCs w:val="26"/>
          <w:lang w:val="en-GB"/>
        </w:rPr>
        <w:t xml:space="preserve">Budžeta un finanšu (nodokļu) komisija </w:t>
      </w:r>
    </w:p>
    <w:p w:rsidR="009C11D3" w:rsidRPr="009C11D3" w:rsidRDefault="009C11D3" w:rsidP="009C11D3">
      <w:pPr>
        <w:pStyle w:val="Title"/>
        <w:jc w:val="right"/>
        <w:rPr>
          <w:b w:val="0"/>
          <w:sz w:val="26"/>
          <w:szCs w:val="26"/>
        </w:rPr>
      </w:pPr>
      <w:r w:rsidRPr="009C11D3">
        <w:rPr>
          <w:b w:val="0"/>
          <w:sz w:val="26"/>
          <w:szCs w:val="26"/>
        </w:rPr>
        <w:t xml:space="preserve">Likumprojekts </w:t>
      </w:r>
      <w:proofErr w:type="gramStart"/>
      <w:r w:rsidRPr="009C11D3">
        <w:rPr>
          <w:b w:val="0"/>
          <w:sz w:val="26"/>
          <w:szCs w:val="26"/>
        </w:rPr>
        <w:t>(steidzams) otrajam lasījumam</w:t>
      </w:r>
      <w:proofErr w:type="gramEnd"/>
    </w:p>
    <w:p w:rsidR="009C11D3" w:rsidRPr="009C11D3" w:rsidRDefault="009C11D3" w:rsidP="009C11D3">
      <w:pPr>
        <w:jc w:val="center"/>
        <w:rPr>
          <w:rStyle w:val="Emphasis"/>
          <w:b/>
          <w:i w:val="0"/>
          <w:noProof/>
          <w:sz w:val="28"/>
          <w:szCs w:val="28"/>
          <w:lang w:val="en-GB"/>
        </w:rPr>
      </w:pPr>
    </w:p>
    <w:p w:rsidR="009C11D3" w:rsidRPr="009C11D3" w:rsidRDefault="009C11D3" w:rsidP="009C11D3">
      <w:pPr>
        <w:jc w:val="center"/>
        <w:rPr>
          <w:rFonts w:eastAsia="Times New Roman"/>
          <w:b/>
          <w:bCs/>
          <w:noProof/>
          <w:sz w:val="28"/>
          <w:szCs w:val="28"/>
          <w:lang w:val="en-GB" w:eastAsia="lv-LV"/>
        </w:rPr>
      </w:pPr>
      <w:r w:rsidRPr="009C11D3">
        <w:rPr>
          <w:rFonts w:eastAsia="Times New Roman"/>
          <w:b/>
          <w:bCs/>
          <w:noProof/>
          <w:sz w:val="28"/>
          <w:szCs w:val="28"/>
          <w:lang w:val="en-GB" w:eastAsia="lv-LV"/>
        </w:rPr>
        <w:t>Grozījumi Invaliditātes likumā</w:t>
      </w:r>
    </w:p>
    <w:p w:rsidR="009C11D3" w:rsidRPr="009C11D3" w:rsidRDefault="009C11D3" w:rsidP="009C11D3">
      <w:pPr>
        <w:jc w:val="center"/>
        <w:rPr>
          <w:rStyle w:val="Emphasis"/>
          <w:b/>
          <w:noProof/>
          <w:sz w:val="28"/>
          <w:szCs w:val="28"/>
          <w:lang w:val="en-GB"/>
        </w:rPr>
      </w:pPr>
      <w:r w:rsidRPr="009C11D3">
        <w:rPr>
          <w:rStyle w:val="Emphasis"/>
          <w:b/>
          <w:noProof/>
          <w:sz w:val="28"/>
          <w:szCs w:val="28"/>
          <w:lang w:val="en-GB"/>
        </w:rPr>
        <w:t xml:space="preserve"> (Nr. 436/Lp13) </w:t>
      </w:r>
    </w:p>
    <w:p w:rsidR="009C11D3" w:rsidRPr="009C11D3" w:rsidRDefault="009C11D3" w:rsidP="009C11D3">
      <w:pPr>
        <w:jc w:val="center"/>
        <w:rPr>
          <w:rStyle w:val="Emphasis"/>
          <w:b/>
          <w:noProof/>
          <w:sz w:val="26"/>
          <w:szCs w:val="26"/>
          <w:lang w:val="en-GB"/>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798"/>
        <w:gridCol w:w="567"/>
        <w:gridCol w:w="3798"/>
        <w:gridCol w:w="1417"/>
        <w:gridCol w:w="1417"/>
      </w:tblGrid>
      <w:tr w:rsidR="009C11D3" w:rsidRPr="009C11D3" w:rsidTr="009C11D3">
        <w:tc>
          <w:tcPr>
            <w:tcW w:w="3798" w:type="dxa"/>
            <w:shd w:val="clear" w:color="auto" w:fill="auto"/>
            <w:vAlign w:val="center"/>
          </w:tcPr>
          <w:p w:rsidR="009C11D3" w:rsidRPr="009C11D3" w:rsidRDefault="009C11D3" w:rsidP="009C11D3">
            <w:pPr>
              <w:jc w:val="center"/>
              <w:rPr>
                <w:b/>
                <w:bCs/>
                <w:iCs/>
                <w:noProof/>
                <w:lang w:val="en-GB"/>
              </w:rPr>
            </w:pPr>
            <w:r w:rsidRPr="009C11D3">
              <w:rPr>
                <w:b/>
                <w:noProof/>
                <w:lang w:val="en-GB"/>
              </w:rPr>
              <w:t>Spēkā esošā redakcija</w:t>
            </w:r>
          </w:p>
        </w:tc>
        <w:tc>
          <w:tcPr>
            <w:tcW w:w="3798" w:type="dxa"/>
            <w:shd w:val="clear" w:color="auto" w:fill="auto"/>
            <w:vAlign w:val="center"/>
          </w:tcPr>
          <w:p w:rsidR="009C11D3" w:rsidRPr="009C11D3" w:rsidRDefault="009C11D3" w:rsidP="009C11D3">
            <w:pPr>
              <w:jc w:val="center"/>
              <w:rPr>
                <w:b/>
                <w:noProof/>
                <w:lang w:val="en-GB"/>
              </w:rPr>
            </w:pPr>
            <w:r w:rsidRPr="009C11D3">
              <w:rPr>
                <w:b/>
              </w:rPr>
              <w:t>Pirmā lasījuma redakcija</w:t>
            </w:r>
          </w:p>
        </w:tc>
        <w:tc>
          <w:tcPr>
            <w:tcW w:w="567" w:type="dxa"/>
            <w:vAlign w:val="center"/>
          </w:tcPr>
          <w:p w:rsidR="009C11D3" w:rsidRPr="00BF14FD" w:rsidRDefault="009C11D3" w:rsidP="00687069">
            <w:pPr>
              <w:jc w:val="center"/>
              <w:rPr>
                <w:b/>
              </w:rPr>
            </w:pPr>
            <w:r w:rsidRPr="00BF14FD">
              <w:rPr>
                <w:b/>
              </w:rPr>
              <w:t>Nr.</w:t>
            </w:r>
          </w:p>
        </w:tc>
        <w:tc>
          <w:tcPr>
            <w:tcW w:w="3798" w:type="dxa"/>
            <w:vAlign w:val="center"/>
          </w:tcPr>
          <w:p w:rsidR="009C11D3" w:rsidRPr="009C11D3" w:rsidRDefault="009C11D3" w:rsidP="009C11D3">
            <w:pPr>
              <w:jc w:val="center"/>
              <w:rPr>
                <w:b/>
              </w:rPr>
            </w:pPr>
            <w:r w:rsidRPr="009C11D3">
              <w:rPr>
                <w:b/>
              </w:rPr>
              <w:t>Priekšlikumi</w:t>
            </w:r>
          </w:p>
          <w:p w:rsidR="009C11D3" w:rsidRPr="009C11D3" w:rsidRDefault="00687069" w:rsidP="009C11D3">
            <w:pPr>
              <w:jc w:val="center"/>
              <w:rPr>
                <w:b/>
              </w:rPr>
            </w:pPr>
            <w:r>
              <w:rPr>
                <w:b/>
              </w:rPr>
              <w:t>(7</w:t>
            </w:r>
            <w:r w:rsidR="009C11D3" w:rsidRPr="009C11D3">
              <w:rPr>
                <w:b/>
              </w:rPr>
              <w:t>)</w:t>
            </w:r>
          </w:p>
        </w:tc>
        <w:tc>
          <w:tcPr>
            <w:tcW w:w="1417" w:type="dxa"/>
            <w:vAlign w:val="center"/>
          </w:tcPr>
          <w:p w:rsidR="009C11D3" w:rsidRPr="009C11D3" w:rsidRDefault="009C11D3" w:rsidP="009C11D3">
            <w:pPr>
              <w:jc w:val="center"/>
              <w:rPr>
                <w:b/>
              </w:rPr>
            </w:pPr>
            <w:r w:rsidRPr="009C11D3">
              <w:rPr>
                <w:b/>
                <w:bCs/>
                <w:iCs/>
              </w:rPr>
              <w:t>Ministru kabineta atzinums</w:t>
            </w:r>
          </w:p>
        </w:tc>
        <w:tc>
          <w:tcPr>
            <w:tcW w:w="1417" w:type="dxa"/>
            <w:vAlign w:val="center"/>
          </w:tcPr>
          <w:p w:rsidR="009C11D3" w:rsidRPr="009C11D3" w:rsidRDefault="009C11D3" w:rsidP="009C11D3">
            <w:pPr>
              <w:jc w:val="center"/>
              <w:rPr>
                <w:b/>
              </w:rPr>
            </w:pPr>
            <w:r w:rsidRPr="009C11D3">
              <w:rPr>
                <w:b/>
                <w:bCs/>
                <w:iCs/>
              </w:rPr>
              <w:t>Komisijas atzinums</w:t>
            </w:r>
          </w:p>
        </w:tc>
      </w:tr>
      <w:tr w:rsidR="009C11D3" w:rsidRPr="009C11D3" w:rsidTr="009C11D3">
        <w:tc>
          <w:tcPr>
            <w:tcW w:w="3798" w:type="dxa"/>
            <w:shd w:val="clear" w:color="auto" w:fill="auto"/>
          </w:tcPr>
          <w:p w:rsidR="009C11D3" w:rsidRPr="009C11D3" w:rsidRDefault="009C11D3" w:rsidP="00F94FBC">
            <w:pPr>
              <w:ind w:firstLine="567"/>
              <w:jc w:val="both"/>
              <w:rPr>
                <w:b/>
                <w:noProof/>
                <w:sz w:val="22"/>
                <w:lang w:val="en-GB"/>
              </w:rPr>
            </w:pPr>
          </w:p>
        </w:tc>
        <w:tc>
          <w:tcPr>
            <w:tcW w:w="3798" w:type="dxa"/>
            <w:shd w:val="clear" w:color="auto" w:fill="auto"/>
          </w:tcPr>
          <w:p w:rsidR="009C11D3" w:rsidRPr="009C11D3" w:rsidRDefault="009C11D3" w:rsidP="00F94FBC">
            <w:pPr>
              <w:ind w:firstLine="709"/>
              <w:jc w:val="both"/>
              <w:rPr>
                <w:noProof/>
                <w:sz w:val="22"/>
                <w:lang w:val="en-GB"/>
              </w:rPr>
            </w:pPr>
            <w:r w:rsidRPr="009C11D3">
              <w:rPr>
                <w:rFonts w:eastAsia="Times New Roman"/>
                <w:noProof/>
                <w:sz w:val="22"/>
                <w:lang w:val="en-GB" w:eastAsia="lv-LV"/>
              </w:rPr>
              <w:t>Izdarīt Invaliditātes likumā (Latvijas Vēstnesis, 2010, 91., 205. nr.; 2011, 117. nr.; 2012, 157., 192. nr.; 2016, 108., 200. nr.; 2018, 225. nr.) šādus grozījumus:</w:t>
            </w:r>
          </w:p>
        </w:tc>
        <w:tc>
          <w:tcPr>
            <w:tcW w:w="567" w:type="dxa"/>
          </w:tcPr>
          <w:p w:rsidR="009C11D3" w:rsidRPr="00687069" w:rsidRDefault="00687069" w:rsidP="00687069">
            <w:pPr>
              <w:jc w:val="center"/>
              <w:rPr>
                <w:rFonts w:eastAsia="Times New Roman"/>
                <w:b/>
                <w:noProof/>
                <w:sz w:val="22"/>
                <w:lang w:val="en-GB" w:eastAsia="lv-LV"/>
              </w:rPr>
            </w:pPr>
            <w:r w:rsidRPr="00687069">
              <w:rPr>
                <w:rFonts w:eastAsia="Times New Roman"/>
                <w:b/>
                <w:noProof/>
                <w:sz w:val="22"/>
                <w:lang w:val="en-GB" w:eastAsia="lv-LV"/>
              </w:rPr>
              <w:t>1</w:t>
            </w:r>
          </w:p>
        </w:tc>
        <w:tc>
          <w:tcPr>
            <w:tcW w:w="3798" w:type="dxa"/>
          </w:tcPr>
          <w:p w:rsidR="005C5DCC" w:rsidRPr="005C5DCC" w:rsidRDefault="005C5DCC" w:rsidP="005C5DCC">
            <w:pPr>
              <w:ind w:firstLine="720"/>
              <w:jc w:val="both"/>
              <w:rPr>
                <w:b/>
                <w:sz w:val="22"/>
                <w:u w:val="single"/>
              </w:rPr>
            </w:pPr>
            <w:r w:rsidRPr="005C5DCC">
              <w:rPr>
                <w:b/>
                <w:sz w:val="22"/>
                <w:u w:val="single"/>
              </w:rPr>
              <w:t>Juridiskais birojs</w:t>
            </w:r>
          </w:p>
          <w:p w:rsidR="005C5DCC" w:rsidRPr="005C5DCC" w:rsidRDefault="005C5DCC" w:rsidP="005C5DCC">
            <w:pPr>
              <w:ind w:firstLine="720"/>
              <w:jc w:val="both"/>
              <w:rPr>
                <w:i/>
                <w:sz w:val="22"/>
              </w:rPr>
            </w:pPr>
            <w:r w:rsidRPr="005C5DCC">
              <w:rPr>
                <w:i/>
                <w:sz w:val="22"/>
              </w:rPr>
              <w:t xml:space="preserve">Saskaņā ar likumprojekta sākotnējās ietekmes novērtējuma ziņojumu (anotāciju), likumprojekta mērķis ir nodrošināt asistenta pakalpojumu pašvaldībā, augstskolā un koledžā sniegšanu pieejamo valsts budžeta līdzekļu ietvaros, nesasaistot to ar minimālo algu. Neatkarīgi no tā, ka likumprojektā paredzēts, ka grozījumi Invaliditātes likumā stājas spēkā 2020. gada 1. janvārī, tā pārejas noteikumu 8. punkts (likumprojekta 2. pants) paredz visu likumprojektā ietverto grozījumu spēkā stāšanos tikai 2021. gada 1. janvārī. Juridiskā biroja ieskatā pastāv pamatotas šaubas par šāda likumprojekta iekļaušanu budžeta likumprojektu paketē. </w:t>
            </w:r>
          </w:p>
          <w:p w:rsidR="009C11D3" w:rsidRPr="005C5DCC" w:rsidRDefault="005C5DCC" w:rsidP="005C5DCC">
            <w:pPr>
              <w:ind w:firstLine="720"/>
              <w:jc w:val="both"/>
              <w:rPr>
                <w:i/>
                <w:sz w:val="22"/>
              </w:rPr>
            </w:pPr>
            <w:r w:rsidRPr="005C5DCC">
              <w:rPr>
                <w:i/>
                <w:sz w:val="22"/>
              </w:rPr>
              <w:t xml:space="preserve">Satversmes tiesa ir atzinusi, likumdevējam ir tiesības un tai pašā laikā arī pienākums valsts budžeta likumā un to pavadošo likumu paketē iekļaut vienīgi tādus jautājumus, kas attiecas uz konkrēto saimniecisko gadu un ir cieši saistīti ar valsts finanšu līdzekļu izlietojumu </w:t>
            </w:r>
            <w:proofErr w:type="gramStart"/>
            <w:r w:rsidRPr="005C5DCC">
              <w:rPr>
                <w:i/>
                <w:sz w:val="22"/>
              </w:rPr>
              <w:t>(</w:t>
            </w:r>
            <w:proofErr w:type="gramEnd"/>
            <w:r w:rsidRPr="005C5DCC">
              <w:rPr>
                <w:i/>
                <w:sz w:val="22"/>
              </w:rPr>
              <w:t xml:space="preserve">sk. Satversmes tiesas 2011. gada 19. decembra sprieduma lietā Nr. 2011-03-01 18. </w:t>
            </w:r>
            <w:r w:rsidRPr="005C5DCC">
              <w:rPr>
                <w:i/>
                <w:sz w:val="22"/>
              </w:rPr>
              <w:lastRenderedPageBreak/>
              <w:t>punktu un 2015. gada 25. marta sprieduma lietā Nr. 2014-11-0103 18.1. punktu). Ņemot vērā īpašo budžeta likumprojektu paketes izskatīšanai noteikto kārtību, Saeimai ir jāizvērtē arī tas, vai visi Ministru kabineta iesniegtie valsts budžeta paketes likumprojekti atbilst Saeimas kārtības ruļļa 87.</w:t>
            </w:r>
            <w:r w:rsidRPr="005C5DCC">
              <w:rPr>
                <w:i/>
                <w:sz w:val="22"/>
                <w:vertAlign w:val="superscript"/>
              </w:rPr>
              <w:t>1</w:t>
            </w:r>
            <w:r w:rsidRPr="005C5DCC">
              <w:rPr>
                <w:i/>
                <w:sz w:val="22"/>
              </w:rPr>
              <w:t xml:space="preserve"> pantā norādītajiem kritērijiem. Ja kāds likumprojekts šiem kritērijiem neatbilst, Saeimai tas jāizslēdz no budžeta likumprojektu paketes (sk. Satversmes tiesas 2015.gada 25.marta spriedumu lietā Nr.2014-11-0103).</w:t>
            </w:r>
          </w:p>
        </w:tc>
        <w:tc>
          <w:tcPr>
            <w:tcW w:w="1417" w:type="dxa"/>
          </w:tcPr>
          <w:p w:rsidR="009C11D3" w:rsidRPr="009C11D3" w:rsidRDefault="009C11D3" w:rsidP="00F94FBC">
            <w:pPr>
              <w:ind w:firstLine="709"/>
              <w:jc w:val="both"/>
              <w:rPr>
                <w:rFonts w:eastAsia="Times New Roman"/>
                <w:noProof/>
                <w:sz w:val="22"/>
                <w:lang w:val="en-GB" w:eastAsia="lv-LV"/>
              </w:rPr>
            </w:pPr>
          </w:p>
        </w:tc>
        <w:tc>
          <w:tcPr>
            <w:tcW w:w="1417" w:type="dxa"/>
          </w:tcPr>
          <w:p w:rsidR="009C11D3" w:rsidRPr="009C11D3" w:rsidRDefault="009C11D3" w:rsidP="00F94FBC">
            <w:pPr>
              <w:ind w:firstLine="709"/>
              <w:jc w:val="both"/>
              <w:rPr>
                <w:rFonts w:eastAsia="Times New Roman"/>
                <w:noProof/>
                <w:sz w:val="22"/>
                <w:lang w:val="en-GB" w:eastAsia="lv-LV"/>
              </w:rPr>
            </w:pPr>
          </w:p>
        </w:tc>
      </w:tr>
      <w:tr w:rsidR="009C11D3" w:rsidRPr="009C11D3" w:rsidTr="009C11D3">
        <w:tc>
          <w:tcPr>
            <w:tcW w:w="3798" w:type="dxa"/>
            <w:shd w:val="clear" w:color="auto" w:fill="auto"/>
          </w:tcPr>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b/>
                <w:bCs/>
                <w:noProof/>
                <w:sz w:val="22"/>
                <w:szCs w:val="22"/>
                <w:lang w:val="en-GB"/>
              </w:rPr>
              <w:t>12.pants. Invaliditātes seku mazināšana</w:t>
            </w:r>
          </w:p>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noProof/>
                <w:sz w:val="22"/>
                <w:szCs w:val="22"/>
                <w:lang w:val="en-GB"/>
              </w:rPr>
              <w:t>(1) Invaliditātes sekas personām ar invaliditāti mazina:</w:t>
            </w:r>
          </w:p>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noProof/>
                <w:sz w:val="22"/>
                <w:szCs w:val="22"/>
                <w:lang w:val="en-GB"/>
              </w:rPr>
              <w:t>1) īstenojot individuālajā rehabilitācijas plānā noteiktos pasākumus;</w:t>
            </w:r>
          </w:p>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noProof/>
                <w:sz w:val="22"/>
                <w:szCs w:val="22"/>
                <w:lang w:val="en-GB"/>
              </w:rPr>
              <w:t>2) personām ar I grupas redzes invaliditāti, kuras nesaņem šīs daļas 3.punktā minēto asistenta pakalpojumu vai valsts pabalstu personai ar invaliditāti, kuram nepieciešama kopšana, nodrošinot tiesības saņemt pabalstu par asistenta izmantošanu 10 stundas nedēļā, pašām izvēloties konkrēto asistentu. Šo pabalstu nav tiesību saņemt personām, kuras atrodas ilgstošas sociālās aprūpes institūcijā, stacionārā ārstniecības iestādē vai ieslodzījuma vietā;</w:t>
            </w:r>
          </w:p>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noProof/>
                <w:sz w:val="22"/>
                <w:szCs w:val="22"/>
                <w:lang w:val="en-GB"/>
              </w:rPr>
              <w:t xml:space="preserve">3) personām ar invaliditāti, izņemot personas, kuras saņem šīs daļas 2.punktā minēto pabalstu par asistenta izmantošanu, un personas, kuras atrodas ilgstošas sociālās aprūpes institūcijā, </w:t>
            </w:r>
            <w:r w:rsidRPr="009C11D3">
              <w:rPr>
                <w:noProof/>
                <w:sz w:val="22"/>
                <w:szCs w:val="22"/>
                <w:lang w:val="en-GB"/>
              </w:rPr>
              <w:lastRenderedPageBreak/>
              <w:t>stacionārā ārstniecības iestādē vai ieslodzījuma vietā, — no 2013.gada 1.janvāra nodrošinot tiesības pašvaldībā pēc to deklarētās dzīvesvietas saņemt no valsts budžeta apmaksātu asistenta pakalpojumu līdz 40 stundām nedēļā;</w:t>
            </w:r>
          </w:p>
        </w:tc>
        <w:tc>
          <w:tcPr>
            <w:tcW w:w="3798" w:type="dxa"/>
            <w:shd w:val="clear" w:color="auto" w:fill="auto"/>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lastRenderedPageBreak/>
              <w:t>1.  12. pantā:</w:t>
            </w:r>
          </w:p>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t>izslēgt pirmās daļas 3. punktā vārdus un skaitli "līdz 40 stundām nedēļā";</w:t>
            </w:r>
          </w:p>
        </w:tc>
        <w:tc>
          <w:tcPr>
            <w:tcW w:w="567" w:type="dxa"/>
          </w:tcPr>
          <w:p w:rsidR="009C11D3"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r w:rsidRPr="00687069">
              <w:rPr>
                <w:rFonts w:ascii="Times New Roman" w:eastAsia="Times New Roman" w:hAnsi="Times New Roman"/>
                <w:b/>
                <w:noProof/>
                <w:lang w:val="en-GB" w:eastAsia="lv-LV"/>
              </w:rPr>
              <w:t>2</w:t>
            </w:r>
          </w:p>
          <w:p w:rsidR="00687069"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p>
          <w:p w:rsidR="00687069"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p>
          <w:p w:rsidR="00687069"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p>
          <w:p w:rsidR="00687069" w:rsidRPr="00687069" w:rsidRDefault="00687069" w:rsidP="00687069">
            <w:pPr>
              <w:pStyle w:val="ListParagraph"/>
              <w:spacing w:after="0" w:line="240" w:lineRule="auto"/>
              <w:ind w:left="0"/>
              <w:jc w:val="center"/>
              <w:rPr>
                <w:rFonts w:ascii="Times New Roman" w:eastAsia="Times New Roman" w:hAnsi="Times New Roman"/>
                <w:noProof/>
                <w:lang w:val="en-GB" w:eastAsia="lv-LV"/>
              </w:rPr>
            </w:pPr>
            <w:r w:rsidRPr="00687069">
              <w:rPr>
                <w:rFonts w:ascii="Times New Roman" w:eastAsia="Times New Roman" w:hAnsi="Times New Roman"/>
                <w:b/>
                <w:noProof/>
                <w:lang w:val="en-GB" w:eastAsia="lv-LV"/>
              </w:rPr>
              <w:t>3</w:t>
            </w:r>
          </w:p>
        </w:tc>
        <w:tc>
          <w:tcPr>
            <w:tcW w:w="3798" w:type="dxa"/>
          </w:tcPr>
          <w:p w:rsidR="009C11D3" w:rsidRDefault="00815635" w:rsidP="00815635">
            <w:pPr>
              <w:spacing w:line="276" w:lineRule="auto"/>
              <w:ind w:firstLine="567"/>
              <w:jc w:val="both"/>
              <w:rPr>
                <w:b/>
                <w:sz w:val="22"/>
                <w:u w:val="single"/>
              </w:rPr>
            </w:pPr>
            <w:r w:rsidRPr="00815635">
              <w:rPr>
                <w:b/>
                <w:sz w:val="22"/>
                <w:u w:val="single"/>
              </w:rPr>
              <w:t xml:space="preserve">Deputāte Ļ. </w:t>
            </w:r>
            <w:proofErr w:type="spellStart"/>
            <w:r w:rsidRPr="00815635">
              <w:rPr>
                <w:b/>
                <w:sz w:val="22"/>
                <w:u w:val="single"/>
              </w:rPr>
              <w:t>Švecova</w:t>
            </w:r>
            <w:proofErr w:type="spellEnd"/>
          </w:p>
          <w:p w:rsidR="00815635" w:rsidRDefault="00815635" w:rsidP="00815635">
            <w:pPr>
              <w:ind w:firstLine="567"/>
              <w:jc w:val="both"/>
              <w:rPr>
                <w:sz w:val="22"/>
              </w:rPr>
            </w:pPr>
            <w:r w:rsidRPr="00815635">
              <w:rPr>
                <w:sz w:val="22"/>
              </w:rPr>
              <w:t xml:space="preserve">Izslēgt likumprojekta </w:t>
            </w:r>
            <w:proofErr w:type="gramStart"/>
            <w:r w:rsidRPr="00815635">
              <w:rPr>
                <w:sz w:val="22"/>
              </w:rPr>
              <w:t>1.pantu</w:t>
            </w:r>
            <w:proofErr w:type="gramEnd"/>
            <w:r w:rsidRPr="00815635">
              <w:rPr>
                <w:sz w:val="22"/>
              </w:rPr>
              <w:t>.</w:t>
            </w:r>
          </w:p>
          <w:p w:rsidR="00687069" w:rsidRDefault="00687069" w:rsidP="00815635">
            <w:pPr>
              <w:ind w:firstLine="567"/>
              <w:jc w:val="both"/>
              <w:rPr>
                <w:sz w:val="22"/>
              </w:rPr>
            </w:pPr>
          </w:p>
          <w:p w:rsidR="00687069" w:rsidRDefault="00687069" w:rsidP="00815635">
            <w:pPr>
              <w:ind w:firstLine="567"/>
              <w:jc w:val="both"/>
              <w:rPr>
                <w:sz w:val="22"/>
              </w:rPr>
            </w:pPr>
          </w:p>
          <w:p w:rsidR="00687069" w:rsidRDefault="00687069" w:rsidP="00815635">
            <w:pPr>
              <w:ind w:firstLine="567"/>
              <w:jc w:val="both"/>
              <w:rPr>
                <w:b/>
                <w:sz w:val="22"/>
                <w:u w:val="single"/>
              </w:rPr>
            </w:pPr>
            <w:r w:rsidRPr="00687069">
              <w:rPr>
                <w:b/>
                <w:sz w:val="22"/>
                <w:u w:val="single"/>
              </w:rPr>
              <w:t>Deputāti J.Stepaņenko, K.Sprūde, L.Liepiņa, A.Gobzems, D.Šmits</w:t>
            </w:r>
          </w:p>
          <w:p w:rsidR="00687069" w:rsidRPr="00687069" w:rsidRDefault="00687069" w:rsidP="00687069">
            <w:pPr>
              <w:ind w:firstLine="567"/>
              <w:jc w:val="both"/>
              <w:rPr>
                <w:sz w:val="22"/>
              </w:rPr>
            </w:pPr>
            <w:r w:rsidRPr="00687069">
              <w:rPr>
                <w:sz w:val="22"/>
              </w:rPr>
              <w:t>Izslēgt likumprojekta 1.un 2. pantu.</w:t>
            </w:r>
          </w:p>
          <w:p w:rsidR="00687069" w:rsidRPr="00687069" w:rsidRDefault="00687069" w:rsidP="00815635">
            <w:pPr>
              <w:ind w:firstLine="567"/>
              <w:jc w:val="both"/>
              <w:rPr>
                <w:b/>
                <w:sz w:val="22"/>
                <w:u w:val="single"/>
              </w:rPr>
            </w:pPr>
          </w:p>
          <w:p w:rsidR="00815635" w:rsidRDefault="00815635" w:rsidP="00815635">
            <w:pPr>
              <w:spacing w:line="276" w:lineRule="auto"/>
              <w:ind w:firstLine="567"/>
              <w:jc w:val="both"/>
              <w:rPr>
                <w:b/>
                <w:sz w:val="22"/>
                <w:u w:val="single"/>
              </w:rPr>
            </w:pPr>
          </w:p>
          <w:p w:rsidR="00815635" w:rsidRPr="00815635" w:rsidRDefault="00815635" w:rsidP="00815635">
            <w:pPr>
              <w:contextualSpacing/>
              <w:jc w:val="both"/>
              <w:rPr>
                <w:b/>
                <w:sz w:val="22"/>
                <w:u w:val="single"/>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r>
      <w:tr w:rsidR="009C11D3" w:rsidRPr="009C11D3" w:rsidTr="009C11D3">
        <w:tc>
          <w:tcPr>
            <w:tcW w:w="3798" w:type="dxa"/>
            <w:shd w:val="clear" w:color="auto" w:fill="auto"/>
          </w:tcPr>
          <w:p w:rsidR="009C11D3" w:rsidRPr="009C11D3" w:rsidRDefault="009C11D3" w:rsidP="00F94FBC">
            <w:pPr>
              <w:ind w:firstLine="567"/>
              <w:jc w:val="both"/>
              <w:rPr>
                <w:b/>
                <w:noProof/>
                <w:sz w:val="22"/>
                <w:lang w:val="en-GB"/>
              </w:rPr>
            </w:pPr>
            <w:r w:rsidRPr="009C11D3">
              <w:rPr>
                <w:noProof/>
                <w:sz w:val="22"/>
                <w:lang w:val="en-GB"/>
              </w:rPr>
              <w:t>3</w:t>
            </w:r>
            <w:r w:rsidRPr="009C11D3">
              <w:rPr>
                <w:noProof/>
                <w:sz w:val="22"/>
                <w:vertAlign w:val="superscript"/>
                <w:lang w:val="en-GB"/>
              </w:rPr>
              <w:t>1</w:t>
            </w:r>
            <w:r w:rsidRPr="009C11D3">
              <w:rPr>
                <w:noProof/>
                <w:sz w:val="22"/>
                <w:lang w:val="en-GB"/>
              </w:rPr>
              <w:t>) personām, kuras saņem šīs daļas 2.punktā minēto pabalstu par asistenta izmantošanu, nodrošinot tiesības saņemt šīs daļas 3.punktā minēto asistenta pakalpojumu daļā, kas pārsniedz 10 stundas nedēļā;</w:t>
            </w:r>
          </w:p>
        </w:tc>
        <w:tc>
          <w:tcPr>
            <w:tcW w:w="3798" w:type="dxa"/>
            <w:shd w:val="clear" w:color="auto" w:fill="auto"/>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t>papildināt pirmās daļas 3.</w:t>
            </w:r>
            <w:r w:rsidRPr="009C11D3">
              <w:rPr>
                <w:rFonts w:ascii="Times New Roman" w:eastAsia="Times New Roman" w:hAnsi="Times New Roman"/>
                <w:noProof/>
                <w:vertAlign w:val="superscript"/>
                <w:lang w:val="en-GB" w:eastAsia="lv-LV"/>
              </w:rPr>
              <w:t>1 </w:t>
            </w:r>
            <w:r w:rsidRPr="009C11D3">
              <w:rPr>
                <w:rFonts w:ascii="Times New Roman" w:eastAsia="Times New Roman" w:hAnsi="Times New Roman"/>
                <w:noProof/>
                <w:lang w:val="en-GB" w:eastAsia="lv-LV"/>
              </w:rPr>
              <w:t>punktu pēc vārda "nedēļā" ar vārdiem "bet nepārsniedz Ministru kabineta noteikto maksimālo asistenta pakalpojuma apjomu";</w:t>
            </w:r>
          </w:p>
        </w:tc>
        <w:tc>
          <w:tcPr>
            <w:tcW w:w="567" w:type="dxa"/>
          </w:tcPr>
          <w:p w:rsidR="009C11D3" w:rsidRPr="00687069" w:rsidRDefault="009C11D3" w:rsidP="00687069">
            <w:pPr>
              <w:pStyle w:val="ListParagraph"/>
              <w:spacing w:after="0" w:line="240" w:lineRule="auto"/>
              <w:ind w:left="0"/>
              <w:jc w:val="center"/>
              <w:rPr>
                <w:rFonts w:ascii="Times New Roman" w:eastAsia="Times New Roman" w:hAnsi="Times New Roman"/>
                <w:noProof/>
                <w:lang w:val="en-GB" w:eastAsia="lv-LV"/>
              </w:rPr>
            </w:pPr>
          </w:p>
        </w:tc>
        <w:tc>
          <w:tcPr>
            <w:tcW w:w="3798"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r>
      <w:tr w:rsidR="00815635" w:rsidRPr="009C11D3" w:rsidTr="009C11D3">
        <w:tc>
          <w:tcPr>
            <w:tcW w:w="3798" w:type="dxa"/>
            <w:shd w:val="clear" w:color="auto" w:fill="auto"/>
          </w:tcPr>
          <w:p w:rsidR="00815635" w:rsidRPr="009C11D3" w:rsidRDefault="00815635" w:rsidP="00F94FBC">
            <w:pPr>
              <w:ind w:firstLine="567"/>
              <w:jc w:val="both"/>
              <w:rPr>
                <w:noProof/>
                <w:sz w:val="22"/>
                <w:lang w:val="en-GB"/>
              </w:rPr>
            </w:pPr>
          </w:p>
        </w:tc>
        <w:tc>
          <w:tcPr>
            <w:tcW w:w="3798" w:type="dxa"/>
            <w:shd w:val="clear" w:color="auto" w:fill="auto"/>
          </w:tcPr>
          <w:p w:rsidR="00815635" w:rsidRPr="009C11D3" w:rsidRDefault="00815635"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567" w:type="dxa"/>
          </w:tcPr>
          <w:p w:rsidR="00815635"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r w:rsidRPr="00687069">
              <w:rPr>
                <w:rFonts w:ascii="Times New Roman" w:eastAsia="Times New Roman" w:hAnsi="Times New Roman"/>
                <w:b/>
                <w:noProof/>
                <w:lang w:val="en-GB" w:eastAsia="lv-LV"/>
              </w:rPr>
              <w:t>4</w:t>
            </w:r>
          </w:p>
        </w:tc>
        <w:tc>
          <w:tcPr>
            <w:tcW w:w="3798" w:type="dxa"/>
          </w:tcPr>
          <w:p w:rsidR="00815635" w:rsidRPr="00815635" w:rsidRDefault="00815635" w:rsidP="00815635">
            <w:pPr>
              <w:ind w:firstLine="567"/>
              <w:jc w:val="both"/>
              <w:rPr>
                <w:b/>
                <w:sz w:val="22"/>
                <w:u w:val="single"/>
              </w:rPr>
            </w:pPr>
            <w:r w:rsidRPr="00815635">
              <w:rPr>
                <w:b/>
                <w:sz w:val="22"/>
                <w:u w:val="single"/>
              </w:rPr>
              <w:t xml:space="preserve">Labklājības ministrijas parlamentārais sekretārs </w:t>
            </w:r>
            <w:proofErr w:type="spellStart"/>
            <w:r w:rsidRPr="00815635">
              <w:rPr>
                <w:b/>
                <w:sz w:val="22"/>
                <w:u w:val="single"/>
              </w:rPr>
              <w:t>K.Lipšāns</w:t>
            </w:r>
            <w:proofErr w:type="spellEnd"/>
          </w:p>
          <w:p w:rsidR="00815635" w:rsidRPr="00815635" w:rsidRDefault="00815635" w:rsidP="00815635">
            <w:pPr>
              <w:pStyle w:val="ListParagraph"/>
              <w:spacing w:after="0" w:line="240" w:lineRule="auto"/>
              <w:ind w:left="0" w:firstLine="567"/>
              <w:jc w:val="both"/>
              <w:rPr>
                <w:rFonts w:ascii="Times New Roman" w:hAnsi="Times New Roman"/>
              </w:rPr>
            </w:pPr>
            <w:r w:rsidRPr="00815635">
              <w:rPr>
                <w:rFonts w:ascii="Times New Roman" w:hAnsi="Times New Roman"/>
              </w:rPr>
              <w:t xml:space="preserve">Papildināt likumprojekta 1. pantu ar šādiem papildu grozījumiem Invaliditātes likuma </w:t>
            </w:r>
            <w:proofErr w:type="gramStart"/>
            <w:r w:rsidRPr="00815635">
              <w:rPr>
                <w:rFonts w:ascii="Times New Roman" w:hAnsi="Times New Roman"/>
              </w:rPr>
              <w:t>12.pantā</w:t>
            </w:r>
            <w:proofErr w:type="gramEnd"/>
            <w:r w:rsidRPr="00815635">
              <w:rPr>
                <w:rFonts w:ascii="Times New Roman" w:hAnsi="Times New Roman"/>
              </w:rPr>
              <w:t>:</w:t>
            </w:r>
          </w:p>
          <w:p w:rsidR="00815635" w:rsidRPr="00815635" w:rsidRDefault="00815635" w:rsidP="00815635">
            <w:pPr>
              <w:ind w:firstLine="567"/>
              <w:contextualSpacing/>
              <w:jc w:val="both"/>
              <w:rPr>
                <w:sz w:val="22"/>
              </w:rPr>
            </w:pPr>
            <w:r w:rsidRPr="00815635">
              <w:rPr>
                <w:sz w:val="22"/>
              </w:rPr>
              <w:t>papildināt 12. panta piekto</w:t>
            </w:r>
            <w:r w:rsidRPr="00815635">
              <w:rPr>
                <w:sz w:val="22"/>
                <w:vertAlign w:val="superscript"/>
              </w:rPr>
              <w:t xml:space="preserve"> </w:t>
            </w:r>
            <w:r w:rsidRPr="00815635">
              <w:rPr>
                <w:rFonts w:eastAsia="Times New Roman"/>
                <w:sz w:val="22"/>
                <w:lang w:eastAsia="lv-LV"/>
              </w:rPr>
              <w:t>daļ</w:t>
            </w:r>
            <w:r w:rsidRPr="00815635">
              <w:rPr>
                <w:sz w:val="22"/>
              </w:rPr>
              <w:t>u</w:t>
            </w:r>
            <w:r w:rsidRPr="00815635">
              <w:rPr>
                <w:rFonts w:eastAsia="Times New Roman"/>
                <w:sz w:val="22"/>
                <w:lang w:eastAsia="lv-LV"/>
              </w:rPr>
              <w:t xml:space="preserve"> pēc</w:t>
            </w:r>
            <w:r w:rsidRPr="00815635">
              <w:rPr>
                <w:sz w:val="22"/>
              </w:rPr>
              <w:t xml:space="preserve"> vārda </w:t>
            </w:r>
            <w:r w:rsidRPr="00815635">
              <w:rPr>
                <w:rFonts w:eastAsia="Times New Roman"/>
                <w:sz w:val="22"/>
                <w:lang w:eastAsia="lv-LV"/>
              </w:rPr>
              <w:t>"</w:t>
            </w:r>
            <w:r w:rsidRPr="00815635">
              <w:rPr>
                <w:sz w:val="22"/>
              </w:rPr>
              <w:t>piešķiršanas</w:t>
            </w:r>
            <w:r w:rsidRPr="00815635">
              <w:rPr>
                <w:rFonts w:eastAsia="Times New Roman"/>
                <w:sz w:val="22"/>
                <w:lang w:eastAsia="lv-LV"/>
              </w:rPr>
              <w:t xml:space="preserve">" </w:t>
            </w:r>
            <w:r w:rsidRPr="00815635">
              <w:rPr>
                <w:sz w:val="22"/>
              </w:rPr>
              <w:t xml:space="preserve">ar vārdiem </w:t>
            </w:r>
            <w:r w:rsidRPr="00815635">
              <w:rPr>
                <w:rFonts w:eastAsia="Times New Roman"/>
                <w:sz w:val="22"/>
                <w:lang w:eastAsia="lv-LV"/>
              </w:rPr>
              <w:t>"</w:t>
            </w:r>
            <w:r w:rsidRPr="00815635">
              <w:rPr>
                <w:rFonts w:eastAsia="Times New Roman"/>
                <w:sz w:val="22"/>
                <w:u w:val="single"/>
                <w:lang w:eastAsia="lv-LV"/>
              </w:rPr>
              <w:t>nosacījumus un</w:t>
            </w:r>
            <w:r w:rsidRPr="00815635">
              <w:rPr>
                <w:rFonts w:eastAsia="Times New Roman"/>
                <w:sz w:val="22"/>
                <w:lang w:eastAsia="lv-LV"/>
              </w:rPr>
              <w:t>"</w:t>
            </w:r>
            <w:r w:rsidRPr="00815635">
              <w:rPr>
                <w:sz w:val="22"/>
              </w:rPr>
              <w:t>;</w:t>
            </w:r>
          </w:p>
        </w:tc>
        <w:tc>
          <w:tcPr>
            <w:tcW w:w="1417" w:type="dxa"/>
          </w:tcPr>
          <w:p w:rsidR="00815635" w:rsidRPr="009C11D3" w:rsidRDefault="00815635"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815635" w:rsidRPr="009C11D3" w:rsidRDefault="00815635" w:rsidP="00F94FBC">
            <w:pPr>
              <w:pStyle w:val="ListParagraph"/>
              <w:spacing w:after="0" w:line="240" w:lineRule="auto"/>
              <w:ind w:left="0" w:firstLine="709"/>
              <w:jc w:val="both"/>
              <w:rPr>
                <w:rFonts w:ascii="Times New Roman" w:eastAsia="Times New Roman" w:hAnsi="Times New Roman"/>
                <w:noProof/>
                <w:lang w:val="en-GB" w:eastAsia="lv-LV"/>
              </w:rPr>
            </w:pPr>
          </w:p>
        </w:tc>
      </w:tr>
      <w:tr w:rsidR="009C11D3" w:rsidRPr="009C11D3" w:rsidTr="009C11D3">
        <w:tc>
          <w:tcPr>
            <w:tcW w:w="3798" w:type="dxa"/>
            <w:shd w:val="clear" w:color="auto" w:fill="auto"/>
          </w:tcPr>
          <w:p w:rsidR="009C11D3" w:rsidRPr="009C11D3" w:rsidRDefault="009C11D3" w:rsidP="00F94FBC">
            <w:pPr>
              <w:pStyle w:val="tv213"/>
              <w:spacing w:before="0" w:beforeAutospacing="0" w:after="0" w:afterAutospacing="0"/>
              <w:ind w:firstLine="567"/>
              <w:jc w:val="both"/>
              <w:rPr>
                <w:noProof/>
                <w:sz w:val="22"/>
                <w:szCs w:val="22"/>
                <w:lang w:val="en-GB"/>
              </w:rPr>
            </w:pPr>
            <w:r w:rsidRPr="009C11D3">
              <w:rPr>
                <w:noProof/>
                <w:sz w:val="22"/>
                <w:szCs w:val="22"/>
                <w:lang w:val="en-GB"/>
              </w:rPr>
              <w:t>(5</w:t>
            </w:r>
            <w:r w:rsidRPr="009C11D3">
              <w:rPr>
                <w:noProof/>
                <w:sz w:val="22"/>
                <w:szCs w:val="22"/>
                <w:vertAlign w:val="superscript"/>
                <w:lang w:val="en-GB"/>
              </w:rPr>
              <w:t>1</w:t>
            </w:r>
            <w:r w:rsidRPr="009C11D3">
              <w:rPr>
                <w:noProof/>
                <w:sz w:val="22"/>
                <w:szCs w:val="22"/>
                <w:lang w:val="en-GB"/>
              </w:rPr>
              <w:t>) Ministru kabinets nosaka prasības asistentam, kas sniedz šā panta pirmās daļas 3. un 4. punktā minēto asistenta pakalpojumu, kā arī kritērijus atzinuma sniegšanai par asistenta pakalpojuma nepieciešamību un pakalpojuma apjoma noteikšanai un šā panta pirmās daļas 3.</w:t>
            </w:r>
            <w:r w:rsidRPr="009C11D3">
              <w:rPr>
                <w:noProof/>
                <w:sz w:val="22"/>
                <w:szCs w:val="22"/>
                <w:vertAlign w:val="superscript"/>
                <w:lang w:val="en-GB"/>
              </w:rPr>
              <w:t>1</w:t>
            </w:r>
            <w:r w:rsidRPr="009C11D3">
              <w:rPr>
                <w:noProof/>
                <w:sz w:val="22"/>
                <w:szCs w:val="22"/>
                <w:lang w:val="en-GB"/>
              </w:rPr>
              <w:t xml:space="preserve"> punktā minēto asistenta pakalpojumu, prasības asistentam, šā pakalpojuma piešķiršanas kārtību, kā arī kritērijus atzinuma sniegšanai par asistenta pakalpojuma </w:t>
            </w:r>
            <w:r w:rsidRPr="009C11D3">
              <w:rPr>
                <w:noProof/>
                <w:sz w:val="22"/>
                <w:szCs w:val="22"/>
                <w:lang w:val="en-GB"/>
              </w:rPr>
              <w:lastRenderedPageBreak/>
              <w:t>nepieciešamību un pakalpojuma apjoma noteikšanai.</w:t>
            </w:r>
          </w:p>
        </w:tc>
        <w:tc>
          <w:tcPr>
            <w:tcW w:w="3798" w:type="dxa"/>
            <w:shd w:val="clear" w:color="auto" w:fill="auto"/>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567" w:type="dxa"/>
          </w:tcPr>
          <w:p w:rsidR="009C11D3" w:rsidRPr="00687069" w:rsidRDefault="00687069" w:rsidP="00687069">
            <w:pPr>
              <w:pStyle w:val="ListParagraph"/>
              <w:spacing w:after="0" w:line="240" w:lineRule="auto"/>
              <w:ind w:left="0"/>
              <w:jc w:val="center"/>
              <w:rPr>
                <w:rFonts w:ascii="Times New Roman" w:hAnsi="Times New Roman"/>
                <w:b/>
                <w:noProof/>
                <w:lang w:val="en-GB" w:eastAsia="lv-LV"/>
              </w:rPr>
            </w:pPr>
            <w:r w:rsidRPr="00687069">
              <w:rPr>
                <w:rFonts w:ascii="Times New Roman" w:hAnsi="Times New Roman"/>
                <w:b/>
                <w:noProof/>
                <w:lang w:val="en-GB" w:eastAsia="lv-LV"/>
              </w:rPr>
              <w:t>5</w:t>
            </w:r>
          </w:p>
        </w:tc>
        <w:tc>
          <w:tcPr>
            <w:tcW w:w="3798" w:type="dxa"/>
          </w:tcPr>
          <w:p w:rsidR="00815635" w:rsidRPr="00815635" w:rsidRDefault="00815635" w:rsidP="00815635">
            <w:pPr>
              <w:ind w:firstLine="567"/>
              <w:jc w:val="both"/>
              <w:rPr>
                <w:b/>
                <w:sz w:val="22"/>
                <w:u w:val="single"/>
              </w:rPr>
            </w:pPr>
            <w:r w:rsidRPr="00815635">
              <w:rPr>
                <w:b/>
                <w:sz w:val="22"/>
                <w:u w:val="single"/>
              </w:rPr>
              <w:t xml:space="preserve">Labklājības ministrijas parlamentārais sekretārs </w:t>
            </w:r>
            <w:proofErr w:type="spellStart"/>
            <w:r w:rsidRPr="00815635">
              <w:rPr>
                <w:b/>
                <w:sz w:val="22"/>
                <w:u w:val="single"/>
              </w:rPr>
              <w:t>K.Lipšāns</w:t>
            </w:r>
            <w:proofErr w:type="spellEnd"/>
          </w:p>
          <w:p w:rsidR="00815635" w:rsidRPr="00815635" w:rsidRDefault="00815635" w:rsidP="00815635">
            <w:pPr>
              <w:ind w:firstLine="567"/>
              <w:contextualSpacing/>
              <w:jc w:val="both"/>
              <w:rPr>
                <w:sz w:val="22"/>
              </w:rPr>
            </w:pPr>
            <w:r w:rsidRPr="00815635">
              <w:rPr>
                <w:sz w:val="22"/>
              </w:rPr>
              <w:t>papildināt 12. panta 5.</w:t>
            </w:r>
            <w:r w:rsidRPr="00815635">
              <w:rPr>
                <w:sz w:val="22"/>
                <w:vertAlign w:val="superscript"/>
              </w:rPr>
              <w:t xml:space="preserve">1 </w:t>
            </w:r>
            <w:r w:rsidRPr="00815635">
              <w:rPr>
                <w:rFonts w:eastAsia="Times New Roman"/>
                <w:sz w:val="22"/>
                <w:lang w:eastAsia="lv-LV"/>
              </w:rPr>
              <w:t>daļ</w:t>
            </w:r>
            <w:r w:rsidRPr="00815635">
              <w:rPr>
                <w:sz w:val="22"/>
              </w:rPr>
              <w:t>u</w:t>
            </w:r>
            <w:r w:rsidRPr="00815635">
              <w:rPr>
                <w:rFonts w:eastAsia="Times New Roman"/>
                <w:sz w:val="22"/>
                <w:lang w:eastAsia="lv-LV"/>
              </w:rPr>
              <w:t xml:space="preserve"> pēc</w:t>
            </w:r>
            <w:r w:rsidRPr="00815635">
              <w:rPr>
                <w:sz w:val="22"/>
              </w:rPr>
              <w:t xml:space="preserve"> vārda </w:t>
            </w:r>
            <w:r w:rsidRPr="00815635">
              <w:rPr>
                <w:rFonts w:eastAsia="Times New Roman"/>
                <w:sz w:val="22"/>
                <w:lang w:eastAsia="lv-LV"/>
              </w:rPr>
              <w:t>"</w:t>
            </w:r>
            <w:r w:rsidRPr="00815635">
              <w:rPr>
                <w:sz w:val="22"/>
              </w:rPr>
              <w:t>piešķiršanas</w:t>
            </w:r>
            <w:r w:rsidRPr="00815635">
              <w:rPr>
                <w:rFonts w:eastAsia="Times New Roman"/>
                <w:sz w:val="22"/>
                <w:lang w:eastAsia="lv-LV"/>
              </w:rPr>
              <w:t xml:space="preserve">" </w:t>
            </w:r>
            <w:r w:rsidRPr="00815635">
              <w:rPr>
                <w:sz w:val="22"/>
              </w:rPr>
              <w:t xml:space="preserve">ar vārdiem </w:t>
            </w:r>
            <w:r w:rsidRPr="00815635">
              <w:rPr>
                <w:rFonts w:eastAsia="Times New Roman"/>
                <w:sz w:val="22"/>
                <w:lang w:eastAsia="lv-LV"/>
              </w:rPr>
              <w:t>"nosacījumus un"</w:t>
            </w:r>
            <w:r w:rsidRPr="00815635">
              <w:rPr>
                <w:sz w:val="22"/>
              </w:rPr>
              <w:t>.</w:t>
            </w:r>
            <w:r>
              <w:rPr>
                <w:rStyle w:val="FootnoteReference"/>
                <w:sz w:val="22"/>
              </w:rPr>
              <w:footnoteReference w:id="1"/>
            </w:r>
          </w:p>
          <w:p w:rsidR="009C11D3" w:rsidRPr="009C11D3" w:rsidRDefault="009C11D3" w:rsidP="00F94FBC">
            <w:pPr>
              <w:pStyle w:val="ListParagraph"/>
              <w:spacing w:after="0" w:line="240" w:lineRule="auto"/>
              <w:ind w:left="0" w:firstLine="709"/>
              <w:jc w:val="both"/>
              <w:rPr>
                <w:rFonts w:ascii="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hAnsi="Times New Roman"/>
                <w:noProof/>
                <w:lang w:val="en-GB" w:eastAsia="lv-LV"/>
              </w:rPr>
            </w:pPr>
          </w:p>
        </w:tc>
      </w:tr>
      <w:tr w:rsidR="00815635" w:rsidRPr="009C11D3" w:rsidTr="009C11D3">
        <w:tc>
          <w:tcPr>
            <w:tcW w:w="3798" w:type="dxa"/>
            <w:shd w:val="clear" w:color="auto" w:fill="auto"/>
          </w:tcPr>
          <w:p w:rsidR="00815635" w:rsidRPr="009C11D3" w:rsidRDefault="00815635" w:rsidP="00F94FBC">
            <w:pPr>
              <w:pStyle w:val="tv213"/>
              <w:spacing w:before="0" w:beforeAutospacing="0" w:after="0" w:afterAutospacing="0"/>
              <w:ind w:firstLine="567"/>
              <w:jc w:val="both"/>
              <w:rPr>
                <w:noProof/>
                <w:sz w:val="22"/>
                <w:szCs w:val="22"/>
                <w:lang w:val="en-GB"/>
              </w:rPr>
            </w:pPr>
          </w:p>
        </w:tc>
        <w:tc>
          <w:tcPr>
            <w:tcW w:w="3798" w:type="dxa"/>
            <w:shd w:val="clear" w:color="auto" w:fill="auto"/>
          </w:tcPr>
          <w:p w:rsidR="00815635" w:rsidRPr="009C11D3" w:rsidRDefault="00815635" w:rsidP="00815635">
            <w:pPr>
              <w:pStyle w:val="ListParagraph"/>
              <w:spacing w:after="0" w:line="240" w:lineRule="auto"/>
              <w:ind w:left="0" w:firstLine="709"/>
              <w:jc w:val="both"/>
              <w:rPr>
                <w:rFonts w:ascii="Times New Roman" w:hAnsi="Times New Roman"/>
                <w:noProof/>
                <w:lang w:val="en-GB" w:eastAsia="lv-LV"/>
              </w:rPr>
            </w:pPr>
            <w:r w:rsidRPr="009C11D3">
              <w:rPr>
                <w:rFonts w:ascii="Times New Roman" w:hAnsi="Times New Roman"/>
                <w:noProof/>
                <w:lang w:val="en-GB" w:eastAsia="lv-LV"/>
              </w:rPr>
              <w:t>papildināt pantu ar 5.</w:t>
            </w:r>
            <w:r w:rsidRPr="009C11D3">
              <w:rPr>
                <w:rFonts w:ascii="Times New Roman" w:hAnsi="Times New Roman"/>
                <w:noProof/>
                <w:vertAlign w:val="superscript"/>
                <w:lang w:val="en-GB" w:eastAsia="lv-LV"/>
              </w:rPr>
              <w:t>2</w:t>
            </w:r>
            <w:r w:rsidRPr="009C11D3">
              <w:rPr>
                <w:rFonts w:ascii="Times New Roman" w:hAnsi="Times New Roman"/>
                <w:noProof/>
                <w:lang w:val="en-GB" w:eastAsia="lv-LV"/>
              </w:rPr>
              <w:t> daļu šādā redakcijā:</w:t>
            </w:r>
          </w:p>
          <w:p w:rsidR="00815635" w:rsidRPr="009C11D3" w:rsidRDefault="00815635" w:rsidP="00815635">
            <w:pPr>
              <w:pStyle w:val="ListParagraph"/>
              <w:spacing w:after="0" w:line="240" w:lineRule="auto"/>
              <w:ind w:left="0" w:firstLine="709"/>
              <w:jc w:val="both"/>
              <w:rPr>
                <w:rFonts w:ascii="Times New Roman" w:hAnsi="Times New Roman"/>
                <w:noProof/>
                <w:lang w:val="en-GB" w:eastAsia="lv-LV"/>
              </w:rPr>
            </w:pPr>
            <w:r w:rsidRPr="009C11D3">
              <w:rPr>
                <w:rFonts w:ascii="Times New Roman" w:eastAsia="Times New Roman" w:hAnsi="Times New Roman"/>
                <w:noProof/>
                <w:lang w:val="en-GB" w:eastAsia="lv-LV"/>
              </w:rPr>
              <w:t>"(5</w:t>
            </w:r>
            <w:r w:rsidRPr="009C11D3">
              <w:rPr>
                <w:rFonts w:ascii="Times New Roman" w:eastAsia="Times New Roman" w:hAnsi="Times New Roman"/>
                <w:noProof/>
                <w:vertAlign w:val="superscript"/>
                <w:lang w:val="en-GB" w:eastAsia="lv-LV"/>
              </w:rPr>
              <w:t>2</w:t>
            </w:r>
            <w:r w:rsidRPr="009C11D3">
              <w:rPr>
                <w:rFonts w:ascii="Times New Roman" w:eastAsia="Times New Roman" w:hAnsi="Times New Roman"/>
                <w:noProof/>
                <w:lang w:val="en-GB" w:eastAsia="lv-LV"/>
              </w:rPr>
              <w:t>) Ministru kabinets nosaka šā panta pirmās daļas 3. punktā minētā asistenta pakalpojuma atteikšanas, izbeigšanas un pārtraukšanas nosacījumus, kā arī maksimālo asistenta pakalpojuma apjomu.";</w:t>
            </w:r>
          </w:p>
        </w:tc>
        <w:tc>
          <w:tcPr>
            <w:tcW w:w="567" w:type="dxa"/>
          </w:tcPr>
          <w:p w:rsidR="00815635" w:rsidRPr="00687069" w:rsidRDefault="00815635" w:rsidP="00687069">
            <w:pPr>
              <w:pStyle w:val="ListParagraph"/>
              <w:spacing w:after="0" w:line="240" w:lineRule="auto"/>
              <w:ind w:left="0"/>
              <w:jc w:val="center"/>
              <w:rPr>
                <w:rFonts w:ascii="Times New Roman" w:hAnsi="Times New Roman"/>
                <w:noProof/>
                <w:lang w:val="en-GB" w:eastAsia="lv-LV"/>
              </w:rPr>
            </w:pPr>
          </w:p>
        </w:tc>
        <w:tc>
          <w:tcPr>
            <w:tcW w:w="3798" w:type="dxa"/>
          </w:tcPr>
          <w:p w:rsidR="00815635" w:rsidRPr="00815635" w:rsidRDefault="00815635" w:rsidP="00815635">
            <w:pPr>
              <w:ind w:firstLine="567"/>
              <w:jc w:val="both"/>
              <w:rPr>
                <w:b/>
                <w:sz w:val="22"/>
                <w:u w:val="single"/>
              </w:rPr>
            </w:pPr>
          </w:p>
        </w:tc>
        <w:tc>
          <w:tcPr>
            <w:tcW w:w="1417" w:type="dxa"/>
          </w:tcPr>
          <w:p w:rsidR="00815635" w:rsidRPr="009C11D3" w:rsidRDefault="00815635" w:rsidP="00F94FBC">
            <w:pPr>
              <w:pStyle w:val="ListParagraph"/>
              <w:spacing w:after="0" w:line="240" w:lineRule="auto"/>
              <w:ind w:left="0" w:firstLine="709"/>
              <w:jc w:val="both"/>
              <w:rPr>
                <w:rFonts w:ascii="Times New Roman" w:hAnsi="Times New Roman"/>
                <w:noProof/>
                <w:lang w:val="en-GB" w:eastAsia="lv-LV"/>
              </w:rPr>
            </w:pPr>
          </w:p>
        </w:tc>
        <w:tc>
          <w:tcPr>
            <w:tcW w:w="1417" w:type="dxa"/>
          </w:tcPr>
          <w:p w:rsidR="00815635" w:rsidRPr="009C11D3" w:rsidRDefault="00815635" w:rsidP="00F94FBC">
            <w:pPr>
              <w:pStyle w:val="ListParagraph"/>
              <w:spacing w:after="0" w:line="240" w:lineRule="auto"/>
              <w:ind w:left="0" w:firstLine="709"/>
              <w:jc w:val="both"/>
              <w:rPr>
                <w:rFonts w:ascii="Times New Roman" w:hAnsi="Times New Roman"/>
                <w:noProof/>
                <w:lang w:val="en-GB" w:eastAsia="lv-LV"/>
              </w:rPr>
            </w:pPr>
          </w:p>
        </w:tc>
      </w:tr>
      <w:tr w:rsidR="009C11D3" w:rsidRPr="009C11D3" w:rsidTr="009C11D3">
        <w:tc>
          <w:tcPr>
            <w:tcW w:w="3798" w:type="dxa"/>
            <w:shd w:val="clear" w:color="auto" w:fill="auto"/>
          </w:tcPr>
          <w:p w:rsidR="009C11D3" w:rsidRPr="009C11D3" w:rsidRDefault="009C11D3" w:rsidP="00BF14FD">
            <w:pPr>
              <w:pStyle w:val="tv213"/>
              <w:spacing w:before="0" w:beforeAutospacing="0" w:after="0" w:afterAutospacing="0"/>
              <w:ind w:firstLine="567"/>
              <w:jc w:val="both"/>
              <w:rPr>
                <w:noProof/>
                <w:sz w:val="22"/>
                <w:szCs w:val="22"/>
                <w:lang w:val="en-GB"/>
              </w:rPr>
            </w:pPr>
            <w:r w:rsidRPr="009C11D3">
              <w:rPr>
                <w:noProof/>
                <w:sz w:val="22"/>
                <w:szCs w:val="22"/>
                <w:lang w:val="en-GB"/>
              </w:rPr>
              <w:t>(6) Šā panta pirmās daļas 3.punktā un 3.</w:t>
            </w:r>
            <w:r w:rsidRPr="009C11D3">
              <w:rPr>
                <w:noProof/>
                <w:sz w:val="22"/>
                <w:szCs w:val="22"/>
                <w:vertAlign w:val="superscript"/>
                <w:lang w:val="en-GB"/>
              </w:rPr>
              <w:t>1</w:t>
            </w:r>
            <w:r w:rsidRPr="009C11D3">
              <w:rPr>
                <w:noProof/>
                <w:sz w:val="22"/>
                <w:szCs w:val="22"/>
                <w:lang w:val="en-GB"/>
              </w:rPr>
              <w:t xml:space="preserve"> punktā paredzētajam asistenta pakalpojumam nepieciešamā valsts budžeta finansējuma aprēķināšanas un piešķiršanas kārtību nosaka Ministru kabinets.</w:t>
            </w:r>
            <w:bookmarkStart w:id="0" w:name="_GoBack"/>
            <w:bookmarkEnd w:id="0"/>
          </w:p>
        </w:tc>
        <w:tc>
          <w:tcPr>
            <w:tcW w:w="3798" w:type="dxa"/>
            <w:shd w:val="clear" w:color="auto" w:fill="auto"/>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t>aizstāt sestajā daļā vārdus "</w:t>
            </w:r>
            <w:r w:rsidRPr="009C11D3">
              <w:rPr>
                <w:rFonts w:ascii="Times New Roman" w:hAnsi="Times New Roman"/>
                <w:noProof/>
                <w:shd w:val="clear" w:color="auto" w:fill="FFFFFF"/>
                <w:lang w:val="en-GB"/>
              </w:rPr>
              <w:t>nepieciešamā valsts budžeta finansējuma</w:t>
            </w:r>
            <w:r w:rsidRPr="009C11D3">
              <w:rPr>
                <w:rFonts w:ascii="Times New Roman" w:eastAsia="Times New Roman" w:hAnsi="Times New Roman"/>
                <w:noProof/>
                <w:lang w:val="en-GB" w:eastAsia="lv-LV"/>
              </w:rPr>
              <w:t>" ar vārdiem "</w:t>
            </w:r>
            <w:r w:rsidRPr="009C11D3">
              <w:rPr>
                <w:rFonts w:ascii="Times New Roman" w:hAnsi="Times New Roman"/>
                <w:noProof/>
                <w:shd w:val="clear" w:color="auto" w:fill="FFFFFF"/>
                <w:lang w:val="en-GB"/>
              </w:rPr>
              <w:t>no valsts budžeta nepieciešamā finansējuma apmēru, tā</w:t>
            </w:r>
            <w:r w:rsidRPr="009C11D3">
              <w:rPr>
                <w:rFonts w:ascii="Times New Roman" w:eastAsia="Times New Roman" w:hAnsi="Times New Roman"/>
                <w:noProof/>
                <w:lang w:val="en-GB" w:eastAsia="lv-LV"/>
              </w:rPr>
              <w:t>".</w:t>
            </w:r>
          </w:p>
        </w:tc>
        <w:tc>
          <w:tcPr>
            <w:tcW w:w="567" w:type="dxa"/>
          </w:tcPr>
          <w:p w:rsidR="009C11D3" w:rsidRPr="00687069" w:rsidRDefault="009C11D3" w:rsidP="00687069">
            <w:pPr>
              <w:pStyle w:val="ListParagraph"/>
              <w:spacing w:after="0" w:line="240" w:lineRule="auto"/>
              <w:ind w:left="0"/>
              <w:jc w:val="center"/>
              <w:rPr>
                <w:rFonts w:ascii="Times New Roman" w:eastAsia="Times New Roman" w:hAnsi="Times New Roman"/>
                <w:noProof/>
                <w:lang w:val="en-GB" w:eastAsia="lv-LV"/>
              </w:rPr>
            </w:pPr>
          </w:p>
        </w:tc>
        <w:tc>
          <w:tcPr>
            <w:tcW w:w="3798"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r>
      <w:tr w:rsidR="009C11D3" w:rsidRPr="009C11D3" w:rsidTr="009C11D3">
        <w:tc>
          <w:tcPr>
            <w:tcW w:w="3798" w:type="dxa"/>
            <w:shd w:val="clear" w:color="auto" w:fill="auto"/>
          </w:tcPr>
          <w:p w:rsidR="009C11D3" w:rsidRPr="009C11D3" w:rsidRDefault="009C11D3" w:rsidP="00F94FBC">
            <w:pPr>
              <w:ind w:firstLine="567"/>
              <w:jc w:val="both"/>
              <w:rPr>
                <w:rFonts w:eastAsia="Times New Roman"/>
                <w:b/>
                <w:noProof/>
                <w:sz w:val="22"/>
                <w:lang w:val="en-GB" w:eastAsia="lv-LV"/>
              </w:rPr>
            </w:pPr>
            <w:r w:rsidRPr="009C11D3">
              <w:rPr>
                <w:rFonts w:eastAsia="Times New Roman"/>
                <w:b/>
                <w:noProof/>
                <w:sz w:val="22"/>
                <w:lang w:val="en-GB" w:eastAsia="lv-LV"/>
              </w:rPr>
              <w:t>Pārejas noteikumi</w:t>
            </w:r>
            <w:bookmarkStart w:id="1" w:name="pn-343367"/>
            <w:bookmarkEnd w:id="1"/>
          </w:p>
          <w:p w:rsidR="009C11D3" w:rsidRPr="009C11D3" w:rsidRDefault="009C11D3" w:rsidP="00F94FBC">
            <w:pPr>
              <w:ind w:firstLine="567"/>
              <w:jc w:val="both"/>
              <w:rPr>
                <w:rFonts w:eastAsia="Times New Roman"/>
                <w:noProof/>
                <w:sz w:val="22"/>
                <w:lang w:val="en-GB" w:eastAsia="lv-LV"/>
              </w:rPr>
            </w:pPr>
            <w:bookmarkStart w:id="2" w:name="pn1"/>
            <w:bookmarkStart w:id="3" w:name="p-343368"/>
            <w:bookmarkEnd w:id="2"/>
            <w:bookmarkEnd w:id="3"/>
            <w:r w:rsidRPr="009C11D3">
              <w:rPr>
                <w:rFonts w:eastAsia="Times New Roman"/>
                <w:noProof/>
                <w:sz w:val="22"/>
                <w:lang w:val="en-GB" w:eastAsia="lv-LV"/>
              </w:rPr>
              <w:t>1. Ar šā likuma spēkā stāšanos spēku zaudē likums “Par invalīdu medicīnisko un sociālo aizsardzību” (Latvijas Republikas Augstākās Padomes un Valdības Ziņotājs, 1992, 42.nr.; Latvijas Republikas Saeimas un Ministru Kabineta Ziņotājs, 1996, 22.nr.; 2003, 2.nr.; 2004, 9.nr.).</w:t>
            </w:r>
          </w:p>
          <w:p w:rsidR="009C11D3" w:rsidRPr="009C11D3" w:rsidRDefault="009C11D3" w:rsidP="00F94FBC">
            <w:pPr>
              <w:ind w:firstLine="567"/>
              <w:jc w:val="both"/>
              <w:rPr>
                <w:rFonts w:eastAsia="Times New Roman"/>
                <w:noProof/>
                <w:sz w:val="22"/>
                <w:lang w:val="en-GB" w:eastAsia="lv-LV"/>
              </w:rPr>
            </w:pPr>
            <w:bookmarkStart w:id="4" w:name="pn2"/>
            <w:bookmarkStart w:id="5" w:name="p-404277"/>
            <w:bookmarkEnd w:id="4"/>
            <w:bookmarkEnd w:id="5"/>
            <w:r w:rsidRPr="009C11D3">
              <w:rPr>
                <w:rFonts w:eastAsia="Times New Roman"/>
                <w:noProof/>
                <w:sz w:val="22"/>
                <w:lang w:val="en-GB" w:eastAsia="lv-LV"/>
              </w:rPr>
              <w:t>2. Šā likuma 12.panta pirmās daļas 4.punkts stājas spēkā 2012.gada 1.septembrī.</w:t>
            </w:r>
          </w:p>
          <w:p w:rsidR="009C11D3" w:rsidRPr="009C11D3" w:rsidRDefault="009C11D3" w:rsidP="00F94FBC">
            <w:pPr>
              <w:ind w:firstLine="567"/>
              <w:jc w:val="both"/>
              <w:rPr>
                <w:rFonts w:eastAsia="Times New Roman"/>
                <w:noProof/>
                <w:sz w:val="22"/>
                <w:lang w:val="en-GB" w:eastAsia="lv-LV"/>
              </w:rPr>
            </w:pPr>
            <w:bookmarkStart w:id="6" w:name="pn3"/>
            <w:bookmarkStart w:id="7" w:name="p-404270"/>
            <w:bookmarkEnd w:id="6"/>
            <w:bookmarkEnd w:id="7"/>
            <w:r w:rsidRPr="009C11D3">
              <w:rPr>
                <w:rFonts w:eastAsia="Times New Roman"/>
                <w:noProof/>
                <w:sz w:val="22"/>
                <w:lang w:val="en-GB" w:eastAsia="lv-LV"/>
              </w:rPr>
              <w:t>3. Šā likuma 12.panta pirmās daļas 5.punkts stājas spēkā 2011.gada 1.septembrī.</w:t>
            </w:r>
          </w:p>
          <w:p w:rsidR="009C11D3" w:rsidRPr="009C11D3" w:rsidRDefault="009C11D3" w:rsidP="00F94FBC">
            <w:pPr>
              <w:ind w:firstLine="567"/>
              <w:jc w:val="both"/>
              <w:rPr>
                <w:rFonts w:eastAsia="Times New Roman"/>
                <w:noProof/>
                <w:sz w:val="22"/>
                <w:lang w:val="en-GB" w:eastAsia="lv-LV"/>
              </w:rPr>
            </w:pPr>
            <w:bookmarkStart w:id="8" w:name="pn4"/>
            <w:bookmarkStart w:id="9" w:name="p-404281"/>
            <w:bookmarkEnd w:id="8"/>
            <w:bookmarkEnd w:id="9"/>
            <w:r w:rsidRPr="009C11D3">
              <w:rPr>
                <w:rFonts w:eastAsia="Times New Roman"/>
                <w:noProof/>
                <w:sz w:val="22"/>
                <w:lang w:val="en-GB" w:eastAsia="lv-LV"/>
              </w:rPr>
              <w:t>4. Šā likuma 12.panta pirmās daļas 6.punkts stājas spēkā 2013.gada 1.janvārī.</w:t>
            </w:r>
          </w:p>
          <w:p w:rsidR="009C11D3" w:rsidRPr="009C11D3" w:rsidRDefault="009C11D3" w:rsidP="00F94FBC">
            <w:pPr>
              <w:ind w:firstLine="567"/>
              <w:jc w:val="both"/>
              <w:rPr>
                <w:rFonts w:eastAsia="Times New Roman"/>
                <w:noProof/>
                <w:sz w:val="22"/>
                <w:lang w:val="en-GB" w:eastAsia="lv-LV"/>
              </w:rPr>
            </w:pPr>
            <w:bookmarkStart w:id="10" w:name="pn5"/>
            <w:bookmarkStart w:id="11" w:name="p-602068"/>
            <w:bookmarkEnd w:id="10"/>
            <w:bookmarkEnd w:id="11"/>
            <w:r w:rsidRPr="009C11D3">
              <w:rPr>
                <w:rFonts w:eastAsia="Times New Roman"/>
                <w:noProof/>
                <w:sz w:val="22"/>
                <w:lang w:val="en-GB" w:eastAsia="lv-LV"/>
              </w:rPr>
              <w:t xml:space="preserve">5. Līdz 2018.gada 31.decembrim Valsts komisijai ir tiesības pagarināt šā likuma 8.panta otrās daļas kārtībā iepriekš izdotā administratīvā akta darbības termiņu uz laiku līdz sešiem </w:t>
            </w:r>
            <w:r w:rsidRPr="009C11D3">
              <w:rPr>
                <w:rFonts w:eastAsia="Times New Roman"/>
                <w:noProof/>
                <w:sz w:val="22"/>
                <w:lang w:val="en-GB" w:eastAsia="lv-LV"/>
              </w:rPr>
              <w:lastRenderedPageBreak/>
              <w:t>mēnešiem, bet ne ilgāk kā līdz jauna administratīva akta izdošanai konkrētās personas lietā.</w:t>
            </w:r>
          </w:p>
          <w:p w:rsidR="009C11D3" w:rsidRPr="009C11D3" w:rsidRDefault="009C11D3" w:rsidP="00F94FBC">
            <w:pPr>
              <w:ind w:firstLine="567"/>
              <w:jc w:val="both"/>
              <w:rPr>
                <w:rFonts w:eastAsia="Times New Roman"/>
                <w:noProof/>
                <w:sz w:val="22"/>
                <w:lang w:val="en-GB" w:eastAsia="lv-LV"/>
              </w:rPr>
            </w:pPr>
            <w:r w:rsidRPr="009C11D3">
              <w:rPr>
                <w:rFonts w:eastAsia="Times New Roman"/>
                <w:noProof/>
                <w:sz w:val="22"/>
                <w:lang w:val="en-GB" w:eastAsia="lv-LV"/>
              </w:rPr>
              <w:t>(13.10.2016. likuma redakcijā, kas stājas spēkā 28.10.2016.)</w:t>
            </w:r>
          </w:p>
          <w:p w:rsidR="009C11D3" w:rsidRPr="009C11D3" w:rsidRDefault="009C11D3" w:rsidP="00F94FBC">
            <w:pPr>
              <w:ind w:firstLine="567"/>
              <w:jc w:val="both"/>
              <w:rPr>
                <w:rFonts w:eastAsia="Times New Roman"/>
                <w:noProof/>
                <w:sz w:val="22"/>
                <w:lang w:val="en-GB" w:eastAsia="lv-LV"/>
              </w:rPr>
            </w:pPr>
            <w:bookmarkStart w:id="12" w:name="pn6"/>
            <w:bookmarkStart w:id="13" w:name="p-673150"/>
            <w:bookmarkEnd w:id="12"/>
            <w:bookmarkEnd w:id="13"/>
            <w:r w:rsidRPr="009C11D3">
              <w:rPr>
                <w:rFonts w:eastAsia="Times New Roman"/>
                <w:noProof/>
                <w:sz w:val="22"/>
                <w:lang w:val="en-GB" w:eastAsia="lv-LV"/>
              </w:rPr>
              <w:t>6. Šā likuma 3.</w:t>
            </w:r>
            <w:r w:rsidRPr="009C11D3">
              <w:rPr>
                <w:rFonts w:eastAsia="Times New Roman"/>
                <w:noProof/>
                <w:sz w:val="22"/>
                <w:vertAlign w:val="superscript"/>
                <w:lang w:val="en-GB" w:eastAsia="lv-LV"/>
              </w:rPr>
              <w:t>1</w:t>
            </w:r>
            <w:r w:rsidRPr="009C11D3">
              <w:rPr>
                <w:rFonts w:eastAsia="Times New Roman"/>
                <w:noProof/>
                <w:sz w:val="22"/>
                <w:lang w:val="en-GB" w:eastAsia="lv-LV"/>
              </w:rPr>
              <w:t> panta ceturtajā daļā minētos noteikumus Ministru kabinets izdod līdz 2019. gada 1. martam.</w:t>
            </w:r>
          </w:p>
          <w:p w:rsidR="009C11D3" w:rsidRPr="009C11D3" w:rsidRDefault="009C11D3" w:rsidP="00F94FBC">
            <w:pPr>
              <w:ind w:firstLine="567"/>
              <w:jc w:val="both"/>
              <w:rPr>
                <w:rFonts w:eastAsia="Times New Roman"/>
                <w:noProof/>
                <w:sz w:val="22"/>
                <w:lang w:val="en-GB" w:eastAsia="lv-LV"/>
              </w:rPr>
            </w:pPr>
            <w:r w:rsidRPr="009C11D3">
              <w:rPr>
                <w:rFonts w:eastAsia="Times New Roman"/>
                <w:noProof/>
                <w:sz w:val="22"/>
                <w:lang w:val="en-GB" w:eastAsia="lv-LV"/>
              </w:rPr>
              <w:t>(01.11.2018. likuma redakcijā, kas stājas spēkā 28.11.2018.)</w:t>
            </w:r>
          </w:p>
          <w:p w:rsidR="009C11D3" w:rsidRPr="009C11D3" w:rsidRDefault="009C11D3" w:rsidP="00F94FBC">
            <w:pPr>
              <w:ind w:firstLine="567"/>
              <w:jc w:val="both"/>
              <w:rPr>
                <w:rFonts w:eastAsia="Times New Roman"/>
                <w:noProof/>
                <w:sz w:val="22"/>
                <w:lang w:val="en-GB" w:eastAsia="lv-LV"/>
              </w:rPr>
            </w:pPr>
            <w:bookmarkStart w:id="14" w:name="pn7"/>
            <w:bookmarkStart w:id="15" w:name="p-673152"/>
            <w:bookmarkEnd w:id="14"/>
            <w:bookmarkEnd w:id="15"/>
            <w:r w:rsidRPr="009C11D3">
              <w:rPr>
                <w:rFonts w:eastAsia="Times New Roman"/>
                <w:noProof/>
                <w:sz w:val="22"/>
                <w:lang w:val="en-GB" w:eastAsia="lv-LV"/>
              </w:rPr>
              <w:t>7. Grozījums šā likuma 12. panta pirmās daļas 4. punktā un septītajā daļā stājas spēkā 2019. gada 1. septembrī.</w:t>
            </w:r>
          </w:p>
        </w:tc>
        <w:tc>
          <w:tcPr>
            <w:tcW w:w="3798" w:type="dxa"/>
            <w:shd w:val="clear" w:color="auto" w:fill="auto"/>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lastRenderedPageBreak/>
              <w:t>2. Papildināt pārejas noteikumus ar 8. punktu šādā redakcijā:</w:t>
            </w:r>
          </w:p>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r w:rsidRPr="009C11D3">
              <w:rPr>
                <w:rFonts w:ascii="Times New Roman" w:eastAsia="Times New Roman" w:hAnsi="Times New Roman"/>
                <w:noProof/>
                <w:lang w:val="en-GB" w:eastAsia="lv-LV"/>
              </w:rPr>
              <w:t>"8. Grozījumi šā likuma 12. panta pirmās daļas 3. un 3.</w:t>
            </w:r>
            <w:r w:rsidRPr="009C11D3">
              <w:rPr>
                <w:rFonts w:ascii="Times New Roman" w:eastAsia="Times New Roman" w:hAnsi="Times New Roman"/>
                <w:noProof/>
                <w:vertAlign w:val="superscript"/>
                <w:lang w:val="en-GB" w:eastAsia="lv-LV"/>
              </w:rPr>
              <w:t>1</w:t>
            </w:r>
            <w:r w:rsidRPr="009C11D3">
              <w:rPr>
                <w:rFonts w:ascii="Times New Roman" w:eastAsia="Times New Roman" w:hAnsi="Times New Roman"/>
                <w:noProof/>
                <w:lang w:val="en-GB" w:eastAsia="lv-LV"/>
              </w:rPr>
              <w:t> punktā, šā likuma 12. panta 5.</w:t>
            </w:r>
            <w:r w:rsidRPr="009C11D3">
              <w:rPr>
                <w:rFonts w:ascii="Times New Roman" w:eastAsia="Times New Roman" w:hAnsi="Times New Roman"/>
                <w:noProof/>
                <w:vertAlign w:val="superscript"/>
                <w:lang w:val="en-GB" w:eastAsia="lv-LV"/>
              </w:rPr>
              <w:t>2</w:t>
            </w:r>
            <w:r w:rsidRPr="009C11D3">
              <w:rPr>
                <w:rFonts w:ascii="Times New Roman" w:eastAsia="Times New Roman" w:hAnsi="Times New Roman"/>
                <w:noProof/>
                <w:lang w:val="en-GB" w:eastAsia="lv-LV"/>
              </w:rPr>
              <w:t> daļa un grozījumi 12. panta sestajā daļā stājas spēkā 2021. gada 1. janvārī."</w:t>
            </w:r>
          </w:p>
        </w:tc>
        <w:tc>
          <w:tcPr>
            <w:tcW w:w="567" w:type="dxa"/>
          </w:tcPr>
          <w:p w:rsidR="009C11D3"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r w:rsidRPr="00687069">
              <w:rPr>
                <w:rFonts w:ascii="Times New Roman" w:eastAsia="Times New Roman" w:hAnsi="Times New Roman"/>
                <w:b/>
                <w:noProof/>
                <w:lang w:val="en-GB" w:eastAsia="lv-LV"/>
              </w:rPr>
              <w:t>6</w:t>
            </w:r>
          </w:p>
          <w:p w:rsidR="00687069"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p>
          <w:p w:rsidR="00687069" w:rsidRPr="00687069" w:rsidRDefault="00687069" w:rsidP="00687069">
            <w:pPr>
              <w:pStyle w:val="ListParagraph"/>
              <w:spacing w:after="0" w:line="240" w:lineRule="auto"/>
              <w:ind w:left="0"/>
              <w:jc w:val="center"/>
              <w:rPr>
                <w:rFonts w:ascii="Times New Roman" w:eastAsia="Times New Roman" w:hAnsi="Times New Roman"/>
                <w:b/>
                <w:noProof/>
                <w:lang w:val="en-GB" w:eastAsia="lv-LV"/>
              </w:rPr>
            </w:pPr>
          </w:p>
          <w:p w:rsidR="00687069" w:rsidRPr="00687069" w:rsidRDefault="00687069" w:rsidP="00687069">
            <w:pPr>
              <w:pStyle w:val="ListParagraph"/>
              <w:spacing w:after="0" w:line="240" w:lineRule="auto"/>
              <w:ind w:left="0"/>
              <w:jc w:val="center"/>
              <w:rPr>
                <w:rFonts w:ascii="Times New Roman" w:eastAsia="Times New Roman" w:hAnsi="Times New Roman"/>
                <w:noProof/>
                <w:lang w:val="en-GB" w:eastAsia="lv-LV"/>
              </w:rPr>
            </w:pPr>
            <w:r w:rsidRPr="00687069">
              <w:rPr>
                <w:rFonts w:ascii="Times New Roman" w:eastAsia="Times New Roman" w:hAnsi="Times New Roman"/>
                <w:b/>
                <w:noProof/>
                <w:lang w:val="en-GB" w:eastAsia="lv-LV"/>
              </w:rPr>
              <w:t>7</w:t>
            </w:r>
          </w:p>
        </w:tc>
        <w:tc>
          <w:tcPr>
            <w:tcW w:w="3798" w:type="dxa"/>
          </w:tcPr>
          <w:p w:rsidR="00815635" w:rsidRDefault="00815635" w:rsidP="00815635">
            <w:pPr>
              <w:spacing w:line="276" w:lineRule="auto"/>
              <w:ind w:firstLine="567"/>
              <w:jc w:val="both"/>
              <w:rPr>
                <w:b/>
                <w:sz w:val="22"/>
                <w:u w:val="single"/>
              </w:rPr>
            </w:pPr>
            <w:r w:rsidRPr="00815635">
              <w:rPr>
                <w:b/>
                <w:sz w:val="22"/>
                <w:u w:val="single"/>
              </w:rPr>
              <w:t xml:space="preserve">Deputāte Ļ. </w:t>
            </w:r>
            <w:proofErr w:type="spellStart"/>
            <w:r w:rsidRPr="00815635">
              <w:rPr>
                <w:b/>
                <w:sz w:val="22"/>
                <w:u w:val="single"/>
              </w:rPr>
              <w:t>Švecova</w:t>
            </w:r>
            <w:proofErr w:type="spellEnd"/>
          </w:p>
          <w:p w:rsidR="00815635" w:rsidRPr="00815635" w:rsidRDefault="00815635" w:rsidP="00815635">
            <w:pPr>
              <w:ind w:firstLine="567"/>
              <w:jc w:val="both"/>
              <w:rPr>
                <w:sz w:val="22"/>
              </w:rPr>
            </w:pPr>
            <w:r w:rsidRPr="00815635">
              <w:rPr>
                <w:sz w:val="22"/>
              </w:rPr>
              <w:t xml:space="preserve">Izslēgt likumprojekta </w:t>
            </w:r>
            <w:proofErr w:type="gramStart"/>
            <w:r>
              <w:rPr>
                <w:sz w:val="22"/>
              </w:rPr>
              <w:t>2</w:t>
            </w:r>
            <w:r w:rsidRPr="00815635">
              <w:rPr>
                <w:sz w:val="22"/>
              </w:rPr>
              <w:t>.pantu</w:t>
            </w:r>
            <w:proofErr w:type="gramEnd"/>
            <w:r w:rsidRPr="00815635">
              <w:rPr>
                <w:sz w:val="22"/>
              </w:rPr>
              <w:t>.</w:t>
            </w:r>
          </w:p>
          <w:p w:rsid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p w:rsidR="00687069" w:rsidRDefault="00687069" w:rsidP="00687069">
            <w:pPr>
              <w:ind w:firstLine="567"/>
              <w:jc w:val="both"/>
              <w:rPr>
                <w:b/>
                <w:sz w:val="22"/>
                <w:u w:val="single"/>
              </w:rPr>
            </w:pPr>
            <w:r w:rsidRPr="00687069">
              <w:rPr>
                <w:b/>
                <w:sz w:val="22"/>
                <w:u w:val="single"/>
              </w:rPr>
              <w:t>Deputāti J.Stepaņenko, K.Sprūde, L.Liepiņa, A.Gobzems, D.Šmits</w:t>
            </w:r>
          </w:p>
          <w:p w:rsidR="00687069" w:rsidRPr="00687069" w:rsidRDefault="00687069" w:rsidP="00687069">
            <w:pPr>
              <w:ind w:firstLine="567"/>
              <w:jc w:val="both"/>
              <w:rPr>
                <w:sz w:val="22"/>
              </w:rPr>
            </w:pPr>
            <w:r w:rsidRPr="00687069">
              <w:rPr>
                <w:sz w:val="22"/>
              </w:rPr>
              <w:t xml:space="preserve">Papildināt Pārejas noteikumus ar 8.punktu: </w:t>
            </w:r>
          </w:p>
          <w:p w:rsidR="00687069" w:rsidRPr="00687069" w:rsidRDefault="00687069" w:rsidP="00687069">
            <w:pPr>
              <w:ind w:firstLine="567"/>
              <w:jc w:val="both"/>
              <w:rPr>
                <w:sz w:val="22"/>
              </w:rPr>
            </w:pPr>
            <w:r w:rsidRPr="00687069">
              <w:rPr>
                <w:sz w:val="22"/>
              </w:rPr>
              <w:t xml:space="preserve">“8. Ministru kabinetam, sastādot </w:t>
            </w:r>
            <w:proofErr w:type="gramStart"/>
            <w:r w:rsidRPr="00687069">
              <w:rPr>
                <w:sz w:val="22"/>
              </w:rPr>
              <w:t>2021.gada</w:t>
            </w:r>
            <w:proofErr w:type="gramEnd"/>
            <w:r w:rsidRPr="00687069">
              <w:rPr>
                <w:sz w:val="22"/>
              </w:rPr>
              <w:t xml:space="preserve"> budžetu, nodrošināt 2 914 011 </w:t>
            </w:r>
            <w:proofErr w:type="spellStart"/>
            <w:r w:rsidRPr="00687069">
              <w:rPr>
                <w:sz w:val="22"/>
              </w:rPr>
              <w:t>euro</w:t>
            </w:r>
            <w:proofErr w:type="spellEnd"/>
            <w:r w:rsidRPr="00687069">
              <w:rPr>
                <w:sz w:val="22"/>
              </w:rPr>
              <w:t xml:space="preserve">, kas ir nepieciešams invalīdu asistentu atlīdzības kāpumam, ar 2021.gadu valstī pieaugot minimālās algas apmēram līdz 500 </w:t>
            </w:r>
            <w:proofErr w:type="spellStart"/>
            <w:r w:rsidRPr="00687069">
              <w:rPr>
                <w:sz w:val="22"/>
              </w:rPr>
              <w:t>euro</w:t>
            </w:r>
            <w:proofErr w:type="spellEnd"/>
            <w:r w:rsidRPr="00687069">
              <w:rPr>
                <w:sz w:val="22"/>
              </w:rPr>
              <w:t>, paredzot attiecīgo samazinājumu programmā “Korupcijas novēršanas un apkarošanas birojs” sadaļā “Subsīdijas un dotācijas”, kas paredzēts politisko organizāciju (partiju) finansēšanas palielinājumam”.</w:t>
            </w:r>
          </w:p>
          <w:p w:rsidR="00687069" w:rsidRPr="009C11D3" w:rsidRDefault="00687069"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c>
          <w:tcPr>
            <w:tcW w:w="1417" w:type="dxa"/>
          </w:tcPr>
          <w:p w:rsidR="009C11D3" w:rsidRPr="009C11D3" w:rsidRDefault="009C11D3" w:rsidP="00F94FBC">
            <w:pPr>
              <w:pStyle w:val="ListParagraph"/>
              <w:spacing w:after="0" w:line="240" w:lineRule="auto"/>
              <w:ind w:left="0" w:firstLine="709"/>
              <w:jc w:val="both"/>
              <w:rPr>
                <w:rFonts w:ascii="Times New Roman" w:eastAsia="Times New Roman" w:hAnsi="Times New Roman"/>
                <w:noProof/>
                <w:lang w:val="en-GB" w:eastAsia="lv-LV"/>
              </w:rPr>
            </w:pPr>
          </w:p>
        </w:tc>
      </w:tr>
      <w:tr w:rsidR="009C11D3" w:rsidRPr="009C11D3" w:rsidTr="009C11D3">
        <w:tc>
          <w:tcPr>
            <w:tcW w:w="3798" w:type="dxa"/>
            <w:shd w:val="clear" w:color="auto" w:fill="auto"/>
          </w:tcPr>
          <w:p w:rsidR="009C11D3" w:rsidRPr="009C11D3" w:rsidRDefault="009C11D3" w:rsidP="00F94FBC">
            <w:pPr>
              <w:pStyle w:val="labojumupamats"/>
              <w:spacing w:before="0" w:beforeAutospacing="0" w:after="0" w:afterAutospacing="0"/>
              <w:ind w:firstLine="567"/>
              <w:jc w:val="both"/>
              <w:rPr>
                <w:i/>
                <w:noProof/>
                <w:sz w:val="22"/>
                <w:szCs w:val="22"/>
                <w:lang w:val="en-GB"/>
              </w:rPr>
            </w:pPr>
          </w:p>
        </w:tc>
        <w:tc>
          <w:tcPr>
            <w:tcW w:w="3798" w:type="dxa"/>
            <w:shd w:val="clear" w:color="auto" w:fill="auto"/>
          </w:tcPr>
          <w:p w:rsidR="009C11D3" w:rsidRPr="009C11D3" w:rsidRDefault="009C11D3" w:rsidP="00F94FBC">
            <w:pPr>
              <w:shd w:val="clear" w:color="auto" w:fill="FFFFFF"/>
              <w:ind w:firstLine="709"/>
              <w:contextualSpacing/>
              <w:rPr>
                <w:noProof/>
                <w:sz w:val="22"/>
                <w:lang w:val="en-GB"/>
              </w:rPr>
            </w:pPr>
            <w:r w:rsidRPr="009C11D3">
              <w:rPr>
                <w:noProof/>
                <w:sz w:val="22"/>
                <w:lang w:val="en-GB"/>
              </w:rPr>
              <w:t xml:space="preserve">Likums stājas spēkā 2020. gada 1. janvārī. </w:t>
            </w:r>
          </w:p>
        </w:tc>
        <w:tc>
          <w:tcPr>
            <w:tcW w:w="567" w:type="dxa"/>
          </w:tcPr>
          <w:p w:rsidR="009C11D3" w:rsidRPr="00687069" w:rsidRDefault="009C11D3" w:rsidP="00687069">
            <w:pPr>
              <w:shd w:val="clear" w:color="auto" w:fill="FFFFFF"/>
              <w:contextualSpacing/>
              <w:jc w:val="center"/>
              <w:rPr>
                <w:noProof/>
                <w:sz w:val="22"/>
                <w:lang w:val="en-GB"/>
              </w:rPr>
            </w:pPr>
          </w:p>
        </w:tc>
        <w:tc>
          <w:tcPr>
            <w:tcW w:w="3798" w:type="dxa"/>
          </w:tcPr>
          <w:p w:rsidR="009C11D3" w:rsidRPr="009C11D3" w:rsidRDefault="009C11D3" w:rsidP="00F94FBC">
            <w:pPr>
              <w:shd w:val="clear" w:color="auto" w:fill="FFFFFF"/>
              <w:ind w:firstLine="709"/>
              <w:contextualSpacing/>
              <w:rPr>
                <w:noProof/>
                <w:sz w:val="22"/>
                <w:lang w:val="en-GB"/>
              </w:rPr>
            </w:pPr>
          </w:p>
        </w:tc>
        <w:tc>
          <w:tcPr>
            <w:tcW w:w="1417" w:type="dxa"/>
          </w:tcPr>
          <w:p w:rsidR="009C11D3" w:rsidRPr="009C11D3" w:rsidRDefault="009C11D3" w:rsidP="00F94FBC">
            <w:pPr>
              <w:shd w:val="clear" w:color="auto" w:fill="FFFFFF"/>
              <w:ind w:firstLine="709"/>
              <w:contextualSpacing/>
              <w:rPr>
                <w:noProof/>
                <w:sz w:val="22"/>
                <w:lang w:val="en-GB"/>
              </w:rPr>
            </w:pPr>
          </w:p>
        </w:tc>
        <w:tc>
          <w:tcPr>
            <w:tcW w:w="1417" w:type="dxa"/>
          </w:tcPr>
          <w:p w:rsidR="009C11D3" w:rsidRPr="009C11D3" w:rsidRDefault="009C11D3" w:rsidP="00F94FBC">
            <w:pPr>
              <w:shd w:val="clear" w:color="auto" w:fill="FFFFFF"/>
              <w:ind w:firstLine="709"/>
              <w:contextualSpacing/>
              <w:rPr>
                <w:noProof/>
                <w:sz w:val="22"/>
                <w:lang w:val="en-GB"/>
              </w:rPr>
            </w:pPr>
          </w:p>
        </w:tc>
      </w:tr>
    </w:tbl>
    <w:p w:rsidR="009C11D3" w:rsidRPr="009C11D3" w:rsidRDefault="009C11D3" w:rsidP="009C11D3">
      <w:pPr>
        <w:rPr>
          <w:noProof/>
          <w:lang w:val="en-GB"/>
        </w:rPr>
      </w:pPr>
    </w:p>
    <w:p w:rsidR="009C11D3" w:rsidRPr="009C11D3" w:rsidRDefault="009C11D3" w:rsidP="009C11D3">
      <w:pPr>
        <w:rPr>
          <w:noProof/>
          <w:lang w:val="en-GB"/>
        </w:rPr>
      </w:pPr>
    </w:p>
    <w:sectPr w:rsidR="009C11D3" w:rsidRPr="009C11D3" w:rsidSect="00B64F81">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D4" w:rsidRDefault="00815635">
      <w:r>
        <w:separator/>
      </w:r>
    </w:p>
  </w:endnote>
  <w:endnote w:type="continuationSeparator" w:id="0">
    <w:p w:rsidR="00A30CD4" w:rsidRDefault="0081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9C11D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F14FD"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9C11D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4FD">
      <w:rPr>
        <w:rStyle w:val="PageNumber"/>
        <w:noProof/>
      </w:rPr>
      <w:t>5</w:t>
    </w:r>
    <w:r>
      <w:rPr>
        <w:rStyle w:val="PageNumber"/>
      </w:rPr>
      <w:fldChar w:fldCharType="end"/>
    </w:r>
  </w:p>
  <w:p w:rsidR="00511D34" w:rsidRDefault="00BF14FD"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D4" w:rsidRDefault="00815635">
      <w:r>
        <w:separator/>
      </w:r>
    </w:p>
  </w:footnote>
  <w:footnote w:type="continuationSeparator" w:id="0">
    <w:p w:rsidR="00A30CD4" w:rsidRDefault="00815635">
      <w:r>
        <w:continuationSeparator/>
      </w:r>
    </w:p>
  </w:footnote>
  <w:footnote w:id="1">
    <w:p w:rsidR="00815635" w:rsidRPr="00815635" w:rsidRDefault="00815635" w:rsidP="00815635">
      <w:pPr>
        <w:ind w:firstLine="720"/>
        <w:jc w:val="both"/>
        <w:rPr>
          <w:i/>
          <w:sz w:val="18"/>
          <w:szCs w:val="18"/>
        </w:rPr>
      </w:pPr>
      <w:r w:rsidRPr="00815635">
        <w:rPr>
          <w:rStyle w:val="FootnoteReference"/>
          <w:sz w:val="18"/>
          <w:szCs w:val="18"/>
        </w:rPr>
        <w:footnoteRef/>
      </w:r>
      <w:r w:rsidRPr="00815635">
        <w:rPr>
          <w:sz w:val="18"/>
          <w:szCs w:val="18"/>
        </w:rPr>
        <w:t xml:space="preserve"> </w:t>
      </w:r>
      <w:r w:rsidRPr="00815635">
        <w:rPr>
          <w:i/>
          <w:sz w:val="18"/>
          <w:szCs w:val="18"/>
        </w:rPr>
        <w:t xml:space="preserve">Saskaņā ar Invaliditātes likuma </w:t>
      </w:r>
      <w:proofErr w:type="gramStart"/>
      <w:r w:rsidRPr="00815635">
        <w:rPr>
          <w:i/>
          <w:sz w:val="18"/>
          <w:szCs w:val="18"/>
        </w:rPr>
        <w:t>12.panta</w:t>
      </w:r>
      <w:proofErr w:type="gramEnd"/>
      <w:r w:rsidRPr="00815635">
        <w:rPr>
          <w:i/>
          <w:sz w:val="18"/>
          <w:szCs w:val="18"/>
        </w:rPr>
        <w:t xml:space="preserve"> piekto un 5.</w:t>
      </w:r>
      <w:r w:rsidRPr="00815635">
        <w:rPr>
          <w:i/>
          <w:sz w:val="18"/>
          <w:szCs w:val="18"/>
          <w:vertAlign w:val="superscript"/>
        </w:rPr>
        <w:t>1</w:t>
      </w:r>
      <w:r w:rsidRPr="00815635">
        <w:rPr>
          <w:i/>
          <w:sz w:val="18"/>
          <w:szCs w:val="18"/>
        </w:rPr>
        <w:t xml:space="preserve"> daļu Ministru kabinets nosaka asistenta pakalpojumu, prasības asistentam, kritērijus atzinuma sniegšanai par asistenta pakalpojuma nepieciešamību un pakalpojuma apjoma noteikšanai un pakalpojuma piešķiršanas kārtību. Likumprojekta </w:t>
      </w:r>
      <w:proofErr w:type="gramStart"/>
      <w:r w:rsidRPr="00815635">
        <w:rPr>
          <w:i/>
          <w:sz w:val="18"/>
          <w:szCs w:val="18"/>
        </w:rPr>
        <w:t>1.pantā</w:t>
      </w:r>
      <w:proofErr w:type="gramEnd"/>
      <w:r w:rsidRPr="00815635">
        <w:rPr>
          <w:i/>
          <w:sz w:val="18"/>
          <w:szCs w:val="18"/>
        </w:rPr>
        <w:t xml:space="preserve"> (likuma 12.panta 5.</w:t>
      </w:r>
      <w:r w:rsidRPr="00815635">
        <w:rPr>
          <w:i/>
          <w:sz w:val="18"/>
          <w:szCs w:val="18"/>
          <w:vertAlign w:val="superscript"/>
        </w:rPr>
        <w:t>2</w:t>
      </w:r>
      <w:r w:rsidRPr="00815635">
        <w:rPr>
          <w:i/>
          <w:sz w:val="18"/>
          <w:szCs w:val="18"/>
        </w:rPr>
        <w:t xml:space="preserve"> daļa) paredzēts jauns deleģējums Ministru kabinetam noteikt asistenta pakalpojuma pašvaldībā atteikšanas, izbeigšanas, pārtraukšanas nosacījumus, kā arī maksimālo asistenta pakalpojuma apjomu.</w:t>
      </w:r>
    </w:p>
    <w:p w:rsidR="00815635" w:rsidRPr="00815635" w:rsidRDefault="00815635" w:rsidP="00815635">
      <w:pPr>
        <w:ind w:firstLine="720"/>
        <w:jc w:val="both"/>
        <w:rPr>
          <w:i/>
          <w:sz w:val="18"/>
          <w:szCs w:val="18"/>
        </w:rPr>
      </w:pPr>
      <w:r w:rsidRPr="00815635">
        <w:rPr>
          <w:i/>
          <w:sz w:val="18"/>
          <w:szCs w:val="18"/>
        </w:rPr>
        <w:t xml:space="preserve">Lai saskaņotu Invaliditātes likuma </w:t>
      </w:r>
      <w:proofErr w:type="gramStart"/>
      <w:r w:rsidRPr="00815635">
        <w:rPr>
          <w:i/>
          <w:sz w:val="18"/>
          <w:szCs w:val="18"/>
        </w:rPr>
        <w:t>12.panta</w:t>
      </w:r>
      <w:proofErr w:type="gramEnd"/>
      <w:r w:rsidRPr="00815635">
        <w:rPr>
          <w:i/>
          <w:sz w:val="18"/>
          <w:szCs w:val="18"/>
        </w:rPr>
        <w:t xml:space="preserve"> piektajā, 5.</w:t>
      </w:r>
      <w:r w:rsidRPr="00815635">
        <w:rPr>
          <w:i/>
          <w:sz w:val="18"/>
          <w:szCs w:val="18"/>
          <w:vertAlign w:val="superscript"/>
        </w:rPr>
        <w:t>1</w:t>
      </w:r>
      <w:r w:rsidRPr="00815635">
        <w:rPr>
          <w:i/>
          <w:sz w:val="18"/>
          <w:szCs w:val="18"/>
        </w:rPr>
        <w:t xml:space="preserve">  un 5.</w:t>
      </w:r>
      <w:r w:rsidRPr="00815635">
        <w:rPr>
          <w:i/>
          <w:sz w:val="18"/>
          <w:szCs w:val="18"/>
          <w:vertAlign w:val="superscript"/>
        </w:rPr>
        <w:t xml:space="preserve">2 </w:t>
      </w:r>
      <w:r w:rsidRPr="00815635">
        <w:rPr>
          <w:i/>
          <w:sz w:val="18"/>
          <w:szCs w:val="18"/>
        </w:rPr>
        <w:t>daļā paredzēto deleģējumu Ministru kabinetam izdot noteikumus attiecībā uz asistenta pakalpojumu, ir nepieciešams tehniski precizēt likumā esošās normas par deleģējumu, papildinot Invaliditātes likuma 12. panta piekto un 5.</w:t>
      </w:r>
      <w:r w:rsidRPr="00815635">
        <w:rPr>
          <w:i/>
          <w:sz w:val="18"/>
          <w:szCs w:val="18"/>
          <w:vertAlign w:val="superscript"/>
        </w:rPr>
        <w:t>1</w:t>
      </w:r>
      <w:r w:rsidRPr="00815635">
        <w:rPr>
          <w:i/>
          <w:sz w:val="18"/>
          <w:szCs w:val="18"/>
        </w:rPr>
        <w:t xml:space="preserve"> daļu ar deleģējumu papildus piešķiršanas kārtībai noteikt arī asistenta pakalpojuma piešķiršanas nosacījumus.</w:t>
      </w:r>
    </w:p>
    <w:p w:rsidR="00815635" w:rsidRDefault="008156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3BB8"/>
    <w:multiLevelType w:val="hybridMultilevel"/>
    <w:tmpl w:val="AA2CF87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3"/>
    <w:rsid w:val="000B46CC"/>
    <w:rsid w:val="005C5DCC"/>
    <w:rsid w:val="005D4711"/>
    <w:rsid w:val="00687069"/>
    <w:rsid w:val="00815635"/>
    <w:rsid w:val="009C11D3"/>
    <w:rsid w:val="00A30CD4"/>
    <w:rsid w:val="00BF1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585F"/>
  <w15:chartTrackingRefBased/>
  <w15:docId w15:val="{73AF0138-CCA7-44BE-8B6C-48609C6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D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11D3"/>
    <w:rPr>
      <w:i/>
      <w:iCs/>
    </w:rPr>
  </w:style>
  <w:style w:type="paragraph" w:styleId="Footer">
    <w:name w:val="footer"/>
    <w:basedOn w:val="Normal"/>
    <w:link w:val="FooterChar"/>
    <w:rsid w:val="009C11D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9C11D3"/>
    <w:rPr>
      <w:rFonts w:eastAsia="Times New Roman" w:cs="Times New Roman"/>
      <w:szCs w:val="24"/>
      <w:lang w:val="en-GB"/>
    </w:rPr>
  </w:style>
  <w:style w:type="character" w:styleId="PageNumber">
    <w:name w:val="page number"/>
    <w:rsid w:val="009C11D3"/>
  </w:style>
  <w:style w:type="paragraph" w:customStyle="1" w:styleId="labojumupamats">
    <w:name w:val="labojumu_pamats"/>
    <w:basedOn w:val="Normal"/>
    <w:rsid w:val="009C11D3"/>
    <w:pPr>
      <w:spacing w:before="100" w:beforeAutospacing="1" w:after="100" w:afterAutospacing="1"/>
    </w:pPr>
    <w:rPr>
      <w:rFonts w:eastAsia="Times New Roman"/>
      <w:szCs w:val="24"/>
      <w:lang w:eastAsia="lv-LV"/>
    </w:rPr>
  </w:style>
  <w:style w:type="paragraph" w:customStyle="1" w:styleId="tv213">
    <w:name w:val="tv213"/>
    <w:basedOn w:val="Normal"/>
    <w:rsid w:val="009C11D3"/>
    <w:pPr>
      <w:spacing w:before="100" w:beforeAutospacing="1" w:after="100" w:afterAutospacing="1"/>
    </w:pPr>
    <w:rPr>
      <w:rFonts w:eastAsia="Times New Roman"/>
      <w:szCs w:val="24"/>
      <w:lang w:eastAsia="lv-LV"/>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C11D3"/>
    <w:pPr>
      <w:spacing w:after="200" w:line="276" w:lineRule="auto"/>
      <w:ind w:left="720"/>
      <w:contextualSpacing/>
    </w:pPr>
    <w:rPr>
      <w:rFonts w:ascii="Calibri" w:hAnsi="Calibri"/>
      <w:sz w:val="22"/>
    </w:rPr>
  </w:style>
  <w:style w:type="paragraph" w:styleId="Title">
    <w:name w:val="Title"/>
    <w:basedOn w:val="Normal"/>
    <w:link w:val="TitleChar"/>
    <w:qFormat/>
    <w:rsid w:val="009C11D3"/>
    <w:pPr>
      <w:jc w:val="center"/>
    </w:pPr>
    <w:rPr>
      <w:rFonts w:eastAsia="Times New Roman"/>
      <w:b/>
      <w:szCs w:val="20"/>
    </w:rPr>
  </w:style>
  <w:style w:type="character" w:customStyle="1" w:styleId="TitleChar">
    <w:name w:val="Title Char"/>
    <w:basedOn w:val="DefaultParagraphFont"/>
    <w:link w:val="Title"/>
    <w:rsid w:val="009C11D3"/>
    <w:rPr>
      <w:rFonts w:eastAsia="Times New Roman" w:cs="Times New Roman"/>
      <w:b/>
      <w:szCs w:val="20"/>
    </w:rPr>
  </w:style>
  <w:style w:type="paragraph" w:styleId="CommentText">
    <w:name w:val="annotation text"/>
    <w:basedOn w:val="Normal"/>
    <w:link w:val="CommentTextChar"/>
    <w:uiPriority w:val="99"/>
    <w:semiHidden/>
    <w:unhideWhenUsed/>
    <w:rsid w:val="00815635"/>
    <w:rPr>
      <w:sz w:val="20"/>
      <w:szCs w:val="20"/>
    </w:rPr>
  </w:style>
  <w:style w:type="character" w:customStyle="1" w:styleId="CommentTextChar">
    <w:name w:val="Comment Text Char"/>
    <w:basedOn w:val="DefaultParagraphFont"/>
    <w:link w:val="CommentText"/>
    <w:uiPriority w:val="99"/>
    <w:semiHidden/>
    <w:rsid w:val="0081563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15635"/>
    <w:rPr>
      <w:rFonts w:ascii="Calibri" w:hAnsi="Calibri"/>
      <w:b/>
      <w:bCs/>
      <w:lang w:eastAsia="lv-LV"/>
    </w:rPr>
  </w:style>
  <w:style w:type="character" w:customStyle="1" w:styleId="CommentSubjectChar">
    <w:name w:val="Comment Subject Char"/>
    <w:basedOn w:val="CommentTextChar"/>
    <w:link w:val="CommentSubject"/>
    <w:uiPriority w:val="99"/>
    <w:semiHidden/>
    <w:rsid w:val="00815635"/>
    <w:rPr>
      <w:rFonts w:ascii="Calibri" w:eastAsia="Calibri" w:hAnsi="Calibri"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815635"/>
    <w:rPr>
      <w:rFonts w:ascii="Calibri" w:eastAsia="Calibri" w:hAnsi="Calibri" w:cs="Times New Roman"/>
      <w:sz w:val="22"/>
    </w:rPr>
  </w:style>
  <w:style w:type="paragraph" w:styleId="FootnoteText">
    <w:name w:val="footnote text"/>
    <w:basedOn w:val="Normal"/>
    <w:link w:val="FootnoteTextChar"/>
    <w:uiPriority w:val="99"/>
    <w:semiHidden/>
    <w:unhideWhenUsed/>
    <w:rsid w:val="00815635"/>
    <w:rPr>
      <w:sz w:val="20"/>
      <w:szCs w:val="20"/>
    </w:rPr>
  </w:style>
  <w:style w:type="character" w:customStyle="1" w:styleId="FootnoteTextChar">
    <w:name w:val="Footnote Text Char"/>
    <w:basedOn w:val="DefaultParagraphFont"/>
    <w:link w:val="FootnoteText"/>
    <w:uiPriority w:val="99"/>
    <w:semiHidden/>
    <w:rsid w:val="00815635"/>
    <w:rPr>
      <w:rFonts w:eastAsia="Calibri" w:cs="Times New Roman"/>
      <w:sz w:val="20"/>
      <w:szCs w:val="20"/>
    </w:rPr>
  </w:style>
  <w:style w:type="character" w:styleId="FootnoteReference">
    <w:name w:val="footnote reference"/>
    <w:basedOn w:val="DefaultParagraphFont"/>
    <w:uiPriority w:val="99"/>
    <w:semiHidden/>
    <w:unhideWhenUsed/>
    <w:rsid w:val="00815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3D8B-AA90-481E-9BE9-8A03132B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4484</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2019-11-02T12:19:00Z</dcterms:created>
  <dcterms:modified xsi:type="dcterms:W3CDTF">2019-11-04T09:24:00Z</dcterms:modified>
</cp:coreProperties>
</file>