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16CB" w14:textId="49398412" w:rsidR="005865CF" w:rsidRDefault="0031438D" w:rsidP="00C57E86">
      <w:pPr>
        <w:jc w:val="center"/>
        <w:rPr>
          <w:b/>
          <w:bCs/>
          <w:color w:val="0D0D0D" w:themeColor="text1" w:themeTint="F2"/>
        </w:rPr>
      </w:pPr>
      <w:bookmarkStart w:id="0" w:name="_GoBack"/>
      <w:bookmarkEnd w:id="0"/>
      <w:r w:rsidRPr="009D2D72">
        <w:rPr>
          <w:b/>
          <w:bCs/>
          <w:color w:val="0D0D0D" w:themeColor="text1" w:themeTint="F2"/>
        </w:rPr>
        <w:t>Likumprojekta „</w:t>
      </w:r>
      <w:r w:rsidR="00BC5A90" w:rsidRPr="00BC5A90">
        <w:rPr>
          <w:b/>
          <w:color w:val="0D0D0D" w:themeColor="text1" w:themeTint="F2"/>
        </w:rPr>
        <w:t>Grozījumi Likumā par ostām</w:t>
      </w:r>
      <w:r w:rsidR="00D8274A">
        <w:rPr>
          <w:b/>
          <w:color w:val="0D0D0D" w:themeColor="text1" w:themeTint="F2"/>
        </w:rPr>
        <w:t>”</w:t>
      </w:r>
    </w:p>
    <w:p w14:paraId="78D827D6" w14:textId="4FA035B8" w:rsidR="0031438D" w:rsidRPr="009D2D72" w:rsidRDefault="00B07CD8" w:rsidP="00C57E86">
      <w:pPr>
        <w:jc w:val="center"/>
        <w:rPr>
          <w:b/>
          <w:color w:val="0D0D0D" w:themeColor="text1" w:themeTint="F2"/>
        </w:rPr>
      </w:pPr>
      <w:r>
        <w:rPr>
          <w:b/>
          <w:bCs/>
          <w:color w:val="0D0D0D" w:themeColor="text1" w:themeTint="F2"/>
        </w:rPr>
        <w:t xml:space="preserve">sākotnējās </w:t>
      </w:r>
      <w:r w:rsidR="0031438D" w:rsidRPr="009D2D72">
        <w:rPr>
          <w:b/>
          <w:bCs/>
          <w:color w:val="0D0D0D" w:themeColor="text1" w:themeTint="F2"/>
        </w:rPr>
        <w:t>ietekmes novērtējuma ziņojums (anotācija)</w:t>
      </w:r>
    </w:p>
    <w:p w14:paraId="177D3EBF" w14:textId="77777777" w:rsidR="00BD5588" w:rsidRPr="009D2D72" w:rsidRDefault="00BD5588"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9D2D72" w14:paraId="4652DE21" w14:textId="77777777" w:rsidTr="00B07CD8">
        <w:trPr>
          <w:cantSplit/>
        </w:trPr>
        <w:tc>
          <w:tcPr>
            <w:tcW w:w="9061" w:type="dxa"/>
            <w:gridSpan w:val="2"/>
            <w:shd w:val="clear" w:color="auto" w:fill="auto"/>
            <w:vAlign w:val="center"/>
            <w:hideMark/>
          </w:tcPr>
          <w:p w14:paraId="3ADCDE8F" w14:textId="77777777" w:rsidR="00BD5588" w:rsidRPr="009D2D72" w:rsidRDefault="006E2E27" w:rsidP="00C57E86">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009D2D72" w:rsidRPr="009D2D72" w14:paraId="43C2362B" w14:textId="77777777" w:rsidTr="00B07CD8">
        <w:trPr>
          <w:cantSplit/>
        </w:trPr>
        <w:tc>
          <w:tcPr>
            <w:tcW w:w="3247" w:type="dxa"/>
            <w:shd w:val="clear" w:color="auto" w:fill="auto"/>
            <w:hideMark/>
          </w:tcPr>
          <w:p w14:paraId="74206B15" w14:textId="77777777" w:rsidR="00BD5588" w:rsidRPr="009D2D72" w:rsidRDefault="006E2E27" w:rsidP="00C57E86">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5814" w:type="dxa"/>
            <w:shd w:val="clear" w:color="auto" w:fill="auto"/>
            <w:hideMark/>
          </w:tcPr>
          <w:p w14:paraId="1AB8EF54" w14:textId="25DD2A31" w:rsidR="005865CF" w:rsidRPr="006A4D3C" w:rsidRDefault="00E94759" w:rsidP="00BC5A90">
            <w:pPr>
              <w:widowControl w:val="0"/>
              <w:tabs>
                <w:tab w:val="left" w:pos="560"/>
              </w:tabs>
              <w:ind w:right="115"/>
              <w:jc w:val="both"/>
              <w:outlineLvl w:val="2"/>
              <w:rPr>
                <w:color w:val="0D0D0D" w:themeColor="text1" w:themeTint="F2"/>
              </w:rPr>
            </w:pPr>
            <w:r w:rsidRPr="00E94759">
              <w:rPr>
                <w:color w:val="0D0D0D" w:themeColor="text1" w:themeTint="F2"/>
              </w:rPr>
              <w:t>Saskaņā ar Ministru kabineta 2009.gada 15.decembra instrukcijas Nr.19 “Tiesību akta projekta sākotnējās ietekmes izvērtēšanas kārtība” 5.</w:t>
            </w:r>
            <w:r w:rsidRPr="00DC05E9">
              <w:rPr>
                <w:color w:val="0D0D0D" w:themeColor="text1" w:themeTint="F2"/>
                <w:vertAlign w:val="superscript"/>
              </w:rPr>
              <w:t>1</w:t>
            </w:r>
            <w:r w:rsidRPr="00E94759">
              <w:rPr>
                <w:color w:val="0D0D0D" w:themeColor="text1" w:themeTint="F2"/>
              </w:rPr>
              <w:t> punktu šī sadaļa nav jāaizpilda.</w:t>
            </w:r>
          </w:p>
        </w:tc>
      </w:tr>
    </w:tbl>
    <w:p w14:paraId="250B1397" w14:textId="77777777" w:rsidR="004E5314" w:rsidRPr="009D2D72" w:rsidRDefault="004E5314"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2"/>
        <w:gridCol w:w="6089"/>
      </w:tblGrid>
      <w:tr w:rsidR="009D2D72" w:rsidRPr="009D2D72" w14:paraId="712180B0" w14:textId="77777777" w:rsidTr="00737785">
        <w:trPr>
          <w:cantSplit/>
        </w:trPr>
        <w:tc>
          <w:tcPr>
            <w:tcW w:w="5000" w:type="pct"/>
            <w:gridSpan w:val="3"/>
            <w:vAlign w:val="center"/>
            <w:hideMark/>
          </w:tcPr>
          <w:p w14:paraId="2C91D191" w14:textId="77777777" w:rsidR="00BD5588" w:rsidRPr="009D2D72" w:rsidRDefault="006E2E27" w:rsidP="00C57E86">
            <w:pPr>
              <w:jc w:val="center"/>
              <w:rPr>
                <w:b/>
                <w:bCs/>
                <w:color w:val="0D0D0D" w:themeColor="text1" w:themeTint="F2"/>
              </w:rPr>
            </w:pPr>
            <w:r w:rsidRPr="009D2D72">
              <w:rPr>
                <w:b/>
                <w:bCs/>
                <w:color w:val="0D0D0D" w:themeColor="text1" w:themeTint="F2"/>
              </w:rPr>
              <w:t>I. Tiesību akta projekta izstrādes nepieciešamība</w:t>
            </w:r>
          </w:p>
        </w:tc>
      </w:tr>
      <w:tr w:rsidR="009D2D72" w:rsidRPr="009D2D72" w14:paraId="6FA8504B" w14:textId="77777777" w:rsidTr="00BC5A90">
        <w:tc>
          <w:tcPr>
            <w:tcW w:w="132" w:type="pct"/>
            <w:hideMark/>
          </w:tcPr>
          <w:p w14:paraId="2D52D80D"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508" w:type="pct"/>
            <w:hideMark/>
          </w:tcPr>
          <w:p w14:paraId="5E3724CA" w14:textId="77777777" w:rsidR="00BD5588" w:rsidRPr="009D2D72" w:rsidRDefault="006E2E27" w:rsidP="00C57E86">
            <w:pPr>
              <w:rPr>
                <w:color w:val="0D0D0D" w:themeColor="text1" w:themeTint="F2"/>
              </w:rPr>
            </w:pPr>
            <w:r w:rsidRPr="009D2D72">
              <w:rPr>
                <w:color w:val="0D0D0D" w:themeColor="text1" w:themeTint="F2"/>
              </w:rPr>
              <w:t>Pamatojums</w:t>
            </w:r>
          </w:p>
        </w:tc>
        <w:tc>
          <w:tcPr>
            <w:tcW w:w="3360" w:type="pct"/>
            <w:hideMark/>
          </w:tcPr>
          <w:p w14:paraId="26A1C039" w14:textId="7E5A23FF" w:rsidR="00E94759" w:rsidRPr="00E94759" w:rsidRDefault="00E94759" w:rsidP="00E94759">
            <w:pPr>
              <w:pStyle w:val="Standard"/>
              <w:ind w:right="100" w:hanging="22"/>
              <w:jc w:val="both"/>
            </w:pPr>
            <w:r w:rsidRPr="00E94759">
              <w:t xml:space="preserve">Deklarācijas par Artura Krišjāņa Kariņa vadītā Ministru kabineta iecerēto darbību 82.punkts, kas nosaka, ka </w:t>
            </w:r>
            <w:r w:rsidR="00ED23B4">
              <w:t>l</w:t>
            </w:r>
            <w:r w:rsidRPr="00E94759">
              <w:t>ielo ostu darbībā piemērosim OECD valsts kapitālsabiedrību pārvaldības principus, palielināsim valsts ietekmi lēmumu pieņemšanā un nodrošināsim efektīvāku resursu izmantošanu</w:t>
            </w:r>
            <w:r w:rsidR="00ED23B4">
              <w:t>;</w:t>
            </w:r>
            <w:r w:rsidRPr="00E94759">
              <w:t xml:space="preserve"> </w:t>
            </w:r>
            <w:r w:rsidR="00ED23B4">
              <w:t>i</w:t>
            </w:r>
            <w:r w:rsidRPr="00E94759">
              <w:t>zvērtēsim un reformēsim lielo ostu pārvaldības modeli, kā prioritāro risinājumu paredzot to pārveidošanu par valsts kapitālsabiedrībām.</w:t>
            </w:r>
          </w:p>
          <w:p w14:paraId="048B50D3" w14:textId="19928FC2" w:rsidR="004E5314" w:rsidRPr="009D2D72" w:rsidRDefault="004E5314" w:rsidP="00BC5A90">
            <w:pPr>
              <w:pStyle w:val="Standard"/>
              <w:ind w:right="100" w:hanging="22"/>
              <w:jc w:val="both"/>
              <w:rPr>
                <w:rFonts w:cs="Times New Roman"/>
                <w:color w:val="0D0D0D" w:themeColor="text1" w:themeTint="F2"/>
              </w:rPr>
            </w:pPr>
          </w:p>
        </w:tc>
      </w:tr>
      <w:tr w:rsidR="005865CF" w:rsidRPr="009D2D72" w14:paraId="43BCF0C4" w14:textId="77777777" w:rsidTr="00BC5A90">
        <w:tc>
          <w:tcPr>
            <w:tcW w:w="132" w:type="pct"/>
            <w:hideMark/>
          </w:tcPr>
          <w:p w14:paraId="271D3C71" w14:textId="77777777" w:rsidR="005865CF" w:rsidRPr="009D2D72" w:rsidRDefault="005865CF" w:rsidP="005865CF">
            <w:pPr>
              <w:jc w:val="center"/>
              <w:rPr>
                <w:color w:val="0D0D0D" w:themeColor="text1" w:themeTint="F2"/>
              </w:rPr>
            </w:pPr>
            <w:r w:rsidRPr="009D2D72">
              <w:rPr>
                <w:color w:val="0D0D0D" w:themeColor="text1" w:themeTint="F2"/>
              </w:rPr>
              <w:t>2.</w:t>
            </w:r>
          </w:p>
        </w:tc>
        <w:tc>
          <w:tcPr>
            <w:tcW w:w="1508" w:type="pct"/>
            <w:hideMark/>
          </w:tcPr>
          <w:p w14:paraId="27A483CF" w14:textId="77777777" w:rsidR="005865CF" w:rsidRPr="009D2D72" w:rsidRDefault="005865CF" w:rsidP="005865CF">
            <w:pPr>
              <w:rPr>
                <w:color w:val="0D0D0D" w:themeColor="text1" w:themeTint="F2"/>
              </w:rPr>
            </w:pPr>
            <w:r w:rsidRPr="009D2D72">
              <w:rPr>
                <w:color w:val="0D0D0D" w:themeColor="text1" w:themeTint="F2"/>
              </w:rPr>
              <w:t>Pašreizējā situācija un problēmas, kuru risināšanai tiesību akta projekts izstrādāts, tiesiskā regulējuma mērķis un būtība</w:t>
            </w:r>
          </w:p>
          <w:p w14:paraId="6D615DFC" w14:textId="77777777" w:rsidR="005865CF" w:rsidRPr="009D2D72" w:rsidRDefault="005865CF" w:rsidP="005865CF">
            <w:pPr>
              <w:rPr>
                <w:color w:val="0D0D0D" w:themeColor="text1" w:themeTint="F2"/>
              </w:rPr>
            </w:pPr>
          </w:p>
          <w:p w14:paraId="4B5F78D1" w14:textId="77777777" w:rsidR="005865CF" w:rsidRPr="009D2D72" w:rsidRDefault="005865CF" w:rsidP="005865CF">
            <w:pPr>
              <w:rPr>
                <w:color w:val="0D0D0D" w:themeColor="text1" w:themeTint="F2"/>
              </w:rPr>
            </w:pPr>
          </w:p>
          <w:p w14:paraId="28AAD5E6" w14:textId="77777777" w:rsidR="005865CF" w:rsidRPr="009D2D72" w:rsidRDefault="005865CF" w:rsidP="005865CF">
            <w:pPr>
              <w:rPr>
                <w:color w:val="0D0D0D" w:themeColor="text1" w:themeTint="F2"/>
              </w:rPr>
            </w:pPr>
          </w:p>
          <w:p w14:paraId="3CDCA894" w14:textId="77777777" w:rsidR="005865CF" w:rsidRPr="009D2D72" w:rsidRDefault="005865CF" w:rsidP="005865CF">
            <w:pPr>
              <w:rPr>
                <w:color w:val="0D0D0D" w:themeColor="text1" w:themeTint="F2"/>
              </w:rPr>
            </w:pPr>
          </w:p>
          <w:p w14:paraId="783C0F4D" w14:textId="77777777" w:rsidR="005865CF" w:rsidRPr="009D2D72" w:rsidRDefault="005865CF" w:rsidP="005865CF">
            <w:pPr>
              <w:rPr>
                <w:color w:val="0D0D0D" w:themeColor="text1" w:themeTint="F2"/>
              </w:rPr>
            </w:pPr>
          </w:p>
          <w:p w14:paraId="3323FF80" w14:textId="77777777" w:rsidR="005865CF" w:rsidRPr="009D2D72" w:rsidRDefault="005865CF" w:rsidP="005865CF">
            <w:pPr>
              <w:rPr>
                <w:color w:val="0D0D0D" w:themeColor="text1" w:themeTint="F2"/>
              </w:rPr>
            </w:pPr>
          </w:p>
          <w:p w14:paraId="070D952A" w14:textId="77777777" w:rsidR="005865CF" w:rsidRPr="009D2D72" w:rsidRDefault="005865CF" w:rsidP="005865CF">
            <w:pPr>
              <w:rPr>
                <w:color w:val="0D0D0D" w:themeColor="text1" w:themeTint="F2"/>
              </w:rPr>
            </w:pPr>
          </w:p>
          <w:p w14:paraId="2F20208F" w14:textId="77777777" w:rsidR="005865CF" w:rsidRPr="009D2D72" w:rsidRDefault="005865CF" w:rsidP="005865CF">
            <w:pPr>
              <w:rPr>
                <w:color w:val="0D0D0D" w:themeColor="text1" w:themeTint="F2"/>
              </w:rPr>
            </w:pPr>
          </w:p>
          <w:p w14:paraId="7E8DDF8B" w14:textId="77777777" w:rsidR="005865CF" w:rsidRPr="009D2D72" w:rsidRDefault="005865CF" w:rsidP="005865CF">
            <w:pPr>
              <w:rPr>
                <w:color w:val="0D0D0D" w:themeColor="text1" w:themeTint="F2"/>
              </w:rPr>
            </w:pPr>
          </w:p>
          <w:p w14:paraId="23C5D048" w14:textId="77777777" w:rsidR="005865CF" w:rsidRPr="009D2D72" w:rsidRDefault="005865CF" w:rsidP="005865CF">
            <w:pPr>
              <w:rPr>
                <w:color w:val="0D0D0D" w:themeColor="text1" w:themeTint="F2"/>
              </w:rPr>
            </w:pPr>
          </w:p>
          <w:p w14:paraId="76D42C80" w14:textId="77777777" w:rsidR="005865CF" w:rsidRPr="009D2D72" w:rsidRDefault="005865CF" w:rsidP="005865CF">
            <w:pPr>
              <w:rPr>
                <w:color w:val="0D0D0D" w:themeColor="text1" w:themeTint="F2"/>
              </w:rPr>
            </w:pPr>
          </w:p>
          <w:p w14:paraId="44BC1C3E" w14:textId="77777777" w:rsidR="005865CF" w:rsidRPr="009D2D72" w:rsidRDefault="005865CF" w:rsidP="005865CF">
            <w:pPr>
              <w:rPr>
                <w:color w:val="0D0D0D" w:themeColor="text1" w:themeTint="F2"/>
              </w:rPr>
            </w:pPr>
          </w:p>
          <w:p w14:paraId="7F94462B" w14:textId="77777777" w:rsidR="005865CF" w:rsidRPr="009D2D72" w:rsidRDefault="005865CF" w:rsidP="005865CF">
            <w:pPr>
              <w:rPr>
                <w:color w:val="0D0D0D" w:themeColor="text1" w:themeTint="F2"/>
              </w:rPr>
            </w:pPr>
          </w:p>
          <w:p w14:paraId="7654E30B" w14:textId="77777777" w:rsidR="005865CF" w:rsidRPr="009D2D72" w:rsidRDefault="005865CF" w:rsidP="005865CF">
            <w:pPr>
              <w:rPr>
                <w:color w:val="0D0D0D" w:themeColor="text1" w:themeTint="F2"/>
              </w:rPr>
            </w:pPr>
          </w:p>
          <w:p w14:paraId="31970DEA" w14:textId="77777777" w:rsidR="005865CF" w:rsidRPr="009D2D72" w:rsidRDefault="005865CF" w:rsidP="005865CF">
            <w:pPr>
              <w:rPr>
                <w:color w:val="0D0D0D" w:themeColor="text1" w:themeTint="F2"/>
              </w:rPr>
            </w:pPr>
          </w:p>
          <w:p w14:paraId="0AFD99A9" w14:textId="77777777" w:rsidR="005865CF" w:rsidRPr="009D2D72" w:rsidRDefault="005865CF" w:rsidP="005865CF">
            <w:pPr>
              <w:rPr>
                <w:color w:val="0D0D0D" w:themeColor="text1" w:themeTint="F2"/>
              </w:rPr>
            </w:pPr>
          </w:p>
          <w:p w14:paraId="3DFC9F18" w14:textId="77777777" w:rsidR="005865CF" w:rsidRPr="009D2D72" w:rsidRDefault="005865CF" w:rsidP="005865CF">
            <w:pPr>
              <w:rPr>
                <w:color w:val="0D0D0D" w:themeColor="text1" w:themeTint="F2"/>
              </w:rPr>
            </w:pPr>
          </w:p>
          <w:p w14:paraId="1F702620" w14:textId="77777777" w:rsidR="005865CF" w:rsidRPr="009D2D72" w:rsidRDefault="005865CF" w:rsidP="005865CF">
            <w:pPr>
              <w:rPr>
                <w:color w:val="0D0D0D" w:themeColor="text1" w:themeTint="F2"/>
              </w:rPr>
            </w:pPr>
          </w:p>
          <w:p w14:paraId="2C735B44" w14:textId="77777777" w:rsidR="005865CF" w:rsidRPr="009D2D72" w:rsidRDefault="005865CF" w:rsidP="005865CF">
            <w:pPr>
              <w:rPr>
                <w:color w:val="0D0D0D" w:themeColor="text1" w:themeTint="F2"/>
              </w:rPr>
            </w:pPr>
          </w:p>
          <w:p w14:paraId="6080F7AC" w14:textId="77777777" w:rsidR="005865CF" w:rsidRPr="009D2D72" w:rsidRDefault="005865CF" w:rsidP="005865CF">
            <w:pPr>
              <w:rPr>
                <w:color w:val="0D0D0D" w:themeColor="text1" w:themeTint="F2"/>
              </w:rPr>
            </w:pPr>
          </w:p>
          <w:p w14:paraId="4EAA759F" w14:textId="77777777" w:rsidR="005865CF" w:rsidRPr="009D2D72" w:rsidRDefault="005865CF" w:rsidP="005865CF">
            <w:pPr>
              <w:rPr>
                <w:color w:val="0D0D0D" w:themeColor="text1" w:themeTint="F2"/>
              </w:rPr>
            </w:pPr>
          </w:p>
          <w:p w14:paraId="7C6F436D" w14:textId="77777777" w:rsidR="005865CF" w:rsidRPr="009D2D72" w:rsidRDefault="005865CF" w:rsidP="005865CF">
            <w:pPr>
              <w:rPr>
                <w:color w:val="0D0D0D" w:themeColor="text1" w:themeTint="F2"/>
              </w:rPr>
            </w:pPr>
          </w:p>
          <w:p w14:paraId="537AB7AA" w14:textId="77777777" w:rsidR="005865CF" w:rsidRPr="009D2D72" w:rsidRDefault="005865CF" w:rsidP="005865CF">
            <w:pPr>
              <w:rPr>
                <w:color w:val="0D0D0D" w:themeColor="text1" w:themeTint="F2"/>
              </w:rPr>
            </w:pPr>
          </w:p>
          <w:p w14:paraId="25E4D365" w14:textId="77777777" w:rsidR="005865CF" w:rsidRPr="009D2D72" w:rsidRDefault="005865CF" w:rsidP="005865CF">
            <w:pPr>
              <w:rPr>
                <w:color w:val="0D0D0D" w:themeColor="text1" w:themeTint="F2"/>
              </w:rPr>
            </w:pPr>
          </w:p>
          <w:p w14:paraId="568E8CFA" w14:textId="77777777" w:rsidR="005865CF" w:rsidRPr="009D2D72" w:rsidRDefault="005865CF" w:rsidP="005865CF">
            <w:pPr>
              <w:rPr>
                <w:color w:val="0D0D0D" w:themeColor="text1" w:themeTint="F2"/>
              </w:rPr>
            </w:pPr>
          </w:p>
          <w:p w14:paraId="35C33102" w14:textId="77777777" w:rsidR="005865CF" w:rsidRPr="009D2D72" w:rsidRDefault="005865CF" w:rsidP="005865CF">
            <w:pPr>
              <w:rPr>
                <w:color w:val="0D0D0D" w:themeColor="text1" w:themeTint="F2"/>
              </w:rPr>
            </w:pPr>
          </w:p>
          <w:p w14:paraId="1C3BD991" w14:textId="77777777" w:rsidR="005865CF" w:rsidRPr="009D2D72" w:rsidRDefault="005865CF" w:rsidP="005865CF">
            <w:pPr>
              <w:rPr>
                <w:color w:val="0D0D0D" w:themeColor="text1" w:themeTint="F2"/>
              </w:rPr>
            </w:pPr>
          </w:p>
          <w:p w14:paraId="3F166039" w14:textId="77777777" w:rsidR="005865CF" w:rsidRPr="009D2D72" w:rsidRDefault="005865CF" w:rsidP="005865CF">
            <w:pPr>
              <w:jc w:val="center"/>
              <w:rPr>
                <w:color w:val="0D0D0D" w:themeColor="text1" w:themeTint="F2"/>
              </w:rPr>
            </w:pPr>
          </w:p>
        </w:tc>
        <w:tc>
          <w:tcPr>
            <w:tcW w:w="3360" w:type="pct"/>
            <w:tcBorders>
              <w:top w:val="single" w:sz="4" w:space="0" w:color="auto"/>
              <w:left w:val="single" w:sz="4" w:space="0" w:color="auto"/>
              <w:bottom w:val="single" w:sz="4" w:space="0" w:color="auto"/>
              <w:right w:val="single" w:sz="4" w:space="0" w:color="auto"/>
            </w:tcBorders>
          </w:tcPr>
          <w:p w14:paraId="059AE62C" w14:textId="6323F687" w:rsidR="008C0E08" w:rsidRPr="008C0E08" w:rsidRDefault="008C0E08" w:rsidP="008C0E08">
            <w:pPr>
              <w:ind w:left="122" w:firstLine="253"/>
              <w:jc w:val="both"/>
            </w:pPr>
            <w:r w:rsidRPr="008C0E08">
              <w:t>Saskaņā ar Likuma par ostām 7.panta pirmo daļu un Ministru kabineta 2012.gada 29.maija noteikumu Nr.378 “Rīgas brīvostas pārvaldes nolikums”</w:t>
            </w:r>
            <w:r w:rsidR="00ED23B4">
              <w:t xml:space="preserve"> </w:t>
            </w:r>
            <w:r w:rsidRPr="008C0E08">
              <w:t>1.punktu Rīgas brīvostas pārvalde ir atvasināta publiska persona, kas veic Rīgas brīvostas pārvaldīšanu un darbojas publisko un privāto tiesību jomā, un tā atrodas Ministru kabineta pārraudzībā, kas tiek īstenota ar satiksmes ministra starpniecību.</w:t>
            </w:r>
          </w:p>
          <w:p w14:paraId="227CD80A" w14:textId="04ACE779" w:rsidR="008C0E08" w:rsidRPr="008C0E08" w:rsidRDefault="008C0E08" w:rsidP="008C0E08">
            <w:pPr>
              <w:ind w:left="122" w:firstLine="253"/>
              <w:jc w:val="both"/>
            </w:pPr>
            <w:r w:rsidRPr="008C0E08">
              <w:t>Rīgas brīvosta ir lielākā osta Latvijā un Eiropas nozīmes infrastruktūras posms pasaules un Eiropas kravu transporta ķēdē un pasažieru satiksmes tīklā. Rīgas brīvosta ir otra lielākā Baltijas valstu osta pēc kravu apgrozījuma – 36,4 miljoni tonnu gadā. Rīgas brīvostā strādā ap 200 dažād</w:t>
            </w:r>
            <w:r w:rsidR="00ED23B4">
              <w:t>u</w:t>
            </w:r>
            <w:r w:rsidRPr="008C0E08">
              <w:t xml:space="preserve"> uzņēmum</w:t>
            </w:r>
            <w:r w:rsidR="00ED23B4">
              <w:t>u</w:t>
            </w:r>
            <w:r w:rsidRPr="008C0E08">
              <w:t xml:space="preserve">, tostarp 34 </w:t>
            </w:r>
            <w:proofErr w:type="spellStart"/>
            <w:r w:rsidRPr="008C0E08">
              <w:t>stividorkompānijas</w:t>
            </w:r>
            <w:proofErr w:type="spellEnd"/>
            <w:r w:rsidRPr="008C0E08">
              <w:t xml:space="preserve"> un 28 kuģu aģentu kompānijas.</w:t>
            </w:r>
          </w:p>
          <w:p w14:paraId="3B55E6AD" w14:textId="7C45099D" w:rsidR="002002F8" w:rsidRDefault="002002F8" w:rsidP="002002F8">
            <w:pPr>
              <w:ind w:left="122" w:firstLine="253"/>
              <w:jc w:val="both"/>
            </w:pPr>
            <w:r>
              <w:t xml:space="preserve">Saskaņā ar </w:t>
            </w:r>
            <w:r w:rsidR="007626F3">
              <w:t xml:space="preserve">Likuma par ostām 7.panta pirmo daļu un </w:t>
            </w:r>
            <w:r w:rsidRPr="00BC5A90">
              <w:t>Ministru kabineta 2012.gada 29.maij</w:t>
            </w:r>
            <w:r>
              <w:t>a</w:t>
            </w:r>
            <w:r w:rsidRPr="00BC5A90">
              <w:t xml:space="preserve"> noteikum</w:t>
            </w:r>
            <w:r>
              <w:t>u</w:t>
            </w:r>
            <w:r w:rsidRPr="00BC5A90">
              <w:t xml:space="preserve"> Nr.379</w:t>
            </w:r>
            <w:r>
              <w:t xml:space="preserve"> “</w:t>
            </w:r>
            <w:r w:rsidRPr="00BC5A90">
              <w:t>Ventspils brīvostas pārvaldes nolikums</w:t>
            </w:r>
            <w:r>
              <w:t xml:space="preserve">” 1.punktu </w:t>
            </w:r>
            <w:r w:rsidRPr="00BC5A90">
              <w:t>Ventspils brīvostas pārvalde ir atvasināta publiska persona, kas veic Ventspils brīvostas pārvaldīšanu un darbojas publisko un privāto tiesību jomā, un tā atrodas Ministru kabineta pārraudzībā, kas tiek īstenota ar satiksmes ministra starpniecību.</w:t>
            </w:r>
          </w:p>
          <w:p w14:paraId="751C5171" w14:textId="2AEFC351" w:rsidR="00BC5A90" w:rsidRDefault="00BC5A90" w:rsidP="002002F8">
            <w:pPr>
              <w:ind w:left="122" w:firstLine="281"/>
              <w:jc w:val="both"/>
            </w:pPr>
            <w:r>
              <w:t>Ventspils brīvosta ir Eiropas nozīmes līdzsvarots ostas pakalpojumu un rūpniecības centrs. Ventspils brīvostas pārvalde veicina ostas sabiedrības attīstību, sekmējot Latvijas līdzdalību starptautiskajā tirdzniecībā, attīstot ostas teritoriju, piesaistot investīciju projektus, veicinot ražošanas un ostas pakalpojumu attīstību, kā arī jaunu darbavietu izveidi.</w:t>
            </w:r>
          </w:p>
          <w:p w14:paraId="6AF2564D" w14:textId="370413ED" w:rsidR="00FC1D36" w:rsidRDefault="00BC5A90" w:rsidP="00BC5A90">
            <w:pPr>
              <w:ind w:left="122" w:firstLine="253"/>
              <w:jc w:val="both"/>
              <w:rPr>
                <w:rFonts w:asciiTheme="minorHAnsi" w:eastAsiaTheme="minorHAnsi" w:hAnsiTheme="minorHAnsi" w:cstheme="minorBidi"/>
                <w:sz w:val="22"/>
                <w:szCs w:val="22"/>
                <w:lang w:eastAsia="en-US"/>
              </w:rPr>
            </w:pPr>
            <w:r>
              <w:t>Ventspils brīvostas pārvalde pārvalda otr</w:t>
            </w:r>
            <w:r w:rsidR="007626F3">
              <w:t>o</w:t>
            </w:r>
            <w:r>
              <w:t xml:space="preserve"> lielāko ostu Latvijā </w:t>
            </w:r>
            <w:r w:rsidR="00ED23B4">
              <w:t>–</w:t>
            </w:r>
            <w:r>
              <w:t xml:space="preserve"> kravu apgrozījums Ventspils ostā ir apmēram 20 miljoni tonnu gadā </w:t>
            </w:r>
            <w:r w:rsidRPr="007610AB">
              <w:t xml:space="preserve">un </w:t>
            </w:r>
            <w:r w:rsidR="007626F3" w:rsidRPr="007A0CE8">
              <w:t>ostas teritorijā esošajos uzņēmumos</w:t>
            </w:r>
            <w:r w:rsidR="007626F3">
              <w:t xml:space="preserve"> </w:t>
            </w:r>
            <w:r>
              <w:t>strādā vairāk nekā 2000 darbinieku.</w:t>
            </w:r>
            <w:r w:rsidR="00FC1D36" w:rsidRPr="00FC1D36">
              <w:rPr>
                <w:rFonts w:asciiTheme="minorHAnsi" w:eastAsiaTheme="minorHAnsi" w:hAnsiTheme="minorHAnsi" w:cstheme="minorBidi"/>
                <w:sz w:val="22"/>
                <w:szCs w:val="22"/>
                <w:lang w:eastAsia="en-US"/>
              </w:rPr>
              <w:t xml:space="preserve"> </w:t>
            </w:r>
          </w:p>
          <w:p w14:paraId="243366ED" w14:textId="79CF4C51" w:rsidR="008C1058" w:rsidRDefault="00FC1D36" w:rsidP="008C1058">
            <w:pPr>
              <w:ind w:left="122" w:firstLine="253"/>
              <w:jc w:val="both"/>
            </w:pPr>
            <w:r w:rsidRPr="00FC1D36">
              <w:t>Liepājas speciālās ekonomiskās zonas kopējā teritorija aizņem 65% procentus no Liepājas pilsētas teritorijas, kas ir</w:t>
            </w:r>
            <w:r w:rsidR="00ED23B4">
              <w:t xml:space="preserve"> </w:t>
            </w:r>
            <w:r w:rsidRPr="00FC1D36">
              <w:t xml:space="preserve"> 3 979 hektāri no kuriem ostas sauszemes teritorija kā valsts īpašums aizņem tikai 376 hektār</w:t>
            </w:r>
            <w:r w:rsidR="00ED23B4">
              <w:t>us</w:t>
            </w:r>
            <w:r w:rsidRPr="00FC1D36">
              <w:t xml:space="preserve"> jeb 9,5 %. Liepājas ostas </w:t>
            </w:r>
            <w:r w:rsidRPr="00FC1D36">
              <w:lastRenderedPageBreak/>
              <w:t>un Liepājas speciālās ekonomiskās zonas industriālās teritorijas tiek izmantotas kompleksā mijiedarbībā un ostas attīstība ir nesaraujami saistīta ar ārpus ostas esošās speciālās ekonomiskās zonas industriālo teritoriju attīstību</w:t>
            </w:r>
            <w:r w:rsidR="008C1058">
              <w:t xml:space="preserve">. </w:t>
            </w:r>
            <w:r w:rsidR="008C1058" w:rsidRPr="008C1058">
              <w:t>Lai nodrošinātu visu iesaistīto pušu līdzdalību jautājumu risināšanā un lēmumu pieņemšanā</w:t>
            </w:r>
            <w:r w:rsidR="00DA246E">
              <w:t>,</w:t>
            </w:r>
            <w:r w:rsidR="008C1058" w:rsidRPr="008C1058">
              <w:t xml:space="preserve"> Liepājas speciālās ekonomiskās zonas valdē strādā 3 valsts pārstāvji</w:t>
            </w:r>
            <w:r w:rsidR="008C1058">
              <w:t xml:space="preserve"> no</w:t>
            </w:r>
            <w:r w:rsidR="008C1058" w:rsidRPr="008C1058">
              <w:t xml:space="preserve"> Finanšu ministrijas, Satiksmes</w:t>
            </w:r>
            <w:r w:rsidR="008C1058">
              <w:t xml:space="preserve"> </w:t>
            </w:r>
            <w:r w:rsidR="008C1058" w:rsidRPr="008C1058">
              <w:t>ministrijas un Ekonomikas</w:t>
            </w:r>
            <w:r w:rsidR="008C1058">
              <w:t xml:space="preserve"> </w:t>
            </w:r>
            <w:r w:rsidR="008C1058" w:rsidRPr="008C1058">
              <w:t xml:space="preserve">ministrijas, 3 pašvaldības pārstāvji un 3 uzņēmēju pārstāvji. </w:t>
            </w:r>
          </w:p>
          <w:p w14:paraId="43359985" w14:textId="37334907" w:rsidR="007B5D37" w:rsidRPr="008C1058" w:rsidRDefault="007B5D37" w:rsidP="008C1058">
            <w:pPr>
              <w:ind w:left="122" w:firstLine="253"/>
              <w:jc w:val="both"/>
            </w:pPr>
            <w:r>
              <w:t>Līdz ar to saskaņā ar Likumu par ostām Ventspils un Rīgas ostām ir vienāds pārvaldīšanas princips, kas izriet no Likuma par ostām noteiktā regulējuma, savukārt Liepājas speciālās ekonomiskās zonas pārvaldīšan</w:t>
            </w:r>
            <w:r w:rsidR="00DA246E">
              <w:t>u</w:t>
            </w:r>
            <w:r>
              <w:t xml:space="preserve"> regulē cits normatīvais akts</w:t>
            </w:r>
            <w:r w:rsidR="00DA246E">
              <w:t xml:space="preserve"> –</w:t>
            </w:r>
            <w:r>
              <w:t xml:space="preserve"> </w:t>
            </w:r>
            <w:r w:rsidRPr="007B5D37">
              <w:t>Liepājas speciālās ekonomiskās zonas likums</w:t>
            </w:r>
            <w:r>
              <w:t xml:space="preserve">. </w:t>
            </w:r>
          </w:p>
          <w:p w14:paraId="5A6D5150" w14:textId="45855B46" w:rsidR="00BC5A90" w:rsidRDefault="008C1058" w:rsidP="00BC5A90">
            <w:pPr>
              <w:ind w:left="122" w:firstLine="253"/>
              <w:jc w:val="both"/>
            </w:pPr>
            <w:r>
              <w:t>Ņemot vērā minēto</w:t>
            </w:r>
            <w:r w:rsidR="00DA246E">
              <w:t>,</w:t>
            </w:r>
            <w:r>
              <w:t xml:space="preserve"> secināms, ka </w:t>
            </w:r>
            <w:r w:rsidRPr="00FC1D36">
              <w:t>Liepājas speciālās ekonomiskās zonas</w:t>
            </w:r>
            <w:r>
              <w:t xml:space="preserve"> pārvaldīšanas pilnveides modeļa izstrādei piemērojams atšķirīgs process.</w:t>
            </w:r>
          </w:p>
          <w:p w14:paraId="7BDAA92A" w14:textId="457625D9" w:rsidR="008C0E08" w:rsidRDefault="008C0E08" w:rsidP="008C0E08">
            <w:pPr>
              <w:ind w:left="122" w:firstLine="253"/>
              <w:jc w:val="both"/>
            </w:pPr>
            <w:r>
              <w:t>Deklarācijā</w:t>
            </w:r>
            <w:r w:rsidRPr="006D0E35">
              <w:t xml:space="preserve"> par Artura Krišjāņa Kariņa vadītā Ministru kabineta iecerēto darbību</w:t>
            </w:r>
            <w:r>
              <w:t xml:space="preserve"> kā viena no valdības prioritātēm minēta cīņa ar korupciju (deklarācijas 33. punkts). Valdība kā vienu no prioritātēm norādījusi modernas pārvaldības īstenošanu, tai skaitā r</w:t>
            </w:r>
            <w:r w:rsidRPr="00E6049F">
              <w:t>eformē</w:t>
            </w:r>
            <w:r>
              <w:t>t</w:t>
            </w:r>
            <w:r w:rsidRPr="00E6049F">
              <w:t xml:space="preserve"> valsts pārvaldi, lai uzlabotu tās pakalpojumu sniegšanas kvalitāti un samazinātu korupcijas riskus.</w:t>
            </w:r>
            <w:r>
              <w:t xml:space="preserve"> Valdība ir secinājusi, ka Ventspils osta un Rīgas osta ir pakļauta augstam korupcijas riskam, tādējādi nepieciešamas neatliekamas reformas šo ostu pārvaldībā, lai izpildītu valdības deklarācijā noteikto prioritāti cīņai pret korupciju un uzlabotu šo ostu pārvaldību.</w:t>
            </w:r>
          </w:p>
          <w:p w14:paraId="31C8DF97" w14:textId="695A9BC9" w:rsidR="002D7747" w:rsidRPr="002D7747" w:rsidRDefault="008C0E08" w:rsidP="002D7747">
            <w:pPr>
              <w:ind w:left="122" w:firstLine="253"/>
              <w:jc w:val="both"/>
            </w:pPr>
            <w:r w:rsidRPr="008C0E08">
              <w:t xml:space="preserve">Korupcijas riski Ventspils ostā ir iemesls arī Amerikas Savienoto valstu (turpmāk – ASV) Valsts kases Ārvalstu aktīvu kontroles biroja (turpmāk – ASV OFAC) 2019.gada 9.decembra lēmumam par sankciju noteikšanu pret Aivaru Lembergu, Ventspils brīvostas pārvaldi, Ventspils Attīstības aģentūru, Biznesa attīstības asociāciju un Latvijas Tranzīta biznesa asociāciju. </w:t>
            </w:r>
            <w:r w:rsidR="002D7747" w:rsidRPr="002D7747">
              <w:t>Šis ASV OFAC lēmums papildus pamato nepieciešamību nekavējoties rīkoties, lai izveidotu neatkarīgu Ventspils brīvostas un Rīgas brīvostas pārvaldi</w:t>
            </w:r>
            <w:r w:rsidR="00DA246E">
              <w:t>,</w:t>
            </w:r>
            <w:r w:rsidR="002D7747" w:rsidRPr="002D7747">
              <w:t xml:space="preserve"> kas samazinātu korupcijas riskus šajās ostās.</w:t>
            </w:r>
          </w:p>
          <w:p w14:paraId="482774BE" w14:textId="6AEF09C7" w:rsidR="00BC5A90" w:rsidRDefault="00BC5A90" w:rsidP="00BC5A90">
            <w:pPr>
              <w:ind w:left="122" w:firstLine="253"/>
              <w:jc w:val="both"/>
            </w:pPr>
            <w:r>
              <w:t xml:space="preserve">Sankcijas balstītas uz </w:t>
            </w:r>
            <w:r w:rsidR="007626F3">
              <w:t xml:space="preserve">tā dēvēto </w:t>
            </w:r>
            <w:proofErr w:type="spellStart"/>
            <w:r>
              <w:t>Magņitska</w:t>
            </w:r>
            <w:proofErr w:type="spellEnd"/>
            <w:r>
              <w:t xml:space="preserve"> likumu, kas vēršas pret cilvēkiem, kas iesaistīti korupcijā vai smagos cilvēktiesību pārkāpumos.</w:t>
            </w:r>
          </w:p>
          <w:p w14:paraId="2CB67D28" w14:textId="607DD649" w:rsidR="00BC5A90" w:rsidRDefault="00BC5A90" w:rsidP="00BC5A90">
            <w:pPr>
              <w:ind w:left="122" w:firstLine="253"/>
              <w:jc w:val="both"/>
            </w:pPr>
            <w:r>
              <w:t xml:space="preserve">Saskaņā ar noteiktajām sankcijām tiek bloķēti visi </w:t>
            </w:r>
            <w:proofErr w:type="spellStart"/>
            <w:r>
              <w:t>A</w:t>
            </w:r>
            <w:r w:rsidR="007610AB">
              <w:t>.</w:t>
            </w:r>
            <w:r>
              <w:t>Lemberga</w:t>
            </w:r>
            <w:proofErr w:type="spellEnd"/>
            <w:r>
              <w:t xml:space="preserve"> un </w:t>
            </w:r>
            <w:r w:rsidR="00745175">
              <w:t xml:space="preserve">iepriekš </w:t>
            </w:r>
            <w:r>
              <w:t>minēto struktūru īpašumi, daļas īpašumos un tieši vai netieši individuāli vai ar citu personu starpniecību piederošās struktūras, kurās viņu daļa ir virs 50%, kas atrodas ASV vai atrodas ASV personu īpašumā vai kontrolē, un par tām jāziņo OFAC.</w:t>
            </w:r>
          </w:p>
          <w:p w14:paraId="6FEC4317" w14:textId="77777777" w:rsidR="00BC5A90" w:rsidRDefault="00BC5A90" w:rsidP="00BC5A90">
            <w:pPr>
              <w:ind w:left="122" w:firstLine="253"/>
              <w:jc w:val="both"/>
            </w:pPr>
            <w:r>
              <w:t>Saistībā ar OFAC lēmumu varētu būt traucēti norēķini par Ventspils brīvostas pakalpojumiem.</w:t>
            </w:r>
          </w:p>
          <w:p w14:paraId="026F608B" w14:textId="77777777" w:rsidR="00C60A8A" w:rsidRPr="00C60A8A" w:rsidRDefault="00C60A8A" w:rsidP="00C60A8A">
            <w:pPr>
              <w:ind w:left="122" w:firstLine="253"/>
              <w:jc w:val="both"/>
              <w:rPr>
                <w:color w:val="000000" w:themeColor="text1"/>
              </w:rPr>
            </w:pPr>
            <w:r w:rsidRPr="00C60A8A">
              <w:rPr>
                <w:color w:val="000000" w:themeColor="text1"/>
              </w:rPr>
              <w:t xml:space="preserve">Vienlaikus, lai nodrošinātu vienādus pārvaldības principus abās lielākajās Latvijas ostās, pārvaldības izmaiņas tiktu veiktas arī Rīgas brīvotas pārvaldībā. </w:t>
            </w:r>
          </w:p>
          <w:p w14:paraId="15229F90" w14:textId="159EF78E" w:rsidR="00423C20" w:rsidRDefault="00530FEB" w:rsidP="001F77A0">
            <w:pPr>
              <w:ind w:left="122" w:firstLine="253"/>
              <w:jc w:val="both"/>
              <w:rPr>
                <w:color w:val="000000" w:themeColor="text1"/>
              </w:rPr>
            </w:pPr>
            <w:r>
              <w:rPr>
                <w:color w:val="000000" w:themeColor="text1"/>
              </w:rPr>
              <w:lastRenderedPageBreak/>
              <w:t xml:space="preserve">Tādējādi </w:t>
            </w:r>
            <w:r w:rsidR="007B5D37">
              <w:rPr>
                <w:color w:val="000000" w:themeColor="text1"/>
              </w:rPr>
              <w:t>l</w:t>
            </w:r>
            <w:r w:rsidR="005D2AD8">
              <w:rPr>
                <w:color w:val="000000" w:themeColor="text1"/>
              </w:rPr>
              <w:t>ikumprojektā paredzēts, ka</w:t>
            </w:r>
            <w:r w:rsidR="007B5D37">
              <w:rPr>
                <w:color w:val="000000" w:themeColor="text1"/>
              </w:rPr>
              <w:t xml:space="preserve"> turpmāk valdes sastāvu veidos tikai ministru deleģēti valdes locekļi, kurus iecels Ministru kabinets</w:t>
            </w:r>
            <w:r w:rsidR="002D7747">
              <w:rPr>
                <w:color w:val="000000" w:themeColor="text1"/>
              </w:rPr>
              <w:t>,</w:t>
            </w:r>
            <w:r w:rsidR="007B5D37">
              <w:rPr>
                <w:color w:val="000000" w:themeColor="text1"/>
              </w:rPr>
              <w:t xml:space="preserve"> </w:t>
            </w:r>
            <w:r w:rsidR="00DA246E">
              <w:rPr>
                <w:color w:val="000000" w:themeColor="text1"/>
              </w:rPr>
              <w:t>izslēdzot</w:t>
            </w:r>
            <w:r w:rsidR="00423C20">
              <w:rPr>
                <w:color w:val="000000" w:themeColor="text1"/>
              </w:rPr>
              <w:t xml:space="preserve"> 4</w:t>
            </w:r>
            <w:r w:rsidR="005D2AD8">
              <w:rPr>
                <w:color w:val="000000" w:themeColor="text1"/>
              </w:rPr>
              <w:t xml:space="preserve"> pašvaldības pārstāvju</w:t>
            </w:r>
            <w:r w:rsidR="007047A2">
              <w:rPr>
                <w:color w:val="000000" w:themeColor="text1"/>
              </w:rPr>
              <w:t>s</w:t>
            </w:r>
            <w:r w:rsidR="00423C20">
              <w:rPr>
                <w:color w:val="000000" w:themeColor="text1"/>
              </w:rPr>
              <w:t xml:space="preserve"> no</w:t>
            </w:r>
            <w:r w:rsidR="005D2AD8">
              <w:rPr>
                <w:color w:val="000000" w:themeColor="text1"/>
              </w:rPr>
              <w:t xml:space="preserve"> </w:t>
            </w:r>
            <w:r w:rsidR="007047A2">
              <w:rPr>
                <w:color w:val="000000" w:themeColor="text1"/>
              </w:rPr>
              <w:t xml:space="preserve">Rīgas </w:t>
            </w:r>
            <w:r w:rsidR="005D2AD8">
              <w:rPr>
                <w:color w:val="000000" w:themeColor="text1"/>
              </w:rPr>
              <w:t>brīvost</w:t>
            </w:r>
            <w:r w:rsidR="007047A2">
              <w:rPr>
                <w:color w:val="000000" w:themeColor="text1"/>
              </w:rPr>
              <w:t xml:space="preserve">as </w:t>
            </w:r>
            <w:r w:rsidR="001240E5">
              <w:rPr>
                <w:color w:val="000000" w:themeColor="text1"/>
              </w:rPr>
              <w:t xml:space="preserve">valdes </w:t>
            </w:r>
            <w:r w:rsidR="007047A2">
              <w:rPr>
                <w:color w:val="000000" w:themeColor="text1"/>
              </w:rPr>
              <w:t>un Ventspils brīvostas</w:t>
            </w:r>
            <w:r w:rsidR="005D2AD8">
              <w:rPr>
                <w:color w:val="000000" w:themeColor="text1"/>
              </w:rPr>
              <w:t xml:space="preserve"> vald</w:t>
            </w:r>
            <w:r w:rsidR="007047A2">
              <w:rPr>
                <w:color w:val="000000" w:themeColor="text1"/>
              </w:rPr>
              <w:t>es</w:t>
            </w:r>
            <w:r w:rsidR="00423C20">
              <w:rPr>
                <w:color w:val="000000" w:themeColor="text1"/>
              </w:rPr>
              <w:t xml:space="preserve"> sastāva</w:t>
            </w:r>
            <w:r w:rsidR="001240E5">
              <w:rPr>
                <w:color w:val="000000" w:themeColor="text1"/>
              </w:rPr>
              <w:t xml:space="preserve">. </w:t>
            </w:r>
            <w:r w:rsidR="00423C20">
              <w:rPr>
                <w:color w:val="000000" w:themeColor="text1"/>
              </w:rPr>
              <w:t xml:space="preserve">Pēc </w:t>
            </w:r>
            <w:r w:rsidR="00DA246E">
              <w:rPr>
                <w:color w:val="000000" w:themeColor="text1"/>
              </w:rPr>
              <w:t>l</w:t>
            </w:r>
            <w:r w:rsidR="00423C20">
              <w:rPr>
                <w:color w:val="000000" w:themeColor="text1"/>
              </w:rPr>
              <w:t xml:space="preserve">ikumprojekta pieņemšanas turpmāk Rīgas brīvostas un Ventspils brīvostas valdē </w:t>
            </w:r>
            <w:r w:rsidR="00DA246E">
              <w:rPr>
                <w:color w:val="000000" w:themeColor="text1"/>
              </w:rPr>
              <w:t>amatu saglabās</w:t>
            </w:r>
            <w:r w:rsidR="00423C20">
              <w:rPr>
                <w:color w:val="000000" w:themeColor="text1"/>
              </w:rPr>
              <w:t xml:space="preserve"> četri valsts pārstāvji - </w:t>
            </w:r>
            <w:r w:rsidR="00423C20" w:rsidRPr="007A0CE8">
              <w:rPr>
                <w:color w:val="000000" w:themeColor="text1"/>
              </w:rPr>
              <w:t>ekonomikas ministra, finanšu ministra, satiksmes ministra un vides aizsardzības un reģionālās attīstības ministra izvirzīti pārstāvji</w:t>
            </w:r>
            <w:r w:rsidR="00DA246E">
              <w:rPr>
                <w:color w:val="000000" w:themeColor="text1"/>
              </w:rPr>
              <w:t>.</w:t>
            </w:r>
            <w:r w:rsidR="00423C20" w:rsidRPr="007A0CE8">
              <w:rPr>
                <w:color w:val="000000" w:themeColor="text1"/>
              </w:rPr>
              <w:t xml:space="preserve"> </w:t>
            </w:r>
          </w:p>
          <w:p w14:paraId="3DA37B46" w14:textId="23FC1125" w:rsidR="001240E5" w:rsidRPr="001240E5" w:rsidRDefault="008C0E08" w:rsidP="00DA246E">
            <w:pPr>
              <w:ind w:left="122" w:firstLine="253"/>
              <w:jc w:val="both"/>
              <w:rPr>
                <w:color w:val="000000" w:themeColor="text1"/>
              </w:rPr>
            </w:pPr>
            <w:r>
              <w:rPr>
                <w:color w:val="000000" w:themeColor="text1"/>
              </w:rPr>
              <w:t>Šāds modelis palīdzēs veidot neatkarīgas Rīgas brīvostas un Ventspils brīvostas pārvaldes, kas pienākumu izpildi būs tieši atbildīgas Ministru kabinetam</w:t>
            </w:r>
            <w:r w:rsidR="00DA246E">
              <w:rPr>
                <w:color w:val="000000" w:themeColor="text1"/>
              </w:rPr>
              <w:t>,</w:t>
            </w:r>
            <w:r>
              <w:rPr>
                <w:color w:val="000000" w:themeColor="text1"/>
              </w:rPr>
              <w:t xml:space="preserve"> un tādējādi tieši Ministru kabinets spēs kontrolēt šo ostu pārvaldību.</w:t>
            </w:r>
          </w:p>
        </w:tc>
      </w:tr>
      <w:tr w:rsidR="005865CF" w:rsidRPr="009D2D72" w14:paraId="01394C9C" w14:textId="77777777" w:rsidTr="00BC5A90">
        <w:tc>
          <w:tcPr>
            <w:tcW w:w="132" w:type="pct"/>
            <w:hideMark/>
          </w:tcPr>
          <w:p w14:paraId="426D5BDB" w14:textId="77777777" w:rsidR="005865CF" w:rsidRPr="009D2D72" w:rsidRDefault="005865CF" w:rsidP="005865CF">
            <w:pPr>
              <w:jc w:val="center"/>
              <w:rPr>
                <w:color w:val="0D0D0D" w:themeColor="text1" w:themeTint="F2"/>
              </w:rPr>
            </w:pPr>
            <w:r w:rsidRPr="009D2D72">
              <w:rPr>
                <w:color w:val="0D0D0D" w:themeColor="text1" w:themeTint="F2"/>
              </w:rPr>
              <w:lastRenderedPageBreak/>
              <w:t>3.</w:t>
            </w:r>
          </w:p>
        </w:tc>
        <w:tc>
          <w:tcPr>
            <w:tcW w:w="1508" w:type="pct"/>
            <w:hideMark/>
          </w:tcPr>
          <w:p w14:paraId="7869B36D" w14:textId="77777777" w:rsidR="005865CF" w:rsidRPr="009D2D72" w:rsidRDefault="005865CF" w:rsidP="005865CF">
            <w:pPr>
              <w:rPr>
                <w:color w:val="0D0D0D" w:themeColor="text1" w:themeTint="F2"/>
              </w:rPr>
            </w:pPr>
            <w:r w:rsidRPr="009D2D72">
              <w:rPr>
                <w:color w:val="0D0D0D" w:themeColor="text1" w:themeTint="F2"/>
              </w:rPr>
              <w:t>Projekta izstrādē iesaistītās institūcijas un publiskas personas kapitālsabiedrības</w:t>
            </w:r>
          </w:p>
        </w:tc>
        <w:tc>
          <w:tcPr>
            <w:tcW w:w="3360" w:type="pct"/>
          </w:tcPr>
          <w:p w14:paraId="6FFABD33" w14:textId="1515EFD8" w:rsidR="005865CF" w:rsidRPr="009D2D72" w:rsidRDefault="00D170C1" w:rsidP="005865CF">
            <w:pPr>
              <w:jc w:val="both"/>
              <w:rPr>
                <w:color w:val="0D0D0D" w:themeColor="text1" w:themeTint="F2"/>
              </w:rPr>
            </w:pPr>
            <w:r w:rsidRPr="00D170C1">
              <w:rPr>
                <w:color w:val="0D0D0D" w:themeColor="text1" w:themeTint="F2"/>
              </w:rPr>
              <w:t>Satiksmes ministrija</w:t>
            </w:r>
            <w:r w:rsidR="00BC5A90">
              <w:rPr>
                <w:color w:val="0D0D0D" w:themeColor="text1" w:themeTint="F2"/>
              </w:rPr>
              <w:t>.</w:t>
            </w:r>
          </w:p>
        </w:tc>
      </w:tr>
      <w:tr w:rsidR="005865CF" w:rsidRPr="009D2D72" w14:paraId="45D441AE" w14:textId="77777777" w:rsidTr="00BC5A90">
        <w:tc>
          <w:tcPr>
            <w:tcW w:w="132" w:type="pct"/>
            <w:hideMark/>
          </w:tcPr>
          <w:p w14:paraId="0E3CB28C" w14:textId="77777777" w:rsidR="005865CF" w:rsidRPr="009D2D72" w:rsidRDefault="005865CF" w:rsidP="005865CF">
            <w:pPr>
              <w:jc w:val="center"/>
              <w:rPr>
                <w:color w:val="0D0D0D" w:themeColor="text1" w:themeTint="F2"/>
              </w:rPr>
            </w:pPr>
            <w:r w:rsidRPr="009D2D72">
              <w:rPr>
                <w:color w:val="0D0D0D" w:themeColor="text1" w:themeTint="F2"/>
              </w:rPr>
              <w:t>4.</w:t>
            </w:r>
          </w:p>
        </w:tc>
        <w:tc>
          <w:tcPr>
            <w:tcW w:w="1508" w:type="pct"/>
            <w:hideMark/>
          </w:tcPr>
          <w:p w14:paraId="499A6F57" w14:textId="77777777" w:rsidR="005865CF" w:rsidRPr="009D2D72" w:rsidRDefault="005865CF" w:rsidP="005865CF">
            <w:pPr>
              <w:rPr>
                <w:color w:val="0D0D0D" w:themeColor="text1" w:themeTint="F2"/>
              </w:rPr>
            </w:pPr>
            <w:r w:rsidRPr="009D2D72">
              <w:rPr>
                <w:color w:val="0D0D0D" w:themeColor="text1" w:themeTint="F2"/>
              </w:rPr>
              <w:t>Cita informācija</w:t>
            </w:r>
          </w:p>
        </w:tc>
        <w:tc>
          <w:tcPr>
            <w:tcW w:w="3360" w:type="pct"/>
          </w:tcPr>
          <w:p w14:paraId="66E5C4E5" w14:textId="7B6B1B6D" w:rsidR="00C60A8A" w:rsidRDefault="00DF7B96" w:rsidP="00DF7B96">
            <w:pPr>
              <w:jc w:val="both"/>
            </w:pPr>
            <w:r>
              <w:t xml:space="preserve">Ministru kabineta locekļi </w:t>
            </w:r>
            <w:r w:rsidR="008C0E08" w:rsidRPr="008C0E08">
              <w:t xml:space="preserve">2019.gada 10.decembrī </w:t>
            </w:r>
            <w:r>
              <w:t>konceptuāli vienojās, ka</w:t>
            </w:r>
            <w:r w:rsidR="00C60326">
              <w:t xml:space="preserve"> vienlaikus</w:t>
            </w:r>
            <w:r>
              <w:t xml:space="preserve"> nekavējoties ir jāveic darbības, lai</w:t>
            </w:r>
            <w:r w:rsidR="00C60326">
              <w:t xml:space="preserve"> atbilstoši </w:t>
            </w:r>
            <w:r w:rsidR="000028E5" w:rsidRPr="000028E5">
              <w:t>deklarācija</w:t>
            </w:r>
            <w:r w:rsidR="000028E5">
              <w:t>i</w:t>
            </w:r>
            <w:r w:rsidR="000028E5" w:rsidRPr="000028E5">
              <w:t xml:space="preserve"> par Artura Krišjāņa Kariņa vadītā Ministru kabineta iecerēto darbību </w:t>
            </w:r>
            <w:r>
              <w:t xml:space="preserve"> mainītu ostas pārvaldības modeli pēc būtības, dibinot</w:t>
            </w:r>
            <w:r w:rsidR="007A0CE8">
              <w:t xml:space="preserve"> jaunu</w:t>
            </w:r>
            <w:r w:rsidR="00ED23B4">
              <w:t xml:space="preserve"> vai jaunas</w:t>
            </w:r>
            <w:r w:rsidR="007A0CE8">
              <w:t xml:space="preserve"> 100% valsts kontrolē esošu valsts akciju sabiedrību</w:t>
            </w:r>
            <w:r>
              <w:t>. Minētās kapitālsabiedrības uzdevums būtu</w:t>
            </w:r>
            <w:r w:rsidR="00C9284C">
              <w:t xml:space="preserve"> nodrošināt Ventspils brīvostas teritorijas pārvaldīšanu un apsaimniekošanu atvasinātās publiskās personas vietā, vienlaikus </w:t>
            </w:r>
            <w:r>
              <w:t xml:space="preserve">analoģiskā veidā </w:t>
            </w:r>
            <w:r w:rsidR="00C9284C">
              <w:t>tiktu risināts arī jautājums par Rīgas brīvostas teritorijas apsaimniekošanu un pārvaldīšanu.</w:t>
            </w:r>
            <w:r w:rsidR="00C60A8A">
              <w:t xml:space="preserve"> </w:t>
            </w:r>
          </w:p>
          <w:p w14:paraId="21AA0883" w14:textId="05D967AE" w:rsidR="00C60A8A" w:rsidRPr="00B46A33" w:rsidRDefault="00C60A8A" w:rsidP="00C60A8A">
            <w:pPr>
              <w:jc w:val="both"/>
              <w:rPr>
                <w:color w:val="000000" w:themeColor="text1"/>
              </w:rPr>
            </w:pPr>
            <w:r>
              <w:rPr>
                <w:color w:val="000000" w:themeColor="text1"/>
              </w:rPr>
              <w:t xml:space="preserve">Atbilstoši Valsts pārvaldes iekārtas likuma 88.panta pirmajai daļai jaundibināmās publiskas personas kapitālsabiedrības </w:t>
            </w:r>
            <w:r w:rsidRPr="00B46A33">
              <w:rPr>
                <w:color w:val="000000" w:themeColor="text1"/>
              </w:rPr>
              <w:t>darbības rezultātā tik</w:t>
            </w:r>
            <w:r>
              <w:rPr>
                <w:color w:val="000000" w:themeColor="text1"/>
              </w:rPr>
              <w:t>s</w:t>
            </w:r>
            <w:r w:rsidRPr="00B46A33">
              <w:rPr>
                <w:color w:val="000000" w:themeColor="text1"/>
              </w:rPr>
              <w:t xml:space="preserve"> radīt</w:t>
            </w:r>
            <w:r>
              <w:rPr>
                <w:color w:val="000000" w:themeColor="text1"/>
              </w:rPr>
              <w:t>i</w:t>
            </w:r>
            <w:r w:rsidRPr="00B46A33">
              <w:rPr>
                <w:color w:val="000000" w:themeColor="text1"/>
              </w:rPr>
              <w:t xml:space="preserve"> pakalpojumi, kas ir stratēģiski svarīgi</w:t>
            </w:r>
            <w:r>
              <w:rPr>
                <w:color w:val="000000" w:themeColor="text1"/>
              </w:rPr>
              <w:t xml:space="preserve"> gan</w:t>
            </w:r>
            <w:r w:rsidRPr="00B46A33">
              <w:rPr>
                <w:color w:val="000000" w:themeColor="text1"/>
              </w:rPr>
              <w:t xml:space="preserve"> valsts</w:t>
            </w:r>
            <w:r>
              <w:rPr>
                <w:color w:val="000000" w:themeColor="text1"/>
              </w:rPr>
              <w:t>, gan</w:t>
            </w:r>
            <w:r w:rsidRPr="00B46A33">
              <w:rPr>
                <w:color w:val="000000" w:themeColor="text1"/>
              </w:rPr>
              <w:t xml:space="preserve"> pašvaldības administratīvās teritorijas attīstībai</w:t>
            </w:r>
            <w:r>
              <w:rPr>
                <w:color w:val="000000" w:themeColor="text1"/>
              </w:rPr>
              <w:t>.</w:t>
            </w:r>
          </w:p>
          <w:p w14:paraId="5E583E0E" w14:textId="1CD5A269" w:rsidR="00C60A8A" w:rsidRDefault="00C60A8A" w:rsidP="00DF7B96">
            <w:pPr>
              <w:jc w:val="both"/>
              <w:rPr>
                <w:bCs/>
              </w:rPr>
            </w:pPr>
            <w:r>
              <w:t>Plānots, ka ja</w:t>
            </w:r>
            <w:r w:rsidR="000028E5">
              <w:t>u</w:t>
            </w:r>
            <w:r>
              <w:t xml:space="preserve">ndibināmās kapitālsabiedrības </w:t>
            </w:r>
            <w:proofErr w:type="spellStart"/>
            <w:r w:rsidRPr="00C60A8A">
              <w:rPr>
                <w:bCs/>
              </w:rPr>
              <w:t>balstiesīgās</w:t>
            </w:r>
            <w:proofErr w:type="spellEnd"/>
            <w:r w:rsidRPr="00C60A8A">
              <w:rPr>
                <w:bCs/>
              </w:rPr>
              <w:t xml:space="preserve"> akcijas pieder</w:t>
            </w:r>
            <w:r>
              <w:rPr>
                <w:bCs/>
              </w:rPr>
              <w:t>ēs</w:t>
            </w:r>
            <w:r w:rsidRPr="00C60A8A">
              <w:rPr>
                <w:bCs/>
              </w:rPr>
              <w:t xml:space="preserve"> valstij</w:t>
            </w:r>
            <w:r>
              <w:rPr>
                <w:bCs/>
              </w:rPr>
              <w:t xml:space="preserve"> un</w:t>
            </w:r>
            <w:r w:rsidRPr="00C60A8A">
              <w:rPr>
                <w:bCs/>
              </w:rPr>
              <w:t xml:space="preserve"> kapitālsabiedrības akcijas nedrīkst</w:t>
            </w:r>
            <w:r>
              <w:rPr>
                <w:bCs/>
              </w:rPr>
              <w:t>ēs</w:t>
            </w:r>
            <w:r w:rsidRPr="00C60A8A">
              <w:rPr>
                <w:bCs/>
              </w:rPr>
              <w:t xml:space="preserve"> privatizēt, atsavināt, ieķīlāt un citādi apgrūtināt</w:t>
            </w:r>
            <w:r>
              <w:rPr>
                <w:bCs/>
              </w:rPr>
              <w:t>.</w:t>
            </w:r>
            <w:r w:rsidR="00BA7D68">
              <w:rPr>
                <w:bCs/>
              </w:rPr>
              <w:t xml:space="preserve"> </w:t>
            </w:r>
          </w:p>
          <w:p w14:paraId="62C2ECFF" w14:textId="331852E4" w:rsidR="00C60326" w:rsidRDefault="00C60326" w:rsidP="00DF7B96">
            <w:pPr>
              <w:jc w:val="both"/>
              <w:rPr>
                <w:bCs/>
              </w:rPr>
            </w:pPr>
            <w:r>
              <w:rPr>
                <w:bCs/>
              </w:rPr>
              <w:t xml:space="preserve">Lēmumu par valsts kapitāla daļu turētāja </w:t>
            </w:r>
            <w:r w:rsidR="006238BF">
              <w:rPr>
                <w:bCs/>
              </w:rPr>
              <w:t>pārstāvi</w:t>
            </w:r>
            <w:r>
              <w:rPr>
                <w:bCs/>
              </w:rPr>
              <w:t xml:space="preserve"> atbilstoši </w:t>
            </w:r>
            <w:r w:rsidR="006238BF">
              <w:rPr>
                <w:bCs/>
              </w:rPr>
              <w:t xml:space="preserve"> </w:t>
            </w:r>
            <w:hyperlink r:id="rId8" w:tgtFrame="_blank" w:history="1">
              <w:r w:rsidRPr="00C60326">
                <w:t>Publiskas personas kapitāla daļu un kapitālsabiedrību pārvaldības likumā</w:t>
              </w:r>
            </w:hyperlink>
            <w:r>
              <w:rPr>
                <w:bCs/>
              </w:rPr>
              <w:t xml:space="preserve"> noteiktajā kārtīb</w:t>
            </w:r>
            <w:r w:rsidR="00DA246E">
              <w:rPr>
                <w:bCs/>
              </w:rPr>
              <w:t>ā</w:t>
            </w:r>
            <w:r>
              <w:rPr>
                <w:bCs/>
              </w:rPr>
              <w:t xml:space="preserve"> pieņems Ministru kabinets.</w:t>
            </w:r>
          </w:p>
          <w:p w14:paraId="69759367" w14:textId="6AF56224" w:rsidR="006238BF" w:rsidRDefault="00C60326" w:rsidP="00DF7B96">
            <w:pPr>
              <w:jc w:val="both"/>
              <w:rPr>
                <w:bCs/>
              </w:rPr>
            </w:pPr>
            <w:r w:rsidRPr="00C60326">
              <w:rPr>
                <w:bCs/>
              </w:rPr>
              <w:t xml:space="preserve"> </w:t>
            </w:r>
            <w:r w:rsidR="006238BF">
              <w:rPr>
                <w:bCs/>
              </w:rPr>
              <w:t xml:space="preserve">Kapitālsabiedrības dibināšanai no valsts budžeta līdzekļiem būs nepieciešami finanšu līdzekļi līdz 35 500 </w:t>
            </w:r>
            <w:proofErr w:type="spellStart"/>
            <w:r w:rsidR="006238BF" w:rsidRPr="006238BF">
              <w:rPr>
                <w:bCs/>
                <w:i/>
                <w:iCs/>
              </w:rPr>
              <w:t>euro</w:t>
            </w:r>
            <w:proofErr w:type="spellEnd"/>
            <w:r w:rsidR="006238BF">
              <w:rPr>
                <w:bCs/>
              </w:rPr>
              <w:t xml:space="preserve"> apmērā, t.i., p</w:t>
            </w:r>
            <w:r w:rsidR="006238BF" w:rsidRPr="00EF6C48">
              <w:rPr>
                <w:color w:val="0D0D0D" w:themeColor="text1" w:themeTint="F2"/>
              </w:rPr>
              <w:t>amatkapitāla izmaksas (minimālais akciju sabiedrības pamatkapitāla lielums ir 35000 EUR) un izmaksas, kas saistītas ar kapitālsabiedrības reģistrāciju</w:t>
            </w:r>
            <w:r w:rsidR="006238BF">
              <w:rPr>
                <w:color w:val="0D0D0D" w:themeColor="text1" w:themeTint="F2"/>
              </w:rPr>
              <w:t xml:space="preserve"> (apmēram 500 EUR).</w:t>
            </w:r>
          </w:p>
          <w:p w14:paraId="698F9F04" w14:textId="0B4CA6B9" w:rsidR="005865CF" w:rsidRPr="00C9284C" w:rsidRDefault="007A0CE8" w:rsidP="00DF7B96">
            <w:pPr>
              <w:jc w:val="both"/>
            </w:pPr>
            <w:r>
              <w:t xml:space="preserve"> </w:t>
            </w:r>
            <w:r w:rsidR="00DA246E">
              <w:t>Ar likuma pārejas noteikumiem Ministru kabinetam ir uzdots</w:t>
            </w:r>
            <w:r w:rsidR="00DA246E" w:rsidRPr="00DA246E">
              <w:rPr>
                <w:rFonts w:eastAsia="Calibri"/>
                <w:bCs/>
                <w:color w:val="000000"/>
                <w:lang w:eastAsia="en-US"/>
              </w:rPr>
              <w:t xml:space="preserve"> </w:t>
            </w:r>
            <w:r w:rsidR="00DA246E" w:rsidRPr="00DA246E">
              <w:rPr>
                <w:bCs/>
              </w:rPr>
              <w:t>iesnie</w:t>
            </w:r>
            <w:r w:rsidR="00DA246E">
              <w:rPr>
                <w:bCs/>
              </w:rPr>
              <w:t>gt</w:t>
            </w:r>
            <w:r w:rsidR="00DA246E" w:rsidRPr="00DA246E">
              <w:rPr>
                <w:bCs/>
              </w:rPr>
              <w:t xml:space="preserve"> Saeimai likumprojektu par Latvijas ostu pārvaldības modeļa maiņu.</w:t>
            </w:r>
            <w:r w:rsidR="00DA246E">
              <w:t xml:space="preserve"> </w:t>
            </w:r>
          </w:p>
        </w:tc>
      </w:tr>
    </w:tbl>
    <w:p w14:paraId="27CCCF06" w14:textId="1378173F" w:rsidR="00160FEF" w:rsidRDefault="00160FEF" w:rsidP="00C57E86">
      <w:pPr>
        <w:pStyle w:val="Title"/>
        <w:ind w:firstLine="539"/>
        <w:jc w:val="both"/>
        <w:rPr>
          <w:color w:val="0D0D0D" w:themeColor="text1" w:themeTint="F2"/>
          <w:sz w:val="24"/>
          <w:szCs w:val="24"/>
        </w:rPr>
      </w:pPr>
    </w:p>
    <w:p w14:paraId="012088F5" w14:textId="77777777" w:rsidR="006959D9" w:rsidRPr="009D2D72"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9D2D72" w14:paraId="5A6D8B8B" w14:textId="77777777" w:rsidTr="009B74E7">
        <w:trPr>
          <w:cantSplit/>
        </w:trPr>
        <w:tc>
          <w:tcPr>
            <w:tcW w:w="5000" w:type="pct"/>
            <w:gridSpan w:val="3"/>
            <w:vAlign w:val="center"/>
            <w:hideMark/>
          </w:tcPr>
          <w:p w14:paraId="28FBAECC" w14:textId="77777777" w:rsidR="00865761" w:rsidRPr="009D2D72" w:rsidRDefault="00865761" w:rsidP="00C57E86">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00865761" w:rsidRPr="009D2D72" w14:paraId="4E8331F1" w14:textId="77777777" w:rsidTr="009B74E7">
        <w:tc>
          <w:tcPr>
            <w:tcW w:w="311" w:type="pct"/>
            <w:hideMark/>
          </w:tcPr>
          <w:p w14:paraId="378F3F9E" w14:textId="77777777" w:rsidR="00865761" w:rsidRPr="009D2D72" w:rsidRDefault="00865761" w:rsidP="00C57E86">
            <w:pPr>
              <w:jc w:val="center"/>
              <w:rPr>
                <w:color w:val="0D0D0D" w:themeColor="text1" w:themeTint="F2"/>
              </w:rPr>
            </w:pPr>
            <w:r w:rsidRPr="009D2D72">
              <w:rPr>
                <w:color w:val="0D0D0D" w:themeColor="text1" w:themeTint="F2"/>
              </w:rPr>
              <w:lastRenderedPageBreak/>
              <w:t>1.</w:t>
            </w:r>
          </w:p>
        </w:tc>
        <w:tc>
          <w:tcPr>
            <w:tcW w:w="1479" w:type="pct"/>
            <w:hideMark/>
          </w:tcPr>
          <w:p w14:paraId="0D886E5D" w14:textId="77777777" w:rsidR="00865761" w:rsidRPr="009D2D72" w:rsidRDefault="00865761" w:rsidP="00C57E86">
            <w:pPr>
              <w:rPr>
                <w:color w:val="0D0D0D" w:themeColor="text1" w:themeTint="F2"/>
              </w:rPr>
            </w:pPr>
            <w:r w:rsidRPr="009D2D72">
              <w:rPr>
                <w:color w:val="0D0D0D" w:themeColor="text1" w:themeTint="F2"/>
              </w:rPr>
              <w:t xml:space="preserve">Sabiedrības </w:t>
            </w:r>
            <w:proofErr w:type="spellStart"/>
            <w:r w:rsidRPr="009D2D72">
              <w:rPr>
                <w:color w:val="0D0D0D" w:themeColor="text1" w:themeTint="F2"/>
              </w:rPr>
              <w:t>mērķgrupas</w:t>
            </w:r>
            <w:proofErr w:type="spellEnd"/>
            <w:r w:rsidRPr="009D2D72">
              <w:rPr>
                <w:color w:val="0D0D0D" w:themeColor="text1" w:themeTint="F2"/>
              </w:rPr>
              <w:t>, kuras tiesiskais regulējums ietekmē vai varētu ietekmēt</w:t>
            </w:r>
          </w:p>
        </w:tc>
        <w:tc>
          <w:tcPr>
            <w:tcW w:w="3210" w:type="pct"/>
          </w:tcPr>
          <w:p w14:paraId="5202BFC1" w14:textId="424461F6" w:rsidR="00865761" w:rsidRPr="009D2D72" w:rsidRDefault="00530FEB" w:rsidP="00D170C1">
            <w:pPr>
              <w:ind w:left="118" w:right="100"/>
              <w:jc w:val="both"/>
              <w:rPr>
                <w:color w:val="0D0D0D" w:themeColor="text1" w:themeTint="F2"/>
              </w:rPr>
            </w:pPr>
            <w:r>
              <w:rPr>
                <w:color w:val="0D0D0D" w:themeColor="text1" w:themeTint="F2"/>
              </w:rPr>
              <w:t xml:space="preserve">Rīgas brīvostas un </w:t>
            </w:r>
            <w:r w:rsidR="00BC5A90" w:rsidRPr="00BC5A90">
              <w:rPr>
                <w:color w:val="0D0D0D" w:themeColor="text1" w:themeTint="F2"/>
              </w:rPr>
              <w:t>Ventspils brīvostas valde</w:t>
            </w:r>
            <w:r>
              <w:rPr>
                <w:color w:val="0D0D0D" w:themeColor="text1" w:themeTint="F2"/>
              </w:rPr>
              <w:t>s</w:t>
            </w:r>
            <w:r w:rsidR="00BC5A90" w:rsidRPr="00BC5A90">
              <w:rPr>
                <w:color w:val="0D0D0D" w:themeColor="text1" w:themeTint="F2"/>
              </w:rPr>
              <w:t xml:space="preserve"> locekļi.</w:t>
            </w:r>
            <w:r w:rsidR="00745175">
              <w:rPr>
                <w:color w:val="0D0D0D" w:themeColor="text1" w:themeTint="F2"/>
              </w:rPr>
              <w:t xml:space="preserve"> </w:t>
            </w:r>
          </w:p>
        </w:tc>
      </w:tr>
      <w:tr w:rsidR="00865761" w:rsidRPr="009D2D72" w14:paraId="18A36BAC" w14:textId="77777777" w:rsidTr="009B74E7">
        <w:tc>
          <w:tcPr>
            <w:tcW w:w="311" w:type="pct"/>
            <w:hideMark/>
          </w:tcPr>
          <w:p w14:paraId="1A1FDACC" w14:textId="77777777" w:rsidR="00865761" w:rsidRPr="009D2D72" w:rsidRDefault="00865761" w:rsidP="00C57E86">
            <w:pPr>
              <w:jc w:val="center"/>
              <w:rPr>
                <w:color w:val="0D0D0D" w:themeColor="text1" w:themeTint="F2"/>
              </w:rPr>
            </w:pPr>
            <w:r w:rsidRPr="009D2D72">
              <w:rPr>
                <w:color w:val="0D0D0D" w:themeColor="text1" w:themeTint="F2"/>
              </w:rPr>
              <w:t>2.</w:t>
            </w:r>
          </w:p>
        </w:tc>
        <w:tc>
          <w:tcPr>
            <w:tcW w:w="1479" w:type="pct"/>
            <w:hideMark/>
          </w:tcPr>
          <w:p w14:paraId="53197B55" w14:textId="77777777" w:rsidR="00865761" w:rsidRPr="009D2D72" w:rsidRDefault="00865761" w:rsidP="00C57E86">
            <w:pPr>
              <w:rPr>
                <w:color w:val="0D0D0D" w:themeColor="text1" w:themeTint="F2"/>
              </w:rPr>
            </w:pPr>
            <w:r w:rsidRPr="009D2D72">
              <w:rPr>
                <w:color w:val="0D0D0D" w:themeColor="text1" w:themeTint="F2"/>
              </w:rPr>
              <w:t xml:space="preserve">Tiesiskā regulējuma </w:t>
            </w:r>
            <w:r w:rsidRPr="00E72B76">
              <w:rPr>
                <w:color w:val="0D0D0D" w:themeColor="text1" w:themeTint="F2"/>
              </w:rPr>
              <w:t>ietekme uz tautsaimniecību</w:t>
            </w:r>
            <w:r w:rsidRPr="009D2D72">
              <w:rPr>
                <w:color w:val="0D0D0D" w:themeColor="text1" w:themeTint="F2"/>
              </w:rPr>
              <w:t xml:space="preserve"> un administratīvo slogu</w:t>
            </w:r>
          </w:p>
        </w:tc>
        <w:tc>
          <w:tcPr>
            <w:tcW w:w="3210" w:type="pct"/>
          </w:tcPr>
          <w:p w14:paraId="12C7DE2F" w14:textId="46C3D6BA" w:rsidR="00865761" w:rsidRPr="009D2D72" w:rsidRDefault="0026204A" w:rsidP="0026204A">
            <w:pPr>
              <w:ind w:left="118" w:right="100"/>
              <w:jc w:val="both"/>
              <w:rPr>
                <w:color w:val="0D0D0D" w:themeColor="text1" w:themeTint="F2"/>
                <w:highlight w:val="yellow"/>
              </w:rPr>
            </w:pPr>
            <w:r w:rsidRPr="0026204A">
              <w:rPr>
                <w:color w:val="0D0D0D" w:themeColor="text1" w:themeTint="F2"/>
              </w:rPr>
              <w:t>Projekts šo jomu neskar.</w:t>
            </w:r>
          </w:p>
        </w:tc>
      </w:tr>
      <w:tr w:rsidR="00865761" w:rsidRPr="009D2D72" w14:paraId="00FE0CDF" w14:textId="77777777" w:rsidTr="009B74E7">
        <w:tc>
          <w:tcPr>
            <w:tcW w:w="311" w:type="pct"/>
            <w:hideMark/>
          </w:tcPr>
          <w:p w14:paraId="50665A9C" w14:textId="77777777" w:rsidR="00865761" w:rsidRPr="009D2D72" w:rsidRDefault="00865761" w:rsidP="00C57E86">
            <w:pPr>
              <w:jc w:val="center"/>
              <w:rPr>
                <w:color w:val="0D0D0D" w:themeColor="text1" w:themeTint="F2"/>
              </w:rPr>
            </w:pPr>
            <w:r w:rsidRPr="009D2D72">
              <w:rPr>
                <w:color w:val="0D0D0D" w:themeColor="text1" w:themeTint="F2"/>
              </w:rPr>
              <w:t>3.</w:t>
            </w:r>
          </w:p>
        </w:tc>
        <w:tc>
          <w:tcPr>
            <w:tcW w:w="1479" w:type="pct"/>
            <w:hideMark/>
          </w:tcPr>
          <w:p w14:paraId="01AEE433" w14:textId="77777777" w:rsidR="00865761" w:rsidRPr="009D2D72" w:rsidRDefault="00865761" w:rsidP="00C57E86">
            <w:pPr>
              <w:rPr>
                <w:color w:val="0D0D0D" w:themeColor="text1" w:themeTint="F2"/>
              </w:rPr>
            </w:pPr>
            <w:r w:rsidRPr="009D2D72">
              <w:rPr>
                <w:color w:val="0D0D0D" w:themeColor="text1" w:themeTint="F2"/>
              </w:rPr>
              <w:t>Administratīvo izmaksu monetārs novērtējums</w:t>
            </w:r>
          </w:p>
        </w:tc>
        <w:tc>
          <w:tcPr>
            <w:tcW w:w="3210" w:type="pct"/>
          </w:tcPr>
          <w:p w14:paraId="2D751D9E"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25FAA4A" w14:textId="77777777" w:rsidTr="009B74E7">
        <w:tc>
          <w:tcPr>
            <w:tcW w:w="311" w:type="pct"/>
            <w:hideMark/>
          </w:tcPr>
          <w:p w14:paraId="2D4082A8" w14:textId="77777777" w:rsidR="00865761" w:rsidRPr="009D2D72" w:rsidRDefault="00865761" w:rsidP="00C57E86">
            <w:pPr>
              <w:jc w:val="center"/>
              <w:rPr>
                <w:color w:val="0D0D0D" w:themeColor="text1" w:themeTint="F2"/>
              </w:rPr>
            </w:pPr>
            <w:r w:rsidRPr="009D2D72">
              <w:rPr>
                <w:color w:val="0D0D0D" w:themeColor="text1" w:themeTint="F2"/>
              </w:rPr>
              <w:t>4.</w:t>
            </w:r>
          </w:p>
        </w:tc>
        <w:tc>
          <w:tcPr>
            <w:tcW w:w="1479" w:type="pct"/>
            <w:hideMark/>
          </w:tcPr>
          <w:p w14:paraId="1EE130FD" w14:textId="77777777" w:rsidR="00865761" w:rsidRPr="009D2D72" w:rsidRDefault="00865761" w:rsidP="00C57E86">
            <w:pPr>
              <w:rPr>
                <w:color w:val="0D0D0D" w:themeColor="text1" w:themeTint="F2"/>
              </w:rPr>
            </w:pPr>
            <w:r w:rsidRPr="009D2D72">
              <w:rPr>
                <w:color w:val="0D0D0D" w:themeColor="text1" w:themeTint="F2"/>
              </w:rPr>
              <w:t>Atbilstības izmaksu monetārs novērtējums</w:t>
            </w:r>
          </w:p>
        </w:tc>
        <w:tc>
          <w:tcPr>
            <w:tcW w:w="3210" w:type="pct"/>
          </w:tcPr>
          <w:p w14:paraId="4021239A"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A2AB384" w14:textId="77777777" w:rsidTr="009B74E7">
        <w:tc>
          <w:tcPr>
            <w:tcW w:w="311" w:type="pct"/>
            <w:hideMark/>
          </w:tcPr>
          <w:p w14:paraId="3B14CB39" w14:textId="77777777" w:rsidR="00865761" w:rsidRPr="009D2D72" w:rsidRDefault="00865761" w:rsidP="00C57E86">
            <w:pPr>
              <w:jc w:val="center"/>
              <w:rPr>
                <w:color w:val="0D0D0D" w:themeColor="text1" w:themeTint="F2"/>
              </w:rPr>
            </w:pPr>
            <w:r w:rsidRPr="009D2D72">
              <w:rPr>
                <w:color w:val="0D0D0D" w:themeColor="text1" w:themeTint="F2"/>
              </w:rPr>
              <w:t>5.</w:t>
            </w:r>
          </w:p>
        </w:tc>
        <w:tc>
          <w:tcPr>
            <w:tcW w:w="1479" w:type="pct"/>
            <w:hideMark/>
          </w:tcPr>
          <w:p w14:paraId="27C52A97" w14:textId="77777777" w:rsidR="00865761" w:rsidRPr="009D2D72" w:rsidRDefault="00865761" w:rsidP="00C57E86">
            <w:pPr>
              <w:rPr>
                <w:color w:val="0D0D0D" w:themeColor="text1" w:themeTint="F2"/>
              </w:rPr>
            </w:pPr>
            <w:r w:rsidRPr="009D2D72">
              <w:rPr>
                <w:color w:val="0D0D0D" w:themeColor="text1" w:themeTint="F2"/>
              </w:rPr>
              <w:t>Cita informācija</w:t>
            </w:r>
          </w:p>
        </w:tc>
        <w:tc>
          <w:tcPr>
            <w:tcW w:w="3210" w:type="pct"/>
            <w:hideMark/>
          </w:tcPr>
          <w:p w14:paraId="30EB3ABE" w14:textId="59311925" w:rsidR="00865761" w:rsidRDefault="00C9284C" w:rsidP="00B93AE6">
            <w:pPr>
              <w:ind w:left="118" w:right="100"/>
              <w:jc w:val="both"/>
              <w:rPr>
                <w:color w:val="0D0D0D" w:themeColor="text1" w:themeTint="F2"/>
              </w:rPr>
            </w:pPr>
            <w:r>
              <w:rPr>
                <w:color w:val="0D0D0D" w:themeColor="text1" w:themeTint="F2"/>
              </w:rPr>
              <w:t xml:space="preserve">Ar šiem likuma grozījumiem netiks mainītas administratīvās procedūras un procesi attiecībās uz komersantiem, kas veic komercdarbību Ventspils un Rīgas ostu teritorijās. Un nav sagaidāma negatīva ietekme uz pakalpojumu sniegšanu ostās un ostu budžetiem. Ņemot </w:t>
            </w:r>
            <w:r w:rsidR="008C0E08">
              <w:rPr>
                <w:color w:val="0D0D0D" w:themeColor="text1" w:themeTint="F2"/>
              </w:rPr>
              <w:t>vērā</w:t>
            </w:r>
            <w:r>
              <w:rPr>
                <w:color w:val="0D0D0D" w:themeColor="text1" w:themeTint="F2"/>
              </w:rPr>
              <w:t xml:space="preserve">, ka ostas valdes locekļu skaits tiek samazināts no astoņiem uz četriem, attiecīgi samazināsies nepieciešamo finanšu līdzekļu resursi ostu valžu atlīdzībai, tādējādi radot ekonomiju ostu budžetos. </w:t>
            </w:r>
          </w:p>
          <w:p w14:paraId="51FFB760" w14:textId="2AD4DD24" w:rsidR="00572493" w:rsidRPr="009D2D72" w:rsidRDefault="00572493" w:rsidP="00B93AE6">
            <w:pPr>
              <w:ind w:left="118" w:right="100"/>
              <w:jc w:val="both"/>
              <w:rPr>
                <w:color w:val="0D0D0D" w:themeColor="text1" w:themeTint="F2"/>
              </w:rPr>
            </w:pPr>
            <w:r>
              <w:rPr>
                <w:color w:val="0D0D0D" w:themeColor="text1" w:themeTint="F2"/>
              </w:rPr>
              <w:t xml:space="preserve">Ar šiem likuma grozījumiem netiek mainītas īpašuma tiesības uz ostu teritoriju, ne ostas teritorijā ietilpstošajām ēkām un būvēm, līdz ar to atbilstoši Likumam par ostām ostas pārvalde nodrošinās tās valdījumā nodotos valsts un pašvaldību nekustamos īpašumus atbilstoši noteiktajiem ostas darbības mērķiem. </w:t>
            </w:r>
          </w:p>
        </w:tc>
      </w:tr>
    </w:tbl>
    <w:p w14:paraId="30F827E7" w14:textId="77777777" w:rsidR="006959D9" w:rsidRPr="00D4639D"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D4639D" w14:paraId="4847A2D8" w14:textId="77777777" w:rsidTr="00E72B76">
        <w:tc>
          <w:tcPr>
            <w:tcW w:w="9064" w:type="dxa"/>
            <w:tcBorders>
              <w:top w:val="outset" w:sz="6" w:space="0" w:color="000000"/>
              <w:left w:val="outset" w:sz="6" w:space="0" w:color="000000"/>
              <w:bottom w:val="outset" w:sz="6" w:space="0" w:color="000000"/>
              <w:right w:val="outset" w:sz="6" w:space="0" w:color="000000"/>
            </w:tcBorders>
            <w:shd w:val="clear" w:color="auto" w:fill="auto"/>
            <w:hideMark/>
          </w:tcPr>
          <w:p w14:paraId="1BE55702" w14:textId="77777777" w:rsidR="00865761" w:rsidRPr="00D4639D" w:rsidRDefault="00865761" w:rsidP="00C57E86">
            <w:pPr>
              <w:suppressAutoHyphens/>
              <w:jc w:val="center"/>
              <w:rPr>
                <w:b/>
                <w:bCs/>
                <w:color w:val="000000"/>
                <w:lang w:eastAsia="ar-SA"/>
              </w:rPr>
            </w:pPr>
            <w:r w:rsidRPr="00E72B76">
              <w:rPr>
                <w:b/>
                <w:bCs/>
                <w:color w:val="000000"/>
                <w:lang w:eastAsia="ar-SA"/>
              </w:rPr>
              <w:t>III. Tiesību akta projekta ietekme uz valsts budžetu un pašvaldību budžetiem</w:t>
            </w:r>
          </w:p>
        </w:tc>
      </w:tr>
      <w:tr w:rsidR="00D170C1" w:rsidRPr="00D4639D"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3C08EF1" w14:textId="3A3B7486" w:rsidR="00D170C1" w:rsidRPr="00B30A47" w:rsidRDefault="004C7D95" w:rsidP="00C57E86">
            <w:pPr>
              <w:suppressAutoHyphens/>
              <w:jc w:val="center"/>
              <w:rPr>
                <w:bCs/>
                <w:color w:val="000000"/>
                <w:lang w:eastAsia="ar-SA"/>
              </w:rPr>
            </w:pPr>
            <w:r w:rsidRPr="00B30A47">
              <w:rPr>
                <w:bCs/>
                <w:color w:val="000000"/>
                <w:lang w:eastAsia="ar-SA"/>
              </w:rPr>
              <w:t>Projekts šo jomu neskar.</w:t>
            </w:r>
          </w:p>
        </w:tc>
      </w:tr>
    </w:tbl>
    <w:p w14:paraId="435E3011" w14:textId="2D25C756" w:rsidR="006959D9" w:rsidRDefault="006959D9" w:rsidP="00C57E86">
      <w:pPr>
        <w:rPr>
          <w:color w:val="0D0D0D" w:themeColor="text1" w:themeTint="F2"/>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5D2AD8" w:rsidRPr="005511D3" w14:paraId="78CEAD76" w14:textId="77777777" w:rsidTr="00D37D5E">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5511D3" w:rsidRDefault="005D2AD8" w:rsidP="00D37D5E">
            <w:pPr>
              <w:jc w:val="center"/>
              <w:rPr>
                <w:b/>
              </w:rPr>
            </w:pPr>
            <w:r w:rsidRPr="005511D3">
              <w:rPr>
                <w:b/>
              </w:rPr>
              <w:t>IV. Tiesību akta projekta ietekme uz spēkā esošo tiesību normu sistēmu</w:t>
            </w:r>
          </w:p>
        </w:tc>
      </w:tr>
      <w:tr w:rsidR="005D2AD8" w:rsidRPr="005511D3" w14:paraId="777DE91F"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5511D3" w:rsidRDefault="005D2AD8" w:rsidP="00D37D5E">
            <w:r w:rsidRPr="005511D3">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5511D3" w:rsidRDefault="005D2AD8" w:rsidP="00D37D5E">
            <w:r w:rsidRPr="005511D3">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2B4B014E" w14:textId="3E92F2D3" w:rsidR="005D2AD8" w:rsidRPr="005511D3" w:rsidRDefault="00530FEB" w:rsidP="005D2AD8">
            <w:pPr>
              <w:jc w:val="both"/>
            </w:pPr>
            <w:r>
              <w:t xml:space="preserve">Ņemot vērā grozījumus </w:t>
            </w:r>
            <w:bookmarkStart w:id="1" w:name="_Hlk26954389"/>
            <w:r>
              <w:t xml:space="preserve">Likuma par ostām 7.panta pirmajā daļā, spēku zaudēs </w:t>
            </w:r>
            <w:r w:rsidR="005D2AD8" w:rsidRPr="005D2AD8">
              <w:t xml:space="preserve">Ministru kabineta 2012.gada 29.maija noteikumi Nr.378 </w:t>
            </w:r>
            <w:r w:rsidR="005D2AD8">
              <w:t xml:space="preserve"> “</w:t>
            </w:r>
            <w:r w:rsidR="005D2AD8" w:rsidRPr="005D2AD8">
              <w:t>Rīgas brīvostas pārvaldes nolikums</w:t>
            </w:r>
            <w:r w:rsidR="005D2AD8">
              <w:t xml:space="preserve">” un </w:t>
            </w:r>
            <w:r w:rsidR="005D2AD8" w:rsidRPr="005D2AD8">
              <w:t>Ministru kabineta 2012.gada 29.maija noteikum</w:t>
            </w:r>
            <w:r w:rsidR="005D2AD8">
              <w:t>i</w:t>
            </w:r>
            <w:r w:rsidR="005D2AD8" w:rsidRPr="005D2AD8">
              <w:t xml:space="preserve"> Nr.379 “Ventspils brīvostas pārvaldes nolikums”</w:t>
            </w:r>
            <w:r w:rsidR="005D2AD8">
              <w:t>.</w:t>
            </w:r>
            <w:r>
              <w:t xml:space="preserve"> Līdz ar to Rīgas brīvostas pārvaldes un Ventspils brīvostas pārvaldes nolikums būs jāizdod no jauna. </w:t>
            </w:r>
            <w:bookmarkEnd w:id="1"/>
          </w:p>
        </w:tc>
      </w:tr>
      <w:tr w:rsidR="005D2AD8" w:rsidRPr="005511D3" w14:paraId="19619D2C"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5511D3" w:rsidRDefault="005D2AD8" w:rsidP="00D37D5E">
            <w:r w:rsidRPr="005511D3">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5511D3" w:rsidRDefault="005D2AD8" w:rsidP="00D37D5E">
            <w:r w:rsidRPr="005511D3">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77777777" w:rsidR="005D2AD8" w:rsidRPr="005511D3" w:rsidRDefault="005D2AD8" w:rsidP="00D37D5E">
            <w:r w:rsidRPr="005511D3">
              <w:t>Satiksmes ministrija</w:t>
            </w:r>
            <w:r>
              <w:t>.</w:t>
            </w:r>
          </w:p>
        </w:tc>
      </w:tr>
      <w:tr w:rsidR="005D2AD8" w:rsidRPr="005511D3" w14:paraId="193C962B"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5511D3" w:rsidRDefault="005D2AD8" w:rsidP="00D37D5E">
            <w:r w:rsidRPr="005511D3">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5511D3" w:rsidRDefault="005D2AD8" w:rsidP="00D37D5E">
            <w:r w:rsidRPr="005511D3">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77777777" w:rsidR="005D2AD8" w:rsidRPr="005511D3" w:rsidRDefault="005D2AD8" w:rsidP="00D37D5E">
            <w:pPr>
              <w:jc w:val="both"/>
            </w:pPr>
            <w:r w:rsidRPr="005511D3">
              <w:t>Nav</w:t>
            </w:r>
            <w:r>
              <w:t>.</w:t>
            </w:r>
          </w:p>
        </w:tc>
      </w:tr>
    </w:tbl>
    <w:p w14:paraId="1D5D09A8" w14:textId="3E0E2B1F" w:rsidR="005D2AD8" w:rsidRDefault="005D2AD8" w:rsidP="00C57E86">
      <w:pPr>
        <w:rPr>
          <w:color w:val="0D0D0D" w:themeColor="text1" w:themeTint="F2"/>
        </w:rPr>
      </w:pPr>
    </w:p>
    <w:p w14:paraId="79C80B1E" w14:textId="77777777" w:rsidR="006959D9" w:rsidRPr="00C063C0"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C063C0"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C063C0" w:rsidRDefault="00C063C0" w:rsidP="00C063C0">
            <w:pPr>
              <w:jc w:val="center"/>
              <w:rPr>
                <w:b/>
                <w:bCs/>
                <w:color w:val="000000"/>
                <w:lang w:eastAsia="en-US"/>
              </w:rPr>
            </w:pPr>
            <w:r w:rsidRPr="00C063C0">
              <w:rPr>
                <w:b/>
                <w:bCs/>
                <w:color w:val="000000"/>
                <w:lang w:eastAsia="en-US"/>
              </w:rPr>
              <w:t>V. Tiesību akta projekta atbilstība Latvijas Republikas starptautiskajām saistībām</w:t>
            </w:r>
          </w:p>
        </w:tc>
      </w:tr>
      <w:tr w:rsidR="00BC5A90" w:rsidRPr="00C063C0"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7934F066" w14:textId="5BE4A690" w:rsidR="00BC5A90" w:rsidRPr="00D81B0A" w:rsidRDefault="00BC5A90" w:rsidP="00BC5A90">
            <w:pPr>
              <w:ind w:left="15" w:right="112"/>
              <w:jc w:val="center"/>
              <w:rPr>
                <w:lang w:eastAsia="en-US"/>
              </w:rPr>
            </w:pPr>
            <w:r w:rsidRPr="00BC5A90">
              <w:rPr>
                <w:lang w:eastAsia="en-US"/>
              </w:rPr>
              <w:t>Projekts šo jomu neskar.</w:t>
            </w:r>
          </w:p>
        </w:tc>
      </w:tr>
    </w:tbl>
    <w:p w14:paraId="0CD738CC" w14:textId="77777777" w:rsidR="006959D9" w:rsidRPr="009D2D72" w:rsidRDefault="006959D9"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D2D72" w:rsidRPr="009D2D72" w14:paraId="3F5259C7" w14:textId="77777777" w:rsidTr="00737785">
        <w:trPr>
          <w:cantSplit/>
        </w:trPr>
        <w:tc>
          <w:tcPr>
            <w:tcW w:w="5000" w:type="pct"/>
            <w:vAlign w:val="center"/>
            <w:hideMark/>
          </w:tcPr>
          <w:p w14:paraId="1AC98079" w14:textId="77777777" w:rsidR="00BD5588" w:rsidRPr="009D2D72" w:rsidRDefault="006E2E27" w:rsidP="00C57E86">
            <w:pPr>
              <w:jc w:val="center"/>
              <w:rPr>
                <w:b/>
                <w:bCs/>
                <w:color w:val="0D0D0D" w:themeColor="text1" w:themeTint="F2"/>
              </w:rPr>
            </w:pPr>
            <w:r w:rsidRPr="009D2D72">
              <w:rPr>
                <w:b/>
                <w:bCs/>
                <w:color w:val="0D0D0D" w:themeColor="text1" w:themeTint="F2"/>
              </w:rPr>
              <w:t>VI. Sabiedrības līdzdalība un komunikācijas aktivitātes</w:t>
            </w:r>
          </w:p>
        </w:tc>
      </w:tr>
      <w:tr w:rsidR="00BC5A90" w:rsidRPr="009D2D72" w14:paraId="40BC82B9" w14:textId="77777777" w:rsidTr="00BC5A90">
        <w:trPr>
          <w:cantSplit/>
          <w:trHeight w:val="268"/>
        </w:trPr>
        <w:tc>
          <w:tcPr>
            <w:tcW w:w="5000" w:type="pct"/>
          </w:tcPr>
          <w:p w14:paraId="434ECA87" w14:textId="59025999" w:rsidR="00BC5A90" w:rsidRPr="00001750" w:rsidRDefault="00BC5A90" w:rsidP="00BC5A90">
            <w:pPr>
              <w:ind w:left="118" w:right="100"/>
              <w:jc w:val="center"/>
              <w:rPr>
                <w:color w:val="0D0D0D" w:themeColor="text1" w:themeTint="F2"/>
                <w:highlight w:val="yellow"/>
              </w:rPr>
            </w:pPr>
            <w:r w:rsidRPr="00BC5A90">
              <w:rPr>
                <w:color w:val="0D0D0D" w:themeColor="text1" w:themeTint="F2"/>
              </w:rPr>
              <w:lastRenderedPageBreak/>
              <w:t>Projekts šo jomu neskar.</w:t>
            </w:r>
          </w:p>
        </w:tc>
      </w:tr>
    </w:tbl>
    <w:p w14:paraId="2A6612E5" w14:textId="77777777" w:rsidR="006959D9" w:rsidRPr="009D2D72" w:rsidRDefault="006959D9" w:rsidP="00BC5A90">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7A60F6AC" w14:textId="77777777" w:rsidTr="00737785">
        <w:trPr>
          <w:cantSplit/>
        </w:trPr>
        <w:tc>
          <w:tcPr>
            <w:tcW w:w="5000" w:type="pct"/>
            <w:gridSpan w:val="3"/>
            <w:vAlign w:val="center"/>
            <w:hideMark/>
          </w:tcPr>
          <w:p w14:paraId="5A6F496E" w14:textId="77777777" w:rsidR="00BD5588" w:rsidRPr="009D2D72" w:rsidRDefault="006E2E27" w:rsidP="00C57E86">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009D2D72" w:rsidRPr="009D2D72" w14:paraId="37863427" w14:textId="77777777" w:rsidTr="0031438D">
        <w:tc>
          <w:tcPr>
            <w:tcW w:w="311" w:type="pct"/>
            <w:hideMark/>
          </w:tcPr>
          <w:p w14:paraId="74E40C08"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479" w:type="pct"/>
            <w:hideMark/>
          </w:tcPr>
          <w:p w14:paraId="6BAE904E" w14:textId="77777777" w:rsidR="00BD5588" w:rsidRPr="009D2D72" w:rsidRDefault="006E2E27" w:rsidP="00C57E86">
            <w:pPr>
              <w:rPr>
                <w:color w:val="0D0D0D" w:themeColor="text1" w:themeTint="F2"/>
              </w:rPr>
            </w:pPr>
            <w:r w:rsidRPr="009D2D72">
              <w:rPr>
                <w:color w:val="0D0D0D" w:themeColor="text1" w:themeTint="F2"/>
              </w:rPr>
              <w:t>Projekta izpildē iesaistītās institūcijas</w:t>
            </w:r>
          </w:p>
        </w:tc>
        <w:tc>
          <w:tcPr>
            <w:tcW w:w="3210" w:type="pct"/>
          </w:tcPr>
          <w:p w14:paraId="77D8140D" w14:textId="6A7D9B04" w:rsidR="00186C12" w:rsidRPr="009D2D72" w:rsidRDefault="00D170C1" w:rsidP="00B93AE6">
            <w:pPr>
              <w:ind w:left="118" w:right="100"/>
              <w:jc w:val="both"/>
              <w:rPr>
                <w:color w:val="0D0D0D" w:themeColor="text1" w:themeTint="F2"/>
              </w:rPr>
            </w:pPr>
            <w:r w:rsidRPr="00D170C1">
              <w:rPr>
                <w:color w:val="0D0D0D" w:themeColor="text1" w:themeTint="F2"/>
              </w:rPr>
              <w:t>Satiksmes ministrija</w:t>
            </w:r>
            <w:r>
              <w:rPr>
                <w:color w:val="0D0D0D" w:themeColor="text1" w:themeTint="F2"/>
              </w:rPr>
              <w:t>.</w:t>
            </w:r>
          </w:p>
        </w:tc>
      </w:tr>
      <w:tr w:rsidR="009D2D72" w:rsidRPr="009D2D72" w14:paraId="6D82DD9D" w14:textId="77777777" w:rsidTr="0031438D">
        <w:tc>
          <w:tcPr>
            <w:tcW w:w="311" w:type="pct"/>
            <w:hideMark/>
          </w:tcPr>
          <w:p w14:paraId="328B98B5" w14:textId="77777777" w:rsidR="00BD5588" w:rsidRPr="009D2D72" w:rsidRDefault="006E2E27" w:rsidP="00C57E86">
            <w:pPr>
              <w:jc w:val="center"/>
              <w:rPr>
                <w:color w:val="0D0D0D" w:themeColor="text1" w:themeTint="F2"/>
              </w:rPr>
            </w:pPr>
            <w:r w:rsidRPr="009D2D72">
              <w:rPr>
                <w:color w:val="0D0D0D" w:themeColor="text1" w:themeTint="F2"/>
              </w:rPr>
              <w:t>2.</w:t>
            </w:r>
          </w:p>
        </w:tc>
        <w:tc>
          <w:tcPr>
            <w:tcW w:w="1479" w:type="pct"/>
            <w:hideMark/>
          </w:tcPr>
          <w:p w14:paraId="306E17BE" w14:textId="77777777" w:rsidR="00BD5588" w:rsidRPr="009D2D72" w:rsidRDefault="006E2E27" w:rsidP="00C57E86">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Jaunu institūciju izveide, esošu institūciju likvidācija vai reorganizācija, to ietekme uz institūcijas cilvēkresursiem</w:t>
            </w:r>
          </w:p>
        </w:tc>
        <w:tc>
          <w:tcPr>
            <w:tcW w:w="3210" w:type="pct"/>
          </w:tcPr>
          <w:p w14:paraId="6EA13534" w14:textId="7A78C522" w:rsidR="002A2F57" w:rsidRPr="002A2F57" w:rsidRDefault="001925EF" w:rsidP="002A2F57">
            <w:pPr>
              <w:ind w:left="118" w:right="100"/>
              <w:jc w:val="both"/>
              <w:rPr>
                <w:color w:val="0D0D0D" w:themeColor="text1" w:themeTint="F2"/>
              </w:rPr>
            </w:pPr>
            <w:r>
              <w:rPr>
                <w:color w:val="0D0D0D" w:themeColor="text1" w:themeTint="F2"/>
              </w:rPr>
              <w:t>Likumprojekta</w:t>
            </w:r>
            <w:r w:rsidR="002A2F57" w:rsidRPr="002A2F57">
              <w:rPr>
                <w:color w:val="0D0D0D" w:themeColor="text1" w:themeTint="F2"/>
              </w:rPr>
              <w:t xml:space="preserve"> izpilde tiks nodrošināta institūcijas līdzšinējo funkciju un cilvēkresursu ietvaros. </w:t>
            </w:r>
          </w:p>
          <w:p w14:paraId="127A00F1" w14:textId="062F9C85" w:rsidR="00D75968" w:rsidRPr="009D2D72" w:rsidRDefault="004540B6" w:rsidP="00B93AE6">
            <w:pPr>
              <w:ind w:left="118" w:right="100"/>
              <w:jc w:val="both"/>
              <w:rPr>
                <w:color w:val="0D0D0D" w:themeColor="text1" w:themeTint="F2"/>
              </w:rPr>
            </w:pPr>
            <w:r>
              <w:rPr>
                <w:color w:val="0D0D0D" w:themeColor="text1" w:themeTint="F2"/>
              </w:rPr>
              <w:t>Likumprojekta</w:t>
            </w:r>
            <w:r w:rsidR="002A2F57" w:rsidRPr="002A2F57">
              <w:rPr>
                <w:color w:val="0D0D0D" w:themeColor="text1" w:themeTint="F2"/>
              </w:rPr>
              <w:t xml:space="preserve"> izpildei nav nepieciešams veidot  jaunas institūcijas, likvidēt vai reorganizēt esošās.</w:t>
            </w:r>
          </w:p>
        </w:tc>
      </w:tr>
      <w:tr w:rsidR="00477344" w:rsidRPr="009D2D72" w14:paraId="2CB4F030" w14:textId="77777777" w:rsidTr="006E22EB">
        <w:tc>
          <w:tcPr>
            <w:tcW w:w="311" w:type="pct"/>
            <w:hideMark/>
          </w:tcPr>
          <w:p w14:paraId="507CB57D" w14:textId="77777777" w:rsidR="00BD5588" w:rsidRPr="009D2D72" w:rsidRDefault="006E2E27" w:rsidP="00C57E86">
            <w:pPr>
              <w:jc w:val="center"/>
              <w:rPr>
                <w:color w:val="0D0D0D" w:themeColor="text1" w:themeTint="F2"/>
              </w:rPr>
            </w:pPr>
            <w:r w:rsidRPr="009D2D72">
              <w:rPr>
                <w:color w:val="0D0D0D" w:themeColor="text1" w:themeTint="F2"/>
              </w:rPr>
              <w:t>3.</w:t>
            </w:r>
          </w:p>
        </w:tc>
        <w:tc>
          <w:tcPr>
            <w:tcW w:w="1479" w:type="pct"/>
            <w:hideMark/>
          </w:tcPr>
          <w:p w14:paraId="5B4B5426" w14:textId="77777777" w:rsidR="00BD5588" w:rsidRPr="009D2D72" w:rsidRDefault="006E2E27" w:rsidP="00C57E86">
            <w:pPr>
              <w:rPr>
                <w:color w:val="0D0D0D" w:themeColor="text1" w:themeTint="F2"/>
              </w:rPr>
            </w:pPr>
            <w:r w:rsidRPr="009D2D72">
              <w:rPr>
                <w:color w:val="0D0D0D" w:themeColor="text1" w:themeTint="F2"/>
              </w:rPr>
              <w:t>Cita informācija</w:t>
            </w:r>
          </w:p>
        </w:tc>
        <w:tc>
          <w:tcPr>
            <w:tcW w:w="3210" w:type="pct"/>
            <w:hideMark/>
          </w:tcPr>
          <w:p w14:paraId="73E82A8A" w14:textId="77777777" w:rsidR="00A04176" w:rsidRPr="009D2D72" w:rsidRDefault="006E2E27" w:rsidP="00C57E86">
            <w:pPr>
              <w:rPr>
                <w:color w:val="0D0D0D" w:themeColor="text1" w:themeTint="F2"/>
              </w:rPr>
            </w:pPr>
            <w:r w:rsidRPr="009D2D72">
              <w:rPr>
                <w:color w:val="0D0D0D" w:themeColor="text1" w:themeTint="F2"/>
              </w:rPr>
              <w:t>Nav.</w:t>
            </w:r>
          </w:p>
        </w:tc>
      </w:tr>
    </w:tbl>
    <w:p w14:paraId="19812DEF" w14:textId="2AAC4C91" w:rsidR="00160FEF" w:rsidRDefault="00160FEF" w:rsidP="00C57E86">
      <w:pPr>
        <w:rPr>
          <w:color w:val="0D0D0D" w:themeColor="text1" w:themeTint="F2"/>
        </w:rPr>
      </w:pPr>
    </w:p>
    <w:p w14:paraId="2F023204" w14:textId="77777777" w:rsidR="00AF7506" w:rsidRPr="009D2D72" w:rsidRDefault="00AF7506" w:rsidP="00C57E86">
      <w:pPr>
        <w:rPr>
          <w:color w:val="0D0D0D" w:themeColor="text1" w:themeTint="F2"/>
        </w:rPr>
      </w:pPr>
    </w:p>
    <w:p w14:paraId="26F4CA7D" w14:textId="52FDA7F1" w:rsidR="00E80DB8" w:rsidRPr="009D2D72" w:rsidRDefault="00E80DB8" w:rsidP="00D81B0A">
      <w:pPr>
        <w:rPr>
          <w:b/>
        </w:rPr>
      </w:pPr>
      <w:r w:rsidRPr="009D2D72">
        <w:t>Satiksmes ministrs</w:t>
      </w:r>
      <w:r w:rsidRPr="009D2D72">
        <w:tab/>
      </w:r>
      <w:r w:rsidR="00D81B0A">
        <w:tab/>
      </w:r>
      <w:r w:rsidR="00D81B0A">
        <w:tab/>
      </w:r>
      <w:r w:rsidR="00D81B0A">
        <w:tab/>
      </w:r>
      <w:r w:rsidR="00D81B0A">
        <w:tab/>
      </w:r>
      <w:r w:rsidR="00D81B0A">
        <w:tab/>
      </w:r>
      <w:r w:rsidR="00D81B0A">
        <w:tab/>
      </w:r>
      <w:r w:rsidR="00D81B0A">
        <w:tab/>
      </w:r>
      <w:proofErr w:type="spellStart"/>
      <w:r w:rsidR="00C063C0">
        <w:t>T.Linkaits</w:t>
      </w:r>
      <w:proofErr w:type="spellEnd"/>
    </w:p>
    <w:p w14:paraId="1808E6C5" w14:textId="77777777" w:rsidR="00E80DB8" w:rsidRPr="009D2D72" w:rsidRDefault="00E80DB8" w:rsidP="00D81B0A"/>
    <w:p w14:paraId="47A5EE2E" w14:textId="77777777" w:rsidR="00E80DB8" w:rsidRPr="009D2D72" w:rsidRDefault="00E80DB8" w:rsidP="00D81B0A">
      <w:pPr>
        <w:rPr>
          <w:b/>
        </w:rPr>
      </w:pPr>
      <w:r w:rsidRPr="009D2D72">
        <w:t xml:space="preserve">Vīza: </w:t>
      </w:r>
    </w:p>
    <w:p w14:paraId="338CE565" w14:textId="74865484" w:rsidR="002324B5" w:rsidRPr="002324B5" w:rsidRDefault="006D353A" w:rsidP="002324B5">
      <w:r>
        <w:t>v</w:t>
      </w:r>
      <w:r w:rsidR="002324B5" w:rsidRPr="002324B5">
        <w:t xml:space="preserve">alsts sekretāra </w:t>
      </w:r>
      <w:proofErr w:type="spellStart"/>
      <w:r w:rsidR="002324B5" w:rsidRPr="002324B5">
        <w:t>p.i</w:t>
      </w:r>
      <w:proofErr w:type="spellEnd"/>
      <w:r w:rsidR="002324B5" w:rsidRPr="002324B5">
        <w:t>.</w:t>
      </w:r>
      <w:r w:rsidR="002324B5" w:rsidRPr="002324B5">
        <w:tab/>
      </w:r>
      <w:r w:rsidR="002324B5" w:rsidRPr="002324B5">
        <w:tab/>
        <w:t xml:space="preserve"> </w:t>
      </w:r>
      <w:r w:rsidR="002324B5" w:rsidRPr="002324B5">
        <w:tab/>
      </w:r>
      <w:r w:rsidR="002324B5" w:rsidRPr="002324B5">
        <w:tab/>
      </w:r>
      <w:r w:rsidR="002324B5" w:rsidRPr="002324B5">
        <w:tab/>
      </w:r>
      <w:r w:rsidR="002324B5" w:rsidRPr="002324B5">
        <w:tab/>
      </w:r>
      <w:r w:rsidR="002324B5">
        <w:tab/>
      </w:r>
      <w:r w:rsidR="002324B5" w:rsidRPr="002324B5">
        <w:tab/>
      </w:r>
      <w:proofErr w:type="spellStart"/>
      <w:r w:rsidR="00B95967">
        <w:t>Dž.Innusa</w:t>
      </w:r>
      <w:proofErr w:type="spellEnd"/>
    </w:p>
    <w:p w14:paraId="694D7935" w14:textId="77777777" w:rsidR="00C063C0" w:rsidRPr="00C063C0" w:rsidRDefault="00C063C0" w:rsidP="00C57E86">
      <w:pPr>
        <w:rPr>
          <w:sz w:val="20"/>
          <w:szCs w:val="20"/>
          <w:lang w:eastAsia="en-US"/>
        </w:rPr>
      </w:pPr>
    </w:p>
    <w:p w14:paraId="1A94600E" w14:textId="77777777" w:rsidR="00B95967" w:rsidRPr="00611D2A" w:rsidRDefault="00B95967" w:rsidP="00611D2A">
      <w:pPr>
        <w:rPr>
          <w:sz w:val="20"/>
          <w:szCs w:val="20"/>
          <w:lang w:eastAsia="en-US"/>
        </w:rPr>
      </w:pPr>
    </w:p>
    <w:sectPr w:rsidR="00B95967" w:rsidRPr="00611D2A" w:rsidSect="002324B5">
      <w:headerReference w:type="default" r:id="rId9"/>
      <w:footerReference w:type="defaul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F38A" w14:textId="77777777" w:rsidR="00E924B2" w:rsidRDefault="00E924B2">
      <w:r>
        <w:separator/>
      </w:r>
    </w:p>
  </w:endnote>
  <w:endnote w:type="continuationSeparator" w:id="0">
    <w:p w14:paraId="50C7B3EB" w14:textId="77777777" w:rsidR="00E924B2" w:rsidRDefault="00E9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27DD6AC6" w:rsidR="009B74E7" w:rsidRPr="00F52BE9" w:rsidRDefault="00F52BE9" w:rsidP="00F52BE9">
    <w:pPr>
      <w:pStyle w:val="Footer"/>
      <w:rPr>
        <w:sz w:val="20"/>
        <w:szCs w:val="20"/>
      </w:rPr>
    </w:pPr>
    <w:r w:rsidRPr="00F52BE9">
      <w:rPr>
        <w:sz w:val="20"/>
        <w:szCs w:val="20"/>
      </w:rPr>
      <w:t>SManot_101219_Par_ostam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1F6861E6" w:rsidR="009B74E7" w:rsidRPr="00724AEF" w:rsidRDefault="002324B5">
    <w:pPr>
      <w:pStyle w:val="Footer"/>
      <w:rPr>
        <w:sz w:val="20"/>
        <w:szCs w:val="20"/>
      </w:rPr>
    </w:pPr>
    <w:r w:rsidRPr="002324B5">
      <w:rPr>
        <w:sz w:val="20"/>
        <w:szCs w:val="20"/>
      </w:rPr>
      <w:t>SM</w:t>
    </w:r>
    <w:r w:rsidR="003656BD">
      <w:rPr>
        <w:sz w:val="20"/>
        <w:szCs w:val="20"/>
      </w:rPr>
      <w:t>a</w:t>
    </w:r>
    <w:r w:rsidRPr="002324B5">
      <w:rPr>
        <w:sz w:val="20"/>
        <w:szCs w:val="20"/>
      </w:rPr>
      <w:t>not_</w:t>
    </w:r>
    <w:r w:rsidR="00F52BE9">
      <w:rPr>
        <w:sz w:val="20"/>
        <w:szCs w:val="20"/>
      </w:rPr>
      <w:t>1</w:t>
    </w:r>
    <w:r w:rsidR="00A5670D">
      <w:rPr>
        <w:sz w:val="20"/>
        <w:szCs w:val="20"/>
      </w:rPr>
      <w:t>0</w:t>
    </w:r>
    <w:r w:rsidR="00F52BE9">
      <w:rPr>
        <w:sz w:val="20"/>
        <w:szCs w:val="20"/>
      </w:rPr>
      <w:t>12</w:t>
    </w:r>
    <w:r w:rsidRPr="002324B5">
      <w:rPr>
        <w:sz w:val="20"/>
        <w:szCs w:val="20"/>
      </w:rPr>
      <w:t>19_</w:t>
    </w:r>
    <w:r w:rsidR="00F52BE9">
      <w:rPr>
        <w:sz w:val="20"/>
        <w:szCs w:val="20"/>
      </w:rPr>
      <w:t>Par_ostam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9998" w14:textId="77777777" w:rsidR="00E924B2" w:rsidRDefault="00E924B2">
      <w:r>
        <w:separator/>
      </w:r>
    </w:p>
  </w:footnote>
  <w:footnote w:type="continuationSeparator" w:id="0">
    <w:p w14:paraId="03A9A8CE" w14:textId="77777777" w:rsidR="00E924B2" w:rsidRDefault="00E9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14:paraId="0645182A" w14:textId="77777777" w:rsidR="009B74E7" w:rsidRDefault="009B74E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028E5"/>
    <w:rsid w:val="00013013"/>
    <w:rsid w:val="00013DFF"/>
    <w:rsid w:val="00016532"/>
    <w:rsid w:val="00040D63"/>
    <w:rsid w:val="00050F6B"/>
    <w:rsid w:val="00061A2B"/>
    <w:rsid w:val="00064101"/>
    <w:rsid w:val="00064E15"/>
    <w:rsid w:val="000716F8"/>
    <w:rsid w:val="0007285D"/>
    <w:rsid w:val="00073B5D"/>
    <w:rsid w:val="00074913"/>
    <w:rsid w:val="000750CA"/>
    <w:rsid w:val="00076770"/>
    <w:rsid w:val="00080B22"/>
    <w:rsid w:val="000827E1"/>
    <w:rsid w:val="00083D2F"/>
    <w:rsid w:val="000941F9"/>
    <w:rsid w:val="00095D84"/>
    <w:rsid w:val="0009692F"/>
    <w:rsid w:val="000A1276"/>
    <w:rsid w:val="000A7A6F"/>
    <w:rsid w:val="000A7B48"/>
    <w:rsid w:val="000B4ECF"/>
    <w:rsid w:val="000C0750"/>
    <w:rsid w:val="000C3A62"/>
    <w:rsid w:val="000C3CF0"/>
    <w:rsid w:val="000D1A8E"/>
    <w:rsid w:val="000D1C35"/>
    <w:rsid w:val="000D2A18"/>
    <w:rsid w:val="000E0E0F"/>
    <w:rsid w:val="000E1CF9"/>
    <w:rsid w:val="000E2382"/>
    <w:rsid w:val="000E3638"/>
    <w:rsid w:val="000E544A"/>
    <w:rsid w:val="000E5552"/>
    <w:rsid w:val="000E7319"/>
    <w:rsid w:val="000F6825"/>
    <w:rsid w:val="000F6ECD"/>
    <w:rsid w:val="00107009"/>
    <w:rsid w:val="00107A3C"/>
    <w:rsid w:val="00107E59"/>
    <w:rsid w:val="001212C7"/>
    <w:rsid w:val="001240E5"/>
    <w:rsid w:val="0012499A"/>
    <w:rsid w:val="00136397"/>
    <w:rsid w:val="00141B45"/>
    <w:rsid w:val="00142A36"/>
    <w:rsid w:val="00142FE9"/>
    <w:rsid w:val="001441A8"/>
    <w:rsid w:val="001470DB"/>
    <w:rsid w:val="0015360B"/>
    <w:rsid w:val="00155B99"/>
    <w:rsid w:val="001561B1"/>
    <w:rsid w:val="00156897"/>
    <w:rsid w:val="00160FEF"/>
    <w:rsid w:val="00164414"/>
    <w:rsid w:val="00164D7F"/>
    <w:rsid w:val="0016772E"/>
    <w:rsid w:val="00182566"/>
    <w:rsid w:val="001838FA"/>
    <w:rsid w:val="00186C12"/>
    <w:rsid w:val="00190134"/>
    <w:rsid w:val="00191340"/>
    <w:rsid w:val="001918E5"/>
    <w:rsid w:val="001924B0"/>
    <w:rsid w:val="001925EF"/>
    <w:rsid w:val="00194622"/>
    <w:rsid w:val="001968CC"/>
    <w:rsid w:val="00197437"/>
    <w:rsid w:val="00197AFA"/>
    <w:rsid w:val="001A44A7"/>
    <w:rsid w:val="001C2F9F"/>
    <w:rsid w:val="001C6B11"/>
    <w:rsid w:val="001C7039"/>
    <w:rsid w:val="001D7342"/>
    <w:rsid w:val="001E5E7A"/>
    <w:rsid w:val="001F25E9"/>
    <w:rsid w:val="001F417F"/>
    <w:rsid w:val="001F4915"/>
    <w:rsid w:val="001F4937"/>
    <w:rsid w:val="001F77A0"/>
    <w:rsid w:val="002002F8"/>
    <w:rsid w:val="00215AD2"/>
    <w:rsid w:val="00222910"/>
    <w:rsid w:val="002324B5"/>
    <w:rsid w:val="00233C77"/>
    <w:rsid w:val="00234AEC"/>
    <w:rsid w:val="00242006"/>
    <w:rsid w:val="00242AF5"/>
    <w:rsid w:val="0024432F"/>
    <w:rsid w:val="002460C3"/>
    <w:rsid w:val="00250051"/>
    <w:rsid w:val="00254DA2"/>
    <w:rsid w:val="00257ACC"/>
    <w:rsid w:val="00261E56"/>
    <w:rsid w:val="0026204A"/>
    <w:rsid w:val="002624DC"/>
    <w:rsid w:val="00276EF6"/>
    <w:rsid w:val="00277AF4"/>
    <w:rsid w:val="00282F30"/>
    <w:rsid w:val="002925EF"/>
    <w:rsid w:val="002973B0"/>
    <w:rsid w:val="002A2F57"/>
    <w:rsid w:val="002A524E"/>
    <w:rsid w:val="002A68F1"/>
    <w:rsid w:val="002B15D7"/>
    <w:rsid w:val="002B2526"/>
    <w:rsid w:val="002B4811"/>
    <w:rsid w:val="002B5130"/>
    <w:rsid w:val="002B6819"/>
    <w:rsid w:val="002C28C9"/>
    <w:rsid w:val="002D363B"/>
    <w:rsid w:val="002D6721"/>
    <w:rsid w:val="002D7747"/>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40631"/>
    <w:rsid w:val="00345BBE"/>
    <w:rsid w:val="003506D4"/>
    <w:rsid w:val="003647D9"/>
    <w:rsid w:val="003656BD"/>
    <w:rsid w:val="00372469"/>
    <w:rsid w:val="00372A0D"/>
    <w:rsid w:val="00373067"/>
    <w:rsid w:val="00373211"/>
    <w:rsid w:val="00373B35"/>
    <w:rsid w:val="00374635"/>
    <w:rsid w:val="00382272"/>
    <w:rsid w:val="00383B91"/>
    <w:rsid w:val="00386489"/>
    <w:rsid w:val="00386BCF"/>
    <w:rsid w:val="003940D4"/>
    <w:rsid w:val="003A166B"/>
    <w:rsid w:val="003A21B8"/>
    <w:rsid w:val="003A3C65"/>
    <w:rsid w:val="003A59A0"/>
    <w:rsid w:val="003A6E9A"/>
    <w:rsid w:val="003A7C3B"/>
    <w:rsid w:val="003C0FBB"/>
    <w:rsid w:val="003C2E1D"/>
    <w:rsid w:val="003C3047"/>
    <w:rsid w:val="003D0134"/>
    <w:rsid w:val="003D0AAF"/>
    <w:rsid w:val="003D0C57"/>
    <w:rsid w:val="003D4716"/>
    <w:rsid w:val="003D758A"/>
    <w:rsid w:val="003D7616"/>
    <w:rsid w:val="003D7CB7"/>
    <w:rsid w:val="003E30F3"/>
    <w:rsid w:val="004029CF"/>
    <w:rsid w:val="004054FB"/>
    <w:rsid w:val="004058BF"/>
    <w:rsid w:val="004101E6"/>
    <w:rsid w:val="00415956"/>
    <w:rsid w:val="00417522"/>
    <w:rsid w:val="00423C20"/>
    <w:rsid w:val="004248D7"/>
    <w:rsid w:val="00427942"/>
    <w:rsid w:val="00430082"/>
    <w:rsid w:val="004306D5"/>
    <w:rsid w:val="00430AA0"/>
    <w:rsid w:val="004362C7"/>
    <w:rsid w:val="0043693B"/>
    <w:rsid w:val="004421D6"/>
    <w:rsid w:val="00451D84"/>
    <w:rsid w:val="004540B6"/>
    <w:rsid w:val="0046067B"/>
    <w:rsid w:val="004625C2"/>
    <w:rsid w:val="00463864"/>
    <w:rsid w:val="004748F8"/>
    <w:rsid w:val="004767B3"/>
    <w:rsid w:val="00477344"/>
    <w:rsid w:val="00483632"/>
    <w:rsid w:val="0048395C"/>
    <w:rsid w:val="0049307D"/>
    <w:rsid w:val="00493218"/>
    <w:rsid w:val="00496A5E"/>
    <w:rsid w:val="00497FAC"/>
    <w:rsid w:val="004A22E4"/>
    <w:rsid w:val="004A6C6A"/>
    <w:rsid w:val="004B2030"/>
    <w:rsid w:val="004B29D5"/>
    <w:rsid w:val="004B3D68"/>
    <w:rsid w:val="004B3F31"/>
    <w:rsid w:val="004C14EF"/>
    <w:rsid w:val="004C7158"/>
    <w:rsid w:val="004C7A5A"/>
    <w:rsid w:val="004C7D95"/>
    <w:rsid w:val="004D0C3F"/>
    <w:rsid w:val="004E2A64"/>
    <w:rsid w:val="004E2B46"/>
    <w:rsid w:val="004E2E2A"/>
    <w:rsid w:val="004E5314"/>
    <w:rsid w:val="004F3CA0"/>
    <w:rsid w:val="00500374"/>
    <w:rsid w:val="005037C0"/>
    <w:rsid w:val="0051573C"/>
    <w:rsid w:val="005248D5"/>
    <w:rsid w:val="00525293"/>
    <w:rsid w:val="00530FEB"/>
    <w:rsid w:val="00535A32"/>
    <w:rsid w:val="005402D9"/>
    <w:rsid w:val="00541887"/>
    <w:rsid w:val="00544914"/>
    <w:rsid w:val="00544C7C"/>
    <w:rsid w:val="00554BAE"/>
    <w:rsid w:val="005559D2"/>
    <w:rsid w:val="005574ED"/>
    <w:rsid w:val="00564033"/>
    <w:rsid w:val="00566F01"/>
    <w:rsid w:val="00572493"/>
    <w:rsid w:val="00576387"/>
    <w:rsid w:val="0058405A"/>
    <w:rsid w:val="00584751"/>
    <w:rsid w:val="005865CF"/>
    <w:rsid w:val="00590D47"/>
    <w:rsid w:val="005919B9"/>
    <w:rsid w:val="00594358"/>
    <w:rsid w:val="00595B12"/>
    <w:rsid w:val="005A4EA0"/>
    <w:rsid w:val="005A784B"/>
    <w:rsid w:val="005A78F1"/>
    <w:rsid w:val="005B28E5"/>
    <w:rsid w:val="005B61C6"/>
    <w:rsid w:val="005C4F7F"/>
    <w:rsid w:val="005D28CA"/>
    <w:rsid w:val="005D2AD8"/>
    <w:rsid w:val="005E1041"/>
    <w:rsid w:val="005F276C"/>
    <w:rsid w:val="005F68F9"/>
    <w:rsid w:val="00601F81"/>
    <w:rsid w:val="00611D2A"/>
    <w:rsid w:val="006238BF"/>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53AB"/>
    <w:rsid w:val="006B18A4"/>
    <w:rsid w:val="006B742D"/>
    <w:rsid w:val="006C25E8"/>
    <w:rsid w:val="006C2881"/>
    <w:rsid w:val="006C4C7A"/>
    <w:rsid w:val="006D2925"/>
    <w:rsid w:val="006D353A"/>
    <w:rsid w:val="006D36C2"/>
    <w:rsid w:val="006E22EB"/>
    <w:rsid w:val="006E2D8A"/>
    <w:rsid w:val="006E2E27"/>
    <w:rsid w:val="006E704D"/>
    <w:rsid w:val="006F1C6A"/>
    <w:rsid w:val="006F58BA"/>
    <w:rsid w:val="006F7FBA"/>
    <w:rsid w:val="00700D74"/>
    <w:rsid w:val="007047A2"/>
    <w:rsid w:val="00720B18"/>
    <w:rsid w:val="00724AEF"/>
    <w:rsid w:val="00724C70"/>
    <w:rsid w:val="0072591A"/>
    <w:rsid w:val="0072684F"/>
    <w:rsid w:val="007325FA"/>
    <w:rsid w:val="00737785"/>
    <w:rsid w:val="0074255A"/>
    <w:rsid w:val="00745175"/>
    <w:rsid w:val="007451BD"/>
    <w:rsid w:val="00747917"/>
    <w:rsid w:val="007543DA"/>
    <w:rsid w:val="007563CD"/>
    <w:rsid w:val="007610AB"/>
    <w:rsid w:val="00762048"/>
    <w:rsid w:val="007626F3"/>
    <w:rsid w:val="007708F8"/>
    <w:rsid w:val="00771352"/>
    <w:rsid w:val="00771490"/>
    <w:rsid w:val="00781F4E"/>
    <w:rsid w:val="0078202C"/>
    <w:rsid w:val="007826C7"/>
    <w:rsid w:val="00784FA5"/>
    <w:rsid w:val="0078695F"/>
    <w:rsid w:val="00792053"/>
    <w:rsid w:val="00792CC5"/>
    <w:rsid w:val="007A0CE8"/>
    <w:rsid w:val="007A1F00"/>
    <w:rsid w:val="007A6C3C"/>
    <w:rsid w:val="007B1235"/>
    <w:rsid w:val="007B2E51"/>
    <w:rsid w:val="007B377A"/>
    <w:rsid w:val="007B533E"/>
    <w:rsid w:val="007B5D37"/>
    <w:rsid w:val="007C3875"/>
    <w:rsid w:val="007C6728"/>
    <w:rsid w:val="007D009B"/>
    <w:rsid w:val="007D41DC"/>
    <w:rsid w:val="007E5631"/>
    <w:rsid w:val="007F0BCB"/>
    <w:rsid w:val="007F29CB"/>
    <w:rsid w:val="007F6FB4"/>
    <w:rsid w:val="0080008C"/>
    <w:rsid w:val="00805A56"/>
    <w:rsid w:val="00810E84"/>
    <w:rsid w:val="00813A50"/>
    <w:rsid w:val="008148F3"/>
    <w:rsid w:val="00814D20"/>
    <w:rsid w:val="00820831"/>
    <w:rsid w:val="00821908"/>
    <w:rsid w:val="00824088"/>
    <w:rsid w:val="0083396B"/>
    <w:rsid w:val="00842D5E"/>
    <w:rsid w:val="0084561F"/>
    <w:rsid w:val="0085012E"/>
    <w:rsid w:val="0085601B"/>
    <w:rsid w:val="008601E8"/>
    <w:rsid w:val="00865761"/>
    <w:rsid w:val="008709BF"/>
    <w:rsid w:val="0088241E"/>
    <w:rsid w:val="0088686F"/>
    <w:rsid w:val="008905DF"/>
    <w:rsid w:val="0089594F"/>
    <w:rsid w:val="008A0062"/>
    <w:rsid w:val="008A3252"/>
    <w:rsid w:val="008A3F1C"/>
    <w:rsid w:val="008A4554"/>
    <w:rsid w:val="008A636B"/>
    <w:rsid w:val="008A68B3"/>
    <w:rsid w:val="008A6F9C"/>
    <w:rsid w:val="008A7FF6"/>
    <w:rsid w:val="008B5C00"/>
    <w:rsid w:val="008B5F92"/>
    <w:rsid w:val="008C0E08"/>
    <w:rsid w:val="008C1058"/>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35AFD"/>
    <w:rsid w:val="00946E07"/>
    <w:rsid w:val="00951360"/>
    <w:rsid w:val="00955805"/>
    <w:rsid w:val="009571D8"/>
    <w:rsid w:val="00966568"/>
    <w:rsid w:val="00966F2E"/>
    <w:rsid w:val="00977598"/>
    <w:rsid w:val="00987516"/>
    <w:rsid w:val="00987AFB"/>
    <w:rsid w:val="00993DB9"/>
    <w:rsid w:val="00995BD2"/>
    <w:rsid w:val="009A0F54"/>
    <w:rsid w:val="009A3ADF"/>
    <w:rsid w:val="009B0562"/>
    <w:rsid w:val="009B080D"/>
    <w:rsid w:val="009B2BDE"/>
    <w:rsid w:val="009B74E7"/>
    <w:rsid w:val="009C5AD1"/>
    <w:rsid w:val="009D2D72"/>
    <w:rsid w:val="009D2FF8"/>
    <w:rsid w:val="009D4818"/>
    <w:rsid w:val="009D4ECF"/>
    <w:rsid w:val="009E0DB1"/>
    <w:rsid w:val="009E0F72"/>
    <w:rsid w:val="009E44C4"/>
    <w:rsid w:val="009E53F0"/>
    <w:rsid w:val="009F141D"/>
    <w:rsid w:val="009F2977"/>
    <w:rsid w:val="009F4D79"/>
    <w:rsid w:val="009F6B99"/>
    <w:rsid w:val="00A04176"/>
    <w:rsid w:val="00A060BB"/>
    <w:rsid w:val="00A14BCC"/>
    <w:rsid w:val="00A2188A"/>
    <w:rsid w:val="00A23561"/>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7114"/>
    <w:rsid w:val="00AA16FE"/>
    <w:rsid w:val="00AA3A28"/>
    <w:rsid w:val="00AA4FE0"/>
    <w:rsid w:val="00AB21B3"/>
    <w:rsid w:val="00AB2B5D"/>
    <w:rsid w:val="00AC0E3E"/>
    <w:rsid w:val="00AC149A"/>
    <w:rsid w:val="00AC1A0D"/>
    <w:rsid w:val="00AC4885"/>
    <w:rsid w:val="00AC527C"/>
    <w:rsid w:val="00AC57AE"/>
    <w:rsid w:val="00AD35EC"/>
    <w:rsid w:val="00AD454D"/>
    <w:rsid w:val="00AD7588"/>
    <w:rsid w:val="00AE5100"/>
    <w:rsid w:val="00AF1884"/>
    <w:rsid w:val="00AF7506"/>
    <w:rsid w:val="00B0125C"/>
    <w:rsid w:val="00B04762"/>
    <w:rsid w:val="00B06DAE"/>
    <w:rsid w:val="00B07CD8"/>
    <w:rsid w:val="00B11BF8"/>
    <w:rsid w:val="00B12951"/>
    <w:rsid w:val="00B12F1E"/>
    <w:rsid w:val="00B159D7"/>
    <w:rsid w:val="00B16617"/>
    <w:rsid w:val="00B17784"/>
    <w:rsid w:val="00B2018E"/>
    <w:rsid w:val="00B2177B"/>
    <w:rsid w:val="00B30A47"/>
    <w:rsid w:val="00B35ED8"/>
    <w:rsid w:val="00B37904"/>
    <w:rsid w:val="00B41782"/>
    <w:rsid w:val="00B42320"/>
    <w:rsid w:val="00B428E1"/>
    <w:rsid w:val="00B62FD5"/>
    <w:rsid w:val="00B66FE2"/>
    <w:rsid w:val="00B71158"/>
    <w:rsid w:val="00B7341B"/>
    <w:rsid w:val="00B778A2"/>
    <w:rsid w:val="00B81B95"/>
    <w:rsid w:val="00B85D03"/>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E1AE8"/>
    <w:rsid w:val="00BF3E8F"/>
    <w:rsid w:val="00BF4C8F"/>
    <w:rsid w:val="00C017B3"/>
    <w:rsid w:val="00C063C0"/>
    <w:rsid w:val="00C14DCC"/>
    <w:rsid w:val="00C202AC"/>
    <w:rsid w:val="00C26900"/>
    <w:rsid w:val="00C31B4B"/>
    <w:rsid w:val="00C323E7"/>
    <w:rsid w:val="00C32A65"/>
    <w:rsid w:val="00C37830"/>
    <w:rsid w:val="00C42A05"/>
    <w:rsid w:val="00C42CF1"/>
    <w:rsid w:val="00C4322A"/>
    <w:rsid w:val="00C47F50"/>
    <w:rsid w:val="00C502A6"/>
    <w:rsid w:val="00C558FD"/>
    <w:rsid w:val="00C57E86"/>
    <w:rsid w:val="00C60326"/>
    <w:rsid w:val="00C60491"/>
    <w:rsid w:val="00C60A8A"/>
    <w:rsid w:val="00C76FB3"/>
    <w:rsid w:val="00C802FC"/>
    <w:rsid w:val="00C80BBF"/>
    <w:rsid w:val="00C81924"/>
    <w:rsid w:val="00C86B17"/>
    <w:rsid w:val="00C9284C"/>
    <w:rsid w:val="00C95191"/>
    <w:rsid w:val="00C96DE0"/>
    <w:rsid w:val="00CA36B8"/>
    <w:rsid w:val="00CA4A0B"/>
    <w:rsid w:val="00CA6888"/>
    <w:rsid w:val="00CB199E"/>
    <w:rsid w:val="00CB23AD"/>
    <w:rsid w:val="00CB43E7"/>
    <w:rsid w:val="00CB4820"/>
    <w:rsid w:val="00CB7065"/>
    <w:rsid w:val="00CC4E58"/>
    <w:rsid w:val="00CC6A6A"/>
    <w:rsid w:val="00CD2E99"/>
    <w:rsid w:val="00CE273F"/>
    <w:rsid w:val="00D0727B"/>
    <w:rsid w:val="00D13269"/>
    <w:rsid w:val="00D13F72"/>
    <w:rsid w:val="00D16C38"/>
    <w:rsid w:val="00D170C1"/>
    <w:rsid w:val="00D24FC0"/>
    <w:rsid w:val="00D3148A"/>
    <w:rsid w:val="00D45D9A"/>
    <w:rsid w:val="00D47A6B"/>
    <w:rsid w:val="00D553C2"/>
    <w:rsid w:val="00D62078"/>
    <w:rsid w:val="00D628D6"/>
    <w:rsid w:val="00D646C6"/>
    <w:rsid w:val="00D75968"/>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5E9"/>
    <w:rsid w:val="00DC3F3C"/>
    <w:rsid w:val="00DC43FE"/>
    <w:rsid w:val="00DC4915"/>
    <w:rsid w:val="00DC4E11"/>
    <w:rsid w:val="00DC7E5F"/>
    <w:rsid w:val="00DD21E5"/>
    <w:rsid w:val="00DD46C4"/>
    <w:rsid w:val="00DD6B59"/>
    <w:rsid w:val="00DE75CF"/>
    <w:rsid w:val="00DF2E0B"/>
    <w:rsid w:val="00DF6216"/>
    <w:rsid w:val="00DF7B96"/>
    <w:rsid w:val="00E02B81"/>
    <w:rsid w:val="00E10BB8"/>
    <w:rsid w:val="00E207B6"/>
    <w:rsid w:val="00E21798"/>
    <w:rsid w:val="00E244D2"/>
    <w:rsid w:val="00E24957"/>
    <w:rsid w:val="00E256A0"/>
    <w:rsid w:val="00E37F2F"/>
    <w:rsid w:val="00E40C7A"/>
    <w:rsid w:val="00E41F14"/>
    <w:rsid w:val="00E434BE"/>
    <w:rsid w:val="00E44165"/>
    <w:rsid w:val="00E44472"/>
    <w:rsid w:val="00E46797"/>
    <w:rsid w:val="00E5292B"/>
    <w:rsid w:val="00E535DE"/>
    <w:rsid w:val="00E53FBF"/>
    <w:rsid w:val="00E6315A"/>
    <w:rsid w:val="00E67296"/>
    <w:rsid w:val="00E71435"/>
    <w:rsid w:val="00E71583"/>
    <w:rsid w:val="00E72B76"/>
    <w:rsid w:val="00E742BF"/>
    <w:rsid w:val="00E8039A"/>
    <w:rsid w:val="00E80DB8"/>
    <w:rsid w:val="00E835F2"/>
    <w:rsid w:val="00E8715E"/>
    <w:rsid w:val="00E8782E"/>
    <w:rsid w:val="00E87FCE"/>
    <w:rsid w:val="00E924B2"/>
    <w:rsid w:val="00E94759"/>
    <w:rsid w:val="00EA3C49"/>
    <w:rsid w:val="00EA4B56"/>
    <w:rsid w:val="00EB3BF3"/>
    <w:rsid w:val="00EB4FE7"/>
    <w:rsid w:val="00EC2D6E"/>
    <w:rsid w:val="00EC319D"/>
    <w:rsid w:val="00EC333F"/>
    <w:rsid w:val="00EC6A06"/>
    <w:rsid w:val="00ED23B4"/>
    <w:rsid w:val="00EE2534"/>
    <w:rsid w:val="00EF04F7"/>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52BE9"/>
    <w:rsid w:val="00F6084A"/>
    <w:rsid w:val="00F613AA"/>
    <w:rsid w:val="00F6329E"/>
    <w:rsid w:val="00F73CB9"/>
    <w:rsid w:val="00F74300"/>
    <w:rsid w:val="00F82333"/>
    <w:rsid w:val="00F83A8F"/>
    <w:rsid w:val="00F93812"/>
    <w:rsid w:val="00F9432B"/>
    <w:rsid w:val="00FA0E85"/>
    <w:rsid w:val="00FA22E1"/>
    <w:rsid w:val="00FA2E27"/>
    <w:rsid w:val="00FB7757"/>
    <w:rsid w:val="00FB7AD5"/>
    <w:rsid w:val="00FC1D36"/>
    <w:rsid w:val="00FC4544"/>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7805-grozijumi-publiskas-personas-kapitala-dalu-un-kapitalsabiedribu-parvaldibas-liku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F9C4-754C-4CBC-8169-64993723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7195</Words>
  <Characters>4102</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aviāciju””sākotnējās ietekmes novērtējuma ziņojums (anotācija)</dc:title>
  <dc:subject>Likumprojekta anotācija</dc:subject>
  <dc:creator>Ineta.Vula@sam.gov.lv;Baiba.Jirgena@sam.gov.lv</dc:creator>
  <dc:description>67028016, Baiba.Jirgena@sam.gov.lv</dc:description>
  <cp:lastModifiedBy>Baiba Jirgena</cp:lastModifiedBy>
  <cp:revision>2</cp:revision>
  <cp:lastPrinted>2019-12-11T09:08:00Z</cp:lastPrinted>
  <dcterms:created xsi:type="dcterms:W3CDTF">2019-12-11T09:29:00Z</dcterms:created>
  <dcterms:modified xsi:type="dcterms:W3CDTF">2019-12-11T09:29:00Z</dcterms:modified>
</cp:coreProperties>
</file>