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6EDFC" w14:textId="6B895025" w:rsidR="0000059C" w:rsidRDefault="00BE37D4" w:rsidP="005B3981">
      <w:pPr>
        <w:contextualSpacing/>
        <w:jc w:val="center"/>
        <w:rPr>
          <w:rStyle w:val="Strong"/>
        </w:rPr>
      </w:pPr>
      <w:r w:rsidRPr="001A2563">
        <w:rPr>
          <w:rStyle w:val="Strong"/>
        </w:rPr>
        <w:t xml:space="preserve">Ministru kabineta </w:t>
      </w:r>
      <w:r w:rsidRPr="000B47CA">
        <w:rPr>
          <w:rStyle w:val="Strong"/>
        </w:rPr>
        <w:t>noteikumu projekta “</w:t>
      </w:r>
      <w:r w:rsidR="000B47CA" w:rsidRPr="000B47CA">
        <w:rPr>
          <w:rStyle w:val="Strong"/>
        </w:rPr>
        <w:t>Grozījum</w:t>
      </w:r>
      <w:r w:rsidR="00267773">
        <w:rPr>
          <w:rStyle w:val="Strong"/>
        </w:rPr>
        <w:t>i</w:t>
      </w:r>
      <w:r w:rsidR="000B47CA" w:rsidRPr="000B47CA">
        <w:rPr>
          <w:rStyle w:val="Strong"/>
        </w:rPr>
        <w:t xml:space="preserve"> Ministru kabineta 2016. gada 11. oktobr</w:t>
      </w:r>
      <w:r w:rsidR="00BD14FF">
        <w:rPr>
          <w:rStyle w:val="Strong"/>
        </w:rPr>
        <w:t>a</w:t>
      </w:r>
      <w:r w:rsidR="000B47CA" w:rsidRPr="000B47CA">
        <w:rPr>
          <w:rStyle w:val="Strong"/>
        </w:rPr>
        <w:t xml:space="preserve"> noteikumos Nr.</w:t>
      </w:r>
      <w:r w:rsidR="00DC580E">
        <w:rPr>
          <w:rStyle w:val="Strong"/>
        </w:rPr>
        <w:t xml:space="preserve"> </w:t>
      </w:r>
      <w:r w:rsidR="000B47CA" w:rsidRPr="000B47CA">
        <w:rPr>
          <w:rStyle w:val="Strong"/>
        </w:rPr>
        <w:t>669 “Kārtība, kādā noslēdz un pārrauga brīvprātīgu vienošanos par energoefektivitātes uzlabošanu”</w:t>
      </w:r>
      <w:r w:rsidRPr="000B47CA">
        <w:rPr>
          <w:rStyle w:val="Strong"/>
        </w:rPr>
        <w:t>” sākotnējās ietekmes</w:t>
      </w:r>
      <w:r w:rsidRPr="001A2563">
        <w:rPr>
          <w:rStyle w:val="Strong"/>
        </w:rPr>
        <w:t xml:space="preserve"> novērtējuma ziņojums (anotācija)</w:t>
      </w:r>
    </w:p>
    <w:p w14:paraId="0DD47A01" w14:textId="2B5934D5" w:rsidR="006D3E3B" w:rsidRDefault="006D3E3B" w:rsidP="005B3981">
      <w:pPr>
        <w:contextualSpacing/>
        <w:jc w:val="center"/>
        <w:rPr>
          <w:rStyle w:val="Strong"/>
        </w:rPr>
      </w:pPr>
    </w:p>
    <w:tbl>
      <w:tblPr>
        <w:tblW w:w="4997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3"/>
        <w:gridCol w:w="5797"/>
      </w:tblGrid>
      <w:tr w:rsidR="006D3E3B" w:rsidRPr="002C31FF" w14:paraId="36F01886" w14:textId="77777777" w:rsidTr="002057BA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8D11C8" w14:textId="77777777" w:rsidR="006D3E3B" w:rsidRPr="002C31FF" w:rsidRDefault="006D3E3B" w:rsidP="002057BA">
            <w:pPr>
              <w:jc w:val="center"/>
              <w:rPr>
                <w:b/>
                <w:bCs/>
              </w:rPr>
            </w:pPr>
            <w:r w:rsidRPr="002C31FF">
              <w:rPr>
                <w:b/>
                <w:bCs/>
              </w:rPr>
              <w:t>Tiesību akta projekta anotācijas kopsavilkums</w:t>
            </w:r>
          </w:p>
        </w:tc>
      </w:tr>
      <w:tr w:rsidR="006D3E3B" w:rsidRPr="002C31FF" w14:paraId="3FB614CE" w14:textId="77777777" w:rsidTr="002057BA">
        <w:tc>
          <w:tcPr>
            <w:tcW w:w="179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E9919D" w14:textId="77777777" w:rsidR="006D3E3B" w:rsidRPr="002C31FF" w:rsidRDefault="006D3E3B" w:rsidP="002057BA">
            <w:r w:rsidRPr="002C31FF">
              <w:t>Mērķis, risinājums un projekta spēkā stāšanās laiks (500 zīmes bez atstarpēm)</w:t>
            </w:r>
          </w:p>
        </w:tc>
        <w:tc>
          <w:tcPr>
            <w:tcW w:w="32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841213" w14:textId="77777777" w:rsidR="006D3E3B" w:rsidRPr="005E75BF" w:rsidRDefault="006D3E3B" w:rsidP="002057BA">
            <w:pPr>
              <w:jc w:val="both"/>
            </w:pPr>
            <w:r>
              <w:t>Nav attiecināms.</w:t>
            </w:r>
          </w:p>
        </w:tc>
      </w:tr>
    </w:tbl>
    <w:p w14:paraId="446EB00D" w14:textId="77777777" w:rsidR="005B3981" w:rsidRPr="00211630" w:rsidRDefault="005B3981" w:rsidP="005B3981">
      <w:pPr>
        <w:contextualSpacing/>
        <w:jc w:val="center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2680"/>
        <w:gridCol w:w="5817"/>
      </w:tblGrid>
      <w:tr w:rsidR="00BD5588" w:rsidRPr="001A2563" w14:paraId="055A5CDD" w14:textId="77777777" w:rsidTr="00415A0F">
        <w:trPr>
          <w:cantSplit/>
        </w:trPr>
        <w:tc>
          <w:tcPr>
            <w:tcW w:w="5000" w:type="pct"/>
            <w:gridSpan w:val="3"/>
            <w:vAlign w:val="center"/>
            <w:hideMark/>
          </w:tcPr>
          <w:p w14:paraId="5E949664" w14:textId="77777777" w:rsidR="00BD5588" w:rsidRPr="001A2563" w:rsidRDefault="00BD5588" w:rsidP="007207FD">
            <w:pPr>
              <w:keepLines/>
              <w:contextualSpacing/>
              <w:jc w:val="center"/>
              <w:rPr>
                <w:b/>
                <w:bCs/>
              </w:rPr>
            </w:pPr>
            <w:r w:rsidRPr="001A2563">
              <w:rPr>
                <w:b/>
                <w:bCs/>
              </w:rPr>
              <w:t>I. Tiesību akta projekta izstrādes nepieciešamība</w:t>
            </w:r>
          </w:p>
        </w:tc>
      </w:tr>
      <w:tr w:rsidR="00BD5588" w:rsidRPr="001A2563" w14:paraId="7AB4C979" w14:textId="77777777" w:rsidTr="00415A0F">
        <w:trPr>
          <w:cantSplit/>
        </w:trPr>
        <w:tc>
          <w:tcPr>
            <w:tcW w:w="311" w:type="pct"/>
            <w:hideMark/>
          </w:tcPr>
          <w:p w14:paraId="76A9384A" w14:textId="77777777" w:rsidR="00BD5588" w:rsidRPr="001A2563" w:rsidRDefault="00BD5588" w:rsidP="007207FD">
            <w:pPr>
              <w:keepLines/>
              <w:contextualSpacing/>
              <w:jc w:val="center"/>
            </w:pPr>
            <w:r w:rsidRPr="001A2563">
              <w:t>1.</w:t>
            </w:r>
          </w:p>
        </w:tc>
        <w:tc>
          <w:tcPr>
            <w:tcW w:w="1479" w:type="pct"/>
            <w:hideMark/>
          </w:tcPr>
          <w:p w14:paraId="54E15CF4" w14:textId="77777777" w:rsidR="00BD5588" w:rsidRPr="001A2563" w:rsidRDefault="00BD5588" w:rsidP="007207FD">
            <w:pPr>
              <w:keepLines/>
              <w:contextualSpacing/>
            </w:pPr>
            <w:r w:rsidRPr="001A2563">
              <w:t>Pamatojums</w:t>
            </w:r>
          </w:p>
        </w:tc>
        <w:tc>
          <w:tcPr>
            <w:tcW w:w="3210" w:type="pct"/>
            <w:hideMark/>
          </w:tcPr>
          <w:p w14:paraId="64B7D009" w14:textId="6E1BB05F" w:rsidR="00BD5588" w:rsidRPr="001A2563" w:rsidRDefault="00DC580E" w:rsidP="00DC580E">
            <w:pPr>
              <w:tabs>
                <w:tab w:val="left" w:pos="2552"/>
              </w:tabs>
              <w:ind w:right="-1"/>
              <w:contextualSpacing/>
              <w:jc w:val="both"/>
            </w:pPr>
            <w:r>
              <w:t>Energoefektivitātes likum</w:t>
            </w:r>
            <w:r w:rsidR="003B045B">
              <w:t>a</w:t>
            </w:r>
            <w:r>
              <w:t xml:space="preserve"> 8. pant</w:t>
            </w:r>
            <w:r w:rsidR="00852C32">
              <w:t>a</w:t>
            </w:r>
            <w:r w:rsidR="003B045B">
              <w:t xml:space="preserve"> trešā daļa</w:t>
            </w:r>
          </w:p>
        </w:tc>
      </w:tr>
      <w:tr w:rsidR="00BE37D4" w:rsidRPr="00380894" w14:paraId="00BF34BA" w14:textId="77777777" w:rsidTr="00F15FA5">
        <w:trPr>
          <w:cantSplit/>
          <w:trHeight w:val="386"/>
        </w:trPr>
        <w:tc>
          <w:tcPr>
            <w:tcW w:w="311" w:type="pct"/>
            <w:hideMark/>
          </w:tcPr>
          <w:p w14:paraId="04A22FDB" w14:textId="77777777" w:rsidR="00BE37D4" w:rsidRPr="00380894" w:rsidRDefault="00BE37D4" w:rsidP="007207FD">
            <w:pPr>
              <w:keepLines/>
              <w:contextualSpacing/>
              <w:jc w:val="center"/>
            </w:pPr>
            <w:r w:rsidRPr="00380894">
              <w:t>2.</w:t>
            </w:r>
          </w:p>
        </w:tc>
        <w:tc>
          <w:tcPr>
            <w:tcW w:w="1479" w:type="pct"/>
            <w:hideMark/>
          </w:tcPr>
          <w:p w14:paraId="5D1292A3" w14:textId="77777777" w:rsidR="00BE37D4" w:rsidRPr="00380894" w:rsidRDefault="00BE37D4" w:rsidP="007207FD">
            <w:pPr>
              <w:keepLines/>
              <w:contextualSpacing/>
            </w:pPr>
            <w:r w:rsidRPr="00380894">
              <w:t>Pašreizējā situācija un problēmas, kuru risināšanai tiesību akta projekts izstrādāts, tiesiskā regulējuma mērķis un būtība</w:t>
            </w:r>
          </w:p>
        </w:tc>
        <w:tc>
          <w:tcPr>
            <w:tcW w:w="3210" w:type="pct"/>
          </w:tcPr>
          <w:p w14:paraId="166CD9B7" w14:textId="77777777" w:rsidR="00E164B1" w:rsidRPr="00267773" w:rsidRDefault="00E164B1" w:rsidP="00E164B1">
            <w:pPr>
              <w:keepLines/>
              <w:contextualSpacing/>
              <w:jc w:val="both"/>
              <w:rPr>
                <w:b/>
                <w:bCs/>
              </w:rPr>
            </w:pPr>
            <w:r w:rsidRPr="00267773">
              <w:rPr>
                <w:b/>
                <w:bCs/>
              </w:rPr>
              <w:t>Vienošanās dalībnieku loka paplašināšana</w:t>
            </w:r>
          </w:p>
          <w:p w14:paraId="68E8F8DA" w14:textId="4E716C8F" w:rsidR="00E164B1" w:rsidRDefault="00E164B1" w:rsidP="00E164B1">
            <w:pPr>
              <w:keepLines/>
              <w:contextualSpacing/>
              <w:jc w:val="both"/>
            </w:pPr>
            <w:r w:rsidRPr="000B47CA">
              <w:t>Ministru kabineta 2016. gada 11. oktobr</w:t>
            </w:r>
            <w:r>
              <w:t>a</w:t>
            </w:r>
            <w:r w:rsidRPr="000B47CA">
              <w:t xml:space="preserve"> noteikum</w:t>
            </w:r>
            <w:r>
              <w:t>i</w:t>
            </w:r>
            <w:r w:rsidRPr="000B47CA">
              <w:t xml:space="preserve"> Nr. 669 “Kārtība, kādā noslēdz un pārrauga brīvprātīgu vienošanos par energoefektivitātes uzlabošanu” (turpmāk – </w:t>
            </w:r>
            <w:r>
              <w:t xml:space="preserve">MK </w:t>
            </w:r>
            <w:r w:rsidRPr="000B47CA">
              <w:t>noteikum</w:t>
            </w:r>
            <w:r>
              <w:t>i Nr. 669</w:t>
            </w:r>
            <w:r w:rsidRPr="000B47CA">
              <w:t>)</w:t>
            </w:r>
            <w:r>
              <w:t xml:space="preserve"> nosaka, ka</w:t>
            </w:r>
            <w:r w:rsidRPr="008B2545">
              <w:t xml:space="preserve"> vienošanās dalībnieks – komersantus pārstāvoša organizācija, komersants </w:t>
            </w:r>
            <w:r>
              <w:t xml:space="preserve">vai </w:t>
            </w:r>
            <w:r w:rsidRPr="008B2545">
              <w:t xml:space="preserve">pašvaldība, kas brīvprātīgi apņemas sasniegt paredzēto enerģijas ietaupījuma mērķi, īstenojot konkrētus energoefektivitātes paaugstināšanas pasākumus atbilstoši noslēgtās vienošanās nosacījumiem. Lai </w:t>
            </w:r>
            <w:r>
              <w:t xml:space="preserve">veicinātu vienošanās noslēgšanu, kas paredzētu veikt </w:t>
            </w:r>
            <w:r w:rsidRPr="008B2545">
              <w:t>energoefektivitātes paaugstināšanas pasākumu</w:t>
            </w:r>
            <w:r>
              <w:t>s</w:t>
            </w:r>
            <w:r w:rsidRPr="008B2545">
              <w:t xml:space="preserve"> pašvaldībās</w:t>
            </w:r>
            <w:r>
              <w:t>, tiek paplašināts MK noteikumos Nr. 669 noteikto vienošanās dalībnieku lok</w:t>
            </w:r>
            <w:r w:rsidR="00543E41">
              <w:t>s</w:t>
            </w:r>
            <w:r>
              <w:t xml:space="preserve"> ar</w:t>
            </w:r>
            <w:r w:rsidRPr="00407015">
              <w:t xml:space="preserve"> plānošanas reģion</w:t>
            </w:r>
            <w:r>
              <w:t>iem</w:t>
            </w:r>
            <w:r w:rsidRPr="00407015">
              <w:t xml:space="preserve"> </w:t>
            </w:r>
            <w:r>
              <w:t>un</w:t>
            </w:r>
            <w:r w:rsidRPr="00407015">
              <w:t xml:space="preserve"> </w:t>
            </w:r>
            <w:r>
              <w:t>pašvaldības pārstāvošām organizācijām.</w:t>
            </w:r>
          </w:p>
          <w:p w14:paraId="79CF07D8" w14:textId="6ADE9CE7" w:rsidR="00E164B1" w:rsidRDefault="00E164B1" w:rsidP="00456B69">
            <w:pPr>
              <w:keepLines/>
              <w:contextualSpacing/>
              <w:jc w:val="both"/>
            </w:pPr>
          </w:p>
          <w:p w14:paraId="311CEC26" w14:textId="456F827D" w:rsidR="00E164B1" w:rsidRPr="00267773" w:rsidRDefault="00E164B1" w:rsidP="00E164B1">
            <w:pPr>
              <w:keepLines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Nosacījumi par a</w:t>
            </w:r>
            <w:r w:rsidRPr="00267773">
              <w:rPr>
                <w:b/>
                <w:bCs/>
              </w:rPr>
              <w:t>t</w:t>
            </w:r>
            <w:r>
              <w:rPr>
                <w:b/>
                <w:bCs/>
              </w:rPr>
              <w:t>balsta atmaksu, ja vienošanās nosacījumi netiek ievēroti</w:t>
            </w:r>
          </w:p>
          <w:p w14:paraId="2A95A193" w14:textId="1E45E0D5" w:rsidR="00B04508" w:rsidRDefault="00B04508" w:rsidP="00456B69">
            <w:pPr>
              <w:keepLines/>
              <w:contextualSpacing/>
              <w:jc w:val="both"/>
            </w:pPr>
            <w:r w:rsidRPr="00AC2809">
              <w:t xml:space="preserve">Saskaņā ar </w:t>
            </w:r>
            <w:r>
              <w:t>Energoefektivitātes l</w:t>
            </w:r>
            <w:r w:rsidRPr="00AC2809">
              <w:t>ikuma 8.</w:t>
            </w:r>
            <w:r w:rsidR="00852C32">
              <w:t xml:space="preserve"> </w:t>
            </w:r>
            <w:r w:rsidRPr="00AC2809">
              <w:t xml:space="preserve">panta </w:t>
            </w:r>
            <w:r>
              <w:t>otr</w:t>
            </w:r>
            <w:r w:rsidRPr="00AC2809">
              <w:t xml:space="preserve">o daļu </w:t>
            </w:r>
            <w:r>
              <w:t>a</w:t>
            </w:r>
            <w:r w:rsidRPr="006B7523">
              <w:t xml:space="preserve">tbildīgā ministrija var sniegt atbalstu </w:t>
            </w:r>
            <w:proofErr w:type="spellStart"/>
            <w:r w:rsidRPr="006B7523">
              <w:t>energoauditiem</w:t>
            </w:r>
            <w:proofErr w:type="spellEnd"/>
            <w:r w:rsidRPr="006B7523">
              <w:t xml:space="preserve"> un atsevišķiem energoefektivitātes uzlabošanas pasākumiem, kas tiek veikti saskaņā ar</w:t>
            </w:r>
            <w:r>
              <w:t xml:space="preserve"> </w:t>
            </w:r>
            <w:r w:rsidRPr="006B7523">
              <w:t>vienošanos normatīvajos aktos paredzētajā kārtībā</w:t>
            </w:r>
            <w:r w:rsidRPr="00AC2809">
              <w:t>.</w:t>
            </w:r>
          </w:p>
          <w:p w14:paraId="5D43F48F" w14:textId="30C22E82" w:rsidR="00EB32C8" w:rsidRDefault="006801FA" w:rsidP="00503DB8">
            <w:pPr>
              <w:keepLines/>
              <w:contextualSpacing/>
              <w:jc w:val="both"/>
            </w:pPr>
            <w:r>
              <w:t xml:space="preserve">MK </w:t>
            </w:r>
            <w:r w:rsidRPr="000B47CA">
              <w:t>noteikum</w:t>
            </w:r>
            <w:r>
              <w:t xml:space="preserve">i Nr. 669 </w:t>
            </w:r>
            <w:r w:rsidR="00852C32">
              <w:t xml:space="preserve">paredz, ka vienošanās ietver </w:t>
            </w:r>
            <w:r w:rsidR="00852C32" w:rsidRPr="00395353">
              <w:t xml:space="preserve">nosacījumus attiecībā uz atbalsta iespējām </w:t>
            </w:r>
            <w:proofErr w:type="spellStart"/>
            <w:r w:rsidR="00852C32" w:rsidRPr="00395353">
              <w:t>energoauditiem</w:t>
            </w:r>
            <w:proofErr w:type="spellEnd"/>
            <w:r w:rsidR="00852C32" w:rsidRPr="00395353">
              <w:t xml:space="preserve"> un atsevišķiem energoefektivitātes uzlabošanas pasākumiem, kas tiek veikti saskaņā ar vienošanos.</w:t>
            </w:r>
          </w:p>
          <w:p w14:paraId="690505DF" w14:textId="5D81BF05" w:rsidR="00915F8C" w:rsidRPr="00F46CA7" w:rsidRDefault="003F0369" w:rsidP="00716066">
            <w:pPr>
              <w:jc w:val="both"/>
            </w:pPr>
            <w:r>
              <w:t xml:space="preserve">Ja </w:t>
            </w:r>
            <w:proofErr w:type="spellStart"/>
            <w:r w:rsidR="00480D61" w:rsidRPr="00DC580E">
              <w:t>energoauditiem</w:t>
            </w:r>
            <w:proofErr w:type="spellEnd"/>
            <w:r w:rsidR="00480D61" w:rsidRPr="00DC580E">
              <w:t xml:space="preserve"> un atsevišķiem energoefektivitātes uzlabošanas pasākumiem, kas tiek veikti saskaņā ar vienošanos, </w:t>
            </w:r>
            <w:r w:rsidR="00480D61">
              <w:t>tiek</w:t>
            </w:r>
            <w:r w:rsidR="00480D61" w:rsidRPr="00DC580E">
              <w:t xml:space="preserve"> piešķirts atbalsts</w:t>
            </w:r>
            <w:r w:rsidR="00480D61">
              <w:t>, nepieciešams nodrošināt, ka</w:t>
            </w:r>
            <w:r w:rsidR="004A4ECF">
              <w:t xml:space="preserve"> gadījumā</w:t>
            </w:r>
            <w:r w:rsidR="00823B94">
              <w:t>,</w:t>
            </w:r>
            <w:r w:rsidR="00480D61">
              <w:t xml:space="preserve"> </w:t>
            </w:r>
            <w:r w:rsidR="00823B94" w:rsidRPr="00DC580E">
              <w:t xml:space="preserve">ja </w:t>
            </w:r>
            <w:r w:rsidR="00823B94" w:rsidRPr="00211630">
              <w:t>vienošanās dalībnieks neievēro vienošanās nosacījumu</w:t>
            </w:r>
            <w:r w:rsidR="00823B94">
              <w:t>s</w:t>
            </w:r>
            <w:r w:rsidR="00823B94" w:rsidRPr="00211630">
              <w:t>, piešķirtais atbalsts ir jāatmaksā</w:t>
            </w:r>
            <w:r w:rsidR="00395353">
              <w:t>. Šāda regulējuma nepieciešamība izriet no Valsts kontroles ieteikum</w:t>
            </w:r>
            <w:r w:rsidR="00716066">
              <w:t>a</w:t>
            </w:r>
            <w:r w:rsidR="002059CC">
              <w:t xml:space="preserve"> noteikt atbildību par vienošanās neizpildi, lai brīvprātīgo vienošanos dalībnieki uzņemtos atbildību par vienošanās paredzēto enerģijas ietaupījuma apjoma sasniegšanu un sekmētu enerģijas </w:t>
            </w:r>
            <w:proofErr w:type="spellStart"/>
            <w:r w:rsidR="002059CC">
              <w:t>galapatēriņa</w:t>
            </w:r>
            <w:proofErr w:type="spellEnd"/>
            <w:r w:rsidR="002059CC">
              <w:t xml:space="preserve"> ietaupījuma mērķu sasniegšanu</w:t>
            </w:r>
            <w:r w:rsidR="00395353">
              <w:t xml:space="preserve">. </w:t>
            </w:r>
            <w:r>
              <w:t xml:space="preserve">Līdz ar to Ekonomikas ministrijas </w:t>
            </w:r>
            <w:r>
              <w:lastRenderedPageBreak/>
              <w:t>ierosina grozījumu</w:t>
            </w:r>
            <w:r w:rsidR="00823B94">
              <w:t>s</w:t>
            </w:r>
            <w:r>
              <w:t xml:space="preserve"> MK noteikumos Nr.</w:t>
            </w:r>
            <w:r w:rsidR="006A74AD">
              <w:t xml:space="preserve"> </w:t>
            </w:r>
            <w:r>
              <w:t>669, iekļaujot tajos atbilstošu regulējumu.</w:t>
            </w:r>
          </w:p>
        </w:tc>
      </w:tr>
      <w:tr w:rsidR="00BE37D4" w:rsidRPr="00380894" w14:paraId="62F243E9" w14:textId="77777777" w:rsidTr="00415A0F">
        <w:trPr>
          <w:cantSplit/>
        </w:trPr>
        <w:tc>
          <w:tcPr>
            <w:tcW w:w="311" w:type="pct"/>
            <w:hideMark/>
          </w:tcPr>
          <w:p w14:paraId="42566896" w14:textId="77777777" w:rsidR="00BE37D4" w:rsidRPr="00380894" w:rsidRDefault="00BE37D4" w:rsidP="007207FD">
            <w:pPr>
              <w:keepLines/>
              <w:contextualSpacing/>
              <w:jc w:val="center"/>
            </w:pPr>
            <w:r w:rsidRPr="00380894">
              <w:lastRenderedPageBreak/>
              <w:t>3.</w:t>
            </w:r>
          </w:p>
        </w:tc>
        <w:tc>
          <w:tcPr>
            <w:tcW w:w="1479" w:type="pct"/>
            <w:hideMark/>
          </w:tcPr>
          <w:p w14:paraId="07F711FF" w14:textId="77777777" w:rsidR="00BE37D4" w:rsidRPr="00380894" w:rsidRDefault="00BE37D4" w:rsidP="007207FD">
            <w:pPr>
              <w:keepLines/>
              <w:contextualSpacing/>
            </w:pPr>
            <w:r w:rsidRPr="00380894">
              <w:t>Projekta izstrādē iesaistītās institūcijas un publiskas personas kapitālsabiedrības</w:t>
            </w:r>
          </w:p>
        </w:tc>
        <w:tc>
          <w:tcPr>
            <w:tcW w:w="3210" w:type="pct"/>
            <w:hideMark/>
          </w:tcPr>
          <w:p w14:paraId="2C7A17DD" w14:textId="36BDA418" w:rsidR="00BE37D4" w:rsidRPr="00380894" w:rsidRDefault="00BE37D4" w:rsidP="007207FD">
            <w:pPr>
              <w:keepLines/>
              <w:contextualSpacing/>
            </w:pPr>
            <w:r w:rsidRPr="00380894">
              <w:t>Ekonomikas ministrija</w:t>
            </w:r>
          </w:p>
        </w:tc>
      </w:tr>
      <w:tr w:rsidR="00BE37D4" w:rsidRPr="00380894" w14:paraId="1A115AEC" w14:textId="77777777" w:rsidTr="00415A0F">
        <w:trPr>
          <w:cantSplit/>
        </w:trPr>
        <w:tc>
          <w:tcPr>
            <w:tcW w:w="311" w:type="pct"/>
            <w:hideMark/>
          </w:tcPr>
          <w:p w14:paraId="03243E8E" w14:textId="77777777" w:rsidR="00BE37D4" w:rsidRPr="00380894" w:rsidRDefault="00BE37D4" w:rsidP="007207FD">
            <w:pPr>
              <w:keepLines/>
              <w:contextualSpacing/>
              <w:jc w:val="center"/>
            </w:pPr>
            <w:r w:rsidRPr="00380894">
              <w:t>4.</w:t>
            </w:r>
          </w:p>
        </w:tc>
        <w:tc>
          <w:tcPr>
            <w:tcW w:w="1479" w:type="pct"/>
            <w:hideMark/>
          </w:tcPr>
          <w:p w14:paraId="20807932" w14:textId="77777777" w:rsidR="00BE37D4" w:rsidRPr="00380894" w:rsidRDefault="00BE37D4" w:rsidP="007207FD">
            <w:pPr>
              <w:keepLines/>
              <w:contextualSpacing/>
            </w:pPr>
            <w:r w:rsidRPr="00380894">
              <w:t>Cita informācija</w:t>
            </w:r>
          </w:p>
        </w:tc>
        <w:tc>
          <w:tcPr>
            <w:tcW w:w="3210" w:type="pct"/>
            <w:hideMark/>
          </w:tcPr>
          <w:p w14:paraId="7BB64210" w14:textId="77777777" w:rsidR="00BE37D4" w:rsidRPr="00380894" w:rsidRDefault="00BE37D4" w:rsidP="007207FD">
            <w:pPr>
              <w:keepLines/>
              <w:contextualSpacing/>
            </w:pPr>
            <w:r w:rsidRPr="00380894">
              <w:t>Nav</w:t>
            </w:r>
          </w:p>
        </w:tc>
      </w:tr>
    </w:tbl>
    <w:p w14:paraId="26D9D3FF" w14:textId="77777777" w:rsidR="00BD5588" w:rsidRPr="00380894" w:rsidRDefault="00BD5588" w:rsidP="007207FD">
      <w:pPr>
        <w:pStyle w:val="Title"/>
        <w:contextualSpacing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2680"/>
        <w:gridCol w:w="5817"/>
      </w:tblGrid>
      <w:tr w:rsidR="00BD5588" w:rsidRPr="001A2563" w14:paraId="4CD457C8" w14:textId="77777777" w:rsidTr="009E0502">
        <w:trPr>
          <w:cantSplit/>
        </w:trPr>
        <w:tc>
          <w:tcPr>
            <w:tcW w:w="5000" w:type="pct"/>
            <w:gridSpan w:val="3"/>
            <w:vAlign w:val="center"/>
            <w:hideMark/>
          </w:tcPr>
          <w:p w14:paraId="195F095E" w14:textId="1C93B123" w:rsidR="00E164B1" w:rsidRDefault="00BD5588" w:rsidP="00E164B1">
            <w:pPr>
              <w:jc w:val="center"/>
            </w:pPr>
            <w:r w:rsidRPr="001A2563">
              <w:rPr>
                <w:b/>
                <w:bCs/>
              </w:rPr>
              <w:t>II. Tiesību akta projekta ietekme uz sabiedrību, tautsaimniecības attīstību un administratīvo slogu</w:t>
            </w:r>
          </w:p>
          <w:p w14:paraId="0DA6A353" w14:textId="1B0491EE" w:rsidR="00E164B1" w:rsidRPr="00E164B1" w:rsidRDefault="00E164B1" w:rsidP="00E164B1"/>
        </w:tc>
      </w:tr>
      <w:tr w:rsidR="00BD5588" w:rsidRPr="001A2563" w14:paraId="3249AA98" w14:textId="77777777" w:rsidTr="009E0502">
        <w:trPr>
          <w:cantSplit/>
        </w:trPr>
        <w:tc>
          <w:tcPr>
            <w:tcW w:w="311" w:type="pct"/>
            <w:hideMark/>
          </w:tcPr>
          <w:p w14:paraId="09386914" w14:textId="77777777" w:rsidR="00BD5588" w:rsidRPr="001A2563" w:rsidRDefault="00BD5588" w:rsidP="007207FD">
            <w:pPr>
              <w:contextualSpacing/>
              <w:jc w:val="center"/>
            </w:pPr>
            <w:r w:rsidRPr="001A2563">
              <w:t>1.</w:t>
            </w:r>
          </w:p>
        </w:tc>
        <w:tc>
          <w:tcPr>
            <w:tcW w:w="1479" w:type="pct"/>
            <w:hideMark/>
          </w:tcPr>
          <w:p w14:paraId="33F882E4" w14:textId="77777777" w:rsidR="00BD5588" w:rsidRDefault="00BD5588" w:rsidP="007207FD">
            <w:pPr>
              <w:contextualSpacing/>
            </w:pPr>
            <w:r w:rsidRPr="001A2563">
              <w:t xml:space="preserve">Sabiedrības </w:t>
            </w:r>
            <w:proofErr w:type="spellStart"/>
            <w:r w:rsidRPr="001A2563">
              <w:t>mē</w:t>
            </w:r>
            <w:r w:rsidR="003D325B">
              <w:t>rķ</w:t>
            </w:r>
            <w:r w:rsidRPr="001A2563">
              <w:t>grupas</w:t>
            </w:r>
            <w:proofErr w:type="spellEnd"/>
            <w:r w:rsidRPr="001A2563">
              <w:t>, kuras tiesiskais regulējums ietekmē vai varētu ietekmēt</w:t>
            </w:r>
          </w:p>
          <w:p w14:paraId="3AE7EC6A" w14:textId="77777777" w:rsidR="00E164B1" w:rsidRDefault="00E164B1" w:rsidP="00E164B1"/>
          <w:p w14:paraId="5423DA70" w14:textId="5FC24542" w:rsidR="00E164B1" w:rsidRPr="00E164B1" w:rsidRDefault="00E164B1" w:rsidP="00E164B1"/>
        </w:tc>
        <w:tc>
          <w:tcPr>
            <w:tcW w:w="3210" w:type="pct"/>
            <w:hideMark/>
          </w:tcPr>
          <w:p w14:paraId="528ACF90" w14:textId="506D12FE" w:rsidR="00BD5588" w:rsidRPr="003B045B" w:rsidRDefault="003B045B" w:rsidP="00A72A60">
            <w:pPr>
              <w:contextualSpacing/>
              <w:jc w:val="both"/>
            </w:pPr>
            <w:r w:rsidRPr="003B045B">
              <w:t>Pašvaldības, komersantus pārstāvošas organizācijas, komersanti</w:t>
            </w:r>
            <w:r w:rsidR="00D60F93">
              <w:t xml:space="preserve">, </w:t>
            </w:r>
            <w:r w:rsidR="00D60F93" w:rsidRPr="007F0D2D">
              <w:t>plānošanas reģioni</w:t>
            </w:r>
            <w:r w:rsidR="00D60F93">
              <w:t>,</w:t>
            </w:r>
            <w:r w:rsidR="00D60F93" w:rsidRPr="007F0D2D">
              <w:t xml:space="preserve"> pašvaldības pārstāvošas </w:t>
            </w:r>
            <w:r w:rsidR="00D60F93">
              <w:t>organizācijas</w:t>
            </w:r>
            <w:r w:rsidRPr="007F0D2D">
              <w:t>.</w:t>
            </w:r>
          </w:p>
        </w:tc>
      </w:tr>
      <w:tr w:rsidR="006C1265" w:rsidRPr="001A2563" w14:paraId="25F9DC73" w14:textId="77777777" w:rsidTr="006C1265">
        <w:trPr>
          <w:cantSplit/>
        </w:trPr>
        <w:tc>
          <w:tcPr>
            <w:tcW w:w="311" w:type="pct"/>
            <w:hideMark/>
          </w:tcPr>
          <w:p w14:paraId="4F22568B" w14:textId="77777777" w:rsidR="006C1265" w:rsidRPr="001A2563" w:rsidRDefault="006C1265" w:rsidP="007207FD">
            <w:pPr>
              <w:contextualSpacing/>
              <w:jc w:val="center"/>
            </w:pPr>
            <w:r w:rsidRPr="001A2563">
              <w:t>2.</w:t>
            </w:r>
          </w:p>
        </w:tc>
        <w:tc>
          <w:tcPr>
            <w:tcW w:w="1479" w:type="pct"/>
            <w:hideMark/>
          </w:tcPr>
          <w:p w14:paraId="735EFDB7" w14:textId="77777777" w:rsidR="006C1265" w:rsidRPr="001A2563" w:rsidRDefault="006C1265" w:rsidP="007207FD">
            <w:pPr>
              <w:contextualSpacing/>
            </w:pPr>
            <w:r w:rsidRPr="001A2563">
              <w:t>Tiesiskā regulējuma ietekme uz tautsaimniecību un administratīvo slogu</w:t>
            </w:r>
          </w:p>
        </w:tc>
        <w:tc>
          <w:tcPr>
            <w:tcW w:w="3210" w:type="pct"/>
          </w:tcPr>
          <w:p w14:paraId="45234869" w14:textId="2FF28B31" w:rsidR="00847AE6" w:rsidRDefault="00700C4C" w:rsidP="00A72A60">
            <w:pPr>
              <w:contextualSpacing/>
              <w:jc w:val="both"/>
            </w:pPr>
            <w:r w:rsidRPr="00700C4C">
              <w:t xml:space="preserve">Projekta tiesiskajam regulējumam </w:t>
            </w:r>
            <w:r>
              <w:t>būs pozitīva ietekme uz tautsaimniecību, proti,</w:t>
            </w:r>
            <w:r w:rsidRPr="001A2563">
              <w:t xml:space="preserve"> </w:t>
            </w:r>
            <w:r w:rsidR="00C04E08">
              <w:t>P</w:t>
            </w:r>
            <w:r w:rsidR="006C1265" w:rsidRPr="001A2563">
              <w:t>rojekt</w:t>
            </w:r>
            <w:r w:rsidR="00A72A60">
              <w:t>s sekmēs</w:t>
            </w:r>
            <w:r w:rsidR="00A72A60" w:rsidRPr="00DC580E">
              <w:t xml:space="preserve"> </w:t>
            </w:r>
            <w:r w:rsidR="00C04E08" w:rsidRPr="00C04E08">
              <w:t xml:space="preserve">konkrētu energoefektivitātes paaugstināšanas pasākumu īstenošanu un </w:t>
            </w:r>
            <w:r w:rsidR="00A72A60">
              <w:t xml:space="preserve">saskaņā ar </w:t>
            </w:r>
            <w:r w:rsidR="008473E3" w:rsidRPr="00813309">
              <w:t>Eiropas Parlamenta un Padomes 2012.</w:t>
            </w:r>
            <w:r w:rsidR="008473E3">
              <w:t xml:space="preserve"> </w:t>
            </w:r>
            <w:r w:rsidR="008473E3" w:rsidRPr="00813309">
              <w:t>gada 25.</w:t>
            </w:r>
            <w:r w:rsidR="008473E3">
              <w:t xml:space="preserve"> </w:t>
            </w:r>
            <w:r w:rsidR="008473E3" w:rsidRPr="00813309">
              <w:t>oktobra Direktīv</w:t>
            </w:r>
            <w:r w:rsidR="0017609B">
              <w:t>u</w:t>
            </w:r>
            <w:r w:rsidR="008473E3" w:rsidRPr="00813309">
              <w:t xml:space="preserve"> 2012/27/ES par energoefektivitāti, ar ko groza Direktīvas 2009/125/EK un 2010/30/ES un atceļ Direktīvas 2004/8/EK un 2006/32/EK</w:t>
            </w:r>
            <w:r w:rsidR="003D325B">
              <w:t xml:space="preserve">, un </w:t>
            </w:r>
            <w:r w:rsidR="003D325B" w:rsidRPr="003F7C25">
              <w:t>Eiropas Parlamenta un Padomes</w:t>
            </w:r>
            <w:r w:rsidR="003D325B">
              <w:t xml:space="preserve"> </w:t>
            </w:r>
            <w:r w:rsidR="003D325B" w:rsidRPr="003F7C25">
              <w:t>2018. gada 11. decembr</w:t>
            </w:r>
            <w:r w:rsidR="003D325B">
              <w:t>a</w:t>
            </w:r>
            <w:r w:rsidR="003D325B" w:rsidRPr="003F7C25">
              <w:t xml:space="preserve"> Direktīv</w:t>
            </w:r>
            <w:r w:rsidR="0017609B">
              <w:t>u</w:t>
            </w:r>
            <w:r w:rsidR="003D325B" w:rsidRPr="003F7C25">
              <w:t xml:space="preserve"> (ES) 2018/2002, ar ko groza Direktīvu 2012/27/ES par energoefektivitāti</w:t>
            </w:r>
            <w:r w:rsidR="003D325B">
              <w:t>,</w:t>
            </w:r>
            <w:r w:rsidR="008473E3" w:rsidRPr="00813309">
              <w:t xml:space="preserve"> </w:t>
            </w:r>
            <w:r w:rsidR="00A72A60">
              <w:t>noteikto</w:t>
            </w:r>
            <w:r w:rsidR="00A72A60" w:rsidRPr="00A72A60">
              <w:t xml:space="preserve"> </w:t>
            </w:r>
            <w:r w:rsidR="00A72A60">
              <w:t xml:space="preserve">valsts </w:t>
            </w:r>
            <w:r w:rsidR="003D6AB3" w:rsidRPr="00456B69">
              <w:t>energoefektivitātes mērķu izpild</w:t>
            </w:r>
            <w:r w:rsidR="00A72A60">
              <w:t>i</w:t>
            </w:r>
            <w:r w:rsidR="003D6AB3" w:rsidRPr="00456B69">
              <w:t>.</w:t>
            </w:r>
          </w:p>
          <w:p w14:paraId="0FBB7811" w14:textId="229D86A6" w:rsidR="00700C4C" w:rsidRPr="001A2563" w:rsidRDefault="00C04E08" w:rsidP="00A72A60">
            <w:pPr>
              <w:contextualSpacing/>
              <w:jc w:val="both"/>
            </w:pPr>
            <w:r w:rsidRPr="00C04E08">
              <w:t xml:space="preserve">Sabiedrības </w:t>
            </w:r>
            <w:proofErr w:type="spellStart"/>
            <w:r w:rsidRPr="00C04E08">
              <w:t>mērķgrupām</w:t>
            </w:r>
            <w:proofErr w:type="spellEnd"/>
            <w:r w:rsidRPr="00C04E08">
              <w:t xml:space="preserve"> un institūcijām Projekta tiesiskais regulējums nemaina tiesības un pienākumus, kā arī veicamās darbība</w:t>
            </w:r>
            <w:r w:rsidR="006E5723">
              <w:t>s</w:t>
            </w:r>
            <w:r w:rsidR="00700C4C">
              <w:t>.</w:t>
            </w:r>
          </w:p>
        </w:tc>
      </w:tr>
      <w:tr w:rsidR="006C1265" w:rsidRPr="001A2563" w14:paraId="18C7C5BC" w14:textId="77777777" w:rsidTr="009E0502">
        <w:trPr>
          <w:cantSplit/>
        </w:trPr>
        <w:tc>
          <w:tcPr>
            <w:tcW w:w="311" w:type="pct"/>
            <w:hideMark/>
          </w:tcPr>
          <w:p w14:paraId="7D8AEB0F" w14:textId="77777777" w:rsidR="006C1265" w:rsidRPr="001A2563" w:rsidRDefault="006C1265" w:rsidP="007207FD">
            <w:pPr>
              <w:contextualSpacing/>
              <w:jc w:val="center"/>
            </w:pPr>
            <w:r w:rsidRPr="001A2563">
              <w:t>3.</w:t>
            </w:r>
          </w:p>
        </w:tc>
        <w:tc>
          <w:tcPr>
            <w:tcW w:w="1479" w:type="pct"/>
            <w:hideMark/>
          </w:tcPr>
          <w:p w14:paraId="5568A2FF" w14:textId="77777777" w:rsidR="006C1265" w:rsidRPr="001A2563" w:rsidRDefault="006C1265" w:rsidP="007207FD">
            <w:pPr>
              <w:contextualSpacing/>
            </w:pPr>
            <w:r w:rsidRPr="001A2563">
              <w:t>Administratīvo izmaksu monetārs novērtējums</w:t>
            </w:r>
          </w:p>
        </w:tc>
        <w:tc>
          <w:tcPr>
            <w:tcW w:w="3210" w:type="pct"/>
            <w:hideMark/>
          </w:tcPr>
          <w:p w14:paraId="5A520CF4" w14:textId="16C4FF29" w:rsidR="0004314D" w:rsidRPr="001A2563" w:rsidRDefault="00791854" w:rsidP="00A72A60">
            <w:pPr>
              <w:contextualSpacing/>
              <w:jc w:val="both"/>
            </w:pPr>
            <w:r>
              <w:t>Projekts šo jomu neskar</w:t>
            </w:r>
          </w:p>
        </w:tc>
      </w:tr>
      <w:tr w:rsidR="006C1265" w:rsidRPr="001A2563" w14:paraId="0EE06C94" w14:textId="77777777" w:rsidTr="009E0502">
        <w:trPr>
          <w:cantSplit/>
        </w:trPr>
        <w:tc>
          <w:tcPr>
            <w:tcW w:w="311" w:type="pct"/>
            <w:hideMark/>
          </w:tcPr>
          <w:p w14:paraId="42F96FA6" w14:textId="77777777" w:rsidR="006C1265" w:rsidRPr="001A2563" w:rsidRDefault="006C1265" w:rsidP="007207FD">
            <w:pPr>
              <w:contextualSpacing/>
              <w:jc w:val="center"/>
            </w:pPr>
            <w:r w:rsidRPr="001A2563">
              <w:t>4.</w:t>
            </w:r>
          </w:p>
        </w:tc>
        <w:tc>
          <w:tcPr>
            <w:tcW w:w="1479" w:type="pct"/>
            <w:hideMark/>
          </w:tcPr>
          <w:p w14:paraId="763D0F8A" w14:textId="77777777" w:rsidR="006C1265" w:rsidRPr="001A2563" w:rsidRDefault="006C1265" w:rsidP="007207FD">
            <w:pPr>
              <w:contextualSpacing/>
            </w:pPr>
            <w:r w:rsidRPr="001A2563">
              <w:t>Atbilstības izmaksu monetārs novērtējums</w:t>
            </w:r>
          </w:p>
        </w:tc>
        <w:tc>
          <w:tcPr>
            <w:tcW w:w="3210" w:type="pct"/>
            <w:hideMark/>
          </w:tcPr>
          <w:p w14:paraId="1F8A11FA" w14:textId="360C73D8" w:rsidR="006C1265" w:rsidRPr="001A2563" w:rsidRDefault="00791854" w:rsidP="00A72A60">
            <w:pPr>
              <w:contextualSpacing/>
              <w:jc w:val="both"/>
            </w:pPr>
            <w:r>
              <w:t>Projekts šo jomu neskar</w:t>
            </w:r>
          </w:p>
        </w:tc>
      </w:tr>
      <w:tr w:rsidR="006C1265" w:rsidRPr="001A2563" w14:paraId="128A148B" w14:textId="77777777" w:rsidTr="009E0502">
        <w:trPr>
          <w:cantSplit/>
        </w:trPr>
        <w:tc>
          <w:tcPr>
            <w:tcW w:w="311" w:type="pct"/>
            <w:hideMark/>
          </w:tcPr>
          <w:p w14:paraId="52B22B8D" w14:textId="77777777" w:rsidR="006C1265" w:rsidRPr="001A2563" w:rsidRDefault="006C1265" w:rsidP="007207FD">
            <w:pPr>
              <w:contextualSpacing/>
              <w:jc w:val="center"/>
            </w:pPr>
            <w:r w:rsidRPr="001A2563">
              <w:t>5.</w:t>
            </w:r>
          </w:p>
        </w:tc>
        <w:tc>
          <w:tcPr>
            <w:tcW w:w="1479" w:type="pct"/>
            <w:hideMark/>
          </w:tcPr>
          <w:p w14:paraId="183DAC7F" w14:textId="77777777" w:rsidR="006C1265" w:rsidRPr="001A2563" w:rsidRDefault="006C1265" w:rsidP="007207FD">
            <w:pPr>
              <w:contextualSpacing/>
            </w:pPr>
            <w:r w:rsidRPr="001A2563">
              <w:t>Cita informācija</w:t>
            </w:r>
          </w:p>
        </w:tc>
        <w:tc>
          <w:tcPr>
            <w:tcW w:w="3210" w:type="pct"/>
            <w:hideMark/>
          </w:tcPr>
          <w:p w14:paraId="110F49AC" w14:textId="77777777" w:rsidR="006C1265" w:rsidRPr="001A2563" w:rsidRDefault="006C1265" w:rsidP="00A72A60">
            <w:pPr>
              <w:contextualSpacing/>
              <w:jc w:val="both"/>
            </w:pPr>
            <w:r w:rsidRPr="001A2563">
              <w:t>Nav</w:t>
            </w:r>
          </w:p>
        </w:tc>
      </w:tr>
    </w:tbl>
    <w:p w14:paraId="5642CFCB" w14:textId="77777777" w:rsidR="00BD5588" w:rsidRPr="002D5EFE" w:rsidRDefault="00BD5588" w:rsidP="002D5EFE">
      <w:pPr>
        <w:pStyle w:val="Title"/>
        <w:contextualSpacing/>
        <w:jc w:val="both"/>
        <w:rPr>
          <w:sz w:val="24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2D5EFE" w:rsidRPr="002D5EFE" w14:paraId="64ABA0CD" w14:textId="77777777" w:rsidTr="003361C6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  <w:hideMark/>
          </w:tcPr>
          <w:p w14:paraId="5C2A7A88" w14:textId="77777777" w:rsidR="00101250" w:rsidRPr="002D5EFE" w:rsidRDefault="00101250" w:rsidP="007207FD">
            <w:pPr>
              <w:contextualSpacing/>
              <w:jc w:val="center"/>
              <w:rPr>
                <w:b/>
                <w:bCs/>
              </w:rPr>
            </w:pPr>
            <w:r w:rsidRPr="002D5EFE">
              <w:rPr>
                <w:b/>
                <w:bCs/>
              </w:rPr>
              <w:t>III. Tiesību akta projekta ietekme uz valsts budžetu un pašvaldību budžetiem</w:t>
            </w:r>
          </w:p>
        </w:tc>
      </w:tr>
      <w:tr w:rsidR="00677691" w:rsidRPr="002D5EFE" w14:paraId="4601B696" w14:textId="77777777" w:rsidTr="003361C6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vAlign w:val="center"/>
          </w:tcPr>
          <w:p w14:paraId="795B7E1A" w14:textId="05924FF6" w:rsidR="00677691" w:rsidRPr="002D5EFE" w:rsidRDefault="00267773" w:rsidP="007207FD">
            <w:pPr>
              <w:contextualSpacing/>
              <w:jc w:val="center"/>
              <w:rPr>
                <w:b/>
                <w:bCs/>
              </w:rPr>
            </w:pPr>
            <w:r w:rsidRPr="001A2563">
              <w:rPr>
                <w:bCs/>
              </w:rPr>
              <w:t>Projekts šo jomu neskar</w:t>
            </w:r>
          </w:p>
        </w:tc>
      </w:tr>
    </w:tbl>
    <w:p w14:paraId="09CC6E54" w14:textId="77777777" w:rsidR="00BD5588" w:rsidRPr="002D5EFE" w:rsidRDefault="00BD5588" w:rsidP="007207FD">
      <w:pPr>
        <w:contextualSpacing/>
      </w:pPr>
    </w:p>
    <w:tbl>
      <w:tblPr>
        <w:tblW w:w="500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65"/>
      </w:tblGrid>
      <w:tr w:rsidR="00BD5588" w:rsidRPr="001A2563" w14:paraId="6818809A" w14:textId="77777777" w:rsidTr="00DD4D6D">
        <w:trPr>
          <w:cantSplit/>
        </w:trPr>
        <w:tc>
          <w:tcPr>
            <w:tcW w:w="8299" w:type="dxa"/>
            <w:vAlign w:val="center"/>
            <w:hideMark/>
          </w:tcPr>
          <w:p w14:paraId="02B1550D" w14:textId="77777777" w:rsidR="00BD5588" w:rsidRPr="001A2563" w:rsidRDefault="00BD5588" w:rsidP="007207FD">
            <w:pPr>
              <w:contextualSpacing/>
              <w:jc w:val="center"/>
              <w:rPr>
                <w:b/>
                <w:bCs/>
              </w:rPr>
            </w:pPr>
            <w:r w:rsidRPr="001A2563">
              <w:rPr>
                <w:b/>
                <w:bCs/>
              </w:rPr>
              <w:t>IV. Tiesību akta projekta ietekme uz spēkā esošo tiesību normu sistēmu</w:t>
            </w:r>
          </w:p>
        </w:tc>
      </w:tr>
      <w:tr w:rsidR="00DD4D6D" w:rsidRPr="001A2563" w14:paraId="22C00B8B" w14:textId="77777777" w:rsidTr="00DD4D6D">
        <w:trPr>
          <w:cantSplit/>
        </w:trPr>
        <w:tc>
          <w:tcPr>
            <w:tcW w:w="8299" w:type="dxa"/>
            <w:vAlign w:val="center"/>
          </w:tcPr>
          <w:p w14:paraId="0F0A8C96" w14:textId="77777777" w:rsidR="00DD4D6D" w:rsidRPr="001A2563" w:rsidRDefault="00DD4D6D" w:rsidP="007207FD">
            <w:pPr>
              <w:contextualSpacing/>
              <w:jc w:val="center"/>
              <w:rPr>
                <w:bCs/>
              </w:rPr>
            </w:pPr>
            <w:r w:rsidRPr="001A2563">
              <w:rPr>
                <w:bCs/>
              </w:rPr>
              <w:t>Projekts šo jomu neskar</w:t>
            </w:r>
          </w:p>
        </w:tc>
      </w:tr>
    </w:tbl>
    <w:p w14:paraId="3C879E0D" w14:textId="77777777" w:rsidR="00BD5588" w:rsidRPr="001A2563" w:rsidRDefault="00BD5588" w:rsidP="00405EF7">
      <w:pPr>
        <w:pStyle w:val="Title"/>
        <w:contextualSpacing/>
        <w:jc w:val="both"/>
        <w:rPr>
          <w:sz w:val="24"/>
          <w:szCs w:val="24"/>
        </w:rPr>
      </w:pP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66"/>
      </w:tblGrid>
      <w:tr w:rsidR="00BD5588" w:rsidRPr="001A2563" w14:paraId="2861C1B4" w14:textId="77777777" w:rsidTr="005663D0">
        <w:trPr>
          <w:cantSplit/>
        </w:trPr>
        <w:tc>
          <w:tcPr>
            <w:tcW w:w="5000" w:type="pct"/>
            <w:vAlign w:val="center"/>
            <w:hideMark/>
          </w:tcPr>
          <w:p w14:paraId="39C7284C" w14:textId="77777777" w:rsidR="00BD5588" w:rsidRPr="001A2563" w:rsidRDefault="00BD5588" w:rsidP="007207FD">
            <w:pPr>
              <w:contextualSpacing/>
              <w:jc w:val="center"/>
              <w:rPr>
                <w:b/>
                <w:bCs/>
              </w:rPr>
            </w:pPr>
            <w:r w:rsidRPr="001A2563">
              <w:rPr>
                <w:b/>
                <w:bCs/>
              </w:rPr>
              <w:t>V. Tiesību akta projekta atbilstība Latvijas Republikas starptautiskajām saistībām</w:t>
            </w:r>
          </w:p>
        </w:tc>
      </w:tr>
      <w:tr w:rsidR="00DD4D6D" w:rsidRPr="001A2563" w14:paraId="3F6ACCA2" w14:textId="74AAAD2E" w:rsidTr="005663D0">
        <w:trPr>
          <w:cantSplit/>
        </w:trPr>
        <w:tc>
          <w:tcPr>
            <w:tcW w:w="5000" w:type="pct"/>
            <w:vAlign w:val="center"/>
          </w:tcPr>
          <w:p w14:paraId="4950E4EA" w14:textId="4EE9A6A3" w:rsidR="00DD4D6D" w:rsidRPr="001A2563" w:rsidRDefault="00DD4D6D" w:rsidP="007207FD">
            <w:pPr>
              <w:contextualSpacing/>
              <w:jc w:val="center"/>
              <w:rPr>
                <w:bCs/>
              </w:rPr>
            </w:pPr>
            <w:r w:rsidRPr="001A2563">
              <w:rPr>
                <w:bCs/>
              </w:rPr>
              <w:t>Projekts šo jomu neskar</w:t>
            </w:r>
          </w:p>
        </w:tc>
      </w:tr>
    </w:tbl>
    <w:p w14:paraId="790C230F" w14:textId="77777777" w:rsidR="005663D0" w:rsidRPr="001A2563" w:rsidRDefault="005663D0" w:rsidP="00405EF7">
      <w:pPr>
        <w:pStyle w:val="Title"/>
        <w:contextualSpacing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9"/>
        <w:gridCol w:w="1702"/>
        <w:gridCol w:w="7080"/>
      </w:tblGrid>
      <w:tr w:rsidR="00BD5588" w:rsidRPr="001A2563" w14:paraId="50112339" w14:textId="77777777" w:rsidTr="00D14D05">
        <w:trPr>
          <w:cantSplit/>
        </w:trPr>
        <w:tc>
          <w:tcPr>
            <w:tcW w:w="5000" w:type="pct"/>
            <w:gridSpan w:val="3"/>
            <w:vAlign w:val="center"/>
            <w:hideMark/>
          </w:tcPr>
          <w:p w14:paraId="5907A9C7" w14:textId="6BE0CBE7" w:rsidR="00440BB1" w:rsidRPr="00F15FA5" w:rsidRDefault="00BD5588" w:rsidP="00F15FA5">
            <w:pPr>
              <w:contextualSpacing/>
              <w:jc w:val="center"/>
            </w:pPr>
            <w:r w:rsidRPr="001A2563">
              <w:rPr>
                <w:b/>
                <w:bCs/>
              </w:rPr>
              <w:t>VI. Sabiedrības līdzdalība un komunikācijas aktivitātes</w:t>
            </w:r>
          </w:p>
          <w:p w14:paraId="530DB622" w14:textId="1C2F2E15" w:rsidR="00440BB1" w:rsidRPr="00F15FA5" w:rsidRDefault="00440BB1" w:rsidP="00F15FA5"/>
        </w:tc>
      </w:tr>
      <w:tr w:rsidR="00BD5588" w:rsidRPr="001A2563" w14:paraId="25FBED6E" w14:textId="77777777" w:rsidTr="003164DC">
        <w:trPr>
          <w:cantSplit/>
        </w:trPr>
        <w:tc>
          <w:tcPr>
            <w:tcW w:w="154" w:type="pct"/>
            <w:hideMark/>
          </w:tcPr>
          <w:p w14:paraId="3C8118A0" w14:textId="77777777" w:rsidR="00BD5588" w:rsidRPr="001A2563" w:rsidRDefault="00BD5588" w:rsidP="007207FD">
            <w:pPr>
              <w:contextualSpacing/>
              <w:jc w:val="center"/>
            </w:pPr>
            <w:r w:rsidRPr="001A2563">
              <w:lastRenderedPageBreak/>
              <w:t>1.</w:t>
            </w:r>
          </w:p>
        </w:tc>
        <w:tc>
          <w:tcPr>
            <w:tcW w:w="939" w:type="pct"/>
            <w:hideMark/>
          </w:tcPr>
          <w:p w14:paraId="3F9A8093" w14:textId="77777777" w:rsidR="00BD5588" w:rsidRPr="001A2563" w:rsidRDefault="00BD5588" w:rsidP="007207FD">
            <w:pPr>
              <w:contextualSpacing/>
            </w:pPr>
            <w:r w:rsidRPr="001A2563">
              <w:t>Plānotās sabiedrības līdzdalības un komunikācijas aktivitātes saistībā ar projektu</w:t>
            </w:r>
          </w:p>
        </w:tc>
        <w:tc>
          <w:tcPr>
            <w:tcW w:w="3907" w:type="pct"/>
            <w:hideMark/>
          </w:tcPr>
          <w:p w14:paraId="533EB4F5" w14:textId="0804F8DB" w:rsidR="00E83B8A" w:rsidRDefault="00E83B8A" w:rsidP="00E83B8A">
            <w:pPr>
              <w:contextualSpacing/>
              <w:jc w:val="both"/>
            </w:pPr>
            <w:r w:rsidRPr="00E83B8A">
              <w:t xml:space="preserve">Sabiedrības līdzdalība </w:t>
            </w:r>
            <w:r>
              <w:t>Projekta</w:t>
            </w:r>
            <w:r w:rsidRPr="00E83B8A">
              <w:t xml:space="preserve"> izstrādē</w:t>
            </w:r>
            <w:r>
              <w:t xml:space="preserve"> nodrošināta saskaņā ar Ministru kabineta </w:t>
            </w:r>
            <w:r w:rsidRPr="00E83B8A">
              <w:t>2009.</w:t>
            </w:r>
            <w:r w:rsidR="004151D8">
              <w:t xml:space="preserve"> </w:t>
            </w:r>
            <w:r w:rsidRPr="00E83B8A">
              <w:t>gada 25.</w:t>
            </w:r>
            <w:r w:rsidR="004151D8">
              <w:t xml:space="preserve"> </w:t>
            </w:r>
            <w:r w:rsidRPr="00E83B8A">
              <w:t>august</w:t>
            </w:r>
            <w:r>
              <w:t>a</w:t>
            </w:r>
            <w:r w:rsidRPr="00E83B8A">
              <w:t xml:space="preserve"> </w:t>
            </w:r>
            <w:r>
              <w:t>noteikumu Nr.</w:t>
            </w:r>
            <w:r w:rsidR="004151D8">
              <w:t xml:space="preserve"> </w:t>
            </w:r>
            <w:r>
              <w:t>970 “Sabiedrības līdzdalības kārtība attīstības plānošanas procesā”</w:t>
            </w:r>
            <w:r w:rsidR="004151D8">
              <w:t xml:space="preserve"> </w:t>
            </w:r>
            <w:r>
              <w:t>13. un 14. punktu:</w:t>
            </w:r>
          </w:p>
          <w:p w14:paraId="349A72DB" w14:textId="6A098663" w:rsidR="00D14D05" w:rsidRDefault="00E83B8A" w:rsidP="00E83B8A">
            <w:pPr>
              <w:contextualSpacing/>
              <w:jc w:val="both"/>
            </w:pPr>
            <w:r>
              <w:t xml:space="preserve">1) </w:t>
            </w:r>
            <w:r w:rsidR="00805E16">
              <w:t>P</w:t>
            </w:r>
            <w:r w:rsidR="00CE65BF">
              <w:t xml:space="preserve">aziņojums par līdzdalības iespējām Projekta izstrādes procesā </w:t>
            </w:r>
            <w:r w:rsidR="004151D8">
              <w:t>29.07.2019.</w:t>
            </w:r>
            <w:r w:rsidR="002A64A4">
              <w:t xml:space="preserve"> tik</w:t>
            </w:r>
            <w:r w:rsidR="007D2E3A">
              <w:t xml:space="preserve">a </w:t>
            </w:r>
            <w:r w:rsidR="002A64A4">
              <w:t xml:space="preserve">publicēts Ekonomikas ministrijas tīmekļa vietnē </w:t>
            </w:r>
            <w:hyperlink r:id="rId8" w:history="1">
              <w:r w:rsidR="007D2E3A" w:rsidRPr="007D2E3A">
                <w:rPr>
                  <w:rStyle w:val="Hyperlink"/>
                </w:rPr>
                <w:t>https://www.em.gov.lv/lv/par_ministriju/sabiedribas_lidzdaliba/diskusiju_dokumenti/</w:t>
              </w:r>
            </w:hyperlink>
            <w:r>
              <w:t>.</w:t>
            </w:r>
          </w:p>
          <w:p w14:paraId="25436810" w14:textId="311A0003" w:rsidR="00BD5588" w:rsidRPr="001A2563" w:rsidRDefault="00E83B8A" w:rsidP="00E83B8A">
            <w:pPr>
              <w:contextualSpacing/>
              <w:jc w:val="both"/>
            </w:pPr>
            <w:r>
              <w:t xml:space="preserve">2) </w:t>
            </w:r>
            <w:r w:rsidRPr="00E83B8A">
              <w:t xml:space="preserve">Paziņojums par līdzdalības iespējām Projekta izstrādes procesā </w:t>
            </w:r>
            <w:r w:rsidR="00D14D05">
              <w:t xml:space="preserve">31.07.2019. </w:t>
            </w:r>
            <w:r>
              <w:t xml:space="preserve">publicēts </w:t>
            </w:r>
            <w:r w:rsidR="00CE65BF">
              <w:t xml:space="preserve">Ministru kabineta tīmekļa vietnē </w:t>
            </w:r>
            <w:hyperlink r:id="rId9" w:history="1">
              <w:r w:rsidR="00D14D05" w:rsidRPr="00381E9A">
                <w:rPr>
                  <w:rStyle w:val="Hyperlink"/>
                </w:rPr>
                <w:t>https://mk.gov.lv/content/ministru-kabineta-diskusiju-dokumenti</w:t>
              </w:r>
            </w:hyperlink>
            <w:r w:rsidR="004151D8">
              <w:rPr>
                <w:rStyle w:val="Hyperlink"/>
              </w:rPr>
              <w:t>.</w:t>
            </w:r>
          </w:p>
        </w:tc>
      </w:tr>
      <w:tr w:rsidR="00BD5588" w:rsidRPr="001A2563" w14:paraId="6AA44C09" w14:textId="77777777" w:rsidTr="003164DC">
        <w:trPr>
          <w:cantSplit/>
        </w:trPr>
        <w:tc>
          <w:tcPr>
            <w:tcW w:w="154" w:type="pct"/>
            <w:hideMark/>
          </w:tcPr>
          <w:p w14:paraId="4CD0509A" w14:textId="21E9AE8E" w:rsidR="00BD5588" w:rsidRPr="001A2563" w:rsidRDefault="00BD5588" w:rsidP="007207FD">
            <w:pPr>
              <w:contextualSpacing/>
              <w:jc w:val="center"/>
            </w:pPr>
          </w:p>
        </w:tc>
        <w:tc>
          <w:tcPr>
            <w:tcW w:w="939" w:type="pct"/>
            <w:hideMark/>
          </w:tcPr>
          <w:p w14:paraId="6EB11443" w14:textId="77777777" w:rsidR="00BD5588" w:rsidRPr="001A2563" w:rsidRDefault="00BD5588" w:rsidP="007207FD">
            <w:pPr>
              <w:contextualSpacing/>
            </w:pPr>
            <w:r w:rsidRPr="001A2563">
              <w:t>Sabiedrības līdzdalība projekta izstrādē</w:t>
            </w:r>
          </w:p>
        </w:tc>
        <w:tc>
          <w:tcPr>
            <w:tcW w:w="3907" w:type="pct"/>
            <w:hideMark/>
          </w:tcPr>
          <w:p w14:paraId="1A6332E5" w14:textId="668248D0" w:rsidR="002A64A4" w:rsidRPr="001A2563" w:rsidRDefault="002A64A4" w:rsidP="00805E16">
            <w:pPr>
              <w:contextualSpacing/>
              <w:jc w:val="both"/>
            </w:pPr>
            <w:r w:rsidRPr="00813309">
              <w:t>Sabiedrība</w:t>
            </w:r>
            <w:r>
              <w:t xml:space="preserve">i </w:t>
            </w:r>
            <w:r w:rsidR="007D2E3A">
              <w:t xml:space="preserve">tika nodrošināta </w:t>
            </w:r>
            <w:r>
              <w:t xml:space="preserve">iespēja iepazīties ar </w:t>
            </w:r>
            <w:r w:rsidR="00C04E08">
              <w:t>P</w:t>
            </w:r>
            <w:r w:rsidRPr="00813309">
              <w:t>rojektu E</w:t>
            </w:r>
            <w:r w:rsidR="00211630">
              <w:t>konomikas ministrijas</w:t>
            </w:r>
            <w:r w:rsidRPr="00813309">
              <w:t xml:space="preserve"> </w:t>
            </w:r>
            <w:r>
              <w:t>tīmekļa vietnē</w:t>
            </w:r>
            <w:r w:rsidRPr="00813309">
              <w:t xml:space="preserve"> </w:t>
            </w:r>
            <w:r w:rsidR="00CE65BF">
              <w:t xml:space="preserve">un Ministru kabineta tīmekļa vietnē </w:t>
            </w:r>
            <w:r w:rsidRPr="00813309">
              <w:t>un izteikt par to viedokli</w:t>
            </w:r>
            <w:r w:rsidR="007D2E3A">
              <w:t xml:space="preserve"> līdz 12.08.2019</w:t>
            </w:r>
            <w:r w:rsidRPr="00813309">
              <w:t>.</w:t>
            </w:r>
          </w:p>
        </w:tc>
      </w:tr>
      <w:tr w:rsidR="00BD5588" w:rsidRPr="001A2563" w14:paraId="184EFDF4" w14:textId="77777777" w:rsidTr="003164DC">
        <w:trPr>
          <w:cantSplit/>
        </w:trPr>
        <w:tc>
          <w:tcPr>
            <w:tcW w:w="154" w:type="pct"/>
            <w:hideMark/>
          </w:tcPr>
          <w:p w14:paraId="3C05F519" w14:textId="77777777" w:rsidR="00BD5588" w:rsidRPr="001A2563" w:rsidRDefault="00BD5588" w:rsidP="007207FD">
            <w:pPr>
              <w:contextualSpacing/>
              <w:jc w:val="center"/>
            </w:pPr>
            <w:r w:rsidRPr="001A2563">
              <w:t>3.</w:t>
            </w:r>
          </w:p>
        </w:tc>
        <w:tc>
          <w:tcPr>
            <w:tcW w:w="939" w:type="pct"/>
            <w:hideMark/>
          </w:tcPr>
          <w:p w14:paraId="4B989546" w14:textId="77777777" w:rsidR="00BD5588" w:rsidRPr="001A2563" w:rsidRDefault="00BD5588" w:rsidP="007207FD">
            <w:pPr>
              <w:contextualSpacing/>
            </w:pPr>
            <w:r w:rsidRPr="001A2563">
              <w:t>Sabiedrības līdzdalības rezultāti</w:t>
            </w:r>
          </w:p>
        </w:tc>
        <w:tc>
          <w:tcPr>
            <w:tcW w:w="3907" w:type="pct"/>
            <w:hideMark/>
          </w:tcPr>
          <w:p w14:paraId="37A38C6D" w14:textId="69513601" w:rsidR="00BD5588" w:rsidRPr="001A2563" w:rsidRDefault="007D2E3A" w:rsidP="00805E16">
            <w:pPr>
              <w:contextualSpacing/>
              <w:jc w:val="both"/>
            </w:pPr>
            <w:r>
              <w:t>Priekšlikumi un viedokļi netika saņemti</w:t>
            </w:r>
            <w:r w:rsidR="005663D0">
              <w:t>.</w:t>
            </w:r>
          </w:p>
        </w:tc>
      </w:tr>
      <w:tr w:rsidR="00BD5588" w:rsidRPr="001A2563" w14:paraId="435F46B7" w14:textId="77777777" w:rsidTr="003164DC">
        <w:trPr>
          <w:cantSplit/>
        </w:trPr>
        <w:tc>
          <w:tcPr>
            <w:tcW w:w="154" w:type="pct"/>
            <w:hideMark/>
          </w:tcPr>
          <w:p w14:paraId="297130A4" w14:textId="77777777" w:rsidR="00BD5588" w:rsidRPr="001A2563" w:rsidRDefault="00BD5588" w:rsidP="007207FD">
            <w:pPr>
              <w:contextualSpacing/>
              <w:jc w:val="center"/>
            </w:pPr>
            <w:r w:rsidRPr="001A2563">
              <w:t>4.</w:t>
            </w:r>
          </w:p>
        </w:tc>
        <w:tc>
          <w:tcPr>
            <w:tcW w:w="939" w:type="pct"/>
            <w:hideMark/>
          </w:tcPr>
          <w:p w14:paraId="7663C37D" w14:textId="77777777" w:rsidR="00BD5588" w:rsidRPr="001A2563" w:rsidRDefault="00BD5588" w:rsidP="007207FD">
            <w:pPr>
              <w:contextualSpacing/>
            </w:pPr>
            <w:r w:rsidRPr="001A2563">
              <w:t>Cita informācija</w:t>
            </w:r>
          </w:p>
        </w:tc>
        <w:tc>
          <w:tcPr>
            <w:tcW w:w="3907" w:type="pct"/>
            <w:hideMark/>
          </w:tcPr>
          <w:p w14:paraId="6C4F904A" w14:textId="77777777" w:rsidR="00BD5588" w:rsidRPr="001A2563" w:rsidRDefault="00CB7ABA" w:rsidP="00791854">
            <w:pPr>
              <w:contextualSpacing/>
              <w:jc w:val="both"/>
            </w:pPr>
            <w:r w:rsidRPr="001A2563">
              <w:t>Nav</w:t>
            </w:r>
          </w:p>
        </w:tc>
      </w:tr>
    </w:tbl>
    <w:p w14:paraId="3928C09C" w14:textId="77777777" w:rsidR="00BD5588" w:rsidRPr="001A2563" w:rsidRDefault="00BD5588" w:rsidP="00E55EB6">
      <w:pPr>
        <w:pStyle w:val="Title"/>
        <w:contextualSpacing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2680"/>
        <w:gridCol w:w="5817"/>
      </w:tblGrid>
      <w:tr w:rsidR="00BD5588" w:rsidRPr="001A2563" w14:paraId="0C348154" w14:textId="77777777" w:rsidTr="009E0502">
        <w:trPr>
          <w:cantSplit/>
        </w:trPr>
        <w:tc>
          <w:tcPr>
            <w:tcW w:w="5000" w:type="pct"/>
            <w:gridSpan w:val="3"/>
            <w:vAlign w:val="center"/>
            <w:hideMark/>
          </w:tcPr>
          <w:p w14:paraId="6B71EA40" w14:textId="77777777" w:rsidR="00BD5588" w:rsidRPr="001A2563" w:rsidRDefault="00BD5588" w:rsidP="007207FD">
            <w:pPr>
              <w:contextualSpacing/>
              <w:jc w:val="center"/>
              <w:rPr>
                <w:b/>
                <w:bCs/>
              </w:rPr>
            </w:pPr>
            <w:r w:rsidRPr="001A2563">
              <w:rPr>
                <w:b/>
                <w:bCs/>
              </w:rPr>
              <w:t>VII. Tiesību akta projekta izpildes nodrošināšana un tās ietekme uz institūcijām</w:t>
            </w:r>
          </w:p>
        </w:tc>
      </w:tr>
      <w:tr w:rsidR="00BD5588" w:rsidRPr="001A2563" w14:paraId="3680ADCA" w14:textId="77777777" w:rsidTr="009E0502">
        <w:trPr>
          <w:cantSplit/>
        </w:trPr>
        <w:tc>
          <w:tcPr>
            <w:tcW w:w="311" w:type="pct"/>
            <w:hideMark/>
          </w:tcPr>
          <w:p w14:paraId="55523288" w14:textId="77777777" w:rsidR="00BD5588" w:rsidRPr="001A2563" w:rsidRDefault="00BD5588" w:rsidP="007207FD">
            <w:pPr>
              <w:contextualSpacing/>
              <w:jc w:val="center"/>
            </w:pPr>
            <w:r w:rsidRPr="001A2563">
              <w:t>1.</w:t>
            </w:r>
          </w:p>
        </w:tc>
        <w:tc>
          <w:tcPr>
            <w:tcW w:w="1479" w:type="pct"/>
            <w:hideMark/>
          </w:tcPr>
          <w:p w14:paraId="4D695C07" w14:textId="77777777" w:rsidR="00BD5588" w:rsidRPr="001A2563" w:rsidRDefault="00BD5588" w:rsidP="007207FD">
            <w:pPr>
              <w:contextualSpacing/>
            </w:pPr>
            <w:r w:rsidRPr="001A2563">
              <w:t>Projekta izpildē iesaistītās institūcijas</w:t>
            </w:r>
          </w:p>
        </w:tc>
        <w:tc>
          <w:tcPr>
            <w:tcW w:w="3210" w:type="pct"/>
            <w:hideMark/>
          </w:tcPr>
          <w:p w14:paraId="5DFC6377" w14:textId="20769C0B" w:rsidR="00BD5588" w:rsidRPr="001A2563" w:rsidRDefault="00CB7ABA" w:rsidP="00791854">
            <w:pPr>
              <w:contextualSpacing/>
              <w:jc w:val="both"/>
            </w:pPr>
            <w:r w:rsidRPr="001A2563">
              <w:t>Ekono</w:t>
            </w:r>
            <w:bookmarkStart w:id="0" w:name="_GoBack"/>
            <w:bookmarkEnd w:id="0"/>
            <w:r w:rsidRPr="001A2563">
              <w:t>mikas ministrija</w:t>
            </w:r>
          </w:p>
        </w:tc>
      </w:tr>
      <w:tr w:rsidR="00BD5588" w:rsidRPr="001A2563" w14:paraId="121D590F" w14:textId="77777777" w:rsidTr="009E0502">
        <w:trPr>
          <w:cantSplit/>
        </w:trPr>
        <w:tc>
          <w:tcPr>
            <w:tcW w:w="311" w:type="pct"/>
            <w:hideMark/>
          </w:tcPr>
          <w:p w14:paraId="0197E4E5" w14:textId="77777777" w:rsidR="00BD5588" w:rsidRPr="001A2563" w:rsidRDefault="00BD5588" w:rsidP="007207FD">
            <w:pPr>
              <w:contextualSpacing/>
              <w:jc w:val="center"/>
            </w:pPr>
            <w:r w:rsidRPr="001A2563">
              <w:t>2.</w:t>
            </w:r>
          </w:p>
        </w:tc>
        <w:tc>
          <w:tcPr>
            <w:tcW w:w="1479" w:type="pct"/>
            <w:hideMark/>
          </w:tcPr>
          <w:p w14:paraId="3B34D5BF" w14:textId="77777777" w:rsidR="00BD5588" w:rsidRPr="001A2563" w:rsidRDefault="00BD5588" w:rsidP="007207FD">
            <w:pPr>
              <w:contextualSpacing/>
            </w:pPr>
            <w:r w:rsidRPr="001A2563">
              <w:t>Projekta izpildes ietekme uz pārvaldes funkcijām un institucionālo struktūru.</w:t>
            </w:r>
            <w:r w:rsidRPr="001A2563"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3210" w:type="pct"/>
            <w:hideMark/>
          </w:tcPr>
          <w:p w14:paraId="6183A352" w14:textId="6FA6375A" w:rsidR="000D6C67" w:rsidRPr="001A2563" w:rsidRDefault="00791854" w:rsidP="00791854">
            <w:pPr>
              <w:contextualSpacing/>
              <w:jc w:val="both"/>
            </w:pPr>
            <w:r>
              <w:t>Projekts šo jomu neskar</w:t>
            </w:r>
          </w:p>
        </w:tc>
      </w:tr>
      <w:tr w:rsidR="00BD5588" w:rsidRPr="001A2563" w14:paraId="6B306877" w14:textId="77777777" w:rsidTr="009E0502">
        <w:trPr>
          <w:cantSplit/>
        </w:trPr>
        <w:tc>
          <w:tcPr>
            <w:tcW w:w="311" w:type="pct"/>
            <w:hideMark/>
          </w:tcPr>
          <w:p w14:paraId="0AEE46E1" w14:textId="77777777" w:rsidR="00BD5588" w:rsidRPr="001A2563" w:rsidRDefault="00BD5588" w:rsidP="007207FD">
            <w:pPr>
              <w:contextualSpacing/>
              <w:jc w:val="center"/>
            </w:pPr>
            <w:r w:rsidRPr="001A2563">
              <w:t>3.</w:t>
            </w:r>
          </w:p>
        </w:tc>
        <w:tc>
          <w:tcPr>
            <w:tcW w:w="1479" w:type="pct"/>
            <w:hideMark/>
          </w:tcPr>
          <w:p w14:paraId="7221E294" w14:textId="77777777" w:rsidR="00BD5588" w:rsidRPr="001A2563" w:rsidRDefault="00BD5588" w:rsidP="007207FD">
            <w:pPr>
              <w:contextualSpacing/>
            </w:pPr>
            <w:r w:rsidRPr="001A2563">
              <w:t>Cita informācija</w:t>
            </w:r>
          </w:p>
        </w:tc>
        <w:tc>
          <w:tcPr>
            <w:tcW w:w="3210" w:type="pct"/>
            <w:hideMark/>
          </w:tcPr>
          <w:p w14:paraId="18FE347D" w14:textId="77777777" w:rsidR="00BD5588" w:rsidRPr="001A2563" w:rsidRDefault="00BD5588" w:rsidP="00791854">
            <w:pPr>
              <w:contextualSpacing/>
              <w:jc w:val="both"/>
            </w:pPr>
            <w:r w:rsidRPr="001A2563">
              <w:t>Nav</w:t>
            </w:r>
          </w:p>
        </w:tc>
      </w:tr>
    </w:tbl>
    <w:p w14:paraId="3B247AE4" w14:textId="3DD32B71" w:rsidR="00E44472" w:rsidRDefault="00E44472" w:rsidP="007207FD">
      <w:pPr>
        <w:contextualSpacing/>
      </w:pPr>
    </w:p>
    <w:p w14:paraId="69365CE0" w14:textId="231616CF" w:rsidR="006801FA" w:rsidRDefault="006801FA" w:rsidP="007207FD">
      <w:pPr>
        <w:contextualSpacing/>
      </w:pPr>
    </w:p>
    <w:p w14:paraId="2175C36A" w14:textId="77777777" w:rsidR="006801FA" w:rsidRDefault="006801FA" w:rsidP="007207FD">
      <w:pPr>
        <w:contextualSpacing/>
      </w:pPr>
    </w:p>
    <w:p w14:paraId="018B58C5" w14:textId="1319DF12" w:rsidR="001A2563" w:rsidRDefault="001A2563" w:rsidP="00821565">
      <w:pPr>
        <w:tabs>
          <w:tab w:val="left" w:pos="8080"/>
        </w:tabs>
        <w:contextualSpacing/>
      </w:pPr>
    </w:p>
    <w:p w14:paraId="59D92C2C" w14:textId="77777777" w:rsidR="001A2563" w:rsidRPr="005154DA" w:rsidRDefault="001A2563" w:rsidP="00821565">
      <w:pPr>
        <w:tabs>
          <w:tab w:val="left" w:pos="8080"/>
        </w:tabs>
        <w:contextualSpacing/>
        <w:rPr>
          <w:bCs/>
          <w:szCs w:val="28"/>
        </w:rPr>
      </w:pPr>
      <w:r w:rsidRPr="005154DA">
        <w:rPr>
          <w:bCs/>
          <w:szCs w:val="28"/>
        </w:rPr>
        <w:t>Iesniedzējs:</w:t>
      </w:r>
    </w:p>
    <w:p w14:paraId="08E55616" w14:textId="1ACEFAFF" w:rsidR="001A2563" w:rsidRPr="005154DA" w:rsidRDefault="00C238B2" w:rsidP="00821565">
      <w:pPr>
        <w:tabs>
          <w:tab w:val="left" w:pos="8080"/>
        </w:tabs>
        <w:contextualSpacing/>
        <w:rPr>
          <w:bCs/>
          <w:szCs w:val="28"/>
        </w:rPr>
      </w:pPr>
      <w:r>
        <w:rPr>
          <w:bCs/>
          <w:szCs w:val="28"/>
        </w:rPr>
        <w:t>E</w:t>
      </w:r>
      <w:r w:rsidR="001A2563" w:rsidRPr="005154DA">
        <w:rPr>
          <w:bCs/>
          <w:szCs w:val="28"/>
        </w:rPr>
        <w:t>k</w:t>
      </w:r>
      <w:r w:rsidR="001A2563">
        <w:rPr>
          <w:bCs/>
          <w:szCs w:val="28"/>
        </w:rPr>
        <w:t xml:space="preserve">onomikas ministrs </w:t>
      </w:r>
      <w:r w:rsidR="001A2563">
        <w:rPr>
          <w:bCs/>
          <w:szCs w:val="28"/>
        </w:rPr>
        <w:tab/>
      </w:r>
      <w:proofErr w:type="spellStart"/>
      <w:r>
        <w:rPr>
          <w:bCs/>
          <w:szCs w:val="28"/>
        </w:rPr>
        <w:t>R</w:t>
      </w:r>
      <w:r w:rsidR="00821565">
        <w:rPr>
          <w:bCs/>
          <w:szCs w:val="28"/>
        </w:rPr>
        <w:t>.</w:t>
      </w:r>
      <w:r>
        <w:rPr>
          <w:bCs/>
          <w:szCs w:val="28"/>
        </w:rPr>
        <w:t>Nemiro</w:t>
      </w:r>
      <w:proofErr w:type="spellEnd"/>
    </w:p>
    <w:p w14:paraId="612437EC" w14:textId="4D0F1F19" w:rsidR="001A2563" w:rsidRDefault="001A2563" w:rsidP="0082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Cs w:val="28"/>
        </w:rPr>
      </w:pPr>
    </w:p>
    <w:p w14:paraId="5828D939" w14:textId="77777777" w:rsidR="006801FA" w:rsidRDefault="006801FA" w:rsidP="0082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Cs w:val="28"/>
        </w:rPr>
      </w:pPr>
    </w:p>
    <w:p w14:paraId="30D7CC2F" w14:textId="77777777" w:rsidR="00A57A50" w:rsidRDefault="001A2563" w:rsidP="008215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21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Cs/>
          <w:szCs w:val="28"/>
        </w:rPr>
      </w:pPr>
      <w:r>
        <w:rPr>
          <w:bCs/>
          <w:szCs w:val="28"/>
        </w:rPr>
        <w:t>Vīza:</w:t>
      </w:r>
    </w:p>
    <w:p w14:paraId="61C0FFF0" w14:textId="192E4FCE" w:rsidR="001A2563" w:rsidRDefault="001A2563" w:rsidP="00821565">
      <w:pPr>
        <w:tabs>
          <w:tab w:val="left" w:pos="8080"/>
        </w:tabs>
        <w:contextualSpacing/>
        <w:rPr>
          <w:szCs w:val="28"/>
        </w:rPr>
      </w:pPr>
      <w:r w:rsidRPr="005154DA">
        <w:rPr>
          <w:szCs w:val="28"/>
        </w:rPr>
        <w:t>Valsts sekretārs</w:t>
      </w:r>
      <w:r w:rsidR="00D956E6">
        <w:rPr>
          <w:szCs w:val="28"/>
        </w:rPr>
        <w:tab/>
      </w:r>
      <w:proofErr w:type="spellStart"/>
      <w:r w:rsidRPr="005154DA">
        <w:rPr>
          <w:szCs w:val="28"/>
        </w:rPr>
        <w:t>Ē</w:t>
      </w:r>
      <w:r w:rsidR="00821565">
        <w:rPr>
          <w:szCs w:val="28"/>
        </w:rPr>
        <w:t>.</w:t>
      </w:r>
      <w:r w:rsidRPr="005154DA">
        <w:rPr>
          <w:szCs w:val="28"/>
        </w:rPr>
        <w:t>Eglītis</w:t>
      </w:r>
      <w:bookmarkStart w:id="1" w:name="OLE_LINK1"/>
      <w:bookmarkStart w:id="2" w:name="OLE_LINK2"/>
      <w:bookmarkStart w:id="3" w:name="OLE_LINK3"/>
      <w:bookmarkStart w:id="4" w:name="OLE_LINK4"/>
      <w:bookmarkEnd w:id="1"/>
      <w:bookmarkEnd w:id="2"/>
      <w:bookmarkEnd w:id="3"/>
      <w:bookmarkEnd w:id="4"/>
      <w:proofErr w:type="spellEnd"/>
    </w:p>
    <w:p w14:paraId="3B0DA606" w14:textId="7D313CBB" w:rsidR="0009498B" w:rsidRDefault="0009498B" w:rsidP="00D956E6">
      <w:pPr>
        <w:tabs>
          <w:tab w:val="left" w:pos="6804"/>
        </w:tabs>
        <w:contextualSpacing/>
        <w:rPr>
          <w:sz w:val="20"/>
          <w:szCs w:val="20"/>
        </w:rPr>
      </w:pPr>
    </w:p>
    <w:p w14:paraId="64F3BA88" w14:textId="469E2D6A" w:rsidR="006801FA" w:rsidRDefault="006801FA" w:rsidP="00D956E6">
      <w:pPr>
        <w:tabs>
          <w:tab w:val="left" w:pos="6804"/>
        </w:tabs>
        <w:contextualSpacing/>
        <w:rPr>
          <w:sz w:val="20"/>
          <w:szCs w:val="20"/>
        </w:rPr>
      </w:pPr>
    </w:p>
    <w:p w14:paraId="3E125216" w14:textId="593BD434" w:rsidR="006801FA" w:rsidRDefault="006801FA" w:rsidP="00D956E6">
      <w:pPr>
        <w:tabs>
          <w:tab w:val="left" w:pos="6804"/>
        </w:tabs>
        <w:contextualSpacing/>
        <w:rPr>
          <w:sz w:val="20"/>
          <w:szCs w:val="20"/>
        </w:rPr>
      </w:pPr>
    </w:p>
    <w:p w14:paraId="6748B4B7" w14:textId="77777777" w:rsidR="006801FA" w:rsidRDefault="006801FA" w:rsidP="00D956E6">
      <w:pPr>
        <w:tabs>
          <w:tab w:val="left" w:pos="6804"/>
        </w:tabs>
        <w:contextualSpacing/>
        <w:rPr>
          <w:sz w:val="20"/>
          <w:szCs w:val="20"/>
        </w:rPr>
      </w:pPr>
    </w:p>
    <w:p w14:paraId="425943F1" w14:textId="22D139FD" w:rsidR="00CF3579" w:rsidRPr="00CF3579" w:rsidRDefault="009F473A" w:rsidP="00CF3579">
      <w:pPr>
        <w:tabs>
          <w:tab w:val="left" w:pos="6804"/>
        </w:tabs>
        <w:contextualSpacing/>
        <w:rPr>
          <w:sz w:val="20"/>
          <w:szCs w:val="20"/>
        </w:rPr>
      </w:pPr>
      <w:r>
        <w:rPr>
          <w:sz w:val="20"/>
          <w:szCs w:val="20"/>
        </w:rPr>
        <w:t>Mičule</w:t>
      </w:r>
      <w:r w:rsidR="00CF3579" w:rsidRPr="00CF3579">
        <w:rPr>
          <w:sz w:val="20"/>
          <w:szCs w:val="20"/>
        </w:rPr>
        <w:t xml:space="preserve">, </w:t>
      </w:r>
      <w:r w:rsidR="00D32D60" w:rsidRPr="00D32D60">
        <w:rPr>
          <w:sz w:val="20"/>
          <w:szCs w:val="20"/>
        </w:rPr>
        <w:t>67013</w:t>
      </w:r>
      <w:r>
        <w:rPr>
          <w:sz w:val="20"/>
          <w:szCs w:val="20"/>
        </w:rPr>
        <w:t>030</w:t>
      </w:r>
    </w:p>
    <w:p w14:paraId="75903FDA" w14:textId="07EC884B" w:rsidR="00CF3579" w:rsidRPr="005154DA" w:rsidRDefault="00622D3F" w:rsidP="00CF3579">
      <w:pPr>
        <w:tabs>
          <w:tab w:val="left" w:pos="6804"/>
        </w:tabs>
        <w:contextualSpacing/>
        <w:rPr>
          <w:sz w:val="20"/>
          <w:szCs w:val="20"/>
        </w:rPr>
      </w:pPr>
      <w:hyperlink r:id="rId10" w:history="1">
        <w:r w:rsidR="009F473A" w:rsidRPr="00DE1645">
          <w:rPr>
            <w:rStyle w:val="Hyperlink"/>
            <w:sz w:val="20"/>
            <w:szCs w:val="20"/>
          </w:rPr>
          <w:t>Liga.Micule@em.gov.lv</w:t>
        </w:r>
      </w:hyperlink>
    </w:p>
    <w:sectPr w:rsidR="00CF3579" w:rsidRPr="005154DA" w:rsidSect="00821565">
      <w:headerReference w:type="default" r:id="rId11"/>
      <w:footerReference w:type="default" r:id="rId12"/>
      <w:footerReference w:type="first" r:id="rId13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E14F5" w14:textId="77777777" w:rsidR="00622D3F" w:rsidRDefault="00622D3F" w:rsidP="004A2CC7">
      <w:r>
        <w:separator/>
      </w:r>
    </w:p>
  </w:endnote>
  <w:endnote w:type="continuationSeparator" w:id="0">
    <w:p w14:paraId="56F6959E" w14:textId="77777777" w:rsidR="00622D3F" w:rsidRDefault="00622D3F" w:rsidP="004A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4C6C" w14:textId="1AC6F95B" w:rsidR="004A2CC7" w:rsidRPr="00175709" w:rsidRDefault="00821565" w:rsidP="00821565">
    <w:pPr>
      <w:pStyle w:val="Footer"/>
    </w:pPr>
    <w:r w:rsidRPr="00175709">
      <w:fldChar w:fldCharType="begin"/>
    </w:r>
    <w:r w:rsidRPr="00175709">
      <w:instrText xml:space="preserve"> FILENAME   \* MERGEFORMAT </w:instrText>
    </w:r>
    <w:r w:rsidRPr="00175709">
      <w:fldChar w:fldCharType="separate"/>
    </w:r>
    <w:r w:rsidR="008B2890" w:rsidRPr="00175709">
      <w:rPr>
        <w:noProof/>
      </w:rPr>
      <w:t>EMAnot_051119_groz669.docx</w:t>
    </w:r>
    <w:r w:rsidRPr="0017570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1BBE" w14:textId="0F2DF703" w:rsidR="00821565" w:rsidRPr="00175709" w:rsidRDefault="00821565">
    <w:pPr>
      <w:pStyle w:val="Footer"/>
    </w:pPr>
    <w:r w:rsidRPr="00175709">
      <w:fldChar w:fldCharType="begin"/>
    </w:r>
    <w:r w:rsidRPr="00175709">
      <w:instrText xml:space="preserve"> FILENAME   \* MERGEFORMAT </w:instrText>
    </w:r>
    <w:r w:rsidRPr="00175709">
      <w:fldChar w:fldCharType="separate"/>
    </w:r>
    <w:r w:rsidR="008B2890" w:rsidRPr="00175709">
      <w:rPr>
        <w:noProof/>
      </w:rPr>
      <w:t>EMAnot_051119_groz669.docx</w:t>
    </w:r>
    <w:r w:rsidRPr="0017570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1816F" w14:textId="77777777" w:rsidR="00622D3F" w:rsidRDefault="00622D3F" w:rsidP="004A2CC7">
      <w:r>
        <w:separator/>
      </w:r>
    </w:p>
  </w:footnote>
  <w:footnote w:type="continuationSeparator" w:id="0">
    <w:p w14:paraId="21C3BD84" w14:textId="77777777" w:rsidR="00622D3F" w:rsidRDefault="00622D3F" w:rsidP="004A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7100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CB1785" w14:textId="30C63220" w:rsidR="00821565" w:rsidRDefault="0082156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B7CCC2" w14:textId="77777777" w:rsidR="00821565" w:rsidRDefault="008215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7E0"/>
    <w:multiLevelType w:val="hybridMultilevel"/>
    <w:tmpl w:val="244AB874"/>
    <w:lvl w:ilvl="0" w:tplc="A22C21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C67F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A24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1C1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4B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683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E1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E0B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05C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588"/>
    <w:rsid w:val="0000059C"/>
    <w:rsid w:val="00010FD5"/>
    <w:rsid w:val="000407DC"/>
    <w:rsid w:val="0004314D"/>
    <w:rsid w:val="000479A0"/>
    <w:rsid w:val="00065B30"/>
    <w:rsid w:val="0008573E"/>
    <w:rsid w:val="00090F85"/>
    <w:rsid w:val="0009498B"/>
    <w:rsid w:val="000B1FC9"/>
    <w:rsid w:val="000B47CA"/>
    <w:rsid w:val="000D5931"/>
    <w:rsid w:val="000D6C67"/>
    <w:rsid w:val="000D7B99"/>
    <w:rsid w:val="000E6E55"/>
    <w:rsid w:val="000F1D09"/>
    <w:rsid w:val="00101250"/>
    <w:rsid w:val="00143F1B"/>
    <w:rsid w:val="001444AA"/>
    <w:rsid w:val="00157A66"/>
    <w:rsid w:val="00161A13"/>
    <w:rsid w:val="00175709"/>
    <w:rsid w:val="0017609B"/>
    <w:rsid w:val="001764F7"/>
    <w:rsid w:val="00183F4C"/>
    <w:rsid w:val="00185A7D"/>
    <w:rsid w:val="00197053"/>
    <w:rsid w:val="001A2563"/>
    <w:rsid w:val="001B1B54"/>
    <w:rsid w:val="001C0C83"/>
    <w:rsid w:val="001D3A76"/>
    <w:rsid w:val="001F2B85"/>
    <w:rsid w:val="001F4FDF"/>
    <w:rsid w:val="00201C39"/>
    <w:rsid w:val="002059CC"/>
    <w:rsid w:val="00211630"/>
    <w:rsid w:val="00236942"/>
    <w:rsid w:val="00256112"/>
    <w:rsid w:val="0026731A"/>
    <w:rsid w:val="00267773"/>
    <w:rsid w:val="002735B0"/>
    <w:rsid w:val="00290755"/>
    <w:rsid w:val="002A64A4"/>
    <w:rsid w:val="002C39E6"/>
    <w:rsid w:val="002C7D10"/>
    <w:rsid w:val="002D5EFE"/>
    <w:rsid w:val="002E3469"/>
    <w:rsid w:val="002E7618"/>
    <w:rsid w:val="002F09F0"/>
    <w:rsid w:val="00312CBC"/>
    <w:rsid w:val="003164DC"/>
    <w:rsid w:val="003467AC"/>
    <w:rsid w:val="003579D9"/>
    <w:rsid w:val="00365992"/>
    <w:rsid w:val="00380894"/>
    <w:rsid w:val="00392087"/>
    <w:rsid w:val="00395353"/>
    <w:rsid w:val="003A1A2C"/>
    <w:rsid w:val="003A612C"/>
    <w:rsid w:val="003B045B"/>
    <w:rsid w:val="003B0E97"/>
    <w:rsid w:val="003B7E42"/>
    <w:rsid w:val="003C1196"/>
    <w:rsid w:val="003C3CAC"/>
    <w:rsid w:val="003D325B"/>
    <w:rsid w:val="003D482F"/>
    <w:rsid w:val="003D6AB3"/>
    <w:rsid w:val="003F0369"/>
    <w:rsid w:val="00403E88"/>
    <w:rsid w:val="00405EF7"/>
    <w:rsid w:val="00413CF4"/>
    <w:rsid w:val="004151D8"/>
    <w:rsid w:val="00415A0F"/>
    <w:rsid w:val="004250DC"/>
    <w:rsid w:val="00430E28"/>
    <w:rsid w:val="00435FA7"/>
    <w:rsid w:val="00440BB1"/>
    <w:rsid w:val="004506F4"/>
    <w:rsid w:val="00456B69"/>
    <w:rsid w:val="00480D61"/>
    <w:rsid w:val="00485D6F"/>
    <w:rsid w:val="0049159A"/>
    <w:rsid w:val="00495788"/>
    <w:rsid w:val="004A2CC7"/>
    <w:rsid w:val="004A4ECF"/>
    <w:rsid w:val="004C3806"/>
    <w:rsid w:val="004D1337"/>
    <w:rsid w:val="004F5405"/>
    <w:rsid w:val="00503DB8"/>
    <w:rsid w:val="00507A01"/>
    <w:rsid w:val="00537158"/>
    <w:rsid w:val="00542BE8"/>
    <w:rsid w:val="00543E41"/>
    <w:rsid w:val="005663D0"/>
    <w:rsid w:val="0058083C"/>
    <w:rsid w:val="005A0985"/>
    <w:rsid w:val="005A1F0C"/>
    <w:rsid w:val="005B3981"/>
    <w:rsid w:val="005C005D"/>
    <w:rsid w:val="005C4CE2"/>
    <w:rsid w:val="005C5081"/>
    <w:rsid w:val="005D0854"/>
    <w:rsid w:val="005E640E"/>
    <w:rsid w:val="00622D3F"/>
    <w:rsid w:val="00635646"/>
    <w:rsid w:val="006359E8"/>
    <w:rsid w:val="00637186"/>
    <w:rsid w:val="006425FE"/>
    <w:rsid w:val="00672193"/>
    <w:rsid w:val="00677691"/>
    <w:rsid w:val="006801FA"/>
    <w:rsid w:val="00686E53"/>
    <w:rsid w:val="00686FA3"/>
    <w:rsid w:val="006905A3"/>
    <w:rsid w:val="006A74AD"/>
    <w:rsid w:val="006B7523"/>
    <w:rsid w:val="006C1265"/>
    <w:rsid w:val="006C4438"/>
    <w:rsid w:val="006D3E3B"/>
    <w:rsid w:val="006E023C"/>
    <w:rsid w:val="006E46E7"/>
    <w:rsid w:val="006E5723"/>
    <w:rsid w:val="006F325B"/>
    <w:rsid w:val="00700C4C"/>
    <w:rsid w:val="0070337C"/>
    <w:rsid w:val="00711B8A"/>
    <w:rsid w:val="00716066"/>
    <w:rsid w:val="0071607C"/>
    <w:rsid w:val="007207FD"/>
    <w:rsid w:val="00733A1C"/>
    <w:rsid w:val="00750338"/>
    <w:rsid w:val="007836D7"/>
    <w:rsid w:val="00791854"/>
    <w:rsid w:val="0079364E"/>
    <w:rsid w:val="0079591B"/>
    <w:rsid w:val="007D0836"/>
    <w:rsid w:val="007D2E3A"/>
    <w:rsid w:val="007F0D2D"/>
    <w:rsid w:val="007F3621"/>
    <w:rsid w:val="00805E16"/>
    <w:rsid w:val="00821565"/>
    <w:rsid w:val="00823B94"/>
    <w:rsid w:val="0084086F"/>
    <w:rsid w:val="008473E3"/>
    <w:rsid w:val="00847AE6"/>
    <w:rsid w:val="00852C32"/>
    <w:rsid w:val="00864CE5"/>
    <w:rsid w:val="00891C31"/>
    <w:rsid w:val="00893CE8"/>
    <w:rsid w:val="008A3D9C"/>
    <w:rsid w:val="008B2545"/>
    <w:rsid w:val="008B2890"/>
    <w:rsid w:val="008B5CDF"/>
    <w:rsid w:val="00910314"/>
    <w:rsid w:val="0091173F"/>
    <w:rsid w:val="00915F8C"/>
    <w:rsid w:val="009176B1"/>
    <w:rsid w:val="00920922"/>
    <w:rsid w:val="00921E48"/>
    <w:rsid w:val="00923C27"/>
    <w:rsid w:val="00965215"/>
    <w:rsid w:val="00965FF2"/>
    <w:rsid w:val="00974A79"/>
    <w:rsid w:val="00975B59"/>
    <w:rsid w:val="00995EA9"/>
    <w:rsid w:val="009A47FE"/>
    <w:rsid w:val="009B0FEB"/>
    <w:rsid w:val="009B4B50"/>
    <w:rsid w:val="009D2611"/>
    <w:rsid w:val="009F473A"/>
    <w:rsid w:val="009F7ADD"/>
    <w:rsid w:val="00A05AC1"/>
    <w:rsid w:val="00A325FD"/>
    <w:rsid w:val="00A36879"/>
    <w:rsid w:val="00A45CC3"/>
    <w:rsid w:val="00A57A50"/>
    <w:rsid w:val="00A72A60"/>
    <w:rsid w:val="00A75B2B"/>
    <w:rsid w:val="00A9201B"/>
    <w:rsid w:val="00A926CD"/>
    <w:rsid w:val="00A9790D"/>
    <w:rsid w:val="00AA68D9"/>
    <w:rsid w:val="00AC2809"/>
    <w:rsid w:val="00AC45C4"/>
    <w:rsid w:val="00AD165F"/>
    <w:rsid w:val="00AD49F0"/>
    <w:rsid w:val="00AE188F"/>
    <w:rsid w:val="00AE53FD"/>
    <w:rsid w:val="00AF125A"/>
    <w:rsid w:val="00B04508"/>
    <w:rsid w:val="00B050B2"/>
    <w:rsid w:val="00B176F8"/>
    <w:rsid w:val="00B20382"/>
    <w:rsid w:val="00B247CE"/>
    <w:rsid w:val="00B4132C"/>
    <w:rsid w:val="00B50359"/>
    <w:rsid w:val="00B5509D"/>
    <w:rsid w:val="00B5641A"/>
    <w:rsid w:val="00B62154"/>
    <w:rsid w:val="00B706FC"/>
    <w:rsid w:val="00B75C5F"/>
    <w:rsid w:val="00B825D9"/>
    <w:rsid w:val="00B94112"/>
    <w:rsid w:val="00BA57D5"/>
    <w:rsid w:val="00BA72B5"/>
    <w:rsid w:val="00BC53A3"/>
    <w:rsid w:val="00BD14FF"/>
    <w:rsid w:val="00BD5588"/>
    <w:rsid w:val="00BD720C"/>
    <w:rsid w:val="00BE37D4"/>
    <w:rsid w:val="00BF029E"/>
    <w:rsid w:val="00BF26DE"/>
    <w:rsid w:val="00BF76D8"/>
    <w:rsid w:val="00C04E08"/>
    <w:rsid w:val="00C22C17"/>
    <w:rsid w:val="00C238B2"/>
    <w:rsid w:val="00C377FC"/>
    <w:rsid w:val="00C434D1"/>
    <w:rsid w:val="00C468DA"/>
    <w:rsid w:val="00C52858"/>
    <w:rsid w:val="00C86E15"/>
    <w:rsid w:val="00C96215"/>
    <w:rsid w:val="00CA5758"/>
    <w:rsid w:val="00CB6A98"/>
    <w:rsid w:val="00CB7ABA"/>
    <w:rsid w:val="00CE63B7"/>
    <w:rsid w:val="00CE65BF"/>
    <w:rsid w:val="00CF3579"/>
    <w:rsid w:val="00D14D05"/>
    <w:rsid w:val="00D32D60"/>
    <w:rsid w:val="00D56D89"/>
    <w:rsid w:val="00D607CD"/>
    <w:rsid w:val="00D60F93"/>
    <w:rsid w:val="00D80C22"/>
    <w:rsid w:val="00D84DDB"/>
    <w:rsid w:val="00D91DEC"/>
    <w:rsid w:val="00D956E6"/>
    <w:rsid w:val="00DA2339"/>
    <w:rsid w:val="00DB07E2"/>
    <w:rsid w:val="00DC55BA"/>
    <w:rsid w:val="00DC580E"/>
    <w:rsid w:val="00DD4D6D"/>
    <w:rsid w:val="00E06062"/>
    <w:rsid w:val="00E14184"/>
    <w:rsid w:val="00E164B1"/>
    <w:rsid w:val="00E43164"/>
    <w:rsid w:val="00E44472"/>
    <w:rsid w:val="00E55EB6"/>
    <w:rsid w:val="00E64D28"/>
    <w:rsid w:val="00E72E4D"/>
    <w:rsid w:val="00E736D0"/>
    <w:rsid w:val="00E73E86"/>
    <w:rsid w:val="00E76707"/>
    <w:rsid w:val="00E807A5"/>
    <w:rsid w:val="00E83B8A"/>
    <w:rsid w:val="00E864C7"/>
    <w:rsid w:val="00EB32C8"/>
    <w:rsid w:val="00EC1235"/>
    <w:rsid w:val="00EC5630"/>
    <w:rsid w:val="00ED0C30"/>
    <w:rsid w:val="00F00945"/>
    <w:rsid w:val="00F02D9F"/>
    <w:rsid w:val="00F05945"/>
    <w:rsid w:val="00F05EE7"/>
    <w:rsid w:val="00F14801"/>
    <w:rsid w:val="00F15FA5"/>
    <w:rsid w:val="00F178DD"/>
    <w:rsid w:val="00F320AD"/>
    <w:rsid w:val="00F36697"/>
    <w:rsid w:val="00F46CA7"/>
    <w:rsid w:val="00F56402"/>
    <w:rsid w:val="00F6596D"/>
    <w:rsid w:val="00F85EFC"/>
    <w:rsid w:val="00FA5F7E"/>
    <w:rsid w:val="00FB0F35"/>
    <w:rsid w:val="00FB19AD"/>
    <w:rsid w:val="00FB64FD"/>
    <w:rsid w:val="00FB79CA"/>
    <w:rsid w:val="00FD1399"/>
    <w:rsid w:val="00FE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B046A2"/>
  <w15:docId w15:val="{193035F0-ECDD-4BA0-AA9B-464DD009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5588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D5588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BD5588"/>
    <w:rPr>
      <w:color w:val="0000FF"/>
      <w:u w:val="single"/>
    </w:rPr>
  </w:style>
  <w:style w:type="character" w:styleId="Strong">
    <w:name w:val="Strong"/>
    <w:qFormat/>
    <w:rsid w:val="00BE37D4"/>
    <w:rPr>
      <w:b/>
      <w:bCs/>
    </w:rPr>
  </w:style>
  <w:style w:type="paragraph" w:customStyle="1" w:styleId="naiskr">
    <w:name w:val="naiskr"/>
    <w:basedOn w:val="Normal"/>
    <w:uiPriority w:val="99"/>
    <w:rsid w:val="002C7D10"/>
    <w:pPr>
      <w:spacing w:before="75" w:after="75"/>
    </w:pPr>
  </w:style>
  <w:style w:type="paragraph" w:styleId="Header">
    <w:name w:val="header"/>
    <w:basedOn w:val="Normal"/>
    <w:link w:val="HeaderChar"/>
    <w:uiPriority w:val="99"/>
    <w:unhideWhenUsed/>
    <w:rsid w:val="004A2C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CC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A2C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CC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125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2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125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C4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EE7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35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6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64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64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tvhtml">
    <w:name w:val="tv_html"/>
    <w:basedOn w:val="Normal"/>
    <w:rsid w:val="00507A01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E640E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F47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51D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8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.gov.lv/lv/par_ministriju/sabiedribas_lidzdaliba/diskusiju_dokumenti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ga.Micule@e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k.gov.lv/content/ministru-kabineta-diskusiju-dokumen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9A415-5683-427F-BC78-65F60E69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3914</Words>
  <Characters>2231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Grozījumi Ministru kabineta 2016. gada 11. oktobra noteikumos Nr. 669 “Kārtība, kādā noslēdz un pārrauga brīvprātīgu vienošanos par energoefektivitātes uzlabošanu"</vt:lpstr>
    </vt:vector>
  </TitlesOfParts>
  <Company>Ekonomikas ministrija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2016. gada 11. oktobra noteikumos Nr. 669 “Kārtība, kādā noslēdz un pārrauga brīvprātīgu vienošanos par energoefektivitātes uzlabošanu"</dc:title>
  <dc:subject>Sākotnējās ietekmes novērtējuma ziņojums (anotācija)</dc:subject>
  <dc:creator>Līga Mičule</dc:creator>
  <dc:description>67013030, Liga.Micule@em.gov.lv</dc:description>
  <cp:lastModifiedBy>Līga Mičule</cp:lastModifiedBy>
  <cp:revision>8</cp:revision>
  <cp:lastPrinted>2018-09-19T05:40:00Z</cp:lastPrinted>
  <dcterms:created xsi:type="dcterms:W3CDTF">2019-10-23T13:30:00Z</dcterms:created>
  <dcterms:modified xsi:type="dcterms:W3CDTF">2019-11-05T09:01:00Z</dcterms:modified>
</cp:coreProperties>
</file>