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6BB45" w14:textId="5DB6EF02" w:rsidR="00894C55" w:rsidRPr="003D1800" w:rsidRDefault="0085343F"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sdt>
        <w:sdtPr>
          <w:rPr>
            <w:rFonts w:ascii="Times New Roman" w:eastAsia="Times New Roman" w:hAnsi="Times New Roman" w:cs="Times New Roman"/>
            <w:b/>
            <w:bCs/>
            <w:color w:val="000000" w:themeColor="text1"/>
            <w:sz w:val="28"/>
            <w:szCs w:val="24"/>
            <w:lang w:eastAsia="lv-LV"/>
          </w:rPr>
          <w:id w:val="882755678"/>
          <w:placeholder>
            <w:docPart w:val="B2513C7936974E769D1103048039203D"/>
          </w:placeholder>
        </w:sdtPr>
        <w:sdtEndPr/>
        <w:sdtContent>
          <w:r w:rsidR="00DF2C3B" w:rsidRPr="003D1800">
            <w:rPr>
              <w:rFonts w:ascii="Times New Roman" w:eastAsia="Times New Roman" w:hAnsi="Times New Roman" w:cs="Times New Roman"/>
              <w:b/>
              <w:bCs/>
              <w:color w:val="000000" w:themeColor="text1"/>
              <w:sz w:val="28"/>
              <w:szCs w:val="24"/>
              <w:lang w:eastAsia="lv-LV"/>
            </w:rPr>
            <w:t>Ministru kabineta noteikumu</w:t>
          </w:r>
          <w:r w:rsidR="00CD2F80" w:rsidRPr="003D1800">
            <w:rPr>
              <w:rFonts w:ascii="Times New Roman" w:eastAsia="Times New Roman" w:hAnsi="Times New Roman" w:cs="Times New Roman"/>
              <w:b/>
              <w:bCs/>
              <w:color w:val="000000" w:themeColor="text1"/>
              <w:sz w:val="28"/>
              <w:szCs w:val="24"/>
              <w:lang w:eastAsia="lv-LV"/>
            </w:rPr>
            <w:t xml:space="preserve"> projekta </w:t>
          </w:r>
          <w:r w:rsidR="00DF2C3B" w:rsidRPr="003D1800">
            <w:rPr>
              <w:rFonts w:ascii="Times New Roman" w:eastAsia="Times New Roman" w:hAnsi="Times New Roman" w:cs="Times New Roman"/>
              <w:b/>
              <w:bCs/>
              <w:color w:val="000000" w:themeColor="text1"/>
              <w:sz w:val="28"/>
              <w:szCs w:val="24"/>
              <w:lang w:eastAsia="lv-LV"/>
            </w:rPr>
            <w:t>"Grozījumi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sdtContent>
      </w:sdt>
      <w:r w:rsidR="003B0BF9" w:rsidRPr="003D1800">
        <w:rPr>
          <w:rFonts w:ascii="Times New Roman" w:eastAsia="Times New Roman" w:hAnsi="Times New Roman" w:cs="Times New Roman"/>
          <w:b/>
          <w:bCs/>
          <w:color w:val="000000" w:themeColor="text1"/>
          <w:sz w:val="28"/>
          <w:szCs w:val="24"/>
          <w:lang w:eastAsia="lv-LV"/>
        </w:rPr>
        <w:br/>
      </w:r>
      <w:r w:rsidR="00894C55" w:rsidRPr="003D1800">
        <w:rPr>
          <w:rFonts w:ascii="Times New Roman" w:eastAsia="Times New Roman" w:hAnsi="Times New Roman" w:cs="Times New Roman"/>
          <w:b/>
          <w:bCs/>
          <w:color w:val="000000" w:themeColor="text1"/>
          <w:sz w:val="28"/>
          <w:szCs w:val="24"/>
          <w:lang w:eastAsia="lv-LV"/>
        </w:rPr>
        <w:t>sākotnējās ietekmes novērtējuma ziņojums (anotācija)</w:t>
      </w:r>
    </w:p>
    <w:p w14:paraId="4EEB0169" w14:textId="77777777" w:rsidR="00E5323B" w:rsidRPr="003D1800"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3D1800" w14:paraId="6724888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8A1ED97" w14:textId="77777777" w:rsidR="00655F2C" w:rsidRPr="003D1800"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3D1800">
              <w:rPr>
                <w:rFonts w:ascii="Times New Roman" w:eastAsia="Times New Roman" w:hAnsi="Times New Roman" w:cs="Times New Roman"/>
                <w:b/>
                <w:bCs/>
                <w:iCs/>
                <w:color w:val="000000" w:themeColor="text1"/>
                <w:sz w:val="24"/>
                <w:szCs w:val="24"/>
                <w:lang w:eastAsia="lv-LV"/>
              </w:rPr>
              <w:t>Tiesību akta projekta anotācijas kopsavilkums</w:t>
            </w:r>
          </w:p>
        </w:tc>
      </w:tr>
      <w:tr w:rsidR="00E5323B" w:rsidRPr="003D1800" w14:paraId="15927FDE"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F96989A" w14:textId="77777777" w:rsidR="00E5323B"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DE2A885" w14:textId="77777777" w:rsidR="00DF2C3B" w:rsidRPr="003D1800" w:rsidRDefault="00DF2C3B" w:rsidP="00CD2F80">
            <w:pPr>
              <w:spacing w:after="0" w:line="240" w:lineRule="auto"/>
              <w:jc w:val="both"/>
              <w:rPr>
                <w:rFonts w:ascii="Times New Roman" w:eastAsia="Times New Roman" w:hAnsi="Times New Roman" w:cs="Times New Roman"/>
                <w:iCs/>
                <w:color w:val="000000" w:themeColor="text1"/>
                <w:sz w:val="24"/>
                <w:szCs w:val="24"/>
                <w:lang w:eastAsia="lv-LV"/>
              </w:rPr>
            </w:pPr>
            <w:bookmarkStart w:id="0" w:name="_Hlk20126694"/>
            <w:r w:rsidRPr="003D1800">
              <w:rPr>
                <w:rFonts w:ascii="Times New Roman" w:eastAsia="Times New Roman" w:hAnsi="Times New Roman" w:cs="Times New Roman"/>
                <w:iCs/>
                <w:color w:val="000000" w:themeColor="text1"/>
                <w:sz w:val="24"/>
                <w:szCs w:val="24"/>
                <w:lang w:eastAsia="lv-LV"/>
              </w:rPr>
              <w:t>Ministru kabineta noteikumu projektu mērķis ir veikt Ekonomikas ministrijas ierosinātus grozījumus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(turpmāk – Noteikumu projekts) ar mērķi energoefektivitātes pakalpojuma sniedzējiem (turpmāk – ESKO) noteikt atšķirīgu, energoefektivitātes pakalpojumu sniegšanai atbilstošu energoefektivitātes paaugstināšanas projektu īstenošanu.</w:t>
            </w:r>
          </w:p>
          <w:p w14:paraId="4F694BEC" w14:textId="6B67AFC9" w:rsidR="00E5323B" w:rsidRPr="003D1800" w:rsidRDefault="00DF2C3B" w:rsidP="00CD2F80">
            <w:pPr>
              <w:spacing w:after="0" w:line="240" w:lineRule="auto"/>
              <w:jc w:val="both"/>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Noteikumu projekts stāsies spēkā pēc tā publicēšanas Latvijas Vēstnesī.</w:t>
            </w:r>
            <w:bookmarkEnd w:id="0"/>
          </w:p>
        </w:tc>
      </w:tr>
    </w:tbl>
    <w:p w14:paraId="3040270A" w14:textId="77777777" w:rsidR="00E5323B"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D1800" w14:paraId="66CC3D9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2677BC" w14:textId="77777777" w:rsidR="00655F2C" w:rsidRPr="003D1800"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3D1800">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E5323B" w:rsidRPr="003D1800" w14:paraId="01A306EF" w14:textId="77777777" w:rsidTr="00CD2F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649377" w14:textId="77777777" w:rsidR="00655F2C"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17A177E" w14:textId="77777777" w:rsidR="00E5323B"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23E41FC1" w14:textId="0C91A111" w:rsidR="00E5323B" w:rsidRPr="003D1800" w:rsidRDefault="00CD2F80" w:rsidP="00CD2F80">
            <w:pPr>
              <w:spacing w:after="0" w:line="240" w:lineRule="auto"/>
              <w:jc w:val="both"/>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Eiropas Savienības struktūrfondu un Kohēzijas fonda 2014.–2020. gada plānošanas perioda vadības likuma 20. panta 13. un 14. punkts un Publisko iepirkuma likuma 7. panta pirmā daļa.</w:t>
            </w:r>
          </w:p>
        </w:tc>
      </w:tr>
      <w:tr w:rsidR="00CD2F80" w:rsidRPr="003D1800" w14:paraId="5649DF26" w14:textId="77777777" w:rsidTr="00CD2F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4DADCD" w14:textId="77777777" w:rsidR="00CD2F80" w:rsidRPr="003D1800" w:rsidRDefault="00CD2F80" w:rsidP="00CD2F80">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9607D4F" w14:textId="77777777" w:rsidR="00CD2F80" w:rsidRDefault="00CD2F80" w:rsidP="00CD2F80">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7A884A43" w14:textId="77777777" w:rsidR="00566EDD" w:rsidRDefault="00566EDD" w:rsidP="00C708D9">
            <w:pPr>
              <w:tabs>
                <w:tab w:val="left" w:pos="960"/>
              </w:tabs>
              <w:rPr>
                <w:rFonts w:ascii="Times New Roman" w:eastAsia="Times New Roman" w:hAnsi="Times New Roman" w:cs="Times New Roman"/>
                <w:sz w:val="24"/>
                <w:szCs w:val="24"/>
                <w:lang w:eastAsia="lv-LV"/>
              </w:rPr>
            </w:pPr>
          </w:p>
          <w:p w14:paraId="66B1CCE6" w14:textId="77777777" w:rsidR="00C708D9" w:rsidRDefault="00C708D9" w:rsidP="00C708D9">
            <w:pPr>
              <w:tabs>
                <w:tab w:val="left" w:pos="960"/>
              </w:tabs>
              <w:rPr>
                <w:rFonts w:ascii="Times New Roman" w:eastAsia="Times New Roman" w:hAnsi="Times New Roman" w:cs="Times New Roman"/>
                <w:sz w:val="24"/>
                <w:szCs w:val="24"/>
                <w:lang w:eastAsia="lv-LV"/>
              </w:rPr>
            </w:pPr>
          </w:p>
          <w:p w14:paraId="6B2AAA07" w14:textId="77777777" w:rsidR="00C708D9" w:rsidRDefault="00C708D9" w:rsidP="00C708D9">
            <w:pPr>
              <w:tabs>
                <w:tab w:val="left" w:pos="960"/>
              </w:tabs>
              <w:rPr>
                <w:rFonts w:ascii="Times New Roman" w:eastAsia="Times New Roman" w:hAnsi="Times New Roman" w:cs="Times New Roman"/>
                <w:sz w:val="24"/>
                <w:szCs w:val="24"/>
                <w:lang w:eastAsia="lv-LV"/>
              </w:rPr>
            </w:pPr>
          </w:p>
          <w:p w14:paraId="7C7544EE" w14:textId="77777777" w:rsidR="004F2537" w:rsidRPr="004F2537" w:rsidRDefault="004F2537" w:rsidP="004F2537">
            <w:pPr>
              <w:rPr>
                <w:rFonts w:ascii="Times New Roman" w:eastAsia="Times New Roman" w:hAnsi="Times New Roman" w:cs="Times New Roman"/>
                <w:sz w:val="24"/>
                <w:szCs w:val="24"/>
                <w:lang w:eastAsia="lv-LV"/>
              </w:rPr>
            </w:pPr>
          </w:p>
          <w:p w14:paraId="3B341EA4" w14:textId="77777777" w:rsidR="004F2537" w:rsidRPr="004F2537" w:rsidRDefault="004F2537" w:rsidP="004F2537">
            <w:pPr>
              <w:rPr>
                <w:rFonts w:ascii="Times New Roman" w:eastAsia="Times New Roman" w:hAnsi="Times New Roman" w:cs="Times New Roman"/>
                <w:sz w:val="24"/>
                <w:szCs w:val="24"/>
                <w:lang w:eastAsia="lv-LV"/>
              </w:rPr>
            </w:pPr>
          </w:p>
          <w:p w14:paraId="5F1D1439" w14:textId="77777777" w:rsidR="004F2537" w:rsidRPr="004F2537" w:rsidRDefault="004F2537" w:rsidP="004F2537">
            <w:pPr>
              <w:rPr>
                <w:rFonts w:ascii="Times New Roman" w:eastAsia="Times New Roman" w:hAnsi="Times New Roman" w:cs="Times New Roman"/>
                <w:sz w:val="24"/>
                <w:szCs w:val="24"/>
                <w:lang w:eastAsia="lv-LV"/>
              </w:rPr>
            </w:pPr>
          </w:p>
          <w:p w14:paraId="2FE7B994" w14:textId="77777777" w:rsidR="004F2537" w:rsidRPr="004F2537" w:rsidRDefault="004F2537" w:rsidP="004F2537">
            <w:pPr>
              <w:rPr>
                <w:rFonts w:ascii="Times New Roman" w:eastAsia="Times New Roman" w:hAnsi="Times New Roman" w:cs="Times New Roman"/>
                <w:sz w:val="24"/>
                <w:szCs w:val="24"/>
                <w:lang w:eastAsia="lv-LV"/>
              </w:rPr>
            </w:pPr>
          </w:p>
          <w:p w14:paraId="4D118D68" w14:textId="799DA59F" w:rsidR="004F2537" w:rsidRPr="004F2537" w:rsidRDefault="004F2537" w:rsidP="004F2537">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475CF842" w14:textId="77777777" w:rsidR="00CD2F80" w:rsidRPr="003D1800" w:rsidRDefault="00CD2F80" w:rsidP="00CD2F80">
            <w:pPr>
              <w:spacing w:after="0" w:line="240" w:lineRule="auto"/>
              <w:jc w:val="both"/>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Ekonomikas ministrija ir izstrādājusi Noteikumu projektu, lai precizētu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(turpmāk – MK noteikumi Nr. 160) noteikto kārtību energoefektivitātes pakalpojumu sniegšanai 4.2.1.1. specifiskā atbalsta mērķa pasākuma "Veicināt energoefektivitātes paaugstināšanu dzīvojamās ēkās" (turpmāk – 4.2.1.1. pasākums) ietvaros.</w:t>
            </w:r>
          </w:p>
          <w:p w14:paraId="54ACE759" w14:textId="77777777" w:rsidR="00CD2F80" w:rsidRPr="003D1800" w:rsidRDefault="00CD2F80" w:rsidP="00CD2F80">
            <w:pPr>
              <w:spacing w:after="0" w:line="240" w:lineRule="auto"/>
              <w:jc w:val="both"/>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 xml:space="preserve">Ar Ministru kabineta 2017. gada 18. jūlija noteikumiem Nr. 410 “Grozījumi Ministru kabineta 2016. gada 15. </w:t>
            </w:r>
            <w:r w:rsidRPr="003D1800">
              <w:rPr>
                <w:rFonts w:ascii="Times New Roman" w:eastAsia="Times New Roman" w:hAnsi="Times New Roman" w:cs="Times New Roman"/>
                <w:iCs/>
                <w:color w:val="000000" w:themeColor="text1"/>
                <w:sz w:val="24"/>
                <w:szCs w:val="24"/>
                <w:lang w:eastAsia="lv-LV"/>
              </w:rPr>
              <w:lastRenderedPageBreak/>
              <w:t>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(turpmāk – MK noteikumi Nr. 410) 4.2.1.1. pasākuma īstenošanā tika iesaistīti ESKO. MK noteikumi Nr. 410 paredz nosacījumus ESKO pakalpojumu sniegšanai, tajā skaitā nosakot, ka:</w:t>
            </w:r>
          </w:p>
          <w:p w14:paraId="08342657" w14:textId="77777777" w:rsidR="00CD2F80" w:rsidRPr="003D1800" w:rsidRDefault="00CD2F80" w:rsidP="00CD2F80">
            <w:pPr>
              <w:pStyle w:val="ListParagraph"/>
              <w:numPr>
                <w:ilvl w:val="0"/>
                <w:numId w:val="3"/>
              </w:numPr>
              <w:ind w:left="533" w:hanging="284"/>
              <w:jc w:val="both"/>
              <w:rPr>
                <w:iCs/>
                <w:color w:val="000000" w:themeColor="text1"/>
                <w:sz w:val="24"/>
                <w:szCs w:val="24"/>
              </w:rPr>
            </w:pPr>
            <w:r w:rsidRPr="003D1800">
              <w:rPr>
                <w:iCs/>
                <w:color w:val="000000" w:themeColor="text1"/>
                <w:sz w:val="24"/>
                <w:szCs w:val="24"/>
              </w:rPr>
              <w:t xml:space="preserve">dzīvokļu īpašnieki pirms vēršanās “Attīstības finanšu institūcijā </w:t>
            </w:r>
            <w:proofErr w:type="spellStart"/>
            <w:r w:rsidRPr="003D1800">
              <w:rPr>
                <w:iCs/>
                <w:color w:val="000000" w:themeColor="text1"/>
                <w:sz w:val="24"/>
                <w:szCs w:val="24"/>
              </w:rPr>
              <w:t>Altum</w:t>
            </w:r>
            <w:proofErr w:type="spellEnd"/>
            <w:r w:rsidRPr="003D1800">
              <w:rPr>
                <w:iCs/>
                <w:color w:val="000000" w:themeColor="text1"/>
                <w:sz w:val="24"/>
                <w:szCs w:val="24"/>
              </w:rPr>
              <w:t>” (turpmāk – sabiedrība “</w:t>
            </w:r>
            <w:proofErr w:type="spellStart"/>
            <w:r w:rsidRPr="003D1800">
              <w:rPr>
                <w:iCs/>
                <w:color w:val="000000" w:themeColor="text1"/>
                <w:sz w:val="24"/>
                <w:szCs w:val="24"/>
              </w:rPr>
              <w:t>Altum</w:t>
            </w:r>
            <w:proofErr w:type="spellEnd"/>
            <w:r w:rsidRPr="003D1800">
              <w:rPr>
                <w:iCs/>
                <w:color w:val="000000" w:themeColor="text1"/>
                <w:sz w:val="24"/>
                <w:szCs w:val="24"/>
              </w:rPr>
              <w:t>”) vienlaicīgi ar lēmumu par dzīvokļu īpašnieku pilnvaroto personu, var lemt, arī, ka energoefektivitātes paaugstināšanas pasākumu īstenošanu veic ESKO (MK noteikumu Nr. 160 68.</w:t>
            </w:r>
            <w:r w:rsidRPr="00F441DB">
              <w:rPr>
                <w:iCs/>
                <w:color w:val="000000" w:themeColor="text1"/>
                <w:sz w:val="24"/>
                <w:szCs w:val="24"/>
                <w:vertAlign w:val="superscript"/>
              </w:rPr>
              <w:t>1</w:t>
            </w:r>
            <w:r w:rsidRPr="003D1800">
              <w:rPr>
                <w:iCs/>
                <w:color w:val="000000" w:themeColor="text1"/>
                <w:sz w:val="24"/>
                <w:szCs w:val="24"/>
              </w:rPr>
              <w:t xml:space="preserve"> punkts);</w:t>
            </w:r>
          </w:p>
          <w:p w14:paraId="53AF8563" w14:textId="77777777" w:rsidR="00CD2F80" w:rsidRPr="003D1800" w:rsidRDefault="00CD2F80" w:rsidP="00CD2F80">
            <w:pPr>
              <w:pStyle w:val="ListParagraph"/>
              <w:numPr>
                <w:ilvl w:val="0"/>
                <w:numId w:val="3"/>
              </w:numPr>
              <w:ind w:left="533" w:hanging="284"/>
              <w:jc w:val="both"/>
              <w:rPr>
                <w:iCs/>
                <w:color w:val="000000" w:themeColor="text1"/>
                <w:sz w:val="24"/>
                <w:szCs w:val="24"/>
              </w:rPr>
            </w:pPr>
            <w:r w:rsidRPr="003D1800">
              <w:rPr>
                <w:iCs/>
                <w:color w:val="000000" w:themeColor="text1"/>
                <w:sz w:val="24"/>
                <w:szCs w:val="24"/>
              </w:rPr>
              <w:t>ESKO jāveic piegādātāju atlase saskaņā ar sabiedrības “</w:t>
            </w:r>
            <w:proofErr w:type="spellStart"/>
            <w:r w:rsidRPr="003D1800">
              <w:rPr>
                <w:iCs/>
                <w:color w:val="000000" w:themeColor="text1"/>
                <w:sz w:val="24"/>
                <w:szCs w:val="24"/>
              </w:rPr>
              <w:t>Altum</w:t>
            </w:r>
            <w:proofErr w:type="spellEnd"/>
            <w:r w:rsidRPr="003D1800">
              <w:rPr>
                <w:iCs/>
                <w:color w:val="000000" w:themeColor="text1"/>
                <w:sz w:val="24"/>
                <w:szCs w:val="24"/>
              </w:rPr>
              <w:t>” norādījumiem un sabiedrībai “</w:t>
            </w:r>
            <w:proofErr w:type="spellStart"/>
            <w:r w:rsidRPr="003D1800">
              <w:rPr>
                <w:iCs/>
                <w:color w:val="000000" w:themeColor="text1"/>
                <w:sz w:val="24"/>
                <w:szCs w:val="24"/>
              </w:rPr>
              <w:t>Altum</w:t>
            </w:r>
            <w:proofErr w:type="spellEnd"/>
            <w:r w:rsidRPr="003D1800">
              <w:rPr>
                <w:iCs/>
                <w:color w:val="000000" w:themeColor="text1"/>
                <w:sz w:val="24"/>
                <w:szCs w:val="24"/>
              </w:rPr>
              <w:t>” jāpārliecinās par attiecīgo izmaksu atbilstību vidējām tirgus cenām un interešu konflikta neesamību ESKO un piegādātāju (MK noteikumu Nr. 160 izpratnē piegādātājs ir būvkomersants, autoruzraugs, būvuzraugs un citi piegādātāji) starpā (MK noteikumu Nr. 160 41. punkts).</w:t>
            </w:r>
          </w:p>
          <w:p w14:paraId="0F9D0022" w14:textId="77777777" w:rsidR="00CD2F80" w:rsidRPr="003D1800" w:rsidRDefault="00CD2F80" w:rsidP="00CD2F80">
            <w:pPr>
              <w:spacing w:after="0" w:line="240" w:lineRule="auto"/>
              <w:jc w:val="both"/>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Neskatoties uz to, ka MK noteikumi Nr. 410 sniedz iespēju ESKO piedalīties 4.2.1.1. pasākuma īstenošanā, ir konstatēts, ka nosacījumos, kas regulē piegādātāju atlasi, nepieciešamas izmaiņas, lai veicinātu aktīvāku ESKO iesaisti 4.2.1.1. pasākuma īstenošanā, kā arī, lai ESKO būtu iespēja sniegt savus pakalpojumus atbilstoši vispārpieņemtajai praksei.</w:t>
            </w:r>
          </w:p>
          <w:p w14:paraId="151AD1AD" w14:textId="77777777" w:rsidR="00CD2F80" w:rsidRPr="003D1800" w:rsidRDefault="00CD2F80" w:rsidP="00CD2F80">
            <w:pPr>
              <w:spacing w:after="0" w:line="240" w:lineRule="auto"/>
              <w:jc w:val="both"/>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 xml:space="preserve">ESKO pakalpojuma būtība ir nodrošināt energoefektivitātes paaugstināšanas projekta kompleksu īstenošanu, kontrolējot visus ar projekta īstenošanu saistītos posmus un garantējot paredzēto energoefektivitātes rezultātu. ESKO slēdz terminētu līgumu ar pakalpojuma saņēmēju, kura darbības laikā ESKO uzņemas energoefektivitātes pasākumu sagatavošanu, finansēšanu un ieviešanu, kā arī energoefektivitātes pasākumu jeb veikto investīciju uzturēšanu, lai nodrošinātu garantēto energoefektivitātes rezultātu visā līguma darbības laikā. Lai nodrošinātu šādu pakalpojumu kopumu, no ESKO risku vadības viedokļa tas projekta īstenošanā vēlēsies izmantot savus iekšējos resursus vai tam zināmus piegādātājus, lai nodrošinātu pēc iespējas augstākus energoefektivitātes paaugstināšanas projekta rezultātus. Šā brīža MK noteikumu Nr. 160 regulējums nepieļauj ESKO izmantot savus resursus projekta </w:t>
            </w:r>
            <w:r w:rsidRPr="003D1800">
              <w:rPr>
                <w:rFonts w:ascii="Times New Roman" w:eastAsia="Times New Roman" w:hAnsi="Times New Roman" w:cs="Times New Roman"/>
                <w:iCs/>
                <w:color w:val="000000" w:themeColor="text1"/>
                <w:sz w:val="24"/>
                <w:szCs w:val="24"/>
                <w:lang w:eastAsia="lv-LV"/>
              </w:rPr>
              <w:lastRenderedPageBreak/>
              <w:t>īstenošanai. Tāpat tirgū pašlaik ir vairāki būvkomersanti, kas vēlētos paplašināt savu darbību, sniedzot energoefektivitātes pakalpojumus, taču šo uzņēmumu priekšrocība – savu resursu izmantošana būvniecības nodrošināšanai – nevar tikt izmantota. Iespēja būvniecības uzņēmumiem sniegt ESKO pakalpojumus ir viens no ESKO tirgus veidošanas pasākumiem ar mērķi iesaistīt uzņēmumus, kam jau ir pieredze ēku atjaunošanas projektu īstenošanā, un tie būtu vispotenciālākie ESKO pakalpojumu sniedzēji. Energoefektivitātes pakalpojumu sniegšana veicinātu arī būvniecības sektora lielāku līdzatbildību par īstenoto projektu kvalitāti.</w:t>
            </w:r>
          </w:p>
          <w:p w14:paraId="40EA8B9A" w14:textId="2CE7E3B5" w:rsidR="00CD2F80" w:rsidRPr="003D1800" w:rsidRDefault="00CD2F80" w:rsidP="00CD2F80">
            <w:pPr>
              <w:spacing w:after="0" w:line="240" w:lineRule="auto"/>
              <w:jc w:val="both"/>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Ņemot vērā, ka 4.2.1.1. pasākuma ietvaros nepieciešams nodrošināt piegādātāju atlasi, Ekonomikas ministrija ierosina MK noteikumos Nr. 160 paredzēt, ka ESKO ir pakalpojuma piegādātājs, kas tiek noteikts atlases rezultātā. Šādas izmaiņas būtu saskaņā ar konkrētā pakalpojuma būtību un iedzīvotājiem sniegtu caurskatāmāku ESKO pakalpojumu atlasi.</w:t>
            </w:r>
          </w:p>
          <w:p w14:paraId="00FA5DCE" w14:textId="77777777" w:rsidR="00CD2F80" w:rsidRPr="003D1800" w:rsidRDefault="00CD2F80" w:rsidP="00CD2F80">
            <w:pPr>
              <w:spacing w:after="0" w:line="240" w:lineRule="auto"/>
              <w:jc w:val="both"/>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Ņemot vērā augstāk sniegtos skaidrojumus, Noteikumu projekts paredz šādas izmaiņas MK noteikumos Nr. 160:</w:t>
            </w:r>
          </w:p>
          <w:p w14:paraId="1FED468F" w14:textId="7F93936E" w:rsidR="00CD2F80" w:rsidRDefault="00CD2F80" w:rsidP="00CD2F80">
            <w:pPr>
              <w:spacing w:after="0" w:line="240" w:lineRule="auto"/>
              <w:ind w:firstLine="533"/>
              <w:jc w:val="both"/>
              <w:rPr>
                <w:rFonts w:ascii="Times New Roman" w:eastAsia="Times New Roman" w:hAnsi="Times New Roman" w:cs="Times New Roman"/>
                <w:iCs/>
                <w:color w:val="000000" w:themeColor="text1"/>
                <w:sz w:val="24"/>
                <w:szCs w:val="24"/>
                <w:lang w:eastAsia="lv-LV"/>
              </w:rPr>
            </w:pPr>
          </w:p>
          <w:p w14:paraId="20B352B7" w14:textId="77777777" w:rsidR="00F441DB" w:rsidRPr="0077033E" w:rsidRDefault="00F441DB" w:rsidP="00F441DB">
            <w:pPr>
              <w:pStyle w:val="ListParagraph"/>
              <w:numPr>
                <w:ilvl w:val="0"/>
                <w:numId w:val="2"/>
              </w:numPr>
              <w:ind w:left="36" w:firstLine="283"/>
              <w:jc w:val="both"/>
              <w:rPr>
                <w:color w:val="000000" w:themeColor="text1"/>
                <w:sz w:val="24"/>
                <w:szCs w:val="24"/>
              </w:rPr>
            </w:pPr>
            <w:r w:rsidRPr="0077033E">
              <w:rPr>
                <w:b/>
                <w:bCs/>
                <w:i/>
                <w:iCs/>
                <w:color w:val="000000" w:themeColor="text1"/>
                <w:sz w:val="24"/>
                <w:szCs w:val="24"/>
                <w:u w:val="single"/>
              </w:rPr>
              <w:t>Noteikt</w:t>
            </w:r>
            <w:r>
              <w:rPr>
                <w:b/>
                <w:bCs/>
                <w:i/>
                <w:iCs/>
                <w:color w:val="000000" w:themeColor="text1"/>
                <w:sz w:val="24"/>
                <w:szCs w:val="24"/>
                <w:u w:val="single"/>
              </w:rPr>
              <w:t>, ka</w:t>
            </w:r>
            <w:r w:rsidRPr="0077033E">
              <w:rPr>
                <w:b/>
                <w:bCs/>
                <w:i/>
                <w:iCs/>
                <w:color w:val="000000" w:themeColor="text1"/>
                <w:sz w:val="24"/>
                <w:szCs w:val="24"/>
                <w:u w:val="single"/>
              </w:rPr>
              <w:t xml:space="preserve">, </w:t>
            </w:r>
            <w:r w:rsidRPr="003D1800">
              <w:rPr>
                <w:b/>
                <w:bCs/>
                <w:i/>
                <w:iCs/>
                <w:color w:val="000000" w:themeColor="text1"/>
                <w:sz w:val="24"/>
                <w:szCs w:val="24"/>
                <w:u w:val="single"/>
              </w:rPr>
              <w:t>ja energoefektivitātes paaugstināšanas pasākumu īstenošanu nodrošina ESKO</w:t>
            </w:r>
            <w:r>
              <w:rPr>
                <w:b/>
                <w:bCs/>
                <w:i/>
                <w:iCs/>
                <w:color w:val="000000" w:themeColor="text1"/>
                <w:sz w:val="24"/>
                <w:szCs w:val="24"/>
                <w:u w:val="single"/>
              </w:rPr>
              <w:t>, sabiedrība “</w:t>
            </w:r>
            <w:proofErr w:type="spellStart"/>
            <w:r>
              <w:rPr>
                <w:b/>
                <w:bCs/>
                <w:i/>
                <w:iCs/>
                <w:color w:val="000000" w:themeColor="text1"/>
                <w:sz w:val="24"/>
                <w:szCs w:val="24"/>
                <w:u w:val="single"/>
              </w:rPr>
              <w:t>Altum</w:t>
            </w:r>
            <w:proofErr w:type="spellEnd"/>
            <w:r>
              <w:rPr>
                <w:b/>
                <w:bCs/>
                <w:i/>
                <w:iCs/>
                <w:color w:val="000000" w:themeColor="text1"/>
                <w:sz w:val="24"/>
                <w:szCs w:val="24"/>
                <w:u w:val="single"/>
              </w:rPr>
              <w:t xml:space="preserve">” energoefektivitātes paaugstināšanas tehnisko dokumentāciju izvērtē, kad  pilnvarotā persona iesniedz </w:t>
            </w:r>
            <w:proofErr w:type="spellStart"/>
            <w:r>
              <w:rPr>
                <w:b/>
                <w:bCs/>
                <w:i/>
                <w:iCs/>
                <w:color w:val="000000" w:themeColor="text1"/>
                <w:sz w:val="24"/>
                <w:szCs w:val="24"/>
                <w:u w:val="single"/>
              </w:rPr>
              <w:t>granta</w:t>
            </w:r>
            <w:proofErr w:type="spellEnd"/>
            <w:r>
              <w:rPr>
                <w:b/>
                <w:bCs/>
                <w:i/>
                <w:iCs/>
                <w:color w:val="000000" w:themeColor="text1"/>
                <w:sz w:val="24"/>
                <w:szCs w:val="24"/>
                <w:u w:val="single"/>
              </w:rPr>
              <w:t xml:space="preserve"> pieteikumu.</w:t>
            </w:r>
          </w:p>
          <w:p w14:paraId="1A78EDA1" w14:textId="77777777" w:rsidR="00F441DB" w:rsidRPr="0077033E" w:rsidRDefault="00F441DB" w:rsidP="00F441DB">
            <w:pPr>
              <w:ind w:left="36"/>
              <w:jc w:val="both"/>
              <w:rPr>
                <w:rFonts w:ascii="Times New Roman" w:hAnsi="Times New Roman" w:cs="Times New Roman"/>
                <w:color w:val="000000" w:themeColor="text1"/>
                <w:sz w:val="24"/>
                <w:szCs w:val="24"/>
              </w:rPr>
            </w:pPr>
            <w:r w:rsidRPr="0077033E">
              <w:rPr>
                <w:rFonts w:ascii="Times New Roman" w:hAnsi="Times New Roman" w:cs="Times New Roman"/>
                <w:color w:val="000000" w:themeColor="text1"/>
                <w:sz w:val="24"/>
                <w:szCs w:val="24"/>
              </w:rPr>
              <w:t xml:space="preserve">Spēkā esošā </w:t>
            </w:r>
            <w:r>
              <w:rPr>
                <w:rFonts w:ascii="Times New Roman" w:hAnsi="Times New Roman" w:cs="Times New Roman"/>
                <w:color w:val="000000" w:themeColor="text1"/>
                <w:sz w:val="24"/>
                <w:szCs w:val="24"/>
              </w:rPr>
              <w:t xml:space="preserve">MK noteikumos Nr. 160 noteiktā kārtība paredz, ka pirms </w:t>
            </w:r>
            <w:proofErr w:type="spellStart"/>
            <w:r>
              <w:rPr>
                <w:rFonts w:ascii="Times New Roman" w:hAnsi="Times New Roman" w:cs="Times New Roman"/>
                <w:color w:val="000000" w:themeColor="text1"/>
                <w:sz w:val="24"/>
                <w:szCs w:val="24"/>
              </w:rPr>
              <w:t>granta</w:t>
            </w:r>
            <w:proofErr w:type="spellEnd"/>
            <w:r>
              <w:rPr>
                <w:rFonts w:ascii="Times New Roman" w:hAnsi="Times New Roman" w:cs="Times New Roman"/>
                <w:color w:val="000000" w:themeColor="text1"/>
                <w:sz w:val="24"/>
                <w:szCs w:val="24"/>
              </w:rPr>
              <w:t xml:space="preserve"> pieteikuma iesniegšanas sabiedrībā “</w:t>
            </w:r>
            <w:proofErr w:type="spellStart"/>
            <w:r>
              <w:rPr>
                <w:rFonts w:ascii="Times New Roman" w:hAnsi="Times New Roman" w:cs="Times New Roman"/>
                <w:color w:val="000000" w:themeColor="text1"/>
                <w:sz w:val="24"/>
                <w:szCs w:val="24"/>
              </w:rPr>
              <w:t>Altum</w:t>
            </w:r>
            <w:proofErr w:type="spellEnd"/>
            <w:r>
              <w:rPr>
                <w:rFonts w:ascii="Times New Roman" w:hAnsi="Times New Roman" w:cs="Times New Roman"/>
                <w:color w:val="000000" w:themeColor="text1"/>
                <w:sz w:val="24"/>
                <w:szCs w:val="24"/>
              </w:rPr>
              <w:t>” ir nepieciešams saņemt sabiedrības “</w:t>
            </w:r>
            <w:proofErr w:type="spellStart"/>
            <w:r>
              <w:rPr>
                <w:rFonts w:ascii="Times New Roman" w:hAnsi="Times New Roman" w:cs="Times New Roman"/>
                <w:color w:val="000000" w:themeColor="text1"/>
                <w:sz w:val="24"/>
                <w:szCs w:val="24"/>
              </w:rPr>
              <w:t>Altum</w:t>
            </w:r>
            <w:proofErr w:type="spellEnd"/>
            <w:r>
              <w:rPr>
                <w:rFonts w:ascii="Times New Roman" w:hAnsi="Times New Roman" w:cs="Times New Roman"/>
                <w:color w:val="000000" w:themeColor="text1"/>
                <w:sz w:val="24"/>
                <w:szCs w:val="24"/>
              </w:rPr>
              <w:t xml:space="preserve">” atzinumu par energoefektivitātes paaugstināšanas dokumentāciju (MK noteikumu Nr. 160 40. punkts). Ņemot vērā, ka ESKO pakalpojuma būtība ir nodrošināt augstas kvalitātes ekspertīzi energoefektivitātes jomā, kā arī uzņemties visus ar energoefektivitātes paaugstināšanas projekta īstenošanu un rezultātiem saistītos riskus (MK noteikumu Nr. 160 </w:t>
            </w:r>
            <w:r w:rsidRPr="005523DC">
              <w:rPr>
                <w:rFonts w:ascii="Times New Roman" w:hAnsi="Times New Roman" w:cs="Times New Roman"/>
                <w:color w:val="000000" w:themeColor="text1"/>
                <w:sz w:val="24"/>
                <w:szCs w:val="24"/>
              </w:rPr>
              <w:t>68.</w:t>
            </w:r>
            <w:r w:rsidRPr="005523DC">
              <w:rPr>
                <w:rFonts w:ascii="Times New Roman" w:hAnsi="Times New Roman" w:cs="Times New Roman"/>
                <w:color w:val="000000" w:themeColor="text1"/>
                <w:sz w:val="24"/>
                <w:szCs w:val="24"/>
                <w:vertAlign w:val="superscript"/>
              </w:rPr>
              <w:t>5</w:t>
            </w:r>
            <w:r w:rsidRPr="005523DC">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punkts), kā arī nodrošināt detalizētu projekta budžetu, Ekonomikas ministrijas ieskatā gadījumos, kad projektu īsteno ESKO, pirms </w:t>
            </w:r>
            <w:proofErr w:type="spellStart"/>
            <w:r>
              <w:rPr>
                <w:rFonts w:ascii="Times New Roman" w:hAnsi="Times New Roman" w:cs="Times New Roman"/>
                <w:color w:val="000000" w:themeColor="text1"/>
                <w:sz w:val="24"/>
                <w:szCs w:val="24"/>
              </w:rPr>
              <w:t>granta</w:t>
            </w:r>
            <w:proofErr w:type="spellEnd"/>
            <w:r>
              <w:rPr>
                <w:rFonts w:ascii="Times New Roman" w:hAnsi="Times New Roman" w:cs="Times New Roman"/>
                <w:color w:val="000000" w:themeColor="text1"/>
                <w:sz w:val="24"/>
                <w:szCs w:val="24"/>
              </w:rPr>
              <w:t xml:space="preserve"> pieteikuma iesniegšanas sabiedrībā “</w:t>
            </w:r>
            <w:proofErr w:type="spellStart"/>
            <w:r>
              <w:rPr>
                <w:rFonts w:ascii="Times New Roman" w:hAnsi="Times New Roman" w:cs="Times New Roman"/>
                <w:color w:val="000000" w:themeColor="text1"/>
                <w:sz w:val="24"/>
                <w:szCs w:val="24"/>
              </w:rPr>
              <w:t>Altum</w:t>
            </w:r>
            <w:proofErr w:type="spellEnd"/>
            <w:r>
              <w:rPr>
                <w:rFonts w:ascii="Times New Roman" w:hAnsi="Times New Roman" w:cs="Times New Roman"/>
                <w:color w:val="000000" w:themeColor="text1"/>
                <w:sz w:val="24"/>
                <w:szCs w:val="24"/>
              </w:rPr>
              <w:t>” nav nepieciešams saņemt sabiedrības “</w:t>
            </w:r>
            <w:proofErr w:type="spellStart"/>
            <w:r>
              <w:rPr>
                <w:rFonts w:ascii="Times New Roman" w:hAnsi="Times New Roman" w:cs="Times New Roman"/>
                <w:color w:val="000000" w:themeColor="text1"/>
                <w:sz w:val="24"/>
                <w:szCs w:val="24"/>
              </w:rPr>
              <w:t>Altum</w:t>
            </w:r>
            <w:proofErr w:type="spellEnd"/>
            <w:r>
              <w:rPr>
                <w:rFonts w:ascii="Times New Roman" w:hAnsi="Times New Roman" w:cs="Times New Roman"/>
                <w:color w:val="000000" w:themeColor="text1"/>
                <w:sz w:val="24"/>
                <w:szCs w:val="24"/>
              </w:rPr>
              <w:t xml:space="preserve">” atzinumu par </w:t>
            </w:r>
            <w:r w:rsidRPr="00156323">
              <w:rPr>
                <w:rFonts w:ascii="Times New Roman" w:hAnsi="Times New Roman" w:cs="Times New Roman"/>
                <w:color w:val="000000" w:themeColor="text1"/>
                <w:sz w:val="24"/>
                <w:szCs w:val="24"/>
              </w:rPr>
              <w:t>energoefektivitātes paaugstināšanas tehnisko dokumentāciju</w:t>
            </w:r>
            <w:r>
              <w:rPr>
                <w:rFonts w:ascii="Times New Roman" w:hAnsi="Times New Roman" w:cs="Times New Roman"/>
                <w:color w:val="000000" w:themeColor="text1"/>
                <w:sz w:val="24"/>
                <w:szCs w:val="24"/>
              </w:rPr>
              <w:t>. Sabiedrība “</w:t>
            </w:r>
            <w:proofErr w:type="spellStart"/>
            <w:r>
              <w:rPr>
                <w:rFonts w:ascii="Times New Roman" w:hAnsi="Times New Roman" w:cs="Times New Roman"/>
                <w:color w:val="000000" w:themeColor="text1"/>
                <w:sz w:val="24"/>
                <w:szCs w:val="24"/>
              </w:rPr>
              <w:t>Altum</w:t>
            </w:r>
            <w:proofErr w:type="spellEnd"/>
            <w:r>
              <w:rPr>
                <w:rFonts w:ascii="Times New Roman" w:hAnsi="Times New Roman" w:cs="Times New Roman"/>
                <w:color w:val="000000" w:themeColor="text1"/>
                <w:sz w:val="24"/>
                <w:szCs w:val="24"/>
              </w:rPr>
              <w:t xml:space="preserve">” veiks tehniskās dokumentācijas </w:t>
            </w:r>
            <w:proofErr w:type="spellStart"/>
            <w:r>
              <w:rPr>
                <w:rFonts w:ascii="Times New Roman" w:hAnsi="Times New Roman" w:cs="Times New Roman"/>
                <w:color w:val="000000" w:themeColor="text1"/>
                <w:sz w:val="24"/>
                <w:szCs w:val="24"/>
              </w:rPr>
              <w:t>izvērtējumu</w:t>
            </w:r>
            <w:proofErr w:type="spellEnd"/>
            <w:r>
              <w:rPr>
                <w:rFonts w:ascii="Times New Roman" w:hAnsi="Times New Roman" w:cs="Times New Roman"/>
                <w:color w:val="000000" w:themeColor="text1"/>
                <w:sz w:val="24"/>
                <w:szCs w:val="24"/>
              </w:rPr>
              <w:t xml:space="preserve"> tad, kad pilnvarotā persona iesniegs </w:t>
            </w:r>
            <w:proofErr w:type="spellStart"/>
            <w:r>
              <w:rPr>
                <w:rFonts w:ascii="Times New Roman" w:hAnsi="Times New Roman" w:cs="Times New Roman"/>
                <w:color w:val="000000" w:themeColor="text1"/>
                <w:sz w:val="24"/>
                <w:szCs w:val="24"/>
              </w:rPr>
              <w:t>granta</w:t>
            </w:r>
            <w:proofErr w:type="spellEnd"/>
            <w:r>
              <w:rPr>
                <w:rFonts w:ascii="Times New Roman" w:hAnsi="Times New Roman" w:cs="Times New Roman"/>
                <w:color w:val="000000" w:themeColor="text1"/>
                <w:sz w:val="24"/>
                <w:szCs w:val="24"/>
              </w:rPr>
              <w:t xml:space="preserve"> pieteikumu, jo šajā </w:t>
            </w:r>
            <w:r>
              <w:rPr>
                <w:rFonts w:ascii="Times New Roman" w:hAnsi="Times New Roman" w:cs="Times New Roman"/>
                <w:color w:val="000000" w:themeColor="text1"/>
                <w:sz w:val="24"/>
                <w:szCs w:val="24"/>
              </w:rPr>
              <w:lastRenderedPageBreak/>
              <w:t>brīdī ESKO būs nodrošinājusi tehniskās dokumentācijas un detalizēta projekta budžeta izstrādi. Sabiedrība “</w:t>
            </w:r>
            <w:proofErr w:type="spellStart"/>
            <w:r>
              <w:rPr>
                <w:rFonts w:ascii="Times New Roman" w:hAnsi="Times New Roman" w:cs="Times New Roman"/>
                <w:color w:val="000000" w:themeColor="text1"/>
                <w:sz w:val="24"/>
                <w:szCs w:val="24"/>
              </w:rPr>
              <w:t>Altum</w:t>
            </w:r>
            <w:proofErr w:type="spellEnd"/>
            <w:r>
              <w:rPr>
                <w:rFonts w:ascii="Times New Roman" w:hAnsi="Times New Roman" w:cs="Times New Roman"/>
                <w:color w:val="000000" w:themeColor="text1"/>
                <w:sz w:val="24"/>
                <w:szCs w:val="24"/>
              </w:rPr>
              <w:t xml:space="preserve">” ESKO nesniegs atzinumu par tehniskās dokumentācijas kvalitāti, vienlaikus saskaņā ar iekšējām procedūrām nodrošinot </w:t>
            </w:r>
            <w:proofErr w:type="spellStart"/>
            <w:r>
              <w:rPr>
                <w:rFonts w:ascii="Times New Roman" w:hAnsi="Times New Roman" w:cs="Times New Roman"/>
                <w:color w:val="000000" w:themeColor="text1"/>
                <w:sz w:val="24"/>
                <w:szCs w:val="24"/>
              </w:rPr>
              <w:t>izvērtējumu</w:t>
            </w:r>
            <w:proofErr w:type="spellEnd"/>
            <w:r>
              <w:rPr>
                <w:rFonts w:ascii="Times New Roman" w:hAnsi="Times New Roman" w:cs="Times New Roman"/>
                <w:color w:val="000000" w:themeColor="text1"/>
                <w:sz w:val="24"/>
                <w:szCs w:val="24"/>
              </w:rPr>
              <w:t xml:space="preserve"> par tehnisko risinājumu atbilstību spēkā esošajiem būvnormatīviem un ēkas </w:t>
            </w:r>
            <w:proofErr w:type="spellStart"/>
            <w:r>
              <w:rPr>
                <w:rFonts w:ascii="Times New Roman" w:hAnsi="Times New Roman" w:cs="Times New Roman"/>
                <w:color w:val="000000" w:themeColor="text1"/>
                <w:sz w:val="24"/>
                <w:szCs w:val="24"/>
              </w:rPr>
              <w:t>energosertifikātam</w:t>
            </w:r>
            <w:proofErr w:type="spellEnd"/>
            <w:r>
              <w:rPr>
                <w:rFonts w:ascii="Times New Roman" w:hAnsi="Times New Roman" w:cs="Times New Roman"/>
                <w:color w:val="000000" w:themeColor="text1"/>
                <w:sz w:val="24"/>
                <w:szCs w:val="24"/>
              </w:rPr>
              <w:t>.</w:t>
            </w:r>
          </w:p>
          <w:p w14:paraId="6CB8A18E" w14:textId="06D34F30" w:rsidR="00CD2F80" w:rsidRPr="003D1800" w:rsidRDefault="00CD2F80" w:rsidP="00CD2F80">
            <w:pPr>
              <w:pStyle w:val="ListParagraph"/>
              <w:numPr>
                <w:ilvl w:val="0"/>
                <w:numId w:val="2"/>
              </w:numPr>
              <w:ind w:left="36" w:firstLine="283"/>
              <w:jc w:val="both"/>
              <w:rPr>
                <w:color w:val="000000" w:themeColor="text1"/>
                <w:sz w:val="24"/>
                <w:szCs w:val="24"/>
              </w:rPr>
            </w:pPr>
            <w:r w:rsidRPr="003D1800">
              <w:rPr>
                <w:b/>
                <w:bCs/>
                <w:i/>
                <w:iCs/>
                <w:color w:val="000000" w:themeColor="text1"/>
                <w:sz w:val="24"/>
                <w:szCs w:val="24"/>
                <w:u w:val="single"/>
              </w:rPr>
              <w:t>Noteikt, ka, ja energoefektivitātes paaugstināšanas pasākumu īstenošanu nodrošina ESKO, MK noteikumu Nr. 160 41. punktu nepiemēro.</w:t>
            </w:r>
          </w:p>
          <w:p w14:paraId="021AC67A" w14:textId="0649FF2E" w:rsidR="00CD2F80" w:rsidRPr="003D1800" w:rsidRDefault="00CD2F80" w:rsidP="00CD2F80">
            <w:pPr>
              <w:spacing w:after="0" w:line="240" w:lineRule="auto"/>
              <w:jc w:val="both"/>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MK noteikumi Nr. 160 tiek papildināti ar 41.</w:t>
            </w:r>
            <w:r w:rsidRPr="00C5175B">
              <w:rPr>
                <w:rFonts w:ascii="Times New Roman" w:eastAsia="Times New Roman" w:hAnsi="Times New Roman" w:cs="Times New Roman"/>
                <w:iCs/>
                <w:color w:val="000000" w:themeColor="text1"/>
                <w:sz w:val="24"/>
                <w:szCs w:val="24"/>
                <w:vertAlign w:val="superscript"/>
                <w:lang w:eastAsia="lv-LV"/>
              </w:rPr>
              <w:t>1</w:t>
            </w:r>
            <w:r w:rsidRPr="003D1800">
              <w:rPr>
                <w:rFonts w:ascii="Times New Roman" w:eastAsia="Times New Roman" w:hAnsi="Times New Roman" w:cs="Times New Roman"/>
                <w:iCs/>
                <w:color w:val="000000" w:themeColor="text1"/>
                <w:sz w:val="24"/>
                <w:szCs w:val="24"/>
                <w:lang w:eastAsia="lv-LV"/>
              </w:rPr>
              <w:t xml:space="preserve"> punktu, kas nosaka, ka, ja energoefektivitātes paaugstināšanas pasākumu īstenošanu nodrošina energoefektivitātes pakalpojumu sniedzējs, tas nodrošina, ka būvkomersants, autoruzraugs, būvuzraugs un citi piegādātāji, kas veiks energoefektivitātes projekta īstenošanu atbilst sabiedrības “</w:t>
            </w:r>
            <w:proofErr w:type="spellStart"/>
            <w:r w:rsidRPr="003D1800">
              <w:rPr>
                <w:rFonts w:ascii="Times New Roman" w:eastAsia="Times New Roman" w:hAnsi="Times New Roman" w:cs="Times New Roman"/>
                <w:iCs/>
                <w:color w:val="000000" w:themeColor="text1"/>
                <w:sz w:val="24"/>
                <w:szCs w:val="24"/>
                <w:lang w:eastAsia="lv-LV"/>
              </w:rPr>
              <w:t>Altum</w:t>
            </w:r>
            <w:proofErr w:type="spellEnd"/>
            <w:r w:rsidRPr="003D1800">
              <w:rPr>
                <w:rFonts w:ascii="Times New Roman" w:eastAsia="Times New Roman" w:hAnsi="Times New Roman" w:cs="Times New Roman"/>
                <w:iCs/>
                <w:color w:val="000000" w:themeColor="text1"/>
                <w:sz w:val="24"/>
                <w:szCs w:val="24"/>
                <w:lang w:eastAsia="lv-LV"/>
              </w:rPr>
              <w:t>” norādījumiem. Šī norma paredz, ka sabiedrība “</w:t>
            </w:r>
            <w:proofErr w:type="spellStart"/>
            <w:r w:rsidRPr="003D1800">
              <w:rPr>
                <w:rFonts w:ascii="Times New Roman" w:eastAsia="Times New Roman" w:hAnsi="Times New Roman" w:cs="Times New Roman"/>
                <w:iCs/>
                <w:color w:val="000000" w:themeColor="text1"/>
                <w:sz w:val="24"/>
                <w:szCs w:val="24"/>
                <w:lang w:eastAsia="lv-LV"/>
              </w:rPr>
              <w:t>Altum</w:t>
            </w:r>
            <w:proofErr w:type="spellEnd"/>
            <w:r w:rsidRPr="003D1800">
              <w:rPr>
                <w:rFonts w:ascii="Times New Roman" w:eastAsia="Times New Roman" w:hAnsi="Times New Roman" w:cs="Times New Roman"/>
                <w:iCs/>
                <w:color w:val="000000" w:themeColor="text1"/>
                <w:sz w:val="24"/>
                <w:szCs w:val="24"/>
                <w:lang w:eastAsia="lv-LV"/>
              </w:rPr>
              <w:t>” pārliecināsies par visu projekta īstenošanā iesaistīto pušu atbilstību labākajai praksei atbilstoši esošajai piegādātāju pārbaudes kārtībai 4.2.1.1. pasākuma ietvaros – sabiedrība “</w:t>
            </w:r>
            <w:proofErr w:type="spellStart"/>
            <w:r w:rsidRPr="003D1800">
              <w:rPr>
                <w:rFonts w:ascii="Times New Roman" w:eastAsia="Times New Roman" w:hAnsi="Times New Roman" w:cs="Times New Roman"/>
                <w:iCs/>
                <w:color w:val="000000" w:themeColor="text1"/>
                <w:sz w:val="24"/>
                <w:szCs w:val="24"/>
                <w:lang w:eastAsia="lv-LV"/>
              </w:rPr>
              <w:t>Altum</w:t>
            </w:r>
            <w:proofErr w:type="spellEnd"/>
            <w:r w:rsidRPr="003D1800">
              <w:rPr>
                <w:rFonts w:ascii="Times New Roman" w:eastAsia="Times New Roman" w:hAnsi="Times New Roman" w:cs="Times New Roman"/>
                <w:iCs/>
                <w:color w:val="000000" w:themeColor="text1"/>
                <w:sz w:val="24"/>
                <w:szCs w:val="24"/>
                <w:lang w:eastAsia="lv-LV"/>
              </w:rPr>
              <w:t>” izvērtēs būvkomersantu un piedāvājuma atbilstību tehniskajai dokumentācijai, kā arī veiks projekta uzraudzību, t.sk. pēc objekta pabeigšanas, lai pārliecinātos par veikto darbu atbilstību apstiprinātajam projektam.</w:t>
            </w:r>
          </w:p>
          <w:p w14:paraId="583CF82E" w14:textId="77777777" w:rsidR="00CD2F80" w:rsidRPr="003D1800" w:rsidRDefault="00CD2F80" w:rsidP="00CD2F80">
            <w:pPr>
              <w:spacing w:after="0" w:line="240" w:lineRule="auto"/>
              <w:ind w:firstLine="533"/>
              <w:jc w:val="both"/>
              <w:rPr>
                <w:rFonts w:ascii="Times New Roman" w:eastAsia="Times New Roman" w:hAnsi="Times New Roman" w:cs="Times New Roman"/>
                <w:iCs/>
                <w:color w:val="000000" w:themeColor="text1"/>
                <w:sz w:val="24"/>
                <w:szCs w:val="24"/>
                <w:lang w:eastAsia="lv-LV"/>
              </w:rPr>
            </w:pPr>
          </w:p>
          <w:p w14:paraId="3609EFF4" w14:textId="77777777" w:rsidR="00CD2F80" w:rsidRPr="003D1800" w:rsidRDefault="00CD2F80" w:rsidP="00CD2F80">
            <w:pPr>
              <w:pStyle w:val="ListParagraph"/>
              <w:numPr>
                <w:ilvl w:val="0"/>
                <w:numId w:val="2"/>
              </w:numPr>
              <w:ind w:left="36" w:firstLine="283"/>
              <w:jc w:val="both"/>
              <w:rPr>
                <w:color w:val="000000" w:themeColor="text1"/>
                <w:sz w:val="24"/>
                <w:szCs w:val="24"/>
              </w:rPr>
            </w:pPr>
            <w:r w:rsidRPr="003D1800">
              <w:rPr>
                <w:b/>
                <w:bCs/>
                <w:i/>
                <w:iCs/>
                <w:color w:val="000000" w:themeColor="text1"/>
                <w:sz w:val="24"/>
                <w:szCs w:val="24"/>
                <w:u w:val="single"/>
              </w:rPr>
              <w:t>Dzīvokļu īpašnieku pilnvarotā persona var veikt energoefektivitātes pakalpojuma sniedzēja atlasi energoefektivitātes paaugstināšanas pasākumu īstenošanai.</w:t>
            </w:r>
          </w:p>
          <w:p w14:paraId="5DF65E5E" w14:textId="77777777" w:rsidR="00114642" w:rsidRDefault="00CD2F80" w:rsidP="00CD2F80">
            <w:pPr>
              <w:spacing w:after="0" w:line="240" w:lineRule="auto"/>
              <w:jc w:val="both"/>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Ierosinātās izmaiņas MK noteikumu Nr. 160 68.</w:t>
            </w:r>
            <w:r w:rsidRPr="00C5175B">
              <w:rPr>
                <w:rFonts w:ascii="Times New Roman" w:eastAsia="Times New Roman" w:hAnsi="Times New Roman" w:cs="Times New Roman"/>
                <w:iCs/>
                <w:color w:val="000000" w:themeColor="text1"/>
                <w:sz w:val="24"/>
                <w:szCs w:val="24"/>
                <w:vertAlign w:val="superscript"/>
                <w:lang w:eastAsia="lv-LV"/>
              </w:rPr>
              <w:t>1</w:t>
            </w:r>
            <w:r w:rsidRPr="003D1800">
              <w:rPr>
                <w:rFonts w:ascii="Times New Roman" w:eastAsia="Times New Roman" w:hAnsi="Times New Roman" w:cs="Times New Roman"/>
                <w:iCs/>
                <w:color w:val="000000" w:themeColor="text1"/>
                <w:sz w:val="24"/>
                <w:szCs w:val="24"/>
                <w:lang w:eastAsia="lv-LV"/>
              </w:rPr>
              <w:t xml:space="preserve"> punktā nosaka, ka ESKO atlases ietvaros pasūtītājam (dzīvokļu īpašnieku pilnvarotajai personai) būs jāievēro prasības par interešu konflikta neesamību, kā arī sabiedrības “</w:t>
            </w:r>
            <w:proofErr w:type="spellStart"/>
            <w:r w:rsidRPr="003D1800">
              <w:rPr>
                <w:rFonts w:ascii="Times New Roman" w:eastAsia="Times New Roman" w:hAnsi="Times New Roman" w:cs="Times New Roman"/>
                <w:iCs/>
                <w:color w:val="000000" w:themeColor="text1"/>
                <w:sz w:val="24"/>
                <w:szCs w:val="24"/>
                <w:lang w:eastAsia="lv-LV"/>
              </w:rPr>
              <w:t>Altum</w:t>
            </w:r>
            <w:proofErr w:type="spellEnd"/>
            <w:r w:rsidRPr="003D1800">
              <w:rPr>
                <w:rFonts w:ascii="Times New Roman" w:eastAsia="Times New Roman" w:hAnsi="Times New Roman" w:cs="Times New Roman"/>
                <w:iCs/>
                <w:color w:val="000000" w:themeColor="text1"/>
                <w:sz w:val="24"/>
                <w:szCs w:val="24"/>
                <w:lang w:eastAsia="lv-LV"/>
              </w:rPr>
              <w:t>” norādījumi, kas šajā gadījumā būs ESKO atlases vadlīnijas.</w:t>
            </w:r>
          </w:p>
          <w:p w14:paraId="65D7CBD0" w14:textId="76C8C96D" w:rsidR="00CD2F80" w:rsidRDefault="00C5175B" w:rsidP="00CD2F80">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w:t>
            </w:r>
            <w:r w:rsidRPr="002F242F">
              <w:rPr>
                <w:rFonts w:ascii="Times New Roman" w:eastAsia="Times New Roman" w:hAnsi="Times New Roman" w:cs="Times New Roman"/>
                <w:iCs/>
                <w:color w:val="000000" w:themeColor="text1"/>
                <w:sz w:val="24"/>
                <w:szCs w:val="24"/>
                <w:lang w:eastAsia="lv-LV"/>
              </w:rPr>
              <w:t>orādījumu izstrādes būtība ir nodrošināt atklātu, pārredzamu, nediskriminējošu un konkurenci nodrošinošu konkursa procedūru</w:t>
            </w:r>
            <w:r>
              <w:rPr>
                <w:rFonts w:ascii="Times New Roman" w:eastAsia="Times New Roman" w:hAnsi="Times New Roman" w:cs="Times New Roman"/>
                <w:iCs/>
                <w:color w:val="000000" w:themeColor="text1"/>
                <w:sz w:val="24"/>
                <w:szCs w:val="24"/>
                <w:lang w:eastAsia="lv-LV"/>
              </w:rPr>
              <w:t>, t</w:t>
            </w:r>
            <w:r w:rsidRPr="002F242F">
              <w:rPr>
                <w:rFonts w:ascii="Times New Roman" w:eastAsia="Times New Roman" w:hAnsi="Times New Roman" w:cs="Times New Roman"/>
                <w:iCs/>
                <w:color w:val="000000" w:themeColor="text1"/>
                <w:sz w:val="24"/>
                <w:szCs w:val="24"/>
                <w:lang w:eastAsia="lv-LV"/>
              </w:rPr>
              <w:t xml:space="preserve">āpat kā tas ir ar būvkomersantu atlasi, kas netiek veikta saskaņā ar Publisko iepirkumu likumu, bet gan saskaņā ar </w:t>
            </w:r>
            <w:r w:rsidR="00F11DEA">
              <w:rPr>
                <w:rFonts w:ascii="Times New Roman" w:eastAsia="Times New Roman" w:hAnsi="Times New Roman" w:cs="Times New Roman"/>
                <w:iCs/>
                <w:color w:val="000000" w:themeColor="text1"/>
                <w:sz w:val="24"/>
                <w:szCs w:val="24"/>
                <w:lang w:eastAsia="lv-LV"/>
              </w:rPr>
              <w:t>sabiedrības “</w:t>
            </w:r>
            <w:proofErr w:type="spellStart"/>
            <w:r w:rsidRPr="002F242F">
              <w:rPr>
                <w:rFonts w:ascii="Times New Roman" w:eastAsia="Times New Roman" w:hAnsi="Times New Roman" w:cs="Times New Roman"/>
                <w:iCs/>
                <w:color w:val="000000" w:themeColor="text1"/>
                <w:sz w:val="24"/>
                <w:szCs w:val="24"/>
                <w:lang w:eastAsia="lv-LV"/>
              </w:rPr>
              <w:t>Altum</w:t>
            </w:r>
            <w:proofErr w:type="spellEnd"/>
            <w:r w:rsidR="00F11DEA">
              <w:rPr>
                <w:rFonts w:ascii="Times New Roman" w:eastAsia="Times New Roman" w:hAnsi="Times New Roman" w:cs="Times New Roman"/>
                <w:iCs/>
                <w:color w:val="000000" w:themeColor="text1"/>
                <w:sz w:val="24"/>
                <w:szCs w:val="24"/>
                <w:lang w:eastAsia="lv-LV"/>
              </w:rPr>
              <w:t>”</w:t>
            </w:r>
            <w:r w:rsidRPr="002F242F">
              <w:rPr>
                <w:rFonts w:ascii="Times New Roman" w:eastAsia="Times New Roman" w:hAnsi="Times New Roman" w:cs="Times New Roman"/>
                <w:iCs/>
                <w:color w:val="000000" w:themeColor="text1"/>
                <w:sz w:val="24"/>
                <w:szCs w:val="24"/>
                <w:lang w:eastAsia="lv-LV"/>
              </w:rPr>
              <w:t xml:space="preserve"> vadlīnijām</w:t>
            </w:r>
            <w:r w:rsidR="001E567D">
              <w:rPr>
                <w:rStyle w:val="FootnoteReference"/>
                <w:rFonts w:ascii="Times New Roman" w:eastAsia="Times New Roman" w:hAnsi="Times New Roman" w:cs="Times New Roman"/>
                <w:iCs/>
                <w:color w:val="000000" w:themeColor="text1"/>
                <w:sz w:val="24"/>
                <w:szCs w:val="24"/>
                <w:lang w:eastAsia="lv-LV"/>
              </w:rPr>
              <w:footnoteReference w:id="1"/>
            </w:r>
            <w:r w:rsidRPr="002F242F">
              <w:rPr>
                <w:rFonts w:ascii="Times New Roman" w:eastAsia="Times New Roman" w:hAnsi="Times New Roman" w:cs="Times New Roman"/>
                <w:iCs/>
                <w:color w:val="000000" w:themeColor="text1"/>
                <w:sz w:val="24"/>
                <w:szCs w:val="24"/>
                <w:lang w:eastAsia="lv-LV"/>
              </w:rPr>
              <w:t>.</w:t>
            </w:r>
          </w:p>
          <w:p w14:paraId="4E62A1B4" w14:textId="77777777" w:rsidR="00F441DB" w:rsidRDefault="00F441DB" w:rsidP="00F441DB">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Sabiedrības “</w:t>
            </w:r>
            <w:proofErr w:type="spellStart"/>
            <w:r>
              <w:rPr>
                <w:rFonts w:ascii="Times New Roman" w:eastAsia="Times New Roman" w:hAnsi="Times New Roman" w:cs="Times New Roman"/>
                <w:iCs/>
                <w:color w:val="000000" w:themeColor="text1"/>
                <w:sz w:val="24"/>
                <w:szCs w:val="24"/>
                <w:lang w:eastAsia="lv-LV"/>
              </w:rPr>
              <w:t>Altum</w:t>
            </w:r>
            <w:proofErr w:type="spellEnd"/>
            <w:r>
              <w:rPr>
                <w:rFonts w:ascii="Times New Roman" w:eastAsia="Times New Roman" w:hAnsi="Times New Roman" w:cs="Times New Roman"/>
                <w:iCs/>
                <w:color w:val="000000" w:themeColor="text1"/>
                <w:sz w:val="24"/>
                <w:szCs w:val="24"/>
                <w:lang w:eastAsia="lv-LV"/>
              </w:rPr>
              <w:t>” vadlīnijas tiks publicētas sabiedrības “</w:t>
            </w:r>
            <w:proofErr w:type="spellStart"/>
            <w:r>
              <w:rPr>
                <w:rFonts w:ascii="Times New Roman" w:eastAsia="Times New Roman" w:hAnsi="Times New Roman" w:cs="Times New Roman"/>
                <w:iCs/>
                <w:color w:val="000000" w:themeColor="text1"/>
                <w:sz w:val="24"/>
                <w:szCs w:val="24"/>
                <w:lang w:eastAsia="lv-LV"/>
              </w:rPr>
              <w:t>Altum</w:t>
            </w:r>
            <w:proofErr w:type="spellEnd"/>
            <w:r>
              <w:rPr>
                <w:rFonts w:ascii="Times New Roman" w:eastAsia="Times New Roman" w:hAnsi="Times New Roman" w:cs="Times New Roman"/>
                <w:iCs/>
                <w:color w:val="000000" w:themeColor="text1"/>
                <w:sz w:val="24"/>
                <w:szCs w:val="24"/>
                <w:lang w:eastAsia="lv-LV"/>
              </w:rPr>
              <w:t>” tīmekļa vietnē, paredzot šādus atlases pamatprincipus:</w:t>
            </w:r>
          </w:p>
          <w:p w14:paraId="38E254A7" w14:textId="77777777" w:rsidR="00F441DB" w:rsidRDefault="00F441DB" w:rsidP="00F441DB">
            <w:pPr>
              <w:pStyle w:val="ListParagraph"/>
              <w:numPr>
                <w:ilvl w:val="0"/>
                <w:numId w:val="6"/>
              </w:numPr>
              <w:ind w:left="0" w:firstLine="31"/>
              <w:jc w:val="both"/>
              <w:rPr>
                <w:iCs/>
                <w:color w:val="000000" w:themeColor="text1"/>
                <w:sz w:val="24"/>
                <w:szCs w:val="24"/>
              </w:rPr>
            </w:pPr>
            <w:r>
              <w:rPr>
                <w:iCs/>
                <w:color w:val="000000" w:themeColor="text1"/>
                <w:sz w:val="24"/>
                <w:szCs w:val="24"/>
              </w:rPr>
              <w:lastRenderedPageBreak/>
              <w:t>Pilnvarotā persona izstrādā piegādātāju atlases nolikumu (tāpat kā būvkomersantu  atlasei, arī ESKO atlasei sabiedrība “</w:t>
            </w:r>
            <w:proofErr w:type="spellStart"/>
            <w:r>
              <w:rPr>
                <w:iCs/>
                <w:color w:val="000000" w:themeColor="text1"/>
                <w:sz w:val="24"/>
                <w:szCs w:val="24"/>
              </w:rPr>
              <w:t>Altum</w:t>
            </w:r>
            <w:proofErr w:type="spellEnd"/>
            <w:r>
              <w:rPr>
                <w:iCs/>
                <w:color w:val="000000" w:themeColor="text1"/>
                <w:sz w:val="24"/>
                <w:szCs w:val="24"/>
              </w:rPr>
              <w:t xml:space="preserve">” izstrādās standarta atlases nolikumu) un </w:t>
            </w:r>
            <w:proofErr w:type="spellStart"/>
            <w:r>
              <w:rPr>
                <w:iCs/>
                <w:color w:val="000000" w:themeColor="text1"/>
                <w:sz w:val="24"/>
                <w:szCs w:val="24"/>
              </w:rPr>
              <w:t>nosūta</w:t>
            </w:r>
            <w:proofErr w:type="spellEnd"/>
            <w:r>
              <w:rPr>
                <w:iCs/>
                <w:color w:val="000000" w:themeColor="text1"/>
                <w:sz w:val="24"/>
                <w:szCs w:val="24"/>
              </w:rPr>
              <w:t xml:space="preserve"> to paziņojumu par atlasi sabiedrībai “</w:t>
            </w:r>
            <w:proofErr w:type="spellStart"/>
            <w:r>
              <w:rPr>
                <w:iCs/>
                <w:color w:val="000000" w:themeColor="text1"/>
                <w:sz w:val="24"/>
                <w:szCs w:val="24"/>
              </w:rPr>
              <w:t>Altum</w:t>
            </w:r>
            <w:proofErr w:type="spellEnd"/>
            <w:r>
              <w:rPr>
                <w:iCs/>
                <w:color w:val="000000" w:themeColor="text1"/>
                <w:sz w:val="24"/>
                <w:szCs w:val="24"/>
              </w:rPr>
              <w:t>”.</w:t>
            </w:r>
          </w:p>
          <w:p w14:paraId="5DD65179" w14:textId="77777777" w:rsidR="00F441DB" w:rsidRPr="005C7E25" w:rsidRDefault="00F441DB" w:rsidP="00F441DB">
            <w:pPr>
              <w:pStyle w:val="ListParagraph"/>
              <w:numPr>
                <w:ilvl w:val="0"/>
                <w:numId w:val="6"/>
              </w:numPr>
              <w:ind w:left="0" w:firstLine="31"/>
              <w:jc w:val="both"/>
              <w:rPr>
                <w:iCs/>
                <w:color w:val="000000" w:themeColor="text1"/>
                <w:sz w:val="24"/>
                <w:szCs w:val="24"/>
              </w:rPr>
            </w:pPr>
            <w:r>
              <w:rPr>
                <w:iCs/>
                <w:color w:val="000000" w:themeColor="text1"/>
                <w:sz w:val="24"/>
                <w:szCs w:val="24"/>
              </w:rPr>
              <w:t>Sabiedrība “</w:t>
            </w:r>
            <w:proofErr w:type="spellStart"/>
            <w:r>
              <w:rPr>
                <w:iCs/>
                <w:color w:val="000000" w:themeColor="text1"/>
                <w:sz w:val="24"/>
                <w:szCs w:val="24"/>
              </w:rPr>
              <w:t>Altum</w:t>
            </w:r>
            <w:proofErr w:type="spellEnd"/>
            <w:r>
              <w:rPr>
                <w:iCs/>
                <w:color w:val="000000" w:themeColor="text1"/>
                <w:sz w:val="24"/>
                <w:szCs w:val="24"/>
              </w:rPr>
              <w:t>” paziņojumu publicē savā mājas lapā.</w:t>
            </w:r>
          </w:p>
          <w:p w14:paraId="020081C0" w14:textId="77777777" w:rsidR="00F441DB" w:rsidRDefault="00F441DB" w:rsidP="00F441DB">
            <w:pPr>
              <w:pStyle w:val="ListParagraph"/>
              <w:numPr>
                <w:ilvl w:val="0"/>
                <w:numId w:val="6"/>
              </w:numPr>
              <w:ind w:left="0" w:firstLine="31"/>
              <w:jc w:val="both"/>
              <w:rPr>
                <w:iCs/>
                <w:color w:val="000000" w:themeColor="text1"/>
                <w:sz w:val="24"/>
                <w:szCs w:val="24"/>
              </w:rPr>
            </w:pPr>
            <w:r>
              <w:rPr>
                <w:iCs/>
                <w:color w:val="000000" w:themeColor="text1"/>
                <w:sz w:val="24"/>
                <w:szCs w:val="24"/>
              </w:rPr>
              <w:t>Pilnvarotā persona veic piedāvājumu vērtēšanu un pieņem lēmumu šādos posmos:</w:t>
            </w:r>
          </w:p>
          <w:p w14:paraId="687E60B7" w14:textId="77777777" w:rsidR="00F441DB" w:rsidRDefault="00F441DB" w:rsidP="00F441DB">
            <w:pPr>
              <w:pStyle w:val="ListParagraph"/>
              <w:numPr>
                <w:ilvl w:val="1"/>
                <w:numId w:val="7"/>
              </w:numPr>
              <w:ind w:left="533" w:firstLine="0"/>
              <w:jc w:val="both"/>
              <w:rPr>
                <w:iCs/>
                <w:color w:val="000000" w:themeColor="text1"/>
                <w:sz w:val="24"/>
                <w:szCs w:val="24"/>
              </w:rPr>
            </w:pPr>
            <w:r>
              <w:rPr>
                <w:iCs/>
                <w:color w:val="000000" w:themeColor="text1"/>
                <w:sz w:val="24"/>
                <w:szCs w:val="24"/>
              </w:rPr>
              <w:t xml:space="preserve">veic piedāvājumu </w:t>
            </w:r>
            <w:r w:rsidRPr="00D24EAD">
              <w:rPr>
                <w:iCs/>
                <w:color w:val="000000" w:themeColor="text1"/>
                <w:sz w:val="24"/>
                <w:szCs w:val="24"/>
              </w:rPr>
              <w:t>noformējuma un iesniegto dokumentu atbilstības pārbaud</w:t>
            </w:r>
            <w:r>
              <w:rPr>
                <w:iCs/>
                <w:color w:val="000000" w:themeColor="text1"/>
                <w:sz w:val="24"/>
                <w:szCs w:val="24"/>
              </w:rPr>
              <w:t>i;</w:t>
            </w:r>
          </w:p>
          <w:p w14:paraId="53512EA3" w14:textId="77777777" w:rsidR="00F441DB" w:rsidRDefault="00F441DB" w:rsidP="00F441DB">
            <w:pPr>
              <w:pStyle w:val="ListParagraph"/>
              <w:numPr>
                <w:ilvl w:val="1"/>
                <w:numId w:val="7"/>
              </w:numPr>
              <w:ind w:left="533" w:firstLine="0"/>
              <w:jc w:val="both"/>
              <w:rPr>
                <w:iCs/>
                <w:color w:val="000000" w:themeColor="text1"/>
                <w:sz w:val="24"/>
                <w:szCs w:val="24"/>
              </w:rPr>
            </w:pPr>
            <w:r>
              <w:rPr>
                <w:iCs/>
                <w:color w:val="000000" w:themeColor="text1"/>
                <w:sz w:val="24"/>
                <w:szCs w:val="24"/>
              </w:rPr>
              <w:t xml:space="preserve">veic </w:t>
            </w:r>
            <w:r w:rsidRPr="00D24EAD">
              <w:rPr>
                <w:iCs/>
                <w:color w:val="000000" w:themeColor="text1"/>
                <w:sz w:val="24"/>
                <w:szCs w:val="24"/>
              </w:rPr>
              <w:t>tehniskā piedāvājuma atbilstības pārbaud</w:t>
            </w:r>
            <w:r>
              <w:rPr>
                <w:iCs/>
                <w:color w:val="000000" w:themeColor="text1"/>
                <w:sz w:val="24"/>
                <w:szCs w:val="24"/>
              </w:rPr>
              <w:t>i</w:t>
            </w:r>
          </w:p>
          <w:p w14:paraId="6C77121B" w14:textId="77777777" w:rsidR="00F441DB" w:rsidRDefault="00F441DB" w:rsidP="00F441DB">
            <w:pPr>
              <w:pStyle w:val="ListParagraph"/>
              <w:numPr>
                <w:ilvl w:val="1"/>
                <w:numId w:val="7"/>
              </w:numPr>
              <w:ind w:left="533" w:firstLine="0"/>
              <w:jc w:val="both"/>
              <w:rPr>
                <w:iCs/>
                <w:color w:val="000000" w:themeColor="text1"/>
                <w:sz w:val="24"/>
                <w:szCs w:val="24"/>
              </w:rPr>
            </w:pPr>
            <w:r>
              <w:rPr>
                <w:iCs/>
                <w:color w:val="000000" w:themeColor="text1"/>
                <w:sz w:val="24"/>
                <w:szCs w:val="24"/>
              </w:rPr>
              <w:t xml:space="preserve">veic </w:t>
            </w:r>
            <w:r w:rsidRPr="00D24EAD">
              <w:rPr>
                <w:iCs/>
                <w:color w:val="000000" w:themeColor="text1"/>
                <w:sz w:val="24"/>
                <w:szCs w:val="24"/>
              </w:rPr>
              <w:t>finanšu piedāvājuma vērtēšan</w:t>
            </w:r>
            <w:r>
              <w:rPr>
                <w:iCs/>
                <w:color w:val="000000" w:themeColor="text1"/>
                <w:sz w:val="24"/>
                <w:szCs w:val="24"/>
              </w:rPr>
              <w:t>u.</w:t>
            </w:r>
          </w:p>
          <w:p w14:paraId="2EFE8F6B" w14:textId="77777777" w:rsidR="00F441DB" w:rsidRDefault="00F441DB" w:rsidP="00F441DB">
            <w:pPr>
              <w:pStyle w:val="ListParagraph"/>
              <w:ind w:left="0"/>
              <w:jc w:val="both"/>
              <w:rPr>
                <w:iCs/>
                <w:color w:val="000000" w:themeColor="text1"/>
                <w:sz w:val="24"/>
                <w:szCs w:val="24"/>
              </w:rPr>
            </w:pPr>
            <w:r>
              <w:rPr>
                <w:iCs/>
                <w:color w:val="000000" w:themeColor="text1"/>
                <w:sz w:val="24"/>
                <w:szCs w:val="24"/>
              </w:rPr>
              <w:t>Vērtēšanas un lēmumu pieņemšanas process pilnvarotajai personai ir jādokumentē.</w:t>
            </w:r>
          </w:p>
          <w:p w14:paraId="76D0CE37" w14:textId="77777777" w:rsidR="00F441DB" w:rsidRDefault="00F441DB" w:rsidP="00F441DB">
            <w:pPr>
              <w:pStyle w:val="ListParagraph"/>
              <w:numPr>
                <w:ilvl w:val="0"/>
                <w:numId w:val="6"/>
              </w:numPr>
              <w:ind w:left="0" w:firstLine="31"/>
              <w:jc w:val="both"/>
              <w:rPr>
                <w:iCs/>
                <w:color w:val="000000" w:themeColor="text1"/>
                <w:sz w:val="24"/>
                <w:szCs w:val="24"/>
              </w:rPr>
            </w:pPr>
            <w:r>
              <w:rPr>
                <w:iCs/>
                <w:color w:val="000000" w:themeColor="text1"/>
                <w:sz w:val="24"/>
                <w:szCs w:val="24"/>
              </w:rPr>
              <w:t>Pilnvarotā persona ar izvēlēto ESKO slēdz priekšlīgumu par tehniskās dokumentācijas izstrādi.</w:t>
            </w:r>
          </w:p>
          <w:p w14:paraId="438405B9" w14:textId="77777777" w:rsidR="00F441DB" w:rsidRDefault="00F441DB" w:rsidP="00F441DB">
            <w:pPr>
              <w:pStyle w:val="ListParagraph"/>
              <w:numPr>
                <w:ilvl w:val="0"/>
                <w:numId w:val="6"/>
              </w:numPr>
              <w:ind w:left="0" w:firstLine="31"/>
              <w:jc w:val="both"/>
              <w:rPr>
                <w:iCs/>
                <w:color w:val="000000" w:themeColor="text1"/>
                <w:sz w:val="24"/>
                <w:szCs w:val="24"/>
              </w:rPr>
            </w:pPr>
            <w:r>
              <w:rPr>
                <w:iCs/>
                <w:color w:val="000000" w:themeColor="text1"/>
                <w:sz w:val="24"/>
                <w:szCs w:val="24"/>
              </w:rPr>
              <w:t>ESKO izstrādā tehnisko dokumentāciju, kā arī detalizētu projekta budžetu.</w:t>
            </w:r>
          </w:p>
          <w:p w14:paraId="3ADC59DB" w14:textId="77777777" w:rsidR="00F441DB" w:rsidRDefault="00F441DB" w:rsidP="00F441DB">
            <w:pPr>
              <w:pStyle w:val="ListParagraph"/>
              <w:numPr>
                <w:ilvl w:val="0"/>
                <w:numId w:val="6"/>
              </w:numPr>
              <w:ind w:left="0" w:firstLine="31"/>
              <w:jc w:val="both"/>
              <w:rPr>
                <w:iCs/>
                <w:color w:val="000000" w:themeColor="text1"/>
                <w:sz w:val="24"/>
                <w:szCs w:val="24"/>
              </w:rPr>
            </w:pPr>
            <w:r>
              <w:rPr>
                <w:iCs/>
                <w:color w:val="000000" w:themeColor="text1"/>
                <w:sz w:val="24"/>
                <w:szCs w:val="24"/>
              </w:rPr>
              <w:t>Pilnvarotā persona iesniedz sabiedrībā “</w:t>
            </w:r>
            <w:proofErr w:type="spellStart"/>
            <w:r>
              <w:rPr>
                <w:iCs/>
                <w:color w:val="000000" w:themeColor="text1"/>
                <w:sz w:val="24"/>
                <w:szCs w:val="24"/>
              </w:rPr>
              <w:t>Altum</w:t>
            </w:r>
            <w:proofErr w:type="spellEnd"/>
            <w:r>
              <w:rPr>
                <w:iCs/>
                <w:color w:val="000000" w:themeColor="text1"/>
                <w:sz w:val="24"/>
                <w:szCs w:val="24"/>
              </w:rPr>
              <w:t xml:space="preserve">” </w:t>
            </w:r>
            <w:proofErr w:type="spellStart"/>
            <w:r>
              <w:rPr>
                <w:iCs/>
                <w:color w:val="000000" w:themeColor="text1"/>
                <w:sz w:val="24"/>
                <w:szCs w:val="24"/>
              </w:rPr>
              <w:t>granta</w:t>
            </w:r>
            <w:proofErr w:type="spellEnd"/>
            <w:r>
              <w:rPr>
                <w:iCs/>
                <w:color w:val="000000" w:themeColor="text1"/>
                <w:sz w:val="24"/>
                <w:szCs w:val="24"/>
              </w:rPr>
              <w:t xml:space="preserve"> pieteikumu, energoefektivitātes paaugstināšanas dokumentāciju, kā arī ESKO atlases izvērtēšanai nepieciešamo dokumentāciju.</w:t>
            </w:r>
          </w:p>
          <w:p w14:paraId="3270039F" w14:textId="77777777" w:rsidR="00F441DB" w:rsidRPr="005C7E25" w:rsidRDefault="00F441DB" w:rsidP="00F441DB">
            <w:pPr>
              <w:pStyle w:val="ListParagraph"/>
              <w:numPr>
                <w:ilvl w:val="0"/>
                <w:numId w:val="6"/>
              </w:numPr>
              <w:ind w:left="0" w:firstLine="31"/>
              <w:jc w:val="both"/>
              <w:rPr>
                <w:iCs/>
                <w:color w:val="000000" w:themeColor="text1"/>
                <w:sz w:val="24"/>
                <w:szCs w:val="24"/>
              </w:rPr>
            </w:pPr>
            <w:r>
              <w:rPr>
                <w:iCs/>
                <w:color w:val="000000" w:themeColor="text1"/>
                <w:sz w:val="24"/>
                <w:szCs w:val="24"/>
              </w:rPr>
              <w:t>Pēc visu pilnvarotās personas iesniegto dokumentu pārbaudes sabiedrība “</w:t>
            </w:r>
            <w:proofErr w:type="spellStart"/>
            <w:r>
              <w:rPr>
                <w:iCs/>
                <w:color w:val="000000" w:themeColor="text1"/>
                <w:sz w:val="24"/>
                <w:szCs w:val="24"/>
              </w:rPr>
              <w:t>Altum</w:t>
            </w:r>
            <w:proofErr w:type="spellEnd"/>
            <w:r>
              <w:rPr>
                <w:iCs/>
                <w:color w:val="000000" w:themeColor="text1"/>
                <w:sz w:val="24"/>
                <w:szCs w:val="24"/>
              </w:rPr>
              <w:t>” un pilnvarotā persona slēdz līgumu par atbalsta piešķiršanu.</w:t>
            </w:r>
          </w:p>
          <w:p w14:paraId="0E47B52B" w14:textId="77777777" w:rsidR="00F441DB" w:rsidRDefault="00F441DB" w:rsidP="00F441DB">
            <w:pPr>
              <w:pStyle w:val="ListParagraph"/>
              <w:numPr>
                <w:ilvl w:val="0"/>
                <w:numId w:val="6"/>
              </w:numPr>
              <w:ind w:left="0" w:firstLine="31"/>
              <w:jc w:val="both"/>
              <w:rPr>
                <w:iCs/>
                <w:color w:val="000000" w:themeColor="text1"/>
                <w:sz w:val="24"/>
                <w:szCs w:val="24"/>
              </w:rPr>
            </w:pPr>
            <w:r>
              <w:rPr>
                <w:iCs/>
                <w:color w:val="000000" w:themeColor="text1"/>
                <w:sz w:val="24"/>
                <w:szCs w:val="24"/>
              </w:rPr>
              <w:t>Pilnvarotā persona slēdz pakalpojuma līgumu ar izvēlēto un sabiedrības “</w:t>
            </w:r>
            <w:proofErr w:type="spellStart"/>
            <w:r>
              <w:rPr>
                <w:iCs/>
                <w:color w:val="000000" w:themeColor="text1"/>
                <w:sz w:val="24"/>
                <w:szCs w:val="24"/>
              </w:rPr>
              <w:t>Altum</w:t>
            </w:r>
            <w:proofErr w:type="spellEnd"/>
            <w:r>
              <w:rPr>
                <w:iCs/>
                <w:color w:val="000000" w:themeColor="text1"/>
                <w:sz w:val="24"/>
                <w:szCs w:val="24"/>
              </w:rPr>
              <w:t>” akceptēto piegādātāju.</w:t>
            </w:r>
          </w:p>
          <w:p w14:paraId="6FFDF441" w14:textId="77777777" w:rsidR="00F441DB" w:rsidRPr="009024D7" w:rsidRDefault="00F441DB" w:rsidP="00F441DB">
            <w:pPr>
              <w:pStyle w:val="ListParagraph"/>
              <w:ind w:left="31"/>
              <w:jc w:val="both"/>
              <w:rPr>
                <w:iCs/>
                <w:color w:val="000000" w:themeColor="text1"/>
                <w:sz w:val="24"/>
                <w:szCs w:val="24"/>
              </w:rPr>
            </w:pPr>
            <w:r>
              <w:rPr>
                <w:iCs/>
                <w:color w:val="000000" w:themeColor="text1"/>
                <w:sz w:val="24"/>
                <w:szCs w:val="24"/>
              </w:rPr>
              <w:t>Ekonomikas ministrija papildus vērš uzmanību, ka gadījumā, ja energoefektivitātes paaugstināšanas projektu īstenos ESKO, jau saskaņā ar spēkā esošo MK noteikumu Nr. 160 regulējumu, ESKO būs jāslēdz sadarbības līgums ar sabiedrību “</w:t>
            </w:r>
            <w:proofErr w:type="spellStart"/>
            <w:r>
              <w:rPr>
                <w:iCs/>
                <w:color w:val="000000" w:themeColor="text1"/>
                <w:sz w:val="24"/>
                <w:szCs w:val="24"/>
              </w:rPr>
              <w:t>Altum</w:t>
            </w:r>
            <w:proofErr w:type="spellEnd"/>
            <w:r>
              <w:rPr>
                <w:iCs/>
                <w:color w:val="000000" w:themeColor="text1"/>
                <w:sz w:val="24"/>
                <w:szCs w:val="24"/>
              </w:rPr>
              <w:t xml:space="preserve">”, kas nodrošinās </w:t>
            </w:r>
            <w:r w:rsidRPr="009024D7">
              <w:rPr>
                <w:iCs/>
                <w:color w:val="000000" w:themeColor="text1"/>
                <w:sz w:val="24"/>
                <w:szCs w:val="24"/>
              </w:rPr>
              <w:t>papildu kontroles mehānismus ESKO, kas īstenos projektus 4.2.1.1. pasākuma ietvaros.</w:t>
            </w:r>
          </w:p>
          <w:p w14:paraId="0FE44081" w14:textId="33B95521" w:rsidR="00F441DB" w:rsidRPr="009024D7" w:rsidRDefault="00F441DB" w:rsidP="00CD2F80">
            <w:pPr>
              <w:spacing w:after="0" w:line="240" w:lineRule="auto"/>
              <w:jc w:val="both"/>
              <w:rPr>
                <w:rFonts w:ascii="Times New Roman" w:eastAsia="Times New Roman" w:hAnsi="Times New Roman" w:cs="Times New Roman"/>
                <w:iCs/>
                <w:color w:val="000000" w:themeColor="text1"/>
                <w:sz w:val="24"/>
                <w:szCs w:val="24"/>
                <w:lang w:eastAsia="lv-LV"/>
              </w:rPr>
            </w:pPr>
          </w:p>
          <w:p w14:paraId="51713B09" w14:textId="11523BA1" w:rsidR="009024D7" w:rsidRPr="009024D7" w:rsidRDefault="009024D7" w:rsidP="009024D7">
            <w:pPr>
              <w:pStyle w:val="ListParagraph"/>
              <w:numPr>
                <w:ilvl w:val="0"/>
                <w:numId w:val="2"/>
              </w:numPr>
              <w:ind w:left="36" w:firstLine="283"/>
              <w:jc w:val="both"/>
            </w:pPr>
            <w:r w:rsidRPr="009024D7">
              <w:rPr>
                <w:b/>
                <w:bCs/>
                <w:i/>
                <w:iCs/>
                <w:color w:val="000000" w:themeColor="text1"/>
                <w:sz w:val="24"/>
                <w:szCs w:val="24"/>
                <w:u w:val="single"/>
              </w:rPr>
              <w:t>Valsts atbalsta piešķiršanas nosacījumi</w:t>
            </w:r>
          </w:p>
          <w:p w14:paraId="6CB17939" w14:textId="1CC03113" w:rsidR="009024D7" w:rsidRPr="009024D7" w:rsidRDefault="009024D7" w:rsidP="009024D7">
            <w:pPr>
              <w:spacing w:after="0" w:line="240" w:lineRule="auto"/>
              <w:jc w:val="both"/>
              <w:rPr>
                <w:rFonts w:ascii="Times New Roman" w:eastAsia="Times New Roman" w:hAnsi="Times New Roman" w:cs="Times New Roman"/>
                <w:iCs/>
                <w:color w:val="000000" w:themeColor="text1"/>
                <w:sz w:val="24"/>
                <w:szCs w:val="24"/>
                <w:lang w:eastAsia="lv-LV"/>
              </w:rPr>
            </w:pPr>
            <w:r w:rsidRPr="009024D7">
              <w:rPr>
                <w:rFonts w:ascii="Times New Roman" w:eastAsia="Times New Roman" w:hAnsi="Times New Roman" w:cs="Times New Roman"/>
                <w:iCs/>
                <w:color w:val="000000" w:themeColor="text1"/>
                <w:sz w:val="24"/>
                <w:szCs w:val="24"/>
                <w:lang w:eastAsia="lv-LV"/>
              </w:rPr>
              <w:t xml:space="preserve">Lai nodrošinātu pēdējā Eiropas Savienības tiesas praksē nostiprināto pienākumu (skat. spriedumu lietā Nr. C-349/17) noteikumu projekts tiek papildināts ar jaunu  </w:t>
            </w:r>
            <w:r>
              <w:rPr>
                <w:rFonts w:ascii="Times New Roman" w:eastAsia="Times New Roman" w:hAnsi="Times New Roman" w:cs="Times New Roman"/>
                <w:iCs/>
                <w:color w:val="000000" w:themeColor="text1"/>
                <w:sz w:val="24"/>
                <w:szCs w:val="24"/>
                <w:lang w:eastAsia="lv-LV"/>
              </w:rPr>
              <w:t>XIII</w:t>
            </w:r>
            <w:r w:rsidRPr="009024D7">
              <w:rPr>
                <w:rFonts w:ascii="Times New Roman" w:eastAsia="Times New Roman" w:hAnsi="Times New Roman" w:cs="Times New Roman"/>
                <w:iCs/>
                <w:color w:val="000000" w:themeColor="text1"/>
                <w:sz w:val="24"/>
                <w:szCs w:val="24"/>
                <w:lang w:eastAsia="lv-LV"/>
              </w:rPr>
              <w:t xml:space="preserve"> sadaļas “Valsts atbalsta nosacījumi” </w:t>
            </w:r>
            <w:r>
              <w:rPr>
                <w:rFonts w:ascii="Times New Roman" w:eastAsia="Times New Roman" w:hAnsi="Times New Roman" w:cs="Times New Roman"/>
                <w:iCs/>
                <w:color w:val="000000" w:themeColor="text1"/>
                <w:sz w:val="24"/>
                <w:szCs w:val="24"/>
                <w:lang w:eastAsia="lv-LV"/>
              </w:rPr>
              <w:t>87</w:t>
            </w:r>
            <w:r w:rsidRPr="009024D7">
              <w:rPr>
                <w:rFonts w:ascii="Times New Roman" w:eastAsia="Times New Roman" w:hAnsi="Times New Roman" w:cs="Times New Roman"/>
                <w:iCs/>
                <w:color w:val="000000" w:themeColor="text1"/>
                <w:sz w:val="24"/>
                <w:szCs w:val="24"/>
                <w:lang w:eastAsia="lv-LV"/>
              </w:rPr>
              <w:t>.</w:t>
            </w:r>
            <w:r w:rsidRPr="009024D7">
              <w:rPr>
                <w:rFonts w:ascii="Times New Roman" w:eastAsia="Times New Roman" w:hAnsi="Times New Roman" w:cs="Times New Roman"/>
                <w:iCs/>
                <w:color w:val="000000" w:themeColor="text1"/>
                <w:sz w:val="24"/>
                <w:szCs w:val="24"/>
                <w:vertAlign w:val="superscript"/>
                <w:lang w:eastAsia="lv-LV"/>
              </w:rPr>
              <w:t>1</w:t>
            </w:r>
            <w:r>
              <w:rPr>
                <w:rFonts w:ascii="Times New Roman" w:eastAsia="Times New Roman" w:hAnsi="Times New Roman" w:cs="Times New Roman"/>
                <w:iCs/>
                <w:color w:val="000000" w:themeColor="text1"/>
                <w:sz w:val="24"/>
                <w:szCs w:val="24"/>
                <w:vertAlign w:val="superscript"/>
                <w:lang w:eastAsia="lv-LV"/>
              </w:rPr>
              <w:t xml:space="preserve"> </w:t>
            </w:r>
            <w:r w:rsidRPr="009024D7">
              <w:rPr>
                <w:rFonts w:ascii="Times New Roman" w:eastAsia="Times New Roman" w:hAnsi="Times New Roman" w:cs="Times New Roman"/>
                <w:iCs/>
                <w:color w:val="000000" w:themeColor="text1"/>
                <w:sz w:val="24"/>
                <w:szCs w:val="24"/>
                <w:lang w:eastAsia="lv-LV"/>
              </w:rPr>
              <w:t>punktu, kas nosaka, ka</w:t>
            </w:r>
            <w:r>
              <w:rPr>
                <w:rFonts w:ascii="Times New Roman" w:eastAsia="Times New Roman" w:hAnsi="Times New Roman" w:cs="Times New Roman"/>
                <w:iCs/>
                <w:color w:val="000000" w:themeColor="text1"/>
                <w:sz w:val="24"/>
                <w:szCs w:val="24"/>
                <w:lang w:eastAsia="lv-LV"/>
              </w:rPr>
              <w:t>,</w:t>
            </w:r>
            <w:r w:rsidRPr="009024D7">
              <w:rPr>
                <w:rFonts w:ascii="Times New Roman" w:eastAsia="Times New Roman" w:hAnsi="Times New Roman" w:cs="Times New Roman"/>
                <w:iCs/>
                <w:color w:val="000000" w:themeColor="text1"/>
                <w:sz w:val="24"/>
                <w:szCs w:val="24"/>
                <w:lang w:eastAsia="lv-LV"/>
              </w:rPr>
              <w:t xml:space="preserve"> ja šo noteikumu 79. punktā minētais dzīvokļa īpašnieks ir pārkāpis Komisijas regulas Nr. 1407/2013 prasības, tam ir pienākums atmaksāt sabiedrībai "</w:t>
            </w:r>
            <w:proofErr w:type="spellStart"/>
            <w:r w:rsidRPr="009024D7">
              <w:rPr>
                <w:rFonts w:ascii="Times New Roman" w:eastAsia="Times New Roman" w:hAnsi="Times New Roman" w:cs="Times New Roman"/>
                <w:iCs/>
                <w:color w:val="000000" w:themeColor="text1"/>
                <w:sz w:val="24"/>
                <w:szCs w:val="24"/>
                <w:lang w:eastAsia="lv-LV"/>
              </w:rPr>
              <w:t>Altum</w:t>
            </w:r>
            <w:proofErr w:type="spellEnd"/>
            <w:r w:rsidRPr="009024D7">
              <w:rPr>
                <w:rFonts w:ascii="Times New Roman" w:eastAsia="Times New Roman" w:hAnsi="Times New Roman" w:cs="Times New Roman"/>
                <w:iCs/>
                <w:color w:val="000000" w:themeColor="text1"/>
                <w:sz w:val="24"/>
                <w:szCs w:val="24"/>
                <w:lang w:eastAsia="lv-LV"/>
              </w:rPr>
              <w:t xml:space="preserve">" visu saņemto </w:t>
            </w:r>
            <w:proofErr w:type="spellStart"/>
            <w:r w:rsidRPr="009024D7">
              <w:rPr>
                <w:rFonts w:ascii="Times New Roman" w:eastAsia="Times New Roman" w:hAnsi="Times New Roman" w:cs="Times New Roman"/>
                <w:iCs/>
                <w:color w:val="000000" w:themeColor="text1"/>
                <w:sz w:val="24"/>
                <w:szCs w:val="24"/>
                <w:lang w:eastAsia="lv-LV"/>
              </w:rPr>
              <w:t>de</w:t>
            </w:r>
            <w:proofErr w:type="spellEnd"/>
            <w:r w:rsidRPr="009024D7">
              <w:rPr>
                <w:rFonts w:ascii="Times New Roman" w:eastAsia="Times New Roman" w:hAnsi="Times New Roman" w:cs="Times New Roman"/>
                <w:iCs/>
                <w:color w:val="000000" w:themeColor="text1"/>
                <w:sz w:val="24"/>
                <w:szCs w:val="24"/>
                <w:lang w:eastAsia="lv-LV"/>
              </w:rPr>
              <w:t xml:space="preserve"> </w:t>
            </w:r>
            <w:proofErr w:type="spellStart"/>
            <w:r w:rsidRPr="009024D7">
              <w:rPr>
                <w:rFonts w:ascii="Times New Roman" w:eastAsia="Times New Roman" w:hAnsi="Times New Roman" w:cs="Times New Roman"/>
                <w:iCs/>
                <w:color w:val="000000" w:themeColor="text1"/>
                <w:sz w:val="24"/>
                <w:szCs w:val="24"/>
                <w:lang w:eastAsia="lv-LV"/>
              </w:rPr>
              <w:t>minimis</w:t>
            </w:r>
            <w:proofErr w:type="spellEnd"/>
            <w:r w:rsidRPr="009024D7">
              <w:rPr>
                <w:rFonts w:ascii="Times New Roman" w:eastAsia="Times New Roman" w:hAnsi="Times New Roman" w:cs="Times New Roman"/>
                <w:iCs/>
                <w:color w:val="000000" w:themeColor="text1"/>
                <w:sz w:val="24"/>
                <w:szCs w:val="24"/>
                <w:lang w:eastAsia="lv-LV"/>
              </w:rPr>
              <w:t xml:space="preserve"> atbalstu, kas piešķirts saskaņā ar attiecīgo regulu, kopā ar procentiem, ko publicē Eiropas Komisija saskaņā ar Komisijas 2004. gada 21. aprīļa Regulas (EK) Nr. </w:t>
            </w:r>
            <w:r w:rsidRPr="009024D7">
              <w:rPr>
                <w:rFonts w:ascii="Times New Roman" w:eastAsia="Times New Roman" w:hAnsi="Times New Roman" w:cs="Times New Roman"/>
                <w:iCs/>
                <w:color w:val="000000" w:themeColor="text1"/>
                <w:sz w:val="24"/>
                <w:szCs w:val="24"/>
                <w:lang w:eastAsia="lv-LV"/>
              </w:rPr>
              <w:lastRenderedPageBreak/>
              <w:t xml:space="preserve">794/2004, ar ko īsteno Padomes Regulu (ES) 2015/1589, ar ko nosaka sīki izstrādātus noteikumus Līguma par Eiropas Savienības darbību 108. panta piemērošanai (turpmāk - regula Nr.  794/2004), 10. pantu, tiem pieskaitot 100 bāzes punktus, no dienas, kad </w:t>
            </w:r>
            <w:proofErr w:type="spellStart"/>
            <w:r w:rsidRPr="009024D7">
              <w:rPr>
                <w:rFonts w:ascii="Times New Roman" w:eastAsia="Times New Roman" w:hAnsi="Times New Roman" w:cs="Times New Roman"/>
                <w:iCs/>
                <w:color w:val="000000" w:themeColor="text1"/>
                <w:sz w:val="24"/>
                <w:szCs w:val="24"/>
                <w:lang w:eastAsia="lv-LV"/>
              </w:rPr>
              <w:t>de</w:t>
            </w:r>
            <w:proofErr w:type="spellEnd"/>
            <w:r w:rsidRPr="009024D7">
              <w:rPr>
                <w:rFonts w:ascii="Times New Roman" w:eastAsia="Times New Roman" w:hAnsi="Times New Roman" w:cs="Times New Roman"/>
                <w:iCs/>
                <w:color w:val="000000" w:themeColor="text1"/>
                <w:sz w:val="24"/>
                <w:szCs w:val="24"/>
                <w:lang w:eastAsia="lv-LV"/>
              </w:rPr>
              <w:t xml:space="preserve"> </w:t>
            </w:r>
            <w:proofErr w:type="spellStart"/>
            <w:r w:rsidRPr="009024D7">
              <w:rPr>
                <w:rFonts w:ascii="Times New Roman" w:eastAsia="Times New Roman" w:hAnsi="Times New Roman" w:cs="Times New Roman"/>
                <w:iCs/>
                <w:color w:val="000000" w:themeColor="text1"/>
                <w:sz w:val="24"/>
                <w:szCs w:val="24"/>
                <w:lang w:eastAsia="lv-LV"/>
              </w:rPr>
              <w:t>minimis</w:t>
            </w:r>
            <w:proofErr w:type="spellEnd"/>
            <w:r w:rsidRPr="009024D7">
              <w:rPr>
                <w:rFonts w:ascii="Times New Roman" w:eastAsia="Times New Roman" w:hAnsi="Times New Roman" w:cs="Times New Roman"/>
                <w:iCs/>
                <w:color w:val="000000" w:themeColor="text1"/>
                <w:sz w:val="24"/>
                <w:szCs w:val="24"/>
                <w:lang w:eastAsia="lv-LV"/>
              </w:rPr>
              <w:t xml:space="preserve"> atbalsts tika izmaksāts šo noteikumu 79. punktā minētajam dzīvokļa īpašniekam līdz tā atgūšanas dienai, ievērojot regulas Nr. 794/2004 11. pantā noteikto procentu likmes piemērošanas metodi.</w:t>
            </w:r>
          </w:p>
          <w:p w14:paraId="6803967F" w14:textId="2A529732" w:rsidR="009024D7" w:rsidRDefault="009024D7" w:rsidP="00CD2F80">
            <w:pPr>
              <w:spacing w:after="0" w:line="240" w:lineRule="auto"/>
              <w:jc w:val="both"/>
              <w:rPr>
                <w:rFonts w:ascii="Times New Roman" w:eastAsia="Times New Roman" w:hAnsi="Times New Roman" w:cs="Times New Roman"/>
                <w:iCs/>
                <w:color w:val="000000" w:themeColor="text1"/>
                <w:sz w:val="24"/>
                <w:szCs w:val="24"/>
                <w:lang w:eastAsia="lv-LV"/>
              </w:rPr>
            </w:pPr>
          </w:p>
          <w:p w14:paraId="5CD4EF17" w14:textId="77777777" w:rsidR="00BE1754" w:rsidRDefault="00BE1754" w:rsidP="00BE1754">
            <w:pPr>
              <w:pStyle w:val="ListParagraph"/>
              <w:numPr>
                <w:ilvl w:val="0"/>
                <w:numId w:val="2"/>
              </w:numPr>
              <w:ind w:left="36" w:firstLine="283"/>
              <w:jc w:val="both"/>
              <w:rPr>
                <w:b/>
                <w:bCs/>
                <w:i/>
                <w:iCs/>
                <w:sz w:val="24"/>
                <w:szCs w:val="24"/>
                <w:u w:val="single"/>
              </w:rPr>
            </w:pPr>
            <w:r w:rsidRPr="00BE1754">
              <w:rPr>
                <w:b/>
                <w:bCs/>
                <w:i/>
                <w:iCs/>
                <w:color w:val="000000" w:themeColor="text1"/>
                <w:sz w:val="24"/>
                <w:szCs w:val="24"/>
                <w:u w:val="single"/>
              </w:rPr>
              <w:t>Snieguma</w:t>
            </w:r>
            <w:r>
              <w:rPr>
                <w:b/>
                <w:bCs/>
                <w:i/>
                <w:iCs/>
                <w:sz w:val="24"/>
                <w:szCs w:val="24"/>
                <w:u w:val="single"/>
              </w:rPr>
              <w:t xml:space="preserve"> rezerves novirzīšana uz 4.2.1.1. pasākumam pieejamo finansējumu.</w:t>
            </w:r>
          </w:p>
          <w:p w14:paraId="6FE538D1" w14:textId="77777777" w:rsidR="00BE1754" w:rsidRPr="00BE1754" w:rsidRDefault="00BE1754" w:rsidP="00BE1754">
            <w:pPr>
              <w:spacing w:after="0" w:line="240" w:lineRule="auto"/>
              <w:jc w:val="both"/>
              <w:rPr>
                <w:rFonts w:ascii="Times New Roman" w:eastAsia="Times New Roman" w:hAnsi="Times New Roman" w:cs="Times New Roman"/>
                <w:iCs/>
                <w:color w:val="000000" w:themeColor="text1"/>
                <w:sz w:val="24"/>
                <w:szCs w:val="24"/>
                <w:lang w:eastAsia="lv-LV"/>
              </w:rPr>
            </w:pPr>
            <w:r w:rsidRPr="00BE1754">
              <w:rPr>
                <w:rFonts w:ascii="Times New Roman" w:eastAsia="Times New Roman" w:hAnsi="Times New Roman" w:cs="Times New Roman"/>
                <w:iCs/>
                <w:color w:val="000000" w:themeColor="text1"/>
                <w:sz w:val="24"/>
                <w:szCs w:val="24"/>
                <w:lang w:eastAsia="lv-LV"/>
              </w:rPr>
              <w:t>Līdz 2019. gada 31. augustam sabiedrībā “</w:t>
            </w:r>
            <w:proofErr w:type="spellStart"/>
            <w:r w:rsidRPr="00BE1754">
              <w:rPr>
                <w:rFonts w:ascii="Times New Roman" w:eastAsia="Times New Roman" w:hAnsi="Times New Roman" w:cs="Times New Roman"/>
                <w:iCs/>
                <w:color w:val="000000" w:themeColor="text1"/>
                <w:sz w:val="24"/>
                <w:szCs w:val="24"/>
                <w:lang w:eastAsia="lv-LV"/>
              </w:rPr>
              <w:t>Altum</w:t>
            </w:r>
            <w:proofErr w:type="spellEnd"/>
            <w:r w:rsidRPr="00BE1754">
              <w:rPr>
                <w:rFonts w:ascii="Times New Roman" w:eastAsia="Times New Roman" w:hAnsi="Times New Roman" w:cs="Times New Roman"/>
                <w:iCs/>
                <w:color w:val="000000" w:themeColor="text1"/>
                <w:sz w:val="24"/>
                <w:szCs w:val="24"/>
                <w:lang w:eastAsia="lv-LV"/>
              </w:rPr>
              <w:t xml:space="preserve">” ir iesniegti 590 projektu pieteikumi, kuros kopējā </w:t>
            </w:r>
            <w:proofErr w:type="spellStart"/>
            <w:r w:rsidRPr="00BE1754">
              <w:rPr>
                <w:rFonts w:ascii="Times New Roman" w:eastAsia="Times New Roman" w:hAnsi="Times New Roman" w:cs="Times New Roman"/>
                <w:iCs/>
                <w:color w:val="000000" w:themeColor="text1"/>
                <w:sz w:val="24"/>
                <w:szCs w:val="24"/>
                <w:lang w:eastAsia="lv-LV"/>
              </w:rPr>
              <w:t>grantos</w:t>
            </w:r>
            <w:proofErr w:type="spellEnd"/>
            <w:r w:rsidRPr="00BE1754">
              <w:rPr>
                <w:rFonts w:ascii="Times New Roman" w:eastAsia="Times New Roman" w:hAnsi="Times New Roman" w:cs="Times New Roman"/>
                <w:iCs/>
                <w:color w:val="000000" w:themeColor="text1"/>
                <w:sz w:val="24"/>
                <w:szCs w:val="24"/>
                <w:lang w:eastAsia="lv-LV"/>
              </w:rPr>
              <w:t xml:space="preserve"> piešķiramā summa sasniedz aptuveni 137 miljonus EUR. </w:t>
            </w:r>
            <w:proofErr w:type="spellStart"/>
            <w:r w:rsidRPr="00BE1754">
              <w:rPr>
                <w:rFonts w:ascii="Times New Roman" w:eastAsia="Times New Roman" w:hAnsi="Times New Roman" w:cs="Times New Roman"/>
                <w:iCs/>
                <w:color w:val="000000" w:themeColor="text1"/>
                <w:sz w:val="24"/>
                <w:szCs w:val="24"/>
                <w:lang w:eastAsia="lv-LV"/>
              </w:rPr>
              <w:t>Altum</w:t>
            </w:r>
            <w:proofErr w:type="spellEnd"/>
            <w:r w:rsidRPr="00BE1754">
              <w:rPr>
                <w:rFonts w:ascii="Times New Roman" w:eastAsia="Times New Roman" w:hAnsi="Times New Roman" w:cs="Times New Roman"/>
                <w:iCs/>
                <w:color w:val="000000" w:themeColor="text1"/>
                <w:sz w:val="24"/>
                <w:szCs w:val="24"/>
                <w:lang w:eastAsia="lv-LV"/>
              </w:rPr>
              <w:t xml:space="preserve"> aplēse, ka 80% no pieteiktajiem projektiem tiks īstenoti, līdz ar to sabiedrība “</w:t>
            </w:r>
            <w:proofErr w:type="spellStart"/>
            <w:r w:rsidRPr="00BE1754">
              <w:rPr>
                <w:rFonts w:ascii="Times New Roman" w:eastAsia="Times New Roman" w:hAnsi="Times New Roman" w:cs="Times New Roman"/>
                <w:iCs/>
                <w:color w:val="000000" w:themeColor="text1"/>
                <w:sz w:val="24"/>
                <w:szCs w:val="24"/>
                <w:lang w:eastAsia="lv-LV"/>
              </w:rPr>
              <w:t>Altum</w:t>
            </w:r>
            <w:proofErr w:type="spellEnd"/>
            <w:r w:rsidRPr="00BE1754">
              <w:rPr>
                <w:rFonts w:ascii="Times New Roman" w:eastAsia="Times New Roman" w:hAnsi="Times New Roman" w:cs="Times New Roman"/>
                <w:iCs/>
                <w:color w:val="000000" w:themeColor="text1"/>
                <w:sz w:val="24"/>
                <w:szCs w:val="24"/>
                <w:lang w:eastAsia="lv-LV"/>
              </w:rPr>
              <w:t>” plāno pieņemt atbalsta pieteikumus par 152 milj. EUR, atbalstot aptuveni 660 projektus. Uz 2019. gada 31. augustu 90,13 % no 4.2.1.1. pasākumam pieejamiem līdzekļiem, kas noteikti MK noteikumu Nr. 160 10. punktā, jau ir rezervēti, kas nozīmē ka sabiedrība “</w:t>
            </w:r>
            <w:proofErr w:type="spellStart"/>
            <w:r w:rsidRPr="00BE1754">
              <w:rPr>
                <w:rFonts w:ascii="Times New Roman" w:eastAsia="Times New Roman" w:hAnsi="Times New Roman" w:cs="Times New Roman"/>
                <w:iCs/>
                <w:color w:val="000000" w:themeColor="text1"/>
                <w:sz w:val="24"/>
                <w:szCs w:val="24"/>
                <w:lang w:eastAsia="lv-LV"/>
              </w:rPr>
              <w:t>Altum</w:t>
            </w:r>
            <w:proofErr w:type="spellEnd"/>
            <w:r w:rsidRPr="00BE1754">
              <w:rPr>
                <w:rFonts w:ascii="Times New Roman" w:eastAsia="Times New Roman" w:hAnsi="Times New Roman" w:cs="Times New Roman"/>
                <w:iCs/>
                <w:color w:val="000000" w:themeColor="text1"/>
                <w:sz w:val="24"/>
                <w:szCs w:val="24"/>
                <w:lang w:eastAsia="lv-LV"/>
              </w:rPr>
              <w:t>” var pieņemt vēl aptuveni 70 projektu pieteikumus. Vidēji mēnesī sabiedrībā “</w:t>
            </w:r>
            <w:proofErr w:type="spellStart"/>
            <w:r w:rsidRPr="00BE1754">
              <w:rPr>
                <w:rFonts w:ascii="Times New Roman" w:eastAsia="Times New Roman" w:hAnsi="Times New Roman" w:cs="Times New Roman"/>
                <w:iCs/>
                <w:color w:val="000000" w:themeColor="text1"/>
                <w:sz w:val="24"/>
                <w:szCs w:val="24"/>
                <w:lang w:eastAsia="lv-LV"/>
              </w:rPr>
              <w:t>Altum</w:t>
            </w:r>
            <w:proofErr w:type="spellEnd"/>
            <w:r w:rsidRPr="00BE1754">
              <w:rPr>
                <w:rFonts w:ascii="Times New Roman" w:eastAsia="Times New Roman" w:hAnsi="Times New Roman" w:cs="Times New Roman"/>
                <w:iCs/>
                <w:color w:val="000000" w:themeColor="text1"/>
                <w:sz w:val="24"/>
                <w:szCs w:val="24"/>
                <w:lang w:eastAsia="lv-LV"/>
              </w:rPr>
              <w:t>” iesniedz aptuveni 20 projektu pieteikumus, kas nozīmē, ka bez papildus finansējuma piešķiršanas projektu pieteikumu pieņemšana būtu jāpārtrauc 2019. gada 4. ceturksnī.</w:t>
            </w:r>
          </w:p>
          <w:p w14:paraId="3D7F2FEE" w14:textId="47C1A69B" w:rsidR="00BE1754" w:rsidRDefault="00BE1754" w:rsidP="00BE1754">
            <w:pPr>
              <w:spacing w:after="0" w:line="240" w:lineRule="auto"/>
              <w:jc w:val="both"/>
              <w:rPr>
                <w:rFonts w:ascii="Times New Roman" w:eastAsia="Times New Roman" w:hAnsi="Times New Roman" w:cs="Times New Roman"/>
                <w:iCs/>
                <w:color w:val="000000" w:themeColor="text1"/>
                <w:sz w:val="24"/>
                <w:szCs w:val="24"/>
                <w:lang w:eastAsia="lv-LV"/>
              </w:rPr>
            </w:pPr>
            <w:r w:rsidRPr="00BE1754">
              <w:rPr>
                <w:rFonts w:ascii="Times New Roman" w:eastAsia="Times New Roman" w:hAnsi="Times New Roman" w:cs="Times New Roman"/>
                <w:iCs/>
                <w:color w:val="000000" w:themeColor="text1"/>
                <w:sz w:val="24"/>
                <w:szCs w:val="24"/>
                <w:lang w:eastAsia="lv-LV"/>
              </w:rPr>
              <w:t>Lai nodrošinātu pieteikumu pieņemšanu līdz 2020. gada 1. ceturksnim (ieskaitot), nepieciešams noteikt, ka MK noteikumos Nr. 160 9. punktā noteiktais plānotais kopējais finansējums ir nosakāms kā pieejams 4.2.1.1. pasākuma īstenošanai.</w:t>
            </w:r>
          </w:p>
          <w:p w14:paraId="356A9E5B" w14:textId="120B2D17" w:rsidR="00CD2F80" w:rsidRPr="003D1800" w:rsidRDefault="00CD2F80" w:rsidP="00F441DB">
            <w:pPr>
              <w:pStyle w:val="ListParagraph"/>
              <w:ind w:left="31"/>
              <w:jc w:val="both"/>
              <w:rPr>
                <w:iCs/>
                <w:color w:val="000000" w:themeColor="text1"/>
                <w:sz w:val="24"/>
                <w:szCs w:val="24"/>
              </w:rPr>
            </w:pPr>
          </w:p>
        </w:tc>
      </w:tr>
      <w:tr w:rsidR="00CD2F80" w:rsidRPr="003D1800" w14:paraId="6149E5E4" w14:textId="77777777" w:rsidTr="00CD2F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02A9B1" w14:textId="77777777" w:rsidR="00CD2F80" w:rsidRPr="003D1800" w:rsidRDefault="00CD2F80" w:rsidP="00CD2F80">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034D2ED" w14:textId="77777777" w:rsidR="00CD2F80" w:rsidRPr="003D1800" w:rsidRDefault="00CD2F80" w:rsidP="00CD2F80">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658CB007" w14:textId="719EE2E5" w:rsidR="00CD2F80" w:rsidRPr="003D1800" w:rsidRDefault="00CD2F80" w:rsidP="00CD2F80">
            <w:pPr>
              <w:spacing w:after="0" w:line="240" w:lineRule="auto"/>
              <w:jc w:val="both"/>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Ekonomikas ministrija, sabiedrība “</w:t>
            </w:r>
            <w:proofErr w:type="spellStart"/>
            <w:r w:rsidRPr="003D1800">
              <w:rPr>
                <w:rFonts w:ascii="Times New Roman" w:eastAsia="Times New Roman" w:hAnsi="Times New Roman" w:cs="Times New Roman"/>
                <w:iCs/>
                <w:color w:val="000000" w:themeColor="text1"/>
                <w:sz w:val="24"/>
                <w:szCs w:val="24"/>
                <w:lang w:eastAsia="lv-LV"/>
              </w:rPr>
              <w:t>Altum</w:t>
            </w:r>
            <w:proofErr w:type="spellEnd"/>
            <w:r w:rsidRPr="003D1800">
              <w:rPr>
                <w:rFonts w:ascii="Times New Roman" w:eastAsia="Times New Roman" w:hAnsi="Times New Roman" w:cs="Times New Roman"/>
                <w:iCs/>
                <w:color w:val="000000" w:themeColor="text1"/>
                <w:sz w:val="24"/>
                <w:szCs w:val="24"/>
                <w:lang w:eastAsia="lv-LV"/>
              </w:rPr>
              <w:t>” un AS “</w:t>
            </w:r>
            <w:proofErr w:type="spellStart"/>
            <w:r w:rsidRPr="003D1800">
              <w:rPr>
                <w:rFonts w:ascii="Times New Roman" w:eastAsia="Times New Roman" w:hAnsi="Times New Roman" w:cs="Times New Roman"/>
                <w:iCs/>
                <w:color w:val="000000" w:themeColor="text1"/>
                <w:sz w:val="24"/>
                <w:szCs w:val="24"/>
                <w:lang w:eastAsia="lv-LV"/>
              </w:rPr>
              <w:t>Latvian</w:t>
            </w:r>
            <w:proofErr w:type="spellEnd"/>
            <w:r w:rsidRPr="003D1800">
              <w:rPr>
                <w:rFonts w:ascii="Times New Roman" w:eastAsia="Times New Roman" w:hAnsi="Times New Roman" w:cs="Times New Roman"/>
                <w:iCs/>
                <w:color w:val="000000" w:themeColor="text1"/>
                <w:sz w:val="24"/>
                <w:szCs w:val="24"/>
                <w:lang w:eastAsia="lv-LV"/>
              </w:rPr>
              <w:t xml:space="preserve"> </w:t>
            </w:r>
            <w:proofErr w:type="spellStart"/>
            <w:r w:rsidRPr="003D1800">
              <w:rPr>
                <w:rFonts w:ascii="Times New Roman" w:eastAsia="Times New Roman" w:hAnsi="Times New Roman" w:cs="Times New Roman"/>
                <w:iCs/>
                <w:color w:val="000000" w:themeColor="text1"/>
                <w:sz w:val="24"/>
                <w:szCs w:val="24"/>
                <w:lang w:eastAsia="lv-LV"/>
              </w:rPr>
              <w:t>Baltic</w:t>
            </w:r>
            <w:proofErr w:type="spellEnd"/>
            <w:r w:rsidRPr="003D1800">
              <w:rPr>
                <w:rFonts w:ascii="Times New Roman" w:eastAsia="Times New Roman" w:hAnsi="Times New Roman" w:cs="Times New Roman"/>
                <w:iCs/>
                <w:color w:val="000000" w:themeColor="text1"/>
                <w:sz w:val="24"/>
                <w:szCs w:val="24"/>
                <w:lang w:eastAsia="lv-LV"/>
              </w:rPr>
              <w:t xml:space="preserve"> </w:t>
            </w:r>
            <w:proofErr w:type="spellStart"/>
            <w:r w:rsidRPr="003D1800">
              <w:rPr>
                <w:rFonts w:ascii="Times New Roman" w:eastAsia="Times New Roman" w:hAnsi="Times New Roman" w:cs="Times New Roman"/>
                <w:iCs/>
                <w:color w:val="000000" w:themeColor="text1"/>
                <w:sz w:val="24"/>
                <w:szCs w:val="24"/>
                <w:lang w:eastAsia="lv-LV"/>
              </w:rPr>
              <w:t>Energy</w:t>
            </w:r>
            <w:proofErr w:type="spellEnd"/>
            <w:r w:rsidRPr="003D1800">
              <w:rPr>
                <w:rFonts w:ascii="Times New Roman" w:eastAsia="Times New Roman" w:hAnsi="Times New Roman" w:cs="Times New Roman"/>
                <w:iCs/>
                <w:color w:val="000000" w:themeColor="text1"/>
                <w:sz w:val="24"/>
                <w:szCs w:val="24"/>
                <w:lang w:eastAsia="lv-LV"/>
              </w:rPr>
              <w:t xml:space="preserve"> </w:t>
            </w:r>
            <w:proofErr w:type="spellStart"/>
            <w:r w:rsidRPr="003D1800">
              <w:rPr>
                <w:rFonts w:ascii="Times New Roman" w:eastAsia="Times New Roman" w:hAnsi="Times New Roman" w:cs="Times New Roman"/>
                <w:iCs/>
                <w:color w:val="000000" w:themeColor="text1"/>
                <w:sz w:val="24"/>
                <w:szCs w:val="24"/>
                <w:lang w:eastAsia="lv-LV"/>
              </w:rPr>
              <w:t>Efficiency</w:t>
            </w:r>
            <w:proofErr w:type="spellEnd"/>
            <w:r w:rsidRPr="003D1800">
              <w:rPr>
                <w:rFonts w:ascii="Times New Roman" w:eastAsia="Times New Roman" w:hAnsi="Times New Roman" w:cs="Times New Roman"/>
                <w:iCs/>
                <w:color w:val="000000" w:themeColor="text1"/>
                <w:sz w:val="24"/>
                <w:szCs w:val="24"/>
                <w:lang w:eastAsia="lv-LV"/>
              </w:rPr>
              <w:t xml:space="preserve"> </w:t>
            </w:r>
            <w:proofErr w:type="spellStart"/>
            <w:r w:rsidRPr="003D1800">
              <w:rPr>
                <w:rFonts w:ascii="Times New Roman" w:eastAsia="Times New Roman" w:hAnsi="Times New Roman" w:cs="Times New Roman"/>
                <w:iCs/>
                <w:color w:val="000000" w:themeColor="text1"/>
                <w:sz w:val="24"/>
                <w:szCs w:val="24"/>
                <w:lang w:eastAsia="lv-LV"/>
              </w:rPr>
              <w:t>Facility</w:t>
            </w:r>
            <w:proofErr w:type="spellEnd"/>
            <w:r w:rsidRPr="003D1800">
              <w:rPr>
                <w:rFonts w:ascii="Times New Roman" w:eastAsia="Times New Roman" w:hAnsi="Times New Roman" w:cs="Times New Roman"/>
                <w:iCs/>
                <w:color w:val="000000" w:themeColor="text1"/>
                <w:sz w:val="24"/>
                <w:szCs w:val="24"/>
                <w:lang w:eastAsia="lv-LV"/>
              </w:rPr>
              <w:t>”.</w:t>
            </w:r>
          </w:p>
        </w:tc>
      </w:tr>
      <w:tr w:rsidR="00CD2F80" w:rsidRPr="003D1800" w14:paraId="4C2BE816" w14:textId="77777777" w:rsidTr="00CD2F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054480" w14:textId="77777777" w:rsidR="00CD2F80" w:rsidRPr="003D1800" w:rsidRDefault="00CD2F80" w:rsidP="00CD2F80">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421D930" w14:textId="77777777" w:rsidR="00CD2F80" w:rsidRPr="003D1800" w:rsidRDefault="00CD2F80" w:rsidP="00CD2F80">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195D57C" w14:textId="1D811BE6" w:rsidR="00CD2F80" w:rsidRPr="003D1800" w:rsidRDefault="00A97B10" w:rsidP="00A97B10">
            <w:pPr>
              <w:spacing w:after="0" w:line="240" w:lineRule="auto"/>
              <w:jc w:val="both"/>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Nav</w:t>
            </w:r>
          </w:p>
        </w:tc>
      </w:tr>
    </w:tbl>
    <w:p w14:paraId="4B737F5D" w14:textId="77777777" w:rsidR="00E5323B"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D1800" w14:paraId="32D3D48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E9F7CA" w14:textId="77777777" w:rsidR="00655F2C" w:rsidRPr="003D1800"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3D1800">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E5323B" w:rsidRPr="003D1800" w14:paraId="1FF6763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8D1836" w14:textId="77777777" w:rsidR="00655F2C"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6E688F0" w14:textId="77777777" w:rsidR="00E5323B"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 xml:space="preserve">Sabiedrības </w:t>
            </w:r>
            <w:proofErr w:type="spellStart"/>
            <w:r w:rsidRPr="003D1800">
              <w:rPr>
                <w:rFonts w:ascii="Times New Roman" w:eastAsia="Times New Roman" w:hAnsi="Times New Roman" w:cs="Times New Roman"/>
                <w:iCs/>
                <w:color w:val="000000" w:themeColor="text1"/>
                <w:sz w:val="24"/>
                <w:szCs w:val="24"/>
                <w:lang w:eastAsia="lv-LV"/>
              </w:rPr>
              <w:t>mērķgrupas</w:t>
            </w:r>
            <w:proofErr w:type="spellEnd"/>
            <w:r w:rsidRPr="003D1800">
              <w:rPr>
                <w:rFonts w:ascii="Times New Roman" w:eastAsia="Times New Roman" w:hAnsi="Times New Roman" w:cs="Times New Roman"/>
                <w:iCs/>
                <w:color w:val="000000" w:themeColor="text1"/>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520374D" w14:textId="7143A854" w:rsidR="00E5323B" w:rsidRPr="003D1800" w:rsidRDefault="005360C5" w:rsidP="005360C5">
            <w:pPr>
              <w:spacing w:after="0" w:line="240" w:lineRule="auto"/>
              <w:jc w:val="both"/>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ESKO, dzīvokļu īpašnieki un to pilnvarotās personas.</w:t>
            </w:r>
          </w:p>
        </w:tc>
      </w:tr>
      <w:tr w:rsidR="00E5323B" w:rsidRPr="003D1800" w14:paraId="2EA3E1A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20FAE2" w14:textId="77777777" w:rsidR="00655F2C"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5459C14" w14:textId="77777777" w:rsidR="00E5323B"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A8154ED" w14:textId="6E11E0CD" w:rsidR="00E5323B" w:rsidRPr="003D1800" w:rsidRDefault="005360C5" w:rsidP="008E6FFD">
            <w:pPr>
              <w:spacing w:after="0" w:line="240" w:lineRule="auto"/>
              <w:jc w:val="both"/>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Noteikumu projekts neparedz ietekmi uz administratīvo slogu. Noteikumu projekta īstenošanu nodrošinās sabiedrība “</w:t>
            </w:r>
            <w:proofErr w:type="spellStart"/>
            <w:r w:rsidRPr="003D1800">
              <w:rPr>
                <w:rFonts w:ascii="Times New Roman" w:eastAsia="Times New Roman" w:hAnsi="Times New Roman" w:cs="Times New Roman"/>
                <w:iCs/>
                <w:color w:val="000000" w:themeColor="text1"/>
                <w:sz w:val="24"/>
                <w:szCs w:val="24"/>
                <w:lang w:eastAsia="lv-LV"/>
              </w:rPr>
              <w:t>Altum</w:t>
            </w:r>
            <w:proofErr w:type="spellEnd"/>
            <w:r w:rsidRPr="003D1800">
              <w:rPr>
                <w:rFonts w:ascii="Times New Roman" w:eastAsia="Times New Roman" w:hAnsi="Times New Roman" w:cs="Times New Roman"/>
                <w:iCs/>
                <w:color w:val="000000" w:themeColor="text1"/>
                <w:sz w:val="24"/>
                <w:szCs w:val="24"/>
                <w:lang w:eastAsia="lv-LV"/>
              </w:rPr>
              <w:t>”.</w:t>
            </w:r>
          </w:p>
        </w:tc>
      </w:tr>
      <w:tr w:rsidR="00E5323B" w:rsidRPr="003D1800" w14:paraId="3F83F62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140660" w14:textId="77777777" w:rsidR="00655F2C"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B457ABF" w14:textId="77777777" w:rsidR="00E5323B"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382E47A" w14:textId="287F5DAB" w:rsidR="00E5323B" w:rsidRPr="003D1800" w:rsidRDefault="005360C5" w:rsidP="008E6FFD">
            <w:pPr>
              <w:spacing w:after="0" w:line="240" w:lineRule="auto"/>
              <w:jc w:val="both"/>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Noteikumu projekts neparedz ietekmi uz administratīvo slogu un izmaksām.</w:t>
            </w:r>
          </w:p>
        </w:tc>
      </w:tr>
      <w:tr w:rsidR="00E5323B" w:rsidRPr="003D1800" w14:paraId="44BAC5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875491" w14:textId="77777777" w:rsidR="00655F2C"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16C41811" w14:textId="59711795" w:rsidR="002B73AF" w:rsidRPr="003D1800" w:rsidRDefault="00E5323B" w:rsidP="00E75D95">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BDC1266" w14:textId="3E4BDCB9" w:rsidR="00E5323B" w:rsidRPr="003D1800" w:rsidRDefault="0055018D" w:rsidP="00F441DB">
            <w:pPr>
              <w:spacing w:after="0" w:line="240" w:lineRule="auto"/>
              <w:jc w:val="both"/>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Noteikumu projekts neparedz ietekmi uz atbilstības izmaksām.</w:t>
            </w:r>
          </w:p>
        </w:tc>
      </w:tr>
      <w:tr w:rsidR="00E5323B" w:rsidRPr="003D1800" w14:paraId="46487C6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2AF509" w14:textId="77777777" w:rsidR="00655F2C"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707421F" w14:textId="77777777" w:rsidR="00E5323B"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C806FA9" w14:textId="1E43DCA5" w:rsidR="00E5323B" w:rsidRPr="003D1800" w:rsidRDefault="0055018D"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Nav</w:t>
            </w:r>
          </w:p>
        </w:tc>
      </w:tr>
    </w:tbl>
    <w:p w14:paraId="65D9B610" w14:textId="77777777" w:rsidR="00E5323B"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3D1800" w14:paraId="3306A26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2A6F8F" w14:textId="77777777" w:rsidR="00655F2C" w:rsidRPr="003D1800"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3D1800">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E75D95" w:rsidRPr="003D1800" w14:paraId="0A3C63E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310E561" w14:textId="38984C12" w:rsidR="00E75D95" w:rsidRPr="003D1800" w:rsidRDefault="00E75D95" w:rsidP="00E75D95">
            <w:pPr>
              <w:spacing w:after="0" w:line="240" w:lineRule="auto"/>
              <w:jc w:val="center"/>
              <w:rPr>
                <w:rFonts w:ascii="Times New Roman" w:eastAsia="Times New Roman" w:hAnsi="Times New Roman" w:cs="Times New Roman"/>
                <w:b/>
                <w:bCs/>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Projekts šo jomu neskar.</w:t>
            </w:r>
          </w:p>
        </w:tc>
      </w:tr>
    </w:tbl>
    <w:p w14:paraId="75C637EC" w14:textId="77777777" w:rsidR="00E5323B"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3D1800" w14:paraId="02C9B58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5C5F88" w14:textId="77777777" w:rsidR="00655F2C" w:rsidRPr="003D1800"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3D1800">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E75D95" w:rsidRPr="003D1800" w14:paraId="7D3E913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17B2B72" w14:textId="7D77C6AF" w:rsidR="00E75D95" w:rsidRPr="003D1800" w:rsidRDefault="00E75D95" w:rsidP="00E75D95">
            <w:pPr>
              <w:spacing w:after="0" w:line="240" w:lineRule="auto"/>
              <w:jc w:val="center"/>
              <w:rPr>
                <w:rFonts w:ascii="Times New Roman" w:eastAsia="Times New Roman" w:hAnsi="Times New Roman" w:cs="Times New Roman"/>
                <w:b/>
                <w:bCs/>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Projekts šo jomu neskar.</w:t>
            </w:r>
          </w:p>
        </w:tc>
      </w:tr>
    </w:tbl>
    <w:p w14:paraId="61C17EB7" w14:textId="73337E1C" w:rsidR="008E6F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72A1" w:rsidRPr="0089544C" w14:paraId="48E60ED1" w14:textId="77777777" w:rsidTr="002A7B2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D1C101" w14:textId="77777777" w:rsidR="003072A1" w:rsidRPr="007E5E18" w:rsidRDefault="003072A1" w:rsidP="002A7B21">
            <w:pPr>
              <w:spacing w:after="0" w:line="240" w:lineRule="auto"/>
              <w:rPr>
                <w:rFonts w:ascii="Times New Roman" w:eastAsia="Times New Roman" w:hAnsi="Times New Roman" w:cs="Times New Roman"/>
                <w:b/>
                <w:bCs/>
                <w:iCs/>
                <w:sz w:val="24"/>
                <w:szCs w:val="24"/>
                <w:lang w:eastAsia="lv-LV"/>
              </w:rPr>
            </w:pPr>
            <w:r w:rsidRPr="007E5E1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072A1" w:rsidRPr="0089544C" w14:paraId="0E7A04AC" w14:textId="77777777" w:rsidTr="002A7B2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D33E65" w14:textId="77777777" w:rsidR="003072A1" w:rsidRPr="007E5E18" w:rsidRDefault="003072A1" w:rsidP="002A7B21">
            <w:pPr>
              <w:spacing w:after="0" w:line="240" w:lineRule="auto"/>
              <w:rPr>
                <w:rFonts w:ascii="Times New Roman" w:eastAsia="Times New Roman" w:hAnsi="Times New Roman" w:cs="Times New Roman"/>
                <w:iCs/>
                <w:sz w:val="24"/>
                <w:szCs w:val="24"/>
                <w:lang w:eastAsia="lv-LV"/>
              </w:rPr>
            </w:pPr>
            <w:r w:rsidRPr="007E5E1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F0D73B3" w14:textId="77777777" w:rsidR="003072A1" w:rsidRPr="007E5E18" w:rsidRDefault="003072A1" w:rsidP="002A7B21">
            <w:pPr>
              <w:spacing w:after="0" w:line="240" w:lineRule="auto"/>
              <w:rPr>
                <w:rFonts w:ascii="Times New Roman" w:eastAsia="Times New Roman" w:hAnsi="Times New Roman" w:cs="Times New Roman"/>
                <w:iCs/>
                <w:sz w:val="24"/>
                <w:szCs w:val="24"/>
                <w:lang w:eastAsia="lv-LV"/>
              </w:rPr>
            </w:pPr>
            <w:r w:rsidRPr="007E5E18">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121C46B0" w14:textId="77777777" w:rsidR="003072A1" w:rsidRDefault="003072A1" w:rsidP="002A7B21">
            <w:pPr>
              <w:spacing w:after="0" w:line="240" w:lineRule="auto"/>
              <w:rPr>
                <w:rFonts w:ascii="Times New Roman" w:eastAsia="Times New Roman" w:hAnsi="Times New Roman" w:cs="Times New Roman"/>
                <w:iCs/>
                <w:sz w:val="24"/>
                <w:szCs w:val="24"/>
                <w:lang w:eastAsia="lv-LV"/>
              </w:rPr>
            </w:pPr>
            <w:r w:rsidRPr="007E5E18">
              <w:rPr>
                <w:rFonts w:ascii="Times New Roman" w:eastAsia="Times New Roman" w:hAnsi="Times New Roman" w:cs="Times New Roman"/>
                <w:iCs/>
                <w:sz w:val="24"/>
                <w:szCs w:val="24"/>
                <w:lang w:eastAsia="lv-LV"/>
              </w:rPr>
              <w:t>Noteikumu projekts atbilst šādiem Eiropas Savienības tiesību aktiem:</w:t>
            </w:r>
          </w:p>
          <w:p w14:paraId="61D08B4D" w14:textId="77777777" w:rsidR="003072A1" w:rsidRPr="007E5E18" w:rsidRDefault="003072A1" w:rsidP="002A7B21">
            <w:pPr>
              <w:pStyle w:val="ListParagraph"/>
              <w:numPr>
                <w:ilvl w:val="0"/>
                <w:numId w:val="9"/>
              </w:numPr>
              <w:ind w:left="0" w:firstLine="360"/>
              <w:jc w:val="both"/>
              <w:rPr>
                <w:iCs/>
                <w:sz w:val="24"/>
                <w:szCs w:val="24"/>
              </w:rPr>
            </w:pPr>
            <w:r w:rsidRPr="007E5E18">
              <w:rPr>
                <w:iCs/>
                <w:sz w:val="24"/>
                <w:szCs w:val="24"/>
              </w:rPr>
              <w:t xml:space="preserve">Eiropas Komisijas 2013. gada 18. decembra Regula (ES) Nr.  1407/2013 par Līguma par Eiropas Savienības darbību 107. un 108. panta piemērošanu </w:t>
            </w:r>
            <w:proofErr w:type="spellStart"/>
            <w:r w:rsidRPr="007E5E18">
              <w:rPr>
                <w:i/>
                <w:sz w:val="24"/>
                <w:szCs w:val="24"/>
              </w:rPr>
              <w:t>de</w:t>
            </w:r>
            <w:proofErr w:type="spellEnd"/>
            <w:r w:rsidRPr="007E5E18">
              <w:rPr>
                <w:i/>
                <w:sz w:val="24"/>
                <w:szCs w:val="24"/>
              </w:rPr>
              <w:t xml:space="preserve"> </w:t>
            </w:r>
            <w:proofErr w:type="spellStart"/>
            <w:r w:rsidRPr="007E5E18">
              <w:rPr>
                <w:i/>
                <w:sz w:val="24"/>
                <w:szCs w:val="24"/>
              </w:rPr>
              <w:t>minimis</w:t>
            </w:r>
            <w:proofErr w:type="spellEnd"/>
            <w:r w:rsidRPr="007E5E18">
              <w:rPr>
                <w:iCs/>
                <w:sz w:val="24"/>
                <w:szCs w:val="24"/>
              </w:rPr>
              <w:t xml:space="preserve"> atbalstam (turpmāk – regula Nr.  1407/2013);</w:t>
            </w:r>
          </w:p>
          <w:p w14:paraId="187D001D" w14:textId="77777777" w:rsidR="003072A1" w:rsidRPr="007E5E18" w:rsidRDefault="003072A1" w:rsidP="002A7B21">
            <w:pPr>
              <w:pStyle w:val="ListParagraph"/>
              <w:numPr>
                <w:ilvl w:val="0"/>
                <w:numId w:val="9"/>
              </w:numPr>
              <w:ind w:left="0" w:firstLine="360"/>
              <w:jc w:val="both"/>
              <w:rPr>
                <w:iCs/>
                <w:sz w:val="24"/>
                <w:szCs w:val="24"/>
              </w:rPr>
            </w:pPr>
            <w:r w:rsidRPr="007E5E18">
              <w:rPr>
                <w:iCs/>
                <w:sz w:val="24"/>
                <w:szCs w:val="24"/>
              </w:rPr>
              <w:t xml:space="preserve">Komisijas 2004. gada 21. aprīļa </w:t>
            </w:r>
            <w:r>
              <w:rPr>
                <w:iCs/>
                <w:sz w:val="24"/>
                <w:szCs w:val="24"/>
              </w:rPr>
              <w:t>R</w:t>
            </w:r>
            <w:r w:rsidRPr="007E5E18">
              <w:rPr>
                <w:iCs/>
                <w:sz w:val="24"/>
                <w:szCs w:val="24"/>
              </w:rPr>
              <w:t>egula (EK) Nr. 794/2004, ar ko īsteno Padomes Regulu (ES) 2015/1589, ar ko nosaka sīki izstrādātus noteikumus Līguma par Eiropas Savienības darbību 108. panta piemērošanai (turpmāk - regula Nr.  794/2004).</w:t>
            </w:r>
          </w:p>
        </w:tc>
      </w:tr>
      <w:tr w:rsidR="003072A1" w:rsidRPr="0089544C" w14:paraId="4D1DBFDB" w14:textId="77777777" w:rsidTr="002A7B2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11ED6F" w14:textId="77777777" w:rsidR="003072A1" w:rsidRPr="007E5E18" w:rsidRDefault="003072A1" w:rsidP="002A7B21">
            <w:pPr>
              <w:spacing w:after="0" w:line="240" w:lineRule="auto"/>
              <w:rPr>
                <w:rFonts w:ascii="Times New Roman" w:eastAsia="Times New Roman" w:hAnsi="Times New Roman" w:cs="Times New Roman"/>
                <w:iCs/>
                <w:sz w:val="24"/>
                <w:szCs w:val="24"/>
                <w:lang w:eastAsia="lv-LV"/>
              </w:rPr>
            </w:pPr>
            <w:r w:rsidRPr="007E5E1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CCEA8F2" w14:textId="77777777" w:rsidR="003072A1" w:rsidRPr="007E5E18" w:rsidRDefault="003072A1" w:rsidP="002A7B21">
            <w:pPr>
              <w:spacing w:after="0" w:line="240" w:lineRule="auto"/>
              <w:rPr>
                <w:rFonts w:ascii="Times New Roman" w:eastAsia="Times New Roman" w:hAnsi="Times New Roman" w:cs="Times New Roman"/>
                <w:iCs/>
                <w:sz w:val="24"/>
                <w:szCs w:val="24"/>
                <w:lang w:eastAsia="lv-LV"/>
              </w:rPr>
            </w:pPr>
            <w:r w:rsidRPr="007E5E18">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3F341BDD" w14:textId="77777777" w:rsidR="003072A1" w:rsidRPr="007E5E18" w:rsidRDefault="003072A1" w:rsidP="002A7B21">
            <w:pPr>
              <w:spacing w:after="0" w:line="240" w:lineRule="auto"/>
              <w:rPr>
                <w:rFonts w:ascii="Times New Roman" w:eastAsia="Times New Roman" w:hAnsi="Times New Roman" w:cs="Times New Roman"/>
                <w:iCs/>
                <w:sz w:val="24"/>
                <w:szCs w:val="24"/>
                <w:lang w:eastAsia="lv-LV"/>
              </w:rPr>
            </w:pPr>
            <w:r w:rsidRPr="007E5E18">
              <w:rPr>
                <w:rFonts w:ascii="Times New Roman" w:eastAsia="Times New Roman" w:hAnsi="Times New Roman" w:cs="Times New Roman"/>
                <w:iCs/>
                <w:sz w:val="24"/>
                <w:szCs w:val="24"/>
                <w:lang w:eastAsia="lv-LV"/>
              </w:rPr>
              <w:t>Projekts šo jomu neskar.</w:t>
            </w:r>
          </w:p>
        </w:tc>
      </w:tr>
      <w:tr w:rsidR="003072A1" w:rsidRPr="0089544C" w14:paraId="01D02509" w14:textId="77777777" w:rsidTr="002A7B2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5614D8" w14:textId="77777777" w:rsidR="003072A1" w:rsidRPr="007E5E18" w:rsidRDefault="003072A1" w:rsidP="002A7B21">
            <w:pPr>
              <w:spacing w:after="0" w:line="240" w:lineRule="auto"/>
              <w:rPr>
                <w:rFonts w:ascii="Times New Roman" w:eastAsia="Times New Roman" w:hAnsi="Times New Roman" w:cs="Times New Roman"/>
                <w:iCs/>
                <w:sz w:val="24"/>
                <w:szCs w:val="24"/>
                <w:lang w:eastAsia="lv-LV"/>
              </w:rPr>
            </w:pPr>
            <w:r w:rsidRPr="007E5E1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66A659B" w14:textId="77777777" w:rsidR="003072A1" w:rsidRPr="007E5E18" w:rsidRDefault="003072A1" w:rsidP="002A7B21">
            <w:pPr>
              <w:spacing w:after="0" w:line="240" w:lineRule="auto"/>
              <w:rPr>
                <w:rFonts w:ascii="Times New Roman" w:eastAsia="Times New Roman" w:hAnsi="Times New Roman" w:cs="Times New Roman"/>
                <w:iCs/>
                <w:sz w:val="24"/>
                <w:szCs w:val="24"/>
                <w:lang w:eastAsia="lv-LV"/>
              </w:rPr>
            </w:pPr>
            <w:r w:rsidRPr="007E5E1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AC8BB8E" w14:textId="77777777" w:rsidR="003072A1" w:rsidRPr="007E5E18" w:rsidRDefault="003072A1" w:rsidP="002A7B21">
            <w:pPr>
              <w:spacing w:after="0" w:line="240" w:lineRule="auto"/>
              <w:rPr>
                <w:rFonts w:ascii="Times New Roman" w:eastAsia="Times New Roman" w:hAnsi="Times New Roman" w:cs="Times New Roman"/>
                <w:iCs/>
                <w:sz w:val="24"/>
                <w:szCs w:val="24"/>
                <w:lang w:eastAsia="lv-LV"/>
              </w:rPr>
            </w:pPr>
            <w:r w:rsidRPr="007E5E18">
              <w:rPr>
                <w:rFonts w:ascii="Times New Roman" w:eastAsia="Times New Roman" w:hAnsi="Times New Roman" w:cs="Times New Roman"/>
                <w:iCs/>
                <w:sz w:val="24"/>
                <w:szCs w:val="24"/>
                <w:lang w:eastAsia="lv-LV"/>
              </w:rPr>
              <w:t>Nav</w:t>
            </w:r>
          </w:p>
        </w:tc>
      </w:tr>
    </w:tbl>
    <w:p w14:paraId="065EFA4D" w14:textId="5354AF7A" w:rsidR="003072A1" w:rsidRDefault="003072A1"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83"/>
        <w:gridCol w:w="2167"/>
        <w:gridCol w:w="2288"/>
        <w:gridCol w:w="2417"/>
      </w:tblGrid>
      <w:tr w:rsidR="003072A1" w:rsidRPr="0089544C" w14:paraId="62F9B20A" w14:textId="77777777" w:rsidTr="002A7B21">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BF00B99" w14:textId="77777777" w:rsidR="003072A1" w:rsidRPr="0089544C" w:rsidRDefault="003072A1" w:rsidP="002A7B21">
            <w:pPr>
              <w:spacing w:after="0" w:line="240" w:lineRule="auto"/>
              <w:jc w:val="center"/>
              <w:rPr>
                <w:rFonts w:ascii="Times New Roman" w:eastAsia="Times New Roman" w:hAnsi="Times New Roman" w:cs="Times New Roman"/>
                <w:b/>
                <w:bCs/>
                <w:iCs/>
                <w:sz w:val="24"/>
                <w:szCs w:val="24"/>
                <w:lang w:val="sv-SE" w:eastAsia="lv-LV"/>
              </w:rPr>
            </w:pPr>
            <w:r w:rsidRPr="0089544C">
              <w:rPr>
                <w:rFonts w:ascii="Times New Roman" w:eastAsia="Times New Roman" w:hAnsi="Times New Roman" w:cs="Times New Roman"/>
                <w:b/>
                <w:bCs/>
                <w:iCs/>
                <w:sz w:val="24"/>
                <w:szCs w:val="24"/>
                <w:lang w:val="sv-SE" w:eastAsia="lv-LV"/>
              </w:rPr>
              <w:t>1. tabula</w:t>
            </w:r>
            <w:r w:rsidRPr="0089544C">
              <w:rPr>
                <w:rFonts w:ascii="Times New Roman" w:eastAsia="Times New Roman" w:hAnsi="Times New Roman" w:cs="Times New Roman"/>
                <w:b/>
                <w:bCs/>
                <w:iCs/>
                <w:sz w:val="24"/>
                <w:szCs w:val="24"/>
                <w:lang w:val="sv-SE" w:eastAsia="lv-LV"/>
              </w:rPr>
              <w:br/>
              <w:t>Tiesību akta projekta atbilstība ES tiesību aktiem</w:t>
            </w:r>
          </w:p>
        </w:tc>
      </w:tr>
      <w:tr w:rsidR="003072A1" w:rsidRPr="0089544C" w14:paraId="02014490" w14:textId="77777777" w:rsidTr="002A7B21">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20301216" w14:textId="77777777" w:rsidR="003072A1" w:rsidRPr="0089544C" w:rsidRDefault="003072A1" w:rsidP="002A7B21">
            <w:pPr>
              <w:spacing w:after="0" w:line="240" w:lineRule="auto"/>
              <w:rPr>
                <w:rFonts w:ascii="Times New Roman" w:eastAsia="Times New Roman" w:hAnsi="Times New Roman" w:cs="Times New Roman"/>
                <w:iCs/>
                <w:sz w:val="24"/>
                <w:szCs w:val="24"/>
                <w:lang w:val="de-DE" w:eastAsia="lv-LV"/>
              </w:rPr>
            </w:pPr>
            <w:proofErr w:type="spellStart"/>
            <w:r w:rsidRPr="0089544C">
              <w:rPr>
                <w:rFonts w:ascii="Times New Roman" w:eastAsia="Times New Roman" w:hAnsi="Times New Roman" w:cs="Times New Roman"/>
                <w:iCs/>
                <w:sz w:val="24"/>
                <w:szCs w:val="24"/>
                <w:lang w:val="de-DE" w:eastAsia="lv-LV"/>
              </w:rPr>
              <w:t>Attiecīgā</w:t>
            </w:r>
            <w:proofErr w:type="spellEnd"/>
            <w:r w:rsidRPr="0089544C">
              <w:rPr>
                <w:rFonts w:ascii="Times New Roman" w:eastAsia="Times New Roman" w:hAnsi="Times New Roman" w:cs="Times New Roman"/>
                <w:iCs/>
                <w:sz w:val="24"/>
                <w:szCs w:val="24"/>
                <w:lang w:val="de-DE" w:eastAsia="lv-LV"/>
              </w:rPr>
              <w:t xml:space="preserve"> ES </w:t>
            </w:r>
            <w:proofErr w:type="spellStart"/>
            <w:r w:rsidRPr="0089544C">
              <w:rPr>
                <w:rFonts w:ascii="Times New Roman" w:eastAsia="Times New Roman" w:hAnsi="Times New Roman" w:cs="Times New Roman"/>
                <w:iCs/>
                <w:sz w:val="24"/>
                <w:szCs w:val="24"/>
                <w:lang w:val="de-DE" w:eastAsia="lv-LV"/>
              </w:rPr>
              <w:t>tiesību</w:t>
            </w:r>
            <w:proofErr w:type="spellEnd"/>
            <w:r w:rsidRPr="0089544C">
              <w:rPr>
                <w:rFonts w:ascii="Times New Roman" w:eastAsia="Times New Roman" w:hAnsi="Times New Roman" w:cs="Times New Roman"/>
                <w:iCs/>
                <w:sz w:val="24"/>
                <w:szCs w:val="24"/>
                <w:lang w:val="de-DE" w:eastAsia="lv-LV"/>
              </w:rPr>
              <w:t xml:space="preserve"> </w:t>
            </w:r>
            <w:proofErr w:type="spellStart"/>
            <w:r w:rsidRPr="0089544C">
              <w:rPr>
                <w:rFonts w:ascii="Times New Roman" w:eastAsia="Times New Roman" w:hAnsi="Times New Roman" w:cs="Times New Roman"/>
                <w:iCs/>
                <w:sz w:val="24"/>
                <w:szCs w:val="24"/>
                <w:lang w:val="de-DE" w:eastAsia="lv-LV"/>
              </w:rPr>
              <w:t>akta</w:t>
            </w:r>
            <w:proofErr w:type="spellEnd"/>
            <w:r w:rsidRPr="0089544C">
              <w:rPr>
                <w:rFonts w:ascii="Times New Roman" w:eastAsia="Times New Roman" w:hAnsi="Times New Roman" w:cs="Times New Roman"/>
                <w:iCs/>
                <w:sz w:val="24"/>
                <w:szCs w:val="24"/>
                <w:lang w:val="de-DE" w:eastAsia="lv-LV"/>
              </w:rPr>
              <w:t xml:space="preserve"> </w:t>
            </w:r>
            <w:proofErr w:type="spellStart"/>
            <w:r w:rsidRPr="0089544C">
              <w:rPr>
                <w:rFonts w:ascii="Times New Roman" w:eastAsia="Times New Roman" w:hAnsi="Times New Roman" w:cs="Times New Roman"/>
                <w:iCs/>
                <w:sz w:val="24"/>
                <w:szCs w:val="24"/>
                <w:lang w:val="de-DE" w:eastAsia="lv-LV"/>
              </w:rPr>
              <w:t>datums</w:t>
            </w:r>
            <w:proofErr w:type="spellEnd"/>
            <w:r w:rsidRPr="0089544C">
              <w:rPr>
                <w:rFonts w:ascii="Times New Roman" w:eastAsia="Times New Roman" w:hAnsi="Times New Roman" w:cs="Times New Roman"/>
                <w:iCs/>
                <w:sz w:val="24"/>
                <w:szCs w:val="24"/>
                <w:lang w:val="de-DE" w:eastAsia="lv-LV"/>
              </w:rPr>
              <w:t xml:space="preserve">, </w:t>
            </w:r>
            <w:proofErr w:type="spellStart"/>
            <w:r w:rsidRPr="0089544C">
              <w:rPr>
                <w:rFonts w:ascii="Times New Roman" w:eastAsia="Times New Roman" w:hAnsi="Times New Roman" w:cs="Times New Roman"/>
                <w:iCs/>
                <w:sz w:val="24"/>
                <w:szCs w:val="24"/>
                <w:lang w:val="de-DE" w:eastAsia="lv-LV"/>
              </w:rPr>
              <w:t>numurs</w:t>
            </w:r>
            <w:proofErr w:type="spellEnd"/>
            <w:r w:rsidRPr="0089544C">
              <w:rPr>
                <w:rFonts w:ascii="Times New Roman" w:eastAsia="Times New Roman" w:hAnsi="Times New Roman" w:cs="Times New Roman"/>
                <w:iCs/>
                <w:sz w:val="24"/>
                <w:szCs w:val="24"/>
                <w:lang w:val="de-DE" w:eastAsia="lv-LV"/>
              </w:rPr>
              <w:t xml:space="preserve"> un </w:t>
            </w:r>
            <w:proofErr w:type="spellStart"/>
            <w:r w:rsidRPr="0089544C">
              <w:rPr>
                <w:rFonts w:ascii="Times New Roman" w:eastAsia="Times New Roman" w:hAnsi="Times New Roman" w:cs="Times New Roman"/>
                <w:iCs/>
                <w:sz w:val="24"/>
                <w:szCs w:val="24"/>
                <w:lang w:val="de-DE" w:eastAsia="lv-LV"/>
              </w:rPr>
              <w:t>nosaukums</w:t>
            </w:r>
            <w:proofErr w:type="spellEnd"/>
          </w:p>
        </w:tc>
        <w:tc>
          <w:tcPr>
            <w:tcW w:w="3762" w:type="pct"/>
            <w:gridSpan w:val="3"/>
            <w:tcBorders>
              <w:top w:val="outset" w:sz="6" w:space="0" w:color="auto"/>
              <w:left w:val="outset" w:sz="6" w:space="0" w:color="auto"/>
              <w:bottom w:val="outset" w:sz="6" w:space="0" w:color="auto"/>
              <w:right w:val="outset" w:sz="6" w:space="0" w:color="auto"/>
            </w:tcBorders>
            <w:hideMark/>
          </w:tcPr>
          <w:p w14:paraId="6F329168" w14:textId="77777777" w:rsidR="003072A1" w:rsidRPr="0089544C" w:rsidRDefault="003072A1" w:rsidP="002A7B21">
            <w:pPr>
              <w:spacing w:after="0" w:line="240" w:lineRule="auto"/>
              <w:jc w:val="both"/>
              <w:rPr>
                <w:rFonts w:ascii="Times New Roman" w:eastAsia="Times New Roman" w:hAnsi="Times New Roman" w:cs="Times New Roman"/>
                <w:iCs/>
                <w:sz w:val="24"/>
                <w:szCs w:val="24"/>
                <w:lang w:val="de-DE" w:eastAsia="lv-LV"/>
              </w:rPr>
            </w:pPr>
            <w:r w:rsidRPr="0089544C">
              <w:rPr>
                <w:rFonts w:ascii="Times New Roman" w:eastAsia="Times New Roman" w:hAnsi="Times New Roman" w:cs="Times New Roman"/>
                <w:iCs/>
                <w:sz w:val="24"/>
                <w:szCs w:val="24"/>
                <w:lang w:val="de-DE" w:eastAsia="lv-LV"/>
              </w:rPr>
              <w:t xml:space="preserve">Ar </w:t>
            </w:r>
            <w:proofErr w:type="spellStart"/>
            <w:r w:rsidRPr="0089544C">
              <w:rPr>
                <w:rFonts w:ascii="Times New Roman" w:eastAsia="Times New Roman" w:hAnsi="Times New Roman" w:cs="Times New Roman"/>
                <w:iCs/>
                <w:sz w:val="24"/>
                <w:szCs w:val="24"/>
                <w:lang w:val="de-DE" w:eastAsia="lv-LV"/>
              </w:rPr>
              <w:t>Noteikumu</w:t>
            </w:r>
            <w:proofErr w:type="spellEnd"/>
            <w:r w:rsidRPr="0089544C">
              <w:rPr>
                <w:rFonts w:ascii="Times New Roman" w:eastAsia="Times New Roman" w:hAnsi="Times New Roman" w:cs="Times New Roman"/>
                <w:iCs/>
                <w:sz w:val="24"/>
                <w:szCs w:val="24"/>
                <w:lang w:val="de-DE" w:eastAsia="lv-LV"/>
              </w:rPr>
              <w:t xml:space="preserve"> </w:t>
            </w:r>
            <w:proofErr w:type="spellStart"/>
            <w:r w:rsidRPr="0089544C">
              <w:rPr>
                <w:rFonts w:ascii="Times New Roman" w:eastAsia="Times New Roman" w:hAnsi="Times New Roman" w:cs="Times New Roman"/>
                <w:iCs/>
                <w:sz w:val="24"/>
                <w:szCs w:val="24"/>
                <w:lang w:val="de-DE" w:eastAsia="lv-LV"/>
              </w:rPr>
              <w:t>projektu</w:t>
            </w:r>
            <w:proofErr w:type="spellEnd"/>
            <w:r w:rsidRPr="0089544C">
              <w:rPr>
                <w:rFonts w:ascii="Times New Roman" w:eastAsia="Times New Roman" w:hAnsi="Times New Roman" w:cs="Times New Roman"/>
                <w:iCs/>
                <w:sz w:val="24"/>
                <w:szCs w:val="24"/>
                <w:lang w:val="de-DE" w:eastAsia="lv-LV"/>
              </w:rPr>
              <w:t xml:space="preserve"> </w:t>
            </w:r>
            <w:proofErr w:type="spellStart"/>
            <w:r w:rsidRPr="0089544C">
              <w:rPr>
                <w:rFonts w:ascii="Times New Roman" w:eastAsia="Times New Roman" w:hAnsi="Times New Roman" w:cs="Times New Roman"/>
                <w:iCs/>
                <w:sz w:val="24"/>
                <w:szCs w:val="24"/>
                <w:lang w:val="de-DE" w:eastAsia="lv-LV"/>
              </w:rPr>
              <w:t>tiek</w:t>
            </w:r>
            <w:proofErr w:type="spellEnd"/>
            <w:r w:rsidRPr="0089544C">
              <w:rPr>
                <w:rFonts w:ascii="Times New Roman" w:eastAsia="Times New Roman" w:hAnsi="Times New Roman" w:cs="Times New Roman"/>
                <w:iCs/>
                <w:sz w:val="24"/>
                <w:szCs w:val="24"/>
                <w:lang w:val="de-DE" w:eastAsia="lv-LV"/>
              </w:rPr>
              <w:t xml:space="preserve"> </w:t>
            </w:r>
            <w:proofErr w:type="spellStart"/>
            <w:r w:rsidRPr="0089544C">
              <w:rPr>
                <w:rFonts w:ascii="Times New Roman" w:eastAsia="Times New Roman" w:hAnsi="Times New Roman" w:cs="Times New Roman"/>
                <w:iCs/>
                <w:sz w:val="24"/>
                <w:szCs w:val="24"/>
                <w:lang w:val="de-DE" w:eastAsia="lv-LV"/>
              </w:rPr>
              <w:t>ieviestas</w:t>
            </w:r>
            <w:proofErr w:type="spellEnd"/>
            <w:r w:rsidRPr="0089544C">
              <w:rPr>
                <w:rFonts w:ascii="Times New Roman" w:eastAsia="Times New Roman" w:hAnsi="Times New Roman" w:cs="Times New Roman"/>
                <w:iCs/>
                <w:sz w:val="24"/>
                <w:szCs w:val="24"/>
                <w:lang w:val="de-DE" w:eastAsia="lv-LV"/>
              </w:rPr>
              <w:t xml:space="preserve"> </w:t>
            </w:r>
            <w:proofErr w:type="spellStart"/>
            <w:r w:rsidRPr="0089544C">
              <w:rPr>
                <w:rFonts w:ascii="Times New Roman" w:eastAsia="Times New Roman" w:hAnsi="Times New Roman" w:cs="Times New Roman"/>
                <w:iCs/>
                <w:sz w:val="24"/>
                <w:szCs w:val="24"/>
                <w:lang w:val="de-DE" w:eastAsia="lv-LV"/>
              </w:rPr>
              <w:t>prasības</w:t>
            </w:r>
            <w:proofErr w:type="spellEnd"/>
            <w:r w:rsidRPr="0089544C">
              <w:rPr>
                <w:rFonts w:ascii="Times New Roman" w:eastAsia="Times New Roman" w:hAnsi="Times New Roman" w:cs="Times New Roman"/>
                <w:iCs/>
                <w:sz w:val="24"/>
                <w:szCs w:val="24"/>
                <w:lang w:val="de-DE" w:eastAsia="lv-LV"/>
              </w:rPr>
              <w:t xml:space="preserve"> </w:t>
            </w:r>
            <w:proofErr w:type="spellStart"/>
            <w:r w:rsidRPr="0089544C">
              <w:rPr>
                <w:rFonts w:ascii="Times New Roman" w:eastAsia="Times New Roman" w:hAnsi="Times New Roman" w:cs="Times New Roman"/>
                <w:iCs/>
                <w:sz w:val="24"/>
                <w:szCs w:val="24"/>
                <w:lang w:val="de-DE" w:eastAsia="lv-LV"/>
              </w:rPr>
              <w:t>n</w:t>
            </w:r>
            <w:r>
              <w:rPr>
                <w:rFonts w:ascii="Times New Roman" w:eastAsia="Times New Roman" w:hAnsi="Times New Roman" w:cs="Times New Roman"/>
                <w:iCs/>
                <w:sz w:val="24"/>
                <w:szCs w:val="24"/>
                <w:lang w:val="de-DE" w:eastAsia="lv-LV"/>
              </w:rPr>
              <w:t>o</w:t>
            </w:r>
            <w:proofErr w:type="spellEnd"/>
            <w:r w:rsidRPr="0089544C">
              <w:rPr>
                <w:rFonts w:ascii="Times New Roman" w:eastAsia="Times New Roman" w:hAnsi="Times New Roman" w:cs="Times New Roman"/>
                <w:iCs/>
                <w:sz w:val="24"/>
                <w:szCs w:val="24"/>
                <w:lang w:val="de-DE" w:eastAsia="lv-LV"/>
              </w:rPr>
              <w:t xml:space="preserve"> </w:t>
            </w:r>
            <w:proofErr w:type="spellStart"/>
            <w:r w:rsidRPr="0089544C">
              <w:rPr>
                <w:rFonts w:ascii="Times New Roman" w:eastAsia="Times New Roman" w:hAnsi="Times New Roman" w:cs="Times New Roman"/>
                <w:iCs/>
                <w:sz w:val="24"/>
                <w:szCs w:val="24"/>
                <w:lang w:val="de-DE" w:eastAsia="lv-LV"/>
              </w:rPr>
              <w:t>regulas</w:t>
            </w:r>
            <w:proofErr w:type="spellEnd"/>
            <w:r w:rsidRPr="0089544C">
              <w:rPr>
                <w:rFonts w:ascii="Times New Roman" w:eastAsia="Times New Roman" w:hAnsi="Times New Roman" w:cs="Times New Roman"/>
                <w:iCs/>
                <w:sz w:val="24"/>
                <w:szCs w:val="24"/>
                <w:lang w:val="de-DE" w:eastAsia="lv-LV"/>
              </w:rPr>
              <w:t xml:space="preserve"> Nr.</w:t>
            </w:r>
            <w:r>
              <w:rPr>
                <w:rFonts w:ascii="Times New Roman" w:eastAsia="Times New Roman" w:hAnsi="Times New Roman" w:cs="Times New Roman"/>
                <w:iCs/>
                <w:sz w:val="24"/>
                <w:szCs w:val="24"/>
                <w:lang w:val="de-DE" w:eastAsia="lv-LV"/>
              </w:rPr>
              <w:t xml:space="preserve"> 1</w:t>
            </w:r>
            <w:r w:rsidRPr="0089544C">
              <w:rPr>
                <w:rFonts w:ascii="Times New Roman" w:eastAsia="Times New Roman" w:hAnsi="Times New Roman" w:cs="Times New Roman"/>
                <w:iCs/>
                <w:sz w:val="24"/>
                <w:szCs w:val="24"/>
                <w:lang w:val="de-DE" w:eastAsia="lv-LV"/>
              </w:rPr>
              <w:t>407/2013</w:t>
            </w:r>
            <w:r>
              <w:rPr>
                <w:rFonts w:ascii="Times New Roman" w:eastAsia="Times New Roman" w:hAnsi="Times New Roman" w:cs="Times New Roman"/>
                <w:iCs/>
                <w:sz w:val="24"/>
                <w:szCs w:val="24"/>
                <w:lang w:val="de-DE" w:eastAsia="lv-LV"/>
              </w:rPr>
              <w:t xml:space="preserve"> un </w:t>
            </w:r>
            <w:r w:rsidRPr="007E5E18">
              <w:rPr>
                <w:rFonts w:ascii="Times New Roman" w:eastAsia="Times New Roman" w:hAnsi="Times New Roman" w:cs="Times New Roman"/>
                <w:iCs/>
                <w:sz w:val="24"/>
                <w:szCs w:val="24"/>
                <w:lang w:eastAsia="lv-LV"/>
              </w:rPr>
              <w:t>regula</w:t>
            </w:r>
            <w:r>
              <w:rPr>
                <w:rFonts w:ascii="Times New Roman" w:eastAsia="Times New Roman" w:hAnsi="Times New Roman" w:cs="Times New Roman"/>
                <w:iCs/>
                <w:sz w:val="24"/>
                <w:szCs w:val="24"/>
                <w:lang w:eastAsia="lv-LV"/>
              </w:rPr>
              <w:t>s</w:t>
            </w:r>
            <w:r w:rsidRPr="007E5E18">
              <w:rPr>
                <w:rFonts w:ascii="Times New Roman" w:eastAsia="Times New Roman" w:hAnsi="Times New Roman" w:cs="Times New Roman"/>
                <w:iCs/>
                <w:sz w:val="24"/>
                <w:szCs w:val="24"/>
                <w:lang w:eastAsia="lv-LV"/>
              </w:rPr>
              <w:t xml:space="preserve"> Nr.  794/2004</w:t>
            </w:r>
            <w:r>
              <w:rPr>
                <w:rFonts w:ascii="Times New Roman" w:eastAsia="Times New Roman" w:hAnsi="Times New Roman" w:cs="Times New Roman"/>
                <w:iCs/>
                <w:sz w:val="24"/>
                <w:szCs w:val="24"/>
                <w:lang w:eastAsia="lv-LV"/>
              </w:rPr>
              <w:t>.</w:t>
            </w:r>
          </w:p>
        </w:tc>
      </w:tr>
      <w:tr w:rsidR="003072A1" w:rsidRPr="0089544C" w14:paraId="4A0AA095" w14:textId="77777777" w:rsidTr="002A7B21">
        <w:trPr>
          <w:tblCellSpacing w:w="15" w:type="dxa"/>
        </w:trPr>
        <w:tc>
          <w:tcPr>
            <w:tcW w:w="1188" w:type="pct"/>
            <w:tcBorders>
              <w:top w:val="outset" w:sz="6" w:space="0" w:color="auto"/>
              <w:left w:val="outset" w:sz="6" w:space="0" w:color="auto"/>
              <w:bottom w:val="outset" w:sz="6" w:space="0" w:color="auto"/>
              <w:right w:val="outset" w:sz="6" w:space="0" w:color="auto"/>
            </w:tcBorders>
            <w:vAlign w:val="center"/>
            <w:hideMark/>
          </w:tcPr>
          <w:p w14:paraId="05AFEC82" w14:textId="77777777" w:rsidR="003072A1" w:rsidRPr="0089544C" w:rsidRDefault="003072A1" w:rsidP="002A7B21">
            <w:pPr>
              <w:spacing w:after="0" w:line="240" w:lineRule="auto"/>
              <w:rPr>
                <w:rFonts w:ascii="Times New Roman" w:eastAsia="Times New Roman" w:hAnsi="Times New Roman" w:cs="Times New Roman"/>
                <w:iCs/>
                <w:sz w:val="24"/>
                <w:szCs w:val="24"/>
                <w:lang w:val="en-US" w:eastAsia="lv-LV"/>
              </w:rPr>
            </w:pPr>
            <w:r w:rsidRPr="0089544C">
              <w:rPr>
                <w:rFonts w:ascii="Times New Roman" w:eastAsia="Times New Roman" w:hAnsi="Times New Roman" w:cs="Times New Roman"/>
                <w:iCs/>
                <w:sz w:val="24"/>
                <w:szCs w:val="24"/>
                <w:lang w:val="en-US" w:eastAsia="lv-LV"/>
              </w:rPr>
              <w:t>A</w:t>
            </w:r>
          </w:p>
        </w:tc>
        <w:tc>
          <w:tcPr>
            <w:tcW w:w="1188" w:type="pct"/>
            <w:tcBorders>
              <w:top w:val="outset" w:sz="6" w:space="0" w:color="auto"/>
              <w:left w:val="outset" w:sz="6" w:space="0" w:color="auto"/>
              <w:bottom w:val="outset" w:sz="6" w:space="0" w:color="auto"/>
              <w:right w:val="outset" w:sz="6" w:space="0" w:color="auto"/>
            </w:tcBorders>
            <w:vAlign w:val="center"/>
            <w:hideMark/>
          </w:tcPr>
          <w:p w14:paraId="4910E070" w14:textId="77777777" w:rsidR="003072A1" w:rsidRPr="0089544C" w:rsidRDefault="003072A1" w:rsidP="002A7B21">
            <w:pPr>
              <w:spacing w:after="0" w:line="240" w:lineRule="auto"/>
              <w:rPr>
                <w:rFonts w:ascii="Times New Roman" w:eastAsia="Times New Roman" w:hAnsi="Times New Roman" w:cs="Times New Roman"/>
                <w:iCs/>
                <w:sz w:val="24"/>
                <w:szCs w:val="24"/>
                <w:lang w:val="en-US" w:eastAsia="lv-LV"/>
              </w:rPr>
            </w:pPr>
            <w:r w:rsidRPr="0089544C">
              <w:rPr>
                <w:rFonts w:ascii="Times New Roman" w:eastAsia="Times New Roman" w:hAnsi="Times New Roman" w:cs="Times New Roman"/>
                <w:iCs/>
                <w:sz w:val="24"/>
                <w:szCs w:val="24"/>
                <w:lang w:val="en-US" w:eastAsia="lv-LV"/>
              </w:rPr>
              <w:t>B</w:t>
            </w:r>
          </w:p>
        </w:tc>
        <w:tc>
          <w:tcPr>
            <w:tcW w:w="1255" w:type="pct"/>
            <w:tcBorders>
              <w:top w:val="outset" w:sz="6" w:space="0" w:color="auto"/>
              <w:left w:val="outset" w:sz="6" w:space="0" w:color="auto"/>
              <w:bottom w:val="outset" w:sz="6" w:space="0" w:color="auto"/>
              <w:right w:val="outset" w:sz="6" w:space="0" w:color="auto"/>
            </w:tcBorders>
            <w:vAlign w:val="center"/>
            <w:hideMark/>
          </w:tcPr>
          <w:p w14:paraId="277F15C7" w14:textId="77777777" w:rsidR="003072A1" w:rsidRPr="0089544C" w:rsidRDefault="003072A1" w:rsidP="002A7B21">
            <w:pPr>
              <w:spacing w:after="0" w:line="240" w:lineRule="auto"/>
              <w:rPr>
                <w:rFonts w:ascii="Times New Roman" w:eastAsia="Times New Roman" w:hAnsi="Times New Roman" w:cs="Times New Roman"/>
                <w:iCs/>
                <w:sz w:val="24"/>
                <w:szCs w:val="24"/>
                <w:lang w:val="en-US" w:eastAsia="lv-LV"/>
              </w:rPr>
            </w:pPr>
            <w:r w:rsidRPr="0089544C">
              <w:rPr>
                <w:rFonts w:ascii="Times New Roman" w:eastAsia="Times New Roman" w:hAnsi="Times New Roman" w:cs="Times New Roman"/>
                <w:iCs/>
                <w:sz w:val="24"/>
                <w:szCs w:val="24"/>
                <w:lang w:val="en-US" w:eastAsia="lv-LV"/>
              </w:rPr>
              <w:t>C</w:t>
            </w:r>
          </w:p>
        </w:tc>
        <w:tc>
          <w:tcPr>
            <w:tcW w:w="1286" w:type="pct"/>
            <w:tcBorders>
              <w:top w:val="outset" w:sz="6" w:space="0" w:color="auto"/>
              <w:left w:val="outset" w:sz="6" w:space="0" w:color="auto"/>
              <w:bottom w:val="outset" w:sz="6" w:space="0" w:color="auto"/>
              <w:right w:val="outset" w:sz="6" w:space="0" w:color="auto"/>
            </w:tcBorders>
            <w:vAlign w:val="center"/>
            <w:hideMark/>
          </w:tcPr>
          <w:p w14:paraId="51732977" w14:textId="77777777" w:rsidR="003072A1" w:rsidRPr="0089544C" w:rsidRDefault="003072A1" w:rsidP="002A7B21">
            <w:pPr>
              <w:spacing w:after="0" w:line="240" w:lineRule="auto"/>
              <w:rPr>
                <w:rFonts w:ascii="Times New Roman" w:eastAsia="Times New Roman" w:hAnsi="Times New Roman" w:cs="Times New Roman"/>
                <w:iCs/>
                <w:sz w:val="24"/>
                <w:szCs w:val="24"/>
                <w:lang w:val="en-US" w:eastAsia="lv-LV"/>
              </w:rPr>
            </w:pPr>
            <w:r w:rsidRPr="0089544C">
              <w:rPr>
                <w:rFonts w:ascii="Times New Roman" w:eastAsia="Times New Roman" w:hAnsi="Times New Roman" w:cs="Times New Roman"/>
                <w:iCs/>
                <w:sz w:val="24"/>
                <w:szCs w:val="24"/>
                <w:lang w:val="en-US" w:eastAsia="lv-LV"/>
              </w:rPr>
              <w:t>D</w:t>
            </w:r>
          </w:p>
        </w:tc>
      </w:tr>
      <w:tr w:rsidR="003072A1" w:rsidRPr="0089544C" w14:paraId="1ED5E70C" w14:textId="77777777" w:rsidTr="002A7B21">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14BF529E" w14:textId="77777777" w:rsidR="003072A1" w:rsidRPr="0089544C" w:rsidRDefault="003072A1" w:rsidP="002A7B21">
            <w:pPr>
              <w:spacing w:after="0" w:line="240" w:lineRule="auto"/>
              <w:rPr>
                <w:rFonts w:ascii="Times New Roman" w:eastAsia="Times New Roman" w:hAnsi="Times New Roman" w:cs="Times New Roman"/>
                <w:iCs/>
                <w:sz w:val="24"/>
                <w:szCs w:val="24"/>
                <w:lang w:eastAsia="lv-LV"/>
              </w:rPr>
            </w:pPr>
            <w:r w:rsidRPr="0089544C">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188" w:type="pct"/>
            <w:tcBorders>
              <w:top w:val="outset" w:sz="6" w:space="0" w:color="auto"/>
              <w:left w:val="outset" w:sz="6" w:space="0" w:color="auto"/>
              <w:bottom w:val="outset" w:sz="6" w:space="0" w:color="auto"/>
              <w:right w:val="outset" w:sz="6" w:space="0" w:color="auto"/>
            </w:tcBorders>
            <w:hideMark/>
          </w:tcPr>
          <w:p w14:paraId="0AD12CC0" w14:textId="77777777" w:rsidR="003072A1" w:rsidRPr="0089544C" w:rsidRDefault="003072A1" w:rsidP="002A7B21">
            <w:pPr>
              <w:spacing w:after="0" w:line="240" w:lineRule="auto"/>
              <w:rPr>
                <w:rFonts w:ascii="Times New Roman" w:eastAsia="Times New Roman" w:hAnsi="Times New Roman" w:cs="Times New Roman"/>
                <w:iCs/>
                <w:sz w:val="24"/>
                <w:szCs w:val="24"/>
                <w:lang w:eastAsia="lv-LV"/>
              </w:rPr>
            </w:pPr>
            <w:r w:rsidRPr="0089544C">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55" w:type="pct"/>
            <w:tcBorders>
              <w:top w:val="outset" w:sz="6" w:space="0" w:color="auto"/>
              <w:left w:val="outset" w:sz="6" w:space="0" w:color="auto"/>
              <w:bottom w:val="outset" w:sz="6" w:space="0" w:color="auto"/>
              <w:right w:val="outset" w:sz="6" w:space="0" w:color="auto"/>
            </w:tcBorders>
            <w:hideMark/>
          </w:tcPr>
          <w:p w14:paraId="15AE81D1" w14:textId="77777777" w:rsidR="003072A1" w:rsidRPr="0089544C" w:rsidRDefault="003072A1" w:rsidP="002A7B21">
            <w:pPr>
              <w:spacing w:after="0" w:line="240" w:lineRule="auto"/>
              <w:rPr>
                <w:rFonts w:ascii="Times New Roman" w:eastAsia="Times New Roman" w:hAnsi="Times New Roman" w:cs="Times New Roman"/>
                <w:iCs/>
                <w:sz w:val="24"/>
                <w:szCs w:val="24"/>
                <w:lang w:eastAsia="lv-LV"/>
              </w:rPr>
            </w:pPr>
            <w:r w:rsidRPr="0089544C">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89544C">
              <w:rPr>
                <w:rFonts w:ascii="Times New Roman" w:eastAsia="Times New Roman" w:hAnsi="Times New Roman" w:cs="Times New Roman"/>
                <w:iCs/>
                <w:sz w:val="24"/>
                <w:szCs w:val="24"/>
                <w:lang w:eastAsia="lv-LV"/>
              </w:rPr>
              <w:br/>
              <w:t xml:space="preserve">Ja attiecīgā ES tiesību akta vienība tiek pārņemta vai ieviesta daļēji, sniedz attiecīgu skaidrojumu, kā arī precīzi norāda, kad un </w:t>
            </w:r>
            <w:r w:rsidRPr="0089544C">
              <w:rPr>
                <w:rFonts w:ascii="Times New Roman" w:eastAsia="Times New Roman" w:hAnsi="Times New Roman" w:cs="Times New Roman"/>
                <w:iCs/>
                <w:sz w:val="24"/>
                <w:szCs w:val="24"/>
                <w:lang w:eastAsia="lv-LV"/>
              </w:rPr>
              <w:lastRenderedPageBreak/>
              <w:t>kādā veidā ES tiesību akta vienība tiks pārņemta vai ieviesta pilnībā.</w:t>
            </w:r>
            <w:r w:rsidRPr="0089544C">
              <w:rPr>
                <w:rFonts w:ascii="Times New Roman" w:eastAsia="Times New Roman" w:hAnsi="Times New Roman" w:cs="Times New Roman"/>
                <w:iCs/>
                <w:sz w:val="24"/>
                <w:szCs w:val="24"/>
                <w:lang w:eastAsia="lv-LV"/>
              </w:rPr>
              <w:br/>
              <w:t>Norāda institūciju, kas ir atbildīga par šo saistību izpildi pilnībā</w:t>
            </w:r>
          </w:p>
        </w:tc>
        <w:tc>
          <w:tcPr>
            <w:tcW w:w="1286" w:type="pct"/>
            <w:tcBorders>
              <w:top w:val="outset" w:sz="6" w:space="0" w:color="auto"/>
              <w:left w:val="outset" w:sz="6" w:space="0" w:color="auto"/>
              <w:bottom w:val="outset" w:sz="6" w:space="0" w:color="auto"/>
              <w:right w:val="outset" w:sz="6" w:space="0" w:color="auto"/>
            </w:tcBorders>
            <w:hideMark/>
          </w:tcPr>
          <w:p w14:paraId="62B6EE03" w14:textId="77777777" w:rsidR="003072A1" w:rsidRPr="0089544C" w:rsidRDefault="003072A1" w:rsidP="002A7B21">
            <w:pPr>
              <w:spacing w:after="0" w:line="240" w:lineRule="auto"/>
              <w:rPr>
                <w:rFonts w:ascii="Times New Roman" w:eastAsia="Times New Roman" w:hAnsi="Times New Roman" w:cs="Times New Roman"/>
                <w:iCs/>
                <w:sz w:val="24"/>
                <w:szCs w:val="24"/>
                <w:lang w:eastAsia="lv-LV"/>
              </w:rPr>
            </w:pPr>
            <w:r w:rsidRPr="0089544C">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89544C">
              <w:rPr>
                <w:rFonts w:ascii="Times New Roman" w:eastAsia="Times New Roman" w:hAnsi="Times New Roman" w:cs="Times New Roman"/>
                <w:iCs/>
                <w:sz w:val="24"/>
                <w:szCs w:val="24"/>
                <w:lang w:eastAsia="lv-LV"/>
              </w:rPr>
              <w:br/>
              <w:t xml:space="preserve">Ja projekts satur stingrākas prasības nekā attiecīgais ES tiesību akts, norāda pamatojumu un </w:t>
            </w:r>
            <w:r w:rsidRPr="0089544C">
              <w:rPr>
                <w:rFonts w:ascii="Times New Roman" w:eastAsia="Times New Roman" w:hAnsi="Times New Roman" w:cs="Times New Roman"/>
                <w:iCs/>
                <w:sz w:val="24"/>
                <w:szCs w:val="24"/>
                <w:lang w:eastAsia="lv-LV"/>
              </w:rPr>
              <w:lastRenderedPageBreak/>
              <w:t>samērīgumu.</w:t>
            </w:r>
            <w:r w:rsidRPr="0089544C">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3072A1" w:rsidRPr="0089544C" w14:paraId="20B62C52" w14:textId="77777777" w:rsidTr="002A7B21">
        <w:trPr>
          <w:tblCellSpacing w:w="15" w:type="dxa"/>
        </w:trPr>
        <w:tc>
          <w:tcPr>
            <w:tcW w:w="1188" w:type="pct"/>
            <w:tcBorders>
              <w:top w:val="outset" w:sz="6" w:space="0" w:color="auto"/>
              <w:left w:val="outset" w:sz="6" w:space="0" w:color="auto"/>
              <w:bottom w:val="outset" w:sz="6" w:space="0" w:color="auto"/>
              <w:right w:val="outset" w:sz="6" w:space="0" w:color="auto"/>
            </w:tcBorders>
          </w:tcPr>
          <w:p w14:paraId="0F0D77CD" w14:textId="77777777" w:rsidR="003072A1" w:rsidRPr="0089544C" w:rsidRDefault="003072A1" w:rsidP="002A7B21">
            <w:pPr>
              <w:spacing w:after="0" w:line="240" w:lineRule="auto"/>
              <w:rPr>
                <w:rFonts w:ascii="Times New Roman" w:eastAsia="Times New Roman" w:hAnsi="Times New Roman" w:cs="Times New Roman"/>
                <w:iCs/>
                <w:sz w:val="24"/>
                <w:szCs w:val="24"/>
                <w:lang w:eastAsia="lv-LV"/>
              </w:rPr>
            </w:pPr>
            <w:r w:rsidRPr="0089544C">
              <w:rPr>
                <w:rFonts w:ascii="Times New Roman" w:eastAsia="Times New Roman" w:hAnsi="Times New Roman" w:cs="Times New Roman"/>
                <w:iCs/>
                <w:sz w:val="24"/>
                <w:szCs w:val="24"/>
                <w:lang w:eastAsia="lv-LV"/>
              </w:rPr>
              <w:lastRenderedPageBreak/>
              <w:t>Vispārīga atsauce uz Regulu Nr.1407/2013</w:t>
            </w:r>
          </w:p>
        </w:tc>
        <w:tc>
          <w:tcPr>
            <w:tcW w:w="1188" w:type="pct"/>
            <w:tcBorders>
              <w:top w:val="outset" w:sz="6" w:space="0" w:color="auto"/>
              <w:left w:val="outset" w:sz="6" w:space="0" w:color="auto"/>
              <w:bottom w:val="outset" w:sz="6" w:space="0" w:color="auto"/>
              <w:right w:val="outset" w:sz="6" w:space="0" w:color="auto"/>
            </w:tcBorders>
          </w:tcPr>
          <w:p w14:paraId="12B9AF0B" w14:textId="7498F00B" w:rsidR="003072A1" w:rsidRPr="0089544C" w:rsidRDefault="003072A1" w:rsidP="002A7B21">
            <w:pPr>
              <w:spacing w:after="0" w:line="240" w:lineRule="auto"/>
              <w:rPr>
                <w:rFonts w:ascii="Times New Roman" w:eastAsia="Times New Roman" w:hAnsi="Times New Roman" w:cs="Times New Roman"/>
                <w:iCs/>
                <w:sz w:val="24"/>
                <w:szCs w:val="24"/>
                <w:lang w:eastAsia="lv-LV"/>
              </w:rPr>
            </w:pPr>
            <w:r w:rsidRPr="0089544C">
              <w:rPr>
                <w:rFonts w:ascii="Times New Roman" w:eastAsia="Times New Roman" w:hAnsi="Times New Roman" w:cs="Times New Roman"/>
                <w:iCs/>
                <w:sz w:val="24"/>
                <w:szCs w:val="24"/>
                <w:lang w:eastAsia="lv-LV"/>
              </w:rPr>
              <w:t xml:space="preserve">Noteikumu projekta </w:t>
            </w:r>
            <w:r w:rsidR="00202519">
              <w:rPr>
                <w:rFonts w:ascii="Times New Roman" w:eastAsia="Times New Roman" w:hAnsi="Times New Roman" w:cs="Times New Roman"/>
                <w:iCs/>
                <w:sz w:val="24"/>
                <w:szCs w:val="24"/>
                <w:lang w:eastAsia="lv-LV"/>
              </w:rPr>
              <w:t>8</w:t>
            </w:r>
            <w:r w:rsidRPr="0089544C">
              <w:rPr>
                <w:rFonts w:ascii="Times New Roman" w:eastAsia="Times New Roman" w:hAnsi="Times New Roman" w:cs="Times New Roman"/>
                <w:iCs/>
                <w:sz w:val="24"/>
                <w:szCs w:val="24"/>
                <w:lang w:eastAsia="lv-LV"/>
              </w:rPr>
              <w:t>.punkts</w:t>
            </w:r>
          </w:p>
        </w:tc>
        <w:tc>
          <w:tcPr>
            <w:tcW w:w="1255" w:type="pct"/>
            <w:tcBorders>
              <w:top w:val="outset" w:sz="6" w:space="0" w:color="auto"/>
              <w:left w:val="outset" w:sz="6" w:space="0" w:color="auto"/>
              <w:bottom w:val="outset" w:sz="6" w:space="0" w:color="auto"/>
              <w:right w:val="outset" w:sz="6" w:space="0" w:color="auto"/>
            </w:tcBorders>
          </w:tcPr>
          <w:p w14:paraId="787CFBFB" w14:textId="77777777" w:rsidR="003072A1" w:rsidRPr="0089544C" w:rsidRDefault="003072A1" w:rsidP="002A7B21">
            <w:pPr>
              <w:spacing w:after="0" w:line="240" w:lineRule="auto"/>
              <w:rPr>
                <w:rFonts w:ascii="Times New Roman" w:eastAsia="Times New Roman" w:hAnsi="Times New Roman" w:cs="Times New Roman"/>
                <w:i/>
                <w:sz w:val="24"/>
                <w:szCs w:val="24"/>
                <w:lang w:eastAsia="lv-LV"/>
              </w:rPr>
            </w:pPr>
            <w:r w:rsidRPr="0089544C">
              <w:rPr>
                <w:rFonts w:ascii="Times New Roman" w:eastAsia="Times New Roman" w:hAnsi="Times New Roman" w:cs="Times New Roman"/>
                <w:i/>
                <w:sz w:val="24"/>
                <w:szCs w:val="24"/>
                <w:lang w:eastAsia="lv-LV"/>
              </w:rPr>
              <w:t>Ieviests pilnībā</w:t>
            </w:r>
          </w:p>
        </w:tc>
        <w:tc>
          <w:tcPr>
            <w:tcW w:w="1286" w:type="pct"/>
            <w:tcBorders>
              <w:top w:val="outset" w:sz="6" w:space="0" w:color="auto"/>
              <w:left w:val="outset" w:sz="6" w:space="0" w:color="auto"/>
              <w:bottom w:val="outset" w:sz="6" w:space="0" w:color="auto"/>
              <w:right w:val="outset" w:sz="6" w:space="0" w:color="auto"/>
            </w:tcBorders>
          </w:tcPr>
          <w:p w14:paraId="6DDBB4DB" w14:textId="77777777" w:rsidR="003072A1" w:rsidRPr="0089544C" w:rsidRDefault="003072A1" w:rsidP="002A7B21">
            <w:pPr>
              <w:spacing w:after="0" w:line="240" w:lineRule="auto"/>
              <w:rPr>
                <w:rFonts w:ascii="Times New Roman" w:eastAsia="Times New Roman" w:hAnsi="Times New Roman" w:cs="Times New Roman"/>
                <w:i/>
                <w:sz w:val="24"/>
                <w:szCs w:val="24"/>
                <w:lang w:eastAsia="lv-LV"/>
              </w:rPr>
            </w:pPr>
            <w:r w:rsidRPr="0089544C">
              <w:rPr>
                <w:rFonts w:ascii="Times New Roman" w:eastAsia="Times New Roman" w:hAnsi="Times New Roman" w:cs="Times New Roman"/>
                <w:i/>
                <w:sz w:val="24"/>
                <w:szCs w:val="24"/>
                <w:lang w:eastAsia="lv-LV"/>
              </w:rPr>
              <w:t>Neparedz stingrākas prasības</w:t>
            </w:r>
          </w:p>
        </w:tc>
      </w:tr>
      <w:tr w:rsidR="003072A1" w:rsidRPr="0089544C" w14:paraId="675CD7B0" w14:textId="77777777" w:rsidTr="002A7B21">
        <w:trPr>
          <w:tblCellSpacing w:w="15" w:type="dxa"/>
        </w:trPr>
        <w:tc>
          <w:tcPr>
            <w:tcW w:w="1188" w:type="pct"/>
            <w:tcBorders>
              <w:top w:val="outset" w:sz="6" w:space="0" w:color="auto"/>
              <w:left w:val="outset" w:sz="6" w:space="0" w:color="auto"/>
              <w:bottom w:val="outset" w:sz="6" w:space="0" w:color="auto"/>
              <w:right w:val="outset" w:sz="6" w:space="0" w:color="auto"/>
            </w:tcBorders>
          </w:tcPr>
          <w:p w14:paraId="07CF1BE3" w14:textId="77777777" w:rsidR="003072A1" w:rsidRPr="0089544C" w:rsidRDefault="003072A1" w:rsidP="002A7B21">
            <w:pPr>
              <w:spacing w:after="0" w:line="240" w:lineRule="auto"/>
              <w:rPr>
                <w:rFonts w:ascii="Times New Roman" w:eastAsia="Times New Roman" w:hAnsi="Times New Roman" w:cs="Times New Roman"/>
                <w:iCs/>
                <w:sz w:val="24"/>
                <w:szCs w:val="24"/>
                <w:lang w:eastAsia="lv-LV"/>
              </w:rPr>
            </w:pPr>
            <w:r w:rsidRPr="0089544C">
              <w:rPr>
                <w:rFonts w:ascii="Times New Roman" w:eastAsia="Times New Roman" w:hAnsi="Times New Roman" w:cs="Times New Roman"/>
                <w:iCs/>
                <w:sz w:val="24"/>
                <w:szCs w:val="24"/>
                <w:lang w:eastAsia="lv-LV"/>
              </w:rPr>
              <w:t>Regulas Nr.</w:t>
            </w:r>
            <w:r>
              <w:rPr>
                <w:rFonts w:ascii="Times New Roman" w:eastAsia="Times New Roman" w:hAnsi="Times New Roman" w:cs="Times New Roman"/>
                <w:iCs/>
                <w:sz w:val="24"/>
                <w:szCs w:val="24"/>
                <w:lang w:eastAsia="lv-LV"/>
              </w:rPr>
              <w:t>794</w:t>
            </w:r>
            <w:r w:rsidRPr="0089544C">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04</w:t>
            </w:r>
            <w:r w:rsidRPr="0089544C">
              <w:rPr>
                <w:rFonts w:ascii="Times New Roman" w:eastAsia="Times New Roman" w:hAnsi="Times New Roman" w:cs="Times New Roman"/>
                <w:iCs/>
                <w:sz w:val="24"/>
                <w:szCs w:val="24"/>
                <w:lang w:eastAsia="lv-LV"/>
              </w:rPr>
              <w:t xml:space="preserve"> 1</w:t>
            </w:r>
            <w:r>
              <w:rPr>
                <w:rFonts w:ascii="Times New Roman" w:eastAsia="Times New Roman" w:hAnsi="Times New Roman" w:cs="Times New Roman"/>
                <w:iCs/>
                <w:sz w:val="24"/>
                <w:szCs w:val="24"/>
                <w:lang w:eastAsia="lv-LV"/>
              </w:rPr>
              <w:t>0</w:t>
            </w:r>
            <w:r w:rsidRPr="0089544C">
              <w:rPr>
                <w:rFonts w:ascii="Times New Roman" w:eastAsia="Times New Roman" w:hAnsi="Times New Roman" w:cs="Times New Roman"/>
                <w:iCs/>
                <w:sz w:val="24"/>
                <w:szCs w:val="24"/>
                <w:lang w:eastAsia="lv-LV"/>
              </w:rPr>
              <w:t>. pants</w:t>
            </w:r>
          </w:p>
        </w:tc>
        <w:tc>
          <w:tcPr>
            <w:tcW w:w="1188" w:type="pct"/>
            <w:tcBorders>
              <w:top w:val="outset" w:sz="6" w:space="0" w:color="auto"/>
              <w:left w:val="outset" w:sz="6" w:space="0" w:color="auto"/>
              <w:bottom w:val="outset" w:sz="6" w:space="0" w:color="auto"/>
              <w:right w:val="outset" w:sz="6" w:space="0" w:color="auto"/>
            </w:tcBorders>
          </w:tcPr>
          <w:p w14:paraId="2F6D7BA1" w14:textId="1EC87173" w:rsidR="003072A1" w:rsidRPr="0089544C" w:rsidRDefault="003072A1" w:rsidP="002A7B21">
            <w:pPr>
              <w:spacing w:after="0" w:line="240" w:lineRule="auto"/>
              <w:rPr>
                <w:rFonts w:ascii="Times New Roman" w:eastAsia="Times New Roman" w:hAnsi="Times New Roman" w:cs="Times New Roman"/>
                <w:iCs/>
                <w:sz w:val="24"/>
                <w:szCs w:val="24"/>
                <w:lang w:eastAsia="lv-LV"/>
              </w:rPr>
            </w:pPr>
            <w:r w:rsidRPr="0089544C">
              <w:rPr>
                <w:rFonts w:ascii="Times New Roman" w:eastAsia="Times New Roman" w:hAnsi="Times New Roman" w:cs="Times New Roman"/>
                <w:iCs/>
                <w:sz w:val="24"/>
                <w:szCs w:val="24"/>
                <w:lang w:eastAsia="lv-LV"/>
              </w:rPr>
              <w:t xml:space="preserve">Noteikumu projekta </w:t>
            </w:r>
            <w:r w:rsidR="00202519">
              <w:rPr>
                <w:rFonts w:ascii="Times New Roman" w:eastAsia="Times New Roman" w:hAnsi="Times New Roman" w:cs="Times New Roman"/>
                <w:iCs/>
                <w:sz w:val="24"/>
                <w:szCs w:val="24"/>
                <w:lang w:eastAsia="lv-LV"/>
              </w:rPr>
              <w:t>8</w:t>
            </w:r>
            <w:r w:rsidRPr="0089544C">
              <w:rPr>
                <w:rFonts w:ascii="Times New Roman" w:eastAsia="Times New Roman" w:hAnsi="Times New Roman" w:cs="Times New Roman"/>
                <w:iCs/>
                <w:sz w:val="24"/>
                <w:szCs w:val="24"/>
                <w:lang w:eastAsia="lv-LV"/>
              </w:rPr>
              <w:t>.punkts</w:t>
            </w:r>
          </w:p>
        </w:tc>
        <w:tc>
          <w:tcPr>
            <w:tcW w:w="1255" w:type="pct"/>
            <w:tcBorders>
              <w:top w:val="outset" w:sz="6" w:space="0" w:color="auto"/>
              <w:left w:val="outset" w:sz="6" w:space="0" w:color="auto"/>
              <w:bottom w:val="outset" w:sz="6" w:space="0" w:color="auto"/>
              <w:right w:val="outset" w:sz="6" w:space="0" w:color="auto"/>
            </w:tcBorders>
          </w:tcPr>
          <w:p w14:paraId="162C90C1" w14:textId="77777777" w:rsidR="003072A1" w:rsidRPr="0089544C" w:rsidRDefault="003072A1" w:rsidP="002A7B21">
            <w:pPr>
              <w:spacing w:after="0" w:line="240" w:lineRule="auto"/>
              <w:rPr>
                <w:rFonts w:ascii="Times New Roman" w:eastAsia="Times New Roman" w:hAnsi="Times New Roman" w:cs="Times New Roman"/>
                <w:i/>
                <w:sz w:val="24"/>
                <w:szCs w:val="24"/>
                <w:lang w:eastAsia="lv-LV"/>
              </w:rPr>
            </w:pPr>
            <w:r w:rsidRPr="0089544C">
              <w:rPr>
                <w:rFonts w:ascii="Times New Roman" w:eastAsia="Times New Roman" w:hAnsi="Times New Roman" w:cs="Times New Roman"/>
                <w:i/>
                <w:sz w:val="24"/>
                <w:szCs w:val="24"/>
                <w:lang w:eastAsia="lv-LV"/>
              </w:rPr>
              <w:t>Ieviests pilnībā</w:t>
            </w:r>
          </w:p>
        </w:tc>
        <w:tc>
          <w:tcPr>
            <w:tcW w:w="1286" w:type="pct"/>
            <w:tcBorders>
              <w:top w:val="outset" w:sz="6" w:space="0" w:color="auto"/>
              <w:left w:val="outset" w:sz="6" w:space="0" w:color="auto"/>
              <w:bottom w:val="outset" w:sz="6" w:space="0" w:color="auto"/>
              <w:right w:val="outset" w:sz="6" w:space="0" w:color="auto"/>
            </w:tcBorders>
          </w:tcPr>
          <w:p w14:paraId="46B9F79B" w14:textId="77777777" w:rsidR="003072A1" w:rsidRPr="0089544C" w:rsidRDefault="003072A1" w:rsidP="002A7B21">
            <w:pPr>
              <w:spacing w:after="0" w:line="240" w:lineRule="auto"/>
              <w:rPr>
                <w:rFonts w:ascii="Times New Roman" w:eastAsia="Times New Roman" w:hAnsi="Times New Roman" w:cs="Times New Roman"/>
                <w:i/>
                <w:sz w:val="24"/>
                <w:szCs w:val="24"/>
                <w:lang w:eastAsia="lv-LV"/>
              </w:rPr>
            </w:pPr>
            <w:r w:rsidRPr="0089544C">
              <w:rPr>
                <w:rFonts w:ascii="Times New Roman" w:eastAsia="Times New Roman" w:hAnsi="Times New Roman" w:cs="Times New Roman"/>
                <w:i/>
                <w:sz w:val="24"/>
                <w:szCs w:val="24"/>
                <w:lang w:eastAsia="lv-LV"/>
              </w:rPr>
              <w:t>Neparedz stingrākas prasības</w:t>
            </w:r>
          </w:p>
        </w:tc>
      </w:tr>
      <w:tr w:rsidR="003072A1" w:rsidRPr="0089544C" w14:paraId="540BD869" w14:textId="77777777" w:rsidTr="002A7B21">
        <w:trPr>
          <w:tblCellSpacing w:w="15" w:type="dxa"/>
        </w:trPr>
        <w:tc>
          <w:tcPr>
            <w:tcW w:w="1188" w:type="pct"/>
            <w:tcBorders>
              <w:top w:val="outset" w:sz="6" w:space="0" w:color="auto"/>
              <w:left w:val="outset" w:sz="6" w:space="0" w:color="auto"/>
              <w:bottom w:val="outset" w:sz="6" w:space="0" w:color="auto"/>
              <w:right w:val="outset" w:sz="6" w:space="0" w:color="auto"/>
            </w:tcBorders>
          </w:tcPr>
          <w:p w14:paraId="6FCB67BB" w14:textId="4422B691" w:rsidR="003072A1" w:rsidRPr="0089544C" w:rsidRDefault="003072A1" w:rsidP="002A7B21">
            <w:pPr>
              <w:spacing w:after="0" w:line="240" w:lineRule="auto"/>
              <w:rPr>
                <w:rFonts w:ascii="Times New Roman" w:eastAsia="Times New Roman" w:hAnsi="Times New Roman" w:cs="Times New Roman"/>
                <w:iCs/>
                <w:sz w:val="24"/>
                <w:szCs w:val="24"/>
                <w:lang w:eastAsia="lv-LV"/>
              </w:rPr>
            </w:pPr>
            <w:r w:rsidRPr="0089544C">
              <w:rPr>
                <w:rFonts w:ascii="Times New Roman" w:eastAsia="Times New Roman" w:hAnsi="Times New Roman" w:cs="Times New Roman"/>
                <w:iCs/>
                <w:sz w:val="24"/>
                <w:szCs w:val="24"/>
                <w:lang w:eastAsia="lv-LV"/>
              </w:rPr>
              <w:t>Regulas Nr</w:t>
            </w:r>
            <w:r>
              <w:rPr>
                <w:rFonts w:ascii="Times New Roman" w:eastAsia="Times New Roman" w:hAnsi="Times New Roman" w:cs="Times New Roman"/>
                <w:iCs/>
                <w:sz w:val="24"/>
                <w:szCs w:val="24"/>
                <w:lang w:eastAsia="lv-LV"/>
              </w:rPr>
              <w:t>.794</w:t>
            </w:r>
            <w:r w:rsidRPr="0089544C">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004</w:t>
            </w:r>
            <w:r w:rsidRPr="0089544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11</w:t>
            </w:r>
            <w:r w:rsidRPr="0089544C">
              <w:rPr>
                <w:rFonts w:ascii="Times New Roman" w:eastAsia="Times New Roman" w:hAnsi="Times New Roman" w:cs="Times New Roman"/>
                <w:iCs/>
                <w:sz w:val="24"/>
                <w:szCs w:val="24"/>
                <w:lang w:eastAsia="lv-LV"/>
              </w:rPr>
              <w:t>. pant</w:t>
            </w:r>
            <w:r w:rsidR="00202519">
              <w:rPr>
                <w:rFonts w:ascii="Times New Roman" w:eastAsia="Times New Roman" w:hAnsi="Times New Roman" w:cs="Times New Roman"/>
                <w:iCs/>
                <w:sz w:val="24"/>
                <w:szCs w:val="24"/>
                <w:lang w:eastAsia="lv-LV"/>
              </w:rPr>
              <w:t>s</w:t>
            </w:r>
          </w:p>
        </w:tc>
        <w:tc>
          <w:tcPr>
            <w:tcW w:w="1188" w:type="pct"/>
            <w:tcBorders>
              <w:top w:val="outset" w:sz="6" w:space="0" w:color="auto"/>
              <w:left w:val="outset" w:sz="6" w:space="0" w:color="auto"/>
              <w:bottom w:val="outset" w:sz="6" w:space="0" w:color="auto"/>
              <w:right w:val="outset" w:sz="6" w:space="0" w:color="auto"/>
            </w:tcBorders>
          </w:tcPr>
          <w:p w14:paraId="6957673E" w14:textId="5F3D98C1" w:rsidR="003072A1" w:rsidRPr="0089544C" w:rsidRDefault="003072A1" w:rsidP="002A7B21">
            <w:pPr>
              <w:spacing w:after="0" w:line="240" w:lineRule="auto"/>
              <w:rPr>
                <w:rFonts w:ascii="Times New Roman" w:eastAsia="Times New Roman" w:hAnsi="Times New Roman" w:cs="Times New Roman"/>
                <w:iCs/>
                <w:sz w:val="24"/>
                <w:szCs w:val="24"/>
                <w:lang w:eastAsia="lv-LV"/>
              </w:rPr>
            </w:pPr>
            <w:r w:rsidRPr="0089544C">
              <w:rPr>
                <w:rFonts w:ascii="Times New Roman" w:eastAsia="Times New Roman" w:hAnsi="Times New Roman" w:cs="Times New Roman"/>
                <w:iCs/>
                <w:sz w:val="24"/>
                <w:szCs w:val="24"/>
                <w:lang w:eastAsia="lv-LV"/>
              </w:rPr>
              <w:t xml:space="preserve">Noteikumu projekta </w:t>
            </w:r>
            <w:r w:rsidR="00202519">
              <w:rPr>
                <w:rFonts w:ascii="Times New Roman" w:eastAsia="Times New Roman" w:hAnsi="Times New Roman" w:cs="Times New Roman"/>
                <w:iCs/>
                <w:sz w:val="24"/>
                <w:szCs w:val="24"/>
                <w:lang w:eastAsia="lv-LV"/>
              </w:rPr>
              <w:t>8</w:t>
            </w:r>
            <w:r w:rsidRPr="0089544C">
              <w:rPr>
                <w:rFonts w:ascii="Times New Roman" w:eastAsia="Times New Roman" w:hAnsi="Times New Roman" w:cs="Times New Roman"/>
                <w:iCs/>
                <w:sz w:val="24"/>
                <w:szCs w:val="24"/>
                <w:lang w:eastAsia="lv-LV"/>
              </w:rPr>
              <w:t>.punkts</w:t>
            </w:r>
          </w:p>
        </w:tc>
        <w:tc>
          <w:tcPr>
            <w:tcW w:w="1255" w:type="pct"/>
            <w:tcBorders>
              <w:top w:val="outset" w:sz="6" w:space="0" w:color="auto"/>
              <w:left w:val="outset" w:sz="6" w:space="0" w:color="auto"/>
              <w:bottom w:val="outset" w:sz="6" w:space="0" w:color="auto"/>
              <w:right w:val="outset" w:sz="6" w:space="0" w:color="auto"/>
            </w:tcBorders>
          </w:tcPr>
          <w:p w14:paraId="5920AE88" w14:textId="77777777" w:rsidR="003072A1" w:rsidRPr="0089544C" w:rsidRDefault="003072A1" w:rsidP="002A7B21">
            <w:pPr>
              <w:spacing w:after="0" w:line="240" w:lineRule="auto"/>
              <w:rPr>
                <w:rFonts w:ascii="Times New Roman" w:eastAsia="Times New Roman" w:hAnsi="Times New Roman" w:cs="Times New Roman"/>
                <w:i/>
                <w:sz w:val="24"/>
                <w:szCs w:val="24"/>
                <w:lang w:eastAsia="lv-LV"/>
              </w:rPr>
            </w:pPr>
            <w:r w:rsidRPr="0089544C">
              <w:rPr>
                <w:rFonts w:ascii="Times New Roman" w:eastAsia="Times New Roman" w:hAnsi="Times New Roman" w:cs="Times New Roman"/>
                <w:i/>
                <w:sz w:val="24"/>
                <w:szCs w:val="24"/>
                <w:lang w:eastAsia="lv-LV"/>
              </w:rPr>
              <w:t>Ieviests pilnībā</w:t>
            </w:r>
          </w:p>
        </w:tc>
        <w:tc>
          <w:tcPr>
            <w:tcW w:w="1286" w:type="pct"/>
            <w:tcBorders>
              <w:top w:val="outset" w:sz="6" w:space="0" w:color="auto"/>
              <w:left w:val="outset" w:sz="6" w:space="0" w:color="auto"/>
              <w:bottom w:val="outset" w:sz="6" w:space="0" w:color="auto"/>
              <w:right w:val="outset" w:sz="6" w:space="0" w:color="auto"/>
            </w:tcBorders>
          </w:tcPr>
          <w:p w14:paraId="55D47EA8" w14:textId="77777777" w:rsidR="003072A1" w:rsidRPr="0089544C" w:rsidRDefault="003072A1" w:rsidP="002A7B21">
            <w:pPr>
              <w:spacing w:after="0" w:line="240" w:lineRule="auto"/>
              <w:rPr>
                <w:rFonts w:ascii="Times New Roman" w:eastAsia="Times New Roman" w:hAnsi="Times New Roman" w:cs="Times New Roman"/>
                <w:i/>
                <w:sz w:val="24"/>
                <w:szCs w:val="24"/>
                <w:lang w:eastAsia="lv-LV"/>
              </w:rPr>
            </w:pPr>
            <w:r w:rsidRPr="0089544C">
              <w:rPr>
                <w:rFonts w:ascii="Times New Roman" w:eastAsia="Times New Roman" w:hAnsi="Times New Roman" w:cs="Times New Roman"/>
                <w:i/>
                <w:sz w:val="24"/>
                <w:szCs w:val="24"/>
                <w:lang w:eastAsia="lv-LV"/>
              </w:rPr>
              <w:t>Neparedz stingrākas prasības</w:t>
            </w:r>
          </w:p>
        </w:tc>
      </w:tr>
      <w:tr w:rsidR="003072A1" w:rsidRPr="0089544C" w14:paraId="7E2BB32E" w14:textId="77777777" w:rsidTr="002A7B21">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657A04C4" w14:textId="77777777" w:rsidR="003072A1" w:rsidRPr="0089544C" w:rsidRDefault="003072A1" w:rsidP="002A7B21">
            <w:pPr>
              <w:spacing w:after="0" w:line="240" w:lineRule="auto"/>
              <w:rPr>
                <w:rFonts w:ascii="Times New Roman" w:eastAsia="Times New Roman" w:hAnsi="Times New Roman" w:cs="Times New Roman"/>
                <w:iCs/>
                <w:sz w:val="24"/>
                <w:szCs w:val="24"/>
                <w:lang w:eastAsia="lv-LV"/>
              </w:rPr>
            </w:pPr>
            <w:r w:rsidRPr="0089544C">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62" w:type="pct"/>
            <w:gridSpan w:val="3"/>
            <w:tcBorders>
              <w:top w:val="outset" w:sz="6" w:space="0" w:color="auto"/>
              <w:left w:val="outset" w:sz="6" w:space="0" w:color="auto"/>
              <w:bottom w:val="outset" w:sz="6" w:space="0" w:color="auto"/>
              <w:right w:val="outset" w:sz="6" w:space="0" w:color="auto"/>
            </w:tcBorders>
            <w:hideMark/>
          </w:tcPr>
          <w:p w14:paraId="1515BE21" w14:textId="77777777" w:rsidR="003072A1" w:rsidRPr="0089544C" w:rsidRDefault="003072A1" w:rsidP="002A7B21">
            <w:pPr>
              <w:spacing w:after="0" w:line="240" w:lineRule="auto"/>
              <w:rPr>
                <w:rFonts w:ascii="Times New Roman" w:eastAsia="Times New Roman" w:hAnsi="Times New Roman" w:cs="Times New Roman"/>
                <w:iCs/>
                <w:sz w:val="24"/>
                <w:szCs w:val="24"/>
                <w:lang w:eastAsia="lv-LV"/>
              </w:rPr>
            </w:pPr>
            <w:r w:rsidRPr="0089544C">
              <w:rPr>
                <w:rFonts w:ascii="Times New Roman" w:eastAsia="Times New Roman" w:hAnsi="Times New Roman" w:cs="Times New Roman"/>
                <w:iCs/>
                <w:sz w:val="24"/>
                <w:szCs w:val="24"/>
                <w:lang w:eastAsia="lv-LV"/>
              </w:rPr>
              <w:t>Projekts šo jomu neskar.</w:t>
            </w:r>
          </w:p>
        </w:tc>
      </w:tr>
      <w:tr w:rsidR="003072A1" w:rsidRPr="0089544C" w14:paraId="25C8B1C2" w14:textId="77777777" w:rsidTr="002A7B21">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6D85D894" w14:textId="77777777" w:rsidR="003072A1" w:rsidRPr="0089544C" w:rsidRDefault="003072A1" w:rsidP="002A7B21">
            <w:pPr>
              <w:spacing w:after="0" w:line="240" w:lineRule="auto"/>
              <w:rPr>
                <w:rFonts w:ascii="Times New Roman" w:eastAsia="Times New Roman" w:hAnsi="Times New Roman" w:cs="Times New Roman"/>
                <w:iCs/>
                <w:sz w:val="24"/>
                <w:szCs w:val="24"/>
                <w:lang w:eastAsia="lv-LV"/>
              </w:rPr>
            </w:pPr>
            <w:r w:rsidRPr="0089544C">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62" w:type="pct"/>
            <w:gridSpan w:val="3"/>
            <w:tcBorders>
              <w:top w:val="outset" w:sz="6" w:space="0" w:color="auto"/>
              <w:left w:val="outset" w:sz="6" w:space="0" w:color="auto"/>
              <w:bottom w:val="outset" w:sz="6" w:space="0" w:color="auto"/>
              <w:right w:val="outset" w:sz="6" w:space="0" w:color="auto"/>
            </w:tcBorders>
            <w:hideMark/>
          </w:tcPr>
          <w:p w14:paraId="42D2A31F" w14:textId="77777777" w:rsidR="003072A1" w:rsidRPr="0089544C" w:rsidRDefault="003072A1" w:rsidP="002A7B21">
            <w:pPr>
              <w:spacing w:after="0" w:line="240" w:lineRule="auto"/>
              <w:rPr>
                <w:rFonts w:ascii="Times New Roman" w:eastAsia="Times New Roman" w:hAnsi="Times New Roman" w:cs="Times New Roman"/>
                <w:iCs/>
                <w:sz w:val="24"/>
                <w:szCs w:val="24"/>
                <w:lang w:eastAsia="lv-LV"/>
              </w:rPr>
            </w:pPr>
            <w:r w:rsidRPr="0089544C">
              <w:rPr>
                <w:rFonts w:ascii="Times New Roman" w:eastAsia="Times New Roman" w:hAnsi="Times New Roman" w:cs="Times New Roman"/>
                <w:iCs/>
                <w:sz w:val="24"/>
                <w:szCs w:val="24"/>
                <w:lang w:eastAsia="lv-LV"/>
              </w:rPr>
              <w:t>Projekts šo jomu neskar.</w:t>
            </w:r>
          </w:p>
        </w:tc>
      </w:tr>
      <w:tr w:rsidR="003072A1" w:rsidRPr="0089544C" w14:paraId="7180EE58" w14:textId="77777777" w:rsidTr="002A7B21">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1F581C9F" w14:textId="77777777" w:rsidR="003072A1" w:rsidRPr="0089544C" w:rsidRDefault="003072A1" w:rsidP="002A7B21">
            <w:pPr>
              <w:spacing w:after="0" w:line="240" w:lineRule="auto"/>
              <w:rPr>
                <w:rFonts w:ascii="Times New Roman" w:eastAsia="Times New Roman" w:hAnsi="Times New Roman" w:cs="Times New Roman"/>
                <w:iCs/>
                <w:sz w:val="24"/>
                <w:szCs w:val="24"/>
                <w:lang w:val="en-US" w:eastAsia="lv-LV"/>
              </w:rPr>
            </w:pPr>
            <w:proofErr w:type="spellStart"/>
            <w:r w:rsidRPr="0089544C">
              <w:rPr>
                <w:rFonts w:ascii="Times New Roman" w:eastAsia="Times New Roman" w:hAnsi="Times New Roman" w:cs="Times New Roman"/>
                <w:iCs/>
                <w:sz w:val="24"/>
                <w:szCs w:val="24"/>
                <w:lang w:val="en-US" w:eastAsia="lv-LV"/>
              </w:rPr>
              <w:t>Cita</w:t>
            </w:r>
            <w:proofErr w:type="spellEnd"/>
            <w:r w:rsidRPr="0089544C">
              <w:rPr>
                <w:rFonts w:ascii="Times New Roman" w:eastAsia="Times New Roman" w:hAnsi="Times New Roman" w:cs="Times New Roman"/>
                <w:iCs/>
                <w:sz w:val="24"/>
                <w:szCs w:val="24"/>
                <w:lang w:val="en-US" w:eastAsia="lv-LV"/>
              </w:rPr>
              <w:t xml:space="preserve"> </w:t>
            </w:r>
            <w:proofErr w:type="spellStart"/>
            <w:r w:rsidRPr="0089544C">
              <w:rPr>
                <w:rFonts w:ascii="Times New Roman" w:eastAsia="Times New Roman" w:hAnsi="Times New Roman" w:cs="Times New Roman"/>
                <w:iCs/>
                <w:sz w:val="24"/>
                <w:szCs w:val="24"/>
                <w:lang w:val="en-US" w:eastAsia="lv-LV"/>
              </w:rPr>
              <w:t>informācija</w:t>
            </w:r>
            <w:proofErr w:type="spellEnd"/>
          </w:p>
        </w:tc>
        <w:tc>
          <w:tcPr>
            <w:tcW w:w="3762" w:type="pct"/>
            <w:gridSpan w:val="3"/>
            <w:tcBorders>
              <w:top w:val="outset" w:sz="6" w:space="0" w:color="auto"/>
              <w:left w:val="outset" w:sz="6" w:space="0" w:color="auto"/>
              <w:bottom w:val="outset" w:sz="6" w:space="0" w:color="auto"/>
              <w:right w:val="outset" w:sz="6" w:space="0" w:color="auto"/>
            </w:tcBorders>
            <w:hideMark/>
          </w:tcPr>
          <w:p w14:paraId="124EBBA2" w14:textId="77777777" w:rsidR="003072A1" w:rsidRPr="0089544C" w:rsidRDefault="003072A1" w:rsidP="002A7B21">
            <w:pPr>
              <w:spacing w:after="0" w:line="240" w:lineRule="auto"/>
              <w:rPr>
                <w:rFonts w:ascii="Times New Roman" w:eastAsia="Times New Roman" w:hAnsi="Times New Roman" w:cs="Times New Roman"/>
                <w:iCs/>
                <w:sz w:val="24"/>
                <w:szCs w:val="24"/>
                <w:lang w:val="en-US" w:eastAsia="lv-LV"/>
              </w:rPr>
            </w:pPr>
            <w:r w:rsidRPr="0089544C">
              <w:rPr>
                <w:rFonts w:ascii="Times New Roman" w:eastAsia="Times New Roman" w:hAnsi="Times New Roman" w:cs="Times New Roman"/>
                <w:iCs/>
                <w:sz w:val="24"/>
                <w:szCs w:val="24"/>
                <w:lang w:eastAsia="lv-LV"/>
              </w:rPr>
              <w:t>Nav</w:t>
            </w:r>
          </w:p>
        </w:tc>
      </w:tr>
    </w:tbl>
    <w:p w14:paraId="72DCCEA2" w14:textId="36687A94" w:rsidR="003072A1" w:rsidRDefault="003072A1"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 xml:space="preserve"> </w:t>
      </w:r>
    </w:p>
    <w:p w14:paraId="1F4F2383" w14:textId="25B9BE2D" w:rsidR="00E5323B"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3070"/>
        <w:gridCol w:w="5426"/>
      </w:tblGrid>
      <w:tr w:rsidR="003D1800" w:rsidRPr="003D1800" w14:paraId="6229310D" w14:textId="77777777" w:rsidTr="0054488C">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3A121129" w14:textId="77777777" w:rsidR="00655F2C" w:rsidRPr="003D1800"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3D1800">
              <w:rPr>
                <w:rFonts w:ascii="Times New Roman" w:eastAsia="Times New Roman" w:hAnsi="Times New Roman" w:cs="Times New Roman"/>
                <w:b/>
                <w:bCs/>
                <w:iCs/>
                <w:color w:val="000000" w:themeColor="text1"/>
                <w:sz w:val="24"/>
                <w:szCs w:val="24"/>
                <w:lang w:eastAsia="lv-LV"/>
              </w:rPr>
              <w:lastRenderedPageBreak/>
              <w:t>VI. Sabiedrības līdzdalība un komunikācijas aktivitātes</w:t>
            </w:r>
          </w:p>
        </w:tc>
      </w:tr>
      <w:tr w:rsidR="003D1800" w:rsidRPr="003D1800" w14:paraId="20A56262" w14:textId="77777777" w:rsidTr="0054488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614BB3C9" w14:textId="77777777" w:rsidR="00655F2C"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1.</w:t>
            </w:r>
          </w:p>
        </w:tc>
        <w:tc>
          <w:tcPr>
            <w:tcW w:w="3040" w:type="dxa"/>
            <w:tcBorders>
              <w:top w:val="outset" w:sz="6" w:space="0" w:color="auto"/>
              <w:left w:val="outset" w:sz="6" w:space="0" w:color="auto"/>
              <w:bottom w:val="outset" w:sz="6" w:space="0" w:color="auto"/>
              <w:right w:val="outset" w:sz="6" w:space="0" w:color="auto"/>
            </w:tcBorders>
            <w:hideMark/>
          </w:tcPr>
          <w:p w14:paraId="303D0DB9" w14:textId="77777777" w:rsidR="00E5323B"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5381" w:type="dxa"/>
            <w:tcBorders>
              <w:top w:val="outset" w:sz="6" w:space="0" w:color="auto"/>
              <w:left w:val="outset" w:sz="6" w:space="0" w:color="auto"/>
              <w:bottom w:val="outset" w:sz="6" w:space="0" w:color="auto"/>
              <w:right w:val="outset" w:sz="6" w:space="0" w:color="auto"/>
            </w:tcBorders>
            <w:hideMark/>
          </w:tcPr>
          <w:p w14:paraId="314434AB" w14:textId="4852D04B" w:rsidR="00E5323B" w:rsidRPr="003D1800" w:rsidRDefault="00E75D95" w:rsidP="00F441DB">
            <w:pPr>
              <w:spacing w:after="0" w:line="240" w:lineRule="auto"/>
              <w:jc w:val="both"/>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Pēc noteikumu projekta apstiprināšanas sabiedrība “</w:t>
            </w:r>
            <w:proofErr w:type="spellStart"/>
            <w:r w:rsidRPr="003D1800">
              <w:rPr>
                <w:rFonts w:ascii="Times New Roman" w:eastAsia="Times New Roman" w:hAnsi="Times New Roman" w:cs="Times New Roman"/>
                <w:iCs/>
                <w:color w:val="000000" w:themeColor="text1"/>
                <w:sz w:val="24"/>
                <w:szCs w:val="24"/>
                <w:lang w:eastAsia="lv-LV"/>
              </w:rPr>
              <w:t>Altum</w:t>
            </w:r>
            <w:proofErr w:type="spellEnd"/>
            <w:r w:rsidRPr="003D1800">
              <w:rPr>
                <w:rFonts w:ascii="Times New Roman" w:eastAsia="Times New Roman" w:hAnsi="Times New Roman" w:cs="Times New Roman"/>
                <w:iCs/>
                <w:color w:val="000000" w:themeColor="text1"/>
                <w:sz w:val="24"/>
                <w:szCs w:val="24"/>
                <w:lang w:eastAsia="lv-LV"/>
              </w:rPr>
              <w:t>” nodrošinās informēšanas pasākumus.</w:t>
            </w:r>
          </w:p>
        </w:tc>
      </w:tr>
      <w:tr w:rsidR="003D1800" w:rsidRPr="003D1800" w14:paraId="20F5A14F" w14:textId="77777777" w:rsidTr="0054488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03BC106A" w14:textId="77777777" w:rsidR="0054488C" w:rsidRPr="003D1800" w:rsidRDefault="0054488C" w:rsidP="0054488C">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2.</w:t>
            </w:r>
          </w:p>
        </w:tc>
        <w:tc>
          <w:tcPr>
            <w:tcW w:w="3040" w:type="dxa"/>
            <w:tcBorders>
              <w:top w:val="outset" w:sz="6" w:space="0" w:color="auto"/>
              <w:left w:val="outset" w:sz="6" w:space="0" w:color="auto"/>
              <w:bottom w:val="outset" w:sz="6" w:space="0" w:color="auto"/>
              <w:right w:val="outset" w:sz="6" w:space="0" w:color="auto"/>
            </w:tcBorders>
            <w:hideMark/>
          </w:tcPr>
          <w:p w14:paraId="60CE5892" w14:textId="77777777" w:rsidR="0054488C" w:rsidRPr="003D1800" w:rsidRDefault="0054488C" w:rsidP="0054488C">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Sabiedrības līdzdalība projekta izstrādē</w:t>
            </w:r>
          </w:p>
        </w:tc>
        <w:tc>
          <w:tcPr>
            <w:tcW w:w="5381" w:type="dxa"/>
            <w:tcBorders>
              <w:top w:val="outset" w:sz="6" w:space="0" w:color="auto"/>
              <w:left w:val="outset" w:sz="6" w:space="0" w:color="auto"/>
              <w:bottom w:val="outset" w:sz="6" w:space="0" w:color="auto"/>
              <w:right w:val="outset" w:sz="6" w:space="0" w:color="auto"/>
            </w:tcBorders>
            <w:hideMark/>
          </w:tcPr>
          <w:p w14:paraId="68850DEA" w14:textId="77777777" w:rsidR="0054488C" w:rsidRPr="003D1800" w:rsidRDefault="0054488C" w:rsidP="00F441DB">
            <w:pPr>
              <w:spacing w:after="0" w:line="240" w:lineRule="auto"/>
              <w:jc w:val="both"/>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Noteikumu projektu Ekonomikas ministrija nosūtīs saskaņošanai Finanšu nozares asociācijai.</w:t>
            </w:r>
          </w:p>
          <w:p w14:paraId="5373A9FD" w14:textId="77777777" w:rsidR="0054488C" w:rsidRPr="003D1800" w:rsidRDefault="0054488C" w:rsidP="00F441DB">
            <w:pPr>
              <w:spacing w:after="0" w:line="240" w:lineRule="auto"/>
              <w:jc w:val="both"/>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Noteikumu projekts tika ievietots sabiedrības apspriešanai:</w:t>
            </w:r>
          </w:p>
          <w:p w14:paraId="174D42E7" w14:textId="77777777" w:rsidR="0054488C" w:rsidRPr="003D1800" w:rsidRDefault="0054488C" w:rsidP="00F441DB">
            <w:pPr>
              <w:spacing w:after="0" w:line="240" w:lineRule="auto"/>
              <w:jc w:val="both"/>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1) Ekonomikas ministrijas tīmekļvietnē:</w:t>
            </w:r>
          </w:p>
          <w:p w14:paraId="0A0C524A" w14:textId="5EEE6025" w:rsidR="0054488C" w:rsidRPr="003D1800" w:rsidRDefault="0085343F" w:rsidP="00F441DB">
            <w:pPr>
              <w:spacing w:after="0" w:line="240" w:lineRule="auto"/>
              <w:jc w:val="both"/>
              <w:rPr>
                <w:rFonts w:ascii="Times New Roman" w:eastAsia="Times New Roman" w:hAnsi="Times New Roman" w:cs="Times New Roman"/>
                <w:iCs/>
                <w:color w:val="000000" w:themeColor="text1"/>
                <w:sz w:val="24"/>
                <w:szCs w:val="24"/>
                <w:lang w:eastAsia="lv-LV"/>
              </w:rPr>
            </w:pPr>
            <w:hyperlink r:id="rId8" w:history="1">
              <w:r w:rsidR="0054488C" w:rsidRPr="003D1800">
                <w:rPr>
                  <w:rFonts w:ascii="Times New Roman" w:eastAsia="Times New Roman" w:hAnsi="Times New Roman" w:cs="Times New Roman"/>
                  <w:iCs/>
                  <w:color w:val="000000" w:themeColor="text1"/>
                  <w:sz w:val="24"/>
                  <w:szCs w:val="24"/>
                  <w:lang w:eastAsia="lv-LV"/>
                </w:rPr>
                <w:t>https://em.gov.lv/lv/Ministrija/sabiedribas_lidzdaliba/diskusiju_dokumenti/</w:t>
              </w:r>
            </w:hyperlink>
            <w:r w:rsidR="00D02C31">
              <w:rPr>
                <w:rFonts w:ascii="Times New Roman" w:eastAsia="Times New Roman" w:hAnsi="Times New Roman" w:cs="Times New Roman"/>
                <w:iCs/>
                <w:color w:val="000000" w:themeColor="text1"/>
                <w:sz w:val="24"/>
                <w:szCs w:val="24"/>
                <w:lang w:eastAsia="lv-LV"/>
              </w:rPr>
              <w:t xml:space="preserve">  </w:t>
            </w:r>
          </w:p>
          <w:p w14:paraId="15BDA778" w14:textId="77777777" w:rsidR="0054488C" w:rsidRPr="003D1800" w:rsidRDefault="0054488C" w:rsidP="00F441DB">
            <w:pPr>
              <w:spacing w:after="0" w:line="240" w:lineRule="auto"/>
              <w:jc w:val="both"/>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2) Ministru kabineta tīmekļvietnē:</w:t>
            </w:r>
          </w:p>
          <w:p w14:paraId="6728BD5E" w14:textId="27CE5E1E" w:rsidR="0054488C" w:rsidRPr="003D1800" w:rsidRDefault="0085343F" w:rsidP="00F441DB">
            <w:pPr>
              <w:spacing w:after="0" w:line="240" w:lineRule="auto"/>
              <w:jc w:val="both"/>
              <w:rPr>
                <w:rFonts w:ascii="Times New Roman" w:eastAsia="Times New Roman" w:hAnsi="Times New Roman" w:cs="Times New Roman"/>
                <w:iCs/>
                <w:color w:val="000000" w:themeColor="text1"/>
                <w:sz w:val="24"/>
                <w:szCs w:val="24"/>
                <w:lang w:eastAsia="lv-LV"/>
              </w:rPr>
            </w:pPr>
            <w:hyperlink r:id="rId9" w:history="1">
              <w:r w:rsidR="0054488C" w:rsidRPr="003D1800">
                <w:rPr>
                  <w:rFonts w:ascii="Times New Roman" w:hAnsi="Times New Roman" w:cs="Times New Roman"/>
                  <w:iCs/>
                  <w:color w:val="000000" w:themeColor="text1"/>
                  <w:sz w:val="24"/>
                  <w:szCs w:val="24"/>
                  <w:lang w:eastAsia="lv-LV"/>
                </w:rPr>
                <w:t>https://www.mk.gov.lv/content/ministru-kabineta-diskusiju-dokumenti</w:t>
              </w:r>
            </w:hyperlink>
          </w:p>
        </w:tc>
      </w:tr>
      <w:tr w:rsidR="003D1800" w:rsidRPr="003D1800" w14:paraId="0F416249" w14:textId="77777777" w:rsidTr="0054488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0A3A053B" w14:textId="77777777" w:rsidR="0054488C" w:rsidRPr="003D1800" w:rsidRDefault="0054488C" w:rsidP="0054488C">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3.</w:t>
            </w:r>
          </w:p>
        </w:tc>
        <w:tc>
          <w:tcPr>
            <w:tcW w:w="3040" w:type="dxa"/>
            <w:tcBorders>
              <w:top w:val="outset" w:sz="6" w:space="0" w:color="auto"/>
              <w:left w:val="outset" w:sz="6" w:space="0" w:color="auto"/>
              <w:bottom w:val="outset" w:sz="6" w:space="0" w:color="auto"/>
              <w:right w:val="outset" w:sz="6" w:space="0" w:color="auto"/>
            </w:tcBorders>
            <w:hideMark/>
          </w:tcPr>
          <w:p w14:paraId="6EE75E61" w14:textId="77777777" w:rsidR="0054488C" w:rsidRPr="003D1800" w:rsidRDefault="0054488C" w:rsidP="0054488C">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Sabiedrības līdzdalības rezultāti</w:t>
            </w:r>
          </w:p>
        </w:tc>
        <w:tc>
          <w:tcPr>
            <w:tcW w:w="5381" w:type="dxa"/>
            <w:tcBorders>
              <w:top w:val="outset" w:sz="6" w:space="0" w:color="auto"/>
              <w:left w:val="outset" w:sz="6" w:space="0" w:color="auto"/>
              <w:bottom w:val="outset" w:sz="6" w:space="0" w:color="auto"/>
              <w:right w:val="outset" w:sz="6" w:space="0" w:color="auto"/>
            </w:tcBorders>
            <w:hideMark/>
          </w:tcPr>
          <w:p w14:paraId="3D1CA70D" w14:textId="7FA84C26" w:rsidR="0054488C" w:rsidRPr="003D1800" w:rsidRDefault="0054488C" w:rsidP="0054488C">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Noteikumu projektu Ekonomikas ministrija saskaņos ar Finanšu nozares asociāciju.</w:t>
            </w:r>
          </w:p>
        </w:tc>
      </w:tr>
      <w:tr w:rsidR="003D1800" w:rsidRPr="003D1800" w14:paraId="4B72EE77" w14:textId="77777777" w:rsidTr="0054488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5A6445B6" w14:textId="77777777" w:rsidR="0054488C" w:rsidRPr="003D1800" w:rsidRDefault="0054488C" w:rsidP="0054488C">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4.</w:t>
            </w:r>
          </w:p>
        </w:tc>
        <w:tc>
          <w:tcPr>
            <w:tcW w:w="3040" w:type="dxa"/>
            <w:tcBorders>
              <w:top w:val="outset" w:sz="6" w:space="0" w:color="auto"/>
              <w:left w:val="outset" w:sz="6" w:space="0" w:color="auto"/>
              <w:bottom w:val="outset" w:sz="6" w:space="0" w:color="auto"/>
              <w:right w:val="outset" w:sz="6" w:space="0" w:color="auto"/>
            </w:tcBorders>
            <w:hideMark/>
          </w:tcPr>
          <w:p w14:paraId="53D343FD" w14:textId="77777777" w:rsidR="0054488C" w:rsidRPr="003D1800" w:rsidRDefault="0054488C" w:rsidP="0054488C">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Cita informācija</w:t>
            </w:r>
          </w:p>
        </w:tc>
        <w:tc>
          <w:tcPr>
            <w:tcW w:w="5381" w:type="dxa"/>
            <w:tcBorders>
              <w:top w:val="outset" w:sz="6" w:space="0" w:color="auto"/>
              <w:left w:val="outset" w:sz="6" w:space="0" w:color="auto"/>
              <w:bottom w:val="outset" w:sz="6" w:space="0" w:color="auto"/>
              <w:right w:val="outset" w:sz="6" w:space="0" w:color="auto"/>
            </w:tcBorders>
            <w:hideMark/>
          </w:tcPr>
          <w:p w14:paraId="6AE417D3" w14:textId="041FE70B" w:rsidR="0054488C" w:rsidRPr="003D1800" w:rsidRDefault="0054488C" w:rsidP="0054488C">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Nav</w:t>
            </w:r>
          </w:p>
        </w:tc>
      </w:tr>
    </w:tbl>
    <w:p w14:paraId="13332BF7" w14:textId="77777777" w:rsidR="00E5323B"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D1800" w14:paraId="4F16FFF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2A6950" w14:textId="77777777" w:rsidR="00655F2C" w:rsidRPr="003D1800"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3D1800">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E5323B" w:rsidRPr="003D1800" w14:paraId="6FBF553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65D79B" w14:textId="77777777" w:rsidR="00655F2C"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E0D3658" w14:textId="77777777" w:rsidR="00E5323B"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BEA8A0F" w14:textId="305F2B4F" w:rsidR="00E5323B" w:rsidRPr="003D1800" w:rsidRDefault="00ED2B23"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Noteikumu projekta izpildi nodrošinās Ekonomikas ministrija un sabiedrība “</w:t>
            </w:r>
            <w:proofErr w:type="spellStart"/>
            <w:r w:rsidRPr="003D1800">
              <w:rPr>
                <w:rFonts w:ascii="Times New Roman" w:eastAsia="Times New Roman" w:hAnsi="Times New Roman" w:cs="Times New Roman"/>
                <w:iCs/>
                <w:color w:val="000000" w:themeColor="text1"/>
                <w:sz w:val="24"/>
                <w:szCs w:val="24"/>
                <w:lang w:eastAsia="lv-LV"/>
              </w:rPr>
              <w:t>Altum</w:t>
            </w:r>
            <w:proofErr w:type="spellEnd"/>
            <w:r w:rsidRPr="003D1800">
              <w:rPr>
                <w:rFonts w:ascii="Times New Roman" w:eastAsia="Times New Roman" w:hAnsi="Times New Roman" w:cs="Times New Roman"/>
                <w:iCs/>
                <w:color w:val="000000" w:themeColor="text1"/>
                <w:sz w:val="24"/>
                <w:szCs w:val="24"/>
                <w:lang w:eastAsia="lv-LV"/>
              </w:rPr>
              <w:t>”.</w:t>
            </w:r>
          </w:p>
        </w:tc>
      </w:tr>
      <w:tr w:rsidR="00E5323B" w:rsidRPr="003D1800" w14:paraId="31844B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34EAE3" w14:textId="77777777" w:rsidR="00655F2C"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B23BA16" w14:textId="77777777" w:rsidR="00E5323B"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3D1800">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27FE9A3" w14:textId="77777777" w:rsidR="00ED2B23" w:rsidRPr="003D1800" w:rsidRDefault="00ED2B23" w:rsidP="00F441DB">
            <w:pPr>
              <w:spacing w:after="0" w:line="240" w:lineRule="auto"/>
              <w:jc w:val="both"/>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Noteikumu projekta izpilde tiks nodrošināta sabiedrības “</w:t>
            </w:r>
            <w:proofErr w:type="spellStart"/>
            <w:r w:rsidRPr="003D1800">
              <w:rPr>
                <w:rFonts w:ascii="Times New Roman" w:eastAsia="Times New Roman" w:hAnsi="Times New Roman" w:cs="Times New Roman"/>
                <w:iCs/>
                <w:color w:val="000000" w:themeColor="text1"/>
                <w:sz w:val="24"/>
                <w:szCs w:val="24"/>
                <w:lang w:eastAsia="lv-LV"/>
              </w:rPr>
              <w:t>Altum</w:t>
            </w:r>
            <w:proofErr w:type="spellEnd"/>
            <w:r w:rsidRPr="003D1800">
              <w:rPr>
                <w:rFonts w:ascii="Times New Roman" w:eastAsia="Times New Roman" w:hAnsi="Times New Roman" w:cs="Times New Roman"/>
                <w:iCs/>
                <w:color w:val="000000" w:themeColor="text1"/>
                <w:sz w:val="24"/>
                <w:szCs w:val="24"/>
                <w:lang w:eastAsia="lv-LV"/>
              </w:rPr>
              <w:t>” esošo funkciju ietvaros, nav nepieciešams izveidot jaunas institūcijas, likvidēt esošas institūcijas vai veikt reorganizāciju.</w:t>
            </w:r>
          </w:p>
          <w:p w14:paraId="24A6E3F7" w14:textId="30330874" w:rsidR="00E5323B" w:rsidRPr="003D1800" w:rsidRDefault="00ED2B23" w:rsidP="00F441DB">
            <w:pPr>
              <w:spacing w:after="0" w:line="240" w:lineRule="auto"/>
              <w:jc w:val="both"/>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Noteikumu projekta izpilde tiks organizēta esošo cilvēkresursu ietvaros.</w:t>
            </w:r>
          </w:p>
        </w:tc>
      </w:tr>
      <w:tr w:rsidR="003D1800" w:rsidRPr="003D1800" w14:paraId="55C2811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5FC5B7" w14:textId="77777777" w:rsidR="00655F2C"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430C230" w14:textId="77777777" w:rsidR="00E5323B"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D969AEE" w14:textId="26582176" w:rsidR="00E5323B" w:rsidRPr="003D1800" w:rsidRDefault="00ED2B23"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Nav</w:t>
            </w:r>
          </w:p>
        </w:tc>
      </w:tr>
    </w:tbl>
    <w:p w14:paraId="21DF2706" w14:textId="77777777" w:rsidR="00C25B49" w:rsidRPr="003D1800" w:rsidRDefault="00C25B49" w:rsidP="00894C55">
      <w:pPr>
        <w:spacing w:after="0" w:line="240" w:lineRule="auto"/>
        <w:rPr>
          <w:rFonts w:ascii="Times New Roman" w:hAnsi="Times New Roman" w:cs="Times New Roman"/>
          <w:color w:val="000000" w:themeColor="text1"/>
          <w:sz w:val="24"/>
          <w:szCs w:val="24"/>
        </w:rPr>
      </w:pPr>
    </w:p>
    <w:p w14:paraId="76EF8FFB" w14:textId="77777777" w:rsidR="0085343F" w:rsidRDefault="0085343F" w:rsidP="00ED2B23">
      <w:pPr>
        <w:tabs>
          <w:tab w:val="left" w:pos="7938"/>
        </w:tabs>
        <w:contextualSpacing/>
        <w:rPr>
          <w:rFonts w:ascii="Times New Roman" w:hAnsi="Times New Roman" w:cs="Times New Roman"/>
          <w:color w:val="000000" w:themeColor="text1"/>
          <w:sz w:val="24"/>
          <w:szCs w:val="24"/>
        </w:rPr>
      </w:pPr>
    </w:p>
    <w:p w14:paraId="035025EF" w14:textId="1979F66E" w:rsidR="00ED2B23" w:rsidRPr="003D1800" w:rsidRDefault="00ED2B23" w:rsidP="00ED2B23">
      <w:pPr>
        <w:tabs>
          <w:tab w:val="left" w:pos="7938"/>
        </w:tabs>
        <w:contextualSpacing/>
        <w:rPr>
          <w:rFonts w:ascii="Times New Roman" w:hAnsi="Times New Roman" w:cs="Times New Roman"/>
          <w:color w:val="000000" w:themeColor="text1"/>
          <w:sz w:val="24"/>
          <w:szCs w:val="24"/>
        </w:rPr>
      </w:pPr>
      <w:r w:rsidRPr="003D1800">
        <w:rPr>
          <w:rFonts w:ascii="Times New Roman" w:hAnsi="Times New Roman" w:cs="Times New Roman"/>
          <w:color w:val="000000" w:themeColor="text1"/>
          <w:sz w:val="24"/>
          <w:szCs w:val="24"/>
        </w:rPr>
        <w:t>Ekonomikas ministrs</w:t>
      </w:r>
      <w:r w:rsidRPr="003D1800">
        <w:rPr>
          <w:rFonts w:ascii="Times New Roman" w:hAnsi="Times New Roman" w:cs="Times New Roman"/>
          <w:color w:val="000000" w:themeColor="text1"/>
          <w:sz w:val="24"/>
          <w:szCs w:val="24"/>
        </w:rPr>
        <w:tab/>
      </w:r>
      <w:proofErr w:type="spellStart"/>
      <w:r w:rsidRPr="003D1800">
        <w:rPr>
          <w:rFonts w:ascii="Times New Roman" w:hAnsi="Times New Roman" w:cs="Times New Roman"/>
          <w:color w:val="000000" w:themeColor="text1"/>
          <w:sz w:val="24"/>
          <w:szCs w:val="24"/>
        </w:rPr>
        <w:t>R.Nemiro</w:t>
      </w:r>
      <w:proofErr w:type="spellEnd"/>
    </w:p>
    <w:p w14:paraId="34CBF108" w14:textId="77777777" w:rsidR="00ED2B23" w:rsidRPr="003D1800" w:rsidRDefault="00ED2B23" w:rsidP="00ED2B23">
      <w:pPr>
        <w:contextualSpacing/>
        <w:rPr>
          <w:rFonts w:ascii="Times New Roman" w:hAnsi="Times New Roman" w:cs="Times New Roman"/>
          <w:color w:val="000000" w:themeColor="text1"/>
          <w:sz w:val="24"/>
          <w:szCs w:val="24"/>
        </w:rPr>
      </w:pPr>
    </w:p>
    <w:p w14:paraId="0EEA8406" w14:textId="77777777" w:rsidR="00ED2B23" w:rsidRPr="003D1800" w:rsidRDefault="00ED2B23" w:rsidP="00ED2B23">
      <w:pPr>
        <w:contextualSpacing/>
        <w:rPr>
          <w:rFonts w:ascii="Times New Roman" w:hAnsi="Times New Roman" w:cs="Times New Roman"/>
          <w:color w:val="000000" w:themeColor="text1"/>
          <w:sz w:val="24"/>
          <w:szCs w:val="24"/>
        </w:rPr>
      </w:pPr>
    </w:p>
    <w:p w14:paraId="55D78291" w14:textId="77777777" w:rsidR="00ED2B23" w:rsidRPr="003D1800" w:rsidRDefault="00ED2B23" w:rsidP="00ED2B23">
      <w:pPr>
        <w:tabs>
          <w:tab w:val="left" w:pos="7938"/>
        </w:tabs>
        <w:contextualSpacing/>
        <w:rPr>
          <w:rFonts w:ascii="Times New Roman" w:hAnsi="Times New Roman" w:cs="Times New Roman"/>
          <w:color w:val="000000" w:themeColor="text1"/>
          <w:sz w:val="24"/>
          <w:szCs w:val="24"/>
        </w:rPr>
      </w:pPr>
      <w:r w:rsidRPr="003D1800">
        <w:rPr>
          <w:rFonts w:ascii="Times New Roman" w:hAnsi="Times New Roman" w:cs="Times New Roman"/>
          <w:color w:val="000000" w:themeColor="text1"/>
          <w:sz w:val="24"/>
          <w:szCs w:val="24"/>
        </w:rPr>
        <w:t>Vīza: Valsts sekretārs</w:t>
      </w:r>
      <w:r w:rsidRPr="003D1800">
        <w:rPr>
          <w:rFonts w:ascii="Times New Roman" w:hAnsi="Times New Roman" w:cs="Times New Roman"/>
          <w:color w:val="000000" w:themeColor="text1"/>
          <w:sz w:val="24"/>
          <w:szCs w:val="24"/>
        </w:rPr>
        <w:tab/>
      </w:r>
      <w:proofErr w:type="spellStart"/>
      <w:r w:rsidRPr="003D1800">
        <w:rPr>
          <w:rFonts w:ascii="Times New Roman" w:hAnsi="Times New Roman" w:cs="Times New Roman"/>
          <w:color w:val="000000" w:themeColor="text1"/>
          <w:sz w:val="24"/>
          <w:szCs w:val="24"/>
        </w:rPr>
        <w:t>Ē.Eglītis</w:t>
      </w:r>
      <w:proofErr w:type="spellEnd"/>
    </w:p>
    <w:p w14:paraId="199C3C02" w14:textId="77777777" w:rsidR="00894C55" w:rsidRPr="0074044E" w:rsidRDefault="00894C55" w:rsidP="00894C55">
      <w:pPr>
        <w:tabs>
          <w:tab w:val="left" w:pos="6237"/>
        </w:tabs>
        <w:spacing w:after="0" w:line="240" w:lineRule="auto"/>
        <w:ind w:firstLine="720"/>
        <w:rPr>
          <w:rFonts w:ascii="Times New Roman" w:hAnsi="Times New Roman" w:cs="Times New Roman"/>
          <w:color w:val="000000" w:themeColor="text1"/>
          <w:sz w:val="20"/>
          <w:szCs w:val="20"/>
        </w:rPr>
      </w:pPr>
    </w:p>
    <w:p w14:paraId="21FD4C76" w14:textId="0D6B14D3" w:rsidR="0074044E" w:rsidRDefault="0074044E" w:rsidP="00841A28">
      <w:pPr>
        <w:tabs>
          <w:tab w:val="left" w:pos="6237"/>
        </w:tabs>
        <w:spacing w:after="0" w:line="240" w:lineRule="auto"/>
        <w:rPr>
          <w:rFonts w:ascii="Times New Roman" w:hAnsi="Times New Roman" w:cs="Times New Roman"/>
          <w:color w:val="000000" w:themeColor="text1"/>
          <w:sz w:val="20"/>
          <w:szCs w:val="20"/>
        </w:rPr>
      </w:pPr>
    </w:p>
    <w:p w14:paraId="600AA0D7" w14:textId="77777777" w:rsidR="0074044E" w:rsidRPr="0074044E" w:rsidRDefault="0074044E" w:rsidP="00894C55">
      <w:pPr>
        <w:tabs>
          <w:tab w:val="left" w:pos="6237"/>
        </w:tabs>
        <w:spacing w:after="0" w:line="240" w:lineRule="auto"/>
        <w:ind w:firstLine="720"/>
        <w:rPr>
          <w:rFonts w:ascii="Times New Roman" w:hAnsi="Times New Roman" w:cs="Times New Roman"/>
          <w:color w:val="000000" w:themeColor="text1"/>
          <w:sz w:val="20"/>
          <w:szCs w:val="20"/>
        </w:rPr>
      </w:pPr>
    </w:p>
    <w:p w14:paraId="632B71D4" w14:textId="77777777" w:rsidR="0085343F" w:rsidRDefault="0085343F" w:rsidP="00ED2B23">
      <w:pPr>
        <w:widowControl w:val="0"/>
        <w:contextualSpacing/>
        <w:jc w:val="both"/>
        <w:rPr>
          <w:rFonts w:ascii="Times New Roman" w:eastAsia="Times New Roman" w:hAnsi="Times New Roman" w:cs="Times New Roman"/>
          <w:color w:val="000000" w:themeColor="text1"/>
          <w:sz w:val="20"/>
          <w:szCs w:val="20"/>
        </w:rPr>
      </w:pPr>
      <w:bookmarkStart w:id="1" w:name="_GoBack"/>
      <w:bookmarkEnd w:id="1"/>
    </w:p>
    <w:p w14:paraId="5C33DD3B" w14:textId="14BAC841" w:rsidR="00ED2B23" w:rsidRPr="0074044E" w:rsidRDefault="00ED2B23" w:rsidP="00ED2B23">
      <w:pPr>
        <w:widowControl w:val="0"/>
        <w:contextualSpacing/>
        <w:jc w:val="both"/>
        <w:rPr>
          <w:rFonts w:ascii="Times New Roman" w:eastAsia="Times New Roman" w:hAnsi="Times New Roman" w:cs="Times New Roman"/>
          <w:color w:val="000000" w:themeColor="text1"/>
          <w:sz w:val="20"/>
          <w:szCs w:val="20"/>
        </w:rPr>
      </w:pPr>
      <w:r w:rsidRPr="0074044E">
        <w:rPr>
          <w:rFonts w:ascii="Times New Roman" w:eastAsia="Times New Roman" w:hAnsi="Times New Roman" w:cs="Times New Roman"/>
          <w:color w:val="000000" w:themeColor="text1"/>
          <w:sz w:val="20"/>
          <w:szCs w:val="20"/>
        </w:rPr>
        <w:t>Siliņš; 67013005</w:t>
      </w:r>
    </w:p>
    <w:p w14:paraId="754AF84D" w14:textId="31BE5A53" w:rsidR="00894C55" w:rsidRPr="0074044E" w:rsidRDefault="00ED2B23" w:rsidP="00ED2B23">
      <w:pPr>
        <w:widowControl w:val="0"/>
        <w:contextualSpacing/>
        <w:jc w:val="both"/>
        <w:rPr>
          <w:rFonts w:ascii="Times New Roman" w:eastAsia="Times New Roman" w:hAnsi="Times New Roman" w:cs="Times New Roman"/>
          <w:color w:val="000000" w:themeColor="text1"/>
          <w:sz w:val="20"/>
          <w:szCs w:val="20"/>
        </w:rPr>
      </w:pPr>
      <w:r w:rsidRPr="0074044E">
        <w:rPr>
          <w:rFonts w:ascii="Times New Roman" w:eastAsia="Times New Roman" w:hAnsi="Times New Roman" w:cs="Times New Roman"/>
          <w:color w:val="000000" w:themeColor="text1"/>
          <w:sz w:val="20"/>
          <w:szCs w:val="20"/>
        </w:rPr>
        <w:t>Janis.Silins@em.gov.lv</w:t>
      </w:r>
    </w:p>
    <w:sectPr w:rsidR="00894C55" w:rsidRPr="0074044E"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699AB" w14:textId="77777777" w:rsidR="0088564C" w:rsidRDefault="0088564C" w:rsidP="00894C55">
      <w:pPr>
        <w:spacing w:after="0" w:line="240" w:lineRule="auto"/>
      </w:pPr>
      <w:r>
        <w:separator/>
      </w:r>
    </w:p>
  </w:endnote>
  <w:endnote w:type="continuationSeparator" w:id="0">
    <w:p w14:paraId="5B69E20E" w14:textId="77777777" w:rsidR="0088564C" w:rsidRDefault="0088564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A99E6" w14:textId="41CB2B59" w:rsidR="003D1800" w:rsidRPr="00894C55" w:rsidRDefault="003D1800">
    <w:pPr>
      <w:pStyle w:val="Footer"/>
      <w:rPr>
        <w:rFonts w:ascii="Times New Roman" w:hAnsi="Times New Roman" w:cs="Times New Roman"/>
        <w:sz w:val="20"/>
        <w:szCs w:val="20"/>
      </w:rPr>
    </w:pPr>
    <w:r>
      <w:rPr>
        <w:rFonts w:ascii="Times New Roman" w:hAnsi="Times New Roman" w:cs="Times New Roman"/>
        <w:sz w:val="20"/>
        <w:szCs w:val="20"/>
      </w:rPr>
      <w:t>EMAnot_</w:t>
    </w:r>
    <w:r w:rsidR="004F2537">
      <w:rPr>
        <w:rFonts w:ascii="Times New Roman" w:hAnsi="Times New Roman" w:cs="Times New Roman"/>
        <w:sz w:val="20"/>
        <w:szCs w:val="20"/>
      </w:rPr>
      <w:t>1</w:t>
    </w:r>
    <w:r w:rsidR="00F441DB">
      <w:rPr>
        <w:rFonts w:ascii="Times New Roman" w:hAnsi="Times New Roman" w:cs="Times New Roman"/>
        <w:sz w:val="20"/>
        <w:szCs w:val="20"/>
      </w:rPr>
      <w:t>111</w:t>
    </w:r>
    <w:r>
      <w:rPr>
        <w:rFonts w:ascii="Times New Roman" w:hAnsi="Times New Roman" w:cs="Times New Roman"/>
        <w:sz w:val="20"/>
        <w:szCs w:val="20"/>
      </w:rPr>
      <w:t>19_Groz160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B9950" w14:textId="117F3932" w:rsidR="003D1800" w:rsidRPr="00CF544A" w:rsidRDefault="00CF544A" w:rsidP="00CF544A">
    <w:pPr>
      <w:pStyle w:val="Footer"/>
      <w:rPr>
        <w:rFonts w:ascii="Times New Roman" w:hAnsi="Times New Roman" w:cs="Times New Roman"/>
        <w:sz w:val="20"/>
        <w:szCs w:val="20"/>
      </w:rPr>
    </w:pPr>
    <w:r>
      <w:rPr>
        <w:rFonts w:ascii="Times New Roman" w:hAnsi="Times New Roman" w:cs="Times New Roman"/>
        <w:sz w:val="20"/>
        <w:szCs w:val="20"/>
      </w:rPr>
      <w:t>EMAnot_</w:t>
    </w:r>
    <w:r w:rsidR="004F2537">
      <w:rPr>
        <w:rFonts w:ascii="Times New Roman" w:hAnsi="Times New Roman" w:cs="Times New Roman"/>
        <w:sz w:val="20"/>
        <w:szCs w:val="20"/>
      </w:rPr>
      <w:t>1</w:t>
    </w:r>
    <w:r w:rsidR="00F441DB">
      <w:rPr>
        <w:rFonts w:ascii="Times New Roman" w:hAnsi="Times New Roman" w:cs="Times New Roman"/>
        <w:sz w:val="20"/>
        <w:szCs w:val="20"/>
      </w:rPr>
      <w:t>111</w:t>
    </w:r>
    <w:r>
      <w:rPr>
        <w:rFonts w:ascii="Times New Roman" w:hAnsi="Times New Roman" w:cs="Times New Roman"/>
        <w:sz w:val="20"/>
        <w:szCs w:val="20"/>
      </w:rPr>
      <w:t>19_Groz160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716D3" w14:textId="77777777" w:rsidR="0088564C" w:rsidRDefault="0088564C" w:rsidP="00894C55">
      <w:pPr>
        <w:spacing w:after="0" w:line="240" w:lineRule="auto"/>
      </w:pPr>
      <w:r>
        <w:separator/>
      </w:r>
    </w:p>
  </w:footnote>
  <w:footnote w:type="continuationSeparator" w:id="0">
    <w:p w14:paraId="011EF84F" w14:textId="77777777" w:rsidR="0088564C" w:rsidRDefault="0088564C" w:rsidP="00894C55">
      <w:pPr>
        <w:spacing w:after="0" w:line="240" w:lineRule="auto"/>
      </w:pPr>
      <w:r>
        <w:continuationSeparator/>
      </w:r>
    </w:p>
  </w:footnote>
  <w:footnote w:id="1">
    <w:p w14:paraId="518ACFE5" w14:textId="4D3EF782" w:rsidR="001E567D" w:rsidRPr="00F441DB" w:rsidRDefault="00F441DB">
      <w:pPr>
        <w:pStyle w:val="FootnoteText"/>
        <w:rPr>
          <w:rFonts w:ascii="Times New Roman" w:hAnsi="Times New Roman" w:cs="Times New Roman"/>
        </w:rPr>
      </w:pPr>
      <w:r w:rsidRPr="00F441DB">
        <w:rPr>
          <w:rStyle w:val="FootnoteReference"/>
          <w:rFonts w:ascii="Times New Roman" w:hAnsi="Times New Roman" w:cs="Times New Roman"/>
        </w:rPr>
        <w:footnoteRef/>
      </w:r>
      <w:r w:rsidRPr="00F441DB">
        <w:rPr>
          <w:rFonts w:ascii="Times New Roman" w:hAnsi="Times New Roman" w:cs="Times New Roman"/>
        </w:rPr>
        <w:t xml:space="preserve"> https://www.altum.lv/lv/pakalpojumi/maju-energoefektivitate/energoefektivitates-projekta-piegadataju-atlase/piegadataju-atlases-vadlinijas/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02FF69F" w14:textId="77777777" w:rsidR="003D1800" w:rsidRPr="00C25B49" w:rsidRDefault="003D180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35A1"/>
    <w:multiLevelType w:val="multilevel"/>
    <w:tmpl w:val="557CE1CE"/>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0CE14A0F"/>
    <w:multiLevelType w:val="multilevel"/>
    <w:tmpl w:val="E65CEFF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212D7570"/>
    <w:multiLevelType w:val="hybridMultilevel"/>
    <w:tmpl w:val="20FE20B4"/>
    <w:lvl w:ilvl="0" w:tplc="04260011">
      <w:start w:val="1"/>
      <w:numFmt w:val="decimal"/>
      <w:lvlText w:val="%1)"/>
      <w:lvlJc w:val="left"/>
      <w:pPr>
        <w:ind w:left="1329" w:hanging="360"/>
      </w:pPr>
    </w:lvl>
    <w:lvl w:ilvl="1" w:tplc="04260019" w:tentative="1">
      <w:start w:val="1"/>
      <w:numFmt w:val="lowerLetter"/>
      <w:lvlText w:val="%2."/>
      <w:lvlJc w:val="left"/>
      <w:pPr>
        <w:ind w:left="2049" w:hanging="360"/>
      </w:pPr>
    </w:lvl>
    <w:lvl w:ilvl="2" w:tplc="0426001B" w:tentative="1">
      <w:start w:val="1"/>
      <w:numFmt w:val="lowerRoman"/>
      <w:lvlText w:val="%3."/>
      <w:lvlJc w:val="right"/>
      <w:pPr>
        <w:ind w:left="2769" w:hanging="180"/>
      </w:pPr>
    </w:lvl>
    <w:lvl w:ilvl="3" w:tplc="0426000F" w:tentative="1">
      <w:start w:val="1"/>
      <w:numFmt w:val="decimal"/>
      <w:lvlText w:val="%4."/>
      <w:lvlJc w:val="left"/>
      <w:pPr>
        <w:ind w:left="3489" w:hanging="360"/>
      </w:pPr>
    </w:lvl>
    <w:lvl w:ilvl="4" w:tplc="04260019" w:tentative="1">
      <w:start w:val="1"/>
      <w:numFmt w:val="lowerLetter"/>
      <w:lvlText w:val="%5."/>
      <w:lvlJc w:val="left"/>
      <w:pPr>
        <w:ind w:left="4209" w:hanging="360"/>
      </w:pPr>
    </w:lvl>
    <w:lvl w:ilvl="5" w:tplc="0426001B" w:tentative="1">
      <w:start w:val="1"/>
      <w:numFmt w:val="lowerRoman"/>
      <w:lvlText w:val="%6."/>
      <w:lvlJc w:val="right"/>
      <w:pPr>
        <w:ind w:left="4929" w:hanging="180"/>
      </w:pPr>
    </w:lvl>
    <w:lvl w:ilvl="6" w:tplc="0426000F" w:tentative="1">
      <w:start w:val="1"/>
      <w:numFmt w:val="decimal"/>
      <w:lvlText w:val="%7."/>
      <w:lvlJc w:val="left"/>
      <w:pPr>
        <w:ind w:left="5649" w:hanging="360"/>
      </w:pPr>
    </w:lvl>
    <w:lvl w:ilvl="7" w:tplc="04260019" w:tentative="1">
      <w:start w:val="1"/>
      <w:numFmt w:val="lowerLetter"/>
      <w:lvlText w:val="%8."/>
      <w:lvlJc w:val="left"/>
      <w:pPr>
        <w:ind w:left="6369" w:hanging="360"/>
      </w:pPr>
    </w:lvl>
    <w:lvl w:ilvl="8" w:tplc="0426001B" w:tentative="1">
      <w:start w:val="1"/>
      <w:numFmt w:val="lowerRoman"/>
      <w:lvlText w:val="%9."/>
      <w:lvlJc w:val="right"/>
      <w:pPr>
        <w:ind w:left="7089" w:hanging="180"/>
      </w:pPr>
    </w:lvl>
  </w:abstractNum>
  <w:abstractNum w:abstractNumId="3" w15:restartNumberingAfterBreak="0">
    <w:nsid w:val="2BD836B4"/>
    <w:multiLevelType w:val="multilevel"/>
    <w:tmpl w:val="D408C0C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2F5B01A9"/>
    <w:multiLevelType w:val="multilevel"/>
    <w:tmpl w:val="D408C0C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455478B8"/>
    <w:multiLevelType w:val="hybridMultilevel"/>
    <w:tmpl w:val="06C06286"/>
    <w:lvl w:ilvl="0" w:tplc="A9DE4F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54025A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89A2A95"/>
    <w:multiLevelType w:val="hybridMultilevel"/>
    <w:tmpl w:val="D5BE66CE"/>
    <w:lvl w:ilvl="0" w:tplc="63CA92F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C4C5125"/>
    <w:multiLevelType w:val="hybridMultilevel"/>
    <w:tmpl w:val="339A2658"/>
    <w:lvl w:ilvl="0" w:tplc="669CDAE6">
      <w:start w:val="1"/>
      <w:numFmt w:val="decimal"/>
      <w:lvlText w:val="%1."/>
      <w:lvlJc w:val="left"/>
      <w:pPr>
        <w:ind w:left="360" w:hanging="360"/>
      </w:pPr>
      <w:rPr>
        <w:b/>
        <w:bCs/>
        <w:i/>
        <w:iCs/>
        <w:u w:val="singl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7D514DD7"/>
    <w:multiLevelType w:val="hybridMultilevel"/>
    <w:tmpl w:val="CC265FBC"/>
    <w:lvl w:ilvl="0" w:tplc="04260011">
      <w:start w:val="1"/>
      <w:numFmt w:val="decimal"/>
      <w:lvlText w:val="%1)"/>
      <w:lvlJc w:val="left"/>
      <w:pPr>
        <w:ind w:left="1253" w:hanging="360"/>
      </w:pPr>
    </w:lvl>
    <w:lvl w:ilvl="1" w:tplc="04260019" w:tentative="1">
      <w:start w:val="1"/>
      <w:numFmt w:val="lowerLetter"/>
      <w:lvlText w:val="%2."/>
      <w:lvlJc w:val="left"/>
      <w:pPr>
        <w:ind w:left="1973" w:hanging="360"/>
      </w:pPr>
    </w:lvl>
    <w:lvl w:ilvl="2" w:tplc="0426001B" w:tentative="1">
      <w:start w:val="1"/>
      <w:numFmt w:val="lowerRoman"/>
      <w:lvlText w:val="%3."/>
      <w:lvlJc w:val="right"/>
      <w:pPr>
        <w:ind w:left="2693" w:hanging="180"/>
      </w:pPr>
    </w:lvl>
    <w:lvl w:ilvl="3" w:tplc="0426000F" w:tentative="1">
      <w:start w:val="1"/>
      <w:numFmt w:val="decimal"/>
      <w:lvlText w:val="%4."/>
      <w:lvlJc w:val="left"/>
      <w:pPr>
        <w:ind w:left="3413" w:hanging="360"/>
      </w:pPr>
    </w:lvl>
    <w:lvl w:ilvl="4" w:tplc="04260019" w:tentative="1">
      <w:start w:val="1"/>
      <w:numFmt w:val="lowerLetter"/>
      <w:lvlText w:val="%5."/>
      <w:lvlJc w:val="left"/>
      <w:pPr>
        <w:ind w:left="4133" w:hanging="360"/>
      </w:pPr>
    </w:lvl>
    <w:lvl w:ilvl="5" w:tplc="0426001B" w:tentative="1">
      <w:start w:val="1"/>
      <w:numFmt w:val="lowerRoman"/>
      <w:lvlText w:val="%6."/>
      <w:lvlJc w:val="right"/>
      <w:pPr>
        <w:ind w:left="4853" w:hanging="180"/>
      </w:pPr>
    </w:lvl>
    <w:lvl w:ilvl="6" w:tplc="0426000F" w:tentative="1">
      <w:start w:val="1"/>
      <w:numFmt w:val="decimal"/>
      <w:lvlText w:val="%7."/>
      <w:lvlJc w:val="left"/>
      <w:pPr>
        <w:ind w:left="5573" w:hanging="360"/>
      </w:pPr>
    </w:lvl>
    <w:lvl w:ilvl="7" w:tplc="04260019" w:tentative="1">
      <w:start w:val="1"/>
      <w:numFmt w:val="lowerLetter"/>
      <w:lvlText w:val="%8."/>
      <w:lvlJc w:val="left"/>
      <w:pPr>
        <w:ind w:left="6293" w:hanging="360"/>
      </w:pPr>
    </w:lvl>
    <w:lvl w:ilvl="8" w:tplc="0426001B" w:tentative="1">
      <w:start w:val="1"/>
      <w:numFmt w:val="lowerRoman"/>
      <w:lvlText w:val="%9."/>
      <w:lvlJc w:val="right"/>
      <w:pPr>
        <w:ind w:left="7013" w:hanging="180"/>
      </w:pPr>
    </w:lvl>
  </w:abstractNum>
  <w:num w:numId="1">
    <w:abstractNumId w:val="2"/>
  </w:num>
  <w:num w:numId="2">
    <w:abstractNumId w:val="8"/>
  </w:num>
  <w:num w:numId="3">
    <w:abstractNumId w:val="9"/>
  </w:num>
  <w:num w:numId="4">
    <w:abstractNumId w:val="7"/>
  </w:num>
  <w:num w:numId="5">
    <w:abstractNumId w:val="1"/>
  </w:num>
  <w:num w:numId="6">
    <w:abstractNumId w:val="4"/>
  </w:num>
  <w:num w:numId="7">
    <w:abstractNumId w:val="0"/>
  </w:num>
  <w:num w:numId="8">
    <w:abstractNumId w:val="3"/>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6332"/>
    <w:rsid w:val="00114642"/>
    <w:rsid w:val="00115EAC"/>
    <w:rsid w:val="00124E01"/>
    <w:rsid w:val="00156323"/>
    <w:rsid w:val="001E567D"/>
    <w:rsid w:val="00202519"/>
    <w:rsid w:val="00243426"/>
    <w:rsid w:val="00254397"/>
    <w:rsid w:val="002B73AF"/>
    <w:rsid w:val="002E1C05"/>
    <w:rsid w:val="002F242F"/>
    <w:rsid w:val="003072A1"/>
    <w:rsid w:val="00343462"/>
    <w:rsid w:val="00354CD3"/>
    <w:rsid w:val="003A69D6"/>
    <w:rsid w:val="003B0BF9"/>
    <w:rsid w:val="003D1800"/>
    <w:rsid w:val="003D5A50"/>
    <w:rsid w:val="003E0791"/>
    <w:rsid w:val="003F28AC"/>
    <w:rsid w:val="004174ED"/>
    <w:rsid w:val="00424006"/>
    <w:rsid w:val="00430CD7"/>
    <w:rsid w:val="004454FE"/>
    <w:rsid w:val="00456E40"/>
    <w:rsid w:val="00471F27"/>
    <w:rsid w:val="004F2537"/>
    <w:rsid w:val="0050178F"/>
    <w:rsid w:val="005360C5"/>
    <w:rsid w:val="0054488C"/>
    <w:rsid w:val="0055018D"/>
    <w:rsid w:val="00550D57"/>
    <w:rsid w:val="005523DC"/>
    <w:rsid w:val="00566EDD"/>
    <w:rsid w:val="005C52EB"/>
    <w:rsid w:val="005C7E25"/>
    <w:rsid w:val="00655F2C"/>
    <w:rsid w:val="006E1081"/>
    <w:rsid w:val="0070007C"/>
    <w:rsid w:val="00720585"/>
    <w:rsid w:val="0074044E"/>
    <w:rsid w:val="0077033E"/>
    <w:rsid w:val="00773AF6"/>
    <w:rsid w:val="00783EE1"/>
    <w:rsid w:val="00795F71"/>
    <w:rsid w:val="007E5E18"/>
    <w:rsid w:val="007E5F7A"/>
    <w:rsid w:val="007E73AB"/>
    <w:rsid w:val="00816C11"/>
    <w:rsid w:val="00841A28"/>
    <w:rsid w:val="00847A5A"/>
    <w:rsid w:val="0085343F"/>
    <w:rsid w:val="0088564C"/>
    <w:rsid w:val="00894C55"/>
    <w:rsid w:val="008C715F"/>
    <w:rsid w:val="008E601C"/>
    <w:rsid w:val="008E6FFD"/>
    <w:rsid w:val="009024D7"/>
    <w:rsid w:val="00916C59"/>
    <w:rsid w:val="00925F18"/>
    <w:rsid w:val="009A2654"/>
    <w:rsid w:val="00A10FC3"/>
    <w:rsid w:val="00A50301"/>
    <w:rsid w:val="00A6073E"/>
    <w:rsid w:val="00A7755F"/>
    <w:rsid w:val="00A97B10"/>
    <w:rsid w:val="00AE5567"/>
    <w:rsid w:val="00AF1239"/>
    <w:rsid w:val="00B16480"/>
    <w:rsid w:val="00B2165C"/>
    <w:rsid w:val="00B30691"/>
    <w:rsid w:val="00B44468"/>
    <w:rsid w:val="00BA20AA"/>
    <w:rsid w:val="00BD4425"/>
    <w:rsid w:val="00BE1754"/>
    <w:rsid w:val="00C25B49"/>
    <w:rsid w:val="00C5175B"/>
    <w:rsid w:val="00C708D9"/>
    <w:rsid w:val="00C709F9"/>
    <w:rsid w:val="00CA5562"/>
    <w:rsid w:val="00CC0D2D"/>
    <w:rsid w:val="00CC5F0D"/>
    <w:rsid w:val="00CD2F80"/>
    <w:rsid w:val="00CE5657"/>
    <w:rsid w:val="00CF0422"/>
    <w:rsid w:val="00CF544A"/>
    <w:rsid w:val="00D02C31"/>
    <w:rsid w:val="00D133F8"/>
    <w:rsid w:val="00D148FC"/>
    <w:rsid w:val="00D14A3E"/>
    <w:rsid w:val="00D24EAD"/>
    <w:rsid w:val="00DF2C3B"/>
    <w:rsid w:val="00E3716B"/>
    <w:rsid w:val="00E5323B"/>
    <w:rsid w:val="00E65939"/>
    <w:rsid w:val="00E75D95"/>
    <w:rsid w:val="00E8749E"/>
    <w:rsid w:val="00E90C01"/>
    <w:rsid w:val="00EA486E"/>
    <w:rsid w:val="00ED2B23"/>
    <w:rsid w:val="00F11DEA"/>
    <w:rsid w:val="00F441DB"/>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57601F"/>
  <w15:docId w15:val="{6022FE5C-93A4-4528-92C6-E0FA80B8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DF2C3B"/>
    <w:rPr>
      <w:sz w:val="16"/>
      <w:szCs w:val="16"/>
    </w:rPr>
  </w:style>
  <w:style w:type="paragraph" w:styleId="CommentText">
    <w:name w:val="annotation text"/>
    <w:basedOn w:val="Normal"/>
    <w:link w:val="CommentTextChar"/>
    <w:uiPriority w:val="99"/>
    <w:semiHidden/>
    <w:unhideWhenUsed/>
    <w:rsid w:val="00DF2C3B"/>
    <w:pPr>
      <w:spacing w:after="0" w:line="240" w:lineRule="auto"/>
    </w:pPr>
    <w:rPr>
      <w:rFonts w:ascii="Times New Roman" w:eastAsia="Calibri"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DF2C3B"/>
    <w:rPr>
      <w:rFonts w:ascii="Times New Roman" w:eastAsia="Calibri" w:hAnsi="Times New Roman" w:cs="Times New Roman"/>
      <w:sz w:val="20"/>
      <w:szCs w:val="20"/>
      <w:lang w:eastAsia="lv-LV"/>
    </w:rPr>
  </w:style>
  <w:style w:type="paragraph" w:styleId="ListParagraph">
    <w:name w:val="List Paragraph"/>
    <w:aliases w:val="2,Strip,Normal bullet 2,Bullet list,Saistīto dokumentu saraksts,Syle 1,Numurets,List Paragraph11,OBC Bullet,Bullet Style,L,H&amp;P List Paragraph,List Paragraph1,Akapit z listą BS,Bullet 1,Bullet Points,Dot pt,F5 List Paragraph,Indicator Text"/>
    <w:basedOn w:val="Normal"/>
    <w:link w:val="ListParagraphChar"/>
    <w:uiPriority w:val="34"/>
    <w:qFormat/>
    <w:rsid w:val="00CD2F80"/>
    <w:pPr>
      <w:spacing w:after="0" w:line="240" w:lineRule="auto"/>
      <w:ind w:left="720"/>
      <w:contextualSpacing/>
    </w:pPr>
    <w:rPr>
      <w:rFonts w:ascii="Times New Roman" w:eastAsia="Times New Roman" w:hAnsi="Times New Roman" w:cs="Times New Roman"/>
      <w:lang w:eastAsia="lv-LV"/>
    </w:rPr>
  </w:style>
  <w:style w:type="character" w:customStyle="1" w:styleId="ListParagraphChar">
    <w:name w:val="List Paragraph Char"/>
    <w:aliases w:val="2 Char,Strip Char,Normal bullet 2 Char,Bullet list Char,Saistīto dokumentu saraksts Char,Syle 1 Char,Numurets Char,List Paragraph11 Char,OBC Bullet Char,Bullet Style Char,L Char,H&amp;P List Paragraph Char,List Paragraph1 Char"/>
    <w:link w:val="ListParagraph"/>
    <w:uiPriority w:val="34"/>
    <w:qFormat/>
    <w:rsid w:val="00CD2F80"/>
    <w:rPr>
      <w:rFonts w:ascii="Times New Roman" w:eastAsia="Times New Roman" w:hAnsi="Times New Roman" w:cs="Times New Roman"/>
      <w:lang w:eastAsia="lv-LV"/>
    </w:rPr>
  </w:style>
  <w:style w:type="paragraph" w:styleId="CommentSubject">
    <w:name w:val="annotation subject"/>
    <w:basedOn w:val="CommentText"/>
    <w:next w:val="CommentText"/>
    <w:link w:val="CommentSubjectChar"/>
    <w:uiPriority w:val="99"/>
    <w:semiHidden/>
    <w:unhideWhenUsed/>
    <w:rsid w:val="00254397"/>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54397"/>
    <w:rPr>
      <w:rFonts w:ascii="Times New Roman" w:eastAsia="Calibri" w:hAnsi="Times New Roman" w:cs="Times New Roman"/>
      <w:b/>
      <w:bCs/>
      <w:sz w:val="20"/>
      <w:szCs w:val="20"/>
      <w:lang w:eastAsia="lv-LV"/>
    </w:rPr>
  </w:style>
  <w:style w:type="paragraph" w:styleId="FootnoteText">
    <w:name w:val="footnote text"/>
    <w:basedOn w:val="Normal"/>
    <w:link w:val="FootnoteTextChar"/>
    <w:uiPriority w:val="99"/>
    <w:semiHidden/>
    <w:unhideWhenUsed/>
    <w:rsid w:val="001E56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567D"/>
    <w:rPr>
      <w:sz w:val="20"/>
      <w:szCs w:val="20"/>
    </w:rPr>
  </w:style>
  <w:style w:type="character" w:styleId="FootnoteReference">
    <w:name w:val="footnote reference"/>
    <w:basedOn w:val="DefaultParagraphFont"/>
    <w:uiPriority w:val="99"/>
    <w:semiHidden/>
    <w:unhideWhenUsed/>
    <w:rsid w:val="001E567D"/>
    <w:rPr>
      <w:vertAlign w:val="superscript"/>
    </w:rPr>
  </w:style>
  <w:style w:type="character" w:styleId="UnresolvedMention">
    <w:name w:val="Unresolved Mention"/>
    <w:basedOn w:val="DefaultParagraphFont"/>
    <w:uiPriority w:val="99"/>
    <w:semiHidden/>
    <w:unhideWhenUsed/>
    <w:rsid w:val="001E567D"/>
    <w:rPr>
      <w:color w:val="605E5C"/>
      <w:shd w:val="clear" w:color="auto" w:fill="E1DFDD"/>
    </w:rPr>
  </w:style>
  <w:style w:type="paragraph" w:styleId="Revision">
    <w:name w:val="Revision"/>
    <w:hidden/>
    <w:uiPriority w:val="99"/>
    <w:semiHidden/>
    <w:rsid w:val="008E6F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9859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Ministrija/sabiedribas_lidzdaliba/diskusiju_doku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7117EC"/>
    <w:rsid w:val="008B623B"/>
    <w:rsid w:val="008C69D9"/>
    <w:rsid w:val="008D39C9"/>
    <w:rsid w:val="009632CF"/>
    <w:rsid w:val="009C1B4C"/>
    <w:rsid w:val="00AD4A2F"/>
    <w:rsid w:val="00B04FB7"/>
    <w:rsid w:val="00B3767C"/>
    <w:rsid w:val="00C00671"/>
    <w:rsid w:val="00CE0143"/>
    <w:rsid w:val="00DA4926"/>
    <w:rsid w:val="00F36C7D"/>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A04C0-1C5B-49E2-9E13-80C5D5D0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11858</Words>
  <Characters>6760</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EMAnot_11112019_Groz160</vt:lpstr>
    </vt:vector>
  </TitlesOfParts>
  <Company>Iestādes nosaukums</Company>
  <LinksUpToDate>false</LinksUpToDate>
  <CharactersWithSpaces>18581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EMAnot_11112019_Groz160</dc:title>
  <dc:subject>Anotācija</dc:subject>
  <dc:creator>Janis.Silins@em.gov.lv</dc:creator>
  <dc:description>67013005, Janis.Silins@em.gov.lv</dc:description>
  <cp:lastModifiedBy>Jānis Siliņš</cp:lastModifiedBy>
  <cp:revision>6</cp:revision>
  <dcterms:created xsi:type="dcterms:W3CDTF">2019-11-07T09:02:00Z</dcterms:created>
  <dcterms:modified xsi:type="dcterms:W3CDTF">2019-11-11T09:49:00Z</dcterms:modified>
</cp:coreProperties>
</file>