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B86700" w:rsidRDefault="007116C7" w:rsidP="005E661B">
      <w:pPr>
        <w:pStyle w:val="naislab"/>
        <w:spacing w:before="0" w:after="0"/>
        <w:ind w:firstLine="720"/>
      </w:pPr>
      <w:r w:rsidRPr="00B86700">
        <w:t> </w:t>
      </w:r>
    </w:p>
    <w:p w14:paraId="33AFF097" w14:textId="77777777" w:rsidR="007116C7" w:rsidRPr="00B86700" w:rsidRDefault="007116C7" w:rsidP="005E661B">
      <w:pPr>
        <w:pStyle w:val="naisnod"/>
        <w:spacing w:before="0" w:after="0"/>
        <w:ind w:firstLine="720"/>
      </w:pPr>
      <w:r w:rsidRPr="00B86700">
        <w:t>Izziņa par atzinumos sniegtajiem iebildumiem</w:t>
      </w:r>
    </w:p>
    <w:p w14:paraId="7FAD9569" w14:textId="77777777" w:rsidR="007116C7" w:rsidRPr="00B86700" w:rsidRDefault="007116C7" w:rsidP="005E661B">
      <w:pPr>
        <w:pStyle w:val="naisf"/>
        <w:spacing w:before="0" w:after="0"/>
        <w:ind w:firstLine="720"/>
      </w:pPr>
    </w:p>
    <w:tbl>
      <w:tblPr>
        <w:tblW w:w="0" w:type="auto"/>
        <w:jc w:val="center"/>
        <w:tblLook w:val="00A0" w:firstRow="1" w:lastRow="0" w:firstColumn="1" w:lastColumn="0" w:noHBand="0" w:noVBand="0"/>
      </w:tblPr>
      <w:tblGrid>
        <w:gridCol w:w="10188"/>
      </w:tblGrid>
      <w:tr w:rsidR="00B86700" w:rsidRPr="00B86700" w14:paraId="4AE583D5" w14:textId="77777777">
        <w:trPr>
          <w:jc w:val="center"/>
        </w:trPr>
        <w:tc>
          <w:tcPr>
            <w:tcW w:w="10188" w:type="dxa"/>
            <w:tcBorders>
              <w:bottom w:val="single" w:sz="6" w:space="0" w:color="000000"/>
            </w:tcBorders>
          </w:tcPr>
          <w:p w14:paraId="4149E511" w14:textId="149B2906" w:rsidR="007116C7" w:rsidRPr="00B86700" w:rsidRDefault="007232BF" w:rsidP="005E661B">
            <w:pPr>
              <w:ind w:firstLine="720"/>
              <w:jc w:val="center"/>
              <w:rPr>
                <w:bCs/>
              </w:rPr>
            </w:pPr>
            <w:r w:rsidRPr="00B86700">
              <w:rPr>
                <w:bCs/>
              </w:rPr>
              <w:t>Grozījumi Ministru kabineta 2005. gada 18. oktobra noteikumos Nr. 772 “Noteikumi par biodegvielas kvalitātes prasībām, atbilstības novērtēšanu, tirgus uzraudzību un patērētāju informēšanas kārtību”</w:t>
            </w:r>
          </w:p>
        </w:tc>
      </w:tr>
    </w:tbl>
    <w:p w14:paraId="61FF673B" w14:textId="77777777" w:rsidR="007116C7" w:rsidRPr="00B86700" w:rsidRDefault="007116C7" w:rsidP="005E661B">
      <w:pPr>
        <w:pStyle w:val="naisc"/>
        <w:spacing w:before="0" w:after="0"/>
        <w:ind w:firstLine="1080"/>
        <w:rPr>
          <w:bCs/>
        </w:rPr>
      </w:pPr>
      <w:r w:rsidRPr="00B86700">
        <w:rPr>
          <w:bCs/>
        </w:rPr>
        <w:t>(dokumenta veids un nosaukums)</w:t>
      </w:r>
    </w:p>
    <w:p w14:paraId="1E282F02" w14:textId="77777777" w:rsidR="007B4C0F" w:rsidRPr="00B86700" w:rsidRDefault="007B4C0F" w:rsidP="005E661B">
      <w:pPr>
        <w:pStyle w:val="naisf"/>
        <w:spacing w:before="0" w:after="0"/>
        <w:ind w:firstLine="720"/>
      </w:pPr>
    </w:p>
    <w:p w14:paraId="06A01AC6" w14:textId="77777777" w:rsidR="007B4C0F" w:rsidRPr="00B86700" w:rsidRDefault="007B4C0F" w:rsidP="005E661B">
      <w:pPr>
        <w:pStyle w:val="naisf"/>
        <w:spacing w:before="0" w:after="0"/>
        <w:ind w:firstLine="0"/>
        <w:jc w:val="center"/>
        <w:rPr>
          <w:b/>
        </w:rPr>
      </w:pPr>
      <w:r w:rsidRPr="00B86700">
        <w:rPr>
          <w:b/>
        </w:rPr>
        <w:t xml:space="preserve">I. Jautājumi, par kuriem saskaņošanā </w:t>
      </w:r>
      <w:r w:rsidR="00134188" w:rsidRPr="00B86700">
        <w:rPr>
          <w:b/>
        </w:rPr>
        <w:t xml:space="preserve">vienošanās </w:t>
      </w:r>
      <w:r w:rsidRPr="00B86700">
        <w:rPr>
          <w:b/>
        </w:rPr>
        <w:t>nav panākta</w:t>
      </w:r>
    </w:p>
    <w:tbl>
      <w:tblPr>
        <w:tblW w:w="140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96"/>
        <w:gridCol w:w="3037"/>
        <w:gridCol w:w="3068"/>
        <w:gridCol w:w="2930"/>
        <w:gridCol w:w="2420"/>
        <w:gridCol w:w="1889"/>
        <w:tblGridChange w:id="0">
          <w:tblGrid>
            <w:gridCol w:w="696"/>
            <w:gridCol w:w="3037"/>
            <w:gridCol w:w="3068"/>
            <w:gridCol w:w="2930"/>
            <w:gridCol w:w="2420"/>
            <w:gridCol w:w="1889"/>
          </w:tblGrid>
        </w:tblGridChange>
      </w:tblGrid>
      <w:tr w:rsidR="00B86700" w:rsidRPr="00B86700" w14:paraId="2CEBCB9A" w14:textId="77777777" w:rsidTr="00221D8A">
        <w:trPr>
          <w:trHeight w:val="1757"/>
        </w:trPr>
        <w:tc>
          <w:tcPr>
            <w:tcW w:w="696"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B86700" w:rsidRDefault="005F4BFD" w:rsidP="005E661B">
            <w:pPr>
              <w:pStyle w:val="naisc"/>
              <w:spacing w:before="0" w:after="0"/>
            </w:pPr>
            <w:r w:rsidRPr="00B86700">
              <w:t>Nr. p.k.</w:t>
            </w:r>
          </w:p>
        </w:tc>
        <w:tc>
          <w:tcPr>
            <w:tcW w:w="3037"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B86700" w:rsidRDefault="005F4BFD" w:rsidP="005E661B">
            <w:pPr>
              <w:pStyle w:val="naisc"/>
              <w:spacing w:before="0" w:after="0"/>
              <w:ind w:firstLine="12"/>
            </w:pPr>
            <w:r w:rsidRPr="00B86700">
              <w:t>Saskaņošanai nosūtītā projekta redakcija (konkrēta punkta (panta) redakcija)</w:t>
            </w:r>
          </w:p>
        </w:tc>
        <w:tc>
          <w:tcPr>
            <w:tcW w:w="306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B86700" w:rsidRDefault="005F4BFD" w:rsidP="005E661B">
            <w:pPr>
              <w:pStyle w:val="naisc"/>
              <w:spacing w:before="0" w:after="0"/>
              <w:ind w:right="3"/>
            </w:pPr>
            <w:r w:rsidRPr="00B86700">
              <w:t>Atzinumā norādītais ministrijas (citas institūcijas) iebildums</w:t>
            </w:r>
            <w:r w:rsidR="00184479" w:rsidRPr="00B86700">
              <w:t>,</w:t>
            </w:r>
            <w:r w:rsidR="000E5509" w:rsidRPr="00B86700">
              <w:t xml:space="preserve"> kā arī saskaņošanā papildus izteiktais iebildums</w:t>
            </w:r>
            <w:r w:rsidRPr="00B86700">
              <w:t xml:space="preserve"> par projekta konkrēto punktu (pantu)</w:t>
            </w:r>
          </w:p>
        </w:tc>
        <w:tc>
          <w:tcPr>
            <w:tcW w:w="2930"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B86700" w:rsidRDefault="005F4BFD" w:rsidP="005E661B">
            <w:pPr>
              <w:pStyle w:val="naisc"/>
              <w:spacing w:before="0" w:after="0"/>
              <w:ind w:firstLine="21"/>
            </w:pPr>
            <w:r w:rsidRPr="00B86700">
              <w:t>Atbildīgās ministrijas pamatojums</w:t>
            </w:r>
            <w:r w:rsidR="009307F2" w:rsidRPr="00B86700">
              <w:t xml:space="preserve"> iebilduma noraidījumam</w:t>
            </w:r>
          </w:p>
        </w:tc>
        <w:tc>
          <w:tcPr>
            <w:tcW w:w="2420"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B86700" w:rsidRDefault="005F4BFD" w:rsidP="005E661B">
            <w:pPr>
              <w:jc w:val="center"/>
            </w:pPr>
            <w:r w:rsidRPr="00B86700">
              <w:t>Atzinuma sniedzēja uzturētais iebildums, ja tas atšķiras no atzinumā norādītā iebilduma pamatojuma</w:t>
            </w:r>
          </w:p>
        </w:tc>
        <w:tc>
          <w:tcPr>
            <w:tcW w:w="1889" w:type="dxa"/>
            <w:tcBorders>
              <w:top w:val="single" w:sz="4" w:space="0" w:color="auto"/>
              <w:left w:val="single" w:sz="4" w:space="0" w:color="auto"/>
              <w:bottom w:val="single" w:sz="4" w:space="0" w:color="auto"/>
            </w:tcBorders>
            <w:vAlign w:val="center"/>
          </w:tcPr>
          <w:p w14:paraId="5630E5C6" w14:textId="77777777" w:rsidR="005F4BFD" w:rsidRPr="00B86700" w:rsidRDefault="005F4BFD" w:rsidP="005E661B">
            <w:pPr>
              <w:jc w:val="center"/>
            </w:pPr>
            <w:r w:rsidRPr="00B86700">
              <w:t>Projekta attiecīgā punkta (panta) galīgā redakcija</w:t>
            </w:r>
          </w:p>
        </w:tc>
      </w:tr>
      <w:tr w:rsidR="00B86700" w:rsidRPr="00B86700" w14:paraId="3FD3968F" w14:textId="77777777" w:rsidTr="00221D8A">
        <w:trPr>
          <w:trHeight w:val="69"/>
        </w:trPr>
        <w:tc>
          <w:tcPr>
            <w:tcW w:w="696" w:type="dxa"/>
            <w:tcBorders>
              <w:top w:val="single" w:sz="6" w:space="0" w:color="000000"/>
              <w:left w:val="single" w:sz="6" w:space="0" w:color="000000"/>
              <w:bottom w:val="single" w:sz="6" w:space="0" w:color="000000"/>
              <w:right w:val="single" w:sz="6" w:space="0" w:color="000000"/>
            </w:tcBorders>
          </w:tcPr>
          <w:p w14:paraId="6CEE9149" w14:textId="77777777" w:rsidR="005F4BFD" w:rsidRPr="00B86700" w:rsidRDefault="008A36C9" w:rsidP="005E661B">
            <w:pPr>
              <w:pStyle w:val="naisc"/>
              <w:spacing w:before="0" w:after="0"/>
            </w:pPr>
            <w:r w:rsidRPr="00B86700">
              <w:t>1</w:t>
            </w:r>
          </w:p>
        </w:tc>
        <w:tc>
          <w:tcPr>
            <w:tcW w:w="3037" w:type="dxa"/>
            <w:tcBorders>
              <w:top w:val="single" w:sz="6" w:space="0" w:color="000000"/>
              <w:left w:val="single" w:sz="6" w:space="0" w:color="000000"/>
              <w:bottom w:val="single" w:sz="6" w:space="0" w:color="000000"/>
              <w:right w:val="single" w:sz="6" w:space="0" w:color="000000"/>
            </w:tcBorders>
          </w:tcPr>
          <w:p w14:paraId="17487C28" w14:textId="17E2BD3A" w:rsidR="00C24627" w:rsidRPr="00B86700" w:rsidRDefault="008A36C9" w:rsidP="005E661B">
            <w:pPr>
              <w:pStyle w:val="naisc"/>
              <w:spacing w:before="0" w:after="0"/>
            </w:pPr>
            <w:r w:rsidRPr="00B86700">
              <w:t>2</w:t>
            </w:r>
          </w:p>
        </w:tc>
        <w:tc>
          <w:tcPr>
            <w:tcW w:w="3068" w:type="dxa"/>
            <w:tcBorders>
              <w:top w:val="single" w:sz="6" w:space="0" w:color="000000"/>
              <w:left w:val="single" w:sz="6" w:space="0" w:color="000000"/>
              <w:bottom w:val="single" w:sz="6" w:space="0" w:color="000000"/>
              <w:right w:val="single" w:sz="6" w:space="0" w:color="000000"/>
            </w:tcBorders>
          </w:tcPr>
          <w:p w14:paraId="52CFCDE4" w14:textId="2ED4FDFF" w:rsidR="005F4BFD" w:rsidRPr="00B86700" w:rsidRDefault="008A36C9" w:rsidP="005E661B">
            <w:pPr>
              <w:pStyle w:val="naisc"/>
              <w:spacing w:before="0" w:after="0"/>
            </w:pPr>
            <w:r w:rsidRPr="00B86700">
              <w:t>3</w:t>
            </w:r>
          </w:p>
        </w:tc>
        <w:tc>
          <w:tcPr>
            <w:tcW w:w="2930" w:type="dxa"/>
            <w:tcBorders>
              <w:top w:val="single" w:sz="6" w:space="0" w:color="000000"/>
              <w:left w:val="single" w:sz="6" w:space="0" w:color="000000"/>
              <w:bottom w:val="single" w:sz="6" w:space="0" w:color="000000"/>
              <w:right w:val="single" w:sz="6" w:space="0" w:color="000000"/>
            </w:tcBorders>
          </w:tcPr>
          <w:p w14:paraId="091A88FC" w14:textId="77777777" w:rsidR="005F4BFD" w:rsidRPr="00B86700" w:rsidRDefault="008A36C9" w:rsidP="005E661B">
            <w:pPr>
              <w:pStyle w:val="naisc"/>
              <w:spacing w:before="0" w:after="0"/>
            </w:pPr>
            <w:r w:rsidRPr="00B86700">
              <w:t>4</w:t>
            </w:r>
          </w:p>
        </w:tc>
        <w:tc>
          <w:tcPr>
            <w:tcW w:w="2420" w:type="dxa"/>
            <w:tcBorders>
              <w:top w:val="single" w:sz="4" w:space="0" w:color="auto"/>
              <w:left w:val="single" w:sz="4" w:space="0" w:color="auto"/>
              <w:bottom w:val="single" w:sz="4" w:space="0" w:color="auto"/>
              <w:right w:val="single" w:sz="4" w:space="0" w:color="auto"/>
            </w:tcBorders>
          </w:tcPr>
          <w:p w14:paraId="5A05E743" w14:textId="77777777" w:rsidR="005F4BFD" w:rsidRPr="00B86700" w:rsidRDefault="008A36C9" w:rsidP="005E661B">
            <w:pPr>
              <w:jc w:val="center"/>
            </w:pPr>
            <w:r w:rsidRPr="00B86700">
              <w:t>5</w:t>
            </w:r>
          </w:p>
        </w:tc>
        <w:tc>
          <w:tcPr>
            <w:tcW w:w="1889" w:type="dxa"/>
            <w:tcBorders>
              <w:top w:val="single" w:sz="4" w:space="0" w:color="auto"/>
              <w:left w:val="single" w:sz="4" w:space="0" w:color="auto"/>
              <w:bottom w:val="single" w:sz="4" w:space="0" w:color="auto"/>
            </w:tcBorders>
          </w:tcPr>
          <w:p w14:paraId="2F85ECA1" w14:textId="77777777" w:rsidR="005F4BFD" w:rsidRPr="00B86700" w:rsidRDefault="008A36C9" w:rsidP="005E661B">
            <w:pPr>
              <w:jc w:val="center"/>
            </w:pPr>
            <w:r w:rsidRPr="00B86700">
              <w:t>6</w:t>
            </w:r>
          </w:p>
        </w:tc>
      </w:tr>
      <w:tr w:rsidR="00B86700" w:rsidRPr="00B86700" w14:paraId="379BA6E7" w14:textId="77777777" w:rsidTr="00221D8A">
        <w:trPr>
          <w:trHeight w:val="287"/>
        </w:trPr>
        <w:tc>
          <w:tcPr>
            <w:tcW w:w="696" w:type="dxa"/>
            <w:tcBorders>
              <w:left w:val="single" w:sz="6" w:space="0" w:color="000000"/>
              <w:bottom w:val="single" w:sz="4" w:space="0" w:color="auto"/>
              <w:right w:val="single" w:sz="6" w:space="0" w:color="000000"/>
            </w:tcBorders>
          </w:tcPr>
          <w:p w14:paraId="3343BD06" w14:textId="77777777" w:rsidR="005F4BFD" w:rsidRPr="00B86700" w:rsidRDefault="005F4BFD" w:rsidP="005E661B">
            <w:pPr>
              <w:pStyle w:val="naisc"/>
              <w:spacing w:before="0" w:after="0"/>
              <w:ind w:firstLine="720"/>
            </w:pPr>
          </w:p>
        </w:tc>
        <w:tc>
          <w:tcPr>
            <w:tcW w:w="3037" w:type="dxa"/>
            <w:tcBorders>
              <w:left w:val="single" w:sz="6" w:space="0" w:color="000000"/>
              <w:bottom w:val="single" w:sz="4" w:space="0" w:color="auto"/>
              <w:right w:val="single" w:sz="6" w:space="0" w:color="000000"/>
            </w:tcBorders>
          </w:tcPr>
          <w:p w14:paraId="48B75730" w14:textId="77777777" w:rsidR="005F4BFD" w:rsidRPr="00B86700" w:rsidRDefault="005F4BFD" w:rsidP="005E661B">
            <w:pPr>
              <w:pStyle w:val="naisc"/>
              <w:spacing w:before="0" w:after="0"/>
              <w:ind w:firstLine="720"/>
            </w:pPr>
          </w:p>
        </w:tc>
        <w:tc>
          <w:tcPr>
            <w:tcW w:w="3068" w:type="dxa"/>
            <w:tcBorders>
              <w:left w:val="single" w:sz="6" w:space="0" w:color="000000"/>
              <w:bottom w:val="single" w:sz="4" w:space="0" w:color="auto"/>
              <w:right w:val="single" w:sz="6" w:space="0" w:color="000000"/>
            </w:tcBorders>
          </w:tcPr>
          <w:p w14:paraId="3C989545" w14:textId="77777777" w:rsidR="005F4BFD" w:rsidRPr="00B86700" w:rsidRDefault="005F4BFD" w:rsidP="005E661B">
            <w:pPr>
              <w:pStyle w:val="naisc"/>
              <w:spacing w:before="0" w:after="0"/>
              <w:ind w:firstLine="720"/>
            </w:pPr>
          </w:p>
        </w:tc>
        <w:tc>
          <w:tcPr>
            <w:tcW w:w="2930" w:type="dxa"/>
            <w:tcBorders>
              <w:left w:val="single" w:sz="6" w:space="0" w:color="000000"/>
              <w:bottom w:val="single" w:sz="4" w:space="0" w:color="auto"/>
              <w:right w:val="single" w:sz="6" w:space="0" w:color="000000"/>
            </w:tcBorders>
          </w:tcPr>
          <w:p w14:paraId="44A340D2" w14:textId="77777777" w:rsidR="005F4BFD" w:rsidRPr="00B86700" w:rsidRDefault="005F4BFD" w:rsidP="005E661B">
            <w:pPr>
              <w:pStyle w:val="naisc"/>
              <w:spacing w:before="0" w:after="0"/>
              <w:ind w:firstLine="720"/>
            </w:pPr>
          </w:p>
        </w:tc>
        <w:tc>
          <w:tcPr>
            <w:tcW w:w="2420" w:type="dxa"/>
            <w:tcBorders>
              <w:top w:val="single" w:sz="4" w:space="0" w:color="auto"/>
              <w:left w:val="single" w:sz="4" w:space="0" w:color="auto"/>
              <w:bottom w:val="single" w:sz="4" w:space="0" w:color="auto"/>
              <w:right w:val="single" w:sz="4" w:space="0" w:color="auto"/>
            </w:tcBorders>
          </w:tcPr>
          <w:p w14:paraId="45FAA070" w14:textId="77777777" w:rsidR="005F4BFD" w:rsidRPr="00B86700" w:rsidRDefault="005F4BFD" w:rsidP="005E661B"/>
        </w:tc>
        <w:tc>
          <w:tcPr>
            <w:tcW w:w="1889" w:type="dxa"/>
            <w:tcBorders>
              <w:top w:val="single" w:sz="4" w:space="0" w:color="auto"/>
              <w:left w:val="single" w:sz="4" w:space="0" w:color="auto"/>
              <w:bottom w:val="single" w:sz="4" w:space="0" w:color="auto"/>
            </w:tcBorders>
          </w:tcPr>
          <w:p w14:paraId="3AE9D4F6" w14:textId="77777777" w:rsidR="005F4BFD" w:rsidRPr="00B86700" w:rsidRDefault="005F4BFD" w:rsidP="005E661B"/>
        </w:tc>
      </w:tr>
      <w:tr w:rsidR="00221D8A" w:rsidRPr="00B86700" w14:paraId="1DB025CC" w14:textId="77777777" w:rsidTr="00221D8A">
        <w:trPr>
          <w:trHeight w:val="287"/>
        </w:trPr>
        <w:tc>
          <w:tcPr>
            <w:tcW w:w="696" w:type="dxa"/>
            <w:tcBorders>
              <w:left w:val="single" w:sz="6" w:space="0" w:color="000000"/>
              <w:bottom w:val="single" w:sz="4" w:space="0" w:color="auto"/>
              <w:right w:val="single" w:sz="6" w:space="0" w:color="000000"/>
            </w:tcBorders>
          </w:tcPr>
          <w:p w14:paraId="695EB4F9" w14:textId="77777777" w:rsidR="008A36C9" w:rsidRPr="00B86700" w:rsidRDefault="008A36C9" w:rsidP="005E661B">
            <w:pPr>
              <w:pStyle w:val="naisc"/>
              <w:spacing w:before="0" w:after="0"/>
              <w:ind w:firstLine="720"/>
            </w:pPr>
          </w:p>
        </w:tc>
        <w:tc>
          <w:tcPr>
            <w:tcW w:w="3037" w:type="dxa"/>
            <w:tcBorders>
              <w:left w:val="single" w:sz="6" w:space="0" w:color="000000"/>
              <w:bottom w:val="single" w:sz="4" w:space="0" w:color="auto"/>
              <w:right w:val="single" w:sz="6" w:space="0" w:color="000000"/>
            </w:tcBorders>
          </w:tcPr>
          <w:p w14:paraId="7151921D" w14:textId="77777777" w:rsidR="008A36C9" w:rsidRPr="00B86700" w:rsidRDefault="008A36C9" w:rsidP="005E661B">
            <w:pPr>
              <w:pStyle w:val="naisc"/>
              <w:spacing w:before="0" w:after="0"/>
              <w:ind w:firstLine="720"/>
            </w:pPr>
          </w:p>
        </w:tc>
        <w:tc>
          <w:tcPr>
            <w:tcW w:w="3068" w:type="dxa"/>
            <w:tcBorders>
              <w:left w:val="single" w:sz="6" w:space="0" w:color="000000"/>
              <w:bottom w:val="single" w:sz="4" w:space="0" w:color="auto"/>
              <w:right w:val="single" w:sz="6" w:space="0" w:color="000000"/>
            </w:tcBorders>
          </w:tcPr>
          <w:p w14:paraId="615F64AF" w14:textId="77777777" w:rsidR="008A36C9" w:rsidRPr="00B86700" w:rsidRDefault="008A36C9" w:rsidP="005E661B">
            <w:pPr>
              <w:pStyle w:val="naisc"/>
              <w:spacing w:before="0" w:after="0"/>
              <w:ind w:firstLine="720"/>
            </w:pPr>
          </w:p>
        </w:tc>
        <w:tc>
          <w:tcPr>
            <w:tcW w:w="2930" w:type="dxa"/>
            <w:tcBorders>
              <w:left w:val="single" w:sz="6" w:space="0" w:color="000000"/>
              <w:bottom w:val="single" w:sz="4" w:space="0" w:color="auto"/>
              <w:right w:val="single" w:sz="6" w:space="0" w:color="000000"/>
            </w:tcBorders>
          </w:tcPr>
          <w:p w14:paraId="23A67B0C" w14:textId="77777777" w:rsidR="008A36C9" w:rsidRPr="00B86700" w:rsidRDefault="008A36C9" w:rsidP="005E661B">
            <w:pPr>
              <w:pStyle w:val="naisc"/>
              <w:spacing w:before="0" w:after="0"/>
              <w:ind w:firstLine="720"/>
            </w:pPr>
          </w:p>
        </w:tc>
        <w:tc>
          <w:tcPr>
            <w:tcW w:w="2420" w:type="dxa"/>
            <w:tcBorders>
              <w:top w:val="single" w:sz="4" w:space="0" w:color="auto"/>
              <w:left w:val="single" w:sz="4" w:space="0" w:color="auto"/>
              <w:bottom w:val="single" w:sz="4" w:space="0" w:color="auto"/>
              <w:right w:val="single" w:sz="4" w:space="0" w:color="auto"/>
            </w:tcBorders>
          </w:tcPr>
          <w:p w14:paraId="44CB3D4C" w14:textId="77777777" w:rsidR="008A36C9" w:rsidRPr="00B86700" w:rsidRDefault="008A36C9" w:rsidP="005E661B"/>
        </w:tc>
        <w:tc>
          <w:tcPr>
            <w:tcW w:w="1889" w:type="dxa"/>
            <w:tcBorders>
              <w:top w:val="single" w:sz="4" w:space="0" w:color="auto"/>
              <w:left w:val="single" w:sz="4" w:space="0" w:color="auto"/>
              <w:bottom w:val="single" w:sz="4" w:space="0" w:color="auto"/>
              <w:right w:val="single" w:sz="4" w:space="0" w:color="auto"/>
            </w:tcBorders>
          </w:tcPr>
          <w:p w14:paraId="43FB6074" w14:textId="77777777" w:rsidR="008A36C9" w:rsidRPr="00B86700" w:rsidRDefault="008A36C9" w:rsidP="005E661B"/>
        </w:tc>
      </w:tr>
    </w:tbl>
    <w:p w14:paraId="09A6CCEB" w14:textId="77777777" w:rsidR="007B4C0F" w:rsidRPr="00B86700" w:rsidRDefault="007B4C0F" w:rsidP="005E661B">
      <w:pPr>
        <w:pStyle w:val="naisf"/>
        <w:spacing w:before="0" w:after="0"/>
        <w:ind w:firstLine="0"/>
      </w:pPr>
    </w:p>
    <w:p w14:paraId="5F1003A0" w14:textId="71C0CFAE" w:rsidR="005D67F7" w:rsidRPr="00B86700" w:rsidRDefault="005D67F7" w:rsidP="005E661B">
      <w:pPr>
        <w:pStyle w:val="naisf"/>
        <w:spacing w:before="0" w:after="0"/>
        <w:ind w:firstLine="0"/>
        <w:rPr>
          <w:b/>
        </w:rPr>
      </w:pPr>
      <w:r w:rsidRPr="00B86700">
        <w:rPr>
          <w:b/>
        </w:rPr>
        <w:t xml:space="preserve">Informācija par </w:t>
      </w:r>
      <w:proofErr w:type="spellStart"/>
      <w:r w:rsidRPr="00B86700">
        <w:rPr>
          <w:b/>
        </w:rPr>
        <w:t>starpministriju</w:t>
      </w:r>
      <w:proofErr w:type="spellEnd"/>
      <w:r w:rsidRPr="00B86700">
        <w:rPr>
          <w:b/>
        </w:rPr>
        <w:t xml:space="preserve"> (starpinstitūciju) sanāksmi vai elektronisko saskaņošanu</w:t>
      </w:r>
    </w:p>
    <w:p w14:paraId="0CEC4DC2" w14:textId="77777777" w:rsidR="00A6469E" w:rsidRPr="00B86700" w:rsidRDefault="00A6469E" w:rsidP="005E661B">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B86700" w:rsidRPr="00013E48" w14:paraId="31C707FE" w14:textId="77777777" w:rsidTr="007132C5">
        <w:tc>
          <w:tcPr>
            <w:tcW w:w="6708" w:type="dxa"/>
            <w:tcBorders>
              <w:top w:val="nil"/>
              <w:left w:val="nil"/>
              <w:bottom w:val="nil"/>
              <w:right w:val="nil"/>
            </w:tcBorders>
          </w:tcPr>
          <w:p w14:paraId="218B58F5" w14:textId="77777777" w:rsidR="007B4C0F" w:rsidRPr="00B86700" w:rsidRDefault="005D67F7" w:rsidP="005E661B">
            <w:pPr>
              <w:pStyle w:val="naisf"/>
              <w:spacing w:before="0" w:after="0"/>
              <w:ind w:firstLine="0"/>
            </w:pPr>
            <w:r w:rsidRPr="00B86700">
              <w:t>D</w:t>
            </w:r>
            <w:r w:rsidR="007B4C0F" w:rsidRPr="00B86700">
              <w:t>atums</w:t>
            </w:r>
          </w:p>
        </w:tc>
        <w:tc>
          <w:tcPr>
            <w:tcW w:w="5874" w:type="dxa"/>
            <w:tcBorders>
              <w:top w:val="nil"/>
              <w:left w:val="nil"/>
              <w:right w:val="nil"/>
            </w:tcBorders>
          </w:tcPr>
          <w:p w14:paraId="79E06D1E" w14:textId="7810C26B" w:rsidR="007B4C0F" w:rsidRPr="00B86700" w:rsidRDefault="008160DC" w:rsidP="005E661B">
            <w:pPr>
              <w:pStyle w:val="NormalWeb"/>
              <w:spacing w:before="0" w:beforeAutospacing="0" w:after="0" w:afterAutospacing="0"/>
            </w:pPr>
            <w:r w:rsidRPr="00B86700">
              <w:t>1</w:t>
            </w:r>
            <w:r w:rsidR="00B86700" w:rsidRPr="00B86700">
              <w:t>5</w:t>
            </w:r>
            <w:r w:rsidR="00F058E4" w:rsidRPr="00B86700">
              <w:t>.11</w:t>
            </w:r>
            <w:r w:rsidR="007132C5" w:rsidRPr="00B86700">
              <w:t>.2019.</w:t>
            </w:r>
            <w:r w:rsidR="00F058E4" w:rsidRPr="00B86700">
              <w:t>-</w:t>
            </w:r>
            <w:r w:rsidR="00346EB0" w:rsidRPr="00B86700">
              <w:t>2</w:t>
            </w:r>
            <w:r w:rsidR="00F733B9" w:rsidRPr="00B86700">
              <w:t>2</w:t>
            </w:r>
            <w:r w:rsidR="00F058E4" w:rsidRPr="00B86700">
              <w:t>.11.2019.</w:t>
            </w:r>
          </w:p>
        </w:tc>
      </w:tr>
      <w:tr w:rsidR="00B86700" w:rsidRPr="00013E48" w14:paraId="2AEE2194" w14:textId="77777777" w:rsidTr="007132C5">
        <w:tc>
          <w:tcPr>
            <w:tcW w:w="6708" w:type="dxa"/>
            <w:tcBorders>
              <w:top w:val="nil"/>
              <w:left w:val="nil"/>
              <w:bottom w:val="nil"/>
              <w:right w:val="nil"/>
            </w:tcBorders>
          </w:tcPr>
          <w:p w14:paraId="4DBC9197" w14:textId="77777777" w:rsidR="007B4C0F" w:rsidRPr="00013E48" w:rsidRDefault="00365CC0" w:rsidP="005E661B">
            <w:pPr>
              <w:pStyle w:val="naiskr"/>
              <w:spacing w:before="0" w:after="0"/>
            </w:pPr>
            <w:r w:rsidRPr="00013E48">
              <w:t>Saskaņošanas dalībnieki</w:t>
            </w:r>
          </w:p>
        </w:tc>
        <w:tc>
          <w:tcPr>
            <w:tcW w:w="5874" w:type="dxa"/>
            <w:tcBorders>
              <w:left w:val="nil"/>
              <w:right w:val="nil"/>
            </w:tcBorders>
          </w:tcPr>
          <w:p w14:paraId="562A2C30" w14:textId="0DCF84E9" w:rsidR="00A6469E" w:rsidRPr="00013E48" w:rsidRDefault="007D3D67" w:rsidP="005E661B">
            <w:pPr>
              <w:jc w:val="both"/>
            </w:pPr>
            <w:r w:rsidRPr="00013E48">
              <w:rPr>
                <w:shd w:val="clear" w:color="auto" w:fill="FFFFFF"/>
              </w:rPr>
              <w:t>Tieslietu ministrija, Finanšu ministrija</w:t>
            </w:r>
          </w:p>
        </w:tc>
      </w:tr>
      <w:tr w:rsidR="00B86700" w:rsidRPr="00013E48" w14:paraId="19FED45C" w14:textId="77777777" w:rsidTr="007132C5">
        <w:trPr>
          <w:trHeight w:val="285"/>
        </w:trPr>
        <w:tc>
          <w:tcPr>
            <w:tcW w:w="6708" w:type="dxa"/>
            <w:tcBorders>
              <w:top w:val="nil"/>
              <w:left w:val="nil"/>
              <w:bottom w:val="nil"/>
              <w:right w:val="nil"/>
            </w:tcBorders>
          </w:tcPr>
          <w:p w14:paraId="449613F3" w14:textId="77777777" w:rsidR="007132C5" w:rsidRPr="00013E48" w:rsidRDefault="007132C5" w:rsidP="005E661B">
            <w:pPr>
              <w:pStyle w:val="naiskr"/>
              <w:spacing w:before="0" w:after="0"/>
            </w:pPr>
            <w:r w:rsidRPr="00013E48">
              <w:t>Saskaņošanas dalībnieki izskatīja šādu ministriju (citu institūciju) iebildumus</w:t>
            </w:r>
          </w:p>
        </w:tc>
        <w:tc>
          <w:tcPr>
            <w:tcW w:w="5874" w:type="dxa"/>
            <w:tcBorders>
              <w:left w:val="nil"/>
              <w:right w:val="nil"/>
            </w:tcBorders>
          </w:tcPr>
          <w:p w14:paraId="21497449" w14:textId="5F8559A5" w:rsidR="007132C5" w:rsidRPr="00013E48" w:rsidRDefault="00397C34" w:rsidP="005E661B">
            <w:pPr>
              <w:pStyle w:val="naiskr"/>
              <w:spacing w:before="0" w:after="0"/>
              <w:ind w:firstLine="12"/>
              <w:jc w:val="both"/>
            </w:pPr>
            <w:r w:rsidRPr="00013E48">
              <w:rPr>
                <w:shd w:val="clear" w:color="auto" w:fill="FFFFFF"/>
              </w:rPr>
              <w:t>Tieslietu ministrija, Finanšu ministrija</w:t>
            </w:r>
          </w:p>
        </w:tc>
      </w:tr>
      <w:tr w:rsidR="005E661B" w:rsidRPr="00013E48" w14:paraId="5C8CD070" w14:textId="77777777" w:rsidTr="007132C5">
        <w:tc>
          <w:tcPr>
            <w:tcW w:w="6708" w:type="dxa"/>
            <w:tcBorders>
              <w:top w:val="nil"/>
              <w:left w:val="nil"/>
              <w:bottom w:val="nil"/>
              <w:right w:val="nil"/>
            </w:tcBorders>
          </w:tcPr>
          <w:p w14:paraId="280E99A3" w14:textId="77777777" w:rsidR="007132C5" w:rsidRPr="00013E48" w:rsidRDefault="007132C5" w:rsidP="005E661B">
            <w:pPr>
              <w:pStyle w:val="naiskr"/>
              <w:spacing w:before="0" w:after="0"/>
            </w:pPr>
            <w:r w:rsidRPr="00013E48">
              <w:t>Ministrijas (citas institūcijas), kuras nav ieradušās uz sa</w:t>
            </w:r>
            <w:bookmarkStart w:id="1" w:name="_GoBack"/>
            <w:bookmarkEnd w:id="1"/>
            <w:r w:rsidRPr="00013E48">
              <w:t>nāksmi vai kuras nav atbildējušas uz uzaicinājumu piedalīties elektroniskajā saskaņošanā</w:t>
            </w:r>
          </w:p>
        </w:tc>
        <w:tc>
          <w:tcPr>
            <w:tcW w:w="5874" w:type="dxa"/>
            <w:tcBorders>
              <w:left w:val="nil"/>
              <w:right w:val="nil"/>
            </w:tcBorders>
          </w:tcPr>
          <w:p w14:paraId="5328BAA3" w14:textId="5080280F" w:rsidR="007132C5" w:rsidRPr="00013E48" w:rsidRDefault="007132C5" w:rsidP="005E661B">
            <w:pPr>
              <w:pStyle w:val="naiskr"/>
              <w:spacing w:before="0" w:after="0"/>
              <w:jc w:val="both"/>
            </w:pPr>
          </w:p>
        </w:tc>
      </w:tr>
    </w:tbl>
    <w:p w14:paraId="756E9F65" w14:textId="77777777" w:rsidR="00683081" w:rsidRPr="00013E48" w:rsidRDefault="00683081" w:rsidP="005E661B">
      <w:pPr>
        <w:pStyle w:val="naisf"/>
        <w:spacing w:before="0" w:after="0"/>
        <w:ind w:firstLine="720"/>
      </w:pPr>
    </w:p>
    <w:p w14:paraId="2FE5DB7B" w14:textId="77777777" w:rsidR="007B4C0F" w:rsidRPr="00013E48" w:rsidRDefault="007B4C0F" w:rsidP="005E661B">
      <w:pPr>
        <w:pStyle w:val="naisf"/>
        <w:spacing w:before="0" w:after="0"/>
        <w:ind w:firstLine="0"/>
        <w:jc w:val="center"/>
        <w:rPr>
          <w:b/>
        </w:rPr>
      </w:pPr>
      <w:r w:rsidRPr="00013E48">
        <w:rPr>
          <w:b/>
        </w:rPr>
        <w:t>II. </w:t>
      </w:r>
      <w:r w:rsidR="00134188" w:rsidRPr="00013E48">
        <w:rPr>
          <w:b/>
        </w:rPr>
        <w:t>Jautājumi, par kuriem saskaņošanā vienošan</w:t>
      </w:r>
      <w:r w:rsidR="00144622" w:rsidRPr="00013E48">
        <w:rPr>
          <w:b/>
        </w:rPr>
        <w:t>ā</w:t>
      </w:r>
      <w:r w:rsidR="00134188" w:rsidRPr="00013E48">
        <w:rPr>
          <w:b/>
        </w:rPr>
        <w:t>s ir panākta</w:t>
      </w: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122"/>
        <w:gridCol w:w="551"/>
        <w:gridCol w:w="2931"/>
        <w:gridCol w:w="2912"/>
      </w:tblGrid>
      <w:tr w:rsidR="00B86700" w:rsidRPr="00013E48" w14:paraId="17BACFE2"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013E48" w:rsidRDefault="00134188" w:rsidP="005E661B">
            <w:pPr>
              <w:pStyle w:val="naisc"/>
              <w:spacing w:before="0" w:after="0"/>
            </w:pPr>
            <w:r w:rsidRPr="00013E48">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013E48" w:rsidRDefault="00134188" w:rsidP="005E661B">
            <w:pPr>
              <w:pStyle w:val="naisc"/>
              <w:spacing w:before="0" w:after="0"/>
              <w:ind w:firstLine="12"/>
            </w:pPr>
            <w:r w:rsidRPr="00013E48">
              <w:t xml:space="preserve">Saskaņošanai nosūtītā projekta redakcija </w:t>
            </w:r>
            <w:r w:rsidRPr="00013E48">
              <w:lastRenderedPageBreak/>
              <w:t>(konkrēta punkta (panta) redakcija)</w:t>
            </w:r>
          </w:p>
        </w:tc>
        <w:tc>
          <w:tcPr>
            <w:tcW w:w="4122"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013E48" w:rsidRDefault="00134188" w:rsidP="005E661B">
            <w:pPr>
              <w:pStyle w:val="naisc"/>
              <w:spacing w:before="0" w:after="0"/>
              <w:ind w:right="3"/>
            </w:pPr>
            <w:r w:rsidRPr="00013E48">
              <w:lastRenderedPageBreak/>
              <w:t xml:space="preserve">Atzinumā norādītais ministrijas (citas institūcijas) iebildums, kā arī </w:t>
            </w:r>
            <w:r w:rsidRPr="00013E48">
              <w:lastRenderedPageBreak/>
              <w:t>saskaņošanā papildus izteiktais iebildums par projekta konkrēto punktu (pantu)</w:t>
            </w:r>
          </w:p>
        </w:tc>
        <w:tc>
          <w:tcPr>
            <w:tcW w:w="3482"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013E48" w:rsidRDefault="00134188" w:rsidP="005E661B">
            <w:pPr>
              <w:pStyle w:val="naisc"/>
              <w:spacing w:before="0" w:after="0"/>
              <w:ind w:firstLine="21"/>
            </w:pPr>
            <w:r w:rsidRPr="00013E48">
              <w:lastRenderedPageBreak/>
              <w:t>Atbildīgās ministrijas norāde</w:t>
            </w:r>
            <w:r w:rsidR="006C1C48" w:rsidRPr="00013E48">
              <w:t xml:space="preserve"> par to, ka </w:t>
            </w:r>
            <w:r w:rsidRPr="00013E48">
              <w:t>iebildums ir ņemts vērā</w:t>
            </w:r>
            <w:r w:rsidR="006455E7" w:rsidRPr="00013E48">
              <w:t>,</w:t>
            </w:r>
            <w:r w:rsidRPr="00013E48">
              <w:t xml:space="preserve"> vai </w:t>
            </w:r>
            <w:r w:rsidR="006C1C48" w:rsidRPr="00013E48">
              <w:lastRenderedPageBreak/>
              <w:t xml:space="preserve">informācija par saskaņošanā </w:t>
            </w:r>
            <w:r w:rsidR="00022B0F" w:rsidRPr="00013E48">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013E48" w:rsidRDefault="00134188" w:rsidP="005E661B">
            <w:pPr>
              <w:jc w:val="center"/>
            </w:pPr>
            <w:r w:rsidRPr="00013E48">
              <w:lastRenderedPageBreak/>
              <w:t>Projekta attiecīgā punkta (panta) galīgā redakcija</w:t>
            </w:r>
          </w:p>
        </w:tc>
      </w:tr>
      <w:tr w:rsidR="00B86700" w:rsidRPr="00013E48" w14:paraId="35DA4086"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B86700" w:rsidRDefault="003B71E0" w:rsidP="005E661B">
            <w:pPr>
              <w:pStyle w:val="naisc"/>
              <w:spacing w:before="0" w:after="0"/>
            </w:pPr>
            <w:r w:rsidRPr="00B86700">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013E48" w:rsidRDefault="00F34AAB" w:rsidP="005E661B">
            <w:pPr>
              <w:pStyle w:val="naisc"/>
              <w:spacing w:before="0" w:after="0"/>
              <w:ind w:firstLine="720"/>
            </w:pPr>
            <w:r w:rsidRPr="00013E48">
              <w:t>2</w:t>
            </w:r>
          </w:p>
        </w:tc>
        <w:tc>
          <w:tcPr>
            <w:tcW w:w="4122" w:type="dxa"/>
            <w:tcBorders>
              <w:top w:val="single" w:sz="6" w:space="0" w:color="000000"/>
              <w:left w:val="single" w:sz="6" w:space="0" w:color="000000"/>
              <w:bottom w:val="single" w:sz="6" w:space="0" w:color="000000"/>
              <w:right w:val="single" w:sz="6" w:space="0" w:color="000000"/>
            </w:tcBorders>
          </w:tcPr>
          <w:p w14:paraId="253DA0FC" w14:textId="77777777" w:rsidR="00134188" w:rsidRPr="00013E48" w:rsidRDefault="003B71E0" w:rsidP="005E661B">
            <w:pPr>
              <w:pStyle w:val="naisc"/>
              <w:spacing w:before="0" w:after="0"/>
              <w:ind w:firstLine="720"/>
            </w:pPr>
            <w:r w:rsidRPr="00013E48">
              <w:t>3</w:t>
            </w:r>
          </w:p>
        </w:tc>
        <w:tc>
          <w:tcPr>
            <w:tcW w:w="3482"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013E48" w:rsidRDefault="003B71E0" w:rsidP="005E661B">
            <w:pPr>
              <w:pStyle w:val="naisc"/>
              <w:spacing w:before="0" w:after="0"/>
              <w:ind w:firstLine="720"/>
            </w:pPr>
            <w:r w:rsidRPr="00013E48">
              <w:t>4</w:t>
            </w:r>
          </w:p>
        </w:tc>
        <w:tc>
          <w:tcPr>
            <w:tcW w:w="2912" w:type="dxa"/>
            <w:tcBorders>
              <w:top w:val="single" w:sz="4" w:space="0" w:color="auto"/>
              <w:left w:val="single" w:sz="4" w:space="0" w:color="auto"/>
              <w:bottom w:val="single" w:sz="4" w:space="0" w:color="auto"/>
            </w:tcBorders>
          </w:tcPr>
          <w:p w14:paraId="1B15FEBC" w14:textId="77777777" w:rsidR="00134188" w:rsidRPr="00013E48" w:rsidRDefault="003B71E0" w:rsidP="005E661B">
            <w:pPr>
              <w:jc w:val="center"/>
            </w:pPr>
            <w:r w:rsidRPr="00013E48">
              <w:t>5</w:t>
            </w:r>
          </w:p>
        </w:tc>
      </w:tr>
      <w:tr w:rsidR="00B86700" w:rsidRPr="00013E48" w14:paraId="20315EDD"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6339F13C" w14:textId="77777777" w:rsidR="00CD6C2C" w:rsidRPr="00B86700" w:rsidRDefault="00CD6C2C" w:rsidP="005E661B">
            <w:r w:rsidRPr="00B86700">
              <w:t>1.</w:t>
            </w:r>
          </w:p>
        </w:tc>
        <w:tc>
          <w:tcPr>
            <w:tcW w:w="2902" w:type="dxa"/>
            <w:tcBorders>
              <w:left w:val="single" w:sz="6" w:space="0" w:color="000000"/>
              <w:bottom w:val="single" w:sz="4" w:space="0" w:color="auto"/>
              <w:right w:val="single" w:sz="6" w:space="0" w:color="000000"/>
            </w:tcBorders>
          </w:tcPr>
          <w:p w14:paraId="40E87DE3" w14:textId="77777777" w:rsidR="00CD6C2C" w:rsidRPr="00013E48" w:rsidRDefault="00CD6C2C" w:rsidP="005E661B">
            <w:pPr>
              <w:contextualSpacing/>
              <w:jc w:val="both"/>
            </w:pPr>
            <w:r w:rsidRPr="00013E48">
              <w:t>Noteikumu projekts</w:t>
            </w:r>
          </w:p>
        </w:tc>
        <w:tc>
          <w:tcPr>
            <w:tcW w:w="4122" w:type="dxa"/>
            <w:tcBorders>
              <w:left w:val="single" w:sz="6" w:space="0" w:color="000000"/>
              <w:bottom w:val="single" w:sz="4" w:space="0" w:color="auto"/>
              <w:right w:val="single" w:sz="6" w:space="0" w:color="000000"/>
            </w:tcBorders>
          </w:tcPr>
          <w:p w14:paraId="3232474E" w14:textId="4D49EEA9" w:rsidR="00CD6C2C" w:rsidRPr="00013E48" w:rsidRDefault="00CD6C2C" w:rsidP="005E661B">
            <w:pPr>
              <w:pStyle w:val="naisc"/>
              <w:spacing w:before="0" w:after="0"/>
              <w:jc w:val="both"/>
              <w:rPr>
                <w:b/>
                <w:iCs/>
              </w:rPr>
            </w:pPr>
            <w:r w:rsidRPr="00013E48">
              <w:rPr>
                <w:b/>
                <w:iCs/>
              </w:rPr>
              <w:t>Tieslietu ministrijas 0</w:t>
            </w:r>
            <w:r w:rsidR="00A07A5E" w:rsidRPr="00013E48">
              <w:rPr>
                <w:b/>
                <w:iCs/>
              </w:rPr>
              <w:t>3</w:t>
            </w:r>
            <w:r w:rsidRPr="00013E48">
              <w:rPr>
                <w:b/>
                <w:iCs/>
              </w:rPr>
              <w:t>.10.2019. iebildums:</w:t>
            </w:r>
          </w:p>
          <w:p w14:paraId="48E0E8EF" w14:textId="136F02E6" w:rsidR="00483B8D" w:rsidRPr="00013E48" w:rsidRDefault="00CD6C2C" w:rsidP="005E661B">
            <w:pPr>
              <w:widowControl w:val="0"/>
              <w:tabs>
                <w:tab w:val="left" w:pos="709"/>
                <w:tab w:val="left" w:pos="851"/>
                <w:tab w:val="left" w:pos="993"/>
              </w:tabs>
              <w:jc w:val="both"/>
              <w:rPr>
                <w:bCs/>
                <w:iCs/>
              </w:rPr>
            </w:pPr>
            <w:r w:rsidRPr="00013E48">
              <w:rPr>
                <w:bCs/>
                <w:iCs/>
              </w:rPr>
              <w:t>“</w:t>
            </w:r>
            <w:r w:rsidR="00483B8D" w:rsidRPr="00013E48">
              <w:rPr>
                <w:bCs/>
                <w:iCs/>
              </w:rPr>
              <w:t xml:space="preserve">1. Projekts cita starpā paredz enerģētikas politikas administrēšanas funkciju nodošanu no Ekonomijas ministrijas Būvniecības valsts kontroles birojam. </w:t>
            </w:r>
          </w:p>
          <w:p w14:paraId="7754FAAD" w14:textId="77777777" w:rsidR="00483B8D" w:rsidRPr="00013E48" w:rsidRDefault="00483B8D" w:rsidP="005E661B">
            <w:pPr>
              <w:tabs>
                <w:tab w:val="left" w:pos="709"/>
                <w:tab w:val="left" w:pos="851"/>
                <w:tab w:val="left" w:pos="993"/>
              </w:tabs>
              <w:ind w:firstLine="709"/>
              <w:jc w:val="both"/>
              <w:rPr>
                <w:bCs/>
                <w:iCs/>
              </w:rPr>
            </w:pPr>
            <w:r w:rsidRPr="00013E48">
              <w:rPr>
                <w:bCs/>
                <w:iCs/>
              </w:rPr>
              <w:t xml:space="preserve">Saskaņā ar Valsts iestāžu juridisko dienestu 2010. gada 12. marta sanāksmes </w:t>
            </w:r>
            <w:proofErr w:type="spellStart"/>
            <w:r w:rsidRPr="00013E48">
              <w:rPr>
                <w:bCs/>
                <w:iCs/>
              </w:rPr>
              <w:t>protokollēmuma</w:t>
            </w:r>
            <w:proofErr w:type="spellEnd"/>
            <w:r w:rsidRPr="00013E48">
              <w:rPr>
                <w:bCs/>
                <w:iCs/>
              </w:rPr>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Ekonomikas ministrija ir izstrādājusi likumprojektu "Grozījumi Elektroenerģijas tirgus likumā", kas ir saistīts ar projektā ietverto regulējumu. Šobrīd norit likumprojekta "Grozījumi Elektroenerģijas tirgus likumā" </w:t>
            </w:r>
            <w:r w:rsidRPr="00013E48">
              <w:rPr>
                <w:bCs/>
                <w:iCs/>
              </w:rPr>
              <w:lastRenderedPageBreak/>
              <w:t xml:space="preserve">saskaņošanas process un tas vēl nav atbalstīts Ministru kabinetā. </w:t>
            </w:r>
          </w:p>
          <w:p w14:paraId="06279021" w14:textId="18CBBB95" w:rsidR="00CD6C2C" w:rsidRPr="00013E48" w:rsidRDefault="00483B8D" w:rsidP="005E661B">
            <w:pPr>
              <w:tabs>
                <w:tab w:val="left" w:pos="709"/>
                <w:tab w:val="left" w:pos="851"/>
                <w:tab w:val="left" w:pos="993"/>
              </w:tabs>
              <w:ind w:firstLine="709"/>
              <w:jc w:val="both"/>
              <w:rPr>
                <w:bCs/>
                <w:iCs/>
              </w:rPr>
            </w:pPr>
            <w:r w:rsidRPr="00013E48">
              <w:rPr>
                <w:bCs/>
                <w:iCs/>
              </w:rPr>
              <w:t>Ņemot vērā minēto, norādām, ka projekts var tikt virzīts izskatīšanai Ministru kabinetā tikai pēc tam, kad likumprojekts "Grozījumi Elektroenerģijas tirgus likumā" tiks pieņemts Saeimā otrajā lasījumā, ņemot vērā to. Minētais attiecināms arī uz iespējamiem grozījumiem Būvniecības likumā.</w:t>
            </w:r>
            <w:r w:rsidR="00CD6C2C" w:rsidRPr="00013E48">
              <w:rPr>
                <w:bCs/>
                <w:iCs/>
              </w:rPr>
              <w:t>”</w:t>
            </w:r>
          </w:p>
        </w:tc>
        <w:tc>
          <w:tcPr>
            <w:tcW w:w="3482" w:type="dxa"/>
            <w:gridSpan w:val="2"/>
            <w:tcBorders>
              <w:left w:val="single" w:sz="6" w:space="0" w:color="000000"/>
              <w:bottom w:val="single" w:sz="4" w:space="0" w:color="auto"/>
              <w:right w:val="single" w:sz="6" w:space="0" w:color="000000"/>
            </w:tcBorders>
          </w:tcPr>
          <w:p w14:paraId="4EF0BEED" w14:textId="77777777" w:rsidR="00CD6C2C" w:rsidRPr="00013E48" w:rsidRDefault="00CD6C2C" w:rsidP="005E661B">
            <w:pPr>
              <w:pStyle w:val="naisc"/>
              <w:spacing w:before="0" w:after="0"/>
              <w:rPr>
                <w:b/>
                <w:bCs/>
              </w:rPr>
            </w:pPr>
            <w:r w:rsidRPr="00013E48">
              <w:rPr>
                <w:b/>
                <w:bCs/>
              </w:rPr>
              <w:lastRenderedPageBreak/>
              <w:t>Ņemts vērā</w:t>
            </w:r>
          </w:p>
          <w:p w14:paraId="5BB9A50A" w14:textId="77777777" w:rsidR="001C630E" w:rsidRPr="00013E48" w:rsidRDefault="00C805DE" w:rsidP="005E661B">
            <w:pPr>
              <w:pStyle w:val="naisc"/>
              <w:spacing w:before="0" w:after="0"/>
            </w:pPr>
            <w:r w:rsidRPr="00013E48">
              <w:t>Skaidrojam, ka</w:t>
            </w:r>
            <w:r w:rsidR="001D56BB" w:rsidRPr="00013E48">
              <w:t xml:space="preserve"> atbilstoši noteikumu projektā ietvertajai </w:t>
            </w:r>
            <w:r w:rsidR="00923A07" w:rsidRPr="00013E48">
              <w:t xml:space="preserve">norādei </w:t>
            </w:r>
            <w:r w:rsidR="001D56BB" w:rsidRPr="00013E48">
              <w:t xml:space="preserve">noteikumu </w:t>
            </w:r>
            <w:r w:rsidR="00923A07" w:rsidRPr="00013E48">
              <w:t>izdošanas pamats ir</w:t>
            </w:r>
            <w:r w:rsidRPr="00013E48">
              <w:t xml:space="preserve"> Biodegvielas likuma 6. panta otr</w:t>
            </w:r>
            <w:r w:rsidR="00923A07" w:rsidRPr="00013E48">
              <w:t>ā</w:t>
            </w:r>
            <w:r w:rsidRPr="00013E48">
              <w:t xml:space="preserve"> daļ</w:t>
            </w:r>
            <w:r w:rsidR="00923A07" w:rsidRPr="00013E48">
              <w:t>a</w:t>
            </w:r>
            <w:r w:rsidRPr="00013E48">
              <w:t>, 7. panta otr</w:t>
            </w:r>
            <w:r w:rsidR="00923A07" w:rsidRPr="00013E48">
              <w:t>ā</w:t>
            </w:r>
            <w:r w:rsidRPr="00013E48">
              <w:t xml:space="preserve"> daļ</w:t>
            </w:r>
            <w:r w:rsidR="00923A07" w:rsidRPr="00013E48">
              <w:t>a</w:t>
            </w:r>
            <w:r w:rsidRPr="00013E48">
              <w:t xml:space="preserve"> un likuma “Par atbilstības novērtēšanu” 7. pant</w:t>
            </w:r>
            <w:r w:rsidR="00923A07" w:rsidRPr="00013E48">
              <w:t>s</w:t>
            </w:r>
            <w:r w:rsidR="001D56BB" w:rsidRPr="00013E48">
              <w:t>.</w:t>
            </w:r>
            <w:r w:rsidR="00923A07" w:rsidRPr="00013E48">
              <w:t xml:space="preserve"> </w:t>
            </w:r>
          </w:p>
          <w:p w14:paraId="3E445F75" w14:textId="77777777" w:rsidR="001C630E" w:rsidRPr="00013E48" w:rsidRDefault="001C630E" w:rsidP="005E661B">
            <w:pPr>
              <w:pStyle w:val="naisc"/>
              <w:spacing w:before="0" w:after="0"/>
            </w:pPr>
          </w:p>
          <w:p w14:paraId="36D0E761" w14:textId="61030EA0" w:rsidR="001D56BB" w:rsidRPr="00013E48" w:rsidRDefault="00923A07" w:rsidP="00BB56CF">
            <w:pPr>
              <w:pStyle w:val="naisc"/>
              <w:spacing w:before="0" w:after="0"/>
              <w:rPr>
                <w:bCs/>
                <w:iCs/>
              </w:rPr>
            </w:pPr>
            <w:r w:rsidRPr="00013E48">
              <w:t>N</w:t>
            </w:r>
            <w:r w:rsidR="001D56BB" w:rsidRPr="00013E48">
              <w:t xml:space="preserve">oteikumu projektā ietvertās normas neizriet no </w:t>
            </w:r>
            <w:r w:rsidR="001D56BB" w:rsidRPr="00013E48">
              <w:rPr>
                <w:bCs/>
                <w:iCs/>
              </w:rPr>
              <w:t>likumprojekta “Grozījumi Elektroenerģijas tirgus likumā”.</w:t>
            </w:r>
          </w:p>
        </w:tc>
        <w:tc>
          <w:tcPr>
            <w:tcW w:w="2912" w:type="dxa"/>
            <w:tcBorders>
              <w:top w:val="single" w:sz="4" w:space="0" w:color="auto"/>
              <w:left w:val="single" w:sz="4" w:space="0" w:color="auto"/>
              <w:bottom w:val="single" w:sz="4" w:space="0" w:color="auto"/>
            </w:tcBorders>
          </w:tcPr>
          <w:p w14:paraId="07494038" w14:textId="7911421B" w:rsidR="007D3D67" w:rsidRPr="00013E48" w:rsidRDefault="00BB56CF" w:rsidP="005E661B">
            <w:pPr>
              <w:pStyle w:val="tv213"/>
              <w:shd w:val="clear" w:color="auto" w:fill="FFFFFF"/>
              <w:spacing w:before="0" w:beforeAutospacing="0" w:after="0" w:afterAutospacing="0"/>
              <w:jc w:val="both"/>
            </w:pPr>
            <w:r w:rsidRPr="00013E48">
              <w:t>Sagatavota atsevišķa noteikumu projekta anotācija, t.sk. IV. sadaļas</w:t>
            </w:r>
            <w:r w:rsidR="0098505D" w:rsidRPr="00013E48">
              <w:t xml:space="preserve"> 1. punktā iekļaujot atbilstošu informāciju par saistītajiem tiesību aktu projektiem, kā arī</w:t>
            </w:r>
            <w:r w:rsidRPr="00013E48">
              <w:t xml:space="preserve"> 3. punktā </w:t>
            </w:r>
            <w:r w:rsidR="0098505D" w:rsidRPr="00013E48">
              <w:t>norādot</w:t>
            </w:r>
            <w:r w:rsidRPr="00013E48">
              <w:t>, ka, lai precizētu BVKB nosaukumu un darbības jomu, tādejādi novēršot potenciāli maldinošu priekšstatu par iestādes darbības jomu, Ekonomikas ministrija papildus plāno veikt grozījumus Būvniecības likumā un ar to saistītajos Ministru kabineta noteikumos.</w:t>
            </w:r>
          </w:p>
        </w:tc>
      </w:tr>
      <w:tr w:rsidR="00B86700" w:rsidRPr="00013E48" w14:paraId="23B49E47"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44927472" w14:textId="77777777" w:rsidR="006938E7" w:rsidRPr="00B86700" w:rsidRDefault="006938E7" w:rsidP="006938E7">
            <w:r w:rsidRPr="00B86700">
              <w:t>2.</w:t>
            </w:r>
          </w:p>
        </w:tc>
        <w:tc>
          <w:tcPr>
            <w:tcW w:w="2902" w:type="dxa"/>
            <w:tcBorders>
              <w:left w:val="single" w:sz="6" w:space="0" w:color="000000"/>
              <w:bottom w:val="single" w:sz="4" w:space="0" w:color="auto"/>
              <w:right w:val="single" w:sz="6" w:space="0" w:color="000000"/>
            </w:tcBorders>
          </w:tcPr>
          <w:p w14:paraId="418A0BE9" w14:textId="6138B450" w:rsidR="006938E7" w:rsidRPr="00013E48" w:rsidRDefault="00CF5D48" w:rsidP="006938E7">
            <w:pPr>
              <w:contextualSpacing/>
              <w:jc w:val="both"/>
            </w:pPr>
            <w:r w:rsidRPr="00013E48">
              <w:rPr>
                <w:bCs/>
                <w:iCs/>
              </w:rPr>
              <w:t>Anotācijas I. sadaļas 2. punkts</w:t>
            </w:r>
          </w:p>
        </w:tc>
        <w:tc>
          <w:tcPr>
            <w:tcW w:w="4122" w:type="dxa"/>
            <w:tcBorders>
              <w:left w:val="single" w:sz="6" w:space="0" w:color="000000"/>
              <w:bottom w:val="single" w:sz="4" w:space="0" w:color="auto"/>
              <w:right w:val="single" w:sz="6" w:space="0" w:color="000000"/>
            </w:tcBorders>
          </w:tcPr>
          <w:p w14:paraId="67F7C2F5" w14:textId="67B2FB9D" w:rsidR="006938E7" w:rsidRPr="00013E48" w:rsidRDefault="006938E7" w:rsidP="006938E7">
            <w:pPr>
              <w:pStyle w:val="naisc"/>
              <w:spacing w:before="0" w:after="0"/>
              <w:jc w:val="both"/>
              <w:rPr>
                <w:b/>
                <w:bCs/>
              </w:rPr>
            </w:pPr>
            <w:r w:rsidRPr="00013E48">
              <w:rPr>
                <w:b/>
                <w:bCs/>
              </w:rPr>
              <w:t>Tieslietu ministrijas 03.10.2019. iebildums:</w:t>
            </w:r>
          </w:p>
          <w:p w14:paraId="2446B000" w14:textId="1153D698" w:rsidR="006938E7" w:rsidRPr="00013E48" w:rsidRDefault="006938E7" w:rsidP="006938E7">
            <w:pPr>
              <w:widowControl w:val="0"/>
              <w:tabs>
                <w:tab w:val="left" w:pos="709"/>
                <w:tab w:val="left" w:pos="851"/>
                <w:tab w:val="left" w:pos="993"/>
              </w:tabs>
              <w:jc w:val="both"/>
            </w:pPr>
            <w:r w:rsidRPr="00013E48">
              <w:t>“2. </w:t>
            </w:r>
            <w:r w:rsidRPr="00013E48">
              <w:rPr>
                <w:bCs/>
                <w:iCs/>
              </w:rPr>
              <w:t>Lūdzam projekta anotācijas I sadaļas 2. punktā izvērsti skaidrot projektā izteikto grozījumu nepieciešamību, samērīgumu un pamatotību atbilstoši Ministru kabineta 2009. gada 15. decembra instrukcijas Nr. 19 “Tiesību akta projekta sākotnējās ietekmes izvērtēšanas kārtība” (turpmāk – instrukcija) instrukcijas 14. punktam, lai būtu iespējams pilnvērtīgi izvērtēt projektā izteikto grozījumu tiesiskumu un vajadzību.</w:t>
            </w:r>
            <w:r w:rsidRPr="00013E48">
              <w:t>”</w:t>
            </w:r>
          </w:p>
        </w:tc>
        <w:tc>
          <w:tcPr>
            <w:tcW w:w="3482" w:type="dxa"/>
            <w:gridSpan w:val="2"/>
            <w:tcBorders>
              <w:left w:val="single" w:sz="6" w:space="0" w:color="000000"/>
              <w:bottom w:val="single" w:sz="4" w:space="0" w:color="auto"/>
              <w:right w:val="single" w:sz="6" w:space="0" w:color="000000"/>
            </w:tcBorders>
          </w:tcPr>
          <w:p w14:paraId="46DABB9A" w14:textId="2C482928" w:rsidR="006938E7" w:rsidRPr="00013E48" w:rsidRDefault="006938E7" w:rsidP="006938E7">
            <w:pPr>
              <w:pStyle w:val="naisc"/>
              <w:spacing w:before="0" w:after="0"/>
              <w:rPr>
                <w:b/>
              </w:rPr>
            </w:pPr>
            <w:r w:rsidRPr="00013E48">
              <w:rPr>
                <w:b/>
              </w:rPr>
              <w:t>Ņemts vērā</w:t>
            </w:r>
          </w:p>
        </w:tc>
        <w:tc>
          <w:tcPr>
            <w:tcW w:w="2912" w:type="dxa"/>
            <w:tcBorders>
              <w:top w:val="single" w:sz="4" w:space="0" w:color="auto"/>
              <w:left w:val="single" w:sz="4" w:space="0" w:color="auto"/>
              <w:bottom w:val="single" w:sz="4" w:space="0" w:color="auto"/>
            </w:tcBorders>
          </w:tcPr>
          <w:p w14:paraId="70C72A74" w14:textId="43161D8C" w:rsidR="006938E7" w:rsidRPr="00013E48" w:rsidRDefault="006938E7" w:rsidP="006938E7">
            <w:pPr>
              <w:shd w:val="clear" w:color="auto" w:fill="FFFFFF"/>
              <w:contextualSpacing/>
              <w:jc w:val="both"/>
            </w:pPr>
            <w:r w:rsidRPr="00013E48">
              <w:t>Sagatavota atsevišķa noteikumu projekta anotācija, t.sk. atbilstoši aizpildīt</w:t>
            </w:r>
            <w:r w:rsidR="00CF5D48" w:rsidRPr="00013E48">
              <w:t>s</w:t>
            </w:r>
            <w:r w:rsidRPr="00013E48">
              <w:t xml:space="preserve"> </w:t>
            </w:r>
            <w:r w:rsidR="00CF5D48" w:rsidRPr="00013E48">
              <w:rPr>
                <w:bCs/>
                <w:iCs/>
              </w:rPr>
              <w:t>I. sadaļas 2. punkts</w:t>
            </w:r>
            <w:r w:rsidRPr="00013E48">
              <w:rPr>
                <w:bCs/>
                <w:iCs/>
              </w:rPr>
              <w:t>.</w:t>
            </w:r>
          </w:p>
        </w:tc>
      </w:tr>
      <w:tr w:rsidR="00B86700" w:rsidRPr="00013E48" w14:paraId="1B325283" w14:textId="77777777" w:rsidTr="00013211">
        <w:trPr>
          <w:gridBefore w:val="1"/>
          <w:wBefore w:w="8" w:type="dxa"/>
        </w:trPr>
        <w:tc>
          <w:tcPr>
            <w:tcW w:w="685" w:type="dxa"/>
            <w:tcBorders>
              <w:left w:val="single" w:sz="6" w:space="0" w:color="000000"/>
              <w:bottom w:val="single" w:sz="4" w:space="0" w:color="auto"/>
              <w:right w:val="single" w:sz="6" w:space="0" w:color="000000"/>
            </w:tcBorders>
          </w:tcPr>
          <w:p w14:paraId="5C5613AF" w14:textId="77777777" w:rsidR="0052447C" w:rsidRPr="00B86700" w:rsidRDefault="0052447C" w:rsidP="0052447C">
            <w:r w:rsidRPr="00B86700">
              <w:t>3.</w:t>
            </w:r>
          </w:p>
        </w:tc>
        <w:tc>
          <w:tcPr>
            <w:tcW w:w="2902" w:type="dxa"/>
            <w:tcBorders>
              <w:left w:val="single" w:sz="6" w:space="0" w:color="000000"/>
              <w:bottom w:val="single" w:sz="4" w:space="0" w:color="auto"/>
              <w:right w:val="single" w:sz="6" w:space="0" w:color="000000"/>
            </w:tcBorders>
          </w:tcPr>
          <w:p w14:paraId="60AF0344" w14:textId="77777777" w:rsidR="0052447C" w:rsidRPr="00013E48" w:rsidRDefault="0052447C" w:rsidP="0052447C">
            <w:pPr>
              <w:shd w:val="clear" w:color="auto" w:fill="FFFFFF"/>
              <w:jc w:val="both"/>
              <w:rPr>
                <w:bCs/>
                <w:iCs/>
              </w:rPr>
            </w:pPr>
            <w:r w:rsidRPr="00013E48">
              <w:rPr>
                <w:bCs/>
                <w:iCs/>
              </w:rPr>
              <w:t>Anotācijas V. sadaļa</w:t>
            </w:r>
          </w:p>
          <w:p w14:paraId="08AB009F" w14:textId="77777777" w:rsidR="00BB027E" w:rsidRPr="00013E48" w:rsidRDefault="00BB027E" w:rsidP="0052447C">
            <w:pPr>
              <w:shd w:val="clear" w:color="auto" w:fill="FFFFFF"/>
              <w:jc w:val="both"/>
              <w:rPr>
                <w:bCs/>
                <w:iCs/>
              </w:rPr>
            </w:pPr>
          </w:p>
          <w:p w14:paraId="6DDF1E8D" w14:textId="77777777" w:rsidR="00BB027E" w:rsidRPr="00013E48" w:rsidRDefault="00BB027E" w:rsidP="0052447C">
            <w:pPr>
              <w:shd w:val="clear" w:color="auto" w:fill="FFFFFF"/>
              <w:jc w:val="both"/>
              <w:rPr>
                <w:bCs/>
                <w:iCs/>
              </w:rPr>
            </w:pPr>
          </w:p>
          <w:p w14:paraId="3CD79F5E" w14:textId="77777777" w:rsidR="00BB027E" w:rsidRPr="00013E48" w:rsidRDefault="00BB027E" w:rsidP="0052447C">
            <w:pPr>
              <w:shd w:val="clear" w:color="auto" w:fill="FFFFFF"/>
              <w:jc w:val="both"/>
              <w:rPr>
                <w:bCs/>
                <w:iCs/>
              </w:rPr>
            </w:pPr>
          </w:p>
          <w:p w14:paraId="7187946E" w14:textId="77777777" w:rsidR="00BB027E" w:rsidRPr="00013E48" w:rsidRDefault="00BB027E" w:rsidP="0052447C">
            <w:pPr>
              <w:shd w:val="clear" w:color="auto" w:fill="FFFFFF"/>
              <w:jc w:val="both"/>
              <w:rPr>
                <w:bCs/>
                <w:iCs/>
              </w:rPr>
            </w:pPr>
          </w:p>
          <w:p w14:paraId="7B2AD0F9" w14:textId="77777777" w:rsidR="00BB027E" w:rsidRPr="00013E48" w:rsidRDefault="00BB027E" w:rsidP="0052447C">
            <w:pPr>
              <w:shd w:val="clear" w:color="auto" w:fill="FFFFFF"/>
              <w:jc w:val="both"/>
              <w:rPr>
                <w:bCs/>
                <w:iCs/>
              </w:rPr>
            </w:pPr>
          </w:p>
          <w:p w14:paraId="66E3E3C9" w14:textId="77777777" w:rsidR="00BB027E" w:rsidRPr="00013E48" w:rsidRDefault="00BB027E" w:rsidP="0052447C">
            <w:pPr>
              <w:shd w:val="clear" w:color="auto" w:fill="FFFFFF"/>
              <w:jc w:val="both"/>
              <w:rPr>
                <w:bCs/>
                <w:iCs/>
              </w:rPr>
            </w:pPr>
          </w:p>
          <w:p w14:paraId="19DE2382" w14:textId="77777777" w:rsidR="00BB027E" w:rsidRPr="00013E48" w:rsidRDefault="00BB027E" w:rsidP="0052447C">
            <w:pPr>
              <w:shd w:val="clear" w:color="auto" w:fill="FFFFFF"/>
              <w:jc w:val="both"/>
              <w:rPr>
                <w:bCs/>
                <w:iCs/>
              </w:rPr>
            </w:pPr>
          </w:p>
          <w:p w14:paraId="2C459586" w14:textId="77777777" w:rsidR="00BB027E" w:rsidRPr="00013E48" w:rsidRDefault="00BB027E" w:rsidP="0052447C">
            <w:pPr>
              <w:shd w:val="clear" w:color="auto" w:fill="FFFFFF"/>
              <w:jc w:val="both"/>
              <w:rPr>
                <w:bCs/>
                <w:iCs/>
              </w:rPr>
            </w:pPr>
          </w:p>
          <w:p w14:paraId="25EBB48B" w14:textId="77777777" w:rsidR="00BB027E" w:rsidRPr="00013E48" w:rsidRDefault="00BB027E" w:rsidP="0052447C">
            <w:pPr>
              <w:shd w:val="clear" w:color="auto" w:fill="FFFFFF"/>
              <w:jc w:val="both"/>
              <w:rPr>
                <w:bCs/>
                <w:iCs/>
              </w:rPr>
            </w:pPr>
          </w:p>
          <w:p w14:paraId="07F6AEC5" w14:textId="77777777" w:rsidR="00BB027E" w:rsidRPr="00013E48" w:rsidRDefault="00BB027E" w:rsidP="0052447C">
            <w:pPr>
              <w:shd w:val="clear" w:color="auto" w:fill="FFFFFF"/>
              <w:jc w:val="both"/>
              <w:rPr>
                <w:bCs/>
                <w:iCs/>
              </w:rPr>
            </w:pPr>
          </w:p>
          <w:p w14:paraId="6D78DC41" w14:textId="77777777" w:rsidR="00BB027E" w:rsidRPr="00013E48" w:rsidRDefault="00BB027E" w:rsidP="0052447C">
            <w:pPr>
              <w:shd w:val="clear" w:color="auto" w:fill="FFFFFF"/>
              <w:jc w:val="both"/>
              <w:rPr>
                <w:bCs/>
                <w:iCs/>
              </w:rPr>
            </w:pPr>
          </w:p>
          <w:p w14:paraId="227D6351" w14:textId="77777777" w:rsidR="00BB027E" w:rsidRPr="00013E48" w:rsidRDefault="00BB027E" w:rsidP="0052447C">
            <w:pPr>
              <w:shd w:val="clear" w:color="auto" w:fill="FFFFFF"/>
              <w:jc w:val="both"/>
              <w:rPr>
                <w:bCs/>
                <w:iCs/>
              </w:rPr>
            </w:pPr>
          </w:p>
          <w:p w14:paraId="2C270917" w14:textId="77777777" w:rsidR="00BB027E" w:rsidRPr="00013E48" w:rsidRDefault="00BB027E" w:rsidP="0052447C">
            <w:pPr>
              <w:shd w:val="clear" w:color="auto" w:fill="FFFFFF"/>
              <w:jc w:val="both"/>
              <w:rPr>
                <w:bCs/>
                <w:iCs/>
              </w:rPr>
            </w:pPr>
          </w:p>
          <w:p w14:paraId="414D453B" w14:textId="77777777" w:rsidR="00F54513" w:rsidRPr="00013E48" w:rsidRDefault="00F54513" w:rsidP="00F54513">
            <w:pPr>
              <w:shd w:val="clear" w:color="auto" w:fill="FFFFFF"/>
              <w:jc w:val="both"/>
              <w:rPr>
                <w:bCs/>
                <w:iCs/>
              </w:rPr>
            </w:pPr>
          </w:p>
          <w:p w14:paraId="2E23B6AE" w14:textId="77777777" w:rsidR="00F54513" w:rsidRPr="00013E48" w:rsidRDefault="00F54513" w:rsidP="00F54513">
            <w:pPr>
              <w:pStyle w:val="tv213"/>
              <w:shd w:val="clear" w:color="auto" w:fill="FFFFFF"/>
              <w:spacing w:before="0" w:beforeAutospacing="0" w:after="0" w:afterAutospacing="0"/>
              <w:jc w:val="both"/>
              <w:rPr>
                <w:bCs/>
                <w:iCs/>
              </w:rPr>
            </w:pPr>
            <w:r w:rsidRPr="00013E48">
              <w:rPr>
                <w:bCs/>
                <w:iCs/>
              </w:rPr>
              <w:t>Noteikumu projekta 1.37. apakšpunkts:</w:t>
            </w:r>
          </w:p>
          <w:p w14:paraId="39A2A9BF" w14:textId="568AD990" w:rsidR="00F54513" w:rsidRPr="00013E48" w:rsidRDefault="00F54513" w:rsidP="00F54513">
            <w:pPr>
              <w:shd w:val="clear" w:color="auto" w:fill="FFFFFF"/>
              <w:jc w:val="both"/>
            </w:pPr>
            <w:r w:rsidRPr="00013E48">
              <w:t>“1.37. izteikt noteikumu 6. pielikuma pirmo zemsvītras piezīmi šādā redakcijā:</w:t>
            </w:r>
          </w:p>
          <w:p w14:paraId="21F14295" w14:textId="56947698" w:rsidR="00BB027E" w:rsidRPr="00013E48" w:rsidRDefault="00F54513" w:rsidP="00F54513">
            <w:pPr>
              <w:jc w:val="both"/>
            </w:pPr>
            <w:r w:rsidRPr="00013E48">
              <w:t>“</w:t>
            </w:r>
            <w:r w:rsidRPr="00013E48">
              <w:rPr>
                <w:vertAlign w:val="superscript"/>
              </w:rPr>
              <w:t>1</w:t>
            </w:r>
            <w:r w:rsidRPr="00013E48">
              <w:t xml:space="preserve"> Lieto testēšanas metodes, kas norādītas standartā LVS EN 15293:2018 "Automobiļu degvielas. Automobiļu degviela – </w:t>
            </w:r>
            <w:proofErr w:type="spellStart"/>
            <w:r w:rsidRPr="00013E48">
              <w:t>etanols</w:t>
            </w:r>
            <w:proofErr w:type="spellEnd"/>
            <w:r w:rsidRPr="00013E48">
              <w:t xml:space="preserve"> E85. Prasības un testa metodes". Pēc vajadzības var pieņemt analītiskās metodes, kas noteiktas standarta LVS EN 15293:2018 "Automobiļu degvielas. Automobiļu degviela – </w:t>
            </w:r>
            <w:proofErr w:type="spellStart"/>
            <w:r w:rsidRPr="00013E48">
              <w:t>etanols</w:t>
            </w:r>
            <w:proofErr w:type="spellEnd"/>
            <w:r w:rsidRPr="00013E48">
              <w:t xml:space="preserve"> E85. Prasības un testa metodes" aizvietošanai, ja tās var nodrošināt vismaz tādu pašu pareizību un vismaz tādu pašu precizitāti kā ar analītisko metodi, ko šī metode aizvieto.”;”</w:t>
            </w:r>
          </w:p>
        </w:tc>
        <w:tc>
          <w:tcPr>
            <w:tcW w:w="4122" w:type="dxa"/>
            <w:tcBorders>
              <w:left w:val="single" w:sz="6" w:space="0" w:color="000000"/>
              <w:bottom w:val="single" w:sz="4" w:space="0" w:color="auto"/>
              <w:right w:val="single" w:sz="6" w:space="0" w:color="000000"/>
            </w:tcBorders>
          </w:tcPr>
          <w:p w14:paraId="3F94171C" w14:textId="77777777" w:rsidR="0052447C" w:rsidRPr="00013E48" w:rsidRDefault="0052447C" w:rsidP="0052447C">
            <w:pPr>
              <w:pStyle w:val="naisc"/>
              <w:spacing w:before="0" w:after="0"/>
              <w:jc w:val="both"/>
              <w:rPr>
                <w:b/>
                <w:bCs/>
              </w:rPr>
            </w:pPr>
            <w:r w:rsidRPr="00013E48">
              <w:rPr>
                <w:b/>
                <w:bCs/>
              </w:rPr>
              <w:lastRenderedPageBreak/>
              <w:t>Tieslietu ministrijas 03.10.2019. iebildums:</w:t>
            </w:r>
          </w:p>
          <w:p w14:paraId="2BC39017" w14:textId="62C80090" w:rsidR="0052447C" w:rsidRPr="00013E48" w:rsidRDefault="0052447C" w:rsidP="0052447C">
            <w:pPr>
              <w:widowControl w:val="0"/>
              <w:tabs>
                <w:tab w:val="left" w:pos="709"/>
                <w:tab w:val="left" w:pos="851"/>
                <w:tab w:val="left" w:pos="993"/>
              </w:tabs>
              <w:jc w:val="both"/>
            </w:pPr>
            <w:r w:rsidRPr="00013E48">
              <w:t>“3. </w:t>
            </w:r>
            <w:r w:rsidRPr="00013E48">
              <w:rPr>
                <w:bCs/>
                <w:iCs/>
              </w:rPr>
              <w:t>Lūdzam izvērtēt projektā izteikto grozījumu atbilstību Eiropas Savienības direktīvu prasībām, kas ir pārņemtas spēkā esošajos noteikumos, tostarp, izvērtēt projektā izteikto grozījumu atbilstību</w:t>
            </w:r>
            <w:r w:rsidRPr="00013E48">
              <w:t xml:space="preserve"> </w:t>
            </w:r>
            <w:r w:rsidRPr="00013E48">
              <w:rPr>
                <w:bCs/>
                <w:iCs/>
              </w:rPr>
              <w:t xml:space="preserve">Eiropas Parlamenta un </w:t>
            </w:r>
            <w:r w:rsidRPr="00013E48">
              <w:rPr>
                <w:bCs/>
                <w:iCs/>
              </w:rPr>
              <w:lastRenderedPageBreak/>
              <w:t>Padomes 2014. gada 22. oktobra Direktīvas 2014/94/ES par alternatīvo degvielu infrastruktūras ieviešanu prasībām, aizpildot projekta anotācijas V sadaļu atbilstoši instrukcijas 55. un 56. punktam.</w:t>
            </w:r>
            <w:r w:rsidRPr="00013E48">
              <w:t>”</w:t>
            </w:r>
          </w:p>
          <w:p w14:paraId="2DCA847B" w14:textId="387369DE" w:rsidR="00750F1C" w:rsidRPr="00013E48" w:rsidRDefault="00750F1C" w:rsidP="0052447C">
            <w:pPr>
              <w:widowControl w:val="0"/>
              <w:tabs>
                <w:tab w:val="left" w:pos="709"/>
                <w:tab w:val="left" w:pos="851"/>
                <w:tab w:val="left" w:pos="993"/>
              </w:tabs>
              <w:jc w:val="both"/>
            </w:pPr>
          </w:p>
          <w:p w14:paraId="580E6351" w14:textId="0B8B1D41" w:rsidR="00750F1C" w:rsidRPr="00013E48" w:rsidRDefault="00750F1C" w:rsidP="00750F1C">
            <w:pPr>
              <w:pStyle w:val="naisc"/>
              <w:spacing w:before="0" w:after="0"/>
              <w:jc w:val="both"/>
              <w:rPr>
                <w:b/>
                <w:bCs/>
              </w:rPr>
            </w:pPr>
            <w:r w:rsidRPr="00013E48">
              <w:rPr>
                <w:b/>
                <w:bCs/>
              </w:rPr>
              <w:t>Tieslietu ministrijas 25.11.2019. iebildums:</w:t>
            </w:r>
          </w:p>
          <w:p w14:paraId="62883161" w14:textId="034BE2EC" w:rsidR="00750F1C" w:rsidRPr="00013E48" w:rsidRDefault="00750F1C" w:rsidP="00750F1C">
            <w:pPr>
              <w:widowControl w:val="0"/>
              <w:tabs>
                <w:tab w:val="left" w:pos="709"/>
                <w:tab w:val="left" w:pos="851"/>
                <w:tab w:val="left" w:pos="993"/>
              </w:tabs>
              <w:jc w:val="both"/>
              <w:rPr>
                <w:bCs/>
                <w:iCs/>
              </w:rPr>
            </w:pPr>
            <w:r w:rsidRPr="00013E48">
              <w:t>“Lūdzam projekta anotācijas V sadaļas 1. punktā un 1. tabulā norādīt visas tās Eiropas Savienības direktīvu normas, kuras ir ieviestas ar projektā izteiktajiem grozījumiem, tostarp, projekta 1.37. apakšpunktā, kurā ir izteikts grozījums spēkā esošo noteikumu 6. pielikumā</w:t>
            </w:r>
            <w:r w:rsidRPr="00013E48">
              <w:rPr>
                <w:bCs/>
                <w:iCs/>
              </w:rPr>
              <w:t>.</w:t>
            </w:r>
            <w:r w:rsidRPr="00013E48">
              <w:t>”</w:t>
            </w:r>
          </w:p>
        </w:tc>
        <w:tc>
          <w:tcPr>
            <w:tcW w:w="3482" w:type="dxa"/>
            <w:gridSpan w:val="2"/>
            <w:tcBorders>
              <w:left w:val="single" w:sz="6" w:space="0" w:color="000000"/>
              <w:bottom w:val="single" w:sz="4" w:space="0" w:color="auto"/>
              <w:right w:val="single" w:sz="6" w:space="0" w:color="000000"/>
            </w:tcBorders>
          </w:tcPr>
          <w:p w14:paraId="5273EC1E" w14:textId="77777777" w:rsidR="0052447C" w:rsidRPr="00013E48" w:rsidRDefault="0052447C" w:rsidP="0052447C">
            <w:pPr>
              <w:jc w:val="center"/>
              <w:rPr>
                <w:b/>
              </w:rPr>
            </w:pPr>
            <w:r w:rsidRPr="00013E48">
              <w:rPr>
                <w:b/>
              </w:rPr>
              <w:lastRenderedPageBreak/>
              <w:t>Ņemts vērā</w:t>
            </w:r>
          </w:p>
          <w:p w14:paraId="7B81952B" w14:textId="77777777" w:rsidR="00750F1C" w:rsidRPr="00013E48" w:rsidRDefault="00750F1C" w:rsidP="0052447C">
            <w:pPr>
              <w:jc w:val="center"/>
              <w:rPr>
                <w:b/>
              </w:rPr>
            </w:pPr>
          </w:p>
          <w:p w14:paraId="33FDD99C" w14:textId="77777777" w:rsidR="00750F1C" w:rsidRPr="00013E48" w:rsidRDefault="00750F1C" w:rsidP="0052447C">
            <w:pPr>
              <w:jc w:val="center"/>
              <w:rPr>
                <w:b/>
              </w:rPr>
            </w:pPr>
          </w:p>
          <w:p w14:paraId="7B7AF9F9" w14:textId="77777777" w:rsidR="00750F1C" w:rsidRPr="00013E48" w:rsidRDefault="00750F1C" w:rsidP="0052447C">
            <w:pPr>
              <w:jc w:val="center"/>
              <w:rPr>
                <w:b/>
              </w:rPr>
            </w:pPr>
          </w:p>
          <w:p w14:paraId="7770A46B" w14:textId="77777777" w:rsidR="00750F1C" w:rsidRPr="00013E48" w:rsidRDefault="00750F1C" w:rsidP="0052447C">
            <w:pPr>
              <w:jc w:val="center"/>
              <w:rPr>
                <w:b/>
              </w:rPr>
            </w:pPr>
          </w:p>
          <w:p w14:paraId="0FF5598C" w14:textId="77777777" w:rsidR="00750F1C" w:rsidRPr="00013E48" w:rsidRDefault="00750F1C" w:rsidP="0052447C">
            <w:pPr>
              <w:jc w:val="center"/>
              <w:rPr>
                <w:b/>
              </w:rPr>
            </w:pPr>
          </w:p>
          <w:p w14:paraId="0892DFA2" w14:textId="77777777" w:rsidR="00750F1C" w:rsidRPr="00013E48" w:rsidRDefault="00750F1C" w:rsidP="0052447C">
            <w:pPr>
              <w:jc w:val="center"/>
              <w:rPr>
                <w:b/>
              </w:rPr>
            </w:pPr>
          </w:p>
          <w:p w14:paraId="7E593F8A" w14:textId="77777777" w:rsidR="00750F1C" w:rsidRPr="00013E48" w:rsidRDefault="00750F1C" w:rsidP="0052447C">
            <w:pPr>
              <w:jc w:val="center"/>
              <w:rPr>
                <w:b/>
              </w:rPr>
            </w:pPr>
          </w:p>
          <w:p w14:paraId="0E3E07E3" w14:textId="77777777" w:rsidR="00750F1C" w:rsidRPr="00013E48" w:rsidRDefault="00750F1C" w:rsidP="0052447C">
            <w:pPr>
              <w:jc w:val="center"/>
              <w:rPr>
                <w:b/>
              </w:rPr>
            </w:pPr>
          </w:p>
          <w:p w14:paraId="1E42FCF0" w14:textId="77777777" w:rsidR="00750F1C" w:rsidRPr="00013E48" w:rsidRDefault="00750F1C" w:rsidP="0052447C">
            <w:pPr>
              <w:jc w:val="center"/>
              <w:rPr>
                <w:b/>
              </w:rPr>
            </w:pPr>
          </w:p>
          <w:p w14:paraId="74377570" w14:textId="77777777" w:rsidR="00750F1C" w:rsidRPr="00013E48" w:rsidRDefault="00750F1C" w:rsidP="0052447C">
            <w:pPr>
              <w:jc w:val="center"/>
              <w:rPr>
                <w:b/>
              </w:rPr>
            </w:pPr>
          </w:p>
          <w:p w14:paraId="5B7D0E82" w14:textId="77777777" w:rsidR="00750F1C" w:rsidRPr="00013E48" w:rsidRDefault="00750F1C" w:rsidP="0052447C">
            <w:pPr>
              <w:jc w:val="center"/>
              <w:rPr>
                <w:b/>
              </w:rPr>
            </w:pPr>
          </w:p>
          <w:p w14:paraId="5C70E2AA" w14:textId="77777777" w:rsidR="00750F1C" w:rsidRPr="00013E48" w:rsidRDefault="00750F1C" w:rsidP="0052447C">
            <w:pPr>
              <w:jc w:val="center"/>
              <w:rPr>
                <w:b/>
              </w:rPr>
            </w:pPr>
          </w:p>
          <w:p w14:paraId="369781CF" w14:textId="77777777" w:rsidR="00750F1C" w:rsidRPr="00013E48" w:rsidRDefault="00750F1C" w:rsidP="0052447C">
            <w:pPr>
              <w:jc w:val="center"/>
              <w:rPr>
                <w:b/>
              </w:rPr>
            </w:pPr>
          </w:p>
          <w:p w14:paraId="144A704D" w14:textId="77777777" w:rsidR="00750F1C" w:rsidRPr="00013E48" w:rsidRDefault="00750F1C" w:rsidP="0052447C">
            <w:pPr>
              <w:jc w:val="center"/>
              <w:rPr>
                <w:b/>
              </w:rPr>
            </w:pPr>
          </w:p>
          <w:p w14:paraId="0C9BCCCB" w14:textId="77777777" w:rsidR="00750F1C" w:rsidRPr="00013E48" w:rsidRDefault="00750F1C" w:rsidP="0052447C">
            <w:pPr>
              <w:jc w:val="center"/>
              <w:rPr>
                <w:b/>
              </w:rPr>
            </w:pPr>
            <w:r w:rsidRPr="00013E48">
              <w:rPr>
                <w:b/>
              </w:rPr>
              <w:t>Ņemts vērā</w:t>
            </w:r>
          </w:p>
          <w:p w14:paraId="42A592E4" w14:textId="62A03EF8" w:rsidR="00750F1C" w:rsidRPr="00013E48" w:rsidRDefault="00750F1C" w:rsidP="0052447C">
            <w:pPr>
              <w:jc w:val="center"/>
              <w:rPr>
                <w:bCs/>
              </w:rPr>
            </w:pPr>
            <w:r w:rsidRPr="00013E48">
              <w:t xml:space="preserve">Anotācijas V. sadaļas 1. punktā un 1. tabulā ir ietverta Eiropas Savienības direktīvas norma, kura ir ieviesta ar </w:t>
            </w:r>
            <w:r w:rsidR="00BB027E" w:rsidRPr="00013E48">
              <w:t xml:space="preserve">noteikumu </w:t>
            </w:r>
            <w:r w:rsidRPr="00013E48">
              <w:t xml:space="preserve">projektā izteiktajiem grozījumiem. Citi grozījumi </w:t>
            </w:r>
            <w:r w:rsidR="00BB027E" w:rsidRPr="00013E48">
              <w:t xml:space="preserve">noteikumu </w:t>
            </w:r>
            <w:r w:rsidRPr="00013E48">
              <w:t>projektā neparedz Eiropas Savienības direktīvas normu pārņemšanu.</w:t>
            </w:r>
            <w:r w:rsidR="00BB027E" w:rsidRPr="00013E48">
              <w:t xml:space="preserve"> Noteikumu projekta 1.37. apakšpunkts ir precizēts.</w:t>
            </w:r>
          </w:p>
        </w:tc>
        <w:tc>
          <w:tcPr>
            <w:tcW w:w="2912" w:type="dxa"/>
            <w:tcBorders>
              <w:top w:val="single" w:sz="4" w:space="0" w:color="auto"/>
              <w:left w:val="single" w:sz="4" w:space="0" w:color="auto"/>
              <w:bottom w:val="single" w:sz="4" w:space="0" w:color="auto"/>
            </w:tcBorders>
          </w:tcPr>
          <w:p w14:paraId="33BFB4AB" w14:textId="77777777" w:rsidR="0052447C" w:rsidRPr="00013E48" w:rsidRDefault="0052447C" w:rsidP="0052447C">
            <w:pPr>
              <w:pStyle w:val="tv213"/>
              <w:shd w:val="clear" w:color="auto" w:fill="FFFFFF"/>
              <w:spacing w:before="0" w:beforeAutospacing="0" w:after="0" w:afterAutospacing="0"/>
              <w:jc w:val="both"/>
              <w:rPr>
                <w:bCs/>
                <w:iCs/>
              </w:rPr>
            </w:pPr>
            <w:r w:rsidRPr="00013E48">
              <w:lastRenderedPageBreak/>
              <w:t xml:space="preserve">Sagatavota atsevišķa noteikumu projekta anotācija, t.sk. atbilstoši aizpildīta </w:t>
            </w:r>
            <w:r w:rsidRPr="00013E48">
              <w:rPr>
                <w:bCs/>
                <w:iCs/>
              </w:rPr>
              <w:t>V. sadaļa.</w:t>
            </w:r>
          </w:p>
          <w:p w14:paraId="4AEDDB36" w14:textId="77777777" w:rsidR="00BB027E" w:rsidRPr="00013E48" w:rsidRDefault="00BB027E" w:rsidP="0052447C">
            <w:pPr>
              <w:pStyle w:val="tv213"/>
              <w:shd w:val="clear" w:color="auto" w:fill="FFFFFF"/>
              <w:spacing w:before="0" w:beforeAutospacing="0" w:after="0" w:afterAutospacing="0"/>
              <w:jc w:val="both"/>
              <w:rPr>
                <w:bCs/>
                <w:iCs/>
              </w:rPr>
            </w:pPr>
          </w:p>
          <w:p w14:paraId="647C5CD1" w14:textId="77777777" w:rsidR="00BB027E" w:rsidRPr="00013E48" w:rsidRDefault="00BB027E" w:rsidP="0052447C">
            <w:pPr>
              <w:pStyle w:val="tv213"/>
              <w:shd w:val="clear" w:color="auto" w:fill="FFFFFF"/>
              <w:spacing w:before="0" w:beforeAutospacing="0" w:after="0" w:afterAutospacing="0"/>
              <w:jc w:val="both"/>
              <w:rPr>
                <w:bCs/>
                <w:iCs/>
              </w:rPr>
            </w:pPr>
          </w:p>
          <w:p w14:paraId="65A043E9" w14:textId="77777777" w:rsidR="00BB027E" w:rsidRPr="00013E48" w:rsidRDefault="00BB027E" w:rsidP="0052447C">
            <w:pPr>
              <w:pStyle w:val="tv213"/>
              <w:shd w:val="clear" w:color="auto" w:fill="FFFFFF"/>
              <w:spacing w:before="0" w:beforeAutospacing="0" w:after="0" w:afterAutospacing="0"/>
              <w:jc w:val="both"/>
              <w:rPr>
                <w:bCs/>
                <w:iCs/>
              </w:rPr>
            </w:pPr>
          </w:p>
          <w:p w14:paraId="306F2116" w14:textId="77777777" w:rsidR="00BB027E" w:rsidRPr="00013E48" w:rsidRDefault="00BB027E" w:rsidP="0052447C">
            <w:pPr>
              <w:pStyle w:val="tv213"/>
              <w:shd w:val="clear" w:color="auto" w:fill="FFFFFF"/>
              <w:spacing w:before="0" w:beforeAutospacing="0" w:after="0" w:afterAutospacing="0"/>
              <w:jc w:val="both"/>
              <w:rPr>
                <w:bCs/>
                <w:iCs/>
              </w:rPr>
            </w:pPr>
          </w:p>
          <w:p w14:paraId="02F0278D" w14:textId="77777777" w:rsidR="00BB027E" w:rsidRPr="00013E48" w:rsidRDefault="00BB027E" w:rsidP="0052447C">
            <w:pPr>
              <w:pStyle w:val="tv213"/>
              <w:shd w:val="clear" w:color="auto" w:fill="FFFFFF"/>
              <w:spacing w:before="0" w:beforeAutospacing="0" w:after="0" w:afterAutospacing="0"/>
              <w:jc w:val="both"/>
              <w:rPr>
                <w:bCs/>
                <w:iCs/>
              </w:rPr>
            </w:pPr>
          </w:p>
          <w:p w14:paraId="31D2D5BA" w14:textId="77777777" w:rsidR="00BB027E" w:rsidRPr="00013E48" w:rsidRDefault="00BB027E" w:rsidP="0052447C">
            <w:pPr>
              <w:pStyle w:val="tv213"/>
              <w:shd w:val="clear" w:color="auto" w:fill="FFFFFF"/>
              <w:spacing w:before="0" w:beforeAutospacing="0" w:after="0" w:afterAutospacing="0"/>
              <w:jc w:val="both"/>
              <w:rPr>
                <w:bCs/>
                <w:iCs/>
              </w:rPr>
            </w:pPr>
          </w:p>
          <w:p w14:paraId="332E1694" w14:textId="77777777" w:rsidR="00BB027E" w:rsidRPr="00013E48" w:rsidRDefault="00BB027E" w:rsidP="0052447C">
            <w:pPr>
              <w:pStyle w:val="tv213"/>
              <w:shd w:val="clear" w:color="auto" w:fill="FFFFFF"/>
              <w:spacing w:before="0" w:beforeAutospacing="0" w:after="0" w:afterAutospacing="0"/>
              <w:jc w:val="both"/>
              <w:rPr>
                <w:bCs/>
                <w:iCs/>
              </w:rPr>
            </w:pPr>
          </w:p>
          <w:p w14:paraId="7B72CAE8" w14:textId="77777777" w:rsidR="00BB027E" w:rsidRPr="00013E48" w:rsidRDefault="00BB027E" w:rsidP="0052447C">
            <w:pPr>
              <w:pStyle w:val="tv213"/>
              <w:shd w:val="clear" w:color="auto" w:fill="FFFFFF"/>
              <w:spacing w:before="0" w:beforeAutospacing="0" w:after="0" w:afterAutospacing="0"/>
              <w:jc w:val="both"/>
              <w:rPr>
                <w:bCs/>
                <w:iCs/>
              </w:rPr>
            </w:pPr>
          </w:p>
          <w:p w14:paraId="7FC2A3DE" w14:textId="77777777" w:rsidR="00BB027E" w:rsidRPr="00013E48" w:rsidRDefault="00BB027E" w:rsidP="0052447C">
            <w:pPr>
              <w:pStyle w:val="tv213"/>
              <w:shd w:val="clear" w:color="auto" w:fill="FFFFFF"/>
              <w:spacing w:before="0" w:beforeAutospacing="0" w:after="0" w:afterAutospacing="0"/>
              <w:jc w:val="both"/>
              <w:rPr>
                <w:bCs/>
                <w:iCs/>
              </w:rPr>
            </w:pPr>
          </w:p>
          <w:p w14:paraId="22F1AC9C" w14:textId="77777777" w:rsidR="00BB027E" w:rsidRPr="00013E48" w:rsidRDefault="00BB027E" w:rsidP="0052447C">
            <w:pPr>
              <w:pStyle w:val="tv213"/>
              <w:shd w:val="clear" w:color="auto" w:fill="FFFFFF"/>
              <w:spacing w:before="0" w:beforeAutospacing="0" w:after="0" w:afterAutospacing="0"/>
              <w:jc w:val="both"/>
              <w:rPr>
                <w:bCs/>
                <w:iCs/>
              </w:rPr>
            </w:pPr>
          </w:p>
          <w:p w14:paraId="790C11E4" w14:textId="77777777" w:rsidR="00BB027E" w:rsidRPr="00013E48" w:rsidRDefault="00BB027E" w:rsidP="0052447C">
            <w:pPr>
              <w:pStyle w:val="tv213"/>
              <w:shd w:val="clear" w:color="auto" w:fill="FFFFFF"/>
              <w:spacing w:before="0" w:beforeAutospacing="0" w:after="0" w:afterAutospacing="0"/>
              <w:jc w:val="both"/>
              <w:rPr>
                <w:bCs/>
                <w:iCs/>
              </w:rPr>
            </w:pPr>
          </w:p>
          <w:p w14:paraId="149B28C5" w14:textId="77777777" w:rsidR="00BB027E" w:rsidRPr="00013E48" w:rsidRDefault="00BB027E" w:rsidP="0052447C">
            <w:pPr>
              <w:pStyle w:val="tv213"/>
              <w:shd w:val="clear" w:color="auto" w:fill="FFFFFF"/>
              <w:spacing w:before="0" w:beforeAutospacing="0" w:after="0" w:afterAutospacing="0"/>
              <w:jc w:val="both"/>
              <w:rPr>
                <w:bCs/>
                <w:iCs/>
              </w:rPr>
            </w:pPr>
            <w:r w:rsidRPr="00013E48">
              <w:rPr>
                <w:bCs/>
                <w:iCs/>
              </w:rPr>
              <w:t>Noteikumu projekta 1.37. apakšpunkts:</w:t>
            </w:r>
          </w:p>
          <w:p w14:paraId="5739C86D" w14:textId="77777777" w:rsidR="00F54513" w:rsidRPr="00013E48" w:rsidRDefault="00F54513" w:rsidP="00F54513">
            <w:pPr>
              <w:shd w:val="clear" w:color="auto" w:fill="FFFFFF"/>
              <w:jc w:val="both"/>
            </w:pPr>
            <w:r w:rsidRPr="00013E48">
              <w:rPr>
                <w:bCs/>
                <w:iCs/>
              </w:rPr>
              <w:t>“</w:t>
            </w:r>
            <w:r w:rsidRPr="00013E48">
              <w:t>1.37. izteikt noteikumu 6. pielikuma pirmo zemsvītras piezīmi šādā redakcijā:</w:t>
            </w:r>
          </w:p>
          <w:p w14:paraId="5D3A288B" w14:textId="621C5E66" w:rsidR="00BB027E" w:rsidRPr="00013E48" w:rsidRDefault="00BB027E" w:rsidP="00BB027E">
            <w:pPr>
              <w:jc w:val="both"/>
              <w:rPr>
                <w:bCs/>
                <w:iCs/>
              </w:rPr>
            </w:pPr>
            <w:r w:rsidRPr="00013E48">
              <w:rPr>
                <w:bCs/>
                <w:iCs/>
              </w:rPr>
              <w:t>“</w:t>
            </w:r>
            <w:r w:rsidRPr="00013E48">
              <w:rPr>
                <w:vertAlign w:val="superscript"/>
              </w:rPr>
              <w:t>1</w:t>
            </w:r>
            <w:r w:rsidRPr="00013E48">
              <w:t xml:space="preserve"> Lieto testēšanas metodes, kas norādītas standartā </w:t>
            </w:r>
            <w:bookmarkStart w:id="2" w:name="_Hlk24624082"/>
            <w:r w:rsidRPr="00013E48">
              <w:t xml:space="preserve">LVS EN 15293:2018 "Automobiļu degvielas. Automobiļu degviela – </w:t>
            </w:r>
            <w:proofErr w:type="spellStart"/>
            <w:r w:rsidRPr="00013E48">
              <w:t>etanols</w:t>
            </w:r>
            <w:proofErr w:type="spellEnd"/>
            <w:r w:rsidRPr="00013E48">
              <w:t xml:space="preserve"> E85. Prasības un testa metodes</w:t>
            </w:r>
            <w:bookmarkEnd w:id="2"/>
            <w:r w:rsidRPr="00013E48">
              <w:t>".</w:t>
            </w:r>
            <w:r w:rsidR="00F54513" w:rsidRPr="00013E48">
              <w:t>”</w:t>
            </w:r>
            <w:r w:rsidRPr="00013E48">
              <w:t>;</w:t>
            </w:r>
            <w:r w:rsidRPr="00013E48">
              <w:rPr>
                <w:bCs/>
                <w:iCs/>
              </w:rPr>
              <w:t>”</w:t>
            </w:r>
          </w:p>
        </w:tc>
      </w:tr>
      <w:tr w:rsidR="00B86700" w:rsidRPr="00013E48" w14:paraId="36689DD2" w14:textId="77777777" w:rsidTr="00013211">
        <w:trPr>
          <w:gridBefore w:val="1"/>
          <w:wBefore w:w="8" w:type="dxa"/>
        </w:trPr>
        <w:tc>
          <w:tcPr>
            <w:tcW w:w="685" w:type="dxa"/>
            <w:tcBorders>
              <w:left w:val="single" w:sz="6" w:space="0" w:color="000000"/>
              <w:bottom w:val="single" w:sz="4" w:space="0" w:color="auto"/>
              <w:right w:val="single" w:sz="6" w:space="0" w:color="000000"/>
            </w:tcBorders>
          </w:tcPr>
          <w:p w14:paraId="2F82AE69" w14:textId="77777777" w:rsidR="00567E6F" w:rsidRPr="00013E48" w:rsidRDefault="00567E6F" w:rsidP="005E661B">
            <w:r w:rsidRPr="00013E48">
              <w:lastRenderedPageBreak/>
              <w:t>4.</w:t>
            </w:r>
          </w:p>
        </w:tc>
        <w:tc>
          <w:tcPr>
            <w:tcW w:w="2902" w:type="dxa"/>
            <w:tcBorders>
              <w:left w:val="single" w:sz="6" w:space="0" w:color="000000"/>
              <w:bottom w:val="single" w:sz="4" w:space="0" w:color="auto"/>
              <w:right w:val="single" w:sz="6" w:space="0" w:color="000000"/>
            </w:tcBorders>
          </w:tcPr>
          <w:p w14:paraId="4369C16B" w14:textId="709085C3" w:rsidR="00567E6F" w:rsidRPr="00013E48" w:rsidRDefault="00567E6F" w:rsidP="005E661B">
            <w:pPr>
              <w:shd w:val="clear" w:color="auto" w:fill="FFFFFF"/>
              <w:jc w:val="both"/>
            </w:pPr>
            <w:r w:rsidRPr="00013E48">
              <w:rPr>
                <w:bCs/>
                <w:iCs/>
              </w:rPr>
              <w:t xml:space="preserve">Anotācijas </w:t>
            </w:r>
            <w:r w:rsidR="0052447C" w:rsidRPr="00013E48">
              <w:rPr>
                <w:bCs/>
                <w:iCs/>
              </w:rPr>
              <w:t>IV. sadaļas 1. punkts</w:t>
            </w:r>
          </w:p>
        </w:tc>
        <w:tc>
          <w:tcPr>
            <w:tcW w:w="4122" w:type="dxa"/>
            <w:tcBorders>
              <w:left w:val="single" w:sz="6" w:space="0" w:color="000000"/>
              <w:bottom w:val="single" w:sz="4" w:space="0" w:color="auto"/>
              <w:right w:val="single" w:sz="6" w:space="0" w:color="000000"/>
            </w:tcBorders>
          </w:tcPr>
          <w:p w14:paraId="4B2E0674" w14:textId="77777777" w:rsidR="00567E6F" w:rsidRPr="00013E48" w:rsidRDefault="00567E6F" w:rsidP="005E661B">
            <w:pPr>
              <w:pStyle w:val="naisc"/>
              <w:spacing w:before="0" w:after="0"/>
              <w:jc w:val="both"/>
              <w:rPr>
                <w:b/>
                <w:bCs/>
              </w:rPr>
            </w:pPr>
            <w:r w:rsidRPr="00013E48">
              <w:rPr>
                <w:b/>
                <w:bCs/>
              </w:rPr>
              <w:t>Tieslietu ministrijas 03.10.2019. iebildums:</w:t>
            </w:r>
          </w:p>
          <w:p w14:paraId="3FBA6F26" w14:textId="0189041E" w:rsidR="00567E6F" w:rsidRPr="00013E48" w:rsidRDefault="00567E6F" w:rsidP="005E661B">
            <w:pPr>
              <w:widowControl w:val="0"/>
              <w:tabs>
                <w:tab w:val="left" w:pos="709"/>
                <w:tab w:val="left" w:pos="851"/>
                <w:tab w:val="left" w:pos="993"/>
              </w:tabs>
              <w:jc w:val="both"/>
              <w:rPr>
                <w:bCs/>
                <w:iCs/>
              </w:rPr>
            </w:pPr>
            <w:r w:rsidRPr="00013E48">
              <w:t>“</w:t>
            </w:r>
            <w:r w:rsidR="005E661B" w:rsidRPr="00013E48">
              <w:t xml:space="preserve">4. </w:t>
            </w:r>
            <w:r w:rsidR="005E661B" w:rsidRPr="00013E48">
              <w:rPr>
                <w:bCs/>
                <w:iCs/>
              </w:rPr>
              <w:t>Lūdzam precizēt projekta anotācijas IV sadaļas 1. punktu atbilstoši instrukcijas 54. punktam, skaidrojot grozījumu nepieciešamību un būtību IV sadaļas 1. punktā norādītajos likumos un Ministru kabineta noteikumos, īpaši, Energoefektivitātes likumā, un Elektroenerģijas tirgus likumā</w:t>
            </w:r>
            <w:r w:rsidRPr="00013E48">
              <w:rPr>
                <w:bCs/>
                <w:iCs/>
              </w:rPr>
              <w:t>.”</w:t>
            </w:r>
          </w:p>
        </w:tc>
        <w:tc>
          <w:tcPr>
            <w:tcW w:w="3482" w:type="dxa"/>
            <w:gridSpan w:val="2"/>
            <w:tcBorders>
              <w:left w:val="single" w:sz="6" w:space="0" w:color="000000"/>
              <w:bottom w:val="single" w:sz="4" w:space="0" w:color="auto"/>
              <w:right w:val="single" w:sz="6" w:space="0" w:color="000000"/>
            </w:tcBorders>
          </w:tcPr>
          <w:p w14:paraId="31AF9C68" w14:textId="4E5BB093" w:rsidR="00567E6F" w:rsidRPr="00013E48" w:rsidRDefault="00567E6F" w:rsidP="00585B1D">
            <w:pPr>
              <w:pStyle w:val="naisc"/>
              <w:spacing w:before="0" w:after="0"/>
              <w:rPr>
                <w:b/>
              </w:rPr>
            </w:pPr>
            <w:r w:rsidRPr="00013E48">
              <w:rPr>
                <w:b/>
              </w:rPr>
              <w:t>Ņemts vērā</w:t>
            </w:r>
          </w:p>
        </w:tc>
        <w:tc>
          <w:tcPr>
            <w:tcW w:w="2912" w:type="dxa"/>
            <w:tcBorders>
              <w:top w:val="single" w:sz="4" w:space="0" w:color="auto"/>
              <w:left w:val="single" w:sz="4" w:space="0" w:color="auto"/>
              <w:bottom w:val="single" w:sz="4" w:space="0" w:color="auto"/>
            </w:tcBorders>
          </w:tcPr>
          <w:p w14:paraId="391003A5" w14:textId="3FF1695D" w:rsidR="00567E6F" w:rsidRPr="00013E48" w:rsidRDefault="00585B1D" w:rsidP="005E661B">
            <w:pPr>
              <w:pStyle w:val="tv213"/>
              <w:shd w:val="clear" w:color="auto" w:fill="FFFFFF"/>
              <w:spacing w:before="0" w:beforeAutospacing="0" w:after="0" w:afterAutospacing="0"/>
              <w:jc w:val="both"/>
            </w:pPr>
            <w:r w:rsidRPr="00013E48">
              <w:t xml:space="preserve">Sagatavota atsevišķa noteikumu projekta anotācija, t.sk. atbilstoši aizpildīts </w:t>
            </w:r>
            <w:r w:rsidRPr="00013E48">
              <w:rPr>
                <w:bCs/>
                <w:iCs/>
              </w:rPr>
              <w:t>IV. sadaļas 1. punkts.</w:t>
            </w:r>
          </w:p>
        </w:tc>
      </w:tr>
      <w:tr w:rsidR="00B86700" w:rsidRPr="00013E48" w14:paraId="6CA37CB1" w14:textId="15051AA0" w:rsidTr="005A10FC">
        <w:trPr>
          <w:gridBefore w:val="1"/>
          <w:wBefore w:w="8" w:type="dxa"/>
        </w:trPr>
        <w:tc>
          <w:tcPr>
            <w:tcW w:w="685" w:type="dxa"/>
            <w:tcBorders>
              <w:left w:val="single" w:sz="6" w:space="0" w:color="000000"/>
              <w:bottom w:val="single" w:sz="4" w:space="0" w:color="auto"/>
              <w:right w:val="single" w:sz="6" w:space="0" w:color="000000"/>
            </w:tcBorders>
          </w:tcPr>
          <w:p w14:paraId="471302F9" w14:textId="2BA6ED3C" w:rsidR="00A07A5E" w:rsidRPr="00013E48" w:rsidRDefault="00BB027E" w:rsidP="005E661B">
            <w:r w:rsidRPr="00013E48">
              <w:t>5</w:t>
            </w:r>
            <w:r w:rsidR="00A07A5E" w:rsidRPr="00013E48">
              <w:t>.</w:t>
            </w:r>
          </w:p>
        </w:tc>
        <w:tc>
          <w:tcPr>
            <w:tcW w:w="2902" w:type="dxa"/>
            <w:tcBorders>
              <w:left w:val="single" w:sz="6" w:space="0" w:color="000000"/>
              <w:bottom w:val="single" w:sz="4" w:space="0" w:color="auto"/>
              <w:right w:val="single" w:sz="6" w:space="0" w:color="000000"/>
            </w:tcBorders>
          </w:tcPr>
          <w:p w14:paraId="3F65DD1A" w14:textId="31DCBF43" w:rsidR="00A07A5E" w:rsidRPr="00013E48" w:rsidRDefault="00A07A5E" w:rsidP="005E661B">
            <w:pPr>
              <w:contextualSpacing/>
              <w:jc w:val="both"/>
            </w:pPr>
            <w:r w:rsidRPr="00013E48">
              <w:t>Noteikumu projekta 1.10. apakšpunkts:</w:t>
            </w:r>
          </w:p>
          <w:p w14:paraId="1E7DCCEA" w14:textId="748C6FAE" w:rsidR="00A07A5E" w:rsidRPr="00013E48" w:rsidRDefault="00A07A5E" w:rsidP="005E661B">
            <w:pPr>
              <w:shd w:val="clear" w:color="auto" w:fill="FFFFFF"/>
              <w:jc w:val="both"/>
            </w:pPr>
            <w:r w:rsidRPr="00013E48">
              <w:t>“1.10.  izteikt 6. punktu šādā redakcijā:</w:t>
            </w:r>
          </w:p>
          <w:p w14:paraId="448047BD" w14:textId="56972828" w:rsidR="00B86700" w:rsidRPr="00B86700" w:rsidRDefault="00A07A5E" w:rsidP="00B86700">
            <w:pPr>
              <w:shd w:val="clear" w:color="auto" w:fill="FFFFFF"/>
              <w:jc w:val="both"/>
            </w:pPr>
            <w:r w:rsidRPr="00013E48">
              <w:t>“6.</w:t>
            </w:r>
            <w:r w:rsidRPr="00013E48">
              <w:rPr>
                <w:vertAlign w:val="superscript"/>
              </w:rPr>
              <w:t xml:space="preserve"> </w:t>
            </w:r>
            <w:r w:rsidRPr="00013E48">
              <w:t xml:space="preserve">Šo noteikumu 2.4. apakšpunktā minētā produkta kvalitātes prasības atbilst standartam LVS EN 16709+A1:2019 "Automobiļu degvielas. Dīzeļdegviela ar paaugstinātu taukskābes </w:t>
            </w:r>
            <w:proofErr w:type="spellStart"/>
            <w:r w:rsidRPr="00013E48">
              <w:t>metilesteru</w:t>
            </w:r>
            <w:proofErr w:type="spellEnd"/>
            <w:r w:rsidRPr="00013E48">
              <w:t xml:space="preserve"> (FAME) saturu (B20 vai B30). Prasības un testa metodes".”;”</w:t>
            </w:r>
          </w:p>
          <w:p w14:paraId="7F8AFDDD" w14:textId="1239F55C" w:rsidR="00B86700" w:rsidRPr="00B86700" w:rsidRDefault="00B86700" w:rsidP="00B86700"/>
          <w:p w14:paraId="54867774" w14:textId="77777777" w:rsidR="00B86700" w:rsidRPr="00013E48" w:rsidRDefault="00B86700" w:rsidP="00B86700"/>
          <w:p w14:paraId="7E64B63A" w14:textId="78AFBFC2" w:rsidR="00B86700" w:rsidRPr="00013E48" w:rsidRDefault="00B86700" w:rsidP="00B86700"/>
          <w:p w14:paraId="095C7CE0" w14:textId="77777777" w:rsidR="00B86700" w:rsidRPr="00013E48" w:rsidRDefault="00B86700" w:rsidP="00B86700"/>
          <w:p w14:paraId="1F8493A9" w14:textId="3C2178A9" w:rsidR="00B86700" w:rsidRPr="00013E48" w:rsidRDefault="00B86700" w:rsidP="00B86700"/>
          <w:p w14:paraId="6B1EC30F" w14:textId="77777777" w:rsidR="00B86700" w:rsidRPr="00013E48" w:rsidRDefault="00B86700" w:rsidP="00B86700"/>
          <w:p w14:paraId="53145991" w14:textId="4EBCE0D3" w:rsidR="00B86700" w:rsidRPr="00013E48" w:rsidRDefault="00B86700" w:rsidP="00B86700"/>
          <w:p w14:paraId="3F09CDA1" w14:textId="77777777" w:rsidR="00B86700" w:rsidRPr="00013E48" w:rsidRDefault="00B86700" w:rsidP="00013E48"/>
          <w:p w14:paraId="4CAD330B" w14:textId="42B45A78" w:rsidR="00B86700" w:rsidRPr="00013E48" w:rsidRDefault="00B86700" w:rsidP="00013E48"/>
        </w:tc>
        <w:tc>
          <w:tcPr>
            <w:tcW w:w="4122" w:type="dxa"/>
            <w:tcBorders>
              <w:left w:val="single" w:sz="6" w:space="0" w:color="000000"/>
              <w:bottom w:val="single" w:sz="4" w:space="0" w:color="auto"/>
              <w:right w:val="single" w:sz="6" w:space="0" w:color="000000"/>
            </w:tcBorders>
          </w:tcPr>
          <w:p w14:paraId="2B8BFD9F" w14:textId="43A33FA3" w:rsidR="00A07A5E" w:rsidRPr="00013E48" w:rsidRDefault="00A07A5E" w:rsidP="005E661B">
            <w:pPr>
              <w:pStyle w:val="naisc"/>
              <w:spacing w:before="0" w:after="0"/>
              <w:jc w:val="both"/>
              <w:rPr>
                <w:b/>
                <w:bCs/>
              </w:rPr>
            </w:pPr>
            <w:r w:rsidRPr="00013E48">
              <w:rPr>
                <w:b/>
                <w:bCs/>
              </w:rPr>
              <w:lastRenderedPageBreak/>
              <w:t>Finanšu ministrijas 02.10.2019. iebildums:</w:t>
            </w:r>
          </w:p>
          <w:p w14:paraId="33A70859" w14:textId="4CB001B9" w:rsidR="00A07A5E" w:rsidRPr="00013E48" w:rsidRDefault="00A07A5E" w:rsidP="005E661B">
            <w:pPr>
              <w:pStyle w:val="ListParagraph"/>
              <w:tabs>
                <w:tab w:val="left" w:pos="851"/>
                <w:tab w:val="left" w:pos="993"/>
              </w:tabs>
              <w:spacing w:after="0" w:line="240" w:lineRule="auto"/>
              <w:ind w:left="0"/>
              <w:jc w:val="both"/>
              <w:rPr>
                <w:rFonts w:ascii="Times New Roman" w:hAnsi="Times New Roman"/>
                <w:bCs/>
                <w:iCs/>
                <w:sz w:val="24"/>
                <w:szCs w:val="24"/>
              </w:rPr>
            </w:pPr>
            <w:r w:rsidRPr="00013E48">
              <w:rPr>
                <w:rFonts w:ascii="Times New Roman" w:hAnsi="Times New Roman"/>
                <w:sz w:val="24"/>
                <w:szCs w:val="24"/>
              </w:rPr>
              <w:t>“</w:t>
            </w:r>
            <w:r w:rsidRPr="00013E48">
              <w:rPr>
                <w:rFonts w:ascii="Times New Roman" w:hAnsi="Times New Roman"/>
                <w:sz w:val="24"/>
                <w:szCs w:val="24"/>
                <w:lang w:eastAsia="lv-LV"/>
              </w:rPr>
              <w:t xml:space="preserve">Ņemot vērā, ka noteikumu projekta 1.10.apakšpunkts paredz izteikt Ministru kabineta 2005.gada 18.oktobra noteikumu Nr.772 “Noteikumi par biodegvielas kvalitātes prasībām, atbilstības novērtēšanu, tirgus uzraudzību un patērētāju informēšanas kārtību” (turpmāk – MK noteikumi Nr.772) 6.punktu jaunā redakcijā, paredzot dīzeļdegvielas ar paaugstinātu taukskābes </w:t>
            </w:r>
            <w:proofErr w:type="spellStart"/>
            <w:r w:rsidRPr="00013E48">
              <w:rPr>
                <w:rFonts w:ascii="Times New Roman" w:hAnsi="Times New Roman"/>
                <w:sz w:val="24"/>
                <w:szCs w:val="24"/>
                <w:lang w:eastAsia="lv-LV"/>
              </w:rPr>
              <w:t>metilesteru</w:t>
            </w:r>
            <w:proofErr w:type="spellEnd"/>
            <w:r w:rsidRPr="00013E48">
              <w:rPr>
                <w:rFonts w:ascii="Times New Roman" w:hAnsi="Times New Roman"/>
                <w:sz w:val="24"/>
                <w:szCs w:val="24"/>
                <w:lang w:eastAsia="lv-LV"/>
              </w:rPr>
              <w:t xml:space="preserve"> (FAME) saturu (B20 un B30) kvalitātes prasības noteikt atbilstoši standartam LVS EN 16709+A1:2019, atbilstoši ir jāgroza arī MK noteikumu Nr.772 2.4.apakšpunkta redakcija, lai tā būtu saskaņota ar grozītā 6.punkta redakciju.”</w:t>
            </w:r>
          </w:p>
        </w:tc>
        <w:tc>
          <w:tcPr>
            <w:tcW w:w="3482" w:type="dxa"/>
            <w:gridSpan w:val="2"/>
            <w:tcBorders>
              <w:left w:val="single" w:sz="6" w:space="0" w:color="000000"/>
              <w:bottom w:val="single" w:sz="4" w:space="0" w:color="auto"/>
              <w:right w:val="single" w:sz="6" w:space="0" w:color="000000"/>
            </w:tcBorders>
          </w:tcPr>
          <w:p w14:paraId="35554BA1" w14:textId="64B6EC17" w:rsidR="00A07A5E" w:rsidRPr="00013E48" w:rsidRDefault="00A07A5E" w:rsidP="005E661B">
            <w:pPr>
              <w:pStyle w:val="naisc"/>
              <w:spacing w:before="0" w:after="0"/>
              <w:rPr>
                <w:b/>
              </w:rPr>
            </w:pPr>
            <w:r w:rsidRPr="00013E48">
              <w:rPr>
                <w:b/>
              </w:rPr>
              <w:t>Ņemts vērā</w:t>
            </w:r>
          </w:p>
        </w:tc>
        <w:tc>
          <w:tcPr>
            <w:tcW w:w="2912" w:type="dxa"/>
            <w:tcBorders>
              <w:top w:val="single" w:sz="4" w:space="0" w:color="auto"/>
              <w:left w:val="single" w:sz="4" w:space="0" w:color="auto"/>
              <w:bottom w:val="single" w:sz="4" w:space="0" w:color="auto"/>
            </w:tcBorders>
          </w:tcPr>
          <w:p w14:paraId="52135109" w14:textId="0D0EEBB7" w:rsidR="00A07A5E" w:rsidRPr="00013E48" w:rsidRDefault="00A07A5E" w:rsidP="005E661B">
            <w:pPr>
              <w:contextualSpacing/>
              <w:jc w:val="both"/>
            </w:pPr>
            <w:r w:rsidRPr="00013E48">
              <w:t>Noteikumu projekta 1.</w:t>
            </w:r>
            <w:r w:rsidR="00C16AA2" w:rsidRPr="00013E48">
              <w:t>4</w:t>
            </w:r>
            <w:r w:rsidRPr="00013E48">
              <w:t>. apakšpunkts:</w:t>
            </w:r>
          </w:p>
          <w:p w14:paraId="3CED814C" w14:textId="6B0DBCD4" w:rsidR="00C16AA2" w:rsidRPr="00013E48" w:rsidRDefault="00A07A5E" w:rsidP="005E661B">
            <w:pPr>
              <w:shd w:val="clear" w:color="auto" w:fill="FFFFFF"/>
              <w:jc w:val="both"/>
            </w:pPr>
            <w:r w:rsidRPr="00013E48">
              <w:t>“1</w:t>
            </w:r>
            <w:r w:rsidR="00C16AA2" w:rsidRPr="00013E48">
              <w:t>.4. izteikt 2.4. apakšpunktu šādā redakcijā:</w:t>
            </w:r>
          </w:p>
          <w:p w14:paraId="3ABDB46C" w14:textId="731C7289" w:rsidR="00A07A5E" w:rsidRPr="00013E48" w:rsidRDefault="00C16AA2" w:rsidP="005E661B">
            <w:pPr>
              <w:shd w:val="clear" w:color="auto" w:fill="FFFFFF"/>
              <w:jc w:val="both"/>
            </w:pPr>
            <w:r w:rsidRPr="00013E48">
              <w:t>“2.4. dīzeļdegvielu ar paaugstinātu taukskāb</w:t>
            </w:r>
            <w:r w:rsidR="00214E81" w:rsidRPr="00013E48">
              <w:t>ju</w:t>
            </w:r>
            <w:r w:rsidRPr="00013E48">
              <w:t xml:space="preserve"> </w:t>
            </w:r>
            <w:proofErr w:type="spellStart"/>
            <w:r w:rsidRPr="00013E48">
              <w:t>metilesteru</w:t>
            </w:r>
            <w:proofErr w:type="spellEnd"/>
            <w:r w:rsidRPr="00013E48">
              <w:t xml:space="preserve"> (FAME) saturu (B20 vai B30)</w:t>
            </w:r>
            <w:r w:rsidRPr="00013E48">
              <w:rPr>
                <w:shd w:val="clear" w:color="auto" w:fill="FFFFFF"/>
              </w:rPr>
              <w:t>;</w:t>
            </w:r>
            <w:r w:rsidRPr="00013E48">
              <w:rPr>
                <w:vertAlign w:val="superscript"/>
              </w:rPr>
              <w:t xml:space="preserve"> </w:t>
            </w:r>
            <w:r w:rsidRPr="00013E48">
              <w:t>”;</w:t>
            </w:r>
            <w:r w:rsidR="00A07A5E" w:rsidRPr="00013E48">
              <w:t>”</w:t>
            </w:r>
          </w:p>
          <w:p w14:paraId="3C63A81A" w14:textId="66553C72" w:rsidR="001C630E" w:rsidRPr="00013E48" w:rsidRDefault="001C630E" w:rsidP="005E661B">
            <w:pPr>
              <w:shd w:val="clear" w:color="auto" w:fill="FFFFFF"/>
              <w:jc w:val="both"/>
            </w:pPr>
          </w:p>
          <w:p w14:paraId="5634BD9E" w14:textId="32CB50BD" w:rsidR="001C630E" w:rsidRPr="00013E48" w:rsidRDefault="001C630E" w:rsidP="001C630E">
            <w:pPr>
              <w:contextualSpacing/>
              <w:jc w:val="both"/>
            </w:pPr>
            <w:r w:rsidRPr="00013E48">
              <w:t>Noteikumu projekta 1.1</w:t>
            </w:r>
            <w:r w:rsidR="00CF5D48" w:rsidRPr="00013E48">
              <w:t>1</w:t>
            </w:r>
            <w:r w:rsidRPr="00013E48">
              <w:t>. apakšpunkts:</w:t>
            </w:r>
          </w:p>
          <w:p w14:paraId="405B3DE0" w14:textId="55435025" w:rsidR="001C630E" w:rsidRPr="00013E48" w:rsidRDefault="001C630E" w:rsidP="001C630E">
            <w:pPr>
              <w:shd w:val="clear" w:color="auto" w:fill="FFFFFF"/>
              <w:jc w:val="both"/>
            </w:pPr>
            <w:r w:rsidRPr="00013E48">
              <w:t>“1.1</w:t>
            </w:r>
            <w:r w:rsidR="00CF5D48" w:rsidRPr="00013E48">
              <w:t>1</w:t>
            </w:r>
            <w:r w:rsidRPr="00013E48">
              <w:t>.  izteikt 6. punktu šādā redakcijā:</w:t>
            </w:r>
          </w:p>
          <w:p w14:paraId="0CA337E1" w14:textId="7F4F01CD" w:rsidR="001C630E" w:rsidRPr="00013E48" w:rsidRDefault="001C630E" w:rsidP="006938E7">
            <w:pPr>
              <w:pStyle w:val="tv213"/>
              <w:shd w:val="clear" w:color="auto" w:fill="FFFFFF"/>
              <w:spacing w:before="0" w:beforeAutospacing="0" w:after="0" w:afterAutospacing="0"/>
              <w:jc w:val="both"/>
            </w:pPr>
            <w:r w:rsidRPr="00013E48">
              <w:t>“6.</w:t>
            </w:r>
            <w:r w:rsidRPr="00013E48">
              <w:rPr>
                <w:vertAlign w:val="superscript"/>
              </w:rPr>
              <w:t xml:space="preserve"> </w:t>
            </w:r>
            <w:r w:rsidRPr="00013E48">
              <w:t xml:space="preserve">Šo noteikumu 2.4. apakšpunktā minētā produkta kvalitātes prasības atbilst standartam LVS EN 16709+A1:2019 "Automobiļu degvielas. Dīzeļdegviela ar paaugstinātu taukskābes </w:t>
            </w:r>
            <w:proofErr w:type="spellStart"/>
            <w:r w:rsidRPr="00013E48">
              <w:t>metilesteru</w:t>
            </w:r>
            <w:proofErr w:type="spellEnd"/>
            <w:r w:rsidRPr="00013E48">
              <w:t xml:space="preserve"> (FAME) saturu </w:t>
            </w:r>
            <w:r w:rsidRPr="00013E48">
              <w:lastRenderedPageBreak/>
              <w:t>(B20 vai B30). Prasības un testa metodes".”;”</w:t>
            </w:r>
          </w:p>
        </w:tc>
      </w:tr>
      <w:tr w:rsidR="00B86700" w:rsidRPr="00013E48"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255E2DF2" w14:textId="77777777" w:rsidR="00CD6C2C" w:rsidRPr="00013E48" w:rsidRDefault="00CD6C2C" w:rsidP="005E661B"/>
          <w:p w14:paraId="40B03A3B" w14:textId="208B919E" w:rsidR="007132C5" w:rsidRPr="00013E48" w:rsidRDefault="003B71E0" w:rsidP="005E661B">
            <w:r w:rsidRPr="00013E48">
              <w:br w:type="page"/>
            </w:r>
            <w:r w:rsidR="007132C5" w:rsidRPr="00013E48">
              <w:t>Līga Mičule</w:t>
            </w:r>
          </w:p>
        </w:tc>
      </w:tr>
      <w:tr w:rsidR="00B86700" w:rsidRPr="00013E48"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013E48" w:rsidRDefault="00184479" w:rsidP="005E661B">
            <w:pPr>
              <w:jc w:val="center"/>
            </w:pPr>
            <w:r w:rsidRPr="00013E48">
              <w:t>(</w:t>
            </w:r>
            <w:r w:rsidR="008655A2" w:rsidRPr="00013E48">
              <w:t xml:space="preserve">par projektu atbildīgās amatpersonas </w:t>
            </w:r>
            <w:r w:rsidRPr="00013E48">
              <w:t xml:space="preserve">vārds un </w:t>
            </w:r>
            <w:r w:rsidR="008655A2" w:rsidRPr="00013E48">
              <w:t>uzvārds</w:t>
            </w:r>
            <w:r w:rsidRPr="00013E48">
              <w:t>)</w:t>
            </w:r>
          </w:p>
        </w:tc>
      </w:tr>
      <w:tr w:rsidR="00B86700" w:rsidRPr="00013E48"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013E48" w:rsidRDefault="007132C5" w:rsidP="005E661B">
            <w:r w:rsidRPr="00013E48">
              <w:t>Vecākā eksperte</w:t>
            </w:r>
          </w:p>
        </w:tc>
      </w:tr>
      <w:tr w:rsidR="00B86700" w:rsidRPr="00013E48"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013E48" w:rsidRDefault="00184479" w:rsidP="005E661B">
            <w:pPr>
              <w:jc w:val="center"/>
            </w:pPr>
            <w:r w:rsidRPr="00013E48">
              <w:t>(</w:t>
            </w:r>
            <w:r w:rsidR="008655A2" w:rsidRPr="00013E48">
              <w:t>amats</w:t>
            </w:r>
            <w:r w:rsidRPr="00013E48">
              <w:t>)</w:t>
            </w:r>
          </w:p>
        </w:tc>
      </w:tr>
      <w:tr w:rsidR="00B86700" w:rsidRPr="00013E48"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013E48" w:rsidRDefault="007132C5" w:rsidP="005E661B">
            <w:r w:rsidRPr="00013E48">
              <w:t>67013030</w:t>
            </w:r>
          </w:p>
        </w:tc>
      </w:tr>
      <w:tr w:rsidR="00B86700" w:rsidRPr="00013E48"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013E48" w:rsidRDefault="00184479" w:rsidP="005E661B">
            <w:pPr>
              <w:jc w:val="center"/>
            </w:pPr>
            <w:r w:rsidRPr="00013E48">
              <w:t>(</w:t>
            </w:r>
            <w:r w:rsidR="008655A2" w:rsidRPr="00013E48">
              <w:t>tālruņa un faksa numurs</w:t>
            </w:r>
            <w:r w:rsidRPr="00013E48">
              <w:t>)</w:t>
            </w:r>
          </w:p>
        </w:tc>
      </w:tr>
      <w:tr w:rsidR="00B86700" w:rsidRPr="00013E48"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013E48" w:rsidRDefault="007132C5" w:rsidP="005E661B">
            <w:r w:rsidRPr="00013E48">
              <w:t>Liga.Micule@em.gov.lv</w:t>
            </w:r>
          </w:p>
        </w:tc>
      </w:tr>
      <w:tr w:rsidR="00B86700" w:rsidRPr="00013E48"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013E48" w:rsidRDefault="00184479" w:rsidP="005E661B">
            <w:pPr>
              <w:jc w:val="center"/>
            </w:pPr>
            <w:r w:rsidRPr="00013E48">
              <w:t>(</w:t>
            </w:r>
            <w:r w:rsidR="008655A2" w:rsidRPr="00013E48">
              <w:t>e-pasta adrese</w:t>
            </w:r>
            <w:r w:rsidRPr="00013E48">
              <w:t>)</w:t>
            </w:r>
          </w:p>
        </w:tc>
      </w:tr>
    </w:tbl>
    <w:p w14:paraId="2D1D7382" w14:textId="77777777" w:rsidR="003B71E0" w:rsidRPr="00013E48" w:rsidRDefault="003B71E0" w:rsidP="005E661B">
      <w:pPr>
        <w:pStyle w:val="naisf"/>
        <w:spacing w:before="0" w:after="0"/>
        <w:ind w:firstLine="0"/>
        <w:jc w:val="left"/>
      </w:pPr>
    </w:p>
    <w:sectPr w:rsidR="003B71E0" w:rsidRPr="00013E48"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3028" w14:textId="77777777" w:rsidR="008D1B53" w:rsidRDefault="008D1B53">
      <w:r>
        <w:separator/>
      </w:r>
    </w:p>
  </w:endnote>
  <w:endnote w:type="continuationSeparator" w:id="0">
    <w:p w14:paraId="51CA9692" w14:textId="77777777" w:rsidR="008D1B53" w:rsidRDefault="008D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2562F0C6" w:rsidR="006455E7" w:rsidRPr="00013E48" w:rsidRDefault="003E0C78" w:rsidP="003E0C78">
    <w:pPr>
      <w:pStyle w:val="Footer"/>
    </w:pPr>
    <w:r w:rsidRPr="00013E48">
      <w:fldChar w:fldCharType="begin"/>
    </w:r>
    <w:r w:rsidRPr="00013E48">
      <w:instrText xml:space="preserve"> FILENAME   \* MERGEFORMAT </w:instrText>
    </w:r>
    <w:r w:rsidRPr="00013E48">
      <w:fldChar w:fldCharType="separate"/>
    </w:r>
    <w:r w:rsidR="00B86700" w:rsidRPr="00013E48">
      <w:rPr>
        <w:noProof/>
      </w:rPr>
      <w:t>EMIzz_031219_groz772.docx</w:t>
    </w:r>
    <w:r w:rsidRPr="00013E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5FBBB145" w:rsidR="006455E7" w:rsidRPr="00013E48" w:rsidRDefault="003E0C78" w:rsidP="003E0C78">
    <w:pPr>
      <w:pStyle w:val="Footer"/>
    </w:pPr>
    <w:r w:rsidRPr="00013E48">
      <w:fldChar w:fldCharType="begin"/>
    </w:r>
    <w:r w:rsidRPr="00013E48">
      <w:instrText xml:space="preserve"> FILENAME   \* MERGEFORMAT </w:instrText>
    </w:r>
    <w:r w:rsidRPr="00013E48">
      <w:fldChar w:fldCharType="separate"/>
    </w:r>
    <w:r w:rsidR="00BA26B8" w:rsidRPr="00013E48">
      <w:rPr>
        <w:noProof/>
      </w:rPr>
      <w:t>EMIzz_031219_groz772.docx</w:t>
    </w:r>
    <w:r w:rsidRPr="00013E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5A40" w14:textId="77777777" w:rsidR="008D1B53" w:rsidRDefault="008D1B53">
      <w:r>
        <w:separator/>
      </w:r>
    </w:p>
  </w:footnote>
  <w:footnote w:type="continuationSeparator" w:id="0">
    <w:p w14:paraId="67AC8B3B" w14:textId="77777777" w:rsidR="008D1B53" w:rsidRDefault="008D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34A4CC3"/>
    <w:multiLevelType w:val="multilevel"/>
    <w:tmpl w:val="27C8A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3E48"/>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3DB5"/>
    <w:rsid w:val="0003413A"/>
    <w:rsid w:val="000349CA"/>
    <w:rsid w:val="0003557A"/>
    <w:rsid w:val="000358B5"/>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CEC"/>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81E"/>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179"/>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1070"/>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0B9"/>
    <w:rsid w:val="00181BAA"/>
    <w:rsid w:val="00181D2D"/>
    <w:rsid w:val="0018210A"/>
    <w:rsid w:val="00182DE0"/>
    <w:rsid w:val="0018386C"/>
    <w:rsid w:val="00184479"/>
    <w:rsid w:val="0018472C"/>
    <w:rsid w:val="00184809"/>
    <w:rsid w:val="00184838"/>
    <w:rsid w:val="00185755"/>
    <w:rsid w:val="00187398"/>
    <w:rsid w:val="001876C2"/>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03D"/>
    <w:rsid w:val="001C0824"/>
    <w:rsid w:val="001C0B83"/>
    <w:rsid w:val="001C1510"/>
    <w:rsid w:val="001C1989"/>
    <w:rsid w:val="001C28FD"/>
    <w:rsid w:val="001C3349"/>
    <w:rsid w:val="001C4ABA"/>
    <w:rsid w:val="001C546B"/>
    <w:rsid w:val="001C5EA2"/>
    <w:rsid w:val="001C630E"/>
    <w:rsid w:val="001C6608"/>
    <w:rsid w:val="001C6C7D"/>
    <w:rsid w:val="001D1CB1"/>
    <w:rsid w:val="001D2AC0"/>
    <w:rsid w:val="001D2DBA"/>
    <w:rsid w:val="001D2DCB"/>
    <w:rsid w:val="001D2FD0"/>
    <w:rsid w:val="001D3830"/>
    <w:rsid w:val="001D3BA6"/>
    <w:rsid w:val="001D5564"/>
    <w:rsid w:val="001D56BB"/>
    <w:rsid w:val="001D6F3B"/>
    <w:rsid w:val="001D6FAA"/>
    <w:rsid w:val="001D70FA"/>
    <w:rsid w:val="001D7BA9"/>
    <w:rsid w:val="001E039D"/>
    <w:rsid w:val="001E04CA"/>
    <w:rsid w:val="001E14A9"/>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4E81"/>
    <w:rsid w:val="00215BFE"/>
    <w:rsid w:val="00215C44"/>
    <w:rsid w:val="00216E73"/>
    <w:rsid w:val="0021774C"/>
    <w:rsid w:val="00217FF6"/>
    <w:rsid w:val="00221D8A"/>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65A"/>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36A9"/>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0"/>
    <w:rsid w:val="00346EB6"/>
    <w:rsid w:val="00347EDB"/>
    <w:rsid w:val="00350797"/>
    <w:rsid w:val="00351A85"/>
    <w:rsid w:val="003522E8"/>
    <w:rsid w:val="0035266E"/>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7C3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498"/>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1A7"/>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3B8D"/>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5FC6"/>
    <w:rsid w:val="004C6435"/>
    <w:rsid w:val="004C649B"/>
    <w:rsid w:val="004C7B9C"/>
    <w:rsid w:val="004C7D55"/>
    <w:rsid w:val="004D089A"/>
    <w:rsid w:val="004D3184"/>
    <w:rsid w:val="004D3935"/>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99F"/>
    <w:rsid w:val="00516A92"/>
    <w:rsid w:val="00516B9F"/>
    <w:rsid w:val="00517693"/>
    <w:rsid w:val="005205AB"/>
    <w:rsid w:val="00523378"/>
    <w:rsid w:val="0052447C"/>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6F"/>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5B1D"/>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28A3"/>
    <w:rsid w:val="005C370D"/>
    <w:rsid w:val="005C504E"/>
    <w:rsid w:val="005C5AA1"/>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61B"/>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73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114"/>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0F6F"/>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38E7"/>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6BB"/>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1A9"/>
    <w:rsid w:val="006D16F8"/>
    <w:rsid w:val="006D1813"/>
    <w:rsid w:val="006D24A9"/>
    <w:rsid w:val="006D2AF3"/>
    <w:rsid w:val="006D4D79"/>
    <w:rsid w:val="006D4FBD"/>
    <w:rsid w:val="006D5879"/>
    <w:rsid w:val="006D5A29"/>
    <w:rsid w:val="006D63FD"/>
    <w:rsid w:val="006D65B4"/>
    <w:rsid w:val="006D754A"/>
    <w:rsid w:val="006D7B9C"/>
    <w:rsid w:val="006E04C6"/>
    <w:rsid w:val="006E0A65"/>
    <w:rsid w:val="006E1242"/>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5957"/>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32BF"/>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1FF"/>
    <w:rsid w:val="007445E2"/>
    <w:rsid w:val="00745496"/>
    <w:rsid w:val="007460DA"/>
    <w:rsid w:val="0074705B"/>
    <w:rsid w:val="007470EC"/>
    <w:rsid w:val="0075020B"/>
    <w:rsid w:val="00750F1C"/>
    <w:rsid w:val="00751017"/>
    <w:rsid w:val="00751960"/>
    <w:rsid w:val="00752A0E"/>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B71FB"/>
    <w:rsid w:val="007C27FB"/>
    <w:rsid w:val="007C2CBB"/>
    <w:rsid w:val="007C309C"/>
    <w:rsid w:val="007C4209"/>
    <w:rsid w:val="007C5EB9"/>
    <w:rsid w:val="007C6958"/>
    <w:rsid w:val="007C7449"/>
    <w:rsid w:val="007C7EA5"/>
    <w:rsid w:val="007D016D"/>
    <w:rsid w:val="007D1A95"/>
    <w:rsid w:val="007D245E"/>
    <w:rsid w:val="007D3764"/>
    <w:rsid w:val="007D3D67"/>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4A3A"/>
    <w:rsid w:val="00815321"/>
    <w:rsid w:val="008160DC"/>
    <w:rsid w:val="008166DB"/>
    <w:rsid w:val="008173E0"/>
    <w:rsid w:val="008175C1"/>
    <w:rsid w:val="008200D4"/>
    <w:rsid w:val="00820370"/>
    <w:rsid w:val="00820BB3"/>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5F8"/>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B6A"/>
    <w:rsid w:val="00855FD3"/>
    <w:rsid w:val="00857086"/>
    <w:rsid w:val="00857572"/>
    <w:rsid w:val="00857B8D"/>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3DD"/>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BFC"/>
    <w:rsid w:val="008D13C6"/>
    <w:rsid w:val="008D1B04"/>
    <w:rsid w:val="008D1B53"/>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FED"/>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3A0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961"/>
    <w:rsid w:val="00981AA9"/>
    <w:rsid w:val="00981C91"/>
    <w:rsid w:val="00983132"/>
    <w:rsid w:val="00983314"/>
    <w:rsid w:val="00983DF2"/>
    <w:rsid w:val="0098433A"/>
    <w:rsid w:val="0098505D"/>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3BC"/>
    <w:rsid w:val="009C058F"/>
    <w:rsid w:val="009C2B3E"/>
    <w:rsid w:val="009C2EA2"/>
    <w:rsid w:val="009C3721"/>
    <w:rsid w:val="009C4141"/>
    <w:rsid w:val="009C41FE"/>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DBD"/>
    <w:rsid w:val="009E49AE"/>
    <w:rsid w:val="009E4DC7"/>
    <w:rsid w:val="009E660A"/>
    <w:rsid w:val="009E6B64"/>
    <w:rsid w:val="009E72E5"/>
    <w:rsid w:val="009F2CAD"/>
    <w:rsid w:val="009F46C8"/>
    <w:rsid w:val="009F4F2A"/>
    <w:rsid w:val="009F660B"/>
    <w:rsid w:val="009F671E"/>
    <w:rsid w:val="009F7ED1"/>
    <w:rsid w:val="00A0149B"/>
    <w:rsid w:val="00A01607"/>
    <w:rsid w:val="00A018D4"/>
    <w:rsid w:val="00A02F9D"/>
    <w:rsid w:val="00A03767"/>
    <w:rsid w:val="00A04834"/>
    <w:rsid w:val="00A05628"/>
    <w:rsid w:val="00A07A5E"/>
    <w:rsid w:val="00A07DCF"/>
    <w:rsid w:val="00A12979"/>
    <w:rsid w:val="00A131A9"/>
    <w:rsid w:val="00A1496E"/>
    <w:rsid w:val="00A14F84"/>
    <w:rsid w:val="00A16D6D"/>
    <w:rsid w:val="00A17C75"/>
    <w:rsid w:val="00A20DF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F0B"/>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37F3"/>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AF6EE1"/>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4EAD"/>
    <w:rsid w:val="00B65754"/>
    <w:rsid w:val="00B661AA"/>
    <w:rsid w:val="00B66242"/>
    <w:rsid w:val="00B670D3"/>
    <w:rsid w:val="00B6762B"/>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6700"/>
    <w:rsid w:val="00B90331"/>
    <w:rsid w:val="00B903ED"/>
    <w:rsid w:val="00B90B2D"/>
    <w:rsid w:val="00B935A1"/>
    <w:rsid w:val="00B95DAD"/>
    <w:rsid w:val="00B96C0C"/>
    <w:rsid w:val="00B9734D"/>
    <w:rsid w:val="00B97732"/>
    <w:rsid w:val="00BA26B8"/>
    <w:rsid w:val="00BA27F4"/>
    <w:rsid w:val="00BA2E40"/>
    <w:rsid w:val="00BA3CB7"/>
    <w:rsid w:val="00BA41DE"/>
    <w:rsid w:val="00BA556C"/>
    <w:rsid w:val="00BB027E"/>
    <w:rsid w:val="00BB0F31"/>
    <w:rsid w:val="00BB15AB"/>
    <w:rsid w:val="00BB189B"/>
    <w:rsid w:val="00BB1D21"/>
    <w:rsid w:val="00BB2E51"/>
    <w:rsid w:val="00BB4BEA"/>
    <w:rsid w:val="00BB4C1A"/>
    <w:rsid w:val="00BB50AB"/>
    <w:rsid w:val="00BB56CF"/>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AA2"/>
    <w:rsid w:val="00C16BE0"/>
    <w:rsid w:val="00C21C39"/>
    <w:rsid w:val="00C2325C"/>
    <w:rsid w:val="00C23270"/>
    <w:rsid w:val="00C239ED"/>
    <w:rsid w:val="00C24627"/>
    <w:rsid w:val="00C24C90"/>
    <w:rsid w:val="00C24D9D"/>
    <w:rsid w:val="00C25CF3"/>
    <w:rsid w:val="00C263E9"/>
    <w:rsid w:val="00C2775A"/>
    <w:rsid w:val="00C3063A"/>
    <w:rsid w:val="00C30BAD"/>
    <w:rsid w:val="00C31E8F"/>
    <w:rsid w:val="00C32ADC"/>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037"/>
    <w:rsid w:val="00C57782"/>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05DE"/>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341"/>
    <w:rsid w:val="00CC152E"/>
    <w:rsid w:val="00CC2493"/>
    <w:rsid w:val="00CC3222"/>
    <w:rsid w:val="00CC35F1"/>
    <w:rsid w:val="00CC35FF"/>
    <w:rsid w:val="00CD0E6E"/>
    <w:rsid w:val="00CD23AE"/>
    <w:rsid w:val="00CD27DF"/>
    <w:rsid w:val="00CD2D8A"/>
    <w:rsid w:val="00CD3BAC"/>
    <w:rsid w:val="00CD3FF2"/>
    <w:rsid w:val="00CD4A65"/>
    <w:rsid w:val="00CD531F"/>
    <w:rsid w:val="00CD6C2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5D48"/>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0B48"/>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77F"/>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F09"/>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8E4"/>
    <w:rsid w:val="00F10033"/>
    <w:rsid w:val="00F10848"/>
    <w:rsid w:val="00F10B68"/>
    <w:rsid w:val="00F11F55"/>
    <w:rsid w:val="00F12DEC"/>
    <w:rsid w:val="00F13151"/>
    <w:rsid w:val="00F15523"/>
    <w:rsid w:val="00F16391"/>
    <w:rsid w:val="00F2062B"/>
    <w:rsid w:val="00F21A18"/>
    <w:rsid w:val="00F21B02"/>
    <w:rsid w:val="00F21E61"/>
    <w:rsid w:val="00F220EA"/>
    <w:rsid w:val="00F222CD"/>
    <w:rsid w:val="00F22FA3"/>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51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3B9"/>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9F2CAD"/>
    <w:rPr>
      <w:rFonts w:ascii="Calibri" w:hAnsi="Calibri"/>
      <w:sz w:val="22"/>
      <w:szCs w:val="22"/>
      <w:lang w:eastAsia="en-US"/>
    </w:rPr>
  </w:style>
  <w:style w:type="paragraph" w:styleId="Revision">
    <w:name w:val="Revision"/>
    <w:hidden/>
    <w:uiPriority w:val="99"/>
    <w:semiHidden/>
    <w:rsid w:val="00750F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5592</Words>
  <Characters>3189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2005. gada 18. oktobra noteikumos Nr. 772 "Noteikumi par biodegvielas kvalitātes prasībām, atbilstības novērtēšanu, tirgus uzraudzību un patērētāju informēšanas kārtību"</vt:lpstr>
    </vt:vector>
  </TitlesOfParts>
  <Company>Ekonomikas ministrija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18. oktobra noteikumos Nr. 772 "Noteikumi par biodegvielas kvalitātes prasībām, atbilstības novērtēšanu, tirgus uzraudzību un patērētāju informēšanas kārtību"</dc:title>
  <dc:subject>Izziņa par atzinumos sniegtajiem iebildumiem</dc:subject>
  <dc:creator>Līga Mičule</dc:creator>
  <cp:keywords/>
  <dc:description>67013030, Liga.Micule@em.gov.lv</dc:description>
  <cp:lastModifiedBy>Līga Mičule</cp:lastModifiedBy>
  <cp:revision>50</cp:revision>
  <cp:lastPrinted>2009-04-08T08:39:00Z</cp:lastPrinted>
  <dcterms:created xsi:type="dcterms:W3CDTF">2019-10-01T12:48:00Z</dcterms:created>
  <dcterms:modified xsi:type="dcterms:W3CDTF">2019-12-03T09:36:00Z</dcterms:modified>
</cp:coreProperties>
</file>