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2E173" w14:textId="77777777" w:rsidR="007116C7" w:rsidRPr="00D37BE2" w:rsidRDefault="007116C7" w:rsidP="00D37BE2">
      <w:pPr>
        <w:pStyle w:val="naislab"/>
        <w:spacing w:before="0" w:after="0"/>
        <w:ind w:firstLine="720"/>
      </w:pPr>
      <w:r w:rsidRPr="00D37BE2">
        <w:t> </w:t>
      </w:r>
    </w:p>
    <w:p w14:paraId="33AFF097" w14:textId="77777777" w:rsidR="007116C7" w:rsidRPr="00D37BE2" w:rsidRDefault="007116C7" w:rsidP="00D37BE2">
      <w:pPr>
        <w:pStyle w:val="naisnod"/>
        <w:spacing w:before="0" w:after="0"/>
        <w:ind w:firstLine="720"/>
      </w:pPr>
      <w:r w:rsidRPr="00D37BE2">
        <w:t>Izziņa par atzinumos sniegtajiem iebildumiem</w:t>
      </w:r>
    </w:p>
    <w:p w14:paraId="7FAD9569" w14:textId="77777777" w:rsidR="007116C7" w:rsidRPr="00D37BE2" w:rsidRDefault="007116C7" w:rsidP="00D37BE2">
      <w:pPr>
        <w:pStyle w:val="naisf"/>
        <w:spacing w:before="0" w:after="0"/>
        <w:ind w:firstLine="720"/>
      </w:pPr>
    </w:p>
    <w:tbl>
      <w:tblPr>
        <w:tblW w:w="0" w:type="auto"/>
        <w:jc w:val="center"/>
        <w:tblLook w:val="00A0" w:firstRow="1" w:lastRow="0" w:firstColumn="1" w:lastColumn="0" w:noHBand="0" w:noVBand="0"/>
      </w:tblPr>
      <w:tblGrid>
        <w:gridCol w:w="10188"/>
      </w:tblGrid>
      <w:tr w:rsidR="00D37BE2" w:rsidRPr="00D37BE2" w14:paraId="4AE583D5" w14:textId="77777777">
        <w:trPr>
          <w:jc w:val="center"/>
        </w:trPr>
        <w:tc>
          <w:tcPr>
            <w:tcW w:w="10188" w:type="dxa"/>
            <w:tcBorders>
              <w:bottom w:val="single" w:sz="6" w:space="0" w:color="000000"/>
            </w:tcBorders>
          </w:tcPr>
          <w:p w14:paraId="4149E511" w14:textId="4221930F" w:rsidR="007116C7" w:rsidRPr="00D37BE2" w:rsidRDefault="008326C5" w:rsidP="00D37BE2">
            <w:pPr>
              <w:ind w:firstLine="720"/>
              <w:jc w:val="center"/>
            </w:pPr>
            <w:r w:rsidRPr="00D37BE2">
              <w:rPr>
                <w:shd w:val="clear" w:color="auto" w:fill="FFFFFF"/>
              </w:rPr>
              <w:t>Grozījums Ministru kabineta 201</w:t>
            </w:r>
            <w:r w:rsidR="00985D48" w:rsidRPr="00D37BE2">
              <w:rPr>
                <w:shd w:val="clear" w:color="auto" w:fill="FFFFFF"/>
              </w:rPr>
              <w:t>4</w:t>
            </w:r>
            <w:r w:rsidRPr="00D37BE2">
              <w:rPr>
                <w:shd w:val="clear" w:color="auto" w:fill="FFFFFF"/>
              </w:rPr>
              <w:t xml:space="preserve">.gada </w:t>
            </w:r>
            <w:r w:rsidR="00985D48" w:rsidRPr="00D37BE2">
              <w:rPr>
                <w:shd w:val="clear" w:color="auto" w:fill="FFFFFF"/>
              </w:rPr>
              <w:t>30</w:t>
            </w:r>
            <w:r w:rsidRPr="00D37BE2">
              <w:rPr>
                <w:shd w:val="clear" w:color="auto" w:fill="FFFFFF"/>
              </w:rPr>
              <w:t>.</w:t>
            </w:r>
            <w:r w:rsidR="00985D48" w:rsidRPr="00D37BE2">
              <w:rPr>
                <w:shd w:val="clear" w:color="auto" w:fill="FFFFFF"/>
              </w:rPr>
              <w:t>septembra</w:t>
            </w:r>
            <w:r w:rsidRPr="00D37BE2">
              <w:rPr>
                <w:shd w:val="clear" w:color="auto" w:fill="FFFFFF"/>
              </w:rPr>
              <w:t xml:space="preserve"> noteikumos Nr.</w:t>
            </w:r>
            <w:r w:rsidR="00985D48" w:rsidRPr="00D37BE2">
              <w:rPr>
                <w:shd w:val="clear" w:color="auto" w:fill="FFFFFF"/>
              </w:rPr>
              <w:t>57</w:t>
            </w:r>
            <w:r w:rsidRPr="00D37BE2">
              <w:rPr>
                <w:shd w:val="clear" w:color="auto" w:fill="FFFFFF"/>
              </w:rPr>
              <w:t xml:space="preserve">6 </w:t>
            </w:r>
            <w:r w:rsidR="00985D48" w:rsidRPr="00D37BE2">
              <w:rPr>
                <w:shd w:val="clear" w:color="auto" w:fill="FFFFFF"/>
              </w:rPr>
              <w:t>“Būvniecības valsts kontroles biroja nolikums”</w:t>
            </w:r>
          </w:p>
        </w:tc>
      </w:tr>
    </w:tbl>
    <w:p w14:paraId="61FF673B" w14:textId="77777777" w:rsidR="007116C7" w:rsidRPr="00D37BE2" w:rsidRDefault="007116C7" w:rsidP="00D37BE2">
      <w:pPr>
        <w:pStyle w:val="naisc"/>
        <w:spacing w:before="0" w:after="0"/>
        <w:ind w:firstLine="1080"/>
      </w:pPr>
      <w:r w:rsidRPr="00D37BE2">
        <w:t>(dokumenta veids un nosaukums)</w:t>
      </w:r>
    </w:p>
    <w:p w14:paraId="1E282F02" w14:textId="77777777" w:rsidR="007B4C0F" w:rsidRPr="00D37BE2" w:rsidRDefault="007B4C0F" w:rsidP="00D37BE2">
      <w:pPr>
        <w:pStyle w:val="naisf"/>
        <w:spacing w:before="0" w:after="0"/>
        <w:ind w:firstLine="720"/>
      </w:pPr>
    </w:p>
    <w:p w14:paraId="06A01AC6" w14:textId="77777777" w:rsidR="007B4C0F" w:rsidRPr="00D37BE2" w:rsidRDefault="007B4C0F" w:rsidP="00D37BE2">
      <w:pPr>
        <w:pStyle w:val="naisf"/>
        <w:spacing w:before="0" w:after="0"/>
        <w:ind w:firstLine="0"/>
        <w:jc w:val="center"/>
        <w:rPr>
          <w:b/>
        </w:rPr>
      </w:pPr>
      <w:r w:rsidRPr="00D37BE2">
        <w:rPr>
          <w:b/>
        </w:rPr>
        <w:t xml:space="preserve">I. Jautājumi, par kuriem saskaņošanā </w:t>
      </w:r>
      <w:r w:rsidR="00134188" w:rsidRPr="00D37BE2">
        <w:rPr>
          <w:b/>
        </w:rPr>
        <w:t xml:space="preserve">vienošanās </w:t>
      </w:r>
      <w:r w:rsidRPr="00D37BE2">
        <w:rPr>
          <w:b/>
        </w:rPr>
        <w:t>nav panākta</w:t>
      </w:r>
    </w:p>
    <w:p w14:paraId="472FD680" w14:textId="77777777" w:rsidR="007B4C0F" w:rsidRPr="00D37BE2" w:rsidRDefault="007B4C0F" w:rsidP="00D37BE2">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D37BE2" w:rsidRPr="00D37BE2" w14:paraId="2CEBCB9A"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1144CBA9" w14:textId="77777777" w:rsidR="005F4BFD" w:rsidRPr="00D37BE2" w:rsidRDefault="005F4BFD" w:rsidP="00D37BE2">
            <w:pPr>
              <w:pStyle w:val="naisc"/>
              <w:spacing w:before="0" w:after="0"/>
            </w:pPr>
            <w:r w:rsidRPr="00D37BE2">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745E019" w14:textId="77777777" w:rsidR="005F4BFD" w:rsidRPr="00D37BE2" w:rsidRDefault="005F4BFD" w:rsidP="00D37BE2">
            <w:pPr>
              <w:pStyle w:val="naisc"/>
              <w:spacing w:before="0" w:after="0"/>
              <w:ind w:firstLine="12"/>
            </w:pPr>
            <w:r w:rsidRPr="00D37BE2">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EB2E06B" w14:textId="77777777" w:rsidR="005F4BFD" w:rsidRPr="00D37BE2" w:rsidRDefault="005F4BFD" w:rsidP="00D37BE2">
            <w:pPr>
              <w:pStyle w:val="naisc"/>
              <w:spacing w:before="0" w:after="0"/>
              <w:ind w:right="3"/>
            </w:pPr>
            <w:r w:rsidRPr="00D37BE2">
              <w:t>Atzinumā norādītais ministrijas (citas institūcijas) iebildums</w:t>
            </w:r>
            <w:r w:rsidR="00184479" w:rsidRPr="00D37BE2">
              <w:t>,</w:t>
            </w:r>
            <w:r w:rsidR="000E5509" w:rsidRPr="00D37BE2">
              <w:t xml:space="preserve"> kā arī saskaņošanā papildus izteiktais iebildums</w:t>
            </w:r>
            <w:r w:rsidRPr="00D37BE2">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F5851B2" w14:textId="77777777" w:rsidR="005F4BFD" w:rsidRPr="00D37BE2" w:rsidRDefault="005F4BFD" w:rsidP="00D37BE2">
            <w:pPr>
              <w:pStyle w:val="naisc"/>
              <w:spacing w:before="0" w:after="0"/>
              <w:ind w:firstLine="21"/>
            </w:pPr>
            <w:r w:rsidRPr="00D37BE2">
              <w:t>Atbildīgās ministrijas pamatojums</w:t>
            </w:r>
            <w:r w:rsidR="009307F2" w:rsidRPr="00D37BE2">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A42F7FF" w14:textId="77777777" w:rsidR="005F4BFD" w:rsidRPr="00D37BE2" w:rsidRDefault="005F4BFD" w:rsidP="00D37BE2">
            <w:pPr>
              <w:jc w:val="center"/>
            </w:pPr>
            <w:r w:rsidRPr="00D37BE2">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630E5C6" w14:textId="77777777" w:rsidR="005F4BFD" w:rsidRPr="00D37BE2" w:rsidRDefault="005F4BFD" w:rsidP="00D37BE2">
            <w:pPr>
              <w:jc w:val="center"/>
            </w:pPr>
            <w:r w:rsidRPr="00D37BE2">
              <w:t>Projekta attiecīgā punkta (panta) galīgā redakcija</w:t>
            </w:r>
          </w:p>
        </w:tc>
      </w:tr>
      <w:tr w:rsidR="00D37BE2" w:rsidRPr="00D37BE2" w14:paraId="3FD3968F" w14:textId="77777777" w:rsidTr="00A6469E">
        <w:trPr>
          <w:trHeight w:val="65"/>
        </w:trPr>
        <w:tc>
          <w:tcPr>
            <w:tcW w:w="708" w:type="dxa"/>
            <w:tcBorders>
              <w:top w:val="single" w:sz="6" w:space="0" w:color="000000"/>
              <w:left w:val="single" w:sz="6" w:space="0" w:color="000000"/>
              <w:bottom w:val="single" w:sz="6" w:space="0" w:color="000000"/>
              <w:right w:val="single" w:sz="6" w:space="0" w:color="000000"/>
            </w:tcBorders>
          </w:tcPr>
          <w:p w14:paraId="6CEE9149" w14:textId="77777777" w:rsidR="005F4BFD" w:rsidRPr="00D37BE2" w:rsidRDefault="008A36C9" w:rsidP="00D37BE2">
            <w:pPr>
              <w:pStyle w:val="naisc"/>
              <w:spacing w:before="0" w:after="0"/>
            </w:pPr>
            <w:r w:rsidRPr="00D37BE2">
              <w:t>1</w:t>
            </w:r>
          </w:p>
        </w:tc>
        <w:tc>
          <w:tcPr>
            <w:tcW w:w="3086" w:type="dxa"/>
            <w:tcBorders>
              <w:top w:val="single" w:sz="6" w:space="0" w:color="000000"/>
              <w:left w:val="single" w:sz="6" w:space="0" w:color="000000"/>
              <w:bottom w:val="single" w:sz="6" w:space="0" w:color="000000"/>
              <w:right w:val="single" w:sz="6" w:space="0" w:color="000000"/>
            </w:tcBorders>
          </w:tcPr>
          <w:p w14:paraId="17487C28" w14:textId="17E2BD3A" w:rsidR="00C24627" w:rsidRPr="00D37BE2" w:rsidRDefault="008A36C9" w:rsidP="00D37BE2">
            <w:pPr>
              <w:pStyle w:val="naisc"/>
              <w:spacing w:before="0" w:after="0"/>
            </w:pPr>
            <w:r w:rsidRPr="00D37BE2">
              <w:t>2</w:t>
            </w:r>
          </w:p>
        </w:tc>
        <w:tc>
          <w:tcPr>
            <w:tcW w:w="3118" w:type="dxa"/>
            <w:tcBorders>
              <w:top w:val="single" w:sz="6" w:space="0" w:color="000000"/>
              <w:left w:val="single" w:sz="6" w:space="0" w:color="000000"/>
              <w:bottom w:val="single" w:sz="6" w:space="0" w:color="000000"/>
              <w:right w:val="single" w:sz="6" w:space="0" w:color="000000"/>
            </w:tcBorders>
          </w:tcPr>
          <w:p w14:paraId="52CFCDE4" w14:textId="2ED4FDFF" w:rsidR="005F4BFD" w:rsidRPr="00D37BE2" w:rsidRDefault="008A36C9" w:rsidP="00D37BE2">
            <w:pPr>
              <w:pStyle w:val="naisc"/>
              <w:spacing w:before="0" w:after="0"/>
            </w:pPr>
            <w:r w:rsidRPr="00D37BE2">
              <w:t>3</w:t>
            </w:r>
          </w:p>
        </w:tc>
        <w:tc>
          <w:tcPr>
            <w:tcW w:w="2977" w:type="dxa"/>
            <w:tcBorders>
              <w:top w:val="single" w:sz="6" w:space="0" w:color="000000"/>
              <w:left w:val="single" w:sz="6" w:space="0" w:color="000000"/>
              <w:bottom w:val="single" w:sz="6" w:space="0" w:color="000000"/>
              <w:right w:val="single" w:sz="6" w:space="0" w:color="000000"/>
            </w:tcBorders>
          </w:tcPr>
          <w:p w14:paraId="091A88FC" w14:textId="77777777" w:rsidR="005F4BFD" w:rsidRPr="00D37BE2" w:rsidRDefault="008A36C9" w:rsidP="00D37BE2">
            <w:pPr>
              <w:pStyle w:val="naisc"/>
              <w:spacing w:before="0" w:after="0"/>
            </w:pPr>
            <w:r w:rsidRPr="00D37BE2">
              <w:t>4</w:t>
            </w:r>
          </w:p>
        </w:tc>
        <w:tc>
          <w:tcPr>
            <w:tcW w:w="2459" w:type="dxa"/>
            <w:tcBorders>
              <w:top w:val="single" w:sz="4" w:space="0" w:color="auto"/>
              <w:left w:val="single" w:sz="4" w:space="0" w:color="auto"/>
              <w:bottom w:val="single" w:sz="4" w:space="0" w:color="auto"/>
              <w:right w:val="single" w:sz="4" w:space="0" w:color="auto"/>
            </w:tcBorders>
          </w:tcPr>
          <w:p w14:paraId="5A05E743" w14:textId="77777777" w:rsidR="005F4BFD" w:rsidRPr="00D37BE2" w:rsidRDefault="008A36C9" w:rsidP="00D37BE2">
            <w:pPr>
              <w:jc w:val="center"/>
            </w:pPr>
            <w:r w:rsidRPr="00D37BE2">
              <w:t>5</w:t>
            </w:r>
          </w:p>
        </w:tc>
        <w:tc>
          <w:tcPr>
            <w:tcW w:w="1920" w:type="dxa"/>
            <w:tcBorders>
              <w:top w:val="single" w:sz="4" w:space="0" w:color="auto"/>
              <w:left w:val="single" w:sz="4" w:space="0" w:color="auto"/>
              <w:bottom w:val="single" w:sz="4" w:space="0" w:color="auto"/>
            </w:tcBorders>
          </w:tcPr>
          <w:p w14:paraId="2F85ECA1" w14:textId="77777777" w:rsidR="005F4BFD" w:rsidRPr="00D37BE2" w:rsidRDefault="008A36C9" w:rsidP="00D37BE2">
            <w:pPr>
              <w:jc w:val="center"/>
            </w:pPr>
            <w:r w:rsidRPr="00D37BE2">
              <w:t>6</w:t>
            </w:r>
          </w:p>
        </w:tc>
      </w:tr>
      <w:tr w:rsidR="00D37BE2" w:rsidRPr="00D37BE2" w14:paraId="379BA6E7" w14:textId="77777777">
        <w:tc>
          <w:tcPr>
            <w:tcW w:w="708" w:type="dxa"/>
            <w:tcBorders>
              <w:left w:val="single" w:sz="6" w:space="0" w:color="000000"/>
              <w:bottom w:val="single" w:sz="4" w:space="0" w:color="auto"/>
              <w:right w:val="single" w:sz="6" w:space="0" w:color="000000"/>
            </w:tcBorders>
          </w:tcPr>
          <w:p w14:paraId="3343BD06" w14:textId="77777777" w:rsidR="005F4BFD" w:rsidRPr="00D37BE2" w:rsidRDefault="005F4BFD" w:rsidP="00D37BE2">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8B75730" w14:textId="77777777" w:rsidR="005F4BFD" w:rsidRPr="00D37BE2" w:rsidRDefault="005F4BFD" w:rsidP="00D37BE2">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3C989545" w14:textId="77777777" w:rsidR="005F4BFD" w:rsidRPr="00D37BE2" w:rsidRDefault="005F4BFD" w:rsidP="00D37BE2">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44A340D2" w14:textId="77777777" w:rsidR="005F4BFD" w:rsidRPr="00D37BE2" w:rsidRDefault="005F4BFD" w:rsidP="00D37BE2">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5FAA070" w14:textId="77777777" w:rsidR="005F4BFD" w:rsidRPr="00D37BE2" w:rsidRDefault="005F4BFD" w:rsidP="00D37BE2"/>
        </w:tc>
        <w:tc>
          <w:tcPr>
            <w:tcW w:w="1920" w:type="dxa"/>
            <w:tcBorders>
              <w:top w:val="single" w:sz="4" w:space="0" w:color="auto"/>
              <w:left w:val="single" w:sz="4" w:space="0" w:color="auto"/>
              <w:bottom w:val="single" w:sz="4" w:space="0" w:color="auto"/>
            </w:tcBorders>
          </w:tcPr>
          <w:p w14:paraId="3AE9D4F6" w14:textId="77777777" w:rsidR="005F4BFD" w:rsidRPr="00D37BE2" w:rsidRDefault="005F4BFD" w:rsidP="00D37BE2"/>
        </w:tc>
      </w:tr>
      <w:tr w:rsidR="008A36C9" w:rsidRPr="00D37BE2" w14:paraId="1DB025CC" w14:textId="77777777">
        <w:tc>
          <w:tcPr>
            <w:tcW w:w="708" w:type="dxa"/>
            <w:tcBorders>
              <w:left w:val="single" w:sz="6" w:space="0" w:color="000000"/>
              <w:bottom w:val="single" w:sz="4" w:space="0" w:color="auto"/>
              <w:right w:val="single" w:sz="6" w:space="0" w:color="000000"/>
            </w:tcBorders>
          </w:tcPr>
          <w:p w14:paraId="695EB4F9" w14:textId="77777777" w:rsidR="008A36C9" w:rsidRPr="00D37BE2" w:rsidRDefault="008A36C9" w:rsidP="00D37BE2">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7151921D" w14:textId="77777777" w:rsidR="008A36C9" w:rsidRPr="00D37BE2" w:rsidRDefault="008A36C9" w:rsidP="00D37BE2">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15F64AF" w14:textId="77777777" w:rsidR="008A36C9" w:rsidRPr="00D37BE2" w:rsidRDefault="008A36C9" w:rsidP="00D37BE2">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23A67B0C" w14:textId="77777777" w:rsidR="008A36C9" w:rsidRPr="00D37BE2" w:rsidRDefault="008A36C9" w:rsidP="00D37BE2">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4CB3D4C" w14:textId="77777777" w:rsidR="008A36C9" w:rsidRPr="00D37BE2" w:rsidRDefault="008A36C9" w:rsidP="00D37BE2"/>
        </w:tc>
        <w:tc>
          <w:tcPr>
            <w:tcW w:w="1920" w:type="dxa"/>
            <w:tcBorders>
              <w:top w:val="single" w:sz="4" w:space="0" w:color="auto"/>
              <w:left w:val="single" w:sz="4" w:space="0" w:color="auto"/>
              <w:bottom w:val="single" w:sz="4" w:space="0" w:color="auto"/>
              <w:right w:val="single" w:sz="4" w:space="0" w:color="auto"/>
            </w:tcBorders>
          </w:tcPr>
          <w:p w14:paraId="43FB6074" w14:textId="77777777" w:rsidR="008A36C9" w:rsidRPr="00D37BE2" w:rsidRDefault="008A36C9" w:rsidP="00D37BE2"/>
        </w:tc>
      </w:tr>
    </w:tbl>
    <w:p w14:paraId="09A6CCEB" w14:textId="77777777" w:rsidR="007B4C0F" w:rsidRPr="00D37BE2" w:rsidRDefault="007B4C0F" w:rsidP="00D37BE2">
      <w:pPr>
        <w:pStyle w:val="naisf"/>
        <w:spacing w:before="0" w:after="0"/>
        <w:ind w:firstLine="0"/>
      </w:pPr>
    </w:p>
    <w:p w14:paraId="5F1003A0" w14:textId="71C0CFAE" w:rsidR="005D67F7" w:rsidRPr="00D37BE2" w:rsidRDefault="005D67F7" w:rsidP="00D37BE2">
      <w:pPr>
        <w:pStyle w:val="naisf"/>
        <w:spacing w:before="0" w:after="0"/>
        <w:ind w:firstLine="0"/>
        <w:rPr>
          <w:b/>
        </w:rPr>
      </w:pPr>
      <w:r w:rsidRPr="00D37BE2">
        <w:rPr>
          <w:b/>
        </w:rPr>
        <w:t xml:space="preserve">Informācija par </w:t>
      </w:r>
      <w:proofErr w:type="spellStart"/>
      <w:r w:rsidRPr="00D37BE2">
        <w:rPr>
          <w:b/>
        </w:rPr>
        <w:t>starpministriju</w:t>
      </w:r>
      <w:proofErr w:type="spellEnd"/>
      <w:r w:rsidRPr="00D37BE2">
        <w:rPr>
          <w:b/>
        </w:rPr>
        <w:t xml:space="preserve"> (starpinstitūciju) sanāksmi vai elektronisko saskaņošanu</w:t>
      </w:r>
    </w:p>
    <w:p w14:paraId="0CEC4DC2" w14:textId="77777777" w:rsidR="00A6469E" w:rsidRPr="00D37BE2" w:rsidRDefault="00A6469E" w:rsidP="00D37BE2">
      <w:pPr>
        <w:pStyle w:val="naisf"/>
        <w:spacing w:before="0" w:after="0"/>
        <w:ind w:firstLine="0"/>
        <w:rPr>
          <w:b/>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8"/>
        <w:gridCol w:w="5874"/>
      </w:tblGrid>
      <w:tr w:rsidR="00D37BE2" w:rsidRPr="00D37BE2" w14:paraId="31C707FE" w14:textId="77777777" w:rsidTr="007132C5">
        <w:tc>
          <w:tcPr>
            <w:tcW w:w="6708" w:type="dxa"/>
            <w:tcBorders>
              <w:top w:val="nil"/>
              <w:left w:val="nil"/>
              <w:bottom w:val="nil"/>
              <w:right w:val="nil"/>
            </w:tcBorders>
          </w:tcPr>
          <w:p w14:paraId="218B58F5" w14:textId="77777777" w:rsidR="007B4C0F" w:rsidRPr="00D37BE2" w:rsidRDefault="005D67F7" w:rsidP="00D37BE2">
            <w:pPr>
              <w:pStyle w:val="naisf"/>
              <w:spacing w:before="0" w:after="0"/>
              <w:ind w:firstLine="0"/>
            </w:pPr>
            <w:r w:rsidRPr="00D37BE2">
              <w:t>D</w:t>
            </w:r>
            <w:r w:rsidR="007B4C0F" w:rsidRPr="00D37BE2">
              <w:t>atums</w:t>
            </w:r>
          </w:p>
        </w:tc>
        <w:tc>
          <w:tcPr>
            <w:tcW w:w="5874" w:type="dxa"/>
            <w:tcBorders>
              <w:top w:val="nil"/>
              <w:left w:val="nil"/>
              <w:right w:val="nil"/>
            </w:tcBorders>
          </w:tcPr>
          <w:p w14:paraId="79E06D1E" w14:textId="713FAAB0" w:rsidR="007B4C0F" w:rsidRPr="00D37BE2" w:rsidRDefault="007206C1" w:rsidP="00D37BE2">
            <w:pPr>
              <w:pStyle w:val="NormalWeb"/>
              <w:spacing w:before="0" w:beforeAutospacing="0" w:after="0" w:afterAutospacing="0"/>
            </w:pPr>
            <w:r>
              <w:t>06</w:t>
            </w:r>
            <w:r w:rsidR="00892293" w:rsidRPr="00D37BE2">
              <w:t>.11.2019.-</w:t>
            </w:r>
            <w:r w:rsidR="0071703F">
              <w:t>0</w:t>
            </w:r>
            <w:r w:rsidR="00600639">
              <w:t>4</w:t>
            </w:r>
            <w:r w:rsidR="00892293" w:rsidRPr="00D37BE2">
              <w:t>.1</w:t>
            </w:r>
            <w:r w:rsidR="0071703F">
              <w:t>2</w:t>
            </w:r>
            <w:r w:rsidR="00892293" w:rsidRPr="00D37BE2">
              <w:t>.2019.</w:t>
            </w:r>
          </w:p>
        </w:tc>
      </w:tr>
      <w:tr w:rsidR="00D37BE2" w:rsidRPr="00D37BE2" w14:paraId="2AEE2194" w14:textId="77777777" w:rsidTr="007132C5">
        <w:tc>
          <w:tcPr>
            <w:tcW w:w="6708" w:type="dxa"/>
            <w:tcBorders>
              <w:top w:val="nil"/>
              <w:left w:val="nil"/>
              <w:bottom w:val="nil"/>
              <w:right w:val="nil"/>
            </w:tcBorders>
          </w:tcPr>
          <w:p w14:paraId="4DBC9197" w14:textId="77777777" w:rsidR="007B4C0F" w:rsidRPr="00D37BE2" w:rsidRDefault="00365CC0" w:rsidP="00D37BE2">
            <w:pPr>
              <w:pStyle w:val="naiskr"/>
              <w:spacing w:before="0" w:after="0"/>
            </w:pPr>
            <w:r w:rsidRPr="00D37BE2">
              <w:t>Saskaņošanas dalībnieki</w:t>
            </w:r>
          </w:p>
        </w:tc>
        <w:tc>
          <w:tcPr>
            <w:tcW w:w="5874" w:type="dxa"/>
            <w:tcBorders>
              <w:left w:val="nil"/>
              <w:right w:val="nil"/>
            </w:tcBorders>
          </w:tcPr>
          <w:p w14:paraId="562A2C30" w14:textId="65CA3CE0" w:rsidR="00A6469E" w:rsidRPr="00D37BE2" w:rsidRDefault="00985D48" w:rsidP="00D37BE2">
            <w:pPr>
              <w:jc w:val="both"/>
            </w:pPr>
            <w:r w:rsidRPr="00D37BE2">
              <w:rPr>
                <w:shd w:val="clear" w:color="auto" w:fill="FFFFFF"/>
              </w:rPr>
              <w:t>Tieslietu ministrija, Finanšu ministrija, Satiksmes ministrij</w:t>
            </w:r>
            <w:r w:rsidR="00892293" w:rsidRPr="00D37BE2">
              <w:rPr>
                <w:shd w:val="clear" w:color="auto" w:fill="FFFFFF"/>
              </w:rPr>
              <w:t>a</w:t>
            </w:r>
            <w:r w:rsidRPr="00D37BE2">
              <w:rPr>
                <w:shd w:val="clear" w:color="auto" w:fill="FFFFFF"/>
              </w:rPr>
              <w:t>, Latvijas Brīvo arodbiedrību savienīb</w:t>
            </w:r>
            <w:r w:rsidR="00892293" w:rsidRPr="00D37BE2">
              <w:rPr>
                <w:shd w:val="clear" w:color="auto" w:fill="FFFFFF"/>
              </w:rPr>
              <w:t>a</w:t>
            </w:r>
            <w:r w:rsidR="008326C5" w:rsidRPr="00D37BE2">
              <w:t>, Latvijas Tirdzniecības un rūpniecības kamera</w:t>
            </w:r>
          </w:p>
        </w:tc>
      </w:tr>
      <w:tr w:rsidR="00D37BE2" w:rsidRPr="00D37BE2" w14:paraId="19FED45C" w14:textId="77777777" w:rsidTr="007132C5">
        <w:trPr>
          <w:trHeight w:val="285"/>
        </w:trPr>
        <w:tc>
          <w:tcPr>
            <w:tcW w:w="6708" w:type="dxa"/>
            <w:tcBorders>
              <w:top w:val="nil"/>
              <w:left w:val="nil"/>
              <w:bottom w:val="nil"/>
              <w:right w:val="nil"/>
            </w:tcBorders>
          </w:tcPr>
          <w:p w14:paraId="449613F3" w14:textId="77777777" w:rsidR="007132C5" w:rsidRPr="00D37BE2" w:rsidRDefault="007132C5" w:rsidP="00D37BE2">
            <w:pPr>
              <w:pStyle w:val="naiskr"/>
              <w:spacing w:before="0" w:after="0"/>
            </w:pPr>
            <w:r w:rsidRPr="00D37BE2">
              <w:t>Saskaņošanas dalībnieki izskatīja šādu ministriju (citu institūciju) iebildumus</w:t>
            </w:r>
          </w:p>
        </w:tc>
        <w:tc>
          <w:tcPr>
            <w:tcW w:w="5874" w:type="dxa"/>
            <w:tcBorders>
              <w:left w:val="nil"/>
              <w:right w:val="nil"/>
            </w:tcBorders>
          </w:tcPr>
          <w:p w14:paraId="21497449" w14:textId="47C147D9" w:rsidR="007132C5" w:rsidRPr="00D37BE2" w:rsidRDefault="007132C5" w:rsidP="00D37BE2">
            <w:pPr>
              <w:pStyle w:val="naiskr"/>
              <w:spacing w:before="0" w:after="0"/>
              <w:ind w:firstLine="12"/>
              <w:jc w:val="both"/>
            </w:pPr>
            <w:r w:rsidRPr="00D37BE2">
              <w:t>Tieslietu ministrija</w:t>
            </w:r>
            <w:r w:rsidR="001546C8" w:rsidRPr="00D37BE2">
              <w:t xml:space="preserve">, </w:t>
            </w:r>
            <w:r w:rsidR="001546C8" w:rsidRPr="00D37BE2">
              <w:rPr>
                <w:shd w:val="clear" w:color="auto" w:fill="FFFFFF"/>
              </w:rPr>
              <w:t>Finanšu ministrija</w:t>
            </w:r>
          </w:p>
        </w:tc>
      </w:tr>
      <w:tr w:rsidR="00EA5B36" w:rsidRPr="00D37BE2" w14:paraId="5C8CD070" w14:textId="77777777" w:rsidTr="007132C5">
        <w:tc>
          <w:tcPr>
            <w:tcW w:w="6708" w:type="dxa"/>
            <w:tcBorders>
              <w:top w:val="nil"/>
              <w:left w:val="nil"/>
              <w:bottom w:val="nil"/>
              <w:right w:val="nil"/>
            </w:tcBorders>
          </w:tcPr>
          <w:p w14:paraId="280E99A3" w14:textId="77777777" w:rsidR="007132C5" w:rsidRPr="00D37BE2" w:rsidRDefault="007132C5" w:rsidP="00D37BE2">
            <w:pPr>
              <w:pStyle w:val="naiskr"/>
              <w:spacing w:before="0" w:after="0"/>
            </w:pPr>
            <w:r w:rsidRPr="00D37BE2">
              <w:t>Ministrijas (citas institūcijas), kuras nav ieradušās uz sanāksmi vai kuras nav atbildējušas uz uzaicinājumu piedalīties elektroniskajā saskaņošanā</w:t>
            </w:r>
          </w:p>
        </w:tc>
        <w:tc>
          <w:tcPr>
            <w:tcW w:w="5874" w:type="dxa"/>
            <w:tcBorders>
              <w:left w:val="nil"/>
              <w:right w:val="nil"/>
            </w:tcBorders>
          </w:tcPr>
          <w:p w14:paraId="5328BAA3" w14:textId="55A1D399" w:rsidR="007206C1" w:rsidRPr="007206C1" w:rsidRDefault="00600639" w:rsidP="007206C1">
            <w:pPr>
              <w:pStyle w:val="naiskr"/>
              <w:spacing w:before="0" w:after="0"/>
              <w:jc w:val="both"/>
            </w:pPr>
            <w:r w:rsidRPr="00D37BE2">
              <w:t>Latvijas Tirdzniecības un rūpniecības kamera</w:t>
            </w:r>
          </w:p>
        </w:tc>
      </w:tr>
    </w:tbl>
    <w:p w14:paraId="756E9F65" w14:textId="77777777" w:rsidR="00683081" w:rsidRPr="00D37BE2" w:rsidRDefault="00683081" w:rsidP="00D37BE2">
      <w:pPr>
        <w:pStyle w:val="naisf"/>
        <w:spacing w:before="0" w:after="0"/>
        <w:ind w:firstLine="720"/>
      </w:pPr>
    </w:p>
    <w:p w14:paraId="2FE5DB7B" w14:textId="77777777" w:rsidR="007B4C0F" w:rsidRPr="00D37BE2" w:rsidRDefault="007B4C0F" w:rsidP="00D37BE2">
      <w:pPr>
        <w:pStyle w:val="naisf"/>
        <w:spacing w:before="0" w:after="0"/>
        <w:ind w:firstLine="0"/>
        <w:jc w:val="center"/>
        <w:rPr>
          <w:b/>
        </w:rPr>
      </w:pPr>
      <w:r w:rsidRPr="00D37BE2">
        <w:rPr>
          <w:b/>
        </w:rPr>
        <w:t>II. </w:t>
      </w:r>
      <w:r w:rsidR="00134188" w:rsidRPr="00D37BE2">
        <w:rPr>
          <w:b/>
        </w:rPr>
        <w:t>Jautājumi, par kuriem saskaņošanā vienošan</w:t>
      </w:r>
      <w:r w:rsidR="00144622" w:rsidRPr="00D37BE2">
        <w:rPr>
          <w:b/>
        </w:rPr>
        <w:t>ā</w:t>
      </w:r>
      <w:r w:rsidR="00134188" w:rsidRPr="00D37BE2">
        <w:rPr>
          <w:b/>
        </w:rPr>
        <w:t>s ir panākta</w:t>
      </w:r>
    </w:p>
    <w:p w14:paraId="2021C5D8" w14:textId="77777777" w:rsidR="007B4C0F" w:rsidRPr="00D37BE2" w:rsidRDefault="007B4C0F" w:rsidP="00D37BE2">
      <w:pPr>
        <w:pStyle w:val="naisf"/>
        <w:spacing w:before="0" w:after="0"/>
        <w:ind w:firstLine="720"/>
      </w:pPr>
    </w:p>
    <w:tbl>
      <w:tblPr>
        <w:tblW w:w="14111"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685"/>
        <w:gridCol w:w="2902"/>
        <w:gridCol w:w="4343"/>
        <w:gridCol w:w="330"/>
        <w:gridCol w:w="2931"/>
        <w:gridCol w:w="2912"/>
      </w:tblGrid>
      <w:tr w:rsidR="00D37BE2" w:rsidRPr="00D37BE2" w14:paraId="17BACFE2" w14:textId="77777777" w:rsidTr="00113DE0">
        <w:trPr>
          <w:gridBefore w:val="1"/>
          <w:wBefore w:w="8" w:type="dxa"/>
        </w:trPr>
        <w:tc>
          <w:tcPr>
            <w:tcW w:w="685" w:type="dxa"/>
            <w:tcBorders>
              <w:top w:val="single" w:sz="6" w:space="0" w:color="000000"/>
              <w:left w:val="single" w:sz="6" w:space="0" w:color="000000"/>
              <w:bottom w:val="single" w:sz="6" w:space="0" w:color="000000"/>
              <w:right w:val="single" w:sz="6" w:space="0" w:color="000000"/>
            </w:tcBorders>
            <w:vAlign w:val="center"/>
          </w:tcPr>
          <w:p w14:paraId="4AAF9FDF" w14:textId="77777777" w:rsidR="00134188" w:rsidRPr="00D37BE2" w:rsidRDefault="00134188" w:rsidP="00D37BE2">
            <w:pPr>
              <w:pStyle w:val="naisc"/>
              <w:spacing w:before="0" w:after="0"/>
            </w:pPr>
            <w:r w:rsidRPr="00D37BE2">
              <w:lastRenderedPageBreak/>
              <w:t>Nr. p.k.</w:t>
            </w:r>
          </w:p>
        </w:tc>
        <w:tc>
          <w:tcPr>
            <w:tcW w:w="2902" w:type="dxa"/>
            <w:tcBorders>
              <w:top w:val="single" w:sz="6" w:space="0" w:color="000000"/>
              <w:left w:val="single" w:sz="6" w:space="0" w:color="000000"/>
              <w:bottom w:val="single" w:sz="6" w:space="0" w:color="000000"/>
              <w:right w:val="single" w:sz="6" w:space="0" w:color="000000"/>
            </w:tcBorders>
            <w:vAlign w:val="center"/>
          </w:tcPr>
          <w:p w14:paraId="4E9514E3" w14:textId="77777777" w:rsidR="00134188" w:rsidRPr="00D37BE2" w:rsidRDefault="00134188" w:rsidP="00D37BE2">
            <w:pPr>
              <w:pStyle w:val="naisc"/>
              <w:spacing w:before="0" w:after="0"/>
              <w:ind w:firstLine="12"/>
            </w:pPr>
            <w:r w:rsidRPr="00D37BE2">
              <w:t>Saskaņošanai nosūtītā projekta redakcija (konkrēta punkta (panta) redakcija)</w:t>
            </w:r>
          </w:p>
        </w:tc>
        <w:tc>
          <w:tcPr>
            <w:tcW w:w="4343" w:type="dxa"/>
            <w:tcBorders>
              <w:top w:val="single" w:sz="6" w:space="0" w:color="000000"/>
              <w:left w:val="single" w:sz="6" w:space="0" w:color="000000"/>
              <w:bottom w:val="single" w:sz="6" w:space="0" w:color="000000"/>
              <w:right w:val="single" w:sz="6" w:space="0" w:color="000000"/>
            </w:tcBorders>
            <w:vAlign w:val="center"/>
          </w:tcPr>
          <w:p w14:paraId="484F315D" w14:textId="77777777" w:rsidR="00134188" w:rsidRPr="00D37BE2" w:rsidRDefault="00134188" w:rsidP="00D37BE2">
            <w:pPr>
              <w:pStyle w:val="naisc"/>
              <w:spacing w:before="0" w:after="0"/>
              <w:ind w:right="3"/>
            </w:pPr>
            <w:r w:rsidRPr="00D37BE2">
              <w:t>Atzinumā norādītais ministrijas (citas institūcijas) iebildums, kā arī saskaņošanā papildus izteiktais iebildums par projekta konkrēto punktu (pantu)</w:t>
            </w:r>
          </w:p>
        </w:tc>
        <w:tc>
          <w:tcPr>
            <w:tcW w:w="3261" w:type="dxa"/>
            <w:gridSpan w:val="2"/>
            <w:tcBorders>
              <w:top w:val="single" w:sz="6" w:space="0" w:color="000000"/>
              <w:left w:val="single" w:sz="6" w:space="0" w:color="000000"/>
              <w:bottom w:val="single" w:sz="6" w:space="0" w:color="000000"/>
              <w:right w:val="single" w:sz="6" w:space="0" w:color="000000"/>
            </w:tcBorders>
            <w:vAlign w:val="center"/>
          </w:tcPr>
          <w:p w14:paraId="2125A204" w14:textId="77777777" w:rsidR="00134188" w:rsidRPr="00D37BE2" w:rsidRDefault="00134188" w:rsidP="00D37BE2">
            <w:pPr>
              <w:pStyle w:val="naisc"/>
              <w:spacing w:before="0" w:after="0"/>
              <w:ind w:firstLine="21"/>
            </w:pPr>
            <w:r w:rsidRPr="00D37BE2">
              <w:t>Atbildīgās ministrijas norāde</w:t>
            </w:r>
            <w:r w:rsidR="006C1C48" w:rsidRPr="00D37BE2">
              <w:t xml:space="preserve"> par to, ka </w:t>
            </w:r>
            <w:r w:rsidRPr="00D37BE2">
              <w:t>iebildums ir ņemts vērā</w:t>
            </w:r>
            <w:r w:rsidR="006455E7" w:rsidRPr="00D37BE2">
              <w:t>,</w:t>
            </w:r>
            <w:r w:rsidRPr="00D37BE2">
              <w:t xml:space="preserve"> vai </w:t>
            </w:r>
            <w:r w:rsidR="006C1C48" w:rsidRPr="00D37BE2">
              <w:t xml:space="preserve">informācija par saskaņošanā </w:t>
            </w:r>
            <w:r w:rsidR="00022B0F" w:rsidRPr="00D37BE2">
              <w:t>panākto alternatīvo risinājumu</w:t>
            </w:r>
          </w:p>
        </w:tc>
        <w:tc>
          <w:tcPr>
            <w:tcW w:w="2912" w:type="dxa"/>
            <w:tcBorders>
              <w:top w:val="single" w:sz="4" w:space="0" w:color="auto"/>
              <w:left w:val="single" w:sz="4" w:space="0" w:color="auto"/>
              <w:bottom w:val="single" w:sz="4" w:space="0" w:color="auto"/>
            </w:tcBorders>
            <w:vAlign w:val="center"/>
          </w:tcPr>
          <w:p w14:paraId="3BC53624" w14:textId="77777777" w:rsidR="00134188" w:rsidRPr="00D37BE2" w:rsidRDefault="00134188" w:rsidP="00D37BE2">
            <w:pPr>
              <w:jc w:val="center"/>
            </w:pPr>
            <w:r w:rsidRPr="00D37BE2">
              <w:t>Projekta attiecīgā punkta (panta) galīgā redakcija</w:t>
            </w:r>
          </w:p>
        </w:tc>
      </w:tr>
      <w:tr w:rsidR="00D37BE2" w:rsidRPr="00D37BE2" w14:paraId="35DA4086" w14:textId="77777777" w:rsidTr="00113DE0">
        <w:trPr>
          <w:gridBefore w:val="1"/>
          <w:wBefore w:w="8" w:type="dxa"/>
        </w:trPr>
        <w:tc>
          <w:tcPr>
            <w:tcW w:w="685" w:type="dxa"/>
            <w:tcBorders>
              <w:top w:val="single" w:sz="6" w:space="0" w:color="000000"/>
              <w:left w:val="single" w:sz="6" w:space="0" w:color="000000"/>
              <w:bottom w:val="single" w:sz="6" w:space="0" w:color="000000"/>
              <w:right w:val="single" w:sz="6" w:space="0" w:color="000000"/>
            </w:tcBorders>
          </w:tcPr>
          <w:p w14:paraId="74C5CB8B" w14:textId="77777777" w:rsidR="00134188" w:rsidRPr="00D37BE2" w:rsidRDefault="003B71E0" w:rsidP="00D37BE2">
            <w:pPr>
              <w:pStyle w:val="naisc"/>
              <w:spacing w:before="0" w:after="0"/>
            </w:pPr>
            <w:r w:rsidRPr="00D37BE2">
              <w:t>1</w:t>
            </w:r>
          </w:p>
        </w:tc>
        <w:tc>
          <w:tcPr>
            <w:tcW w:w="2902" w:type="dxa"/>
            <w:tcBorders>
              <w:top w:val="single" w:sz="6" w:space="0" w:color="000000"/>
              <w:left w:val="single" w:sz="6" w:space="0" w:color="000000"/>
              <w:bottom w:val="single" w:sz="6" w:space="0" w:color="000000"/>
              <w:right w:val="single" w:sz="6" w:space="0" w:color="000000"/>
            </w:tcBorders>
          </w:tcPr>
          <w:p w14:paraId="631E8769" w14:textId="77777777" w:rsidR="00134188" w:rsidRPr="00D37BE2" w:rsidRDefault="00F34AAB" w:rsidP="00D37BE2">
            <w:pPr>
              <w:pStyle w:val="naisc"/>
              <w:spacing w:before="0" w:after="0"/>
              <w:ind w:firstLine="720"/>
            </w:pPr>
            <w:r w:rsidRPr="00D37BE2">
              <w:t>2</w:t>
            </w:r>
          </w:p>
        </w:tc>
        <w:tc>
          <w:tcPr>
            <w:tcW w:w="4343" w:type="dxa"/>
            <w:tcBorders>
              <w:top w:val="single" w:sz="6" w:space="0" w:color="000000"/>
              <w:left w:val="single" w:sz="6" w:space="0" w:color="000000"/>
              <w:bottom w:val="single" w:sz="6" w:space="0" w:color="000000"/>
              <w:right w:val="single" w:sz="6" w:space="0" w:color="000000"/>
            </w:tcBorders>
          </w:tcPr>
          <w:p w14:paraId="253DA0FC" w14:textId="77777777" w:rsidR="00134188" w:rsidRPr="00D37BE2" w:rsidRDefault="003B71E0" w:rsidP="00D37BE2">
            <w:pPr>
              <w:pStyle w:val="naisc"/>
              <w:spacing w:before="0" w:after="0"/>
              <w:ind w:firstLine="720"/>
            </w:pPr>
            <w:r w:rsidRPr="00D37BE2">
              <w:t>3</w:t>
            </w:r>
          </w:p>
        </w:tc>
        <w:tc>
          <w:tcPr>
            <w:tcW w:w="3261" w:type="dxa"/>
            <w:gridSpan w:val="2"/>
            <w:tcBorders>
              <w:top w:val="single" w:sz="6" w:space="0" w:color="000000"/>
              <w:left w:val="single" w:sz="6" w:space="0" w:color="000000"/>
              <w:bottom w:val="single" w:sz="6" w:space="0" w:color="000000"/>
              <w:right w:val="single" w:sz="6" w:space="0" w:color="000000"/>
            </w:tcBorders>
          </w:tcPr>
          <w:p w14:paraId="4855B538" w14:textId="77777777" w:rsidR="00134188" w:rsidRPr="00D37BE2" w:rsidRDefault="003B71E0" w:rsidP="00D37BE2">
            <w:pPr>
              <w:pStyle w:val="naisc"/>
              <w:spacing w:before="0" w:after="0"/>
              <w:ind w:firstLine="720"/>
            </w:pPr>
            <w:r w:rsidRPr="00D37BE2">
              <w:t>4</w:t>
            </w:r>
          </w:p>
        </w:tc>
        <w:tc>
          <w:tcPr>
            <w:tcW w:w="2912" w:type="dxa"/>
            <w:tcBorders>
              <w:top w:val="single" w:sz="4" w:space="0" w:color="auto"/>
              <w:left w:val="single" w:sz="4" w:space="0" w:color="auto"/>
              <w:bottom w:val="single" w:sz="4" w:space="0" w:color="auto"/>
            </w:tcBorders>
          </w:tcPr>
          <w:p w14:paraId="1B15FEBC" w14:textId="77777777" w:rsidR="00134188" w:rsidRPr="00D37BE2" w:rsidRDefault="003B71E0" w:rsidP="00D37BE2">
            <w:pPr>
              <w:jc w:val="center"/>
            </w:pPr>
            <w:r w:rsidRPr="00D37BE2">
              <w:t>5</w:t>
            </w:r>
          </w:p>
        </w:tc>
      </w:tr>
      <w:tr w:rsidR="00D37BE2" w:rsidRPr="00D37BE2" w14:paraId="0070AA7A" w14:textId="77777777" w:rsidTr="00113DE0">
        <w:trPr>
          <w:gridBefore w:val="1"/>
          <w:wBefore w:w="8" w:type="dxa"/>
        </w:trPr>
        <w:tc>
          <w:tcPr>
            <w:tcW w:w="685" w:type="dxa"/>
            <w:tcBorders>
              <w:left w:val="single" w:sz="6" w:space="0" w:color="000000"/>
              <w:bottom w:val="single" w:sz="4" w:space="0" w:color="auto"/>
              <w:right w:val="single" w:sz="6" w:space="0" w:color="000000"/>
            </w:tcBorders>
          </w:tcPr>
          <w:p w14:paraId="6162204A" w14:textId="77777777" w:rsidR="006A4D92" w:rsidRPr="00D37BE2" w:rsidRDefault="006A4D92" w:rsidP="00D37BE2">
            <w:r w:rsidRPr="00D37BE2">
              <w:t>1.</w:t>
            </w:r>
          </w:p>
        </w:tc>
        <w:tc>
          <w:tcPr>
            <w:tcW w:w="2902" w:type="dxa"/>
            <w:tcBorders>
              <w:left w:val="single" w:sz="6" w:space="0" w:color="000000"/>
              <w:bottom w:val="single" w:sz="4" w:space="0" w:color="auto"/>
              <w:right w:val="single" w:sz="6" w:space="0" w:color="000000"/>
            </w:tcBorders>
          </w:tcPr>
          <w:p w14:paraId="0C7DA27C" w14:textId="77777777" w:rsidR="006A4D92" w:rsidRPr="00D37BE2" w:rsidRDefault="006A4D92" w:rsidP="00D37BE2">
            <w:pPr>
              <w:contextualSpacing/>
              <w:jc w:val="both"/>
            </w:pPr>
            <w:r w:rsidRPr="00D37BE2">
              <w:t>Noteikumu projekts</w:t>
            </w:r>
          </w:p>
        </w:tc>
        <w:tc>
          <w:tcPr>
            <w:tcW w:w="4343" w:type="dxa"/>
            <w:tcBorders>
              <w:left w:val="single" w:sz="6" w:space="0" w:color="000000"/>
              <w:bottom w:val="single" w:sz="4" w:space="0" w:color="auto"/>
              <w:right w:val="single" w:sz="6" w:space="0" w:color="000000"/>
            </w:tcBorders>
          </w:tcPr>
          <w:p w14:paraId="4ACF1C3A" w14:textId="3E01A9F2" w:rsidR="006A4D92" w:rsidRPr="00D37BE2" w:rsidRDefault="006A4D92" w:rsidP="00D37BE2">
            <w:pPr>
              <w:pStyle w:val="naisc"/>
              <w:spacing w:before="0" w:after="0"/>
              <w:jc w:val="both"/>
              <w:rPr>
                <w:b/>
                <w:bCs/>
              </w:rPr>
            </w:pPr>
            <w:r w:rsidRPr="00D37BE2">
              <w:rPr>
                <w:b/>
                <w:bCs/>
              </w:rPr>
              <w:t>Tieslietu ministrijas 0</w:t>
            </w:r>
            <w:r w:rsidR="001D7C04" w:rsidRPr="00D37BE2">
              <w:rPr>
                <w:b/>
                <w:bCs/>
              </w:rPr>
              <w:t>3</w:t>
            </w:r>
            <w:r w:rsidRPr="00D37BE2">
              <w:rPr>
                <w:b/>
                <w:bCs/>
              </w:rPr>
              <w:t>.10.2019. iebildums:</w:t>
            </w:r>
          </w:p>
          <w:p w14:paraId="4A9DD520" w14:textId="77777777" w:rsidR="00BC3B14" w:rsidRPr="00D37BE2" w:rsidRDefault="006A4D92" w:rsidP="00D37BE2">
            <w:pPr>
              <w:pStyle w:val="NormalWeb"/>
              <w:spacing w:before="0" w:beforeAutospacing="0" w:after="0" w:afterAutospacing="0"/>
              <w:jc w:val="both"/>
            </w:pPr>
            <w:r w:rsidRPr="00D37BE2">
              <w:t>“</w:t>
            </w:r>
            <w:r w:rsidR="001D7C04" w:rsidRPr="00D37BE2">
              <w:t>1. </w:t>
            </w:r>
            <w:r w:rsidR="00BC3B14" w:rsidRPr="00D37BE2">
              <w:t>Projektā paredzēts papildināt Būvniecības valsts kontroles biroja (turpmāk – Birojs) funkcijas (uzdevumus) ar enerģētikas politikas īstenošanu. Tā kā Birojs ir izveidots ar likumu (Būvniecības likuma 6.</w:t>
            </w:r>
            <w:r w:rsidR="00BC3B14" w:rsidRPr="00D37BE2">
              <w:rPr>
                <w:vertAlign w:val="superscript"/>
              </w:rPr>
              <w:t>1</w:t>
            </w:r>
            <w:r w:rsidR="00BC3B14" w:rsidRPr="00D37BE2">
              <w:t> pants), tad projekts – Ministru kabineta noteikumi – nevar mainīt Biroja pamatfunkcijas. Līdz ar to projektā paredzētais regulējums nav atbalstāms, kamēr nav izdarīti grozījumi attiecīgajos likumos, kas nosaka Biroja pamatfunkcijas.</w:t>
            </w:r>
          </w:p>
          <w:p w14:paraId="2405FD2D" w14:textId="77777777" w:rsidR="00BC3B14" w:rsidRPr="00D37BE2" w:rsidRDefault="00BC3B14" w:rsidP="00D37BE2">
            <w:pPr>
              <w:pStyle w:val="NormalWeb"/>
              <w:spacing w:before="0" w:beforeAutospacing="0" w:after="0" w:afterAutospacing="0"/>
              <w:ind w:firstLine="720"/>
              <w:jc w:val="both"/>
            </w:pPr>
            <w:r w:rsidRPr="00D37BE2">
              <w:t xml:space="preserve">Saskaņā ar Valsts iestāžu juridisko dienestu 2010. gada 12. marta sanāksmes </w:t>
            </w:r>
            <w:proofErr w:type="spellStart"/>
            <w:r w:rsidRPr="00D37BE2">
              <w:t>protokollēmuma</w:t>
            </w:r>
            <w:proofErr w:type="spellEnd"/>
            <w:r w:rsidRPr="00D37BE2">
              <w:t xml:space="preserve"> "Par grozījumiem Ministru kabineta 2009. gada 7. aprīļa noteikumos Nr. 300 "Ministru kabineta kārtības rullis" (Ministru kabineta 2010. gada 23. februāra noteikumi Nr. 170)" (prot. Nr. 2 1. §) 8. punktā noteikto ir atbalstāma Ministru kabineta noteikumu projektu izsludināšana Valsts sekretāru sanāksmē, kad likumprojekts Saeimā izskatīts otrajā lasījumā, kā arī šādi Ministru kabineta noteikumu projekti var </w:t>
            </w:r>
            <w:r w:rsidRPr="00D37BE2">
              <w:lastRenderedPageBreak/>
              <w:t>tikt izskatīti Ministru kabinetā, kad likumprojekts pieņemts Saeimā.</w:t>
            </w:r>
          </w:p>
          <w:p w14:paraId="014CBD1B" w14:textId="14CE64F1" w:rsidR="006A4D92" w:rsidRPr="00D37BE2" w:rsidRDefault="00BC3B14" w:rsidP="00D37BE2">
            <w:pPr>
              <w:pStyle w:val="NormalWeb"/>
              <w:spacing w:before="0" w:beforeAutospacing="0" w:after="0" w:afterAutospacing="0"/>
              <w:ind w:firstLine="720"/>
              <w:jc w:val="both"/>
            </w:pPr>
            <w:r w:rsidRPr="00D37BE2">
              <w:t>Šobrīd norit likumprojektu "Grozījumi Enerģētikas likumā", "Grozījumi Energoefektivitātes likumā", "Grozījumi Elektroenerģijas tirgus likumā" un "Grozījumi likumā "Par zemes dzīlēm"" saskaņošanas process un tie vēl nav atbalstīti Ministru kabinetā. Tomēr ir plānots, ka minētie likumprojekti tiks virzīti valsts budžeta likumprojektu paketē un pieņemti divos lasījumos. Ievērojot minēto, lūdzam precizēto projektu nosūtīt atkārtotai saskaņošanai vismaz pēc tam, kad visi attiecīgie likumprojekti būs pieņemti pirmajā lasījumā, un projektu virzīt izskatīšanai Ministru kabineta sēdē pēc likumprojektu pieņemšanas otrajā lasījumā.</w:t>
            </w:r>
            <w:r w:rsidR="006A4D92" w:rsidRPr="00D37BE2">
              <w:t>”</w:t>
            </w:r>
          </w:p>
        </w:tc>
        <w:tc>
          <w:tcPr>
            <w:tcW w:w="3261" w:type="dxa"/>
            <w:gridSpan w:val="2"/>
            <w:tcBorders>
              <w:left w:val="single" w:sz="6" w:space="0" w:color="000000"/>
              <w:bottom w:val="single" w:sz="4" w:space="0" w:color="auto"/>
              <w:right w:val="single" w:sz="6" w:space="0" w:color="000000"/>
            </w:tcBorders>
          </w:tcPr>
          <w:p w14:paraId="3DED154A" w14:textId="34100510" w:rsidR="006A4D92" w:rsidRPr="00D37BE2" w:rsidRDefault="006A4D92" w:rsidP="00D37BE2">
            <w:pPr>
              <w:pStyle w:val="naisc"/>
              <w:spacing w:before="0" w:after="0"/>
              <w:rPr>
                <w:b/>
              </w:rPr>
            </w:pPr>
            <w:r w:rsidRPr="00D37BE2">
              <w:rPr>
                <w:b/>
              </w:rPr>
              <w:lastRenderedPageBreak/>
              <w:t>Ņemts vērā</w:t>
            </w:r>
          </w:p>
          <w:p w14:paraId="7F905D06" w14:textId="0A033829" w:rsidR="00892293" w:rsidRPr="00D37BE2" w:rsidRDefault="00D37BE2" w:rsidP="00D37BE2">
            <w:pPr>
              <w:jc w:val="both"/>
            </w:pPr>
            <w:r w:rsidRPr="00D37BE2">
              <w:t>N</w:t>
            </w:r>
            <w:r w:rsidR="00892293" w:rsidRPr="00D37BE2">
              <w:t xml:space="preserve">oteikumu projekts tiek virzīts izskatīšanai Ministru kabinetā pēc tam, kad </w:t>
            </w:r>
            <w:r w:rsidR="00FA7610" w:rsidRPr="00D37BE2">
              <w:t xml:space="preserve">saistītie </w:t>
            </w:r>
            <w:r w:rsidR="00892293" w:rsidRPr="00D37BE2">
              <w:t>likumprojekt</w:t>
            </w:r>
            <w:r w:rsidR="00FA7610" w:rsidRPr="00D37BE2">
              <w:t>i</w:t>
            </w:r>
            <w:r w:rsidR="00892293" w:rsidRPr="00D37BE2">
              <w:t xml:space="preserve"> ir izskatīt</w:t>
            </w:r>
            <w:r w:rsidR="00FA7610" w:rsidRPr="00D37BE2">
              <w:t>i</w:t>
            </w:r>
            <w:r w:rsidR="00892293" w:rsidRPr="00D37BE2">
              <w:t xml:space="preserve"> Ministru kabinetā un pieņemt</w:t>
            </w:r>
            <w:r w:rsidR="00FA7610" w:rsidRPr="00D37BE2">
              <w:t>i</w:t>
            </w:r>
            <w:r w:rsidR="00892293" w:rsidRPr="00D37BE2">
              <w:t xml:space="preserve"> Saeimā otrajā lasījumā.</w:t>
            </w:r>
          </w:p>
          <w:p w14:paraId="77FF5EEA" w14:textId="4B302F1D" w:rsidR="006219C9" w:rsidRPr="00D37BE2" w:rsidRDefault="00892293" w:rsidP="00D37BE2">
            <w:pPr>
              <w:jc w:val="both"/>
            </w:pPr>
            <w:r w:rsidRPr="00D37BE2">
              <w:t>Likumprojekti “Grozījumi Enerģētikas likumā”, “Grozījumi Energoefektivitātes likumā”, “Grozījumi Elektroenerģijas tirgus likumā” un “Grozījumi likumā “Par zemes dzīlēm””  tika izskatīt</w:t>
            </w:r>
            <w:r w:rsidR="0051177C" w:rsidRPr="00D37BE2">
              <w:t>i</w:t>
            </w:r>
            <w:r w:rsidRPr="00D37BE2">
              <w:t xml:space="preserve"> Ministru kabineta 2019. gada 8.</w:t>
            </w:r>
            <w:r w:rsidR="00D90892" w:rsidRPr="00D37BE2">
              <w:t xml:space="preserve"> </w:t>
            </w:r>
            <w:r w:rsidRPr="00D37BE2">
              <w:t>oktobra sēdē un pieņemt</w:t>
            </w:r>
            <w:r w:rsidR="00FA7610" w:rsidRPr="00D37BE2">
              <w:t>i</w:t>
            </w:r>
            <w:r w:rsidRPr="00D37BE2">
              <w:t xml:space="preserve"> Saeimā otrajā lasījumā 2019. gada 14. novembrī.</w:t>
            </w:r>
          </w:p>
        </w:tc>
        <w:tc>
          <w:tcPr>
            <w:tcW w:w="2912" w:type="dxa"/>
            <w:tcBorders>
              <w:top w:val="single" w:sz="4" w:space="0" w:color="auto"/>
              <w:left w:val="single" w:sz="4" w:space="0" w:color="auto"/>
              <w:bottom w:val="single" w:sz="4" w:space="0" w:color="auto"/>
            </w:tcBorders>
          </w:tcPr>
          <w:p w14:paraId="1AE93A5C" w14:textId="66F1D41D" w:rsidR="006A4D92" w:rsidRPr="00D37BE2" w:rsidRDefault="00892293" w:rsidP="00D37BE2">
            <w:pPr>
              <w:pStyle w:val="tv213"/>
              <w:shd w:val="clear" w:color="auto" w:fill="FFFFFF"/>
              <w:spacing w:before="0" w:beforeAutospacing="0" w:after="0" w:afterAutospacing="0"/>
              <w:jc w:val="both"/>
            </w:pPr>
            <w:r w:rsidRPr="00D37BE2">
              <w:t>-</w:t>
            </w:r>
          </w:p>
        </w:tc>
      </w:tr>
      <w:tr w:rsidR="00D37BE2" w:rsidRPr="00D37BE2" w14:paraId="2976D878" w14:textId="77777777" w:rsidTr="00113DE0">
        <w:trPr>
          <w:gridBefore w:val="1"/>
          <w:wBefore w:w="8" w:type="dxa"/>
        </w:trPr>
        <w:tc>
          <w:tcPr>
            <w:tcW w:w="685" w:type="dxa"/>
            <w:tcBorders>
              <w:left w:val="single" w:sz="6" w:space="0" w:color="000000"/>
              <w:bottom w:val="single" w:sz="4" w:space="0" w:color="auto"/>
              <w:right w:val="single" w:sz="6" w:space="0" w:color="000000"/>
            </w:tcBorders>
          </w:tcPr>
          <w:p w14:paraId="63F73156" w14:textId="77777777" w:rsidR="00A14C99" w:rsidRPr="00D37BE2" w:rsidRDefault="00A14C99" w:rsidP="00D37BE2">
            <w:r w:rsidRPr="00D37BE2">
              <w:t>2.</w:t>
            </w:r>
          </w:p>
        </w:tc>
        <w:tc>
          <w:tcPr>
            <w:tcW w:w="2902" w:type="dxa"/>
            <w:tcBorders>
              <w:left w:val="single" w:sz="6" w:space="0" w:color="000000"/>
              <w:bottom w:val="single" w:sz="4" w:space="0" w:color="auto"/>
              <w:right w:val="single" w:sz="6" w:space="0" w:color="000000"/>
            </w:tcBorders>
          </w:tcPr>
          <w:p w14:paraId="1D2C8C1B" w14:textId="77777777" w:rsidR="00A14C99" w:rsidRPr="00D37BE2" w:rsidRDefault="00A14C99" w:rsidP="00D37BE2">
            <w:pPr>
              <w:contextualSpacing/>
              <w:jc w:val="both"/>
            </w:pPr>
            <w:r w:rsidRPr="00D37BE2">
              <w:t>Noteikumu projekts</w:t>
            </w:r>
          </w:p>
        </w:tc>
        <w:tc>
          <w:tcPr>
            <w:tcW w:w="4343" w:type="dxa"/>
            <w:tcBorders>
              <w:left w:val="single" w:sz="6" w:space="0" w:color="000000"/>
              <w:bottom w:val="single" w:sz="4" w:space="0" w:color="auto"/>
              <w:right w:val="single" w:sz="6" w:space="0" w:color="000000"/>
            </w:tcBorders>
          </w:tcPr>
          <w:p w14:paraId="5107B5CF" w14:textId="77777777" w:rsidR="00A14C99" w:rsidRPr="00D37BE2" w:rsidRDefault="00A14C99" w:rsidP="00D37BE2">
            <w:pPr>
              <w:pStyle w:val="naisc"/>
              <w:spacing w:before="0" w:after="0"/>
              <w:jc w:val="both"/>
              <w:rPr>
                <w:b/>
                <w:bCs/>
              </w:rPr>
            </w:pPr>
            <w:r w:rsidRPr="00D37BE2">
              <w:rPr>
                <w:b/>
                <w:bCs/>
              </w:rPr>
              <w:t>Tieslietu ministrijas 03.10.2019. iebildums:</w:t>
            </w:r>
          </w:p>
          <w:p w14:paraId="2FD6A369" w14:textId="77777777" w:rsidR="00A14C99" w:rsidRPr="00D37BE2" w:rsidRDefault="00A14C99" w:rsidP="00D37BE2">
            <w:pPr>
              <w:jc w:val="both"/>
            </w:pPr>
            <w:r w:rsidRPr="00D37BE2">
              <w:t>“2. Aicinām precizēt projektu un aiz projekta nosaukuma iekļaut norādi, uz kāda likuma pamata projekts sagatavots (Ministru kabineta 2009. gada 3. februāra noteikumu Nr. 108 "Normatīvo aktu projektu sagatavošanas noteikumi" 97. punkts).”</w:t>
            </w:r>
          </w:p>
        </w:tc>
        <w:tc>
          <w:tcPr>
            <w:tcW w:w="3261" w:type="dxa"/>
            <w:gridSpan w:val="2"/>
            <w:tcBorders>
              <w:left w:val="single" w:sz="6" w:space="0" w:color="000000"/>
              <w:bottom w:val="single" w:sz="4" w:space="0" w:color="auto"/>
              <w:right w:val="single" w:sz="6" w:space="0" w:color="000000"/>
            </w:tcBorders>
          </w:tcPr>
          <w:p w14:paraId="5847CB7C" w14:textId="77777777" w:rsidR="00A14C99" w:rsidRPr="00D37BE2" w:rsidRDefault="00A14C99" w:rsidP="00D37BE2">
            <w:pPr>
              <w:pStyle w:val="naisc"/>
              <w:spacing w:before="0" w:after="0"/>
              <w:rPr>
                <w:b/>
                <w:bCs/>
              </w:rPr>
            </w:pPr>
            <w:r w:rsidRPr="00D37BE2">
              <w:rPr>
                <w:b/>
              </w:rPr>
              <w:t>Ņemts vērā</w:t>
            </w:r>
          </w:p>
        </w:tc>
        <w:tc>
          <w:tcPr>
            <w:tcW w:w="2912" w:type="dxa"/>
            <w:tcBorders>
              <w:top w:val="single" w:sz="4" w:space="0" w:color="auto"/>
              <w:left w:val="single" w:sz="4" w:space="0" w:color="auto"/>
              <w:bottom w:val="single" w:sz="4" w:space="0" w:color="auto"/>
            </w:tcBorders>
          </w:tcPr>
          <w:p w14:paraId="555633CE" w14:textId="77777777" w:rsidR="00A14C99" w:rsidRPr="00D37BE2" w:rsidRDefault="00A14C99" w:rsidP="00D37BE2">
            <w:pPr>
              <w:pStyle w:val="tv213"/>
              <w:shd w:val="clear" w:color="auto" w:fill="FFFFFF"/>
              <w:spacing w:before="0" w:beforeAutospacing="0" w:after="0" w:afterAutospacing="0"/>
              <w:jc w:val="both"/>
            </w:pPr>
            <w:r w:rsidRPr="00D37BE2">
              <w:t>Noteikumu projekts papildināts a</w:t>
            </w:r>
            <w:r w:rsidRPr="00D37BE2">
              <w:rPr>
                <w:shd w:val="clear" w:color="auto" w:fill="FFFFFF"/>
              </w:rPr>
              <w:t xml:space="preserve">iz noteikumu projekta nosaukuma </w:t>
            </w:r>
            <w:r w:rsidRPr="00D37BE2">
              <w:t>ar norādi šādā redakcijā:</w:t>
            </w:r>
          </w:p>
          <w:p w14:paraId="670E44EB" w14:textId="191753D7" w:rsidR="00A14C99" w:rsidRPr="00D37BE2" w:rsidRDefault="00A14C99" w:rsidP="00D37BE2">
            <w:pPr>
              <w:pStyle w:val="tv213"/>
              <w:shd w:val="clear" w:color="auto" w:fill="FFFFFF"/>
              <w:spacing w:before="0" w:beforeAutospacing="0" w:after="0" w:afterAutospacing="0"/>
              <w:jc w:val="both"/>
            </w:pPr>
            <w:r w:rsidRPr="00D37BE2">
              <w:t>“</w:t>
            </w:r>
            <w:r w:rsidRPr="00D37BE2">
              <w:rPr>
                <w:i/>
                <w:iCs/>
                <w:shd w:val="clear" w:color="auto" w:fill="FFFFFF"/>
              </w:rPr>
              <w:t xml:space="preserve">Izdoti saskaņā ar </w:t>
            </w:r>
            <w:hyperlink r:id="rId7" w:tgtFrame="_blank" w:history="1">
              <w:r w:rsidRPr="00D37BE2">
                <w:rPr>
                  <w:rStyle w:val="Hyperlink"/>
                  <w:i/>
                  <w:iCs/>
                  <w:color w:val="auto"/>
                  <w:u w:val="none"/>
                  <w:shd w:val="clear" w:color="auto" w:fill="FFFFFF"/>
                </w:rPr>
                <w:t>Valsts pārvaldes iekārtas likuma</w:t>
              </w:r>
            </w:hyperlink>
            <w:r w:rsidRPr="00D37BE2">
              <w:t xml:space="preserve"> </w:t>
            </w:r>
            <w:hyperlink r:id="rId8" w:anchor="p16" w:tgtFrame="_blank" w:history="1">
              <w:r w:rsidRPr="00D37BE2">
                <w:rPr>
                  <w:rStyle w:val="Hyperlink"/>
                  <w:i/>
                  <w:iCs/>
                  <w:color w:val="auto"/>
                  <w:u w:val="none"/>
                  <w:shd w:val="clear" w:color="auto" w:fill="FFFFFF"/>
                </w:rPr>
                <w:t>16.</w:t>
              </w:r>
              <w:r w:rsidR="00D37BE2" w:rsidRPr="00D37BE2">
                <w:rPr>
                  <w:rStyle w:val="Hyperlink"/>
                  <w:i/>
                  <w:iCs/>
                  <w:color w:val="auto"/>
                  <w:u w:val="none"/>
                  <w:shd w:val="clear" w:color="auto" w:fill="FFFFFF"/>
                </w:rPr>
                <w:t xml:space="preserve"> </w:t>
              </w:r>
              <w:r w:rsidRPr="00D37BE2">
                <w:rPr>
                  <w:rStyle w:val="Hyperlink"/>
                  <w:i/>
                  <w:iCs/>
                  <w:color w:val="auto"/>
                  <w:u w:val="none"/>
                  <w:shd w:val="clear" w:color="auto" w:fill="FFFFFF"/>
                </w:rPr>
                <w:t>panta</w:t>
              </w:r>
            </w:hyperlink>
            <w:r w:rsidRPr="00D37BE2">
              <w:rPr>
                <w:i/>
                <w:iCs/>
                <w:shd w:val="clear" w:color="auto" w:fill="FFFFFF"/>
              </w:rPr>
              <w:t xml:space="preserve"> pirmo daļu</w:t>
            </w:r>
            <w:r w:rsidRPr="00D37BE2">
              <w:t>”</w:t>
            </w:r>
          </w:p>
        </w:tc>
      </w:tr>
      <w:tr w:rsidR="00D37BE2" w:rsidRPr="00D37BE2" w14:paraId="778BB366" w14:textId="77777777" w:rsidTr="00113DE0">
        <w:trPr>
          <w:gridBefore w:val="1"/>
          <w:wBefore w:w="8" w:type="dxa"/>
        </w:trPr>
        <w:tc>
          <w:tcPr>
            <w:tcW w:w="685" w:type="dxa"/>
            <w:tcBorders>
              <w:left w:val="single" w:sz="6" w:space="0" w:color="000000"/>
              <w:bottom w:val="single" w:sz="4" w:space="0" w:color="auto"/>
              <w:right w:val="single" w:sz="6" w:space="0" w:color="000000"/>
            </w:tcBorders>
          </w:tcPr>
          <w:p w14:paraId="5AA982B7" w14:textId="654C3D02" w:rsidR="00031355" w:rsidRPr="00D37BE2" w:rsidRDefault="00031355" w:rsidP="00D37BE2">
            <w:r w:rsidRPr="00D37BE2">
              <w:t>3.</w:t>
            </w:r>
          </w:p>
        </w:tc>
        <w:tc>
          <w:tcPr>
            <w:tcW w:w="2902" w:type="dxa"/>
            <w:tcBorders>
              <w:left w:val="single" w:sz="6" w:space="0" w:color="000000"/>
              <w:bottom w:val="single" w:sz="4" w:space="0" w:color="auto"/>
              <w:right w:val="single" w:sz="6" w:space="0" w:color="000000"/>
            </w:tcBorders>
          </w:tcPr>
          <w:p w14:paraId="323C4993" w14:textId="77777777" w:rsidR="00031355" w:rsidRPr="00D37BE2" w:rsidRDefault="00031355" w:rsidP="00D37BE2">
            <w:pPr>
              <w:contextualSpacing/>
              <w:jc w:val="both"/>
            </w:pPr>
            <w:r w:rsidRPr="00D37BE2">
              <w:t>Noteikumu projekta 1.2. apakšpunkts:</w:t>
            </w:r>
          </w:p>
          <w:p w14:paraId="340897A0" w14:textId="4B6919DC" w:rsidR="00031355" w:rsidRPr="00D37BE2" w:rsidRDefault="00031355" w:rsidP="00D37BE2">
            <w:pPr>
              <w:pStyle w:val="ListParagraph"/>
              <w:shd w:val="clear" w:color="auto" w:fill="FFFFFF"/>
              <w:tabs>
                <w:tab w:val="left" w:pos="993"/>
              </w:tabs>
              <w:spacing w:after="0" w:line="240" w:lineRule="auto"/>
              <w:ind w:left="0"/>
              <w:jc w:val="both"/>
              <w:rPr>
                <w:rFonts w:ascii="Times New Roman" w:hAnsi="Times New Roman"/>
                <w:sz w:val="24"/>
                <w:szCs w:val="24"/>
              </w:rPr>
            </w:pPr>
            <w:r w:rsidRPr="00D37BE2">
              <w:rPr>
                <w:rFonts w:ascii="Times New Roman" w:hAnsi="Times New Roman"/>
                <w:sz w:val="24"/>
                <w:szCs w:val="24"/>
                <w:lang w:eastAsia="lv-LV"/>
              </w:rPr>
              <w:t>“1.2. Svītrot 3.3. apakšpunktu.”</w:t>
            </w:r>
          </w:p>
        </w:tc>
        <w:tc>
          <w:tcPr>
            <w:tcW w:w="4343" w:type="dxa"/>
            <w:tcBorders>
              <w:left w:val="single" w:sz="6" w:space="0" w:color="000000"/>
              <w:bottom w:val="single" w:sz="4" w:space="0" w:color="auto"/>
              <w:right w:val="single" w:sz="6" w:space="0" w:color="000000"/>
            </w:tcBorders>
          </w:tcPr>
          <w:p w14:paraId="4732A941" w14:textId="77777777" w:rsidR="00031355" w:rsidRPr="00D37BE2" w:rsidRDefault="00031355" w:rsidP="00D37BE2">
            <w:pPr>
              <w:pStyle w:val="naisc"/>
              <w:spacing w:before="0" w:after="0"/>
              <w:jc w:val="both"/>
              <w:rPr>
                <w:b/>
                <w:bCs/>
              </w:rPr>
            </w:pPr>
            <w:r w:rsidRPr="00D37BE2">
              <w:rPr>
                <w:b/>
                <w:bCs/>
              </w:rPr>
              <w:t>Finanšu ministrijas 07.10.2019. iebildums:</w:t>
            </w:r>
          </w:p>
          <w:p w14:paraId="64C1BB9A" w14:textId="77777777" w:rsidR="00031355" w:rsidRPr="00D37BE2" w:rsidRDefault="00031355" w:rsidP="00D37BE2">
            <w:pPr>
              <w:pStyle w:val="naisc"/>
              <w:spacing w:before="0" w:after="0"/>
              <w:jc w:val="both"/>
            </w:pPr>
            <w:r w:rsidRPr="00D37BE2">
              <w:t xml:space="preserve">“1. Noteikumu projekta 1.2. apakšpunkts paredz svītrot Ministru kabineta 2014. gada 30. septembra noteikumu Nr.576 </w:t>
            </w:r>
            <w:r w:rsidRPr="00D37BE2">
              <w:lastRenderedPageBreak/>
              <w:t>“Būvniecības valsts kontroles biroja nolikums” (turpmāk - Nolikums) 3.3.apakšpunktu. Nolikuma 3. punktā ir noteiktas Būvniecības valsts kontroles biroja (turpmāk – BVKB) funkcijas. Nolikuma 3.3. apakšpunkts paredz, ka BVKV funkcija ir organizēt būvprojektu un būvju ekspertīzi, ja būvniecības pasūtītājs ir publisko tiesību juridiskā persona vai tās institūcija vai ja starp būvniecības procesa dalībniekiem ir strīds un nepieciešams neatkarīgas būvprojekta vai būves ekspertīzes atzinums. Lūdzam Anotāciju papildināt ar skaidrojumu, kādēļ Nolikuma 3.3. apakšpunktā minētās normas tiek svītrotas</w:t>
            </w:r>
            <w:r w:rsidRPr="00D37BE2">
              <w:rPr>
                <w:shd w:val="clear" w:color="auto" w:fill="FFFFFF"/>
              </w:rPr>
              <w:t>, kā arī būtu nepieciešams papildināt ar informāciju, kam tiek nodota minētā funkcija, proti, veikt būvprojektu un būvju ekspertīzi</w:t>
            </w:r>
            <w:r w:rsidRPr="00D37BE2">
              <w:t>.”</w:t>
            </w:r>
          </w:p>
          <w:p w14:paraId="1C605C41" w14:textId="43144BD0" w:rsidR="00712557" w:rsidRPr="00D37BE2" w:rsidRDefault="00712557" w:rsidP="00D37BE2">
            <w:pPr>
              <w:pStyle w:val="naisc"/>
              <w:spacing w:before="0" w:after="0"/>
              <w:jc w:val="both"/>
              <w:rPr>
                <w:b/>
                <w:bCs/>
              </w:rPr>
            </w:pPr>
          </w:p>
          <w:p w14:paraId="7CAD41B3" w14:textId="77777777" w:rsidR="00712557" w:rsidRPr="00D37BE2" w:rsidRDefault="00712557" w:rsidP="00D37BE2">
            <w:pPr>
              <w:pStyle w:val="naisc"/>
              <w:spacing w:before="0" w:after="0"/>
              <w:jc w:val="both"/>
              <w:rPr>
                <w:b/>
                <w:bCs/>
              </w:rPr>
            </w:pPr>
          </w:p>
          <w:p w14:paraId="779E84F2" w14:textId="3D0D9762" w:rsidR="00712557" w:rsidRPr="00D37BE2" w:rsidRDefault="00712557" w:rsidP="00D37BE2">
            <w:pPr>
              <w:pStyle w:val="naisc"/>
              <w:spacing w:before="0" w:after="0"/>
              <w:jc w:val="both"/>
              <w:rPr>
                <w:b/>
                <w:bCs/>
              </w:rPr>
            </w:pPr>
            <w:r w:rsidRPr="00D37BE2">
              <w:rPr>
                <w:b/>
                <w:bCs/>
              </w:rPr>
              <w:t>Tieslietu ministrijas 13.11.2019. iebildums:</w:t>
            </w:r>
          </w:p>
          <w:p w14:paraId="48AD933E" w14:textId="1AC48E7D" w:rsidR="00712557" w:rsidRPr="00D37BE2" w:rsidRDefault="00712557" w:rsidP="00D37BE2">
            <w:pPr>
              <w:pStyle w:val="naisc"/>
              <w:spacing w:before="0" w:after="0"/>
              <w:jc w:val="both"/>
              <w:rPr>
                <w:b/>
                <w:bCs/>
              </w:rPr>
            </w:pPr>
            <w:r w:rsidRPr="00D37BE2">
              <w:t>“1.1. Saistībā ar projekta 1.2. apakšpunktā paredzēto grozījumu projekta anotācijā norādīts: "BVKB pienākumu organizēt būvprojektu un būvju ekspertīzi un gadījumus, kad tas veicams, nosaka Būvniecības likuma 6.</w:t>
            </w:r>
            <w:r w:rsidRPr="00D37BE2">
              <w:rPr>
                <w:vertAlign w:val="superscript"/>
              </w:rPr>
              <w:t>1</w:t>
            </w:r>
            <w:r w:rsidRPr="00D37BE2">
              <w:t xml:space="preserve"> panta pirmās daļas ceturtais apakšpunkts. Tas nozīmē, ka likumdevējs ir izvēlējies pats noregulēt šo jautājumu, un deleģētās likumdošanas ietvaros šā jautājumu regulēšana vairs nav </w:t>
            </w:r>
            <w:r w:rsidRPr="00D37BE2">
              <w:lastRenderedPageBreak/>
              <w:t>pieļaujama, ja vien nav konstatējams nepārprotams likumdevēja pilnvarojums." Piekrītot, ka projektā nav pārrakstāms likumā ietvertais regulējums, tomēr tas neliedz norādīt Būvniecības valsts kontroles biroja (pamat)funkcijas un uzdevumus. Līdz ar to grozāmo noteikumu projekta 3.3. apakšpunktu varētu arī precizēt. Turklāt, ievērojot projekta anotācijā norādīto skaidrojumu, būtu svītrojamas arī citas Ministru kabineta 2014. gada 30. septembra noteikumos Nr. 576 "Būvniecības valsts kontroles biroja nolikums" šobrīd ietvertās vienības.”</w:t>
            </w:r>
          </w:p>
        </w:tc>
        <w:tc>
          <w:tcPr>
            <w:tcW w:w="3261" w:type="dxa"/>
            <w:gridSpan w:val="2"/>
            <w:tcBorders>
              <w:left w:val="single" w:sz="6" w:space="0" w:color="000000"/>
              <w:bottom w:val="single" w:sz="4" w:space="0" w:color="auto"/>
              <w:right w:val="single" w:sz="6" w:space="0" w:color="000000"/>
            </w:tcBorders>
          </w:tcPr>
          <w:p w14:paraId="249E7A91" w14:textId="70B8C474" w:rsidR="00031355" w:rsidRDefault="00031355" w:rsidP="00D37BE2">
            <w:pPr>
              <w:pStyle w:val="naisc"/>
              <w:spacing w:before="0" w:after="0"/>
              <w:rPr>
                <w:b/>
              </w:rPr>
            </w:pPr>
            <w:r w:rsidRPr="00D37BE2">
              <w:rPr>
                <w:b/>
              </w:rPr>
              <w:lastRenderedPageBreak/>
              <w:t>Ņemts vērā</w:t>
            </w:r>
          </w:p>
          <w:p w14:paraId="7B5581A9" w14:textId="1A5C2369" w:rsidR="00397A4A" w:rsidRPr="00D37BE2" w:rsidRDefault="00397A4A" w:rsidP="00397A4A">
            <w:pPr>
              <w:pStyle w:val="naisc"/>
              <w:spacing w:before="0" w:after="0"/>
              <w:jc w:val="both"/>
              <w:rPr>
                <w:b/>
              </w:rPr>
            </w:pPr>
            <w:r w:rsidRPr="00D37BE2">
              <w:t xml:space="preserve">Noteikumu projekta </w:t>
            </w:r>
            <w:r>
              <w:t>punkts ir svītrots.</w:t>
            </w:r>
          </w:p>
          <w:p w14:paraId="5988086A" w14:textId="77777777" w:rsidR="00712557" w:rsidRPr="00D37BE2" w:rsidRDefault="00712557" w:rsidP="00D37BE2">
            <w:pPr>
              <w:pStyle w:val="naisc"/>
              <w:spacing w:before="0" w:after="0"/>
              <w:rPr>
                <w:b/>
              </w:rPr>
            </w:pPr>
          </w:p>
          <w:p w14:paraId="6ECEC676" w14:textId="77777777" w:rsidR="00712557" w:rsidRPr="00D37BE2" w:rsidRDefault="00712557" w:rsidP="00D37BE2">
            <w:pPr>
              <w:pStyle w:val="naisc"/>
              <w:spacing w:before="0" w:after="0"/>
              <w:rPr>
                <w:b/>
              </w:rPr>
            </w:pPr>
          </w:p>
          <w:p w14:paraId="62EDAD5B" w14:textId="77777777" w:rsidR="00712557" w:rsidRPr="00D37BE2" w:rsidRDefault="00712557" w:rsidP="00D37BE2">
            <w:pPr>
              <w:pStyle w:val="naisc"/>
              <w:spacing w:before="0" w:after="0"/>
              <w:rPr>
                <w:b/>
              </w:rPr>
            </w:pPr>
          </w:p>
          <w:p w14:paraId="1F35148F" w14:textId="77777777" w:rsidR="00712557" w:rsidRPr="00D37BE2" w:rsidRDefault="00712557" w:rsidP="00D37BE2">
            <w:pPr>
              <w:pStyle w:val="naisc"/>
              <w:spacing w:before="0" w:after="0"/>
              <w:rPr>
                <w:b/>
              </w:rPr>
            </w:pPr>
          </w:p>
          <w:p w14:paraId="26329D3E" w14:textId="77777777" w:rsidR="00712557" w:rsidRPr="00D37BE2" w:rsidRDefault="00712557" w:rsidP="00D37BE2">
            <w:pPr>
              <w:pStyle w:val="naisc"/>
              <w:spacing w:before="0" w:after="0"/>
              <w:rPr>
                <w:b/>
              </w:rPr>
            </w:pPr>
          </w:p>
          <w:p w14:paraId="377AD91C" w14:textId="77777777" w:rsidR="00712557" w:rsidRPr="00D37BE2" w:rsidRDefault="00712557" w:rsidP="00D37BE2">
            <w:pPr>
              <w:pStyle w:val="naisc"/>
              <w:spacing w:before="0" w:after="0"/>
              <w:rPr>
                <w:b/>
              </w:rPr>
            </w:pPr>
          </w:p>
          <w:p w14:paraId="1D85663C" w14:textId="77777777" w:rsidR="00712557" w:rsidRPr="00D37BE2" w:rsidRDefault="00712557" w:rsidP="00D37BE2">
            <w:pPr>
              <w:pStyle w:val="naisc"/>
              <w:spacing w:before="0" w:after="0"/>
              <w:rPr>
                <w:b/>
              </w:rPr>
            </w:pPr>
          </w:p>
          <w:p w14:paraId="6FE79F7A" w14:textId="77777777" w:rsidR="00712557" w:rsidRPr="00D37BE2" w:rsidRDefault="00712557" w:rsidP="00D37BE2">
            <w:pPr>
              <w:pStyle w:val="naisc"/>
              <w:spacing w:before="0" w:after="0"/>
              <w:rPr>
                <w:b/>
              </w:rPr>
            </w:pPr>
          </w:p>
          <w:p w14:paraId="15A9C53E" w14:textId="77777777" w:rsidR="00712557" w:rsidRPr="00D37BE2" w:rsidRDefault="00712557" w:rsidP="00D37BE2">
            <w:pPr>
              <w:pStyle w:val="naisc"/>
              <w:spacing w:before="0" w:after="0"/>
              <w:rPr>
                <w:b/>
              </w:rPr>
            </w:pPr>
          </w:p>
          <w:p w14:paraId="0CE77D3B" w14:textId="77777777" w:rsidR="00712557" w:rsidRPr="00D37BE2" w:rsidRDefault="00712557" w:rsidP="00D37BE2">
            <w:pPr>
              <w:pStyle w:val="naisc"/>
              <w:spacing w:before="0" w:after="0"/>
              <w:rPr>
                <w:b/>
              </w:rPr>
            </w:pPr>
          </w:p>
          <w:p w14:paraId="71D39471" w14:textId="77777777" w:rsidR="00712557" w:rsidRPr="00D37BE2" w:rsidRDefault="00712557" w:rsidP="00D37BE2">
            <w:pPr>
              <w:pStyle w:val="naisc"/>
              <w:spacing w:before="0" w:after="0"/>
              <w:rPr>
                <w:b/>
              </w:rPr>
            </w:pPr>
          </w:p>
          <w:p w14:paraId="63BA0E78" w14:textId="77777777" w:rsidR="00712557" w:rsidRPr="00D37BE2" w:rsidRDefault="00712557" w:rsidP="00D37BE2">
            <w:pPr>
              <w:pStyle w:val="naisc"/>
              <w:spacing w:before="0" w:after="0"/>
              <w:rPr>
                <w:b/>
              </w:rPr>
            </w:pPr>
          </w:p>
          <w:p w14:paraId="24C9EDF4" w14:textId="77777777" w:rsidR="00712557" w:rsidRPr="00D37BE2" w:rsidRDefault="00712557" w:rsidP="00D37BE2">
            <w:pPr>
              <w:pStyle w:val="naisc"/>
              <w:spacing w:before="0" w:after="0"/>
              <w:rPr>
                <w:b/>
              </w:rPr>
            </w:pPr>
          </w:p>
          <w:p w14:paraId="1A2DA48D" w14:textId="77777777" w:rsidR="00712557" w:rsidRPr="00D37BE2" w:rsidRDefault="00712557" w:rsidP="00D37BE2">
            <w:pPr>
              <w:pStyle w:val="naisc"/>
              <w:spacing w:before="0" w:after="0"/>
              <w:rPr>
                <w:b/>
              </w:rPr>
            </w:pPr>
          </w:p>
          <w:p w14:paraId="1782F053" w14:textId="77777777" w:rsidR="00712557" w:rsidRPr="00D37BE2" w:rsidRDefault="00712557" w:rsidP="00D37BE2">
            <w:pPr>
              <w:pStyle w:val="naisc"/>
              <w:spacing w:before="0" w:after="0"/>
              <w:rPr>
                <w:b/>
              </w:rPr>
            </w:pPr>
          </w:p>
          <w:p w14:paraId="5F71596B" w14:textId="77777777" w:rsidR="00712557" w:rsidRPr="00D37BE2" w:rsidRDefault="00712557" w:rsidP="00D37BE2">
            <w:pPr>
              <w:pStyle w:val="naisc"/>
              <w:spacing w:before="0" w:after="0"/>
              <w:rPr>
                <w:b/>
              </w:rPr>
            </w:pPr>
          </w:p>
          <w:p w14:paraId="45110557" w14:textId="77777777" w:rsidR="00712557" w:rsidRPr="00D37BE2" w:rsidRDefault="00712557" w:rsidP="00D37BE2">
            <w:pPr>
              <w:pStyle w:val="naisc"/>
              <w:spacing w:before="0" w:after="0"/>
              <w:rPr>
                <w:b/>
              </w:rPr>
            </w:pPr>
          </w:p>
          <w:p w14:paraId="5037173E" w14:textId="77777777" w:rsidR="00712557" w:rsidRPr="00D37BE2" w:rsidRDefault="00712557" w:rsidP="00D37BE2">
            <w:pPr>
              <w:pStyle w:val="naisc"/>
              <w:spacing w:before="0" w:after="0"/>
              <w:rPr>
                <w:b/>
              </w:rPr>
            </w:pPr>
          </w:p>
          <w:p w14:paraId="0C385EC5" w14:textId="77777777" w:rsidR="00712557" w:rsidRPr="00D37BE2" w:rsidRDefault="00712557" w:rsidP="00D37BE2">
            <w:pPr>
              <w:pStyle w:val="naisc"/>
              <w:spacing w:before="0" w:after="0"/>
              <w:rPr>
                <w:b/>
              </w:rPr>
            </w:pPr>
          </w:p>
          <w:p w14:paraId="1709E915" w14:textId="77777777" w:rsidR="00712557" w:rsidRPr="00D37BE2" w:rsidRDefault="00712557" w:rsidP="00D37BE2">
            <w:pPr>
              <w:pStyle w:val="naisc"/>
              <w:spacing w:before="0" w:after="0"/>
              <w:rPr>
                <w:b/>
              </w:rPr>
            </w:pPr>
          </w:p>
          <w:p w14:paraId="0B034A65" w14:textId="77777777" w:rsidR="00712557" w:rsidRPr="00D37BE2" w:rsidRDefault="00712557" w:rsidP="00D37BE2">
            <w:pPr>
              <w:pStyle w:val="naisc"/>
              <w:spacing w:before="0" w:after="0"/>
              <w:rPr>
                <w:b/>
              </w:rPr>
            </w:pPr>
          </w:p>
          <w:p w14:paraId="60059176" w14:textId="77777777" w:rsidR="00712557" w:rsidRPr="00D37BE2" w:rsidRDefault="00712557" w:rsidP="00D37BE2">
            <w:pPr>
              <w:pStyle w:val="naisc"/>
              <w:spacing w:before="0" w:after="0"/>
              <w:rPr>
                <w:b/>
              </w:rPr>
            </w:pPr>
          </w:p>
          <w:p w14:paraId="31983BDA" w14:textId="31CD4166" w:rsidR="00712557" w:rsidRPr="00D37BE2" w:rsidRDefault="00712557" w:rsidP="00D37BE2">
            <w:pPr>
              <w:pStyle w:val="naisc"/>
              <w:spacing w:before="0" w:after="0"/>
              <w:rPr>
                <w:b/>
              </w:rPr>
            </w:pPr>
          </w:p>
          <w:p w14:paraId="1FEBBD56" w14:textId="77777777" w:rsidR="00712557" w:rsidRPr="00D37BE2" w:rsidRDefault="00712557" w:rsidP="00D37BE2">
            <w:pPr>
              <w:pStyle w:val="naisc"/>
              <w:spacing w:before="0" w:after="0"/>
              <w:rPr>
                <w:b/>
              </w:rPr>
            </w:pPr>
            <w:r w:rsidRPr="00D37BE2">
              <w:rPr>
                <w:b/>
              </w:rPr>
              <w:t>Ņemts vērā</w:t>
            </w:r>
          </w:p>
          <w:p w14:paraId="53A6724C" w14:textId="6C06BA95" w:rsidR="00AD13D2" w:rsidRDefault="007206C1" w:rsidP="00B16851">
            <w:pPr>
              <w:pStyle w:val="naisc"/>
              <w:spacing w:before="0" w:after="0"/>
              <w:jc w:val="both"/>
            </w:pPr>
            <w:r w:rsidRPr="00D37BE2">
              <w:t>Noteikumu projekt</w:t>
            </w:r>
            <w:r>
              <w:t>s precizēts</w:t>
            </w:r>
            <w:r w:rsidRPr="00D37BE2">
              <w:t>, vispārinot</w:t>
            </w:r>
            <w:r>
              <w:t xml:space="preserve"> tajā izteiktās normas</w:t>
            </w:r>
            <w:r w:rsidRPr="00D37BE2">
              <w:t xml:space="preserve"> un izvairoties no nepamatotas likumos un Ministru kabineta noteikumos ietvertās Būvniecības valsts kontroles biroja kompetences detalizētas atkārtošanas</w:t>
            </w:r>
            <w:r w:rsidR="00D25F18">
              <w:t xml:space="preserve"> un dublēšanas</w:t>
            </w:r>
            <w:r w:rsidRPr="00D37BE2">
              <w:t xml:space="preserve"> noteikumu projektā.</w:t>
            </w:r>
          </w:p>
          <w:p w14:paraId="45F67B41" w14:textId="393BA98D" w:rsidR="007206C1" w:rsidRPr="00D37BE2" w:rsidRDefault="007206C1" w:rsidP="00B16851">
            <w:pPr>
              <w:pStyle w:val="naisc"/>
              <w:spacing w:before="0" w:after="0"/>
              <w:jc w:val="both"/>
            </w:pPr>
            <w:r>
              <w:t xml:space="preserve">Noteikumu projekta 1.3. apakšpunktā izteikts precizētais </w:t>
            </w:r>
            <w:r w:rsidRPr="00D37BE2">
              <w:lastRenderedPageBreak/>
              <w:t xml:space="preserve">Ministru kabineta 2014. gada 30. septembra noteikumu Nr. 576 </w:t>
            </w:r>
            <w:r>
              <w:t>“</w:t>
            </w:r>
            <w:r w:rsidRPr="00D37BE2">
              <w:t>Būvniecības valsts kontroles biroja nolikums</w:t>
            </w:r>
            <w:r>
              <w:t>”</w:t>
            </w:r>
            <w:r w:rsidRPr="00D37BE2">
              <w:t xml:space="preserve"> 3. punkt</w:t>
            </w:r>
            <w:r>
              <w:t>s.</w:t>
            </w:r>
          </w:p>
        </w:tc>
        <w:tc>
          <w:tcPr>
            <w:tcW w:w="2912" w:type="dxa"/>
            <w:tcBorders>
              <w:top w:val="single" w:sz="4" w:space="0" w:color="auto"/>
              <w:left w:val="single" w:sz="4" w:space="0" w:color="auto"/>
              <w:bottom w:val="single" w:sz="4" w:space="0" w:color="auto"/>
            </w:tcBorders>
          </w:tcPr>
          <w:p w14:paraId="1BE33C44" w14:textId="46826F4F" w:rsidR="00AD13D2" w:rsidRPr="00D37BE2" w:rsidRDefault="00113DE0" w:rsidP="007206C1">
            <w:pPr>
              <w:contextualSpacing/>
              <w:jc w:val="both"/>
            </w:pPr>
            <w:r>
              <w:lastRenderedPageBreak/>
              <w:t>-</w:t>
            </w:r>
          </w:p>
        </w:tc>
      </w:tr>
      <w:tr w:rsidR="00D37BE2" w:rsidRPr="00D37BE2" w14:paraId="16930FF6" w14:textId="77777777" w:rsidTr="00113DE0">
        <w:trPr>
          <w:gridBefore w:val="1"/>
          <w:wBefore w:w="8" w:type="dxa"/>
        </w:trPr>
        <w:tc>
          <w:tcPr>
            <w:tcW w:w="685" w:type="dxa"/>
            <w:tcBorders>
              <w:left w:val="single" w:sz="6" w:space="0" w:color="000000"/>
              <w:bottom w:val="single" w:sz="4" w:space="0" w:color="auto"/>
              <w:right w:val="single" w:sz="6" w:space="0" w:color="000000"/>
            </w:tcBorders>
          </w:tcPr>
          <w:p w14:paraId="19C6EE45" w14:textId="77777777" w:rsidR="00510651" w:rsidRPr="00D37BE2" w:rsidRDefault="00510651" w:rsidP="00D37BE2">
            <w:r w:rsidRPr="00D37BE2">
              <w:lastRenderedPageBreak/>
              <w:t>3.</w:t>
            </w:r>
          </w:p>
        </w:tc>
        <w:tc>
          <w:tcPr>
            <w:tcW w:w="2902" w:type="dxa"/>
            <w:tcBorders>
              <w:left w:val="single" w:sz="6" w:space="0" w:color="000000"/>
              <w:bottom w:val="single" w:sz="4" w:space="0" w:color="auto"/>
              <w:right w:val="single" w:sz="6" w:space="0" w:color="000000"/>
            </w:tcBorders>
          </w:tcPr>
          <w:p w14:paraId="7FAF7CB8" w14:textId="1D79B3EA" w:rsidR="00510651" w:rsidRPr="00D37BE2" w:rsidRDefault="00510651" w:rsidP="00D37BE2">
            <w:pPr>
              <w:pStyle w:val="ListParagraph"/>
              <w:shd w:val="clear" w:color="auto" w:fill="FFFFFF"/>
              <w:tabs>
                <w:tab w:val="left" w:pos="993"/>
              </w:tabs>
              <w:spacing w:after="0" w:line="240" w:lineRule="auto"/>
              <w:ind w:left="0"/>
              <w:jc w:val="both"/>
              <w:rPr>
                <w:rFonts w:ascii="Times New Roman" w:hAnsi="Times New Roman"/>
                <w:sz w:val="24"/>
                <w:szCs w:val="24"/>
                <w:lang w:eastAsia="lv-LV"/>
              </w:rPr>
            </w:pPr>
            <w:r w:rsidRPr="00D37BE2">
              <w:rPr>
                <w:rFonts w:ascii="Times New Roman" w:hAnsi="Times New Roman"/>
                <w:sz w:val="24"/>
                <w:szCs w:val="24"/>
                <w:lang w:eastAsia="lv-LV"/>
              </w:rPr>
              <w:t>Noteikumu projekta 1.4.</w:t>
            </w:r>
            <w:r w:rsidR="00D83ABB" w:rsidRPr="00D37BE2">
              <w:rPr>
                <w:rFonts w:ascii="Times New Roman" w:hAnsi="Times New Roman"/>
                <w:sz w:val="24"/>
                <w:szCs w:val="24"/>
                <w:lang w:eastAsia="lv-LV"/>
              </w:rPr>
              <w:t xml:space="preserve"> </w:t>
            </w:r>
            <w:r w:rsidRPr="00D37BE2">
              <w:rPr>
                <w:rFonts w:ascii="Times New Roman" w:hAnsi="Times New Roman"/>
                <w:sz w:val="24"/>
                <w:szCs w:val="24"/>
                <w:lang w:eastAsia="lv-LV"/>
              </w:rPr>
              <w:t>un 1.6. apakšpunkts:</w:t>
            </w:r>
          </w:p>
          <w:p w14:paraId="0A508CC4" w14:textId="77777777" w:rsidR="00510651" w:rsidRPr="00D37BE2" w:rsidRDefault="00510651" w:rsidP="00D37BE2">
            <w:pPr>
              <w:pStyle w:val="ListParagraph"/>
              <w:shd w:val="clear" w:color="auto" w:fill="FFFFFF"/>
              <w:tabs>
                <w:tab w:val="left" w:pos="993"/>
              </w:tabs>
              <w:spacing w:after="0" w:line="240" w:lineRule="auto"/>
              <w:ind w:left="0"/>
              <w:jc w:val="both"/>
              <w:rPr>
                <w:rFonts w:ascii="Times New Roman" w:hAnsi="Times New Roman"/>
                <w:sz w:val="24"/>
                <w:szCs w:val="24"/>
                <w:lang w:eastAsia="lv-LV"/>
              </w:rPr>
            </w:pPr>
            <w:r w:rsidRPr="00D37BE2">
              <w:rPr>
                <w:rFonts w:ascii="Times New Roman" w:hAnsi="Times New Roman"/>
                <w:sz w:val="24"/>
                <w:szCs w:val="24"/>
                <w:lang w:eastAsia="lv-LV"/>
              </w:rPr>
              <w:t>“1.4. Papildināt noteikumus ar 3.14. apakšpunktu šādā redakcijā:</w:t>
            </w:r>
          </w:p>
          <w:p w14:paraId="4F3500A9" w14:textId="77777777" w:rsidR="00510651" w:rsidRPr="00D37BE2" w:rsidRDefault="00510651" w:rsidP="00D37BE2">
            <w:pPr>
              <w:jc w:val="both"/>
            </w:pPr>
            <w:r w:rsidRPr="00D37BE2">
              <w:t>“3.14. nodrošināt enerģētikas politikas īstenošanu:</w:t>
            </w:r>
          </w:p>
          <w:p w14:paraId="3F673BD8" w14:textId="77777777" w:rsidR="00510651" w:rsidRPr="00D37BE2" w:rsidRDefault="00510651" w:rsidP="00D37BE2">
            <w:pPr>
              <w:jc w:val="both"/>
            </w:pPr>
            <w:r w:rsidRPr="00D37BE2">
              <w:t>3.14.1. valsts atbalsta mehānisma elektroenerģijas ražošanai no atjaunojamiem energoresursiem vai koģenerācijā nosacījumu izpildes uzraudzību un kontroli;</w:t>
            </w:r>
          </w:p>
          <w:p w14:paraId="766FAF3F" w14:textId="77777777" w:rsidR="00510651" w:rsidRPr="00D37BE2" w:rsidRDefault="00510651" w:rsidP="00D37BE2">
            <w:pPr>
              <w:jc w:val="both"/>
            </w:pPr>
            <w:r w:rsidRPr="00D37BE2">
              <w:t xml:space="preserve">3.14.2. elektroenerģijas ražošanas jaudu palielināšanas vai jaunu </w:t>
            </w:r>
            <w:r w:rsidRPr="00D37BE2">
              <w:lastRenderedPageBreak/>
              <w:t>ražošanas iekārtu ieviešanas pieteikumu administrēšanu;</w:t>
            </w:r>
          </w:p>
          <w:p w14:paraId="35A305AA" w14:textId="77777777" w:rsidR="00510651" w:rsidRPr="00D37BE2" w:rsidRDefault="00510651" w:rsidP="00D37BE2">
            <w:pPr>
              <w:jc w:val="both"/>
            </w:pPr>
            <w:r w:rsidRPr="00D37BE2">
              <w:t>3.14.3. elektroenerģijas izcelsmes apliecinājumu sistēmas administrēšanu;</w:t>
            </w:r>
          </w:p>
          <w:p w14:paraId="4A1D1550" w14:textId="77777777" w:rsidR="00510651" w:rsidRPr="00D37BE2" w:rsidRDefault="00510651" w:rsidP="00D37BE2">
            <w:pPr>
              <w:jc w:val="both"/>
            </w:pPr>
            <w:r w:rsidRPr="00D37BE2">
              <w:t>3.14.4. valsts atbalsta energoietilpīgiem apstrādes rūpniecības uzņēmumiem administrēšanu;</w:t>
            </w:r>
          </w:p>
          <w:p w14:paraId="58C76DA3" w14:textId="77777777" w:rsidR="00510651" w:rsidRPr="00D37BE2" w:rsidRDefault="00510651" w:rsidP="00D37BE2">
            <w:pPr>
              <w:jc w:val="both"/>
            </w:pPr>
            <w:r w:rsidRPr="00D37BE2">
              <w:t>3.14.5. elektroenerģijas aizsargātā lietotāja tirdzniecības pakalpojuma sniegšanas nodrošināšanu;</w:t>
            </w:r>
          </w:p>
          <w:p w14:paraId="75C5DC4E" w14:textId="77777777" w:rsidR="00510651" w:rsidRPr="00D37BE2" w:rsidRDefault="00510651" w:rsidP="00D37BE2">
            <w:pPr>
              <w:jc w:val="both"/>
            </w:pPr>
            <w:r w:rsidRPr="00D37BE2">
              <w:t>3.14.6. energoefektivitātes jautājumu administrēšanu;</w:t>
            </w:r>
          </w:p>
          <w:p w14:paraId="42A19139" w14:textId="77777777" w:rsidR="00510651" w:rsidRPr="00D37BE2" w:rsidRDefault="00510651" w:rsidP="00D37BE2">
            <w:pPr>
              <w:jc w:val="both"/>
            </w:pPr>
            <w:r w:rsidRPr="00D37BE2">
              <w:t>3.14.7. degvielas tirgus uzraudzību un kontroli;</w:t>
            </w:r>
          </w:p>
          <w:p w14:paraId="4B4D1F55" w14:textId="77777777" w:rsidR="00510651" w:rsidRPr="00D37BE2" w:rsidRDefault="00510651" w:rsidP="00D37BE2">
            <w:pPr>
              <w:jc w:val="both"/>
            </w:pPr>
            <w:r w:rsidRPr="00D37BE2">
              <w:t>3.14.8. degvielas piegādātāju uzraudzību un kontroli attiecībā uz atjaunojamo energoresursu realizēšanas pienākuma nosacījumu izpildi;</w:t>
            </w:r>
          </w:p>
          <w:p w14:paraId="68B7E1BC" w14:textId="77777777" w:rsidR="00510651" w:rsidRPr="00D37BE2" w:rsidRDefault="00510651" w:rsidP="00D37BE2">
            <w:pPr>
              <w:jc w:val="both"/>
            </w:pPr>
            <w:r w:rsidRPr="00D37BE2">
              <w:t>3.14.9. veikt Centrālās krājumu uzturēšanas struktūras funkcijas saskaņā ar Enerģētikas likuma 72.</w:t>
            </w:r>
            <w:r w:rsidRPr="00D37BE2">
              <w:rPr>
                <w:vertAlign w:val="superscript"/>
              </w:rPr>
              <w:t>1</w:t>
            </w:r>
            <w:r w:rsidRPr="00D37BE2">
              <w:t xml:space="preserve"> panta prasībām – nodrošināt </w:t>
            </w:r>
            <w:r w:rsidRPr="00D37BE2">
              <w:rPr>
                <w:shd w:val="clear" w:color="auto" w:fill="FFFFFF"/>
              </w:rPr>
              <w:t>valsts naftas produktu rezervju pakalpojumu</w:t>
            </w:r>
            <w:r w:rsidRPr="00D37BE2">
              <w:t>;</w:t>
            </w:r>
          </w:p>
          <w:p w14:paraId="715BCBAD" w14:textId="437EEEC9" w:rsidR="00510651" w:rsidRPr="00D37BE2" w:rsidRDefault="00510651" w:rsidP="00D37BE2">
            <w:pPr>
              <w:jc w:val="both"/>
            </w:pPr>
            <w:r w:rsidRPr="00D37BE2">
              <w:t xml:space="preserve">3.14.10. ogļūdeņražu meklēšanas, ogļūdeņražu </w:t>
            </w:r>
            <w:r w:rsidRPr="00D37BE2">
              <w:lastRenderedPageBreak/>
              <w:t>izpētes un ieguves licenču administrēšanu.</w:t>
            </w:r>
          </w:p>
          <w:p w14:paraId="779B7DEB" w14:textId="77777777" w:rsidR="00D37BE2" w:rsidRPr="00D37BE2" w:rsidRDefault="00D37BE2" w:rsidP="00D37BE2">
            <w:pPr>
              <w:jc w:val="both"/>
            </w:pPr>
          </w:p>
          <w:p w14:paraId="7769C1E3" w14:textId="77777777" w:rsidR="00510651" w:rsidRPr="00D37BE2" w:rsidRDefault="00510651" w:rsidP="00D37BE2">
            <w:pPr>
              <w:pStyle w:val="ListParagraph"/>
              <w:shd w:val="clear" w:color="auto" w:fill="FFFFFF"/>
              <w:tabs>
                <w:tab w:val="left" w:pos="993"/>
              </w:tabs>
              <w:spacing w:after="0" w:line="240" w:lineRule="auto"/>
              <w:ind w:left="0"/>
              <w:jc w:val="both"/>
              <w:rPr>
                <w:rFonts w:ascii="Times New Roman" w:hAnsi="Times New Roman"/>
                <w:sz w:val="24"/>
                <w:szCs w:val="24"/>
                <w:lang w:eastAsia="lv-LV"/>
              </w:rPr>
            </w:pPr>
            <w:r w:rsidRPr="00D37BE2">
              <w:rPr>
                <w:rFonts w:ascii="Times New Roman" w:hAnsi="Times New Roman"/>
                <w:sz w:val="24"/>
                <w:szCs w:val="24"/>
                <w:lang w:eastAsia="lv-LV"/>
              </w:rPr>
              <w:t>1.6. Papildināt noteikumus ar 4.11., 4.12., 4.13., 4.14., 4.15., 4.16., 4.17., 4.18., 4.19., 4.20., 4.21., 4.22., 4.23., 4.24., 4.25., 4.26. un 4.27. apakšpunktu šādā redakcijā:</w:t>
            </w:r>
          </w:p>
          <w:p w14:paraId="2F401A67" w14:textId="77777777" w:rsidR="00510651" w:rsidRPr="00D37BE2" w:rsidRDefault="00510651" w:rsidP="00D37BE2">
            <w:pPr>
              <w:jc w:val="both"/>
            </w:pPr>
            <w:r w:rsidRPr="00D37BE2">
              <w:t>“4.11. pārbauda komersantu, kas saņem valsts atbalstu elektroenerģijas ražošanai no atjaunojamiem energoresursiem vai koģenerācijā, atbilstību nosacījumiem valsts atbalsta saņemšanai, tostarp izskata komersantu iesniegumus, izsaka brīdinājumus un pieņem lēmumus, kā arī izskata iesniegumus un sūdzības par normatīvo aktu pārkāpumiem valsts atbalsta saņemšanai;</w:t>
            </w:r>
          </w:p>
          <w:p w14:paraId="49419B7D" w14:textId="77777777" w:rsidR="00510651" w:rsidRPr="00D37BE2" w:rsidRDefault="00510651" w:rsidP="00D37BE2">
            <w:pPr>
              <w:jc w:val="both"/>
            </w:pPr>
            <w:r w:rsidRPr="00D37BE2">
              <w:t xml:space="preserve">4.12. izskata komersantu iesniegumus un pieņem lēmumus par valsts atbalsta piešķiršanu attiecībā uz samazinātu līdzdalību obligātā iepirkuma </w:t>
            </w:r>
            <w:r w:rsidRPr="00D37BE2">
              <w:lastRenderedPageBreak/>
              <w:t>komponentes izmaksu segšanā;</w:t>
            </w:r>
          </w:p>
          <w:p w14:paraId="74F6DB7B" w14:textId="77777777" w:rsidR="00510651" w:rsidRPr="00D37BE2" w:rsidRDefault="00510651" w:rsidP="00D37BE2">
            <w:pPr>
              <w:jc w:val="both"/>
            </w:pPr>
            <w:r w:rsidRPr="00D37BE2">
              <w:t>4.13. nodrošina energoefektivitātes mērķu sasniegšanas monitoringu, t.sk. izstrādā un uztur energoefektivitātes monitoringa sistēmu un uzskaita tajā ziņoto enerģijas ietaupījumu, kā arī izveido un uztur to valsts tiešās pārvaldes iestāžu īpašumā esošo un izmantoto ēku sarakstu, kuras neatbilst energoefektivitātes jomu regulējošajos normatīvajos aktos noteiktajām minimālajām energoefektivitātes prasībām, lai nodrošinātu valsts ēku ikgadējās 3 % platības atjaunošanas mērķa sasniegšanu;</w:t>
            </w:r>
          </w:p>
          <w:p w14:paraId="3D4EEC0E" w14:textId="77777777" w:rsidR="00510651" w:rsidRPr="00D37BE2" w:rsidRDefault="00510651" w:rsidP="00D37BE2">
            <w:pPr>
              <w:jc w:val="both"/>
            </w:pPr>
            <w:r w:rsidRPr="00D37BE2">
              <w:t>4.14. administrē energoefektivitātes pienākumu shēmu;</w:t>
            </w:r>
          </w:p>
          <w:p w14:paraId="17C29DFE" w14:textId="77777777" w:rsidR="00510651" w:rsidRPr="00D37BE2" w:rsidRDefault="00510651" w:rsidP="00D37BE2">
            <w:pPr>
              <w:jc w:val="both"/>
            </w:pPr>
            <w:r w:rsidRPr="00D37BE2">
              <w:t>4.15. izstrādā un uztur enerģijas ietaupījumu katalogu;</w:t>
            </w:r>
          </w:p>
          <w:p w14:paraId="2033E900" w14:textId="77777777" w:rsidR="00510651" w:rsidRPr="00D37BE2" w:rsidRDefault="00510651" w:rsidP="00D37BE2">
            <w:pPr>
              <w:jc w:val="both"/>
            </w:pPr>
            <w:r w:rsidRPr="00D37BE2">
              <w:t xml:space="preserve">4.16. uzrauga </w:t>
            </w:r>
            <w:proofErr w:type="spellStart"/>
            <w:r w:rsidRPr="00D37BE2">
              <w:t>energopārvaldības</w:t>
            </w:r>
            <w:proofErr w:type="spellEnd"/>
            <w:r w:rsidRPr="00D37BE2">
              <w:t xml:space="preserve"> sistēmas ieviešanas pienākuma </w:t>
            </w:r>
            <w:r w:rsidRPr="00D37BE2">
              <w:lastRenderedPageBreak/>
              <w:t>izpildi valsts iestādēs un pašvaldībās;</w:t>
            </w:r>
          </w:p>
          <w:p w14:paraId="027E62AC" w14:textId="77777777" w:rsidR="00510651" w:rsidRPr="00D37BE2" w:rsidRDefault="00510651" w:rsidP="00D37BE2">
            <w:pPr>
              <w:jc w:val="both"/>
            </w:pPr>
            <w:r w:rsidRPr="00D37BE2">
              <w:t>4.17. slēdz brīvprātīgās vienošanās ar komersantus pārstāvošām organizācijām, komersantiem un pašvaldībām par energoefektivitātes uzlabošanu, pārrauga to izpildi, izveido un uztur brīvprātīgo vienošanos reģistru;</w:t>
            </w:r>
          </w:p>
          <w:p w14:paraId="459C0067" w14:textId="77777777" w:rsidR="00510651" w:rsidRPr="00D37BE2" w:rsidRDefault="00510651" w:rsidP="00D37BE2">
            <w:pPr>
              <w:jc w:val="both"/>
            </w:pPr>
            <w:r w:rsidRPr="00D37BE2">
              <w:t xml:space="preserve">4.18. uztur uzņēmumu </w:t>
            </w:r>
            <w:proofErr w:type="spellStart"/>
            <w:r w:rsidRPr="00D37BE2">
              <w:t>energoauditu</w:t>
            </w:r>
            <w:proofErr w:type="spellEnd"/>
            <w:r w:rsidRPr="00D37BE2">
              <w:t xml:space="preserve"> pārskatu reģistru un administrē iesniegtos pārskatus;</w:t>
            </w:r>
          </w:p>
          <w:p w14:paraId="0CC857CD" w14:textId="77777777" w:rsidR="00510651" w:rsidRPr="00D37BE2" w:rsidRDefault="00510651" w:rsidP="00D37BE2">
            <w:pPr>
              <w:jc w:val="both"/>
            </w:pPr>
            <w:r w:rsidRPr="00D37BE2">
              <w:t>4.19. izstrādā un uztur energoefektivitātes pakalpojumu sniedzēju reģistru;</w:t>
            </w:r>
          </w:p>
          <w:p w14:paraId="7CDCF88F" w14:textId="77777777" w:rsidR="00510651" w:rsidRPr="00D37BE2" w:rsidRDefault="00510651" w:rsidP="00D37BE2">
            <w:pPr>
              <w:jc w:val="both"/>
            </w:pPr>
            <w:r w:rsidRPr="00D37BE2">
              <w:t xml:space="preserve">4.20. nodrošina lielo elektroenerģijas patērētāju un lielo uzņēmumu obligāto </w:t>
            </w:r>
            <w:proofErr w:type="spellStart"/>
            <w:r w:rsidRPr="00D37BE2">
              <w:t>energoauditu</w:t>
            </w:r>
            <w:proofErr w:type="spellEnd"/>
            <w:r w:rsidRPr="00D37BE2">
              <w:t xml:space="preserve"> un </w:t>
            </w:r>
            <w:proofErr w:type="spellStart"/>
            <w:r w:rsidRPr="00D37BE2">
              <w:t>energopārvaldības</w:t>
            </w:r>
            <w:proofErr w:type="spellEnd"/>
            <w:r w:rsidRPr="00D37BE2">
              <w:t xml:space="preserve"> pienākumu izpildes kontroli un ziņojumu par veiktajiem pasākumiem apkopošanu;</w:t>
            </w:r>
          </w:p>
          <w:p w14:paraId="443882C8" w14:textId="77777777" w:rsidR="00510651" w:rsidRPr="00D37BE2" w:rsidRDefault="00510651" w:rsidP="00D37BE2">
            <w:pPr>
              <w:jc w:val="both"/>
            </w:pPr>
            <w:r w:rsidRPr="00D37BE2">
              <w:t xml:space="preserve">4.21. organizē degvielas paraugu ievākšanu un to pārbaudi akreditētā laboratorijā, pārbauda degvielas atbilstību </w:t>
            </w:r>
            <w:r w:rsidRPr="00D37BE2">
              <w:lastRenderedPageBreak/>
              <w:t>apliecinošos dokumentus, sagatavo degvielas kvalitātes pārskatu un iesniedz to Eiropas vides informācijas un novērojumu tīklā (EIONET), kā arī informē par to Eiropas Komisiju;</w:t>
            </w:r>
          </w:p>
          <w:p w14:paraId="46FDFDCF" w14:textId="77777777" w:rsidR="00510651" w:rsidRPr="00D37BE2" w:rsidRDefault="00510651" w:rsidP="00D37BE2">
            <w:pPr>
              <w:jc w:val="both"/>
            </w:pPr>
            <w:r w:rsidRPr="00D37BE2">
              <w:t xml:space="preserve">4.22. pieņem lēmumus par administratīvo sodu uzlikšanu, kad degvielas kvalitāte neatbilst normatīvo aktu prasībām; </w:t>
            </w:r>
          </w:p>
          <w:p w14:paraId="18FECF29" w14:textId="77777777" w:rsidR="00510651" w:rsidRPr="00D37BE2" w:rsidRDefault="00510651" w:rsidP="00D37BE2">
            <w:pPr>
              <w:jc w:val="both"/>
            </w:pPr>
            <w:r w:rsidRPr="00D37BE2">
              <w:t>4.23. pārbauda degvielas piegādātājus, uz kuriem attiecināms atjaunojamo energoresursu realizēšanas pienākums, tostarp izskata degvielas piegādātāju iesniegtos gada pārskatus un izvērtē to atbilstību normatīvo aktu prasībām, izsaka brīdinājumus un pieņem lēmumus;</w:t>
            </w:r>
          </w:p>
          <w:p w14:paraId="025E0D06" w14:textId="77777777" w:rsidR="00510651" w:rsidRPr="00D37BE2" w:rsidRDefault="00510651" w:rsidP="00D37BE2">
            <w:pPr>
              <w:jc w:val="both"/>
            </w:pPr>
            <w:r w:rsidRPr="00D37BE2">
              <w:t>4.24. organizē iepirkumu drošības rezervju pakalpojumam valsts naftas produktu drošības rezervju izveidei un administrē šo pakalpojumu;</w:t>
            </w:r>
          </w:p>
          <w:p w14:paraId="6D264A56" w14:textId="77777777" w:rsidR="00510651" w:rsidRPr="00D37BE2" w:rsidRDefault="00510651" w:rsidP="00D37BE2">
            <w:pPr>
              <w:jc w:val="both"/>
            </w:pPr>
            <w:r w:rsidRPr="00D37BE2">
              <w:t xml:space="preserve">4.25. izsniedz, reģistrē, atceļ vai aptur licences ogļūdeņražu meklēšanai, </w:t>
            </w:r>
            <w:r w:rsidRPr="00D37BE2">
              <w:lastRenderedPageBreak/>
              <w:t>izpētei un ieguvei, veic komersantu uzraudzību, tai skaitā pārbaudes, izskata iesniegumus no komersantiem;</w:t>
            </w:r>
          </w:p>
          <w:p w14:paraId="70FEB70F" w14:textId="77777777" w:rsidR="00510651" w:rsidRPr="00D37BE2" w:rsidRDefault="00510651" w:rsidP="00D37BE2">
            <w:pPr>
              <w:jc w:val="both"/>
            </w:pPr>
            <w:r w:rsidRPr="00D37BE2">
              <w:t>4.26. administrē valsts nodevu par reģistrācijas darbībām būvkomersantu reģistrā, valsts nodevu par naftas produktu drošības rezervju uzturēšanu, energoefektivitātes nodevu un enerģētikas nozares valsts atbalsta sistēmas darbības regulēšanas nodevu;</w:t>
            </w:r>
          </w:p>
          <w:p w14:paraId="76C1A7EB" w14:textId="776FAE12" w:rsidR="00510651" w:rsidRPr="00D37BE2" w:rsidRDefault="00510651" w:rsidP="00D37BE2">
            <w:pPr>
              <w:jc w:val="both"/>
            </w:pPr>
            <w:r w:rsidRPr="00D37BE2">
              <w:t>4.27. veic citus normatīvajos aktos noteiktos uzdevumus.””</w:t>
            </w:r>
          </w:p>
        </w:tc>
        <w:tc>
          <w:tcPr>
            <w:tcW w:w="4343" w:type="dxa"/>
            <w:tcBorders>
              <w:left w:val="single" w:sz="6" w:space="0" w:color="000000"/>
              <w:bottom w:val="single" w:sz="4" w:space="0" w:color="auto"/>
              <w:right w:val="single" w:sz="6" w:space="0" w:color="000000"/>
            </w:tcBorders>
          </w:tcPr>
          <w:p w14:paraId="7E53CABE" w14:textId="77777777" w:rsidR="00510651" w:rsidRPr="00D37BE2" w:rsidRDefault="00510651" w:rsidP="00D37BE2">
            <w:pPr>
              <w:pStyle w:val="naisc"/>
              <w:spacing w:before="0" w:after="0"/>
              <w:jc w:val="both"/>
              <w:rPr>
                <w:b/>
                <w:bCs/>
              </w:rPr>
            </w:pPr>
            <w:r w:rsidRPr="00D37BE2">
              <w:rPr>
                <w:b/>
                <w:bCs/>
              </w:rPr>
              <w:lastRenderedPageBreak/>
              <w:t>Tieslietu ministrijas 03.10.2019. iebildums:</w:t>
            </w:r>
          </w:p>
          <w:p w14:paraId="6F95DC46" w14:textId="77777777" w:rsidR="00510651" w:rsidRPr="00D37BE2" w:rsidRDefault="00510651" w:rsidP="00D37BE2">
            <w:pPr>
              <w:pStyle w:val="NormalWeb"/>
              <w:spacing w:before="0" w:beforeAutospacing="0" w:after="0" w:afterAutospacing="0"/>
              <w:jc w:val="both"/>
            </w:pPr>
            <w:r w:rsidRPr="00D37BE2">
              <w:t xml:space="preserve">“3. Saskaņā ar Valsts pārvaldes iekārtas likuma 16. panta otrās daļas 3. punktu nolikumā norāda iestādes funkcijas, uzdevumus un kompetenci. Vienlaikus jāievēro, ka projektā nav pieļaujams pārrakstīt likumos un Ministru kabineta noteikumos ietverto regulējumu (Ministru kabineta 2009. gada 3. februāra noteikumu Nr. 108 "Normatīvo aktu projektu sagatavošanas noteikumi" 3.2. apakšpunkts). Ja likumā ir noteiktas tiešās pārvaldes iestādes funkcijas, nolikumā norāda funkcijas, kuras tai ir papildus attiecīgajā likumā noteiktajām funkcijām. Tātad, ja iestādes funkcijas ir noteiktas likumā, tās nav nepieciešams pārrakstīt projektā, bet var atsaukties uz </w:t>
            </w:r>
            <w:r w:rsidRPr="00D37BE2">
              <w:lastRenderedPageBreak/>
              <w:t>attiecīgo likumu, kurā funkcija ir minēta (</w:t>
            </w:r>
            <w:r w:rsidRPr="00D37BE2">
              <w:rPr>
                <w:i/>
                <w:iCs/>
              </w:rPr>
              <w:t>Normatīvo aktu projektu izstrādes rokasgrāmata, https://tai.mk.gov.lv/book/1/chapter/119</w:t>
            </w:r>
            <w:r w:rsidRPr="00D37BE2">
              <w:t xml:space="preserve">). Līdzīga pieeja ievērojama arī attiecībā uz uzdevumiem un Biroja tiesībām. Jebkurā gadījumā Biroja uzdevuma vai tiesību īstenošanas tiesiskais pamats attiecībā pret privātpersonām būs attiecīgais likums, nevis projektā ietvertais regulējums. </w:t>
            </w:r>
          </w:p>
          <w:p w14:paraId="63305001" w14:textId="77777777" w:rsidR="00510651" w:rsidRPr="00D37BE2" w:rsidRDefault="00510651" w:rsidP="00D37BE2">
            <w:pPr>
              <w:pStyle w:val="NormalWeb"/>
              <w:spacing w:before="0" w:beforeAutospacing="0" w:after="0" w:afterAutospacing="0"/>
              <w:ind w:firstLine="720"/>
              <w:jc w:val="both"/>
            </w:pPr>
            <w:r w:rsidRPr="00D37BE2">
              <w:t xml:space="preserve">Neskatoties uz projekta izteikto detalizāciju, projekta 1.6. apakšpunktā paredzētie uzdevumi nav precīzi un nav izsmeļoši. Piemēram, projekta 1.6. apakšpunktā paredzēts, ka Birojs "pieņem lēmumus par administratīvo sodu uzlikšanu, kad degvielas kvalitāte neatbilst normatīvo aktu prasībām". Ja Biroja amatpersonas veic administratīvā pārkāpuma procesu, tad tas nav vienīgais uzdevums administratīvā pārkāpuma procesā un nav arī vienīgais lēmums, kas var skart personas </w:t>
            </w:r>
            <w:proofErr w:type="spellStart"/>
            <w:r w:rsidRPr="00D37BE2">
              <w:t>pamattiesības</w:t>
            </w:r>
            <w:proofErr w:type="spellEnd"/>
            <w:r w:rsidRPr="00D37BE2">
              <w:t>. Turklāt projektā lietotā terminoloģija nav saskaņota ar Administratīvās atbildības likumu (šā likuma 151. pantā minēts lēmums par soda piemērošanu).</w:t>
            </w:r>
          </w:p>
          <w:p w14:paraId="7E3C47CE" w14:textId="77777777" w:rsidR="00510651" w:rsidRPr="00D37BE2" w:rsidRDefault="00510651" w:rsidP="00D37BE2">
            <w:pPr>
              <w:jc w:val="both"/>
            </w:pPr>
            <w:r w:rsidRPr="00D37BE2">
              <w:t>Ievērojot minēto, lūdzam precizēt projekta 1.4. un 1.6. apakšpunktu, tos iespējami vispārinot un izvairoties no nepamatotas likumos un Ministru kabineta noteikumos ietvertās Biroja kompetences detalizētas atkārtošanas projektā.”</w:t>
            </w:r>
          </w:p>
          <w:p w14:paraId="11BAABB2" w14:textId="77777777" w:rsidR="00031355" w:rsidRPr="00D37BE2" w:rsidRDefault="00031355" w:rsidP="00D37BE2">
            <w:pPr>
              <w:jc w:val="both"/>
            </w:pPr>
          </w:p>
          <w:p w14:paraId="311337C8" w14:textId="75D840B1" w:rsidR="00031355" w:rsidRPr="00D37BE2" w:rsidRDefault="00031355" w:rsidP="00D37BE2">
            <w:pPr>
              <w:jc w:val="both"/>
              <w:rPr>
                <w:b/>
                <w:bCs/>
              </w:rPr>
            </w:pPr>
            <w:r w:rsidRPr="00D37BE2">
              <w:rPr>
                <w:b/>
                <w:bCs/>
              </w:rPr>
              <w:t>Finanšu ministrijas 07.10.2019. iebildums:</w:t>
            </w:r>
          </w:p>
          <w:p w14:paraId="3EE51C8C" w14:textId="70A19565" w:rsidR="00031355" w:rsidRPr="00D37BE2" w:rsidRDefault="00031355" w:rsidP="00D37BE2">
            <w:pPr>
              <w:jc w:val="both"/>
            </w:pPr>
            <w:r w:rsidRPr="00D37BE2">
              <w:t>“2. Ņemot vērā, ka noteikumu projekts paredz daļu Ekonomikas ministrijas funkciju nodošanu BVKB un gan Ekonomikas ministrija, gan BVKB pieņem lēmumus, kas saistīti ar atbalsta piešķiršanu, bet no noteikumu projekta nav skaidrs, vai kādā no valsts atbalsta pasākumiem BVKB būs kvalificējams kā valsts atbalsta sniedzējs, lūdzam pārskatīt un precizēt noteikumu projekta 1.6. apakšpunktā iekļautos BVKB uzdevumus, tajā skaitā noteikumu projekta 1.6. apakšpunktā iekļauto 4.12. apakšpunktu, kas uzdod BVKB izskatīt komersantu iesniegumus un pieņemt lēmumus par valsts atbalsta piešķiršanu attiecībā uz samazinātu līdzdalību obligātā iepirkuma komponentes izmaksu segšanā, kā arī noteikumu projekta 1.6. apakšpunktā iekļauto 4.17. un 4.20. apakšpunktu, kurā norādīts, ka BVKB slēdz vienošanās ar komersantiem energoefektivitātes uzlabošanai.”</w:t>
            </w:r>
          </w:p>
          <w:p w14:paraId="01ED2A46" w14:textId="77777777" w:rsidR="008577FF" w:rsidRPr="00D37BE2" w:rsidRDefault="008577FF" w:rsidP="00D37BE2">
            <w:pPr>
              <w:jc w:val="both"/>
            </w:pPr>
          </w:p>
          <w:p w14:paraId="0703B8BA" w14:textId="77777777" w:rsidR="00031355" w:rsidRPr="00D37BE2" w:rsidRDefault="00031355" w:rsidP="00D37BE2">
            <w:pPr>
              <w:jc w:val="both"/>
              <w:rPr>
                <w:b/>
                <w:bCs/>
              </w:rPr>
            </w:pPr>
            <w:r w:rsidRPr="00D37BE2">
              <w:rPr>
                <w:b/>
                <w:bCs/>
              </w:rPr>
              <w:t>Finanšu ministrijas 07.10.2019. iebildums:</w:t>
            </w:r>
          </w:p>
          <w:p w14:paraId="7684FC46" w14:textId="027B7D1A" w:rsidR="00031355" w:rsidRPr="00D37BE2" w:rsidRDefault="00031355" w:rsidP="00D37BE2">
            <w:pPr>
              <w:jc w:val="both"/>
            </w:pPr>
            <w:r w:rsidRPr="00D37BE2">
              <w:t xml:space="preserve">“3. Ņemot vērā Ekonomikas ministrijas sagatavotos precizējumus Saeimas 2.lasījumā apstiprinātajai Elektroenerģijas tirgus likuma (turpmāk – likums) </w:t>
            </w:r>
            <w:r w:rsidRPr="00D37BE2">
              <w:lastRenderedPageBreak/>
              <w:t>grozījumu redakcijai, kur cita starpā tiek noteikti Ministru kabineta noteiktās atbildīgās iestādes (ar to domājot BVKB) uzdevumi, tai skaitā, kādā tā pārtrauc atbalsta izmaksu un pieņem lēmumu par tiesību atcelšanu, kas piešķirtas saskaņā ar likuma 28., 28.</w:t>
            </w:r>
            <w:r w:rsidRPr="00D37BE2">
              <w:rPr>
                <w:vertAlign w:val="superscript"/>
              </w:rPr>
              <w:t>1</w:t>
            </w:r>
            <w:r w:rsidRPr="00D37BE2">
              <w:t>, 29. vai 30.pantu vai likuma pārejas noteikumu 52.punktu, kā arī, kādā tā organizē to elektroenerģijas ražotāju, kuri izmanto likuma 28., 28.</w:t>
            </w:r>
            <w:r w:rsidRPr="00D37BE2">
              <w:rPr>
                <w:vertAlign w:val="superscript"/>
              </w:rPr>
              <w:t>1</w:t>
            </w:r>
            <w:r w:rsidRPr="00D37BE2">
              <w:t xml:space="preserve">, 29. vai 30.pantā vai likuma pārejas noteikumu 52.punktā minētās tiesības, darbības uzraudzību un kontroli, nodrošinot </w:t>
            </w:r>
            <w:proofErr w:type="spellStart"/>
            <w:r w:rsidRPr="00D37BE2">
              <w:t>pārkompensācijas</w:t>
            </w:r>
            <w:proofErr w:type="spellEnd"/>
            <w:r w:rsidRPr="00D37BE2">
              <w:t xml:space="preserve"> novēršanu, atbalsta apturēšanu pārkāpumu gadījumā un nepamatoti izmaksātā atbalsta atgūšanu, lūdzam šajā kontekstā pārskatīt noteikumu projektā ietvertās BVKB funkcijas un salāgot tās ar virzītajiem grozījumiem Elektroenerģijas tirgus likumā.”</w:t>
            </w:r>
          </w:p>
          <w:p w14:paraId="567AEE5E" w14:textId="77777777" w:rsidR="008577FF" w:rsidRPr="00D37BE2" w:rsidRDefault="008577FF" w:rsidP="00D37BE2">
            <w:pPr>
              <w:jc w:val="both"/>
            </w:pPr>
          </w:p>
          <w:p w14:paraId="6E47EFB5" w14:textId="77777777" w:rsidR="00031355" w:rsidRPr="00D37BE2" w:rsidRDefault="00031355" w:rsidP="00D37BE2">
            <w:pPr>
              <w:jc w:val="both"/>
              <w:rPr>
                <w:b/>
                <w:bCs/>
              </w:rPr>
            </w:pPr>
            <w:r w:rsidRPr="00D37BE2">
              <w:rPr>
                <w:b/>
                <w:bCs/>
              </w:rPr>
              <w:t>Finanšu ministrijas 07.10.2019. iebildums:</w:t>
            </w:r>
          </w:p>
          <w:p w14:paraId="7D5A16B3" w14:textId="77777777" w:rsidR="00031355" w:rsidRPr="00D37BE2" w:rsidRDefault="00031355" w:rsidP="00D37BE2">
            <w:pPr>
              <w:jc w:val="both"/>
            </w:pPr>
            <w:r w:rsidRPr="00D37BE2">
              <w:t xml:space="preserve">“4. Ar noteikumu projekta 1.6. apakšpunktu tiek papildināts Nolikums ar 4.11. apakšpunktu, kas uzdod BVKB pārbaudīt komersanta, kas saņem valsts atbalstu elektroenerģijas ražošanai no atjaunojamiem energoresursiem vai koģenerācijā, atbilstību nosacījumiem valsts atbalsta saņemšanai. Lūdzam precizēt noteikumu projekta 1.6. apakšpunktā iekļauto noteikumu </w:t>
            </w:r>
            <w:r w:rsidRPr="00D37BE2">
              <w:lastRenderedPageBreak/>
              <w:t>4.11.apakšpunktu, jo no šobrīd esošās redakcijas nav skaidrs, kurā brīdī BVKB veic komersanta pārbaudi atbilstoši valsts atbalsta nosacījumiem, proti, vai tas ir pirms valsts atbalsta saņemšanas un BVKB būs valsts atbalsta sniedzējs, vai BVKB tikai veiks uzraudzības funkciju valsts atbalsta saņemšanas gaitā.”</w:t>
            </w:r>
            <w:r w:rsidR="00712557" w:rsidRPr="00D37BE2">
              <w:t>’</w:t>
            </w:r>
          </w:p>
          <w:p w14:paraId="39C19737" w14:textId="77777777" w:rsidR="00712557" w:rsidRPr="00D37BE2" w:rsidRDefault="00712557" w:rsidP="00D37BE2">
            <w:pPr>
              <w:jc w:val="both"/>
            </w:pPr>
          </w:p>
          <w:p w14:paraId="6936E7ED" w14:textId="77777777" w:rsidR="00712557" w:rsidRPr="00D37BE2" w:rsidRDefault="00712557" w:rsidP="00D37BE2">
            <w:pPr>
              <w:jc w:val="both"/>
              <w:rPr>
                <w:b/>
                <w:bCs/>
              </w:rPr>
            </w:pPr>
            <w:r w:rsidRPr="00D37BE2">
              <w:rPr>
                <w:b/>
                <w:bCs/>
              </w:rPr>
              <w:t>Tieslietu ministrijas 13.11.2019. iebildums:</w:t>
            </w:r>
          </w:p>
          <w:p w14:paraId="2CD920E4" w14:textId="77777777" w:rsidR="00AD13D2" w:rsidRPr="00D37BE2" w:rsidRDefault="00712557" w:rsidP="00D37BE2">
            <w:pPr>
              <w:jc w:val="both"/>
            </w:pPr>
            <w:r w:rsidRPr="00D37BE2">
              <w:t>“1.2. Lielāka uzmanība pievēršama funkciju un uzdevumu nošķiršanai. Šobrīd nav saprotams, kādi kritēriji ir izmantoti, lai nošķirtu Ministru kabineta 2014. gada 30. septembra noteikumos Nr. 576 "Būvniecības valsts kontroles biroja nolikums" 3. un 4. punktā iekļaujamo regulējumu.</w:t>
            </w:r>
          </w:p>
          <w:p w14:paraId="20CF8A38" w14:textId="77777777" w:rsidR="00AD13D2" w:rsidRPr="00D37BE2" w:rsidRDefault="00AD13D2" w:rsidP="00D37BE2">
            <w:pPr>
              <w:ind w:firstLine="720"/>
              <w:jc w:val="both"/>
            </w:pPr>
            <w:r w:rsidRPr="00D37BE2">
              <w:t>Piemēram, likumprojektā "Grozījumi Enerģētikas likumā" (448/Lp13) paredzēts, ka Būvniecības valsts kontroles birojs pilda Centrālās krājumu uzturēšanas struktūras (CKUS) funkcijas. Projektā minētā "funkcija" ir norādīta kā viens no uzdevumiem.</w:t>
            </w:r>
          </w:p>
          <w:p w14:paraId="54F65372" w14:textId="77777777" w:rsidR="00AD13D2" w:rsidRPr="00D37BE2" w:rsidRDefault="00AD13D2" w:rsidP="00D37BE2">
            <w:pPr>
              <w:ind w:firstLine="720"/>
              <w:jc w:val="both"/>
            </w:pPr>
            <w:r w:rsidRPr="00D37BE2">
              <w:t xml:space="preserve">Tāpat saskatāma krasa atšķirība starp projekta 1.5. apakšpunktā minētās funkcijas vārdisko izteiksmi un citām Ministru kabineta 2014. gada 30. septembra noteikumu Nr. 576 "Būvniecības valsts kontroles biroja </w:t>
            </w:r>
            <w:r w:rsidRPr="00D37BE2">
              <w:lastRenderedPageBreak/>
              <w:t>nolikums" 3. punktā norādītajām funkcijām.</w:t>
            </w:r>
          </w:p>
          <w:p w14:paraId="08EC12BC" w14:textId="77777777" w:rsidR="00AD13D2" w:rsidRPr="00D37BE2" w:rsidRDefault="00AD13D2" w:rsidP="00D37BE2">
            <w:pPr>
              <w:ind w:firstLine="720"/>
              <w:jc w:val="both"/>
            </w:pPr>
            <w:r w:rsidRPr="00D37BE2">
              <w:t>Valsts pārvaldes funkcija un valsts pārvaldes uzdevums nav sinonīmi (tas izriet arī no Valsts pārvaldes iekārtas likuma 9. panta). Šo jēdzienu savstarpējā saistība ir sarežģīta. Valsts pārvaldes funkcija apvieno vairākus saturiskā ziņā saistītus uzdevumus, tomēr valsts pārvaldes uzdevums var pastāvēt arī atsevišķi, ārpus kādas konkrētas funkcijas. Funkcijas un uzdevumi parasti tiek uzskaitīti vienkopus attiecīgās iestādes nolikumā vai arī likumā, ja iestāde ir nodibināta uz likuma pamata. Tomēr visai bieži atsevišķa funkcija vai uzdevums var būt minēts kādā citā likumā, un tad ir visai grūti secināt, vai atsevišķā darbība uzskatāma par funkciju vai par uzdevumu. Šādā gadījumā atzīts, ka lietderīgi ir vadīties no apsvēruma, ka uzdevums ir tāda darbība, kas no tiesisko seku viedokļa ir nedalāma, viena darbība (</w:t>
            </w:r>
            <w:r w:rsidRPr="00D37BE2">
              <w:rPr>
                <w:i/>
                <w:iCs/>
              </w:rPr>
              <w:t xml:space="preserve">plašāk sk.: Smiltēna A., </w:t>
            </w:r>
            <w:proofErr w:type="spellStart"/>
            <w:r w:rsidRPr="00D37BE2">
              <w:rPr>
                <w:i/>
                <w:iCs/>
              </w:rPr>
              <w:t>Bloma</w:t>
            </w:r>
            <w:proofErr w:type="spellEnd"/>
            <w:r w:rsidRPr="00D37BE2">
              <w:rPr>
                <w:i/>
                <w:iCs/>
              </w:rPr>
              <w:t xml:space="preserve"> I. Tiesību akta projekta ietekmes sākotnējā izvērtēšana. Metodiskie norādījumi/rokasgrāmata. [</w:t>
            </w:r>
            <w:proofErr w:type="spellStart"/>
            <w:r w:rsidRPr="00D37BE2">
              <w:rPr>
                <w:i/>
                <w:iCs/>
              </w:rPr>
              <w:t>B.v</w:t>
            </w:r>
            <w:proofErr w:type="spellEnd"/>
            <w:r w:rsidRPr="00D37BE2">
              <w:rPr>
                <w:i/>
                <w:iCs/>
              </w:rPr>
              <w:t>.]: Valsts kanceleja, 2014, 86.-87.lpp.</w:t>
            </w:r>
            <w:r w:rsidRPr="00D37BE2">
              <w:t>).</w:t>
            </w:r>
          </w:p>
          <w:p w14:paraId="4F7A29D4" w14:textId="2F1F166C" w:rsidR="00712557" w:rsidRPr="00D37BE2" w:rsidRDefault="00AD13D2" w:rsidP="00D37BE2">
            <w:pPr>
              <w:ind w:firstLine="720"/>
              <w:jc w:val="both"/>
            </w:pPr>
            <w:r w:rsidRPr="00D37BE2">
              <w:t xml:space="preserve">Ļoti vispārīgā līmenī iestādes pamatfunkcijas ir norādītas Ministru kabineta 2010. gada 14. decembra ieteikumu Nr. 2 "Valsts pārvaldes iestādes struktūras izveidošanas kārtība" 16. punktā. Būvniecības jomā vispārīgāks </w:t>
            </w:r>
            <w:r w:rsidRPr="00D37BE2">
              <w:lastRenderedPageBreak/>
              <w:t>uzskaitījums ir minēts Būvniecības likuma 6. panta septītajā daļā.</w:t>
            </w:r>
            <w:r w:rsidR="00712557" w:rsidRPr="00D37BE2">
              <w:t>”</w:t>
            </w:r>
          </w:p>
        </w:tc>
        <w:tc>
          <w:tcPr>
            <w:tcW w:w="3261" w:type="dxa"/>
            <w:gridSpan w:val="2"/>
            <w:tcBorders>
              <w:left w:val="single" w:sz="6" w:space="0" w:color="000000"/>
              <w:bottom w:val="single" w:sz="4" w:space="0" w:color="auto"/>
              <w:right w:val="single" w:sz="6" w:space="0" w:color="000000"/>
            </w:tcBorders>
          </w:tcPr>
          <w:p w14:paraId="6E8C6D56" w14:textId="77777777" w:rsidR="00510651" w:rsidRPr="006D595B" w:rsidRDefault="00510651" w:rsidP="00D37BE2">
            <w:pPr>
              <w:pStyle w:val="naisc"/>
              <w:spacing w:before="0" w:after="0"/>
              <w:rPr>
                <w:b/>
              </w:rPr>
            </w:pPr>
            <w:r w:rsidRPr="006D595B">
              <w:rPr>
                <w:b/>
              </w:rPr>
              <w:lastRenderedPageBreak/>
              <w:t>Ņemts vērā</w:t>
            </w:r>
          </w:p>
          <w:p w14:paraId="1E0B63D4" w14:textId="49E97896" w:rsidR="00D83ABB" w:rsidRPr="00D37BE2" w:rsidRDefault="00D83ABB" w:rsidP="00D37BE2">
            <w:pPr>
              <w:pStyle w:val="naisc"/>
              <w:spacing w:before="0" w:after="0"/>
              <w:jc w:val="both"/>
            </w:pPr>
            <w:r w:rsidRPr="00D37BE2">
              <w:t>Noteikumu projekt</w:t>
            </w:r>
            <w:r w:rsidR="007206C1">
              <w:t>s precizēts</w:t>
            </w:r>
            <w:r w:rsidRPr="00D37BE2">
              <w:t>, vispārinot</w:t>
            </w:r>
            <w:r w:rsidR="007206C1">
              <w:t xml:space="preserve"> tajā izteiktās normas</w:t>
            </w:r>
            <w:r w:rsidRPr="00D37BE2">
              <w:t xml:space="preserve"> un izvairoties no nepamatotas likumos un Ministru kabineta noteikumos ietvertās Būvniecības valsts kontroles biroja kompetences detalizētas atkārtošanas</w:t>
            </w:r>
            <w:r w:rsidR="00D25F18">
              <w:t xml:space="preserve"> un dublēšanas</w:t>
            </w:r>
            <w:r w:rsidRPr="00D37BE2">
              <w:t xml:space="preserve"> noteikumu projektā.</w:t>
            </w:r>
          </w:p>
          <w:p w14:paraId="70BD1F54" w14:textId="77777777" w:rsidR="00031355" w:rsidRPr="00D37BE2" w:rsidRDefault="00031355" w:rsidP="00D37BE2">
            <w:pPr>
              <w:pStyle w:val="naisc"/>
              <w:spacing w:before="0" w:after="0"/>
            </w:pPr>
          </w:p>
          <w:p w14:paraId="058E1438" w14:textId="77777777" w:rsidR="00031355" w:rsidRPr="00D37BE2" w:rsidRDefault="00031355" w:rsidP="00D37BE2">
            <w:pPr>
              <w:pStyle w:val="naisc"/>
              <w:spacing w:before="0" w:after="0"/>
            </w:pPr>
          </w:p>
          <w:p w14:paraId="3E2D1482" w14:textId="77777777" w:rsidR="00031355" w:rsidRPr="00D37BE2" w:rsidRDefault="00031355" w:rsidP="00D37BE2">
            <w:pPr>
              <w:pStyle w:val="naisc"/>
              <w:spacing w:before="0" w:after="0"/>
            </w:pPr>
          </w:p>
          <w:p w14:paraId="46D45B83" w14:textId="77777777" w:rsidR="00031355" w:rsidRPr="00D37BE2" w:rsidRDefault="00031355" w:rsidP="00D37BE2">
            <w:pPr>
              <w:pStyle w:val="naisc"/>
              <w:spacing w:before="0" w:after="0"/>
            </w:pPr>
          </w:p>
          <w:p w14:paraId="1227835A" w14:textId="77777777" w:rsidR="00031355" w:rsidRPr="00D37BE2" w:rsidRDefault="00031355" w:rsidP="00D37BE2">
            <w:pPr>
              <w:pStyle w:val="naisc"/>
              <w:spacing w:before="0" w:after="0"/>
            </w:pPr>
          </w:p>
          <w:p w14:paraId="7F34A302" w14:textId="77777777" w:rsidR="00031355" w:rsidRPr="00D37BE2" w:rsidRDefault="00031355" w:rsidP="00D37BE2">
            <w:pPr>
              <w:pStyle w:val="naisc"/>
              <w:spacing w:before="0" w:after="0"/>
            </w:pPr>
          </w:p>
          <w:p w14:paraId="4176B91A" w14:textId="77777777" w:rsidR="00031355" w:rsidRPr="00D37BE2" w:rsidRDefault="00031355" w:rsidP="00D37BE2">
            <w:pPr>
              <w:pStyle w:val="naisc"/>
              <w:spacing w:before="0" w:after="0"/>
            </w:pPr>
          </w:p>
          <w:p w14:paraId="016479E9" w14:textId="77777777" w:rsidR="00031355" w:rsidRPr="00D37BE2" w:rsidRDefault="00031355" w:rsidP="00D37BE2">
            <w:pPr>
              <w:pStyle w:val="naisc"/>
              <w:spacing w:before="0" w:after="0"/>
            </w:pPr>
          </w:p>
          <w:p w14:paraId="17CAE34A" w14:textId="77777777" w:rsidR="00031355" w:rsidRPr="00D37BE2" w:rsidRDefault="00031355" w:rsidP="00D37BE2">
            <w:pPr>
              <w:pStyle w:val="naisc"/>
              <w:spacing w:before="0" w:after="0"/>
            </w:pPr>
          </w:p>
          <w:p w14:paraId="50A3145B" w14:textId="77777777" w:rsidR="00031355" w:rsidRPr="00D37BE2" w:rsidRDefault="00031355" w:rsidP="00D37BE2">
            <w:pPr>
              <w:pStyle w:val="naisc"/>
              <w:spacing w:before="0" w:after="0"/>
            </w:pPr>
          </w:p>
          <w:p w14:paraId="06D688C5" w14:textId="77777777" w:rsidR="00031355" w:rsidRPr="00D37BE2" w:rsidRDefault="00031355" w:rsidP="00D37BE2">
            <w:pPr>
              <w:pStyle w:val="naisc"/>
              <w:spacing w:before="0" w:after="0"/>
            </w:pPr>
          </w:p>
          <w:p w14:paraId="76D952FC" w14:textId="77777777" w:rsidR="00031355" w:rsidRPr="00D37BE2" w:rsidRDefault="00031355" w:rsidP="00D37BE2">
            <w:pPr>
              <w:pStyle w:val="naisc"/>
              <w:spacing w:before="0" w:after="0"/>
            </w:pPr>
          </w:p>
          <w:p w14:paraId="7361EB65" w14:textId="77777777" w:rsidR="00031355" w:rsidRPr="00D37BE2" w:rsidRDefault="00031355" w:rsidP="00D37BE2">
            <w:pPr>
              <w:pStyle w:val="naisc"/>
              <w:spacing w:before="0" w:after="0"/>
            </w:pPr>
          </w:p>
          <w:p w14:paraId="56084037" w14:textId="77777777" w:rsidR="00031355" w:rsidRPr="00D37BE2" w:rsidRDefault="00031355" w:rsidP="00D37BE2">
            <w:pPr>
              <w:pStyle w:val="naisc"/>
              <w:spacing w:before="0" w:after="0"/>
            </w:pPr>
          </w:p>
          <w:p w14:paraId="778C7E5D" w14:textId="77777777" w:rsidR="00031355" w:rsidRPr="00D37BE2" w:rsidRDefault="00031355" w:rsidP="00D37BE2">
            <w:pPr>
              <w:pStyle w:val="naisc"/>
              <w:spacing w:before="0" w:after="0"/>
            </w:pPr>
          </w:p>
          <w:p w14:paraId="08F8FD0C" w14:textId="77777777" w:rsidR="00031355" w:rsidRPr="00D37BE2" w:rsidRDefault="00031355" w:rsidP="00D37BE2">
            <w:pPr>
              <w:pStyle w:val="naisc"/>
              <w:spacing w:before="0" w:after="0"/>
            </w:pPr>
          </w:p>
          <w:p w14:paraId="374ACEA6" w14:textId="77777777" w:rsidR="00031355" w:rsidRPr="00D37BE2" w:rsidRDefault="00031355" w:rsidP="00D37BE2">
            <w:pPr>
              <w:pStyle w:val="naisc"/>
              <w:spacing w:before="0" w:after="0"/>
            </w:pPr>
          </w:p>
          <w:p w14:paraId="6554A2B5" w14:textId="77777777" w:rsidR="00031355" w:rsidRPr="00D37BE2" w:rsidRDefault="00031355" w:rsidP="00D37BE2">
            <w:pPr>
              <w:pStyle w:val="naisc"/>
              <w:spacing w:before="0" w:after="0"/>
            </w:pPr>
          </w:p>
          <w:p w14:paraId="5601A276" w14:textId="77777777" w:rsidR="00031355" w:rsidRPr="00D37BE2" w:rsidRDefault="00031355" w:rsidP="00D37BE2">
            <w:pPr>
              <w:pStyle w:val="naisc"/>
              <w:spacing w:before="0" w:after="0"/>
            </w:pPr>
          </w:p>
          <w:p w14:paraId="171DCDC2" w14:textId="77777777" w:rsidR="00031355" w:rsidRPr="00D37BE2" w:rsidRDefault="00031355" w:rsidP="00D37BE2">
            <w:pPr>
              <w:pStyle w:val="naisc"/>
              <w:spacing w:before="0" w:after="0"/>
            </w:pPr>
          </w:p>
          <w:p w14:paraId="45E7ED7C" w14:textId="77777777" w:rsidR="00031355" w:rsidRPr="00D37BE2" w:rsidRDefault="00031355" w:rsidP="00D37BE2">
            <w:pPr>
              <w:pStyle w:val="naisc"/>
              <w:spacing w:before="0" w:after="0"/>
            </w:pPr>
          </w:p>
          <w:p w14:paraId="11A94E00" w14:textId="77777777" w:rsidR="00031355" w:rsidRPr="00D37BE2" w:rsidRDefault="00031355" w:rsidP="00D37BE2">
            <w:pPr>
              <w:pStyle w:val="naisc"/>
              <w:spacing w:before="0" w:after="0"/>
            </w:pPr>
          </w:p>
          <w:p w14:paraId="605C58C8" w14:textId="77777777" w:rsidR="00031355" w:rsidRPr="00D37BE2" w:rsidRDefault="00031355" w:rsidP="00D37BE2">
            <w:pPr>
              <w:pStyle w:val="naisc"/>
              <w:spacing w:before="0" w:after="0"/>
            </w:pPr>
          </w:p>
          <w:p w14:paraId="571BC4B7" w14:textId="77777777" w:rsidR="00031355" w:rsidRPr="00D37BE2" w:rsidRDefault="00031355" w:rsidP="00D37BE2">
            <w:pPr>
              <w:pStyle w:val="naisc"/>
              <w:spacing w:before="0" w:after="0"/>
            </w:pPr>
          </w:p>
          <w:p w14:paraId="14ECDE76" w14:textId="77777777" w:rsidR="00031355" w:rsidRPr="00D37BE2" w:rsidRDefault="00031355" w:rsidP="00D37BE2">
            <w:pPr>
              <w:pStyle w:val="naisc"/>
              <w:spacing w:before="0" w:after="0"/>
            </w:pPr>
          </w:p>
          <w:p w14:paraId="6A9806B8" w14:textId="77777777" w:rsidR="00031355" w:rsidRPr="00D37BE2" w:rsidRDefault="00031355" w:rsidP="00D37BE2">
            <w:pPr>
              <w:pStyle w:val="naisc"/>
              <w:spacing w:before="0" w:after="0"/>
            </w:pPr>
          </w:p>
          <w:p w14:paraId="6651BC10" w14:textId="77777777" w:rsidR="00031355" w:rsidRPr="00D37BE2" w:rsidRDefault="00031355" w:rsidP="00D37BE2">
            <w:pPr>
              <w:pStyle w:val="naisc"/>
              <w:spacing w:before="0" w:after="0"/>
            </w:pPr>
          </w:p>
          <w:p w14:paraId="29E1DF37" w14:textId="77777777" w:rsidR="00031355" w:rsidRPr="00D37BE2" w:rsidRDefault="00031355" w:rsidP="00D37BE2">
            <w:pPr>
              <w:pStyle w:val="naisc"/>
              <w:spacing w:before="0" w:after="0"/>
            </w:pPr>
          </w:p>
          <w:p w14:paraId="149765DE" w14:textId="77777777" w:rsidR="00031355" w:rsidRPr="00D37BE2" w:rsidRDefault="00031355" w:rsidP="00D37BE2">
            <w:pPr>
              <w:pStyle w:val="naisc"/>
              <w:spacing w:before="0" w:after="0"/>
            </w:pPr>
          </w:p>
          <w:p w14:paraId="17D35002" w14:textId="77777777" w:rsidR="00031355" w:rsidRPr="00D37BE2" w:rsidRDefault="00031355" w:rsidP="00D37BE2">
            <w:pPr>
              <w:pStyle w:val="naisc"/>
              <w:spacing w:before="0" w:after="0"/>
            </w:pPr>
          </w:p>
          <w:p w14:paraId="45EF53BB" w14:textId="77777777" w:rsidR="00031355" w:rsidRPr="00D37BE2" w:rsidRDefault="00031355" w:rsidP="00D37BE2">
            <w:pPr>
              <w:pStyle w:val="naisc"/>
              <w:spacing w:before="0" w:after="0"/>
            </w:pPr>
          </w:p>
          <w:p w14:paraId="1263538D" w14:textId="77777777" w:rsidR="00031355" w:rsidRPr="00D37BE2" w:rsidRDefault="00031355" w:rsidP="00D37BE2">
            <w:pPr>
              <w:pStyle w:val="naisc"/>
              <w:spacing w:before="0" w:after="0"/>
            </w:pPr>
          </w:p>
          <w:p w14:paraId="2D38532F" w14:textId="77777777" w:rsidR="00031355" w:rsidRPr="00D37BE2" w:rsidRDefault="00031355" w:rsidP="00D37BE2">
            <w:pPr>
              <w:pStyle w:val="naisc"/>
              <w:spacing w:before="0" w:after="0"/>
            </w:pPr>
          </w:p>
          <w:p w14:paraId="66383EE8" w14:textId="77777777" w:rsidR="00031355" w:rsidRPr="00D37BE2" w:rsidRDefault="00031355" w:rsidP="00D37BE2">
            <w:pPr>
              <w:pStyle w:val="naisc"/>
              <w:spacing w:before="0" w:after="0"/>
            </w:pPr>
          </w:p>
          <w:p w14:paraId="18477959" w14:textId="77777777" w:rsidR="00031355" w:rsidRPr="00D37BE2" w:rsidRDefault="00031355" w:rsidP="00D37BE2">
            <w:pPr>
              <w:pStyle w:val="naisc"/>
              <w:spacing w:before="0" w:after="0"/>
            </w:pPr>
          </w:p>
          <w:p w14:paraId="6E97C3C8" w14:textId="77777777" w:rsidR="00031355" w:rsidRPr="00D37BE2" w:rsidRDefault="00031355" w:rsidP="00D37BE2">
            <w:pPr>
              <w:pStyle w:val="naisc"/>
              <w:spacing w:before="0" w:after="0"/>
            </w:pPr>
          </w:p>
          <w:p w14:paraId="32D3B50E" w14:textId="77777777" w:rsidR="00031355" w:rsidRPr="00D37BE2" w:rsidRDefault="00031355" w:rsidP="00D37BE2">
            <w:pPr>
              <w:pStyle w:val="naisc"/>
              <w:spacing w:before="0" w:after="0"/>
            </w:pPr>
          </w:p>
          <w:p w14:paraId="676CFC61" w14:textId="77777777" w:rsidR="00031355" w:rsidRPr="00D37BE2" w:rsidRDefault="00031355" w:rsidP="00D37BE2">
            <w:pPr>
              <w:pStyle w:val="naisc"/>
              <w:spacing w:before="0" w:after="0"/>
            </w:pPr>
          </w:p>
          <w:p w14:paraId="3729B7B5" w14:textId="77777777" w:rsidR="00031355" w:rsidRPr="00D37BE2" w:rsidRDefault="00031355" w:rsidP="00D37BE2">
            <w:pPr>
              <w:pStyle w:val="naisc"/>
              <w:spacing w:before="0" w:after="0"/>
            </w:pPr>
          </w:p>
          <w:p w14:paraId="0DEAAC57" w14:textId="77777777" w:rsidR="00031355" w:rsidRPr="00D37BE2" w:rsidRDefault="00031355" w:rsidP="00D37BE2">
            <w:pPr>
              <w:pStyle w:val="naisc"/>
              <w:spacing w:before="0" w:after="0"/>
            </w:pPr>
          </w:p>
          <w:p w14:paraId="49135C86" w14:textId="77777777" w:rsidR="00031355" w:rsidRPr="00D37BE2" w:rsidRDefault="00031355" w:rsidP="00D37BE2">
            <w:pPr>
              <w:pStyle w:val="naisc"/>
              <w:spacing w:before="0" w:after="0"/>
            </w:pPr>
          </w:p>
          <w:p w14:paraId="27DDF9C0" w14:textId="77777777" w:rsidR="00031355" w:rsidRPr="00D37BE2" w:rsidRDefault="00031355" w:rsidP="00D37BE2">
            <w:pPr>
              <w:pStyle w:val="naisc"/>
              <w:spacing w:before="0" w:after="0"/>
            </w:pPr>
          </w:p>
          <w:p w14:paraId="18B81C09" w14:textId="77777777" w:rsidR="00031355" w:rsidRPr="00D37BE2" w:rsidRDefault="00031355" w:rsidP="00D37BE2">
            <w:pPr>
              <w:pStyle w:val="naisc"/>
              <w:spacing w:before="0" w:after="0"/>
            </w:pPr>
          </w:p>
          <w:p w14:paraId="0BA173C6" w14:textId="5FAA9D1E" w:rsidR="00031355" w:rsidRPr="006D595B" w:rsidRDefault="00031355" w:rsidP="00D37BE2">
            <w:pPr>
              <w:pStyle w:val="naisc"/>
              <w:spacing w:before="0" w:after="0"/>
              <w:rPr>
                <w:b/>
              </w:rPr>
            </w:pPr>
            <w:r w:rsidRPr="006D595B">
              <w:rPr>
                <w:b/>
              </w:rPr>
              <w:t>Ņemts vērā</w:t>
            </w:r>
          </w:p>
          <w:p w14:paraId="7BDF1DED" w14:textId="77944363" w:rsidR="00031355" w:rsidRPr="00D37BE2" w:rsidRDefault="00031355" w:rsidP="00D37BE2">
            <w:pPr>
              <w:pStyle w:val="naisc"/>
              <w:spacing w:before="0" w:after="0"/>
              <w:jc w:val="both"/>
            </w:pPr>
            <w:r w:rsidRPr="00D37BE2">
              <w:t>Ievērojot Tieslietu ministrijas izteikto</w:t>
            </w:r>
            <w:r w:rsidR="00397A4A">
              <w:t>s</w:t>
            </w:r>
            <w:r w:rsidRPr="00D37BE2">
              <w:t xml:space="preserve"> iebildumu</w:t>
            </w:r>
            <w:r w:rsidR="00397A4A">
              <w:t>s</w:t>
            </w:r>
            <w:r w:rsidRPr="00D37BE2">
              <w:t xml:space="preserve">, noteikumu </w:t>
            </w:r>
            <w:r w:rsidR="007206C1" w:rsidRPr="00D37BE2">
              <w:t>projekt</w:t>
            </w:r>
            <w:r w:rsidR="007206C1">
              <w:t>s precizēts</w:t>
            </w:r>
            <w:r w:rsidR="007206C1" w:rsidRPr="00D37BE2">
              <w:t>, vispārinot</w:t>
            </w:r>
            <w:r w:rsidR="007206C1">
              <w:t xml:space="preserve"> tajā izteiktās normas</w:t>
            </w:r>
            <w:r w:rsidRPr="00D37BE2">
              <w:t xml:space="preserve"> un izvairoties no nepamatotas likumos un Ministru kabineta noteikumos ietvertās Būvniecības valsts kontroles biroja kompetences detalizētas atkārtošanas </w:t>
            </w:r>
            <w:r w:rsidR="00CF1298">
              <w:t xml:space="preserve">un dublēšanas </w:t>
            </w:r>
            <w:r w:rsidRPr="00D37BE2">
              <w:t>noteikumu projektā.</w:t>
            </w:r>
          </w:p>
          <w:p w14:paraId="6A16413F" w14:textId="72D203AC" w:rsidR="00031355" w:rsidRPr="00D37BE2" w:rsidRDefault="00031355" w:rsidP="00D37BE2">
            <w:pPr>
              <w:pStyle w:val="naisc"/>
              <w:spacing w:before="0" w:after="0"/>
            </w:pPr>
          </w:p>
          <w:p w14:paraId="7DE3CC00" w14:textId="27161935" w:rsidR="00031355" w:rsidRPr="00D37BE2" w:rsidRDefault="00031355" w:rsidP="00D37BE2">
            <w:pPr>
              <w:pStyle w:val="naisc"/>
              <w:spacing w:before="0" w:after="0"/>
            </w:pPr>
          </w:p>
          <w:p w14:paraId="15D1CDD0" w14:textId="2CD169F3" w:rsidR="00031355" w:rsidRPr="00D37BE2" w:rsidRDefault="00031355" w:rsidP="00D37BE2">
            <w:pPr>
              <w:pStyle w:val="naisc"/>
              <w:spacing w:before="0" w:after="0"/>
            </w:pPr>
          </w:p>
          <w:p w14:paraId="78DA4A65" w14:textId="6964EA97" w:rsidR="00031355" w:rsidRPr="00D37BE2" w:rsidRDefault="00031355" w:rsidP="00D37BE2">
            <w:pPr>
              <w:pStyle w:val="naisc"/>
              <w:spacing w:before="0" w:after="0"/>
            </w:pPr>
          </w:p>
          <w:p w14:paraId="5F88A441" w14:textId="1812460E" w:rsidR="00031355" w:rsidRPr="00D37BE2" w:rsidRDefault="00031355" w:rsidP="00D37BE2">
            <w:pPr>
              <w:pStyle w:val="naisc"/>
              <w:spacing w:before="0" w:after="0"/>
            </w:pPr>
          </w:p>
          <w:p w14:paraId="101644E8" w14:textId="415E2623" w:rsidR="00031355" w:rsidRPr="00D37BE2" w:rsidRDefault="00031355" w:rsidP="00D37BE2">
            <w:pPr>
              <w:pStyle w:val="naisc"/>
              <w:spacing w:before="0" w:after="0"/>
            </w:pPr>
          </w:p>
          <w:p w14:paraId="53E9ECD9" w14:textId="50301C65" w:rsidR="00031355" w:rsidRPr="00D37BE2" w:rsidRDefault="00031355" w:rsidP="00D37BE2">
            <w:pPr>
              <w:pStyle w:val="naisc"/>
              <w:spacing w:before="0" w:after="0"/>
            </w:pPr>
          </w:p>
          <w:p w14:paraId="60BE272E" w14:textId="79F1FD67" w:rsidR="00031355" w:rsidRPr="00D37BE2" w:rsidRDefault="00031355" w:rsidP="00D37BE2">
            <w:pPr>
              <w:pStyle w:val="naisc"/>
              <w:spacing w:before="0" w:after="0"/>
            </w:pPr>
          </w:p>
          <w:p w14:paraId="5393559F" w14:textId="5648A2AE" w:rsidR="00031355" w:rsidRPr="00D37BE2" w:rsidRDefault="00031355" w:rsidP="00D37BE2">
            <w:pPr>
              <w:pStyle w:val="naisc"/>
              <w:spacing w:before="0" w:after="0"/>
            </w:pPr>
          </w:p>
          <w:p w14:paraId="3B95D8F5" w14:textId="7EB1107B" w:rsidR="00031355" w:rsidRPr="00D37BE2" w:rsidRDefault="00031355" w:rsidP="00D37BE2">
            <w:pPr>
              <w:pStyle w:val="naisc"/>
              <w:spacing w:before="0" w:after="0"/>
            </w:pPr>
          </w:p>
          <w:p w14:paraId="69D24AF2" w14:textId="43922751" w:rsidR="00031355" w:rsidRPr="00D37BE2" w:rsidRDefault="00031355" w:rsidP="00D37BE2">
            <w:pPr>
              <w:pStyle w:val="naisc"/>
              <w:spacing w:before="0" w:after="0"/>
            </w:pPr>
          </w:p>
          <w:p w14:paraId="58FB1C80" w14:textId="34813EAE" w:rsidR="00031355" w:rsidRPr="00D37BE2" w:rsidRDefault="00031355" w:rsidP="00D37BE2">
            <w:pPr>
              <w:pStyle w:val="naisc"/>
              <w:spacing w:before="0" w:after="0"/>
            </w:pPr>
          </w:p>
          <w:p w14:paraId="5D4E6D6E" w14:textId="24C8F519" w:rsidR="00031355" w:rsidRPr="00D37BE2" w:rsidRDefault="00031355" w:rsidP="00D37BE2">
            <w:pPr>
              <w:pStyle w:val="naisc"/>
              <w:spacing w:before="0" w:after="0"/>
            </w:pPr>
          </w:p>
          <w:p w14:paraId="4C6F7548" w14:textId="6AF323A5" w:rsidR="00031355" w:rsidRPr="00D37BE2" w:rsidRDefault="00031355" w:rsidP="00D37BE2">
            <w:pPr>
              <w:pStyle w:val="naisc"/>
              <w:spacing w:before="0" w:after="0"/>
            </w:pPr>
          </w:p>
          <w:p w14:paraId="058390A1" w14:textId="5BC74617" w:rsidR="00031355" w:rsidRPr="006D595B" w:rsidRDefault="00031355" w:rsidP="00D37BE2">
            <w:pPr>
              <w:pStyle w:val="naisc"/>
              <w:spacing w:before="0" w:after="0"/>
              <w:rPr>
                <w:b/>
              </w:rPr>
            </w:pPr>
            <w:r w:rsidRPr="006D595B">
              <w:rPr>
                <w:b/>
              </w:rPr>
              <w:t>Ņemts vērā</w:t>
            </w:r>
          </w:p>
          <w:p w14:paraId="23501BA6" w14:textId="1C4CD73C" w:rsidR="00031355" w:rsidRPr="00D37BE2" w:rsidRDefault="00031355" w:rsidP="00D37BE2">
            <w:pPr>
              <w:pStyle w:val="naisc"/>
              <w:spacing w:before="0" w:after="0"/>
              <w:jc w:val="both"/>
            </w:pPr>
            <w:r w:rsidRPr="00D37BE2">
              <w:t>Ievērojot Tieslietu ministrijas izteikto</w:t>
            </w:r>
            <w:r w:rsidR="00397A4A">
              <w:t>s</w:t>
            </w:r>
            <w:r w:rsidRPr="00D37BE2">
              <w:t xml:space="preserve"> iebildumu</w:t>
            </w:r>
            <w:r w:rsidR="00397A4A">
              <w:t>s</w:t>
            </w:r>
            <w:r w:rsidRPr="00D37BE2">
              <w:t xml:space="preserve">, noteikumu </w:t>
            </w:r>
            <w:r w:rsidR="007206C1" w:rsidRPr="00D37BE2">
              <w:t>projekt</w:t>
            </w:r>
            <w:r w:rsidR="007206C1">
              <w:t>s precizēts</w:t>
            </w:r>
            <w:r w:rsidR="007206C1" w:rsidRPr="00D37BE2">
              <w:t>, vispārinot</w:t>
            </w:r>
            <w:r w:rsidR="007206C1">
              <w:t xml:space="preserve"> tajā izteiktās normas</w:t>
            </w:r>
            <w:r w:rsidR="007206C1" w:rsidRPr="00D37BE2">
              <w:t xml:space="preserve"> </w:t>
            </w:r>
            <w:r w:rsidRPr="00D37BE2">
              <w:t xml:space="preserve">un izvairoties no nepamatotas </w:t>
            </w:r>
            <w:r w:rsidRPr="00D37BE2">
              <w:lastRenderedPageBreak/>
              <w:t xml:space="preserve">likumos un Ministru kabineta noteikumos ietvertās Būvniecības valsts kontroles biroja kompetences detalizētas atkārtošanas </w:t>
            </w:r>
            <w:r w:rsidR="00CF1298">
              <w:t xml:space="preserve">un dublēšanas </w:t>
            </w:r>
            <w:r w:rsidRPr="00D37BE2">
              <w:t>noteikumu projektā.</w:t>
            </w:r>
          </w:p>
          <w:p w14:paraId="37B2BEB5" w14:textId="5F4B0895" w:rsidR="00031355" w:rsidRPr="00D37BE2" w:rsidRDefault="00031355" w:rsidP="00D37BE2">
            <w:pPr>
              <w:pStyle w:val="naisc"/>
              <w:spacing w:before="0" w:after="0"/>
            </w:pPr>
          </w:p>
          <w:p w14:paraId="5C952C5F" w14:textId="61D41618" w:rsidR="00031355" w:rsidRPr="00D37BE2" w:rsidRDefault="00031355" w:rsidP="00D37BE2">
            <w:pPr>
              <w:pStyle w:val="naisc"/>
              <w:spacing w:before="0" w:after="0"/>
            </w:pPr>
          </w:p>
          <w:p w14:paraId="206091E7" w14:textId="33CA1612" w:rsidR="00031355" w:rsidRPr="00D37BE2" w:rsidRDefault="00031355" w:rsidP="00D37BE2">
            <w:pPr>
              <w:pStyle w:val="naisc"/>
              <w:spacing w:before="0" w:after="0"/>
            </w:pPr>
          </w:p>
          <w:p w14:paraId="6ABD917E" w14:textId="77777777" w:rsidR="00031355" w:rsidRPr="00D37BE2" w:rsidRDefault="00031355" w:rsidP="00D37BE2">
            <w:pPr>
              <w:pStyle w:val="naisc"/>
              <w:spacing w:before="0" w:after="0"/>
            </w:pPr>
          </w:p>
          <w:p w14:paraId="4D09932B" w14:textId="77777777" w:rsidR="00031355" w:rsidRPr="00D37BE2" w:rsidRDefault="00031355" w:rsidP="00D37BE2">
            <w:pPr>
              <w:pStyle w:val="naisc"/>
              <w:spacing w:before="0" w:after="0"/>
            </w:pPr>
          </w:p>
          <w:p w14:paraId="089ED26E" w14:textId="77777777" w:rsidR="00031355" w:rsidRPr="00D37BE2" w:rsidRDefault="00031355" w:rsidP="00D37BE2">
            <w:pPr>
              <w:pStyle w:val="naisc"/>
              <w:spacing w:before="0" w:after="0"/>
            </w:pPr>
          </w:p>
          <w:p w14:paraId="008ACB8A" w14:textId="77777777" w:rsidR="00031355" w:rsidRPr="00D37BE2" w:rsidRDefault="00031355" w:rsidP="00D37BE2">
            <w:pPr>
              <w:pStyle w:val="naisc"/>
              <w:spacing w:before="0" w:after="0"/>
            </w:pPr>
          </w:p>
          <w:p w14:paraId="45D8E2F4" w14:textId="77777777" w:rsidR="00031355" w:rsidRPr="00D37BE2" w:rsidRDefault="00031355" w:rsidP="00D37BE2">
            <w:pPr>
              <w:pStyle w:val="naisc"/>
              <w:spacing w:before="0" w:after="0"/>
            </w:pPr>
          </w:p>
          <w:p w14:paraId="68D7D2FD" w14:textId="77777777" w:rsidR="00031355" w:rsidRPr="00D37BE2" w:rsidRDefault="00031355" w:rsidP="00D37BE2">
            <w:pPr>
              <w:pStyle w:val="naisc"/>
              <w:spacing w:before="0" w:after="0"/>
            </w:pPr>
          </w:p>
          <w:p w14:paraId="5C9CBE51" w14:textId="77777777" w:rsidR="00031355" w:rsidRPr="00D37BE2" w:rsidRDefault="00031355" w:rsidP="00D37BE2">
            <w:pPr>
              <w:pStyle w:val="naisc"/>
              <w:spacing w:before="0" w:after="0"/>
            </w:pPr>
          </w:p>
          <w:p w14:paraId="59C55CBC" w14:textId="77777777" w:rsidR="00031355" w:rsidRPr="00D37BE2" w:rsidRDefault="00031355" w:rsidP="00D37BE2">
            <w:pPr>
              <w:pStyle w:val="naisc"/>
              <w:spacing w:before="0" w:after="0"/>
            </w:pPr>
          </w:p>
          <w:p w14:paraId="693C46A7" w14:textId="77777777" w:rsidR="00031355" w:rsidRPr="00D37BE2" w:rsidRDefault="00031355" w:rsidP="00D37BE2">
            <w:pPr>
              <w:pStyle w:val="naisc"/>
              <w:spacing w:before="0" w:after="0"/>
            </w:pPr>
          </w:p>
          <w:p w14:paraId="77001F63" w14:textId="77777777" w:rsidR="00031355" w:rsidRPr="00D37BE2" w:rsidRDefault="00031355" w:rsidP="00D37BE2">
            <w:pPr>
              <w:pStyle w:val="naisc"/>
              <w:spacing w:before="0" w:after="0"/>
            </w:pPr>
          </w:p>
          <w:p w14:paraId="3C70DE0F" w14:textId="77777777" w:rsidR="00031355" w:rsidRPr="00D37BE2" w:rsidRDefault="00031355" w:rsidP="00D37BE2">
            <w:pPr>
              <w:pStyle w:val="naisc"/>
              <w:spacing w:before="0" w:after="0"/>
            </w:pPr>
          </w:p>
          <w:p w14:paraId="1735F269" w14:textId="77777777" w:rsidR="00031355" w:rsidRPr="00D37BE2" w:rsidRDefault="00031355" w:rsidP="00D37BE2">
            <w:pPr>
              <w:pStyle w:val="naisc"/>
              <w:spacing w:before="0" w:after="0"/>
            </w:pPr>
          </w:p>
          <w:p w14:paraId="7C7633C9" w14:textId="35590E4D" w:rsidR="00031355" w:rsidRPr="006D595B" w:rsidRDefault="00031355" w:rsidP="00D37BE2">
            <w:pPr>
              <w:pStyle w:val="naisc"/>
              <w:spacing w:before="0" w:after="0"/>
              <w:rPr>
                <w:b/>
                <w:bCs/>
              </w:rPr>
            </w:pPr>
            <w:r w:rsidRPr="006D595B">
              <w:rPr>
                <w:b/>
                <w:bCs/>
              </w:rPr>
              <w:t>Ņemts vērā</w:t>
            </w:r>
          </w:p>
          <w:p w14:paraId="65EED215" w14:textId="0B875386" w:rsidR="00031355" w:rsidRPr="00D37BE2" w:rsidRDefault="00031355" w:rsidP="00D37BE2">
            <w:pPr>
              <w:pStyle w:val="naisc"/>
              <w:spacing w:before="0" w:after="0"/>
              <w:jc w:val="both"/>
            </w:pPr>
            <w:r w:rsidRPr="00D37BE2">
              <w:t>Ievērojot Tieslietu ministrijas izteikto</w:t>
            </w:r>
            <w:r w:rsidR="007206C1">
              <w:t>s</w:t>
            </w:r>
            <w:r w:rsidRPr="00D37BE2">
              <w:t xml:space="preserve"> iebildumu</w:t>
            </w:r>
            <w:r w:rsidR="007206C1">
              <w:t>s</w:t>
            </w:r>
            <w:r w:rsidRPr="00D37BE2">
              <w:t xml:space="preserve">, noteikumu </w:t>
            </w:r>
            <w:r w:rsidR="007206C1" w:rsidRPr="00D37BE2">
              <w:t>projekt</w:t>
            </w:r>
            <w:r w:rsidR="007206C1">
              <w:t>s precizēts</w:t>
            </w:r>
            <w:r w:rsidR="007206C1" w:rsidRPr="00D37BE2">
              <w:t>, vispārinot</w:t>
            </w:r>
            <w:r w:rsidR="007206C1">
              <w:t xml:space="preserve"> tajā izteiktās normas</w:t>
            </w:r>
            <w:r w:rsidR="007206C1" w:rsidRPr="00D37BE2">
              <w:t xml:space="preserve"> </w:t>
            </w:r>
            <w:r w:rsidRPr="00D37BE2">
              <w:t xml:space="preserve">un izvairoties no nepamatotas likumos un Ministru kabineta noteikumos ietvertās Būvniecības valsts kontroles biroja kompetences detalizētas atkārtošanas </w:t>
            </w:r>
            <w:r w:rsidR="00CF1298">
              <w:t xml:space="preserve">un dublēšanas </w:t>
            </w:r>
            <w:r w:rsidRPr="00D37BE2">
              <w:t>noteikumu projektā.</w:t>
            </w:r>
          </w:p>
          <w:p w14:paraId="58A2C343" w14:textId="77777777" w:rsidR="00712557" w:rsidRPr="00D37BE2" w:rsidRDefault="00712557" w:rsidP="00D37BE2">
            <w:pPr>
              <w:pStyle w:val="naisc"/>
              <w:spacing w:before="0" w:after="0"/>
              <w:jc w:val="both"/>
            </w:pPr>
          </w:p>
          <w:p w14:paraId="1A06C278" w14:textId="77777777" w:rsidR="00712557" w:rsidRPr="00D37BE2" w:rsidRDefault="00712557" w:rsidP="00D37BE2">
            <w:pPr>
              <w:pStyle w:val="naisc"/>
              <w:spacing w:before="0" w:after="0"/>
              <w:jc w:val="both"/>
            </w:pPr>
          </w:p>
          <w:p w14:paraId="2DA06A3F" w14:textId="77777777" w:rsidR="00712557" w:rsidRPr="00D37BE2" w:rsidRDefault="00712557" w:rsidP="00D37BE2">
            <w:pPr>
              <w:pStyle w:val="naisc"/>
              <w:spacing w:before="0" w:after="0"/>
              <w:jc w:val="both"/>
            </w:pPr>
          </w:p>
          <w:p w14:paraId="17929755" w14:textId="77777777" w:rsidR="00712557" w:rsidRPr="00D37BE2" w:rsidRDefault="00712557" w:rsidP="00D37BE2">
            <w:pPr>
              <w:pStyle w:val="naisc"/>
              <w:spacing w:before="0" w:after="0"/>
              <w:jc w:val="both"/>
            </w:pPr>
          </w:p>
          <w:p w14:paraId="20A81B6B" w14:textId="77777777" w:rsidR="00712557" w:rsidRPr="00D37BE2" w:rsidRDefault="00712557" w:rsidP="00D37BE2">
            <w:pPr>
              <w:pStyle w:val="naisc"/>
              <w:spacing w:before="0" w:after="0"/>
              <w:jc w:val="both"/>
            </w:pPr>
          </w:p>
          <w:p w14:paraId="21F3723E" w14:textId="77777777" w:rsidR="00712557" w:rsidRPr="00D37BE2" w:rsidRDefault="00712557" w:rsidP="00D37BE2">
            <w:pPr>
              <w:pStyle w:val="naisc"/>
              <w:spacing w:before="0" w:after="0"/>
              <w:jc w:val="both"/>
            </w:pPr>
          </w:p>
          <w:p w14:paraId="27FE0ECF" w14:textId="77777777" w:rsidR="00712557" w:rsidRPr="00D37BE2" w:rsidRDefault="00712557" w:rsidP="00D37BE2">
            <w:pPr>
              <w:pStyle w:val="naisc"/>
              <w:spacing w:before="0" w:after="0"/>
              <w:jc w:val="both"/>
            </w:pPr>
          </w:p>
          <w:p w14:paraId="65B394A1" w14:textId="77777777" w:rsidR="00712557" w:rsidRPr="00D37BE2" w:rsidRDefault="00712557" w:rsidP="00D37BE2">
            <w:pPr>
              <w:pStyle w:val="naisc"/>
              <w:spacing w:before="0" w:after="0"/>
              <w:jc w:val="both"/>
            </w:pPr>
          </w:p>
          <w:p w14:paraId="54343125" w14:textId="77777777" w:rsidR="00712557" w:rsidRPr="00D37BE2" w:rsidRDefault="00712557" w:rsidP="00D37BE2">
            <w:pPr>
              <w:pStyle w:val="naisc"/>
              <w:spacing w:before="0" w:after="0"/>
              <w:jc w:val="both"/>
            </w:pPr>
          </w:p>
          <w:p w14:paraId="37E38901" w14:textId="6BADECA3" w:rsidR="00712557" w:rsidRPr="006D595B" w:rsidRDefault="00712557" w:rsidP="00D37BE2">
            <w:pPr>
              <w:pStyle w:val="naisc"/>
              <w:spacing w:before="0" w:after="0"/>
              <w:rPr>
                <w:b/>
                <w:bCs/>
              </w:rPr>
            </w:pPr>
            <w:r w:rsidRPr="006D595B">
              <w:rPr>
                <w:b/>
                <w:bCs/>
              </w:rPr>
              <w:t>Ņemts vērā</w:t>
            </w:r>
          </w:p>
          <w:p w14:paraId="1CA38056" w14:textId="10BEC2D7" w:rsidR="00712557" w:rsidRPr="00D37BE2" w:rsidRDefault="007206C1" w:rsidP="001A137E">
            <w:pPr>
              <w:pStyle w:val="naisc"/>
              <w:spacing w:before="0" w:after="0"/>
              <w:jc w:val="both"/>
            </w:pPr>
            <w:r w:rsidRPr="00D37BE2">
              <w:t>Noteikumu projekt</w:t>
            </w:r>
            <w:r>
              <w:t>s precizēts</w:t>
            </w:r>
            <w:r w:rsidRPr="00D37BE2">
              <w:t>, vispārinot</w:t>
            </w:r>
            <w:r>
              <w:t xml:space="preserve"> tajā izteiktās normas</w:t>
            </w:r>
            <w:r w:rsidRPr="00D37BE2">
              <w:t xml:space="preserve"> un izvairoties no nepamatotas likumos un Ministru kabineta noteikumos ietvertās Būvniecības valsts kontroles biroja kompetences detalizētas atkārtošanas </w:t>
            </w:r>
            <w:r w:rsidR="00CF1298">
              <w:t xml:space="preserve">un dublēšanas </w:t>
            </w:r>
            <w:r w:rsidRPr="00D37BE2">
              <w:t>noteikumu projektā.</w:t>
            </w:r>
          </w:p>
        </w:tc>
        <w:tc>
          <w:tcPr>
            <w:tcW w:w="2912" w:type="dxa"/>
            <w:tcBorders>
              <w:top w:val="single" w:sz="4" w:space="0" w:color="auto"/>
              <w:left w:val="single" w:sz="4" w:space="0" w:color="auto"/>
              <w:bottom w:val="single" w:sz="4" w:space="0" w:color="auto"/>
            </w:tcBorders>
          </w:tcPr>
          <w:p w14:paraId="477F204F" w14:textId="350A9086" w:rsidR="00510651" w:rsidRPr="00A51575" w:rsidRDefault="00510651" w:rsidP="00D37BE2">
            <w:pPr>
              <w:pStyle w:val="ListParagraph"/>
              <w:shd w:val="clear" w:color="auto" w:fill="FFFFFF"/>
              <w:tabs>
                <w:tab w:val="left" w:pos="993"/>
              </w:tabs>
              <w:spacing w:after="0" w:line="240" w:lineRule="auto"/>
              <w:ind w:left="0"/>
              <w:jc w:val="both"/>
              <w:rPr>
                <w:rFonts w:ascii="Times New Roman" w:hAnsi="Times New Roman"/>
                <w:sz w:val="24"/>
                <w:szCs w:val="24"/>
                <w:lang w:eastAsia="lv-LV"/>
              </w:rPr>
            </w:pPr>
            <w:r w:rsidRPr="00D37BE2">
              <w:rPr>
                <w:rFonts w:ascii="Times New Roman" w:hAnsi="Times New Roman"/>
                <w:sz w:val="24"/>
                <w:szCs w:val="24"/>
                <w:lang w:eastAsia="lv-LV"/>
              </w:rPr>
              <w:lastRenderedPageBreak/>
              <w:t>Noteikumu projekta 1.</w:t>
            </w:r>
            <w:r w:rsidR="007206C1">
              <w:rPr>
                <w:rFonts w:ascii="Times New Roman" w:hAnsi="Times New Roman"/>
                <w:sz w:val="24"/>
                <w:szCs w:val="24"/>
                <w:lang w:eastAsia="lv-LV"/>
              </w:rPr>
              <w:t>3</w:t>
            </w:r>
            <w:r w:rsidRPr="00D37BE2">
              <w:rPr>
                <w:rFonts w:ascii="Times New Roman" w:hAnsi="Times New Roman"/>
                <w:sz w:val="24"/>
                <w:szCs w:val="24"/>
                <w:lang w:eastAsia="lv-LV"/>
              </w:rPr>
              <w:t>. un 1.</w:t>
            </w:r>
            <w:r w:rsidR="007206C1">
              <w:rPr>
                <w:rFonts w:ascii="Times New Roman" w:hAnsi="Times New Roman"/>
                <w:sz w:val="24"/>
                <w:szCs w:val="24"/>
                <w:lang w:eastAsia="lv-LV"/>
              </w:rPr>
              <w:t>4</w:t>
            </w:r>
            <w:r w:rsidRPr="00D37BE2">
              <w:rPr>
                <w:rFonts w:ascii="Times New Roman" w:hAnsi="Times New Roman"/>
                <w:sz w:val="24"/>
                <w:szCs w:val="24"/>
                <w:lang w:eastAsia="lv-LV"/>
              </w:rPr>
              <w:t xml:space="preserve">. </w:t>
            </w:r>
            <w:r w:rsidRPr="00A51575">
              <w:rPr>
                <w:rFonts w:ascii="Times New Roman" w:hAnsi="Times New Roman"/>
                <w:sz w:val="24"/>
                <w:szCs w:val="24"/>
                <w:lang w:eastAsia="lv-LV"/>
              </w:rPr>
              <w:t>apakšpunkts:</w:t>
            </w:r>
          </w:p>
          <w:p w14:paraId="776B0EDA" w14:textId="77777777" w:rsidR="007206C1" w:rsidRPr="007206C1" w:rsidRDefault="00510651" w:rsidP="007206C1">
            <w:pPr>
              <w:shd w:val="clear" w:color="auto" w:fill="FFFFFF"/>
              <w:tabs>
                <w:tab w:val="left" w:pos="993"/>
              </w:tabs>
              <w:jc w:val="both"/>
            </w:pPr>
            <w:r w:rsidRPr="007206C1">
              <w:t>“</w:t>
            </w:r>
            <w:r w:rsidR="007206C1" w:rsidRPr="007206C1">
              <w:t>1.3. izteikt 3. punktu šādā redakcijā:</w:t>
            </w:r>
          </w:p>
          <w:p w14:paraId="7EE10A2A" w14:textId="22AD5BA9" w:rsidR="007206C1" w:rsidRPr="00E23288" w:rsidRDefault="007206C1" w:rsidP="007206C1">
            <w:pPr>
              <w:pStyle w:val="ListParagraph"/>
              <w:shd w:val="clear" w:color="auto" w:fill="FFFFFF"/>
              <w:tabs>
                <w:tab w:val="left" w:pos="993"/>
              </w:tabs>
              <w:spacing w:after="0" w:line="240" w:lineRule="auto"/>
              <w:ind w:left="0"/>
              <w:jc w:val="both"/>
              <w:rPr>
                <w:rFonts w:ascii="Times New Roman" w:hAnsi="Times New Roman"/>
                <w:sz w:val="24"/>
                <w:szCs w:val="24"/>
                <w:lang w:eastAsia="lv-LV"/>
              </w:rPr>
            </w:pPr>
            <w:r w:rsidRPr="00E23288">
              <w:rPr>
                <w:rFonts w:ascii="Times New Roman" w:hAnsi="Times New Roman"/>
                <w:sz w:val="24"/>
                <w:szCs w:val="24"/>
                <w:lang w:eastAsia="lv-LV"/>
              </w:rPr>
              <w:t>“3. </w:t>
            </w:r>
            <w:r w:rsidR="00214EB4" w:rsidRPr="00E23288">
              <w:rPr>
                <w:rFonts w:ascii="Times New Roman" w:hAnsi="Times New Roman"/>
                <w:sz w:val="24"/>
                <w:szCs w:val="24"/>
                <w:lang w:eastAsia="lv-LV"/>
              </w:rPr>
              <w:t xml:space="preserve">Birojs īsteno </w:t>
            </w:r>
            <w:r w:rsidR="00214EB4" w:rsidRPr="00E23288">
              <w:rPr>
                <w:rFonts w:ascii="Times New Roman" w:hAnsi="Times New Roman"/>
                <w:sz w:val="24"/>
                <w:szCs w:val="24"/>
                <w:shd w:val="clear" w:color="auto" w:fill="FFFFFF"/>
              </w:rPr>
              <w:t>noteiktu būvdarbu valsts kontroli un uzraudzību, administrē enerģētikas politiku, kā arī īsteno citas B</w:t>
            </w:r>
            <w:bookmarkStart w:id="0" w:name="_GoBack"/>
            <w:bookmarkEnd w:id="0"/>
            <w:r w:rsidR="00214EB4" w:rsidRPr="00E23288">
              <w:rPr>
                <w:rFonts w:ascii="Times New Roman" w:hAnsi="Times New Roman"/>
                <w:sz w:val="24"/>
                <w:szCs w:val="24"/>
                <w:shd w:val="clear" w:color="auto" w:fill="FFFFFF"/>
              </w:rPr>
              <w:t xml:space="preserve">ūvniecības likumā, </w:t>
            </w:r>
            <w:r w:rsidR="00214EB4" w:rsidRPr="00E23288">
              <w:rPr>
                <w:rFonts w:ascii="Times New Roman" w:hAnsi="Times New Roman"/>
                <w:sz w:val="24"/>
                <w:szCs w:val="24"/>
                <w:lang w:eastAsia="lv-LV"/>
              </w:rPr>
              <w:t>Enerģētikas likumā, Energoefektivitātes likumā, Elektroenerģijas tirgus likumā</w:t>
            </w:r>
            <w:r w:rsidR="00214EB4" w:rsidRPr="00E23288">
              <w:rPr>
                <w:rFonts w:ascii="Times New Roman" w:hAnsi="Times New Roman"/>
                <w:sz w:val="24"/>
                <w:szCs w:val="24"/>
                <w:shd w:val="clear" w:color="auto" w:fill="FFFFFF"/>
              </w:rPr>
              <w:t>, Biodegvielas likumā, likumā “Par atbilstības novērtēšanu”</w:t>
            </w:r>
            <w:r w:rsidR="00214EB4">
              <w:rPr>
                <w:rFonts w:ascii="Times New Roman" w:hAnsi="Times New Roman"/>
                <w:sz w:val="24"/>
                <w:szCs w:val="24"/>
                <w:lang w:eastAsia="lv-LV"/>
              </w:rPr>
              <w:t>,</w:t>
            </w:r>
            <w:r w:rsidR="00214EB4" w:rsidRPr="00E23288">
              <w:rPr>
                <w:rFonts w:ascii="Times New Roman" w:hAnsi="Times New Roman"/>
                <w:sz w:val="24"/>
                <w:szCs w:val="24"/>
                <w:lang w:eastAsia="lv-LV"/>
              </w:rPr>
              <w:t xml:space="preserve"> likumā “Par zemes dzīlēm” </w:t>
            </w:r>
            <w:r w:rsidR="00214EB4">
              <w:rPr>
                <w:rFonts w:ascii="Times New Roman" w:hAnsi="Times New Roman"/>
                <w:sz w:val="24"/>
                <w:szCs w:val="24"/>
              </w:rPr>
              <w:t xml:space="preserve">un citos normatīvajos aktos </w:t>
            </w:r>
            <w:r w:rsidR="00214EB4" w:rsidRPr="00E23288">
              <w:rPr>
                <w:rFonts w:ascii="Times New Roman" w:hAnsi="Times New Roman"/>
                <w:sz w:val="24"/>
                <w:szCs w:val="24"/>
                <w:lang w:eastAsia="lv-LV"/>
              </w:rPr>
              <w:t>noteiktās funkcijas un uzdevumus.</w:t>
            </w:r>
            <w:r w:rsidRPr="00E23288">
              <w:rPr>
                <w:rFonts w:ascii="Times New Roman" w:hAnsi="Times New Roman"/>
                <w:sz w:val="24"/>
                <w:szCs w:val="24"/>
                <w:lang w:eastAsia="lv-LV"/>
              </w:rPr>
              <w:t>”;</w:t>
            </w:r>
          </w:p>
          <w:p w14:paraId="1A4FD75C" w14:textId="77777777" w:rsidR="007206C1" w:rsidRPr="00E23288" w:rsidRDefault="007206C1" w:rsidP="007206C1">
            <w:pPr>
              <w:pStyle w:val="ListParagraph"/>
              <w:shd w:val="clear" w:color="auto" w:fill="FFFFFF"/>
              <w:tabs>
                <w:tab w:val="left" w:pos="993"/>
              </w:tabs>
              <w:spacing w:after="0" w:line="240" w:lineRule="auto"/>
              <w:ind w:left="0" w:firstLine="720"/>
              <w:jc w:val="both"/>
              <w:rPr>
                <w:rFonts w:ascii="Times New Roman" w:hAnsi="Times New Roman"/>
                <w:sz w:val="24"/>
                <w:szCs w:val="24"/>
                <w:lang w:eastAsia="lv-LV"/>
              </w:rPr>
            </w:pPr>
          </w:p>
          <w:p w14:paraId="04059FB2" w14:textId="49F669B8" w:rsidR="007206C1" w:rsidRPr="007206C1" w:rsidRDefault="007206C1" w:rsidP="007206C1">
            <w:pPr>
              <w:shd w:val="clear" w:color="auto" w:fill="FFFFFF"/>
              <w:tabs>
                <w:tab w:val="left" w:pos="993"/>
              </w:tabs>
              <w:jc w:val="both"/>
            </w:pPr>
            <w:r w:rsidRPr="007206C1">
              <w:t>1.4. svītrot 4. punktu;</w:t>
            </w:r>
            <w:r>
              <w:t>”</w:t>
            </w:r>
          </w:p>
          <w:p w14:paraId="0DFBF92E" w14:textId="02C663F7" w:rsidR="00510651" w:rsidRPr="00D37BE2" w:rsidRDefault="00510651" w:rsidP="00A51575">
            <w:pPr>
              <w:jc w:val="both"/>
            </w:pPr>
          </w:p>
        </w:tc>
      </w:tr>
      <w:tr w:rsidR="00D37BE2" w:rsidRPr="00D37BE2" w14:paraId="62D7C6CA" w14:textId="77777777" w:rsidTr="00113DE0">
        <w:trPr>
          <w:gridBefore w:val="1"/>
          <w:wBefore w:w="8" w:type="dxa"/>
        </w:trPr>
        <w:tc>
          <w:tcPr>
            <w:tcW w:w="685" w:type="dxa"/>
            <w:tcBorders>
              <w:left w:val="single" w:sz="6" w:space="0" w:color="000000"/>
              <w:bottom w:val="single" w:sz="4" w:space="0" w:color="auto"/>
              <w:right w:val="single" w:sz="6" w:space="0" w:color="000000"/>
            </w:tcBorders>
          </w:tcPr>
          <w:p w14:paraId="41816DBA" w14:textId="77777777" w:rsidR="00510651" w:rsidRPr="00D37BE2" w:rsidRDefault="00510651" w:rsidP="00D37BE2">
            <w:r w:rsidRPr="00D37BE2">
              <w:lastRenderedPageBreak/>
              <w:t>4.</w:t>
            </w:r>
          </w:p>
        </w:tc>
        <w:tc>
          <w:tcPr>
            <w:tcW w:w="2902" w:type="dxa"/>
            <w:tcBorders>
              <w:left w:val="single" w:sz="6" w:space="0" w:color="000000"/>
              <w:bottom w:val="single" w:sz="4" w:space="0" w:color="auto"/>
              <w:right w:val="single" w:sz="6" w:space="0" w:color="000000"/>
            </w:tcBorders>
          </w:tcPr>
          <w:p w14:paraId="1D5B5DE1" w14:textId="77777777" w:rsidR="00510651" w:rsidRPr="00D37BE2" w:rsidRDefault="00510651" w:rsidP="00D37BE2">
            <w:pPr>
              <w:pStyle w:val="ListParagraph"/>
              <w:shd w:val="clear" w:color="auto" w:fill="FFFFFF"/>
              <w:tabs>
                <w:tab w:val="left" w:pos="993"/>
              </w:tabs>
              <w:spacing w:after="0" w:line="240" w:lineRule="auto"/>
              <w:ind w:left="0"/>
              <w:jc w:val="both"/>
              <w:rPr>
                <w:rFonts w:ascii="Times New Roman" w:hAnsi="Times New Roman"/>
                <w:sz w:val="24"/>
                <w:szCs w:val="24"/>
                <w:lang w:eastAsia="lv-LV"/>
              </w:rPr>
            </w:pPr>
            <w:r w:rsidRPr="00D37BE2">
              <w:rPr>
                <w:rFonts w:ascii="Times New Roman" w:hAnsi="Times New Roman"/>
                <w:sz w:val="24"/>
                <w:szCs w:val="24"/>
                <w:lang w:eastAsia="lv-LV"/>
              </w:rPr>
              <w:t>Noteikumu projekta 1.9. apakšpunkts:</w:t>
            </w:r>
          </w:p>
          <w:p w14:paraId="552D3B08" w14:textId="77777777" w:rsidR="00510651" w:rsidRPr="00D37BE2" w:rsidRDefault="00510651" w:rsidP="00D37BE2">
            <w:pPr>
              <w:shd w:val="clear" w:color="auto" w:fill="FFFFFF"/>
              <w:jc w:val="both"/>
            </w:pPr>
            <w:r w:rsidRPr="00D37BE2">
              <w:t>“1.9. Papildināt noteikumus ar 11.</w:t>
            </w:r>
            <w:r w:rsidRPr="00D37BE2">
              <w:rPr>
                <w:vertAlign w:val="superscript"/>
              </w:rPr>
              <w:t>1</w:t>
            </w:r>
            <w:r w:rsidRPr="00D37BE2">
              <w:t xml:space="preserve"> punktu šādā redakcijā:</w:t>
            </w:r>
          </w:p>
          <w:p w14:paraId="433E87E2" w14:textId="77777777" w:rsidR="00510651" w:rsidRPr="00D37BE2" w:rsidRDefault="00510651" w:rsidP="00D37BE2">
            <w:pPr>
              <w:jc w:val="both"/>
            </w:pPr>
            <w:r w:rsidRPr="00D37BE2">
              <w:t>“11.</w:t>
            </w:r>
            <w:r w:rsidRPr="00D37BE2">
              <w:rPr>
                <w:vertAlign w:val="superscript"/>
              </w:rPr>
              <w:t>1</w:t>
            </w:r>
            <w:r w:rsidRPr="00D37BE2">
              <w:t xml:space="preserve"> Biroja amatpersonas veic administratīvā pārkāpuma procesu atbilstoši biroja kompetencei.””</w:t>
            </w:r>
          </w:p>
        </w:tc>
        <w:tc>
          <w:tcPr>
            <w:tcW w:w="4343" w:type="dxa"/>
            <w:tcBorders>
              <w:left w:val="single" w:sz="6" w:space="0" w:color="000000"/>
              <w:bottom w:val="single" w:sz="4" w:space="0" w:color="auto"/>
              <w:right w:val="single" w:sz="6" w:space="0" w:color="000000"/>
            </w:tcBorders>
          </w:tcPr>
          <w:p w14:paraId="50EFCB1B" w14:textId="77777777" w:rsidR="00510651" w:rsidRPr="00D37BE2" w:rsidRDefault="00510651" w:rsidP="00D37BE2">
            <w:pPr>
              <w:pStyle w:val="naisc"/>
              <w:spacing w:before="0" w:after="0"/>
              <w:jc w:val="both"/>
              <w:rPr>
                <w:b/>
                <w:bCs/>
              </w:rPr>
            </w:pPr>
            <w:r w:rsidRPr="00D37BE2">
              <w:rPr>
                <w:b/>
                <w:bCs/>
              </w:rPr>
              <w:t>Tieslietu ministrijas 03.10.2019. iebildums:</w:t>
            </w:r>
          </w:p>
          <w:p w14:paraId="1A4FBB21" w14:textId="7B29FAFB" w:rsidR="00510651" w:rsidRPr="00D37BE2" w:rsidRDefault="00510651" w:rsidP="00D37BE2">
            <w:pPr>
              <w:pStyle w:val="NormalWeb"/>
              <w:spacing w:before="0" w:beforeAutospacing="0" w:after="0" w:afterAutospacing="0"/>
              <w:jc w:val="both"/>
            </w:pPr>
            <w:r w:rsidRPr="00D37BE2">
              <w:t>“4. Projekta 1.9. apakšpunktā paredzēts, ka Biroja amatpersonas veic administratīvā pārkāpuma procesu atbilstoši Biroja kompetencei. Minētais regulējums izriet no Administratīvās atbildības likuma 115. panta pirmās daļas 1. punkta un attiecīgajiem nozares likumiem. Šajā gadījumā nav arī paredzēts nekāds īpašs kompetences sadalījums starp iestādes amatpersonām.</w:t>
            </w:r>
          </w:p>
          <w:p w14:paraId="7FCA9F2D" w14:textId="77777777" w:rsidR="00510651" w:rsidRPr="00D37BE2" w:rsidRDefault="00510651" w:rsidP="00D37BE2">
            <w:pPr>
              <w:pStyle w:val="NormalWeb"/>
              <w:spacing w:before="0" w:beforeAutospacing="0" w:after="0" w:afterAutospacing="0"/>
              <w:ind w:firstLine="720"/>
              <w:jc w:val="both"/>
            </w:pPr>
            <w:r w:rsidRPr="00D37BE2">
              <w:t xml:space="preserve">Līdz ar to lūdzam izvērtēt projekta 1.9. apakšpunktā paredzētā regulējuma </w:t>
            </w:r>
            <w:r w:rsidRPr="00D37BE2">
              <w:lastRenderedPageBreak/>
              <w:t>mērķi un precizēt regulējumu, ietverot skaidrojumu projekta anotācijā, vai arī svītrot projekta 1.9. apakšpunktu.”</w:t>
            </w:r>
          </w:p>
        </w:tc>
        <w:tc>
          <w:tcPr>
            <w:tcW w:w="3261" w:type="dxa"/>
            <w:gridSpan w:val="2"/>
            <w:tcBorders>
              <w:left w:val="single" w:sz="6" w:space="0" w:color="000000"/>
              <w:bottom w:val="single" w:sz="4" w:space="0" w:color="auto"/>
              <w:right w:val="single" w:sz="6" w:space="0" w:color="000000"/>
            </w:tcBorders>
          </w:tcPr>
          <w:p w14:paraId="7C06DDA0" w14:textId="77777777" w:rsidR="00510651" w:rsidRPr="00D37BE2" w:rsidRDefault="00510651" w:rsidP="00D37BE2">
            <w:pPr>
              <w:pStyle w:val="naisc"/>
              <w:spacing w:before="0" w:after="0"/>
              <w:rPr>
                <w:b/>
              </w:rPr>
            </w:pPr>
            <w:r w:rsidRPr="00D37BE2">
              <w:rPr>
                <w:b/>
              </w:rPr>
              <w:lastRenderedPageBreak/>
              <w:t>Ņemts vērā</w:t>
            </w:r>
          </w:p>
          <w:p w14:paraId="1B497869" w14:textId="2E713398" w:rsidR="00D37BE2" w:rsidRPr="00D37BE2" w:rsidRDefault="00D37BE2" w:rsidP="00B16851">
            <w:pPr>
              <w:pStyle w:val="naisc"/>
              <w:spacing w:before="0" w:after="0"/>
              <w:jc w:val="both"/>
              <w:rPr>
                <w:b/>
                <w:bCs/>
              </w:rPr>
            </w:pPr>
            <w:r w:rsidRPr="00D37BE2">
              <w:t>Noteikumu projekta punkts ir svītrots.</w:t>
            </w:r>
          </w:p>
        </w:tc>
        <w:tc>
          <w:tcPr>
            <w:tcW w:w="2912" w:type="dxa"/>
            <w:tcBorders>
              <w:top w:val="single" w:sz="4" w:space="0" w:color="auto"/>
              <w:left w:val="single" w:sz="4" w:space="0" w:color="auto"/>
              <w:bottom w:val="single" w:sz="4" w:space="0" w:color="auto"/>
            </w:tcBorders>
          </w:tcPr>
          <w:p w14:paraId="6C9D1FBF" w14:textId="5D239035" w:rsidR="00510651" w:rsidRPr="00D37BE2" w:rsidRDefault="00D37BE2" w:rsidP="00D37BE2">
            <w:pPr>
              <w:pStyle w:val="ListParagraph"/>
              <w:shd w:val="clear" w:color="auto" w:fill="FFFFFF"/>
              <w:tabs>
                <w:tab w:val="left" w:pos="993"/>
              </w:tabs>
              <w:spacing w:after="0" w:line="240" w:lineRule="auto"/>
              <w:ind w:left="0"/>
              <w:jc w:val="both"/>
              <w:rPr>
                <w:rFonts w:ascii="Times New Roman" w:hAnsi="Times New Roman"/>
                <w:sz w:val="24"/>
                <w:szCs w:val="24"/>
                <w:lang w:eastAsia="lv-LV"/>
              </w:rPr>
            </w:pPr>
            <w:r w:rsidRPr="00D37BE2">
              <w:rPr>
                <w:rFonts w:ascii="Times New Roman" w:hAnsi="Times New Roman"/>
                <w:sz w:val="24"/>
                <w:szCs w:val="24"/>
                <w:lang w:eastAsia="lv-LV"/>
              </w:rPr>
              <w:t>-</w:t>
            </w:r>
          </w:p>
        </w:tc>
      </w:tr>
      <w:tr w:rsidR="00D37BE2" w:rsidRPr="00D37BE2" w14:paraId="1B3B07A7" w14:textId="77777777" w:rsidTr="00113DE0">
        <w:trPr>
          <w:gridBefore w:val="1"/>
          <w:wBefore w:w="8" w:type="dxa"/>
        </w:trPr>
        <w:tc>
          <w:tcPr>
            <w:tcW w:w="685" w:type="dxa"/>
            <w:tcBorders>
              <w:left w:val="single" w:sz="6" w:space="0" w:color="000000"/>
              <w:bottom w:val="single" w:sz="4" w:space="0" w:color="auto"/>
              <w:right w:val="single" w:sz="6" w:space="0" w:color="000000"/>
            </w:tcBorders>
          </w:tcPr>
          <w:p w14:paraId="648AFE75" w14:textId="77777777" w:rsidR="00031355" w:rsidRPr="00D37BE2" w:rsidRDefault="00031355" w:rsidP="00D37BE2">
            <w:r w:rsidRPr="00D37BE2">
              <w:t>5.</w:t>
            </w:r>
          </w:p>
        </w:tc>
        <w:tc>
          <w:tcPr>
            <w:tcW w:w="2902" w:type="dxa"/>
            <w:tcBorders>
              <w:left w:val="single" w:sz="6" w:space="0" w:color="000000"/>
              <w:bottom w:val="single" w:sz="4" w:space="0" w:color="auto"/>
              <w:right w:val="single" w:sz="6" w:space="0" w:color="000000"/>
            </w:tcBorders>
          </w:tcPr>
          <w:p w14:paraId="4350AE1D" w14:textId="77777777" w:rsidR="00031355" w:rsidRPr="00D37BE2" w:rsidRDefault="00031355" w:rsidP="00D37BE2">
            <w:pPr>
              <w:jc w:val="both"/>
            </w:pPr>
            <w:r w:rsidRPr="00D37BE2">
              <w:t>Anotācija</w:t>
            </w:r>
          </w:p>
        </w:tc>
        <w:tc>
          <w:tcPr>
            <w:tcW w:w="4343" w:type="dxa"/>
            <w:tcBorders>
              <w:left w:val="single" w:sz="6" w:space="0" w:color="000000"/>
              <w:bottom w:val="single" w:sz="4" w:space="0" w:color="auto"/>
              <w:right w:val="single" w:sz="6" w:space="0" w:color="000000"/>
            </w:tcBorders>
          </w:tcPr>
          <w:p w14:paraId="09345FB0" w14:textId="77777777" w:rsidR="00031355" w:rsidRPr="00D37BE2" w:rsidRDefault="00031355" w:rsidP="00D37BE2">
            <w:pPr>
              <w:pStyle w:val="naisc"/>
              <w:spacing w:before="0" w:after="0"/>
              <w:jc w:val="both"/>
              <w:rPr>
                <w:b/>
                <w:bCs/>
              </w:rPr>
            </w:pPr>
            <w:r w:rsidRPr="00D37BE2">
              <w:rPr>
                <w:b/>
                <w:bCs/>
              </w:rPr>
              <w:t>Tieslietu ministrijas 03.10.2019. iebildums:</w:t>
            </w:r>
          </w:p>
          <w:p w14:paraId="39478B8D" w14:textId="77777777" w:rsidR="00031355" w:rsidRPr="00D37BE2" w:rsidRDefault="00031355" w:rsidP="00D37BE2">
            <w:pPr>
              <w:pStyle w:val="NormalWeb"/>
              <w:spacing w:before="0" w:beforeAutospacing="0" w:after="0" w:afterAutospacing="0"/>
              <w:jc w:val="both"/>
            </w:pPr>
            <w:r w:rsidRPr="00D37BE2">
              <w:t>“5. Saskaņā ar Ministru kabineta 2009. gada 15. decembra instrukcijas Nr. 19 "Tiesību akta projekta sākotnējās ietekmes izvērtēšanas kārtība" 11.</w:t>
            </w:r>
            <w:r w:rsidRPr="00D37BE2">
              <w:rPr>
                <w:vertAlign w:val="superscript"/>
              </w:rPr>
              <w:t>1</w:t>
            </w:r>
            <w:r w:rsidRPr="00D37BE2">
              <w:t> punktu, ja saistībā ar projektu nepieciešams izdarīt grozījumus arī citos hierarhiski tāda paša līmeņa tiesību aktos, ministrija var sagatavot apvienoto anotāciju vairākiem tiesību aktiem (izņemot likumprojektus), ja tiem ir vienāds pamatojums. Apvienotās anotācijas ir izvēles iespēja, nevis obligāta prasība. Līdz ar to ikvienā gadījumā jāizvērtē to lietderība, tostarp ievērojot arī iespējamos iebildumus par daļu no savstarpēji saistītiem projektiem. Tām jābūt arī pārskatāmām un viegli uztveramām (</w:t>
            </w:r>
            <w:r w:rsidRPr="00D37BE2">
              <w:rPr>
                <w:i/>
                <w:iCs/>
              </w:rPr>
              <w:t>Izmaiņas Ministru kabineta 2009. gada 15. decembra instrukcijā Nr. 19 "Tiesību akta projekta sākotnējās ietekmes izvērtēšanas kārtība". Valsts kanceleja: apmācību semināra materiāli, 2017. gada 13.–14. decembris, 6. lpp.</w:t>
            </w:r>
            <w:r w:rsidRPr="00D37BE2">
              <w:t xml:space="preserve">). Apvienoto anotāciju raksta par vienāda veida grozījumiem ar identisku pamatojumu. Līdz ar to, ja projektā ir ietverti grozījumi, kas nav citos saistītajos Ministru kabineta noteikumu grozījumu </w:t>
            </w:r>
            <w:r w:rsidRPr="00D37BE2">
              <w:lastRenderedPageBreak/>
              <w:t>projektos, nepieciešams sagatavot atsevišķu projekta anotāciju.</w:t>
            </w:r>
          </w:p>
          <w:p w14:paraId="08C164F0" w14:textId="77777777" w:rsidR="00031355" w:rsidRPr="00D37BE2" w:rsidRDefault="00031355" w:rsidP="00D37BE2">
            <w:pPr>
              <w:pStyle w:val="NormalWeb"/>
              <w:spacing w:before="0" w:beforeAutospacing="0" w:after="0" w:afterAutospacing="0"/>
              <w:ind w:firstLine="720"/>
              <w:jc w:val="both"/>
            </w:pPr>
            <w:r w:rsidRPr="00D37BE2">
              <w:t xml:space="preserve">Projekts nav tikai redakcionāla rakstura grozījumi (piemēram, iestādes nosaukuma maiņa) un tas nesatur citiem saistītajiem Ministru kabineta noteikumu projektiem identiskus grozījumus ar vienādu pamatojumu (piemēram, Biroja struktūras un amatpersonu kompetences regulējums). Piemēram, projekta anotācijā nepieciešams skaidrot un pamatot projekta 1.8. apakšpunktā paredzētā regulējuma atbilstību Ministru kabineta 2010. gada 14. decembra ieteikumiem Nr. 2 "Valsts pārvaldes iestādes struktūras izveidošanas kārtība". </w:t>
            </w:r>
          </w:p>
          <w:p w14:paraId="6C1B504B" w14:textId="77777777" w:rsidR="00031355" w:rsidRDefault="00031355" w:rsidP="00D37BE2">
            <w:pPr>
              <w:pStyle w:val="NormalWeb"/>
              <w:spacing w:before="0" w:beforeAutospacing="0" w:after="0" w:afterAutospacing="0"/>
              <w:ind w:firstLine="720"/>
              <w:jc w:val="both"/>
            </w:pPr>
            <w:r w:rsidRPr="00D37BE2">
              <w:t>Līdz ar to lūdzam sagatavot atsevišķu projekta anotāciju. Vienlaikus precizējama projekta anotācijas IV sadaļa. Kā saistītie tiesību akti nav norādāmi likumprojekti, bet tos varētu minēt, piemēram, kā citu informāciju (projekta anotācijas IV sadaļas 3. punkts). Tāpat būs nepieciešami arī grozījumi Būvniecības likumā, precizējot Biroja nosaukumu. Iestādes nosaukums nevar būt maldinošs, neatbilst tās darbības jomām. Tādējādi lūdzam ietvert skaidrojumu arī par Biroja nosaukuma maiņu.”</w:t>
            </w:r>
          </w:p>
          <w:p w14:paraId="47DDC220" w14:textId="77777777" w:rsidR="00B16851" w:rsidRDefault="00B16851" w:rsidP="00D37BE2">
            <w:pPr>
              <w:pStyle w:val="NormalWeb"/>
              <w:spacing w:before="0" w:beforeAutospacing="0" w:after="0" w:afterAutospacing="0"/>
              <w:ind w:firstLine="720"/>
              <w:jc w:val="both"/>
            </w:pPr>
          </w:p>
          <w:p w14:paraId="079687E1" w14:textId="23EAEE3C" w:rsidR="00B16851" w:rsidRPr="00D37BE2" w:rsidRDefault="00B16851" w:rsidP="00B16851">
            <w:pPr>
              <w:pStyle w:val="naisc"/>
              <w:spacing w:before="0" w:after="0"/>
              <w:jc w:val="both"/>
              <w:rPr>
                <w:b/>
                <w:bCs/>
              </w:rPr>
            </w:pPr>
            <w:r w:rsidRPr="00D37BE2">
              <w:rPr>
                <w:b/>
                <w:bCs/>
              </w:rPr>
              <w:t xml:space="preserve">Tieslietu ministrijas </w:t>
            </w:r>
            <w:r>
              <w:rPr>
                <w:b/>
                <w:bCs/>
              </w:rPr>
              <w:t>13</w:t>
            </w:r>
            <w:r w:rsidRPr="00D37BE2">
              <w:rPr>
                <w:b/>
                <w:bCs/>
              </w:rPr>
              <w:t>.1</w:t>
            </w:r>
            <w:r>
              <w:rPr>
                <w:b/>
                <w:bCs/>
              </w:rPr>
              <w:t>1</w:t>
            </w:r>
            <w:r w:rsidRPr="00D37BE2">
              <w:rPr>
                <w:b/>
                <w:bCs/>
              </w:rPr>
              <w:t>.2019. iebildums:</w:t>
            </w:r>
          </w:p>
          <w:p w14:paraId="2728C889" w14:textId="77777777" w:rsidR="00B16851" w:rsidRDefault="00B16851" w:rsidP="00B16851">
            <w:pPr>
              <w:jc w:val="both"/>
              <w:rPr>
                <w:shd w:val="clear" w:color="auto" w:fill="FFFFFF"/>
              </w:rPr>
            </w:pPr>
            <w:r w:rsidRPr="00D37BE2">
              <w:lastRenderedPageBreak/>
              <w:t>“</w:t>
            </w:r>
            <w:r>
              <w:t xml:space="preserve">2. Lūdzam precizēt projekta anotācijas I sadaļas 2. punktu. </w:t>
            </w:r>
            <w:r>
              <w:rPr>
                <w:color w:val="000000"/>
                <w:shd w:val="clear" w:color="auto" w:fill="FFFFFF"/>
              </w:rPr>
              <w:t xml:space="preserve">Ja tiek gatavoti grozījumi normatīvajā aktā, anotācijā ir jāapraksta </w:t>
            </w:r>
            <w:r>
              <w:rPr>
                <w:u w:val="single"/>
              </w:rPr>
              <w:t>katra</w:t>
            </w:r>
            <w:r>
              <w:rPr>
                <w:color w:val="000000"/>
                <w:shd w:val="clear" w:color="auto" w:fill="FFFFFF"/>
              </w:rPr>
              <w:t xml:space="preserve"> grozījumu saturiskā bloka mērķis un būtība. Tas palīdz izsekot līdzi grozījumu gaitai un atsevišķos gadījumos arī ļauj vieglāk identificēt iepriekš pieļautās kļūdas, ja grozījumu rezultātā problēma tomēr nav novērsta un turpina pastāvēt (</w:t>
            </w:r>
            <w:r>
              <w:rPr>
                <w:i/>
                <w:iCs/>
              </w:rPr>
              <w:t xml:space="preserve">Smiltēna A., </w:t>
            </w:r>
            <w:proofErr w:type="spellStart"/>
            <w:r>
              <w:rPr>
                <w:i/>
                <w:iCs/>
              </w:rPr>
              <w:t>Bloma</w:t>
            </w:r>
            <w:proofErr w:type="spellEnd"/>
            <w:r>
              <w:rPr>
                <w:i/>
                <w:iCs/>
              </w:rPr>
              <w:t xml:space="preserve"> I. Tiesību akta projekta ietekmes sākotnējā izvērtēšana. Metodiskie norādījumi/rokasgrāmata. [</w:t>
            </w:r>
            <w:proofErr w:type="spellStart"/>
            <w:r>
              <w:rPr>
                <w:i/>
                <w:iCs/>
              </w:rPr>
              <w:t>B.v</w:t>
            </w:r>
            <w:proofErr w:type="spellEnd"/>
            <w:r>
              <w:rPr>
                <w:i/>
                <w:iCs/>
              </w:rPr>
              <w:t>.]: Valsts kanceleja, 2014, 17. lpp.</w:t>
            </w:r>
            <w:r>
              <w:rPr>
                <w:color w:val="000000"/>
                <w:shd w:val="clear" w:color="auto" w:fill="FFFFFF"/>
              </w:rPr>
              <w:t xml:space="preserve">). </w:t>
            </w:r>
          </w:p>
          <w:p w14:paraId="62A1E498" w14:textId="77777777" w:rsidR="00B16851" w:rsidRDefault="00B16851" w:rsidP="00B16851">
            <w:pPr>
              <w:ind w:firstLine="720"/>
              <w:jc w:val="both"/>
              <w:rPr>
                <w:shd w:val="clear" w:color="auto" w:fill="FFFFFF"/>
              </w:rPr>
            </w:pPr>
            <w:r>
              <w:rPr>
                <w:color w:val="000000"/>
                <w:shd w:val="clear" w:color="auto" w:fill="FFFFFF"/>
              </w:rPr>
              <w:t>Ietverot projektā jaunu iestādes uzdevumu, nepieciešams norādīt tā normatīvo pamatojumu un aprakstošu skaidrojumu par uzdevuma saturu (</w:t>
            </w:r>
            <w:r>
              <w:rPr>
                <w:i/>
                <w:iCs/>
                <w:color w:val="000000"/>
                <w:shd w:val="clear" w:color="auto" w:fill="FFFFFF"/>
              </w:rPr>
              <w:t>sal. sk., piemēram, Ministru kabineta 2017. gada 16. augusta noteikumu Nr. 474 "Tieslietu ministrijas nolikums" projekta anotāciju</w:t>
            </w:r>
            <w:r>
              <w:rPr>
                <w:color w:val="000000"/>
                <w:shd w:val="clear" w:color="auto" w:fill="FFFFFF"/>
              </w:rPr>
              <w:t>). Ne tikai projekta saskaņošanas laikā ir sarežģīti pārliecināties par projekta atbilstību likumiem, bet arī jebkuram interesantam turpmāk nebūs vienkārši sameklēt iestādes uzdevumam atbilstošu normatīvo aktu.</w:t>
            </w:r>
          </w:p>
          <w:p w14:paraId="77CB773A" w14:textId="77777777" w:rsidR="00B16851" w:rsidRDefault="00B16851" w:rsidP="00B16851">
            <w:pPr>
              <w:ind w:firstLine="720"/>
              <w:jc w:val="both"/>
              <w:rPr>
                <w:shd w:val="clear" w:color="auto" w:fill="FFFFFF"/>
              </w:rPr>
            </w:pPr>
            <w:r>
              <w:rPr>
                <w:color w:val="000000"/>
                <w:shd w:val="clear" w:color="auto" w:fill="FFFFFF"/>
              </w:rPr>
              <w:t xml:space="preserve">Piemēram, likumprojektā "Grozījumi likumā "Par zemes dzīlēm" (451/Lp13) otrajam lasījumam komisijas atbalstītajā redakcijā vairs nav tieši norādīts, ka Būvniecības valsts kontroles birojs izsniedz ogļūdeņražu meklēšanas, </w:t>
            </w:r>
            <w:r>
              <w:rPr>
                <w:color w:val="000000"/>
                <w:shd w:val="clear" w:color="auto" w:fill="FFFFFF"/>
              </w:rPr>
              <w:lastRenderedPageBreak/>
              <w:t xml:space="preserve">izpētes un ieguves licences, kā arī veic ogļūdeņražu meklēšanas, izpētes un ieguves kontroli. Līdz ar to šādu uzdevumu norāde projektā prasa atbilstošu skaidrojumu. </w:t>
            </w:r>
          </w:p>
          <w:p w14:paraId="53A9EE5F" w14:textId="77777777" w:rsidR="00B16851" w:rsidRDefault="00B16851" w:rsidP="00B16851">
            <w:pPr>
              <w:ind w:firstLine="720"/>
              <w:jc w:val="both"/>
              <w:rPr>
                <w:shd w:val="clear" w:color="auto" w:fill="FFFFFF"/>
              </w:rPr>
            </w:pPr>
            <w:r>
              <w:rPr>
                <w:color w:val="000000"/>
                <w:shd w:val="clear" w:color="auto" w:fill="FFFFFF"/>
              </w:rPr>
              <w:t xml:space="preserve">Tāpat projekta anotācijā ietvertais skaidrojums par projekta 1.8. apakšpunktā paredzēto grozījumu neatklāj tā būtību un atbilstību Ministru kabineta 2010. gada 14. decembra ieteikumu Nr. 2 "Valsts pārvaldes iestādes struktūras izveidošanas kārtība" 14. un 15. punktam. </w:t>
            </w:r>
          </w:p>
          <w:p w14:paraId="7E49EDF3" w14:textId="3095D327" w:rsidR="00B16851" w:rsidRPr="00D37BE2" w:rsidRDefault="00B16851" w:rsidP="00B16851">
            <w:pPr>
              <w:ind w:firstLine="720"/>
              <w:jc w:val="both"/>
            </w:pPr>
            <w:r>
              <w:rPr>
                <w:color w:val="000000"/>
                <w:shd w:val="clear" w:color="auto" w:fill="FFFFFF"/>
              </w:rPr>
              <w:t>Projekta anotācijā nav pamatojuma paredzētajam projekta spēkā stāšanās laikam. Ievērojot anotācijā norādīto, ka tiks mainīts iestādes nosaukums, aicinām izvērtēt pašreizējā projekta nepieciešamību.</w:t>
            </w:r>
            <w:r>
              <w:t>”</w:t>
            </w:r>
          </w:p>
        </w:tc>
        <w:tc>
          <w:tcPr>
            <w:tcW w:w="3261" w:type="dxa"/>
            <w:gridSpan w:val="2"/>
            <w:tcBorders>
              <w:left w:val="single" w:sz="6" w:space="0" w:color="000000"/>
              <w:bottom w:val="single" w:sz="4" w:space="0" w:color="auto"/>
              <w:right w:val="single" w:sz="6" w:space="0" w:color="000000"/>
            </w:tcBorders>
          </w:tcPr>
          <w:p w14:paraId="2FEDF3A4" w14:textId="77777777" w:rsidR="00031355" w:rsidRDefault="00031355" w:rsidP="00D37BE2">
            <w:pPr>
              <w:pStyle w:val="naisc"/>
              <w:spacing w:before="0" w:after="0"/>
              <w:rPr>
                <w:b/>
              </w:rPr>
            </w:pPr>
            <w:r w:rsidRPr="00D37BE2">
              <w:rPr>
                <w:b/>
              </w:rPr>
              <w:lastRenderedPageBreak/>
              <w:t>Ņemts vērā</w:t>
            </w:r>
          </w:p>
          <w:p w14:paraId="211E3E8C" w14:textId="0675E19E" w:rsidR="00B16851" w:rsidRDefault="00113DE0" w:rsidP="00113DE0">
            <w:pPr>
              <w:pStyle w:val="naisc"/>
              <w:spacing w:before="0" w:after="0"/>
              <w:jc w:val="both"/>
              <w:rPr>
                <w:b/>
              </w:rPr>
            </w:pPr>
            <w:r>
              <w:rPr>
                <w:bCs/>
              </w:rPr>
              <w:t>Anotācijas I. sadaļas 2. punktā ir saturiski skaidrota katra noteikumu projektā ietvertā grozījuma būtīb</w:t>
            </w:r>
            <w:r w:rsidR="00EE2D94">
              <w:rPr>
                <w:bCs/>
              </w:rPr>
              <w:t>a</w:t>
            </w:r>
            <w:r>
              <w:rPr>
                <w:bCs/>
              </w:rPr>
              <w:t>.</w:t>
            </w:r>
          </w:p>
          <w:p w14:paraId="0C9D59B2" w14:textId="77777777" w:rsidR="00B16851" w:rsidRDefault="00B16851" w:rsidP="00D37BE2">
            <w:pPr>
              <w:pStyle w:val="naisc"/>
              <w:spacing w:before="0" w:after="0"/>
              <w:rPr>
                <w:b/>
              </w:rPr>
            </w:pPr>
          </w:p>
          <w:p w14:paraId="47C39010" w14:textId="77777777" w:rsidR="00B16851" w:rsidRDefault="00B16851" w:rsidP="00D37BE2">
            <w:pPr>
              <w:pStyle w:val="naisc"/>
              <w:spacing w:before="0" w:after="0"/>
              <w:rPr>
                <w:b/>
              </w:rPr>
            </w:pPr>
          </w:p>
          <w:p w14:paraId="5DF3FF2F" w14:textId="77777777" w:rsidR="00B16851" w:rsidRDefault="00B16851" w:rsidP="00D37BE2">
            <w:pPr>
              <w:pStyle w:val="naisc"/>
              <w:spacing w:before="0" w:after="0"/>
              <w:rPr>
                <w:b/>
              </w:rPr>
            </w:pPr>
          </w:p>
          <w:p w14:paraId="0D76F4ED" w14:textId="77777777" w:rsidR="00B16851" w:rsidRDefault="00B16851" w:rsidP="00D37BE2">
            <w:pPr>
              <w:pStyle w:val="naisc"/>
              <w:spacing w:before="0" w:after="0"/>
              <w:rPr>
                <w:b/>
              </w:rPr>
            </w:pPr>
          </w:p>
          <w:p w14:paraId="1465E78F" w14:textId="77777777" w:rsidR="00B16851" w:rsidRDefault="00B16851" w:rsidP="00D37BE2">
            <w:pPr>
              <w:pStyle w:val="naisc"/>
              <w:spacing w:before="0" w:after="0"/>
              <w:rPr>
                <w:b/>
              </w:rPr>
            </w:pPr>
          </w:p>
          <w:p w14:paraId="232C9E49" w14:textId="77777777" w:rsidR="00B16851" w:rsidRDefault="00B16851" w:rsidP="00D37BE2">
            <w:pPr>
              <w:pStyle w:val="naisc"/>
              <w:spacing w:before="0" w:after="0"/>
              <w:rPr>
                <w:b/>
              </w:rPr>
            </w:pPr>
          </w:p>
          <w:p w14:paraId="67303BB8" w14:textId="77777777" w:rsidR="00B16851" w:rsidRDefault="00B16851" w:rsidP="00D37BE2">
            <w:pPr>
              <w:pStyle w:val="naisc"/>
              <w:spacing w:before="0" w:after="0"/>
              <w:rPr>
                <w:b/>
              </w:rPr>
            </w:pPr>
          </w:p>
          <w:p w14:paraId="20795829" w14:textId="77777777" w:rsidR="00B16851" w:rsidRDefault="00B16851" w:rsidP="00D37BE2">
            <w:pPr>
              <w:pStyle w:val="naisc"/>
              <w:spacing w:before="0" w:after="0"/>
              <w:rPr>
                <w:b/>
              </w:rPr>
            </w:pPr>
          </w:p>
          <w:p w14:paraId="7F8001C9" w14:textId="77777777" w:rsidR="00B16851" w:rsidRDefault="00B16851" w:rsidP="00D37BE2">
            <w:pPr>
              <w:pStyle w:val="naisc"/>
              <w:spacing w:before="0" w:after="0"/>
              <w:rPr>
                <w:b/>
              </w:rPr>
            </w:pPr>
          </w:p>
          <w:p w14:paraId="3A91D426" w14:textId="77777777" w:rsidR="00B16851" w:rsidRDefault="00B16851" w:rsidP="00D37BE2">
            <w:pPr>
              <w:pStyle w:val="naisc"/>
              <w:spacing w:before="0" w:after="0"/>
              <w:rPr>
                <w:b/>
              </w:rPr>
            </w:pPr>
          </w:p>
          <w:p w14:paraId="022E8E23" w14:textId="77777777" w:rsidR="00B16851" w:rsidRDefault="00B16851" w:rsidP="00D37BE2">
            <w:pPr>
              <w:pStyle w:val="naisc"/>
              <w:spacing w:before="0" w:after="0"/>
              <w:rPr>
                <w:b/>
              </w:rPr>
            </w:pPr>
          </w:p>
          <w:p w14:paraId="2136597F" w14:textId="77777777" w:rsidR="00B16851" w:rsidRDefault="00B16851" w:rsidP="00D37BE2">
            <w:pPr>
              <w:pStyle w:val="naisc"/>
              <w:spacing w:before="0" w:after="0"/>
              <w:rPr>
                <w:b/>
              </w:rPr>
            </w:pPr>
          </w:p>
          <w:p w14:paraId="473B3848" w14:textId="77777777" w:rsidR="00B16851" w:rsidRDefault="00B16851" w:rsidP="00D37BE2">
            <w:pPr>
              <w:pStyle w:val="naisc"/>
              <w:spacing w:before="0" w:after="0"/>
              <w:rPr>
                <w:b/>
              </w:rPr>
            </w:pPr>
          </w:p>
          <w:p w14:paraId="64CF006A" w14:textId="77777777" w:rsidR="00B16851" w:rsidRDefault="00B16851" w:rsidP="00D37BE2">
            <w:pPr>
              <w:pStyle w:val="naisc"/>
              <w:spacing w:before="0" w:after="0"/>
              <w:rPr>
                <w:b/>
              </w:rPr>
            </w:pPr>
          </w:p>
          <w:p w14:paraId="3793D379" w14:textId="77777777" w:rsidR="00B16851" w:rsidRDefault="00B16851" w:rsidP="00D37BE2">
            <w:pPr>
              <w:pStyle w:val="naisc"/>
              <w:spacing w:before="0" w:after="0"/>
              <w:rPr>
                <w:b/>
              </w:rPr>
            </w:pPr>
          </w:p>
          <w:p w14:paraId="3DFFA664" w14:textId="77777777" w:rsidR="00B16851" w:rsidRDefault="00B16851" w:rsidP="00D37BE2">
            <w:pPr>
              <w:pStyle w:val="naisc"/>
              <w:spacing w:before="0" w:after="0"/>
              <w:rPr>
                <w:b/>
              </w:rPr>
            </w:pPr>
          </w:p>
          <w:p w14:paraId="599D69EA" w14:textId="77777777" w:rsidR="00B16851" w:rsidRDefault="00B16851" w:rsidP="00D37BE2">
            <w:pPr>
              <w:pStyle w:val="naisc"/>
              <w:spacing w:before="0" w:after="0"/>
              <w:rPr>
                <w:b/>
              </w:rPr>
            </w:pPr>
          </w:p>
          <w:p w14:paraId="050E6B3F" w14:textId="77777777" w:rsidR="00B16851" w:rsidRDefault="00B16851" w:rsidP="00D37BE2">
            <w:pPr>
              <w:pStyle w:val="naisc"/>
              <w:spacing w:before="0" w:after="0"/>
              <w:rPr>
                <w:b/>
              </w:rPr>
            </w:pPr>
          </w:p>
          <w:p w14:paraId="2CF4624A" w14:textId="77777777" w:rsidR="00B16851" w:rsidRDefault="00B16851" w:rsidP="00D37BE2">
            <w:pPr>
              <w:pStyle w:val="naisc"/>
              <w:spacing w:before="0" w:after="0"/>
              <w:rPr>
                <w:b/>
              </w:rPr>
            </w:pPr>
          </w:p>
          <w:p w14:paraId="51D62501" w14:textId="77777777" w:rsidR="00B16851" w:rsidRDefault="00B16851" w:rsidP="00D37BE2">
            <w:pPr>
              <w:pStyle w:val="naisc"/>
              <w:spacing w:before="0" w:after="0"/>
              <w:rPr>
                <w:b/>
              </w:rPr>
            </w:pPr>
          </w:p>
          <w:p w14:paraId="55C28136" w14:textId="77777777" w:rsidR="00B16851" w:rsidRDefault="00B16851" w:rsidP="00D37BE2">
            <w:pPr>
              <w:pStyle w:val="naisc"/>
              <w:spacing w:before="0" w:after="0"/>
              <w:rPr>
                <w:b/>
              </w:rPr>
            </w:pPr>
          </w:p>
          <w:p w14:paraId="3E2BD0E1" w14:textId="77777777" w:rsidR="00B16851" w:rsidRDefault="00B16851" w:rsidP="00D37BE2">
            <w:pPr>
              <w:pStyle w:val="naisc"/>
              <w:spacing w:before="0" w:after="0"/>
              <w:rPr>
                <w:b/>
              </w:rPr>
            </w:pPr>
          </w:p>
          <w:p w14:paraId="3D7E7CF5" w14:textId="77777777" w:rsidR="00B16851" w:rsidRDefault="00B16851" w:rsidP="00D37BE2">
            <w:pPr>
              <w:pStyle w:val="naisc"/>
              <w:spacing w:before="0" w:after="0"/>
              <w:rPr>
                <w:b/>
              </w:rPr>
            </w:pPr>
          </w:p>
          <w:p w14:paraId="021142AF" w14:textId="77777777" w:rsidR="00B16851" w:rsidRDefault="00B16851" w:rsidP="00D37BE2">
            <w:pPr>
              <w:pStyle w:val="naisc"/>
              <w:spacing w:before="0" w:after="0"/>
              <w:rPr>
                <w:b/>
              </w:rPr>
            </w:pPr>
          </w:p>
          <w:p w14:paraId="5AA7AF65" w14:textId="77777777" w:rsidR="00B16851" w:rsidRDefault="00B16851" w:rsidP="00D37BE2">
            <w:pPr>
              <w:pStyle w:val="naisc"/>
              <w:spacing w:before="0" w:after="0"/>
              <w:rPr>
                <w:b/>
              </w:rPr>
            </w:pPr>
          </w:p>
          <w:p w14:paraId="29F33F06" w14:textId="77777777" w:rsidR="00B16851" w:rsidRDefault="00B16851" w:rsidP="00D37BE2">
            <w:pPr>
              <w:pStyle w:val="naisc"/>
              <w:spacing w:before="0" w:after="0"/>
              <w:rPr>
                <w:b/>
              </w:rPr>
            </w:pPr>
          </w:p>
          <w:p w14:paraId="7D70E67D" w14:textId="77777777" w:rsidR="00B16851" w:rsidRDefault="00B16851" w:rsidP="00D37BE2">
            <w:pPr>
              <w:pStyle w:val="naisc"/>
              <w:spacing w:before="0" w:after="0"/>
              <w:rPr>
                <w:b/>
              </w:rPr>
            </w:pPr>
          </w:p>
          <w:p w14:paraId="1C61637A" w14:textId="77777777" w:rsidR="00B16851" w:rsidRDefault="00B16851" w:rsidP="00D37BE2">
            <w:pPr>
              <w:pStyle w:val="naisc"/>
              <w:spacing w:before="0" w:after="0"/>
              <w:rPr>
                <w:b/>
              </w:rPr>
            </w:pPr>
          </w:p>
          <w:p w14:paraId="19A6D482" w14:textId="77777777" w:rsidR="00B16851" w:rsidRDefault="00B16851" w:rsidP="00D37BE2">
            <w:pPr>
              <w:pStyle w:val="naisc"/>
              <w:spacing w:before="0" w:after="0"/>
              <w:rPr>
                <w:b/>
              </w:rPr>
            </w:pPr>
          </w:p>
          <w:p w14:paraId="3A7A0F0B" w14:textId="77777777" w:rsidR="00B16851" w:rsidRDefault="00B16851" w:rsidP="00D37BE2">
            <w:pPr>
              <w:pStyle w:val="naisc"/>
              <w:spacing w:before="0" w:after="0"/>
              <w:rPr>
                <w:b/>
              </w:rPr>
            </w:pPr>
          </w:p>
          <w:p w14:paraId="4AC9F4BB" w14:textId="77777777" w:rsidR="00B16851" w:rsidRDefault="00B16851" w:rsidP="00D37BE2">
            <w:pPr>
              <w:pStyle w:val="naisc"/>
              <w:spacing w:before="0" w:after="0"/>
              <w:rPr>
                <w:b/>
              </w:rPr>
            </w:pPr>
          </w:p>
          <w:p w14:paraId="65CCABE1" w14:textId="77777777" w:rsidR="00B16851" w:rsidRDefault="00B16851" w:rsidP="00D37BE2">
            <w:pPr>
              <w:pStyle w:val="naisc"/>
              <w:spacing w:before="0" w:after="0"/>
              <w:rPr>
                <w:b/>
              </w:rPr>
            </w:pPr>
          </w:p>
          <w:p w14:paraId="036219F9" w14:textId="77777777" w:rsidR="00B16851" w:rsidRDefault="00B16851" w:rsidP="00D37BE2">
            <w:pPr>
              <w:pStyle w:val="naisc"/>
              <w:spacing w:before="0" w:after="0"/>
              <w:rPr>
                <w:b/>
              </w:rPr>
            </w:pPr>
          </w:p>
          <w:p w14:paraId="252E5027" w14:textId="77777777" w:rsidR="00B16851" w:rsidRDefault="00B16851" w:rsidP="00D37BE2">
            <w:pPr>
              <w:pStyle w:val="naisc"/>
              <w:spacing w:before="0" w:after="0"/>
              <w:rPr>
                <w:b/>
              </w:rPr>
            </w:pPr>
          </w:p>
          <w:p w14:paraId="4635807D" w14:textId="77777777" w:rsidR="00B16851" w:rsidRDefault="00B16851" w:rsidP="00D37BE2">
            <w:pPr>
              <w:pStyle w:val="naisc"/>
              <w:spacing w:before="0" w:after="0"/>
              <w:rPr>
                <w:b/>
              </w:rPr>
            </w:pPr>
          </w:p>
          <w:p w14:paraId="46D876C8" w14:textId="77777777" w:rsidR="00B16851" w:rsidRDefault="00B16851" w:rsidP="00D37BE2">
            <w:pPr>
              <w:pStyle w:val="naisc"/>
              <w:spacing w:before="0" w:after="0"/>
              <w:rPr>
                <w:b/>
              </w:rPr>
            </w:pPr>
          </w:p>
          <w:p w14:paraId="4E7103DC" w14:textId="77777777" w:rsidR="00B16851" w:rsidRDefault="00B16851" w:rsidP="00D37BE2">
            <w:pPr>
              <w:pStyle w:val="naisc"/>
              <w:spacing w:before="0" w:after="0"/>
              <w:rPr>
                <w:b/>
              </w:rPr>
            </w:pPr>
          </w:p>
          <w:p w14:paraId="0B0C4F69" w14:textId="77777777" w:rsidR="00B16851" w:rsidRDefault="00B16851" w:rsidP="00D37BE2">
            <w:pPr>
              <w:pStyle w:val="naisc"/>
              <w:spacing w:before="0" w:after="0"/>
              <w:rPr>
                <w:b/>
              </w:rPr>
            </w:pPr>
          </w:p>
          <w:p w14:paraId="634BA446" w14:textId="77777777" w:rsidR="00B16851" w:rsidRDefault="00B16851" w:rsidP="00D37BE2">
            <w:pPr>
              <w:pStyle w:val="naisc"/>
              <w:spacing w:before="0" w:after="0"/>
              <w:rPr>
                <w:b/>
              </w:rPr>
            </w:pPr>
          </w:p>
          <w:p w14:paraId="166BEB4A" w14:textId="77777777" w:rsidR="00B16851" w:rsidRDefault="00B16851" w:rsidP="00D37BE2">
            <w:pPr>
              <w:pStyle w:val="naisc"/>
              <w:spacing w:before="0" w:after="0"/>
              <w:rPr>
                <w:b/>
              </w:rPr>
            </w:pPr>
          </w:p>
          <w:p w14:paraId="1900A88F" w14:textId="77777777" w:rsidR="00B16851" w:rsidRDefault="00B16851" w:rsidP="00D37BE2">
            <w:pPr>
              <w:pStyle w:val="naisc"/>
              <w:spacing w:before="0" w:after="0"/>
              <w:rPr>
                <w:b/>
              </w:rPr>
            </w:pPr>
          </w:p>
          <w:p w14:paraId="7F78EF4C" w14:textId="77777777" w:rsidR="00B16851" w:rsidRDefault="00B16851" w:rsidP="00D37BE2">
            <w:pPr>
              <w:pStyle w:val="naisc"/>
              <w:spacing w:before="0" w:after="0"/>
              <w:rPr>
                <w:b/>
              </w:rPr>
            </w:pPr>
          </w:p>
          <w:p w14:paraId="40B36039" w14:textId="77777777" w:rsidR="00B16851" w:rsidRDefault="00B16851" w:rsidP="00D37BE2">
            <w:pPr>
              <w:pStyle w:val="naisc"/>
              <w:spacing w:before="0" w:after="0"/>
              <w:rPr>
                <w:b/>
              </w:rPr>
            </w:pPr>
          </w:p>
          <w:p w14:paraId="7AE84FD8" w14:textId="77777777" w:rsidR="00B16851" w:rsidRDefault="00B16851" w:rsidP="00D37BE2">
            <w:pPr>
              <w:pStyle w:val="naisc"/>
              <w:spacing w:before="0" w:after="0"/>
              <w:rPr>
                <w:b/>
              </w:rPr>
            </w:pPr>
          </w:p>
          <w:p w14:paraId="2B0F5CA5" w14:textId="77777777" w:rsidR="00B16851" w:rsidRDefault="00B16851" w:rsidP="00D37BE2">
            <w:pPr>
              <w:pStyle w:val="naisc"/>
              <w:spacing w:before="0" w:after="0"/>
              <w:rPr>
                <w:b/>
              </w:rPr>
            </w:pPr>
          </w:p>
          <w:p w14:paraId="50C1C553" w14:textId="77777777" w:rsidR="00B16851" w:rsidRDefault="00B16851" w:rsidP="00D37BE2">
            <w:pPr>
              <w:pStyle w:val="naisc"/>
              <w:spacing w:before="0" w:after="0"/>
              <w:rPr>
                <w:b/>
              </w:rPr>
            </w:pPr>
          </w:p>
          <w:p w14:paraId="28AFD2B6" w14:textId="77777777" w:rsidR="00B16851" w:rsidRDefault="00B16851" w:rsidP="00D37BE2">
            <w:pPr>
              <w:pStyle w:val="naisc"/>
              <w:spacing w:before="0" w:after="0"/>
              <w:rPr>
                <w:b/>
              </w:rPr>
            </w:pPr>
          </w:p>
          <w:p w14:paraId="57E576AC" w14:textId="77777777" w:rsidR="00B16851" w:rsidRDefault="00B16851" w:rsidP="00D37BE2">
            <w:pPr>
              <w:pStyle w:val="naisc"/>
              <w:spacing w:before="0" w:after="0"/>
              <w:rPr>
                <w:b/>
              </w:rPr>
            </w:pPr>
          </w:p>
          <w:p w14:paraId="296844FB" w14:textId="77777777" w:rsidR="00B16851" w:rsidRDefault="00B16851" w:rsidP="00D37BE2">
            <w:pPr>
              <w:pStyle w:val="naisc"/>
              <w:spacing w:before="0" w:after="0"/>
              <w:rPr>
                <w:b/>
              </w:rPr>
            </w:pPr>
          </w:p>
          <w:p w14:paraId="30F66FAF" w14:textId="77777777" w:rsidR="00B16851" w:rsidRDefault="00B16851" w:rsidP="00D37BE2">
            <w:pPr>
              <w:pStyle w:val="naisc"/>
              <w:spacing w:before="0" w:after="0"/>
              <w:rPr>
                <w:b/>
              </w:rPr>
            </w:pPr>
          </w:p>
          <w:p w14:paraId="75579BC9" w14:textId="77777777" w:rsidR="00B16851" w:rsidRDefault="00B16851" w:rsidP="00D37BE2">
            <w:pPr>
              <w:pStyle w:val="naisc"/>
              <w:spacing w:before="0" w:after="0"/>
              <w:rPr>
                <w:b/>
              </w:rPr>
            </w:pPr>
          </w:p>
          <w:p w14:paraId="504D0399" w14:textId="77777777" w:rsidR="00B16851" w:rsidRDefault="00B16851" w:rsidP="00D37BE2">
            <w:pPr>
              <w:pStyle w:val="naisc"/>
              <w:spacing w:before="0" w:after="0"/>
              <w:rPr>
                <w:b/>
              </w:rPr>
            </w:pPr>
          </w:p>
          <w:p w14:paraId="6B46478D" w14:textId="77777777" w:rsidR="00B16851" w:rsidRDefault="00B16851" w:rsidP="00D37BE2">
            <w:pPr>
              <w:pStyle w:val="naisc"/>
              <w:spacing w:before="0" w:after="0"/>
              <w:rPr>
                <w:b/>
              </w:rPr>
            </w:pPr>
          </w:p>
          <w:p w14:paraId="1A4762B3" w14:textId="77777777" w:rsidR="00B16851" w:rsidRDefault="00B16851" w:rsidP="00D37BE2">
            <w:pPr>
              <w:pStyle w:val="naisc"/>
              <w:spacing w:before="0" w:after="0"/>
              <w:rPr>
                <w:b/>
              </w:rPr>
            </w:pPr>
          </w:p>
          <w:p w14:paraId="4A4CF776" w14:textId="77777777" w:rsidR="00B16851" w:rsidRDefault="00B16851" w:rsidP="00D37BE2">
            <w:pPr>
              <w:pStyle w:val="naisc"/>
              <w:spacing w:before="0" w:after="0"/>
              <w:rPr>
                <w:b/>
              </w:rPr>
            </w:pPr>
          </w:p>
          <w:p w14:paraId="397340B8" w14:textId="77777777" w:rsidR="00B16851" w:rsidRDefault="00B16851" w:rsidP="00B16851">
            <w:pPr>
              <w:pStyle w:val="naisc"/>
              <w:spacing w:before="0" w:after="0"/>
              <w:rPr>
                <w:b/>
              </w:rPr>
            </w:pPr>
            <w:r>
              <w:rPr>
                <w:b/>
              </w:rPr>
              <w:t>Ņemts vērā</w:t>
            </w:r>
          </w:p>
          <w:p w14:paraId="15869D07" w14:textId="3DE61EED" w:rsidR="00113DE0" w:rsidRDefault="00113DE0" w:rsidP="00113DE0">
            <w:pPr>
              <w:pStyle w:val="naisc"/>
              <w:spacing w:before="0" w:after="0"/>
              <w:jc w:val="both"/>
              <w:rPr>
                <w:b/>
              </w:rPr>
            </w:pPr>
            <w:r>
              <w:rPr>
                <w:bCs/>
              </w:rPr>
              <w:t xml:space="preserve">Anotācijas I. sadaļas 2. punktā ir saturiski skaidrota katra </w:t>
            </w:r>
            <w:r>
              <w:rPr>
                <w:bCs/>
              </w:rPr>
              <w:lastRenderedPageBreak/>
              <w:t>noteikumu projektā ietvertā grozījuma būtīb</w:t>
            </w:r>
            <w:r w:rsidR="00EE2D94">
              <w:rPr>
                <w:bCs/>
              </w:rPr>
              <w:t>a</w:t>
            </w:r>
            <w:r>
              <w:rPr>
                <w:bCs/>
              </w:rPr>
              <w:t>.</w:t>
            </w:r>
          </w:p>
          <w:p w14:paraId="753A8E44" w14:textId="212F94FC" w:rsidR="00113DE0" w:rsidRPr="00B16851" w:rsidRDefault="00113DE0" w:rsidP="00B16851">
            <w:pPr>
              <w:pStyle w:val="naisc"/>
              <w:spacing w:before="0" w:after="0"/>
              <w:rPr>
                <w:bCs/>
              </w:rPr>
            </w:pPr>
          </w:p>
        </w:tc>
        <w:tc>
          <w:tcPr>
            <w:tcW w:w="2912" w:type="dxa"/>
            <w:tcBorders>
              <w:top w:val="single" w:sz="4" w:space="0" w:color="auto"/>
              <w:left w:val="single" w:sz="4" w:space="0" w:color="auto"/>
              <w:bottom w:val="single" w:sz="4" w:space="0" w:color="auto"/>
            </w:tcBorders>
          </w:tcPr>
          <w:p w14:paraId="6270C4CE" w14:textId="78E2F9BD" w:rsidR="00B16851" w:rsidRPr="00D37BE2" w:rsidRDefault="00031355" w:rsidP="00B71382">
            <w:pPr>
              <w:pStyle w:val="ListParagraph"/>
              <w:shd w:val="clear" w:color="auto" w:fill="FFFFFF"/>
              <w:tabs>
                <w:tab w:val="left" w:pos="993"/>
              </w:tabs>
              <w:spacing w:after="0" w:line="240" w:lineRule="auto"/>
              <w:ind w:left="0"/>
              <w:jc w:val="both"/>
              <w:rPr>
                <w:rFonts w:ascii="Times New Roman" w:hAnsi="Times New Roman"/>
                <w:sz w:val="24"/>
                <w:szCs w:val="24"/>
                <w:lang w:eastAsia="lv-LV"/>
              </w:rPr>
            </w:pPr>
            <w:r w:rsidRPr="00D37BE2">
              <w:rPr>
                <w:rFonts w:ascii="Times New Roman" w:hAnsi="Times New Roman"/>
                <w:sz w:val="24"/>
                <w:szCs w:val="24"/>
                <w:lang w:eastAsia="lv-LV"/>
              </w:rPr>
              <w:lastRenderedPageBreak/>
              <w:t>Sagatavota atsevišķa noteikumu projekta anotācija.</w:t>
            </w:r>
          </w:p>
        </w:tc>
      </w:tr>
      <w:tr w:rsidR="00D37BE2" w:rsidRPr="00D37BE2" w14:paraId="43B6CF7C"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1836A0D1" w14:textId="77777777" w:rsidR="006A4D92" w:rsidRPr="00D37BE2" w:rsidRDefault="006A4D92" w:rsidP="00D37BE2"/>
          <w:p w14:paraId="40B03A3B" w14:textId="00A01447" w:rsidR="007132C5" w:rsidRPr="00D37BE2" w:rsidRDefault="003B71E0" w:rsidP="00D37BE2">
            <w:r w:rsidRPr="00D37BE2">
              <w:br w:type="page"/>
            </w:r>
            <w:r w:rsidR="007132C5" w:rsidRPr="00D37BE2">
              <w:t>Līga Mičule</w:t>
            </w:r>
          </w:p>
        </w:tc>
      </w:tr>
      <w:tr w:rsidR="00D37BE2" w:rsidRPr="00D37BE2" w14:paraId="11C8094E"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30499439" w14:textId="77777777" w:rsidR="008655A2" w:rsidRPr="00D37BE2" w:rsidRDefault="00184479" w:rsidP="00D37BE2">
            <w:pPr>
              <w:jc w:val="center"/>
            </w:pPr>
            <w:r w:rsidRPr="00D37BE2">
              <w:t>(</w:t>
            </w:r>
            <w:r w:rsidR="008655A2" w:rsidRPr="00D37BE2">
              <w:t xml:space="preserve">par projektu atbildīgās amatpersonas </w:t>
            </w:r>
            <w:r w:rsidRPr="00D37BE2">
              <w:t xml:space="preserve">vārds un </w:t>
            </w:r>
            <w:r w:rsidR="008655A2" w:rsidRPr="00D37BE2">
              <w:t>uzvārds</w:t>
            </w:r>
            <w:r w:rsidRPr="00D37BE2">
              <w:t>)</w:t>
            </w:r>
          </w:p>
        </w:tc>
      </w:tr>
      <w:tr w:rsidR="00D37BE2" w:rsidRPr="00D37BE2" w14:paraId="6DAD4263"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4219AA76" w14:textId="6EB07493" w:rsidR="008655A2" w:rsidRPr="00D37BE2" w:rsidRDefault="007132C5" w:rsidP="00D37BE2">
            <w:r w:rsidRPr="00D37BE2">
              <w:t>Vecākā eksperte</w:t>
            </w:r>
          </w:p>
        </w:tc>
      </w:tr>
      <w:tr w:rsidR="00D37BE2" w:rsidRPr="00D37BE2" w14:paraId="588EEC32"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2AD8C1C8" w14:textId="77777777" w:rsidR="008655A2" w:rsidRPr="00D37BE2" w:rsidRDefault="00184479" w:rsidP="00D37BE2">
            <w:pPr>
              <w:jc w:val="center"/>
            </w:pPr>
            <w:r w:rsidRPr="00D37BE2">
              <w:t>(</w:t>
            </w:r>
            <w:r w:rsidR="008655A2" w:rsidRPr="00D37BE2">
              <w:t>amats</w:t>
            </w:r>
            <w:r w:rsidRPr="00D37BE2">
              <w:t>)</w:t>
            </w:r>
          </w:p>
        </w:tc>
      </w:tr>
      <w:tr w:rsidR="00D37BE2" w:rsidRPr="00D37BE2" w14:paraId="1B862767"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7E08327F" w14:textId="620BD79E" w:rsidR="007206C1" w:rsidRPr="007206C1" w:rsidRDefault="007132C5" w:rsidP="007206C1">
            <w:r w:rsidRPr="00D37BE2">
              <w:t>67013030</w:t>
            </w:r>
          </w:p>
        </w:tc>
      </w:tr>
      <w:tr w:rsidR="00D37BE2" w:rsidRPr="00D37BE2" w14:paraId="631FCA04"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04A2583D" w14:textId="77777777" w:rsidR="008655A2" w:rsidRPr="00D37BE2" w:rsidRDefault="00184479" w:rsidP="00D37BE2">
            <w:pPr>
              <w:jc w:val="center"/>
            </w:pPr>
            <w:r w:rsidRPr="00D37BE2">
              <w:t>(</w:t>
            </w:r>
            <w:r w:rsidR="008655A2" w:rsidRPr="00D37BE2">
              <w:t>tālruņa un faksa numurs</w:t>
            </w:r>
            <w:r w:rsidRPr="00D37BE2">
              <w:t>)</w:t>
            </w:r>
          </w:p>
        </w:tc>
      </w:tr>
      <w:tr w:rsidR="00D37BE2" w:rsidRPr="00D37BE2" w14:paraId="7115E50D"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5595DB96" w14:textId="446111AD" w:rsidR="008655A2" w:rsidRPr="00D37BE2" w:rsidRDefault="007132C5" w:rsidP="00D37BE2">
            <w:r w:rsidRPr="00D37BE2">
              <w:t>Liga.Micule@em.gov.lv</w:t>
            </w:r>
          </w:p>
        </w:tc>
      </w:tr>
      <w:tr w:rsidR="00D37BE2" w:rsidRPr="00D37BE2" w14:paraId="76984F2B"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70012293" w14:textId="77777777" w:rsidR="008655A2" w:rsidRPr="00D37BE2" w:rsidRDefault="00184479" w:rsidP="00D37BE2">
            <w:pPr>
              <w:jc w:val="center"/>
            </w:pPr>
            <w:r w:rsidRPr="00D37BE2">
              <w:t>(</w:t>
            </w:r>
            <w:r w:rsidR="008655A2" w:rsidRPr="00D37BE2">
              <w:t>e-pasta adrese</w:t>
            </w:r>
            <w:r w:rsidRPr="00D37BE2">
              <w:t>)</w:t>
            </w:r>
          </w:p>
        </w:tc>
      </w:tr>
    </w:tbl>
    <w:p w14:paraId="2D1D7382" w14:textId="77777777" w:rsidR="003B71E0" w:rsidRPr="00D37BE2" w:rsidRDefault="003B71E0" w:rsidP="00113DE0">
      <w:pPr>
        <w:pStyle w:val="naisf"/>
        <w:spacing w:before="0" w:after="0"/>
        <w:ind w:firstLine="0"/>
        <w:jc w:val="left"/>
      </w:pPr>
    </w:p>
    <w:sectPr w:rsidR="003B71E0" w:rsidRPr="00D37BE2"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5CB92" w14:textId="77777777" w:rsidR="00B23C50" w:rsidRDefault="00B23C50">
      <w:r>
        <w:separator/>
      </w:r>
    </w:p>
  </w:endnote>
  <w:endnote w:type="continuationSeparator" w:id="0">
    <w:p w14:paraId="3343F063" w14:textId="77777777" w:rsidR="00B23C50" w:rsidRDefault="00B2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5D4C" w14:textId="1E01BC95" w:rsidR="006455E7" w:rsidRPr="00143668" w:rsidRDefault="00214EB4" w:rsidP="003E0C78">
    <w:pPr>
      <w:pStyle w:val="Footer"/>
    </w:pPr>
    <w:r>
      <w:fldChar w:fldCharType="begin"/>
    </w:r>
    <w:r>
      <w:instrText xml:space="preserve"> FILENAME   \* MERGEFORMAT </w:instrText>
    </w:r>
    <w:r>
      <w:fldChar w:fldCharType="separate"/>
    </w:r>
    <w:r w:rsidR="00600639">
      <w:rPr>
        <w:noProof/>
      </w:rPr>
      <w:t>EMIzz_041219_groz576.docx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E99A" w14:textId="47629E16" w:rsidR="006455E7" w:rsidRPr="00143668" w:rsidRDefault="00214EB4" w:rsidP="003E0C78">
    <w:pPr>
      <w:pStyle w:val="Footer"/>
    </w:pPr>
    <w:r>
      <w:fldChar w:fldCharType="begin"/>
    </w:r>
    <w:r>
      <w:instrText xml:space="preserve"> FILENAME   \* MERGEFORMAT </w:instrText>
    </w:r>
    <w:r>
      <w:fldChar w:fldCharType="separate"/>
    </w:r>
    <w:r w:rsidR="00600639">
      <w:rPr>
        <w:noProof/>
      </w:rPr>
      <w:t>EMIzz_041219_groz576.docx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FC1FB" w14:textId="77777777" w:rsidR="00B23C50" w:rsidRDefault="00B23C50">
      <w:r>
        <w:separator/>
      </w:r>
    </w:p>
  </w:footnote>
  <w:footnote w:type="continuationSeparator" w:id="0">
    <w:p w14:paraId="0F5F9186" w14:textId="77777777" w:rsidR="00B23C50" w:rsidRDefault="00B23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9EFC"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A60D81"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23D8"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CC6">
      <w:rPr>
        <w:rStyle w:val="PageNumber"/>
        <w:noProof/>
      </w:rPr>
      <w:t>3</w:t>
    </w:r>
    <w:r>
      <w:rPr>
        <w:rStyle w:val="PageNumber"/>
      </w:rPr>
      <w:fldChar w:fldCharType="end"/>
    </w:r>
  </w:p>
  <w:p w14:paraId="3CE7FB5F"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5BEB"/>
    <w:multiLevelType w:val="hybridMultilevel"/>
    <w:tmpl w:val="EB166E5E"/>
    <w:lvl w:ilvl="0" w:tplc="8D6854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C21B44"/>
    <w:multiLevelType w:val="hybridMultilevel"/>
    <w:tmpl w:val="90E2D65C"/>
    <w:lvl w:ilvl="0" w:tplc="B7B29F9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773"/>
    <w:rsid w:val="00006BF1"/>
    <w:rsid w:val="0001118D"/>
    <w:rsid w:val="0001131F"/>
    <w:rsid w:val="00011663"/>
    <w:rsid w:val="0001249F"/>
    <w:rsid w:val="000125C0"/>
    <w:rsid w:val="0001270C"/>
    <w:rsid w:val="000136AA"/>
    <w:rsid w:val="00013B4C"/>
    <w:rsid w:val="00013BF6"/>
    <w:rsid w:val="0001554C"/>
    <w:rsid w:val="00015B94"/>
    <w:rsid w:val="00015DE5"/>
    <w:rsid w:val="00016E0F"/>
    <w:rsid w:val="000172E2"/>
    <w:rsid w:val="00017449"/>
    <w:rsid w:val="00020249"/>
    <w:rsid w:val="00022338"/>
    <w:rsid w:val="0002296A"/>
    <w:rsid w:val="00022B0F"/>
    <w:rsid w:val="00022B9A"/>
    <w:rsid w:val="00023FD6"/>
    <w:rsid w:val="0002416A"/>
    <w:rsid w:val="00024CCD"/>
    <w:rsid w:val="00024D20"/>
    <w:rsid w:val="000253DB"/>
    <w:rsid w:val="000258AF"/>
    <w:rsid w:val="000278E7"/>
    <w:rsid w:val="00027A63"/>
    <w:rsid w:val="00027F9D"/>
    <w:rsid w:val="000307B5"/>
    <w:rsid w:val="0003135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675DA"/>
    <w:rsid w:val="00072628"/>
    <w:rsid w:val="000728ED"/>
    <w:rsid w:val="000733F5"/>
    <w:rsid w:val="000733FF"/>
    <w:rsid w:val="00073E41"/>
    <w:rsid w:val="0007577A"/>
    <w:rsid w:val="000775D0"/>
    <w:rsid w:val="00081B0F"/>
    <w:rsid w:val="0008283D"/>
    <w:rsid w:val="00083090"/>
    <w:rsid w:val="00083214"/>
    <w:rsid w:val="000836FE"/>
    <w:rsid w:val="00083B8F"/>
    <w:rsid w:val="00084B11"/>
    <w:rsid w:val="00085322"/>
    <w:rsid w:val="0008656F"/>
    <w:rsid w:val="00086AB9"/>
    <w:rsid w:val="00086BCE"/>
    <w:rsid w:val="00086F36"/>
    <w:rsid w:val="00090168"/>
    <w:rsid w:val="00090C76"/>
    <w:rsid w:val="00091033"/>
    <w:rsid w:val="0009136A"/>
    <w:rsid w:val="00091F10"/>
    <w:rsid w:val="0009302B"/>
    <w:rsid w:val="00093EC2"/>
    <w:rsid w:val="000958A2"/>
    <w:rsid w:val="000965E7"/>
    <w:rsid w:val="0009769D"/>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F83"/>
    <w:rsid w:val="000B7966"/>
    <w:rsid w:val="000B7CB1"/>
    <w:rsid w:val="000C0AE6"/>
    <w:rsid w:val="000C0D0D"/>
    <w:rsid w:val="000C2555"/>
    <w:rsid w:val="000C3545"/>
    <w:rsid w:val="000C41AA"/>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CA8"/>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3DE0"/>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68"/>
    <w:rsid w:val="001436B3"/>
    <w:rsid w:val="00143976"/>
    <w:rsid w:val="00143DAC"/>
    <w:rsid w:val="00144622"/>
    <w:rsid w:val="00144781"/>
    <w:rsid w:val="00144917"/>
    <w:rsid w:val="0014702D"/>
    <w:rsid w:val="00147596"/>
    <w:rsid w:val="00152718"/>
    <w:rsid w:val="001530CF"/>
    <w:rsid w:val="00153F12"/>
    <w:rsid w:val="001543DB"/>
    <w:rsid w:val="001546C8"/>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1BA"/>
    <w:rsid w:val="00181BAA"/>
    <w:rsid w:val="00181D2D"/>
    <w:rsid w:val="0018210A"/>
    <w:rsid w:val="00182DE0"/>
    <w:rsid w:val="0018386C"/>
    <w:rsid w:val="00184479"/>
    <w:rsid w:val="0018472C"/>
    <w:rsid w:val="00184838"/>
    <w:rsid w:val="00185755"/>
    <w:rsid w:val="00187398"/>
    <w:rsid w:val="00187F73"/>
    <w:rsid w:val="00187FB0"/>
    <w:rsid w:val="0019008A"/>
    <w:rsid w:val="001902E9"/>
    <w:rsid w:val="00190327"/>
    <w:rsid w:val="00190A0A"/>
    <w:rsid w:val="001926F2"/>
    <w:rsid w:val="00193BCE"/>
    <w:rsid w:val="00194B87"/>
    <w:rsid w:val="0019569A"/>
    <w:rsid w:val="00195962"/>
    <w:rsid w:val="00197533"/>
    <w:rsid w:val="001977E7"/>
    <w:rsid w:val="00197CCA"/>
    <w:rsid w:val="001A0D8A"/>
    <w:rsid w:val="001A0F78"/>
    <w:rsid w:val="001A137E"/>
    <w:rsid w:val="001A192D"/>
    <w:rsid w:val="001A7BA3"/>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DCB"/>
    <w:rsid w:val="001D2FD0"/>
    <w:rsid w:val="001D3830"/>
    <w:rsid w:val="001D3BA6"/>
    <w:rsid w:val="001D5564"/>
    <w:rsid w:val="001D6FAA"/>
    <w:rsid w:val="001D70FA"/>
    <w:rsid w:val="001D7BA9"/>
    <w:rsid w:val="001D7C04"/>
    <w:rsid w:val="001E039D"/>
    <w:rsid w:val="001E04CA"/>
    <w:rsid w:val="001E22E7"/>
    <w:rsid w:val="001E2714"/>
    <w:rsid w:val="001E398C"/>
    <w:rsid w:val="001E4456"/>
    <w:rsid w:val="001E4D63"/>
    <w:rsid w:val="001E4DDC"/>
    <w:rsid w:val="001E64E7"/>
    <w:rsid w:val="001E774F"/>
    <w:rsid w:val="001E7B4C"/>
    <w:rsid w:val="001E7C1D"/>
    <w:rsid w:val="001F073F"/>
    <w:rsid w:val="001F3009"/>
    <w:rsid w:val="001F3358"/>
    <w:rsid w:val="001F35CB"/>
    <w:rsid w:val="001F390F"/>
    <w:rsid w:val="001F5CD1"/>
    <w:rsid w:val="001F7257"/>
    <w:rsid w:val="001F7739"/>
    <w:rsid w:val="001F79F4"/>
    <w:rsid w:val="0020011B"/>
    <w:rsid w:val="0020187E"/>
    <w:rsid w:val="00201DC6"/>
    <w:rsid w:val="00202375"/>
    <w:rsid w:val="002025EA"/>
    <w:rsid w:val="00202884"/>
    <w:rsid w:val="00202E44"/>
    <w:rsid w:val="00203556"/>
    <w:rsid w:val="00204D0F"/>
    <w:rsid w:val="00204DB6"/>
    <w:rsid w:val="002056ED"/>
    <w:rsid w:val="00205C3A"/>
    <w:rsid w:val="00207058"/>
    <w:rsid w:val="00210BF5"/>
    <w:rsid w:val="00211793"/>
    <w:rsid w:val="00211C11"/>
    <w:rsid w:val="00212345"/>
    <w:rsid w:val="00214809"/>
    <w:rsid w:val="002149A1"/>
    <w:rsid w:val="00214E7A"/>
    <w:rsid w:val="00214EB4"/>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0DC6"/>
    <w:rsid w:val="0023132F"/>
    <w:rsid w:val="00231AA5"/>
    <w:rsid w:val="00232F90"/>
    <w:rsid w:val="0023339B"/>
    <w:rsid w:val="0023469C"/>
    <w:rsid w:val="00234C71"/>
    <w:rsid w:val="00235511"/>
    <w:rsid w:val="002366E0"/>
    <w:rsid w:val="00236B59"/>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2F08"/>
    <w:rsid w:val="00263FE3"/>
    <w:rsid w:val="00265593"/>
    <w:rsid w:val="002675EA"/>
    <w:rsid w:val="00267BC5"/>
    <w:rsid w:val="00267CBE"/>
    <w:rsid w:val="00267E0B"/>
    <w:rsid w:val="00270680"/>
    <w:rsid w:val="00271103"/>
    <w:rsid w:val="002721FA"/>
    <w:rsid w:val="0027230C"/>
    <w:rsid w:val="00272B99"/>
    <w:rsid w:val="0027380D"/>
    <w:rsid w:val="0027468E"/>
    <w:rsid w:val="00274790"/>
    <w:rsid w:val="00274826"/>
    <w:rsid w:val="00275005"/>
    <w:rsid w:val="002752AB"/>
    <w:rsid w:val="002756D6"/>
    <w:rsid w:val="0027573C"/>
    <w:rsid w:val="002815D0"/>
    <w:rsid w:val="002820A7"/>
    <w:rsid w:val="00283199"/>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BFB"/>
    <w:rsid w:val="002A2ED0"/>
    <w:rsid w:val="002A3906"/>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527"/>
    <w:rsid w:val="002B581B"/>
    <w:rsid w:val="002C2892"/>
    <w:rsid w:val="002C58AB"/>
    <w:rsid w:val="002C6D84"/>
    <w:rsid w:val="002C7D21"/>
    <w:rsid w:val="002D1564"/>
    <w:rsid w:val="002D1CA4"/>
    <w:rsid w:val="002D2C09"/>
    <w:rsid w:val="002D2C45"/>
    <w:rsid w:val="002D36EF"/>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6368"/>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06D19"/>
    <w:rsid w:val="003101FC"/>
    <w:rsid w:val="0031146F"/>
    <w:rsid w:val="00311795"/>
    <w:rsid w:val="003117B1"/>
    <w:rsid w:val="00311B70"/>
    <w:rsid w:val="00311CBE"/>
    <w:rsid w:val="00312280"/>
    <w:rsid w:val="00312CD0"/>
    <w:rsid w:val="0031449F"/>
    <w:rsid w:val="003145A5"/>
    <w:rsid w:val="003148B9"/>
    <w:rsid w:val="00314A2E"/>
    <w:rsid w:val="00314A7B"/>
    <w:rsid w:val="00315266"/>
    <w:rsid w:val="0031693B"/>
    <w:rsid w:val="003169CE"/>
    <w:rsid w:val="00316F0A"/>
    <w:rsid w:val="00317DC7"/>
    <w:rsid w:val="003200A2"/>
    <w:rsid w:val="003200F9"/>
    <w:rsid w:val="00320F38"/>
    <w:rsid w:val="00321183"/>
    <w:rsid w:val="00321694"/>
    <w:rsid w:val="00321F0A"/>
    <w:rsid w:val="003223CE"/>
    <w:rsid w:val="00322A2D"/>
    <w:rsid w:val="00322E80"/>
    <w:rsid w:val="00324D5B"/>
    <w:rsid w:val="00325045"/>
    <w:rsid w:val="00325D91"/>
    <w:rsid w:val="003267B4"/>
    <w:rsid w:val="00330186"/>
    <w:rsid w:val="003305F0"/>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952"/>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91455"/>
    <w:rsid w:val="00397A4A"/>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4FF7"/>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57E"/>
    <w:rsid w:val="003D3724"/>
    <w:rsid w:val="003D46A7"/>
    <w:rsid w:val="003D6376"/>
    <w:rsid w:val="003E0C78"/>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3F7EC2"/>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4"/>
    <w:rsid w:val="00427D55"/>
    <w:rsid w:val="0043233C"/>
    <w:rsid w:val="004345A6"/>
    <w:rsid w:val="00435B2F"/>
    <w:rsid w:val="00435E03"/>
    <w:rsid w:val="004373E1"/>
    <w:rsid w:val="004374A3"/>
    <w:rsid w:val="00437A7E"/>
    <w:rsid w:val="00437B6C"/>
    <w:rsid w:val="00440144"/>
    <w:rsid w:val="0044064E"/>
    <w:rsid w:val="00440805"/>
    <w:rsid w:val="00440EFC"/>
    <w:rsid w:val="004412E1"/>
    <w:rsid w:val="00441554"/>
    <w:rsid w:val="00442E48"/>
    <w:rsid w:val="00443DCD"/>
    <w:rsid w:val="00443E7E"/>
    <w:rsid w:val="00444C06"/>
    <w:rsid w:val="004454DF"/>
    <w:rsid w:val="00446804"/>
    <w:rsid w:val="004478D4"/>
    <w:rsid w:val="00450324"/>
    <w:rsid w:val="00450380"/>
    <w:rsid w:val="004505C6"/>
    <w:rsid w:val="004520CD"/>
    <w:rsid w:val="004529F8"/>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0518"/>
    <w:rsid w:val="00471EA5"/>
    <w:rsid w:val="004720C9"/>
    <w:rsid w:val="00472257"/>
    <w:rsid w:val="00472E49"/>
    <w:rsid w:val="004732BB"/>
    <w:rsid w:val="00474C60"/>
    <w:rsid w:val="00475826"/>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C39"/>
    <w:rsid w:val="004B3EC7"/>
    <w:rsid w:val="004B5664"/>
    <w:rsid w:val="004B58C9"/>
    <w:rsid w:val="004C2107"/>
    <w:rsid w:val="004C413E"/>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E786E"/>
    <w:rsid w:val="004E7CD2"/>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6620"/>
    <w:rsid w:val="005070FF"/>
    <w:rsid w:val="00510651"/>
    <w:rsid w:val="0051177C"/>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2A6D"/>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3CE"/>
    <w:rsid w:val="00562799"/>
    <w:rsid w:val="00564804"/>
    <w:rsid w:val="00565598"/>
    <w:rsid w:val="00565B5A"/>
    <w:rsid w:val="00567E8F"/>
    <w:rsid w:val="00567FBF"/>
    <w:rsid w:val="005702D6"/>
    <w:rsid w:val="00572588"/>
    <w:rsid w:val="00573A50"/>
    <w:rsid w:val="005746D2"/>
    <w:rsid w:val="00574E8A"/>
    <w:rsid w:val="00576996"/>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6BD"/>
    <w:rsid w:val="005B382C"/>
    <w:rsid w:val="005B3C11"/>
    <w:rsid w:val="005B40DA"/>
    <w:rsid w:val="005B4226"/>
    <w:rsid w:val="005B5AA4"/>
    <w:rsid w:val="005B656B"/>
    <w:rsid w:val="005B71B3"/>
    <w:rsid w:val="005B76A4"/>
    <w:rsid w:val="005C02A6"/>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98B"/>
    <w:rsid w:val="005F5E11"/>
    <w:rsid w:val="006003E5"/>
    <w:rsid w:val="00600639"/>
    <w:rsid w:val="00600E63"/>
    <w:rsid w:val="00601561"/>
    <w:rsid w:val="00601A64"/>
    <w:rsid w:val="00601E55"/>
    <w:rsid w:val="00602037"/>
    <w:rsid w:val="006029DD"/>
    <w:rsid w:val="00602C6A"/>
    <w:rsid w:val="00603AF5"/>
    <w:rsid w:val="00606C66"/>
    <w:rsid w:val="00610145"/>
    <w:rsid w:val="00610D1F"/>
    <w:rsid w:val="006123C6"/>
    <w:rsid w:val="00612C02"/>
    <w:rsid w:val="00612CDD"/>
    <w:rsid w:val="0061339E"/>
    <w:rsid w:val="0061562E"/>
    <w:rsid w:val="00616203"/>
    <w:rsid w:val="00616D41"/>
    <w:rsid w:val="00617292"/>
    <w:rsid w:val="006200A9"/>
    <w:rsid w:val="006219C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0E6"/>
    <w:rsid w:val="00655470"/>
    <w:rsid w:val="00656E7B"/>
    <w:rsid w:val="00656FEE"/>
    <w:rsid w:val="0065758F"/>
    <w:rsid w:val="00657817"/>
    <w:rsid w:val="0066078C"/>
    <w:rsid w:val="00660897"/>
    <w:rsid w:val="00661028"/>
    <w:rsid w:val="0066125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17B0"/>
    <w:rsid w:val="00691ED5"/>
    <w:rsid w:val="006920E6"/>
    <w:rsid w:val="00692555"/>
    <w:rsid w:val="00696566"/>
    <w:rsid w:val="006966BA"/>
    <w:rsid w:val="0069722D"/>
    <w:rsid w:val="006A0052"/>
    <w:rsid w:val="006A0A9E"/>
    <w:rsid w:val="006A1F1C"/>
    <w:rsid w:val="006A3836"/>
    <w:rsid w:val="006A3AB9"/>
    <w:rsid w:val="006A3DD3"/>
    <w:rsid w:val="006A4625"/>
    <w:rsid w:val="006A47AE"/>
    <w:rsid w:val="006A4D92"/>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322"/>
    <w:rsid w:val="006C1C48"/>
    <w:rsid w:val="006C3C1D"/>
    <w:rsid w:val="006C41FF"/>
    <w:rsid w:val="006C4905"/>
    <w:rsid w:val="006C5145"/>
    <w:rsid w:val="006C65A8"/>
    <w:rsid w:val="006D05AD"/>
    <w:rsid w:val="006D0BC1"/>
    <w:rsid w:val="006D0EC1"/>
    <w:rsid w:val="006D16F8"/>
    <w:rsid w:val="006D1813"/>
    <w:rsid w:val="006D24A9"/>
    <w:rsid w:val="006D2AF3"/>
    <w:rsid w:val="006D4D79"/>
    <w:rsid w:val="006D4FBD"/>
    <w:rsid w:val="006D5879"/>
    <w:rsid w:val="006D595B"/>
    <w:rsid w:val="006D63FD"/>
    <w:rsid w:val="006D65B4"/>
    <w:rsid w:val="006D754A"/>
    <w:rsid w:val="006D7B9C"/>
    <w:rsid w:val="006E04C6"/>
    <w:rsid w:val="006E0A65"/>
    <w:rsid w:val="006E1B01"/>
    <w:rsid w:val="006E3E3D"/>
    <w:rsid w:val="006E4836"/>
    <w:rsid w:val="006E5BC0"/>
    <w:rsid w:val="006E5DDD"/>
    <w:rsid w:val="006E7811"/>
    <w:rsid w:val="006F04DA"/>
    <w:rsid w:val="006F0557"/>
    <w:rsid w:val="006F0EA3"/>
    <w:rsid w:val="006F1B5D"/>
    <w:rsid w:val="006F212B"/>
    <w:rsid w:val="006F37F7"/>
    <w:rsid w:val="006F463B"/>
    <w:rsid w:val="006F4A61"/>
    <w:rsid w:val="006F4ADC"/>
    <w:rsid w:val="006F4AFD"/>
    <w:rsid w:val="006F54BD"/>
    <w:rsid w:val="006F643D"/>
    <w:rsid w:val="006F675C"/>
    <w:rsid w:val="006F6D13"/>
    <w:rsid w:val="006F7759"/>
    <w:rsid w:val="006F7C9D"/>
    <w:rsid w:val="006F7D95"/>
    <w:rsid w:val="00700D41"/>
    <w:rsid w:val="00701B21"/>
    <w:rsid w:val="00702384"/>
    <w:rsid w:val="00704BAE"/>
    <w:rsid w:val="00705807"/>
    <w:rsid w:val="00705C74"/>
    <w:rsid w:val="00705C78"/>
    <w:rsid w:val="007060E1"/>
    <w:rsid w:val="00706824"/>
    <w:rsid w:val="00706B85"/>
    <w:rsid w:val="00706D19"/>
    <w:rsid w:val="007071FC"/>
    <w:rsid w:val="00707C84"/>
    <w:rsid w:val="00710A59"/>
    <w:rsid w:val="00710FDE"/>
    <w:rsid w:val="007112C9"/>
    <w:rsid w:val="007116C7"/>
    <w:rsid w:val="00711C5A"/>
    <w:rsid w:val="00712557"/>
    <w:rsid w:val="00712B66"/>
    <w:rsid w:val="007132C5"/>
    <w:rsid w:val="00713C31"/>
    <w:rsid w:val="0071428D"/>
    <w:rsid w:val="007144C9"/>
    <w:rsid w:val="00716B3C"/>
    <w:rsid w:val="0071703F"/>
    <w:rsid w:val="007170C2"/>
    <w:rsid w:val="00717EE4"/>
    <w:rsid w:val="00717F2D"/>
    <w:rsid w:val="00720453"/>
    <w:rsid w:val="007206C1"/>
    <w:rsid w:val="00720853"/>
    <w:rsid w:val="00722129"/>
    <w:rsid w:val="00724173"/>
    <w:rsid w:val="00726730"/>
    <w:rsid w:val="00727624"/>
    <w:rsid w:val="00730598"/>
    <w:rsid w:val="00731C24"/>
    <w:rsid w:val="0073257E"/>
    <w:rsid w:val="00732A32"/>
    <w:rsid w:val="00732D4F"/>
    <w:rsid w:val="00733066"/>
    <w:rsid w:val="00733469"/>
    <w:rsid w:val="00733539"/>
    <w:rsid w:val="00735557"/>
    <w:rsid w:val="00737108"/>
    <w:rsid w:val="007379CE"/>
    <w:rsid w:val="0074104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3A5"/>
    <w:rsid w:val="007663A7"/>
    <w:rsid w:val="00766D90"/>
    <w:rsid w:val="00767C19"/>
    <w:rsid w:val="00767D4E"/>
    <w:rsid w:val="00771067"/>
    <w:rsid w:val="007722ED"/>
    <w:rsid w:val="0077408B"/>
    <w:rsid w:val="00774AF6"/>
    <w:rsid w:val="00774EC8"/>
    <w:rsid w:val="00776781"/>
    <w:rsid w:val="007776CC"/>
    <w:rsid w:val="00777CE9"/>
    <w:rsid w:val="00780D05"/>
    <w:rsid w:val="0078117E"/>
    <w:rsid w:val="00783432"/>
    <w:rsid w:val="00783C7B"/>
    <w:rsid w:val="0078556C"/>
    <w:rsid w:val="007855C5"/>
    <w:rsid w:val="007856D3"/>
    <w:rsid w:val="00785ABD"/>
    <w:rsid w:val="007860C6"/>
    <w:rsid w:val="00786254"/>
    <w:rsid w:val="00786DB0"/>
    <w:rsid w:val="00787D47"/>
    <w:rsid w:val="0079014E"/>
    <w:rsid w:val="0079148B"/>
    <w:rsid w:val="0079160C"/>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3E67"/>
    <w:rsid w:val="007A4C96"/>
    <w:rsid w:val="007A51A6"/>
    <w:rsid w:val="007A523D"/>
    <w:rsid w:val="007A5629"/>
    <w:rsid w:val="007A56E5"/>
    <w:rsid w:val="007A60CA"/>
    <w:rsid w:val="007A6F0F"/>
    <w:rsid w:val="007A708C"/>
    <w:rsid w:val="007A71D1"/>
    <w:rsid w:val="007A75B5"/>
    <w:rsid w:val="007A7985"/>
    <w:rsid w:val="007A7ABE"/>
    <w:rsid w:val="007B03C5"/>
    <w:rsid w:val="007B26E1"/>
    <w:rsid w:val="007B3045"/>
    <w:rsid w:val="007B4C0F"/>
    <w:rsid w:val="007B5A80"/>
    <w:rsid w:val="007B5E25"/>
    <w:rsid w:val="007B6E0E"/>
    <w:rsid w:val="007C27FB"/>
    <w:rsid w:val="007C2CBB"/>
    <w:rsid w:val="007C309C"/>
    <w:rsid w:val="007C4209"/>
    <w:rsid w:val="007C5EB9"/>
    <w:rsid w:val="007C6958"/>
    <w:rsid w:val="007C7449"/>
    <w:rsid w:val="007C7EA5"/>
    <w:rsid w:val="007D016D"/>
    <w:rsid w:val="007D1A95"/>
    <w:rsid w:val="007D245E"/>
    <w:rsid w:val="007D3764"/>
    <w:rsid w:val="007D485A"/>
    <w:rsid w:val="007D54FF"/>
    <w:rsid w:val="007D57D4"/>
    <w:rsid w:val="007D6315"/>
    <w:rsid w:val="007D724A"/>
    <w:rsid w:val="007D75A3"/>
    <w:rsid w:val="007E16E2"/>
    <w:rsid w:val="007E19FE"/>
    <w:rsid w:val="007E1AAC"/>
    <w:rsid w:val="007E3B9C"/>
    <w:rsid w:val="007E486B"/>
    <w:rsid w:val="007E4A2F"/>
    <w:rsid w:val="007E53E6"/>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3845"/>
    <w:rsid w:val="00804BCF"/>
    <w:rsid w:val="00804FA4"/>
    <w:rsid w:val="00805275"/>
    <w:rsid w:val="00806A62"/>
    <w:rsid w:val="00806E55"/>
    <w:rsid w:val="008075CE"/>
    <w:rsid w:val="0081163F"/>
    <w:rsid w:val="00812179"/>
    <w:rsid w:val="008124E2"/>
    <w:rsid w:val="00813928"/>
    <w:rsid w:val="00815321"/>
    <w:rsid w:val="008166DB"/>
    <w:rsid w:val="008173E0"/>
    <w:rsid w:val="008175C1"/>
    <w:rsid w:val="008200D4"/>
    <w:rsid w:val="00820370"/>
    <w:rsid w:val="00820C46"/>
    <w:rsid w:val="00820CC6"/>
    <w:rsid w:val="00822C41"/>
    <w:rsid w:val="00825043"/>
    <w:rsid w:val="00825267"/>
    <w:rsid w:val="008264EC"/>
    <w:rsid w:val="00827C0D"/>
    <w:rsid w:val="00830642"/>
    <w:rsid w:val="00831250"/>
    <w:rsid w:val="00831D8D"/>
    <w:rsid w:val="008326C5"/>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577FF"/>
    <w:rsid w:val="00857C58"/>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293"/>
    <w:rsid w:val="00892DB5"/>
    <w:rsid w:val="00894B61"/>
    <w:rsid w:val="00895255"/>
    <w:rsid w:val="00895DF1"/>
    <w:rsid w:val="00896645"/>
    <w:rsid w:val="00897455"/>
    <w:rsid w:val="008975D2"/>
    <w:rsid w:val="008A035B"/>
    <w:rsid w:val="008A0459"/>
    <w:rsid w:val="008A1218"/>
    <w:rsid w:val="008A15B6"/>
    <w:rsid w:val="008A1A6E"/>
    <w:rsid w:val="008A202A"/>
    <w:rsid w:val="008A36C9"/>
    <w:rsid w:val="008A5AD2"/>
    <w:rsid w:val="008A5AF9"/>
    <w:rsid w:val="008B16DE"/>
    <w:rsid w:val="008B251F"/>
    <w:rsid w:val="008B2602"/>
    <w:rsid w:val="008B2727"/>
    <w:rsid w:val="008B316B"/>
    <w:rsid w:val="008B5059"/>
    <w:rsid w:val="008B5BF2"/>
    <w:rsid w:val="008B6934"/>
    <w:rsid w:val="008B6CF8"/>
    <w:rsid w:val="008B72F6"/>
    <w:rsid w:val="008B7B4F"/>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1F2D"/>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467"/>
    <w:rsid w:val="009474FF"/>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6229"/>
    <w:rsid w:val="00957C59"/>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5D48"/>
    <w:rsid w:val="0098637F"/>
    <w:rsid w:val="00986A9B"/>
    <w:rsid w:val="00986B9C"/>
    <w:rsid w:val="00987BAB"/>
    <w:rsid w:val="009906BF"/>
    <w:rsid w:val="009913F3"/>
    <w:rsid w:val="00991DA1"/>
    <w:rsid w:val="009927F1"/>
    <w:rsid w:val="009936C4"/>
    <w:rsid w:val="009948ED"/>
    <w:rsid w:val="00994F24"/>
    <w:rsid w:val="00995ADA"/>
    <w:rsid w:val="0099643A"/>
    <w:rsid w:val="00997959"/>
    <w:rsid w:val="009A0BAF"/>
    <w:rsid w:val="009A0F6F"/>
    <w:rsid w:val="009A1431"/>
    <w:rsid w:val="009A153D"/>
    <w:rsid w:val="009A1634"/>
    <w:rsid w:val="009A3A34"/>
    <w:rsid w:val="009A3FE2"/>
    <w:rsid w:val="009A400C"/>
    <w:rsid w:val="009A4B2C"/>
    <w:rsid w:val="009A5592"/>
    <w:rsid w:val="009A59BA"/>
    <w:rsid w:val="009A6417"/>
    <w:rsid w:val="009A70C8"/>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C99"/>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44F"/>
    <w:rsid w:val="00A32AEA"/>
    <w:rsid w:val="00A32F32"/>
    <w:rsid w:val="00A33E80"/>
    <w:rsid w:val="00A33EFE"/>
    <w:rsid w:val="00A4148D"/>
    <w:rsid w:val="00A44D0E"/>
    <w:rsid w:val="00A4621D"/>
    <w:rsid w:val="00A47CB3"/>
    <w:rsid w:val="00A509FB"/>
    <w:rsid w:val="00A51575"/>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69E"/>
    <w:rsid w:val="00A64B5F"/>
    <w:rsid w:val="00A65EA0"/>
    <w:rsid w:val="00A66517"/>
    <w:rsid w:val="00A67B0E"/>
    <w:rsid w:val="00A718EF"/>
    <w:rsid w:val="00A72134"/>
    <w:rsid w:val="00A726A8"/>
    <w:rsid w:val="00A72951"/>
    <w:rsid w:val="00A73505"/>
    <w:rsid w:val="00A754AC"/>
    <w:rsid w:val="00A75E02"/>
    <w:rsid w:val="00A76E79"/>
    <w:rsid w:val="00A7771B"/>
    <w:rsid w:val="00A77B53"/>
    <w:rsid w:val="00A811F1"/>
    <w:rsid w:val="00A82887"/>
    <w:rsid w:val="00A83010"/>
    <w:rsid w:val="00A83BF5"/>
    <w:rsid w:val="00A84CD1"/>
    <w:rsid w:val="00A85E2E"/>
    <w:rsid w:val="00A861F3"/>
    <w:rsid w:val="00A8728F"/>
    <w:rsid w:val="00A8756A"/>
    <w:rsid w:val="00A87684"/>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02A5"/>
    <w:rsid w:val="00AC1DA5"/>
    <w:rsid w:val="00AC216B"/>
    <w:rsid w:val="00AC26B1"/>
    <w:rsid w:val="00AC42B8"/>
    <w:rsid w:val="00AC45C5"/>
    <w:rsid w:val="00AC4791"/>
    <w:rsid w:val="00AC4FB6"/>
    <w:rsid w:val="00AC4FD1"/>
    <w:rsid w:val="00AC5FEF"/>
    <w:rsid w:val="00AC6036"/>
    <w:rsid w:val="00AD0328"/>
    <w:rsid w:val="00AD11DC"/>
    <w:rsid w:val="00AD13D2"/>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2F00"/>
    <w:rsid w:val="00B03F92"/>
    <w:rsid w:val="00B055D8"/>
    <w:rsid w:val="00B06CD6"/>
    <w:rsid w:val="00B06EBC"/>
    <w:rsid w:val="00B11D2D"/>
    <w:rsid w:val="00B123F0"/>
    <w:rsid w:val="00B12891"/>
    <w:rsid w:val="00B132B8"/>
    <w:rsid w:val="00B146C1"/>
    <w:rsid w:val="00B146E7"/>
    <w:rsid w:val="00B14D81"/>
    <w:rsid w:val="00B156DF"/>
    <w:rsid w:val="00B15ABB"/>
    <w:rsid w:val="00B16851"/>
    <w:rsid w:val="00B16973"/>
    <w:rsid w:val="00B176D9"/>
    <w:rsid w:val="00B2036A"/>
    <w:rsid w:val="00B21057"/>
    <w:rsid w:val="00B2202B"/>
    <w:rsid w:val="00B23422"/>
    <w:rsid w:val="00B23C50"/>
    <w:rsid w:val="00B23DE3"/>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382"/>
    <w:rsid w:val="00B716BB"/>
    <w:rsid w:val="00B716FD"/>
    <w:rsid w:val="00B734C2"/>
    <w:rsid w:val="00B73BDA"/>
    <w:rsid w:val="00B74053"/>
    <w:rsid w:val="00B765A0"/>
    <w:rsid w:val="00B7692C"/>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14C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B14"/>
    <w:rsid w:val="00BC3C7A"/>
    <w:rsid w:val="00BC77AB"/>
    <w:rsid w:val="00BC7DC6"/>
    <w:rsid w:val="00BD1039"/>
    <w:rsid w:val="00BD13B5"/>
    <w:rsid w:val="00BD2EFC"/>
    <w:rsid w:val="00BD340E"/>
    <w:rsid w:val="00BD5A91"/>
    <w:rsid w:val="00BD60AD"/>
    <w:rsid w:val="00BD62D4"/>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9E1"/>
    <w:rsid w:val="00C12E21"/>
    <w:rsid w:val="00C12E65"/>
    <w:rsid w:val="00C13C20"/>
    <w:rsid w:val="00C13F74"/>
    <w:rsid w:val="00C146D3"/>
    <w:rsid w:val="00C16BE0"/>
    <w:rsid w:val="00C21C39"/>
    <w:rsid w:val="00C2325C"/>
    <w:rsid w:val="00C23270"/>
    <w:rsid w:val="00C239ED"/>
    <w:rsid w:val="00C24627"/>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47FEA"/>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26E"/>
    <w:rsid w:val="00C7776C"/>
    <w:rsid w:val="00C8398D"/>
    <w:rsid w:val="00C84BC2"/>
    <w:rsid w:val="00C85139"/>
    <w:rsid w:val="00C85657"/>
    <w:rsid w:val="00C91C88"/>
    <w:rsid w:val="00C939C3"/>
    <w:rsid w:val="00C94228"/>
    <w:rsid w:val="00C96205"/>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298"/>
    <w:rsid w:val="00CF150A"/>
    <w:rsid w:val="00CF2225"/>
    <w:rsid w:val="00CF25E7"/>
    <w:rsid w:val="00CF3C77"/>
    <w:rsid w:val="00CF45A2"/>
    <w:rsid w:val="00CF52E7"/>
    <w:rsid w:val="00CF64B5"/>
    <w:rsid w:val="00CF7853"/>
    <w:rsid w:val="00D004ED"/>
    <w:rsid w:val="00D021E6"/>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5F18"/>
    <w:rsid w:val="00D301FF"/>
    <w:rsid w:val="00D3257F"/>
    <w:rsid w:val="00D340E2"/>
    <w:rsid w:val="00D36887"/>
    <w:rsid w:val="00D37563"/>
    <w:rsid w:val="00D37747"/>
    <w:rsid w:val="00D379EB"/>
    <w:rsid w:val="00D37BE2"/>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ABB"/>
    <w:rsid w:val="00D83F9E"/>
    <w:rsid w:val="00D840C2"/>
    <w:rsid w:val="00D84562"/>
    <w:rsid w:val="00D85494"/>
    <w:rsid w:val="00D85C16"/>
    <w:rsid w:val="00D86169"/>
    <w:rsid w:val="00D8732E"/>
    <w:rsid w:val="00D90892"/>
    <w:rsid w:val="00D91294"/>
    <w:rsid w:val="00D9186A"/>
    <w:rsid w:val="00D92D47"/>
    <w:rsid w:val="00D94213"/>
    <w:rsid w:val="00D94BEB"/>
    <w:rsid w:val="00D94EA5"/>
    <w:rsid w:val="00D95F32"/>
    <w:rsid w:val="00DA024A"/>
    <w:rsid w:val="00DA07A5"/>
    <w:rsid w:val="00DA07EE"/>
    <w:rsid w:val="00DA0A58"/>
    <w:rsid w:val="00DA1C85"/>
    <w:rsid w:val="00DA1CC9"/>
    <w:rsid w:val="00DA2E58"/>
    <w:rsid w:val="00DA328E"/>
    <w:rsid w:val="00DA3AA6"/>
    <w:rsid w:val="00DA46C1"/>
    <w:rsid w:val="00DA5FD3"/>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3B2"/>
    <w:rsid w:val="00DF4C6E"/>
    <w:rsid w:val="00DF6666"/>
    <w:rsid w:val="00DF745E"/>
    <w:rsid w:val="00DF762E"/>
    <w:rsid w:val="00E0044E"/>
    <w:rsid w:val="00E00816"/>
    <w:rsid w:val="00E0239F"/>
    <w:rsid w:val="00E0267B"/>
    <w:rsid w:val="00E04441"/>
    <w:rsid w:val="00E05403"/>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47B9E"/>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D76"/>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7D3"/>
    <w:rsid w:val="00E87D05"/>
    <w:rsid w:val="00E91F96"/>
    <w:rsid w:val="00E92E99"/>
    <w:rsid w:val="00E938E2"/>
    <w:rsid w:val="00E968FD"/>
    <w:rsid w:val="00E96D55"/>
    <w:rsid w:val="00E97993"/>
    <w:rsid w:val="00EA0D5D"/>
    <w:rsid w:val="00EA1192"/>
    <w:rsid w:val="00EA153F"/>
    <w:rsid w:val="00EA2788"/>
    <w:rsid w:val="00EA2C6E"/>
    <w:rsid w:val="00EA4964"/>
    <w:rsid w:val="00EA4F1A"/>
    <w:rsid w:val="00EA5B36"/>
    <w:rsid w:val="00EB027D"/>
    <w:rsid w:val="00EB02DE"/>
    <w:rsid w:val="00EB0A07"/>
    <w:rsid w:val="00EB1B69"/>
    <w:rsid w:val="00EB1C78"/>
    <w:rsid w:val="00EB1FD1"/>
    <w:rsid w:val="00EB31F1"/>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2D94"/>
    <w:rsid w:val="00EE3365"/>
    <w:rsid w:val="00EE48DF"/>
    <w:rsid w:val="00EE4AB3"/>
    <w:rsid w:val="00EE7405"/>
    <w:rsid w:val="00EE7AAC"/>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3DC4"/>
    <w:rsid w:val="00F15523"/>
    <w:rsid w:val="00F16391"/>
    <w:rsid w:val="00F2062B"/>
    <w:rsid w:val="00F21A18"/>
    <w:rsid w:val="00F21E61"/>
    <w:rsid w:val="00F220EA"/>
    <w:rsid w:val="00F222CD"/>
    <w:rsid w:val="00F24EA4"/>
    <w:rsid w:val="00F2625A"/>
    <w:rsid w:val="00F305FF"/>
    <w:rsid w:val="00F31A03"/>
    <w:rsid w:val="00F3283C"/>
    <w:rsid w:val="00F32D0F"/>
    <w:rsid w:val="00F343F0"/>
    <w:rsid w:val="00F34620"/>
    <w:rsid w:val="00F34AAB"/>
    <w:rsid w:val="00F34C4D"/>
    <w:rsid w:val="00F350CF"/>
    <w:rsid w:val="00F35582"/>
    <w:rsid w:val="00F37004"/>
    <w:rsid w:val="00F372B0"/>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420"/>
    <w:rsid w:val="00F8659E"/>
    <w:rsid w:val="00F86992"/>
    <w:rsid w:val="00F86CE4"/>
    <w:rsid w:val="00F86F42"/>
    <w:rsid w:val="00F91941"/>
    <w:rsid w:val="00F92E3F"/>
    <w:rsid w:val="00F938D2"/>
    <w:rsid w:val="00F96389"/>
    <w:rsid w:val="00F9650E"/>
    <w:rsid w:val="00F96B73"/>
    <w:rsid w:val="00F977C7"/>
    <w:rsid w:val="00FA01E8"/>
    <w:rsid w:val="00FA0890"/>
    <w:rsid w:val="00FA164A"/>
    <w:rsid w:val="00FA2B08"/>
    <w:rsid w:val="00FA3F3E"/>
    <w:rsid w:val="00FA4272"/>
    <w:rsid w:val="00FA4855"/>
    <w:rsid w:val="00FA4ACD"/>
    <w:rsid w:val="00FA6428"/>
    <w:rsid w:val="00FA7144"/>
    <w:rsid w:val="00FA7184"/>
    <w:rsid w:val="00FA7610"/>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2BFC"/>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0741"/>
    <w:rsid w:val="00FE1186"/>
    <w:rsid w:val="00FE177A"/>
    <w:rsid w:val="00FE240A"/>
    <w:rsid w:val="00FE3E3C"/>
    <w:rsid w:val="00FE43E7"/>
    <w:rsid w:val="00FE4B66"/>
    <w:rsid w:val="00FE4DF1"/>
    <w:rsid w:val="00FE4F6E"/>
    <w:rsid w:val="00FE583F"/>
    <w:rsid w:val="00FE5CC4"/>
    <w:rsid w:val="00FE6B13"/>
    <w:rsid w:val="00FE7575"/>
    <w:rsid w:val="00FF1070"/>
    <w:rsid w:val="00FF13E2"/>
    <w:rsid w:val="00FF2237"/>
    <w:rsid w:val="00FF4953"/>
    <w:rsid w:val="00FF498C"/>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B67290"/>
  <w15:chartTrackingRefBased/>
  <w15:docId w15:val="{E587918D-2B7E-4B12-8568-CD4E5AE3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230DC6"/>
    <w:pPr>
      <w:widowControl w:val="0"/>
      <w:ind w:firstLine="720"/>
      <w:jc w:val="both"/>
    </w:pPr>
    <w:rPr>
      <w:sz w:val="26"/>
      <w:lang w:eastAsia="en-US"/>
    </w:rPr>
  </w:style>
  <w:style w:type="paragraph" w:customStyle="1" w:styleId="tv213">
    <w:name w:val="tv213"/>
    <w:basedOn w:val="Normal"/>
    <w:rsid w:val="0079160C"/>
    <w:pPr>
      <w:spacing w:before="100" w:beforeAutospacing="1" w:after="100" w:afterAutospacing="1"/>
    </w:pPr>
  </w:style>
  <w:style w:type="character" w:customStyle="1" w:styleId="ListParagraphChar">
    <w:name w:val="List Paragraph Char"/>
    <w:aliases w:val="2 Char,Saraksta rindkopa1 Char"/>
    <w:link w:val="ListParagraph"/>
    <w:uiPriority w:val="34"/>
    <w:locked/>
    <w:rsid w:val="00FC2BF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5036610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296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63545-valsts-parvaldes-iekartas-liku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3070</Words>
  <Characters>22640</Characters>
  <Application>Microsoft Office Word</Application>
  <DocSecurity>0</DocSecurity>
  <Lines>188</Lines>
  <Paragraphs>51</Paragraphs>
  <ScaleCrop>false</ScaleCrop>
  <HeadingPairs>
    <vt:vector size="2" baseType="variant">
      <vt:variant>
        <vt:lpstr>Title</vt:lpstr>
      </vt:variant>
      <vt:variant>
        <vt:i4>1</vt:i4>
      </vt:variant>
    </vt:vector>
  </HeadingPairs>
  <TitlesOfParts>
    <vt:vector size="1" baseType="lpstr">
      <vt:lpstr>Grozījumi ministru kabineta 2014. gada 30. septembra noteikumos Nr. 576 "Būvniecības valsts kontroles biroja nolikums"</vt:lpstr>
    </vt:vector>
  </TitlesOfParts>
  <Company>Ekonomikas ministrija</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30. septembra noteikumos Nr. 576 "Būvniecības valsts kontroles biroja nolikums"</dc:title>
  <dc:subject>Izziņa par atzinumos sniegtajiem iebildumiem</dc:subject>
  <dc:creator>Līga Mičule</dc:creator>
  <cp:keywords/>
  <dc:description>67013030, Liga.Micule@em.gov.lv</dc:description>
  <cp:lastModifiedBy>Līga Mičule</cp:lastModifiedBy>
  <cp:revision>10</cp:revision>
  <cp:lastPrinted>2009-04-08T08:39:00Z</cp:lastPrinted>
  <dcterms:created xsi:type="dcterms:W3CDTF">2019-11-29T11:13:00Z</dcterms:created>
  <dcterms:modified xsi:type="dcterms:W3CDTF">2019-12-04T14:14:00Z</dcterms:modified>
</cp:coreProperties>
</file>