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2C531" w14:textId="77777777" w:rsidR="00432ABC" w:rsidRPr="00432ABC" w:rsidRDefault="00432ABC" w:rsidP="00432ABC">
      <w:pPr>
        <w:spacing w:after="0" w:line="240" w:lineRule="auto"/>
        <w:rPr>
          <w:rFonts w:ascii="Times New Roman" w:eastAsia="Times New Roman" w:hAnsi="Times New Roman" w:cs="Times New Roman"/>
          <w:sz w:val="28"/>
          <w:szCs w:val="28"/>
          <w:lang w:eastAsia="lv-LV"/>
        </w:rPr>
      </w:pPr>
    </w:p>
    <w:p w14:paraId="13A3BAC6" w14:textId="5BC12E57" w:rsidR="00432ABC" w:rsidRPr="001D4D82" w:rsidRDefault="00432ABC" w:rsidP="00432ABC">
      <w:pPr>
        <w:spacing w:after="0" w:line="240" w:lineRule="auto"/>
        <w:ind w:firstLine="720"/>
        <w:jc w:val="center"/>
        <w:rPr>
          <w:rFonts w:ascii="Times New Roman" w:eastAsia="Times New Roman" w:hAnsi="Times New Roman" w:cs="Times New Roman"/>
          <w:b/>
          <w:bCs/>
          <w:sz w:val="28"/>
          <w:szCs w:val="28"/>
          <w:lang w:eastAsia="lv-LV"/>
        </w:rPr>
      </w:pPr>
      <w:r w:rsidRPr="001D4D82">
        <w:rPr>
          <w:rFonts w:ascii="Times New Roman" w:eastAsia="Times New Roman" w:hAnsi="Times New Roman" w:cs="Times New Roman"/>
          <w:b/>
          <w:bCs/>
          <w:sz w:val="28"/>
          <w:szCs w:val="28"/>
          <w:lang w:eastAsia="lv-LV"/>
        </w:rPr>
        <w:t>Izziņa par atzinumos sniegtajiem iebildumiem</w:t>
      </w:r>
      <w:r w:rsidR="001D4D82" w:rsidRPr="001D4D82">
        <w:rPr>
          <w:rFonts w:ascii="Times New Roman" w:eastAsia="Times New Roman" w:hAnsi="Times New Roman" w:cs="Times New Roman"/>
          <w:b/>
          <w:bCs/>
          <w:sz w:val="28"/>
          <w:szCs w:val="28"/>
          <w:lang w:eastAsia="lv-LV"/>
        </w:rPr>
        <w:t xml:space="preserve"> par</w:t>
      </w:r>
    </w:p>
    <w:p w14:paraId="0B410CD5" w14:textId="400F001F" w:rsidR="00432ABC" w:rsidRPr="001D4D82" w:rsidRDefault="00432ABC" w:rsidP="00432ABC">
      <w:pPr>
        <w:spacing w:after="0" w:line="240" w:lineRule="auto"/>
        <w:ind w:firstLine="720"/>
        <w:jc w:val="center"/>
        <w:rPr>
          <w:rFonts w:ascii="Times New Roman" w:eastAsia="Times New Roman" w:hAnsi="Times New Roman" w:cs="Times New Roman"/>
          <w:b/>
          <w:bCs/>
          <w:sz w:val="28"/>
          <w:szCs w:val="28"/>
          <w:lang w:eastAsia="lv-LV"/>
        </w:rPr>
      </w:pPr>
      <w:r w:rsidRPr="001D4D82">
        <w:rPr>
          <w:rFonts w:ascii="Times New Roman" w:eastAsia="Times New Roman" w:hAnsi="Times New Roman" w:cs="Times New Roman"/>
          <w:b/>
          <w:bCs/>
          <w:sz w:val="28"/>
          <w:szCs w:val="28"/>
          <w:lang w:eastAsia="lv-LV"/>
        </w:rPr>
        <w:t>Ministru kabineta noteikumu projekt</w:t>
      </w:r>
      <w:r w:rsidR="001D4D82" w:rsidRPr="001D4D82">
        <w:rPr>
          <w:rFonts w:ascii="Times New Roman" w:eastAsia="Times New Roman" w:hAnsi="Times New Roman" w:cs="Times New Roman"/>
          <w:b/>
          <w:bCs/>
          <w:sz w:val="28"/>
          <w:szCs w:val="28"/>
          <w:lang w:eastAsia="lv-LV"/>
        </w:rPr>
        <w:t>u</w:t>
      </w:r>
      <w:r w:rsidRPr="001D4D82">
        <w:rPr>
          <w:rFonts w:ascii="Times New Roman" w:eastAsia="Times New Roman" w:hAnsi="Times New Roman" w:cs="Times New Roman"/>
          <w:b/>
          <w:bCs/>
          <w:sz w:val="28"/>
          <w:szCs w:val="28"/>
          <w:lang w:eastAsia="lv-LV"/>
        </w:rPr>
        <w:t xml:space="preserve"> „</w:t>
      </w:r>
      <w:r w:rsidR="00000A60" w:rsidRPr="001D4D82">
        <w:rPr>
          <w:rFonts w:ascii="Times New Roman" w:eastAsia="Times New Roman" w:hAnsi="Times New Roman" w:cs="Times New Roman"/>
          <w:b/>
          <w:bCs/>
          <w:sz w:val="28"/>
          <w:szCs w:val="28"/>
          <w:lang w:eastAsia="lv-LV"/>
        </w:rPr>
        <w:t>2021.</w:t>
      </w:r>
      <w:r w:rsidR="00283B40">
        <w:rPr>
          <w:rFonts w:ascii="Times New Roman" w:eastAsia="Times New Roman" w:hAnsi="Times New Roman" w:cs="Times New Roman"/>
          <w:b/>
          <w:bCs/>
          <w:sz w:val="28"/>
          <w:szCs w:val="28"/>
          <w:lang w:eastAsia="lv-LV"/>
        </w:rPr>
        <w:t xml:space="preserve"> </w:t>
      </w:r>
      <w:r w:rsidR="00000A60" w:rsidRPr="001D4D82">
        <w:rPr>
          <w:rFonts w:ascii="Times New Roman" w:eastAsia="Times New Roman" w:hAnsi="Times New Roman" w:cs="Times New Roman"/>
          <w:b/>
          <w:bCs/>
          <w:sz w:val="28"/>
          <w:szCs w:val="28"/>
          <w:lang w:eastAsia="lv-LV"/>
        </w:rPr>
        <w:t>gada tautas un mājokļu skaitīšanas noteikumi</w:t>
      </w:r>
      <w:r w:rsidRPr="001D4D82">
        <w:rPr>
          <w:rFonts w:ascii="Times New Roman" w:eastAsia="Times New Roman" w:hAnsi="Times New Roman" w:cs="Times New Roman"/>
          <w:b/>
          <w:bCs/>
          <w:sz w:val="28"/>
          <w:szCs w:val="28"/>
          <w:lang w:eastAsia="lv-LV"/>
        </w:rPr>
        <w:t>” VSS-</w:t>
      </w:r>
      <w:r w:rsidR="00A225D1" w:rsidRPr="001D4D82">
        <w:rPr>
          <w:rFonts w:ascii="Times New Roman" w:eastAsia="Times New Roman" w:hAnsi="Times New Roman" w:cs="Times New Roman"/>
          <w:b/>
          <w:bCs/>
          <w:sz w:val="28"/>
          <w:szCs w:val="28"/>
          <w:lang w:eastAsia="lv-LV"/>
        </w:rPr>
        <w:t>864</w:t>
      </w:r>
    </w:p>
    <w:p w14:paraId="5996051E" w14:textId="77777777" w:rsidR="00432ABC" w:rsidRPr="00432ABC" w:rsidRDefault="00432ABC" w:rsidP="00432ABC">
      <w:pPr>
        <w:spacing w:after="0" w:line="240" w:lineRule="auto"/>
        <w:ind w:firstLine="720"/>
        <w:jc w:val="both"/>
        <w:rPr>
          <w:rFonts w:ascii="Times New Roman" w:eastAsia="Times New Roman" w:hAnsi="Times New Roman" w:cs="Times New Roman"/>
          <w:sz w:val="24"/>
          <w:szCs w:val="24"/>
          <w:lang w:eastAsia="lv-LV"/>
        </w:rPr>
      </w:pPr>
    </w:p>
    <w:p w14:paraId="2EBD1E72" w14:textId="4621C87C" w:rsidR="00585C24" w:rsidRPr="001D4D82" w:rsidRDefault="00585C24" w:rsidP="00585C24">
      <w:pPr>
        <w:pStyle w:val="ListParagraph"/>
        <w:spacing w:after="0" w:line="240" w:lineRule="auto"/>
        <w:ind w:left="1080"/>
        <w:rPr>
          <w:rFonts w:ascii="Times New Roman" w:eastAsia="Times New Roman" w:hAnsi="Times New Roman"/>
          <w:b/>
          <w:sz w:val="24"/>
          <w:szCs w:val="24"/>
          <w:lang w:val="lv-LV" w:eastAsia="lv-LV"/>
        </w:rPr>
      </w:pPr>
    </w:p>
    <w:p w14:paraId="0C6E25CF" w14:textId="77777777" w:rsidR="00432ABC" w:rsidRPr="00327CA9" w:rsidRDefault="00432ABC" w:rsidP="00432ABC">
      <w:pPr>
        <w:spacing w:after="0" w:line="240" w:lineRule="auto"/>
        <w:jc w:val="both"/>
        <w:rPr>
          <w:rFonts w:ascii="Times New Roman" w:eastAsia="Times New Roman" w:hAnsi="Times New Roman" w:cs="Times New Roman"/>
          <w:b/>
          <w:sz w:val="24"/>
          <w:szCs w:val="24"/>
          <w:lang w:eastAsia="lv-LV"/>
        </w:rPr>
      </w:pPr>
    </w:p>
    <w:p w14:paraId="78AD39C8" w14:textId="77777777" w:rsidR="00432ABC" w:rsidRPr="00327CA9" w:rsidRDefault="00432ABC" w:rsidP="00432ABC">
      <w:pPr>
        <w:spacing w:after="0" w:line="240" w:lineRule="auto"/>
        <w:jc w:val="both"/>
        <w:rPr>
          <w:rFonts w:ascii="Times New Roman" w:eastAsia="Times New Roman" w:hAnsi="Times New Roman" w:cs="Times New Roman"/>
          <w:b/>
          <w:sz w:val="24"/>
          <w:szCs w:val="24"/>
          <w:lang w:eastAsia="lv-LV"/>
        </w:rPr>
      </w:pPr>
      <w:r w:rsidRPr="00327CA9">
        <w:rPr>
          <w:rFonts w:ascii="Times New Roman" w:eastAsia="Times New Roman" w:hAnsi="Times New Roman" w:cs="Times New Roman"/>
          <w:b/>
          <w:sz w:val="24"/>
          <w:szCs w:val="24"/>
          <w:lang w:eastAsia="lv-LV"/>
        </w:rPr>
        <w:t xml:space="preserve">Informācija par </w:t>
      </w:r>
      <w:proofErr w:type="spellStart"/>
      <w:r w:rsidRPr="00327CA9">
        <w:rPr>
          <w:rFonts w:ascii="Times New Roman" w:eastAsia="Times New Roman" w:hAnsi="Times New Roman" w:cs="Times New Roman"/>
          <w:b/>
          <w:sz w:val="24"/>
          <w:szCs w:val="24"/>
          <w:lang w:eastAsia="lv-LV"/>
        </w:rPr>
        <w:t>starpministriju</w:t>
      </w:r>
      <w:proofErr w:type="spellEnd"/>
      <w:r w:rsidRPr="00327CA9">
        <w:rPr>
          <w:rFonts w:ascii="Times New Roman" w:eastAsia="Times New Roman" w:hAnsi="Times New Roman" w:cs="Times New Roman"/>
          <w:b/>
          <w:sz w:val="24"/>
          <w:szCs w:val="24"/>
          <w:lang w:eastAsia="lv-LV"/>
        </w:rPr>
        <w:t xml:space="preserve"> (starpinstitūciju) sanāksmi vai elektronisko saskaņošanu</w:t>
      </w:r>
    </w:p>
    <w:p w14:paraId="288EA7B7" w14:textId="77777777" w:rsidR="00432ABC" w:rsidRPr="00327CA9" w:rsidRDefault="00432ABC" w:rsidP="00432ABC">
      <w:pPr>
        <w:spacing w:after="0" w:line="240" w:lineRule="auto"/>
        <w:rPr>
          <w:rFonts w:ascii="Times New Roman" w:eastAsia="Times New Roman" w:hAnsi="Times New Roman" w:cs="Times New Roman"/>
          <w:b/>
          <w:sz w:val="24"/>
          <w:szCs w:val="24"/>
          <w:lang w:eastAsia="lv-LV"/>
        </w:rPr>
      </w:pPr>
    </w:p>
    <w:p w14:paraId="03C4ED47" w14:textId="77777777" w:rsidR="00432ABC" w:rsidRPr="00327CA9" w:rsidRDefault="00432ABC" w:rsidP="00432ABC">
      <w:pPr>
        <w:spacing w:after="0" w:line="240" w:lineRule="auto"/>
        <w:ind w:firstLine="375"/>
        <w:rPr>
          <w:rFonts w:ascii="Times New Roman" w:eastAsia="Times New Roman" w:hAnsi="Times New Roman" w:cs="Times New Roman"/>
          <w:b/>
          <w:sz w:val="24"/>
          <w:szCs w:val="24"/>
          <w:lang w:eastAsia="lv-LV"/>
        </w:rPr>
      </w:pPr>
    </w:p>
    <w:tbl>
      <w:tblPr>
        <w:tblStyle w:val="TableGrid"/>
        <w:tblW w:w="20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36"/>
        <w:gridCol w:w="7723"/>
        <w:gridCol w:w="5224"/>
      </w:tblGrid>
      <w:tr w:rsidR="00432ABC" w:rsidRPr="001D4D82" w14:paraId="0E87E2B9" w14:textId="77777777" w:rsidTr="001D4D82">
        <w:tc>
          <w:tcPr>
            <w:tcW w:w="7371" w:type="dxa"/>
          </w:tcPr>
          <w:p w14:paraId="34CF6F72" w14:textId="77777777" w:rsidR="00432ABC" w:rsidRPr="001D4D82" w:rsidRDefault="00432ABC" w:rsidP="00432ABC">
            <w:pPr>
              <w:spacing w:before="100" w:beforeAutospacing="1" w:after="100" w:afterAutospacing="1"/>
              <w:rPr>
                <w:color w:val="000000"/>
                <w:sz w:val="24"/>
                <w:szCs w:val="24"/>
              </w:rPr>
            </w:pPr>
            <w:r w:rsidRPr="001D4D82">
              <w:rPr>
                <w:color w:val="000000"/>
                <w:sz w:val="24"/>
                <w:szCs w:val="24"/>
              </w:rPr>
              <w:t>Datums</w:t>
            </w:r>
          </w:p>
          <w:p w14:paraId="14F33A2A" w14:textId="77777777" w:rsidR="00432ABC" w:rsidRPr="001D4D82" w:rsidRDefault="00432ABC" w:rsidP="00432ABC">
            <w:pPr>
              <w:spacing w:before="100" w:beforeAutospacing="1" w:after="100" w:afterAutospacing="1"/>
              <w:rPr>
                <w:color w:val="000000"/>
                <w:sz w:val="24"/>
                <w:szCs w:val="24"/>
              </w:rPr>
            </w:pPr>
          </w:p>
        </w:tc>
        <w:tc>
          <w:tcPr>
            <w:tcW w:w="13183" w:type="dxa"/>
            <w:gridSpan w:val="3"/>
            <w:hideMark/>
          </w:tcPr>
          <w:p w14:paraId="520B1740" w14:textId="57071AE9" w:rsidR="00432ABC" w:rsidRPr="001D4D82" w:rsidRDefault="00F66330" w:rsidP="00432ABC">
            <w:pPr>
              <w:spacing w:before="100" w:beforeAutospacing="1" w:after="100" w:afterAutospacing="1"/>
              <w:rPr>
                <w:sz w:val="24"/>
                <w:szCs w:val="24"/>
              </w:rPr>
            </w:pPr>
            <w:r w:rsidRPr="001D4D82">
              <w:rPr>
                <w:sz w:val="24"/>
                <w:szCs w:val="24"/>
              </w:rPr>
              <w:t xml:space="preserve">Elektroniskās saskaņošanas: </w:t>
            </w:r>
            <w:r w:rsidR="00733976" w:rsidRPr="001D4D82">
              <w:rPr>
                <w:sz w:val="24"/>
                <w:szCs w:val="24"/>
              </w:rPr>
              <w:t xml:space="preserve">04.10.2019.-11.10.2019. un </w:t>
            </w:r>
            <w:r w:rsidR="00AF5D39" w:rsidRPr="001D4D82">
              <w:rPr>
                <w:sz w:val="24"/>
                <w:szCs w:val="24"/>
              </w:rPr>
              <w:t>25</w:t>
            </w:r>
            <w:r w:rsidR="0009706B" w:rsidRPr="001D4D82">
              <w:rPr>
                <w:sz w:val="24"/>
                <w:szCs w:val="24"/>
              </w:rPr>
              <w:t>.</w:t>
            </w:r>
            <w:r w:rsidR="00432ABC" w:rsidRPr="001D4D82">
              <w:rPr>
                <w:sz w:val="24"/>
                <w:szCs w:val="24"/>
              </w:rPr>
              <w:t>10.2019</w:t>
            </w:r>
            <w:r w:rsidR="0009706B" w:rsidRPr="001D4D82">
              <w:rPr>
                <w:sz w:val="24"/>
                <w:szCs w:val="24"/>
              </w:rPr>
              <w:t>-</w:t>
            </w:r>
            <w:r w:rsidR="00AF5D39" w:rsidRPr="001D4D82">
              <w:rPr>
                <w:sz w:val="24"/>
                <w:szCs w:val="24"/>
              </w:rPr>
              <w:t>0</w:t>
            </w:r>
            <w:r w:rsidR="0009706B" w:rsidRPr="001D4D82">
              <w:rPr>
                <w:sz w:val="24"/>
                <w:szCs w:val="24"/>
              </w:rPr>
              <w:t>1.1</w:t>
            </w:r>
            <w:r w:rsidR="00AF5D39" w:rsidRPr="001D4D82">
              <w:rPr>
                <w:sz w:val="24"/>
                <w:szCs w:val="24"/>
              </w:rPr>
              <w:t>1</w:t>
            </w:r>
            <w:r w:rsidR="0009706B" w:rsidRPr="001D4D82">
              <w:rPr>
                <w:sz w:val="24"/>
                <w:szCs w:val="24"/>
              </w:rPr>
              <w:t>.2019.</w:t>
            </w:r>
          </w:p>
        </w:tc>
      </w:tr>
      <w:tr w:rsidR="00432ABC" w:rsidRPr="001D4D82" w14:paraId="6541CD48" w14:textId="77777777" w:rsidTr="001D4D82">
        <w:tc>
          <w:tcPr>
            <w:tcW w:w="7371" w:type="dxa"/>
            <w:hideMark/>
          </w:tcPr>
          <w:p w14:paraId="0E1178F9" w14:textId="77777777" w:rsidR="00432ABC" w:rsidRPr="001D4D82" w:rsidRDefault="00432ABC" w:rsidP="00432ABC">
            <w:pPr>
              <w:spacing w:after="100" w:afterAutospacing="1"/>
              <w:rPr>
                <w:color w:val="000000"/>
                <w:sz w:val="24"/>
                <w:szCs w:val="24"/>
              </w:rPr>
            </w:pPr>
            <w:r w:rsidRPr="001D4D82">
              <w:rPr>
                <w:color w:val="000000"/>
                <w:sz w:val="24"/>
                <w:szCs w:val="24"/>
              </w:rPr>
              <w:t>Saskaņošanas dalībnieki</w:t>
            </w:r>
          </w:p>
        </w:tc>
        <w:tc>
          <w:tcPr>
            <w:tcW w:w="13183" w:type="dxa"/>
            <w:gridSpan w:val="3"/>
            <w:vMerge w:val="restart"/>
            <w:tcBorders>
              <w:top w:val="nil"/>
              <w:left w:val="nil"/>
              <w:bottom w:val="single" w:sz="4" w:space="0" w:color="auto"/>
              <w:right w:val="nil"/>
            </w:tcBorders>
            <w:hideMark/>
          </w:tcPr>
          <w:p w14:paraId="4F5AB0E9" w14:textId="5AAC8EF0" w:rsidR="00432ABC" w:rsidRPr="001D4D82" w:rsidRDefault="001918EA" w:rsidP="00432ABC">
            <w:pPr>
              <w:jc w:val="both"/>
              <w:rPr>
                <w:color w:val="000000"/>
                <w:sz w:val="24"/>
                <w:szCs w:val="24"/>
              </w:rPr>
            </w:pPr>
            <w:r w:rsidRPr="001D4D82">
              <w:rPr>
                <w:color w:val="000000"/>
                <w:sz w:val="24"/>
                <w:szCs w:val="24"/>
              </w:rPr>
              <w:t xml:space="preserve">Tieslietu ministrija, </w:t>
            </w:r>
            <w:r w:rsidR="003719B5" w:rsidRPr="001D4D82">
              <w:rPr>
                <w:color w:val="000000"/>
                <w:sz w:val="24"/>
                <w:szCs w:val="24"/>
              </w:rPr>
              <w:t xml:space="preserve">Finanšu ministrija, </w:t>
            </w:r>
            <w:proofErr w:type="spellStart"/>
            <w:r w:rsidR="003719B5" w:rsidRPr="001D4D82">
              <w:rPr>
                <w:color w:val="000000"/>
                <w:sz w:val="24"/>
                <w:szCs w:val="24"/>
              </w:rPr>
              <w:t>Iekšlietu</w:t>
            </w:r>
            <w:proofErr w:type="spellEnd"/>
            <w:r w:rsidR="003719B5" w:rsidRPr="001D4D82">
              <w:rPr>
                <w:color w:val="000000"/>
                <w:sz w:val="24"/>
                <w:szCs w:val="24"/>
              </w:rPr>
              <w:t xml:space="preserve"> ministrija, Izglītības un zinātnes ministrija, </w:t>
            </w:r>
            <w:r w:rsidR="00432ABC" w:rsidRPr="001D4D82">
              <w:rPr>
                <w:color w:val="000000"/>
                <w:sz w:val="24"/>
                <w:szCs w:val="24"/>
              </w:rPr>
              <w:t xml:space="preserve">Labklājības ministrija, </w:t>
            </w:r>
            <w:r w:rsidR="003719B5" w:rsidRPr="001D4D82">
              <w:rPr>
                <w:color w:val="000000"/>
                <w:sz w:val="24"/>
                <w:szCs w:val="24"/>
              </w:rPr>
              <w:t xml:space="preserve">Veselības ministrija, Vides aizsardzības un reģionālās attīstības ministrija, </w:t>
            </w:r>
            <w:proofErr w:type="spellStart"/>
            <w:r w:rsidR="003719B5" w:rsidRPr="001D4D82">
              <w:rPr>
                <w:color w:val="000000"/>
                <w:sz w:val="24"/>
                <w:szCs w:val="24"/>
              </w:rPr>
              <w:t>Pārresoru</w:t>
            </w:r>
            <w:proofErr w:type="spellEnd"/>
            <w:r w:rsidR="003719B5" w:rsidRPr="001D4D82">
              <w:rPr>
                <w:color w:val="000000"/>
                <w:sz w:val="24"/>
                <w:szCs w:val="24"/>
              </w:rPr>
              <w:t xml:space="preserve"> koordinācijas centrs, </w:t>
            </w:r>
            <w:r w:rsidR="00432ABC" w:rsidRPr="001D4D82">
              <w:rPr>
                <w:color w:val="000000"/>
                <w:sz w:val="24"/>
                <w:szCs w:val="24"/>
              </w:rPr>
              <w:t xml:space="preserve">Latvijas Pašvaldību savienība </w:t>
            </w:r>
          </w:p>
        </w:tc>
      </w:tr>
      <w:tr w:rsidR="00432ABC" w:rsidRPr="001D4D82" w14:paraId="7B565522" w14:textId="77777777" w:rsidTr="001D4D82">
        <w:tc>
          <w:tcPr>
            <w:tcW w:w="7371" w:type="dxa"/>
          </w:tcPr>
          <w:p w14:paraId="286D3FEA" w14:textId="77777777" w:rsidR="00432ABC" w:rsidRPr="001D4D82" w:rsidRDefault="00432ABC" w:rsidP="00432ABC">
            <w:pPr>
              <w:spacing w:before="100" w:beforeAutospacing="1" w:after="100" w:afterAutospacing="1"/>
              <w:rPr>
                <w:color w:val="000000"/>
                <w:sz w:val="24"/>
                <w:szCs w:val="24"/>
              </w:rPr>
            </w:pPr>
          </w:p>
        </w:tc>
        <w:tc>
          <w:tcPr>
            <w:tcW w:w="13183" w:type="dxa"/>
            <w:gridSpan w:val="3"/>
            <w:vMerge/>
            <w:tcBorders>
              <w:top w:val="nil"/>
              <w:left w:val="nil"/>
              <w:bottom w:val="single" w:sz="4" w:space="0" w:color="auto"/>
              <w:right w:val="nil"/>
            </w:tcBorders>
            <w:vAlign w:val="center"/>
            <w:hideMark/>
          </w:tcPr>
          <w:p w14:paraId="0239B80C" w14:textId="77777777" w:rsidR="00432ABC" w:rsidRPr="001D4D82" w:rsidRDefault="00432ABC" w:rsidP="00432ABC">
            <w:pPr>
              <w:rPr>
                <w:color w:val="000000"/>
                <w:sz w:val="24"/>
                <w:szCs w:val="24"/>
              </w:rPr>
            </w:pPr>
          </w:p>
        </w:tc>
      </w:tr>
      <w:tr w:rsidR="00432ABC" w:rsidRPr="001D4D82" w14:paraId="2D9833A6" w14:textId="77777777" w:rsidTr="001D4D82">
        <w:tc>
          <w:tcPr>
            <w:tcW w:w="7371" w:type="dxa"/>
          </w:tcPr>
          <w:p w14:paraId="3A0D0313" w14:textId="77777777" w:rsidR="00432ABC" w:rsidRPr="001D4D82" w:rsidRDefault="00432ABC" w:rsidP="00432ABC">
            <w:pPr>
              <w:spacing w:before="100" w:beforeAutospacing="1" w:after="100" w:afterAutospacing="1"/>
              <w:rPr>
                <w:color w:val="000000"/>
                <w:sz w:val="24"/>
                <w:szCs w:val="24"/>
              </w:rPr>
            </w:pPr>
          </w:p>
        </w:tc>
        <w:tc>
          <w:tcPr>
            <w:tcW w:w="13183" w:type="dxa"/>
            <w:gridSpan w:val="3"/>
            <w:vMerge/>
            <w:tcBorders>
              <w:top w:val="nil"/>
              <w:left w:val="nil"/>
              <w:bottom w:val="single" w:sz="4" w:space="0" w:color="auto"/>
              <w:right w:val="nil"/>
            </w:tcBorders>
            <w:vAlign w:val="center"/>
            <w:hideMark/>
          </w:tcPr>
          <w:p w14:paraId="203BB4EA" w14:textId="77777777" w:rsidR="00432ABC" w:rsidRPr="001D4D82" w:rsidRDefault="00432ABC" w:rsidP="00432ABC">
            <w:pPr>
              <w:rPr>
                <w:color w:val="000000"/>
                <w:sz w:val="24"/>
                <w:szCs w:val="24"/>
              </w:rPr>
            </w:pPr>
          </w:p>
        </w:tc>
      </w:tr>
      <w:tr w:rsidR="00432ABC" w:rsidRPr="001D4D82" w14:paraId="5AF499E9" w14:textId="77777777" w:rsidTr="001D4D82">
        <w:trPr>
          <w:gridAfter w:val="1"/>
          <w:wAfter w:w="5224" w:type="dxa"/>
        </w:trPr>
        <w:tc>
          <w:tcPr>
            <w:tcW w:w="7371" w:type="dxa"/>
          </w:tcPr>
          <w:p w14:paraId="43023B73" w14:textId="77777777" w:rsidR="00432ABC" w:rsidRPr="001D4D82" w:rsidRDefault="00432ABC" w:rsidP="00432ABC">
            <w:pPr>
              <w:spacing w:before="100" w:beforeAutospacing="1" w:after="100" w:afterAutospacing="1"/>
              <w:rPr>
                <w:color w:val="000000"/>
                <w:sz w:val="24"/>
                <w:szCs w:val="24"/>
              </w:rPr>
            </w:pPr>
          </w:p>
        </w:tc>
        <w:tc>
          <w:tcPr>
            <w:tcW w:w="236" w:type="dxa"/>
            <w:tcBorders>
              <w:top w:val="single" w:sz="4" w:space="0" w:color="auto"/>
              <w:left w:val="nil"/>
              <w:bottom w:val="nil"/>
              <w:right w:val="nil"/>
            </w:tcBorders>
          </w:tcPr>
          <w:p w14:paraId="47AF83F1" w14:textId="77777777" w:rsidR="00432ABC" w:rsidRPr="001D4D82" w:rsidRDefault="00432ABC" w:rsidP="00432ABC">
            <w:pPr>
              <w:spacing w:before="100" w:beforeAutospacing="1" w:after="100" w:afterAutospacing="1"/>
              <w:rPr>
                <w:color w:val="000000"/>
                <w:sz w:val="24"/>
                <w:szCs w:val="24"/>
              </w:rPr>
            </w:pPr>
          </w:p>
        </w:tc>
        <w:tc>
          <w:tcPr>
            <w:tcW w:w="7723" w:type="dxa"/>
            <w:tcBorders>
              <w:top w:val="single" w:sz="4" w:space="0" w:color="auto"/>
              <w:left w:val="nil"/>
              <w:bottom w:val="nil"/>
              <w:right w:val="nil"/>
            </w:tcBorders>
          </w:tcPr>
          <w:p w14:paraId="3365943C" w14:textId="77777777" w:rsidR="00432ABC" w:rsidRPr="001D4D82" w:rsidRDefault="00432ABC" w:rsidP="00432ABC">
            <w:pPr>
              <w:spacing w:before="100" w:beforeAutospacing="1" w:after="100" w:afterAutospacing="1"/>
              <w:rPr>
                <w:color w:val="000000"/>
                <w:sz w:val="24"/>
                <w:szCs w:val="24"/>
              </w:rPr>
            </w:pPr>
          </w:p>
        </w:tc>
      </w:tr>
      <w:tr w:rsidR="00432ABC" w:rsidRPr="001D4D82" w14:paraId="56096945" w14:textId="77777777" w:rsidTr="001D4D82">
        <w:tc>
          <w:tcPr>
            <w:tcW w:w="20554" w:type="dxa"/>
            <w:gridSpan w:val="4"/>
            <w:shd w:val="clear" w:color="auto" w:fill="FFFFFF" w:themeFill="background1"/>
            <w:hideMark/>
          </w:tcPr>
          <w:p w14:paraId="74C170DC" w14:textId="77777777" w:rsidR="00432ABC" w:rsidRPr="001D4D82" w:rsidRDefault="00432ABC" w:rsidP="00432ABC">
            <w:pPr>
              <w:rPr>
                <w:color w:val="000000"/>
                <w:sz w:val="24"/>
                <w:szCs w:val="24"/>
              </w:rPr>
            </w:pPr>
            <w:r w:rsidRPr="001D4D82">
              <w:rPr>
                <w:color w:val="000000"/>
                <w:sz w:val="24"/>
                <w:szCs w:val="24"/>
              </w:rPr>
              <w:t>Saskaņošanas dalībnieki izskatīja</w:t>
            </w:r>
          </w:p>
          <w:p w14:paraId="40333325" w14:textId="65DAABEB" w:rsidR="003C4991" w:rsidRPr="001D4D82" w:rsidRDefault="00432ABC" w:rsidP="003C4991">
            <w:pPr>
              <w:jc w:val="both"/>
              <w:rPr>
                <w:color w:val="000000"/>
                <w:sz w:val="24"/>
                <w:szCs w:val="24"/>
              </w:rPr>
            </w:pPr>
            <w:r w:rsidRPr="001D4D82">
              <w:rPr>
                <w:color w:val="000000"/>
                <w:sz w:val="24"/>
                <w:szCs w:val="24"/>
              </w:rPr>
              <w:t>šādu ministriju (citu institūciju) iebildumus</w:t>
            </w:r>
            <w:r w:rsidR="007E3643" w:rsidRPr="001D4D82">
              <w:rPr>
                <w:color w:val="000000"/>
                <w:sz w:val="24"/>
                <w:szCs w:val="24"/>
              </w:rPr>
              <w:t xml:space="preserve">                                               </w:t>
            </w:r>
          </w:p>
          <w:p w14:paraId="3C13935F" w14:textId="0E531046" w:rsidR="00432ABC" w:rsidRPr="001D4D82" w:rsidRDefault="00432ABC" w:rsidP="007E3643">
            <w:pPr>
              <w:jc w:val="both"/>
              <w:rPr>
                <w:color w:val="000000"/>
                <w:sz w:val="24"/>
                <w:szCs w:val="24"/>
              </w:rPr>
            </w:pPr>
          </w:p>
        </w:tc>
      </w:tr>
      <w:tr w:rsidR="00432ABC" w:rsidRPr="001D4D82" w14:paraId="03950805" w14:textId="77777777" w:rsidTr="001D4D82">
        <w:tc>
          <w:tcPr>
            <w:tcW w:w="7371" w:type="dxa"/>
          </w:tcPr>
          <w:p w14:paraId="42185A07" w14:textId="77777777" w:rsidR="00432ABC" w:rsidRPr="001D4D82" w:rsidRDefault="00432ABC" w:rsidP="00432ABC">
            <w:pPr>
              <w:spacing w:before="100" w:beforeAutospacing="1" w:after="100" w:afterAutospacing="1"/>
              <w:jc w:val="both"/>
              <w:rPr>
                <w:color w:val="000000"/>
                <w:sz w:val="24"/>
                <w:szCs w:val="24"/>
              </w:rPr>
            </w:pPr>
          </w:p>
        </w:tc>
        <w:tc>
          <w:tcPr>
            <w:tcW w:w="13183" w:type="dxa"/>
            <w:gridSpan w:val="3"/>
            <w:tcBorders>
              <w:top w:val="nil"/>
              <w:left w:val="nil"/>
              <w:bottom w:val="single" w:sz="4" w:space="0" w:color="auto"/>
              <w:right w:val="nil"/>
            </w:tcBorders>
            <w:hideMark/>
          </w:tcPr>
          <w:p w14:paraId="3B428FD7" w14:textId="66659885" w:rsidR="00432ABC" w:rsidRPr="001D4D82" w:rsidRDefault="00000A60" w:rsidP="00432ABC">
            <w:pPr>
              <w:spacing w:before="100" w:beforeAutospacing="1" w:after="100" w:afterAutospacing="1"/>
              <w:jc w:val="both"/>
              <w:rPr>
                <w:color w:val="000000"/>
                <w:sz w:val="24"/>
                <w:szCs w:val="24"/>
              </w:rPr>
            </w:pPr>
            <w:r w:rsidRPr="001D4D82">
              <w:rPr>
                <w:color w:val="000000"/>
                <w:sz w:val="24"/>
                <w:szCs w:val="24"/>
              </w:rPr>
              <w:t xml:space="preserve">Izglītības un zinātnes ministrijas,  </w:t>
            </w:r>
            <w:r w:rsidR="003C4991" w:rsidRPr="001D4D82">
              <w:rPr>
                <w:color w:val="000000"/>
                <w:sz w:val="24"/>
                <w:szCs w:val="24"/>
              </w:rPr>
              <w:t xml:space="preserve">Tieslietu ministrijas </w:t>
            </w:r>
          </w:p>
        </w:tc>
      </w:tr>
      <w:tr w:rsidR="00432ABC" w:rsidRPr="001D4D82" w14:paraId="3E510E66" w14:textId="77777777" w:rsidTr="001D4D82">
        <w:trPr>
          <w:gridAfter w:val="3"/>
          <w:wAfter w:w="13183" w:type="dxa"/>
        </w:trPr>
        <w:tc>
          <w:tcPr>
            <w:tcW w:w="7371" w:type="dxa"/>
          </w:tcPr>
          <w:p w14:paraId="0761644A" w14:textId="77777777" w:rsidR="00432ABC" w:rsidRPr="001D4D82" w:rsidRDefault="00432ABC" w:rsidP="00432ABC">
            <w:pPr>
              <w:spacing w:before="100" w:beforeAutospacing="1" w:after="100" w:afterAutospacing="1"/>
              <w:rPr>
                <w:color w:val="000000"/>
                <w:sz w:val="24"/>
                <w:szCs w:val="24"/>
              </w:rPr>
            </w:pPr>
          </w:p>
        </w:tc>
      </w:tr>
    </w:tbl>
    <w:tbl>
      <w:tblPr>
        <w:tblW w:w="20662" w:type="dxa"/>
        <w:tblInd w:w="-108" w:type="dxa"/>
        <w:tblLook w:val="00A0" w:firstRow="1" w:lastRow="0" w:firstColumn="1" w:lastColumn="0" w:noHBand="0" w:noVBand="0"/>
      </w:tblPr>
      <w:tblGrid>
        <w:gridCol w:w="7479"/>
        <w:gridCol w:w="13183"/>
      </w:tblGrid>
      <w:tr w:rsidR="00432ABC" w:rsidRPr="001D4D82" w14:paraId="3971EA36" w14:textId="77777777" w:rsidTr="009E709B">
        <w:trPr>
          <w:trHeight w:val="281"/>
        </w:trPr>
        <w:tc>
          <w:tcPr>
            <w:tcW w:w="7479" w:type="dxa"/>
          </w:tcPr>
          <w:p w14:paraId="58FD3465" w14:textId="06F53E1B" w:rsidR="00432ABC" w:rsidRPr="001D4D82" w:rsidRDefault="00432ABC" w:rsidP="00432ABC">
            <w:pPr>
              <w:spacing w:after="0" w:line="240" w:lineRule="auto"/>
              <w:rPr>
                <w:rFonts w:ascii="Times New Roman" w:hAnsi="Times New Roman" w:cs="Times New Roman"/>
                <w:color w:val="000000"/>
                <w:sz w:val="24"/>
                <w:szCs w:val="24"/>
              </w:rPr>
            </w:pPr>
            <w:r w:rsidRPr="001D4D82">
              <w:rPr>
                <w:rFonts w:ascii="Times New Roman" w:hAnsi="Times New Roman" w:cs="Times New Roman"/>
                <w:color w:val="000000"/>
                <w:sz w:val="24"/>
                <w:szCs w:val="24"/>
              </w:rPr>
              <w:t>Ministrijas (citas institūcijas), kuras nav ieradušās</w:t>
            </w:r>
            <w:r w:rsidR="001D4D82">
              <w:rPr>
                <w:rFonts w:ascii="Times New Roman" w:hAnsi="Times New Roman" w:cs="Times New Roman"/>
                <w:color w:val="000000"/>
                <w:sz w:val="24"/>
                <w:szCs w:val="24"/>
              </w:rPr>
              <w:t xml:space="preserve"> </w:t>
            </w:r>
            <w:r w:rsidRPr="001D4D82">
              <w:rPr>
                <w:rFonts w:ascii="Times New Roman" w:hAnsi="Times New Roman" w:cs="Times New Roman"/>
                <w:color w:val="000000"/>
                <w:sz w:val="24"/>
                <w:szCs w:val="24"/>
              </w:rPr>
              <w:t>uz sanāksmi vai kuras nav atbildējušas uz uzaicinājumu piedalīties elektroniskajā saskaņošanā</w:t>
            </w:r>
          </w:p>
        </w:tc>
        <w:tc>
          <w:tcPr>
            <w:tcW w:w="13183" w:type="dxa"/>
          </w:tcPr>
          <w:p w14:paraId="04CFF836" w14:textId="77777777" w:rsidR="00432ABC" w:rsidRPr="001D4D82" w:rsidRDefault="00432ABC" w:rsidP="00432ABC">
            <w:pPr>
              <w:spacing w:after="0" w:line="240" w:lineRule="auto"/>
              <w:ind w:firstLine="720"/>
              <w:rPr>
                <w:rFonts w:ascii="Times New Roman" w:eastAsia="Times New Roman" w:hAnsi="Times New Roman" w:cs="Times New Roman"/>
                <w:sz w:val="24"/>
                <w:szCs w:val="24"/>
                <w:lang w:eastAsia="lv-LV"/>
              </w:rPr>
            </w:pPr>
          </w:p>
        </w:tc>
      </w:tr>
      <w:tr w:rsidR="00432ABC" w:rsidRPr="00327CA9" w14:paraId="74EB2E54" w14:textId="77777777" w:rsidTr="009E709B">
        <w:trPr>
          <w:trHeight w:val="109"/>
        </w:trPr>
        <w:tc>
          <w:tcPr>
            <w:tcW w:w="7479" w:type="dxa"/>
          </w:tcPr>
          <w:p w14:paraId="6232F51A" w14:textId="77777777" w:rsidR="00432ABC" w:rsidRPr="00327CA9" w:rsidRDefault="00432ABC" w:rsidP="00432ABC">
            <w:pPr>
              <w:spacing w:after="0" w:line="240" w:lineRule="auto"/>
              <w:ind w:firstLine="720"/>
              <w:rPr>
                <w:rFonts w:ascii="Times New Roman" w:eastAsia="Times New Roman" w:hAnsi="Times New Roman" w:cs="Times New Roman"/>
                <w:sz w:val="24"/>
                <w:szCs w:val="24"/>
                <w:lang w:eastAsia="lv-LV"/>
              </w:rPr>
            </w:pPr>
            <w:r w:rsidRPr="00327CA9">
              <w:rPr>
                <w:rFonts w:ascii="Times New Roman" w:eastAsia="Times New Roman" w:hAnsi="Times New Roman" w:cs="Times New Roman"/>
                <w:sz w:val="24"/>
                <w:szCs w:val="24"/>
                <w:lang w:eastAsia="lv-LV"/>
              </w:rPr>
              <w:t>  </w:t>
            </w:r>
          </w:p>
        </w:tc>
        <w:tc>
          <w:tcPr>
            <w:tcW w:w="13183" w:type="dxa"/>
            <w:tcBorders>
              <w:top w:val="single" w:sz="6" w:space="0" w:color="000000"/>
              <w:bottom w:val="single" w:sz="6" w:space="0" w:color="000000"/>
            </w:tcBorders>
          </w:tcPr>
          <w:p w14:paraId="57F1DE54" w14:textId="08687073" w:rsidR="00432ABC" w:rsidRPr="00327CA9" w:rsidRDefault="009E709B" w:rsidP="00432ABC">
            <w:pPr>
              <w:spacing w:after="0" w:line="240" w:lineRule="auto"/>
              <w:ind w:firstLine="720"/>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Iekšlietu</w:t>
            </w:r>
            <w:proofErr w:type="spellEnd"/>
            <w:r>
              <w:rPr>
                <w:rFonts w:ascii="Times New Roman" w:eastAsia="Times New Roman" w:hAnsi="Times New Roman" w:cs="Times New Roman"/>
                <w:sz w:val="24"/>
                <w:szCs w:val="24"/>
                <w:lang w:eastAsia="lv-LV"/>
              </w:rPr>
              <w:t xml:space="preserve"> ministrija, </w:t>
            </w:r>
            <w:proofErr w:type="spellStart"/>
            <w:r w:rsidR="006C3C59">
              <w:rPr>
                <w:rFonts w:ascii="Times New Roman" w:eastAsia="Times New Roman" w:hAnsi="Times New Roman" w:cs="Times New Roman"/>
                <w:sz w:val="24"/>
                <w:szCs w:val="24"/>
                <w:lang w:eastAsia="lv-LV"/>
              </w:rPr>
              <w:t>Pārresoru</w:t>
            </w:r>
            <w:proofErr w:type="spellEnd"/>
            <w:r w:rsidR="006C3C59">
              <w:rPr>
                <w:rFonts w:ascii="Times New Roman" w:eastAsia="Times New Roman" w:hAnsi="Times New Roman" w:cs="Times New Roman"/>
                <w:sz w:val="24"/>
                <w:szCs w:val="24"/>
                <w:lang w:eastAsia="lv-LV"/>
              </w:rPr>
              <w:t xml:space="preserve"> koordinācijas centrs</w:t>
            </w:r>
          </w:p>
        </w:tc>
      </w:tr>
      <w:tr w:rsidR="00432ABC" w:rsidRPr="00327CA9" w14:paraId="18A6C415" w14:textId="77777777" w:rsidTr="009E709B">
        <w:trPr>
          <w:trHeight w:val="115"/>
        </w:trPr>
        <w:tc>
          <w:tcPr>
            <w:tcW w:w="7479" w:type="dxa"/>
          </w:tcPr>
          <w:p w14:paraId="7D5D4958" w14:textId="77777777" w:rsidR="00432ABC" w:rsidRPr="00327CA9" w:rsidRDefault="00432ABC" w:rsidP="00432ABC">
            <w:pPr>
              <w:spacing w:after="0" w:line="240" w:lineRule="auto"/>
              <w:ind w:firstLine="720"/>
              <w:rPr>
                <w:rFonts w:ascii="Times New Roman" w:eastAsia="Times New Roman" w:hAnsi="Times New Roman" w:cs="Times New Roman"/>
                <w:sz w:val="24"/>
                <w:szCs w:val="24"/>
                <w:lang w:eastAsia="lv-LV"/>
              </w:rPr>
            </w:pPr>
            <w:r w:rsidRPr="00327CA9">
              <w:rPr>
                <w:rFonts w:ascii="Times New Roman" w:eastAsia="Times New Roman" w:hAnsi="Times New Roman" w:cs="Times New Roman"/>
                <w:sz w:val="24"/>
                <w:szCs w:val="24"/>
                <w:lang w:eastAsia="lv-LV"/>
              </w:rPr>
              <w:t>  </w:t>
            </w:r>
          </w:p>
        </w:tc>
        <w:tc>
          <w:tcPr>
            <w:tcW w:w="13183" w:type="dxa"/>
            <w:tcBorders>
              <w:bottom w:val="single" w:sz="6" w:space="0" w:color="000000"/>
            </w:tcBorders>
          </w:tcPr>
          <w:p w14:paraId="7ED3A67B" w14:textId="77777777" w:rsidR="00432ABC" w:rsidRPr="00327CA9" w:rsidRDefault="00432ABC" w:rsidP="00432ABC">
            <w:pPr>
              <w:spacing w:after="0" w:line="240" w:lineRule="auto"/>
              <w:ind w:firstLine="720"/>
              <w:rPr>
                <w:rFonts w:ascii="Times New Roman" w:eastAsia="Times New Roman" w:hAnsi="Times New Roman" w:cs="Times New Roman"/>
                <w:sz w:val="24"/>
                <w:szCs w:val="24"/>
                <w:lang w:eastAsia="lv-LV"/>
              </w:rPr>
            </w:pPr>
          </w:p>
        </w:tc>
      </w:tr>
    </w:tbl>
    <w:p w14:paraId="50BD15CC" w14:textId="77777777" w:rsidR="00432ABC" w:rsidRPr="00327CA9" w:rsidRDefault="00432ABC" w:rsidP="00432ABC">
      <w:pPr>
        <w:spacing w:after="0" w:line="240" w:lineRule="auto"/>
        <w:jc w:val="both"/>
        <w:rPr>
          <w:rFonts w:ascii="Times New Roman" w:eastAsia="Times New Roman" w:hAnsi="Times New Roman" w:cs="Times New Roman"/>
          <w:b/>
          <w:sz w:val="24"/>
          <w:szCs w:val="24"/>
          <w:lang w:eastAsia="lv-LV"/>
        </w:rPr>
      </w:pPr>
    </w:p>
    <w:p w14:paraId="00FA077C" w14:textId="77777777" w:rsidR="00432ABC" w:rsidRPr="00327CA9" w:rsidRDefault="00432ABC" w:rsidP="00432ABC">
      <w:pPr>
        <w:spacing w:after="0" w:line="240" w:lineRule="auto"/>
        <w:jc w:val="center"/>
        <w:rPr>
          <w:rFonts w:ascii="Times New Roman" w:eastAsia="Times New Roman" w:hAnsi="Times New Roman" w:cs="Times New Roman"/>
          <w:b/>
          <w:sz w:val="24"/>
          <w:szCs w:val="24"/>
          <w:lang w:eastAsia="lv-LV"/>
        </w:rPr>
      </w:pPr>
    </w:p>
    <w:p w14:paraId="1C22F61A" w14:textId="77777777" w:rsidR="007E3643" w:rsidRPr="00327CA9" w:rsidRDefault="007E3643" w:rsidP="00432ABC">
      <w:pPr>
        <w:spacing w:after="0" w:line="240" w:lineRule="auto"/>
        <w:jc w:val="center"/>
        <w:rPr>
          <w:rFonts w:ascii="Times New Roman" w:eastAsia="Times New Roman" w:hAnsi="Times New Roman" w:cs="Times New Roman"/>
          <w:b/>
          <w:sz w:val="24"/>
          <w:szCs w:val="24"/>
          <w:lang w:eastAsia="lv-LV"/>
        </w:rPr>
      </w:pPr>
    </w:p>
    <w:p w14:paraId="12FDC165" w14:textId="2C49893F" w:rsidR="00432ABC" w:rsidRPr="00327CA9" w:rsidRDefault="00432ABC" w:rsidP="00432ABC">
      <w:pPr>
        <w:spacing w:after="0" w:line="240" w:lineRule="auto"/>
        <w:jc w:val="center"/>
        <w:rPr>
          <w:rFonts w:ascii="Times New Roman" w:eastAsia="Times New Roman" w:hAnsi="Times New Roman" w:cs="Times New Roman"/>
          <w:b/>
          <w:sz w:val="24"/>
          <w:szCs w:val="24"/>
          <w:lang w:eastAsia="lv-LV"/>
        </w:rPr>
      </w:pPr>
      <w:r w:rsidRPr="00327CA9">
        <w:rPr>
          <w:rFonts w:ascii="Times New Roman" w:eastAsia="Times New Roman" w:hAnsi="Times New Roman" w:cs="Times New Roman"/>
          <w:b/>
          <w:sz w:val="24"/>
          <w:szCs w:val="24"/>
          <w:lang w:eastAsia="lv-LV"/>
        </w:rPr>
        <w:t>II. Jautājumi, par kuriem saskaņošanā vienošanās ir panākta</w:t>
      </w:r>
    </w:p>
    <w:p w14:paraId="2BF0ECA7" w14:textId="77777777" w:rsidR="00432ABC" w:rsidRPr="00327CA9" w:rsidRDefault="00432ABC" w:rsidP="00432ABC">
      <w:pPr>
        <w:spacing w:after="0" w:line="240" w:lineRule="auto"/>
        <w:ind w:firstLine="720"/>
        <w:jc w:val="both"/>
        <w:rPr>
          <w:rFonts w:ascii="Times New Roman" w:eastAsia="Times New Roman" w:hAnsi="Times New Roman" w:cs="Times New Roman"/>
          <w:sz w:val="24"/>
          <w:szCs w:val="24"/>
          <w:lang w:eastAsia="lv-LV"/>
        </w:rPr>
      </w:pPr>
    </w:p>
    <w:tbl>
      <w:tblPr>
        <w:tblW w:w="2054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35"/>
        <w:gridCol w:w="2943"/>
        <w:gridCol w:w="8788"/>
        <w:gridCol w:w="3544"/>
        <w:gridCol w:w="4536"/>
      </w:tblGrid>
      <w:tr w:rsidR="00432ABC" w:rsidRPr="00327CA9" w14:paraId="28E2600C" w14:textId="77777777" w:rsidTr="001D4D82">
        <w:tc>
          <w:tcPr>
            <w:tcW w:w="735" w:type="dxa"/>
            <w:tcBorders>
              <w:top w:val="single" w:sz="6" w:space="0" w:color="000000"/>
              <w:left w:val="single" w:sz="6" w:space="0" w:color="000000"/>
              <w:bottom w:val="single" w:sz="6" w:space="0" w:color="000000"/>
              <w:right w:val="single" w:sz="6" w:space="0" w:color="000000"/>
            </w:tcBorders>
            <w:vAlign w:val="center"/>
          </w:tcPr>
          <w:p w14:paraId="54B3810B" w14:textId="77777777" w:rsidR="00432ABC" w:rsidRPr="00327CA9" w:rsidRDefault="00432ABC" w:rsidP="00432ABC">
            <w:pPr>
              <w:spacing w:after="0" w:line="240" w:lineRule="auto"/>
              <w:jc w:val="center"/>
              <w:rPr>
                <w:rFonts w:ascii="Times New Roman" w:eastAsia="Times New Roman" w:hAnsi="Times New Roman" w:cs="Times New Roman"/>
                <w:sz w:val="24"/>
                <w:szCs w:val="24"/>
                <w:lang w:eastAsia="lv-LV"/>
              </w:rPr>
            </w:pPr>
            <w:r w:rsidRPr="00327CA9">
              <w:rPr>
                <w:rFonts w:ascii="Times New Roman" w:eastAsia="Times New Roman" w:hAnsi="Times New Roman" w:cs="Times New Roman"/>
                <w:sz w:val="24"/>
                <w:szCs w:val="24"/>
                <w:lang w:eastAsia="lv-LV"/>
              </w:rPr>
              <w:t>Nr. p.k.</w:t>
            </w:r>
          </w:p>
        </w:tc>
        <w:tc>
          <w:tcPr>
            <w:tcW w:w="2943" w:type="dxa"/>
            <w:tcBorders>
              <w:top w:val="single" w:sz="6" w:space="0" w:color="000000"/>
              <w:left w:val="single" w:sz="6" w:space="0" w:color="000000"/>
              <w:bottom w:val="single" w:sz="6" w:space="0" w:color="000000"/>
              <w:right w:val="single" w:sz="6" w:space="0" w:color="000000"/>
            </w:tcBorders>
            <w:vAlign w:val="center"/>
          </w:tcPr>
          <w:p w14:paraId="056A784D" w14:textId="77777777" w:rsidR="00432ABC" w:rsidRPr="00327CA9" w:rsidRDefault="00432ABC" w:rsidP="00432ABC">
            <w:pPr>
              <w:spacing w:after="0" w:line="240" w:lineRule="auto"/>
              <w:ind w:firstLine="12"/>
              <w:jc w:val="center"/>
              <w:rPr>
                <w:rFonts w:ascii="Times New Roman" w:eastAsia="Times New Roman" w:hAnsi="Times New Roman" w:cs="Times New Roman"/>
                <w:sz w:val="24"/>
                <w:szCs w:val="24"/>
                <w:lang w:eastAsia="lv-LV"/>
              </w:rPr>
            </w:pPr>
            <w:r w:rsidRPr="00327CA9">
              <w:rPr>
                <w:rFonts w:ascii="Times New Roman" w:eastAsia="Times New Roman" w:hAnsi="Times New Roman" w:cs="Times New Roman"/>
                <w:sz w:val="24"/>
                <w:szCs w:val="24"/>
                <w:lang w:eastAsia="lv-LV"/>
              </w:rPr>
              <w:t>Saskaņošanai nosūtītā projekta redakcija (konkrēta punkta (panta) redakcija)</w:t>
            </w:r>
          </w:p>
        </w:tc>
        <w:tc>
          <w:tcPr>
            <w:tcW w:w="8788" w:type="dxa"/>
            <w:tcBorders>
              <w:top w:val="single" w:sz="6" w:space="0" w:color="000000"/>
              <w:left w:val="single" w:sz="6" w:space="0" w:color="000000"/>
              <w:bottom w:val="single" w:sz="6" w:space="0" w:color="000000"/>
              <w:right w:val="single" w:sz="6" w:space="0" w:color="000000"/>
            </w:tcBorders>
            <w:vAlign w:val="center"/>
          </w:tcPr>
          <w:p w14:paraId="6095CFFA" w14:textId="77777777" w:rsidR="00432ABC" w:rsidRPr="00327CA9" w:rsidRDefault="00432ABC" w:rsidP="00432ABC">
            <w:pPr>
              <w:spacing w:after="0" w:line="240" w:lineRule="auto"/>
              <w:ind w:right="3"/>
              <w:jc w:val="center"/>
              <w:rPr>
                <w:rFonts w:ascii="Times New Roman" w:eastAsia="Times New Roman" w:hAnsi="Times New Roman" w:cs="Times New Roman"/>
                <w:sz w:val="24"/>
                <w:szCs w:val="24"/>
                <w:lang w:eastAsia="lv-LV"/>
              </w:rPr>
            </w:pPr>
            <w:r w:rsidRPr="00327CA9">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6E5897E3" w14:textId="77777777" w:rsidR="00432ABC" w:rsidRPr="00327CA9" w:rsidRDefault="00432ABC" w:rsidP="00432ABC">
            <w:pPr>
              <w:spacing w:after="0" w:line="240" w:lineRule="auto"/>
              <w:ind w:firstLine="21"/>
              <w:jc w:val="center"/>
              <w:rPr>
                <w:rFonts w:ascii="Times New Roman" w:eastAsia="Times New Roman" w:hAnsi="Times New Roman" w:cs="Times New Roman"/>
                <w:sz w:val="24"/>
                <w:szCs w:val="24"/>
                <w:lang w:eastAsia="lv-LV"/>
              </w:rPr>
            </w:pPr>
            <w:r w:rsidRPr="00327CA9">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4536" w:type="dxa"/>
            <w:tcBorders>
              <w:top w:val="single" w:sz="4" w:space="0" w:color="auto"/>
              <w:left w:val="single" w:sz="4" w:space="0" w:color="auto"/>
              <w:bottom w:val="single" w:sz="4" w:space="0" w:color="auto"/>
            </w:tcBorders>
            <w:vAlign w:val="center"/>
          </w:tcPr>
          <w:p w14:paraId="57C7D926" w14:textId="77777777" w:rsidR="00432ABC" w:rsidRPr="00327CA9" w:rsidRDefault="00432ABC" w:rsidP="00432ABC">
            <w:pPr>
              <w:jc w:val="center"/>
              <w:rPr>
                <w:rFonts w:ascii="Times New Roman" w:hAnsi="Times New Roman" w:cs="Times New Roman"/>
              </w:rPr>
            </w:pPr>
            <w:r w:rsidRPr="00327CA9">
              <w:rPr>
                <w:rFonts w:ascii="Times New Roman" w:hAnsi="Times New Roman" w:cs="Times New Roman"/>
                <w:sz w:val="24"/>
              </w:rPr>
              <w:t>Projekta attiecīgā punkta (panta) galīgā redakcija</w:t>
            </w:r>
          </w:p>
        </w:tc>
      </w:tr>
      <w:tr w:rsidR="00432ABC" w:rsidRPr="00327CA9" w14:paraId="7187871F" w14:textId="77777777" w:rsidTr="001D4D82">
        <w:trPr>
          <w:trHeight w:val="325"/>
        </w:trPr>
        <w:tc>
          <w:tcPr>
            <w:tcW w:w="735" w:type="dxa"/>
            <w:tcBorders>
              <w:top w:val="single" w:sz="6" w:space="0" w:color="000000"/>
              <w:left w:val="single" w:sz="6" w:space="0" w:color="000000"/>
              <w:bottom w:val="single" w:sz="6" w:space="0" w:color="000000"/>
              <w:right w:val="single" w:sz="6" w:space="0" w:color="000000"/>
            </w:tcBorders>
          </w:tcPr>
          <w:p w14:paraId="0F8B6CA7" w14:textId="77777777" w:rsidR="00432ABC" w:rsidRPr="00327CA9" w:rsidRDefault="00432ABC" w:rsidP="00530AD9">
            <w:pPr>
              <w:spacing w:after="75" w:line="240" w:lineRule="auto"/>
              <w:jc w:val="center"/>
              <w:rPr>
                <w:rFonts w:ascii="Times New Roman" w:eastAsia="Times New Roman" w:hAnsi="Times New Roman" w:cs="Times New Roman"/>
                <w:sz w:val="20"/>
                <w:szCs w:val="20"/>
                <w:lang w:eastAsia="lv-LV"/>
              </w:rPr>
            </w:pPr>
            <w:r w:rsidRPr="00327CA9">
              <w:rPr>
                <w:rFonts w:ascii="Times New Roman" w:eastAsia="Times New Roman" w:hAnsi="Times New Roman" w:cs="Times New Roman"/>
                <w:sz w:val="20"/>
                <w:szCs w:val="20"/>
                <w:lang w:eastAsia="lv-LV"/>
              </w:rPr>
              <w:t>1</w:t>
            </w:r>
          </w:p>
        </w:tc>
        <w:tc>
          <w:tcPr>
            <w:tcW w:w="2943" w:type="dxa"/>
            <w:tcBorders>
              <w:top w:val="single" w:sz="6" w:space="0" w:color="000000"/>
              <w:left w:val="single" w:sz="6" w:space="0" w:color="000000"/>
              <w:bottom w:val="single" w:sz="6" w:space="0" w:color="000000"/>
              <w:right w:val="single" w:sz="6" w:space="0" w:color="000000"/>
            </w:tcBorders>
          </w:tcPr>
          <w:p w14:paraId="72D3F04C" w14:textId="77777777" w:rsidR="00432ABC" w:rsidRPr="00327CA9" w:rsidRDefault="00432ABC" w:rsidP="00530AD9">
            <w:pPr>
              <w:spacing w:after="75" w:line="240" w:lineRule="auto"/>
              <w:ind w:firstLine="720"/>
              <w:jc w:val="center"/>
              <w:rPr>
                <w:rFonts w:ascii="Times New Roman" w:eastAsia="Times New Roman" w:hAnsi="Times New Roman" w:cs="Times New Roman"/>
                <w:sz w:val="20"/>
                <w:szCs w:val="20"/>
                <w:lang w:eastAsia="lv-LV"/>
              </w:rPr>
            </w:pPr>
            <w:r w:rsidRPr="00327CA9">
              <w:rPr>
                <w:rFonts w:ascii="Times New Roman" w:eastAsia="Times New Roman" w:hAnsi="Times New Roman" w:cs="Times New Roman"/>
                <w:sz w:val="20"/>
                <w:szCs w:val="20"/>
                <w:lang w:eastAsia="lv-LV"/>
              </w:rPr>
              <w:t>2</w:t>
            </w:r>
          </w:p>
        </w:tc>
        <w:tc>
          <w:tcPr>
            <w:tcW w:w="8788" w:type="dxa"/>
            <w:tcBorders>
              <w:top w:val="single" w:sz="6" w:space="0" w:color="000000"/>
              <w:left w:val="single" w:sz="6" w:space="0" w:color="000000"/>
              <w:bottom w:val="single" w:sz="6" w:space="0" w:color="000000"/>
              <w:right w:val="single" w:sz="6" w:space="0" w:color="000000"/>
            </w:tcBorders>
          </w:tcPr>
          <w:p w14:paraId="47B68533" w14:textId="77777777" w:rsidR="00432ABC" w:rsidRPr="00327CA9" w:rsidRDefault="00432ABC" w:rsidP="00530AD9">
            <w:pPr>
              <w:spacing w:after="75" w:line="240" w:lineRule="auto"/>
              <w:ind w:firstLine="720"/>
              <w:jc w:val="center"/>
              <w:rPr>
                <w:rFonts w:ascii="Times New Roman" w:eastAsia="Times New Roman" w:hAnsi="Times New Roman" w:cs="Times New Roman"/>
                <w:sz w:val="20"/>
                <w:szCs w:val="20"/>
                <w:lang w:eastAsia="lv-LV"/>
              </w:rPr>
            </w:pPr>
            <w:r w:rsidRPr="00327CA9">
              <w:rPr>
                <w:rFonts w:ascii="Times New Roman" w:eastAsia="Times New Roman" w:hAnsi="Times New Roman" w:cs="Times New Roman"/>
                <w:sz w:val="20"/>
                <w:szCs w:val="20"/>
                <w:lang w:eastAsia="lv-LV"/>
              </w:rPr>
              <w:t>3</w:t>
            </w:r>
          </w:p>
        </w:tc>
        <w:tc>
          <w:tcPr>
            <w:tcW w:w="3544" w:type="dxa"/>
            <w:tcBorders>
              <w:top w:val="single" w:sz="6" w:space="0" w:color="000000"/>
              <w:left w:val="single" w:sz="6" w:space="0" w:color="000000"/>
              <w:bottom w:val="single" w:sz="6" w:space="0" w:color="000000"/>
              <w:right w:val="single" w:sz="6" w:space="0" w:color="000000"/>
            </w:tcBorders>
          </w:tcPr>
          <w:p w14:paraId="4020DD74" w14:textId="77777777" w:rsidR="00432ABC" w:rsidRPr="00327CA9" w:rsidRDefault="00432ABC" w:rsidP="00530AD9">
            <w:pPr>
              <w:spacing w:after="75" w:line="240" w:lineRule="auto"/>
              <w:ind w:firstLine="720"/>
              <w:jc w:val="center"/>
              <w:rPr>
                <w:rFonts w:ascii="Times New Roman" w:eastAsia="Times New Roman" w:hAnsi="Times New Roman" w:cs="Times New Roman"/>
                <w:sz w:val="20"/>
                <w:szCs w:val="20"/>
                <w:lang w:eastAsia="lv-LV"/>
              </w:rPr>
            </w:pPr>
            <w:r w:rsidRPr="00327CA9">
              <w:rPr>
                <w:rFonts w:ascii="Times New Roman" w:eastAsia="Times New Roman" w:hAnsi="Times New Roman" w:cs="Times New Roman"/>
                <w:sz w:val="20"/>
                <w:szCs w:val="20"/>
                <w:lang w:eastAsia="lv-LV"/>
              </w:rPr>
              <w:t>4</w:t>
            </w:r>
          </w:p>
        </w:tc>
        <w:tc>
          <w:tcPr>
            <w:tcW w:w="4536" w:type="dxa"/>
            <w:tcBorders>
              <w:top w:val="single" w:sz="4" w:space="0" w:color="auto"/>
              <w:left w:val="single" w:sz="4" w:space="0" w:color="auto"/>
              <w:bottom w:val="single" w:sz="4" w:space="0" w:color="auto"/>
            </w:tcBorders>
          </w:tcPr>
          <w:p w14:paraId="47DC8282" w14:textId="77777777" w:rsidR="00432ABC" w:rsidRPr="00327CA9" w:rsidRDefault="00432ABC" w:rsidP="00530AD9">
            <w:pPr>
              <w:spacing w:after="75"/>
              <w:jc w:val="center"/>
              <w:rPr>
                <w:rFonts w:ascii="Times New Roman" w:hAnsi="Times New Roman" w:cs="Times New Roman"/>
                <w:sz w:val="20"/>
                <w:szCs w:val="20"/>
              </w:rPr>
            </w:pPr>
            <w:r w:rsidRPr="00327CA9">
              <w:rPr>
                <w:rFonts w:ascii="Times New Roman" w:hAnsi="Times New Roman" w:cs="Times New Roman"/>
                <w:sz w:val="20"/>
                <w:szCs w:val="20"/>
              </w:rPr>
              <w:t>5</w:t>
            </w:r>
          </w:p>
        </w:tc>
      </w:tr>
      <w:tr w:rsidR="00432ABC" w:rsidRPr="00327CA9" w14:paraId="776A95CF" w14:textId="77777777" w:rsidTr="001D4D82">
        <w:tc>
          <w:tcPr>
            <w:tcW w:w="20546" w:type="dxa"/>
            <w:gridSpan w:val="5"/>
            <w:tcBorders>
              <w:top w:val="single" w:sz="6" w:space="0" w:color="000000"/>
              <w:left w:val="single" w:sz="6" w:space="0" w:color="000000"/>
              <w:bottom w:val="single" w:sz="6" w:space="0" w:color="000000"/>
            </w:tcBorders>
          </w:tcPr>
          <w:p w14:paraId="77579E8E" w14:textId="0C85CE0C" w:rsidR="00432ABC" w:rsidRPr="00327CA9" w:rsidRDefault="00000A60" w:rsidP="00432ABC">
            <w:pPr>
              <w:spacing w:after="0" w:line="240" w:lineRule="auto"/>
              <w:jc w:val="center"/>
              <w:rPr>
                <w:rFonts w:ascii="Times New Roman" w:eastAsia="Times New Roman" w:hAnsi="Times New Roman" w:cs="Times New Roman"/>
                <w:b/>
                <w:sz w:val="28"/>
                <w:szCs w:val="28"/>
                <w:lang w:eastAsia="lv-LV"/>
              </w:rPr>
            </w:pPr>
            <w:r w:rsidRPr="00327CA9">
              <w:rPr>
                <w:rFonts w:ascii="Times New Roman" w:eastAsia="Times New Roman" w:hAnsi="Times New Roman" w:cs="Times New Roman"/>
                <w:b/>
                <w:sz w:val="28"/>
                <w:szCs w:val="28"/>
                <w:lang w:eastAsia="lv-LV"/>
              </w:rPr>
              <w:t>Izglītības un zinātnes ministrija</w:t>
            </w:r>
          </w:p>
        </w:tc>
      </w:tr>
      <w:tr w:rsidR="00432ABC" w:rsidRPr="00327CA9" w14:paraId="71314BD2" w14:textId="77777777" w:rsidTr="001D4D82">
        <w:tc>
          <w:tcPr>
            <w:tcW w:w="735" w:type="dxa"/>
            <w:tcBorders>
              <w:top w:val="single" w:sz="6" w:space="0" w:color="000000"/>
              <w:left w:val="single" w:sz="6" w:space="0" w:color="000000"/>
              <w:bottom w:val="single" w:sz="6" w:space="0" w:color="000000"/>
              <w:right w:val="single" w:sz="6" w:space="0" w:color="000000"/>
            </w:tcBorders>
          </w:tcPr>
          <w:p w14:paraId="4F021983" w14:textId="77777777" w:rsidR="00432ABC" w:rsidRPr="000E7DDC" w:rsidRDefault="00432ABC" w:rsidP="00432ABC">
            <w:pPr>
              <w:spacing w:after="0" w:line="240" w:lineRule="auto"/>
              <w:jc w:val="both"/>
              <w:rPr>
                <w:rFonts w:ascii="Times New Roman" w:eastAsia="Times New Roman" w:hAnsi="Times New Roman" w:cs="Times New Roman"/>
                <w:sz w:val="24"/>
                <w:szCs w:val="24"/>
                <w:lang w:eastAsia="lv-LV"/>
              </w:rPr>
            </w:pPr>
            <w:r w:rsidRPr="000E7DDC">
              <w:rPr>
                <w:rFonts w:ascii="Times New Roman" w:eastAsia="Times New Roman" w:hAnsi="Times New Roman" w:cs="Times New Roman"/>
                <w:sz w:val="24"/>
                <w:szCs w:val="24"/>
                <w:lang w:eastAsia="lv-LV"/>
              </w:rPr>
              <w:t>1.</w:t>
            </w:r>
          </w:p>
        </w:tc>
        <w:tc>
          <w:tcPr>
            <w:tcW w:w="2943" w:type="dxa"/>
            <w:tcBorders>
              <w:top w:val="single" w:sz="6" w:space="0" w:color="000000"/>
              <w:left w:val="single" w:sz="6" w:space="0" w:color="000000"/>
              <w:bottom w:val="single" w:sz="6" w:space="0" w:color="000000"/>
              <w:right w:val="single" w:sz="6" w:space="0" w:color="000000"/>
            </w:tcBorders>
          </w:tcPr>
          <w:p w14:paraId="5ADEC4D3" w14:textId="20D58263" w:rsidR="00AF5AB7" w:rsidRPr="00327CA9" w:rsidRDefault="00AF5AB7" w:rsidP="00AF5AB7">
            <w:pPr>
              <w:pStyle w:val="naisc"/>
              <w:spacing w:before="0" w:after="0"/>
              <w:jc w:val="both"/>
              <w:rPr>
                <w:b/>
                <w:color w:val="000000" w:themeColor="text1"/>
              </w:rPr>
            </w:pPr>
            <w:r w:rsidRPr="00327CA9">
              <w:rPr>
                <w:color w:val="000000"/>
              </w:rPr>
              <w:t>MK noteikumu projekta pielikuma 2. tabula</w:t>
            </w:r>
          </w:p>
          <w:p w14:paraId="1E99A569" w14:textId="0B8CDF94" w:rsidR="00432ABC" w:rsidRPr="00327CA9" w:rsidRDefault="00432ABC" w:rsidP="00432ABC">
            <w:pPr>
              <w:spacing w:after="0" w:line="240" w:lineRule="auto"/>
              <w:jc w:val="both"/>
              <w:rPr>
                <w:rFonts w:ascii="Times New Roman" w:eastAsia="Times New Roman" w:hAnsi="Times New Roman" w:cs="Times New Roman"/>
                <w:sz w:val="20"/>
                <w:szCs w:val="20"/>
                <w:lang w:eastAsia="lv-LV"/>
              </w:rPr>
            </w:pPr>
          </w:p>
        </w:tc>
        <w:tc>
          <w:tcPr>
            <w:tcW w:w="8788" w:type="dxa"/>
            <w:tcBorders>
              <w:top w:val="single" w:sz="6" w:space="0" w:color="000000"/>
              <w:left w:val="single" w:sz="6" w:space="0" w:color="000000"/>
              <w:bottom w:val="single" w:sz="6" w:space="0" w:color="000000"/>
              <w:right w:val="single" w:sz="6" w:space="0" w:color="000000"/>
            </w:tcBorders>
          </w:tcPr>
          <w:p w14:paraId="076B796D" w14:textId="0E426752" w:rsidR="00432ABC" w:rsidRPr="00327CA9" w:rsidRDefault="00000A60" w:rsidP="00432ABC">
            <w:pPr>
              <w:widowControl w:val="0"/>
              <w:spacing w:after="0" w:line="240" w:lineRule="auto"/>
              <w:jc w:val="both"/>
              <w:rPr>
                <w:rFonts w:ascii="Times New Roman" w:hAnsi="Times New Roman" w:cs="Times New Roman"/>
                <w:sz w:val="24"/>
                <w:szCs w:val="24"/>
              </w:rPr>
            </w:pPr>
            <w:r w:rsidRPr="00327CA9">
              <w:rPr>
                <w:rFonts w:ascii="Times New Roman" w:hAnsi="Times New Roman" w:cs="Times New Roman"/>
                <w:sz w:val="24"/>
                <w:szCs w:val="24"/>
              </w:rPr>
              <w:t>Lūdzam papildināt noteikumu projekta pielikuma 2. tabulu, ar atsauci uz datu avotiem kolonnā “Apstrādājamo datu apjoms”, piemēram, ar atsauci uz Valsts izglītības informācijas sistēmu, kā arī precizēt šīs kolonnas nosaukumu un pievienot atsauci, ka minētais datu apjoms ir aptuvens, jo izglītojamo skaits laika gaitā var mainīties</w:t>
            </w:r>
            <w:r w:rsidR="0037518D" w:rsidRPr="00327CA9">
              <w:rPr>
                <w:rFonts w:ascii="Times New Roman" w:hAnsi="Times New Roman" w:cs="Times New Roman"/>
                <w:sz w:val="24"/>
                <w:szCs w:val="24"/>
              </w:rPr>
              <w:t>.</w:t>
            </w:r>
          </w:p>
        </w:tc>
        <w:tc>
          <w:tcPr>
            <w:tcW w:w="3544" w:type="dxa"/>
            <w:tcBorders>
              <w:top w:val="single" w:sz="6" w:space="0" w:color="000000"/>
              <w:left w:val="single" w:sz="6" w:space="0" w:color="000000"/>
              <w:bottom w:val="single" w:sz="6" w:space="0" w:color="000000"/>
              <w:right w:val="single" w:sz="6" w:space="0" w:color="000000"/>
            </w:tcBorders>
          </w:tcPr>
          <w:p w14:paraId="2E401AE6" w14:textId="0CA509A4" w:rsidR="00432ABC" w:rsidRPr="00327CA9" w:rsidRDefault="0037518D" w:rsidP="005F31B1">
            <w:pPr>
              <w:spacing w:after="0"/>
              <w:jc w:val="both"/>
              <w:rPr>
                <w:rFonts w:ascii="Times New Roman" w:hAnsi="Times New Roman" w:cs="Times New Roman"/>
                <w:sz w:val="24"/>
                <w:szCs w:val="24"/>
              </w:rPr>
            </w:pPr>
            <w:r w:rsidRPr="00327CA9">
              <w:rPr>
                <w:rFonts w:ascii="Times New Roman" w:hAnsi="Times New Roman" w:cs="Times New Roman"/>
                <w:sz w:val="24"/>
                <w:szCs w:val="24"/>
              </w:rPr>
              <w:t>Iebildums ņemts vērā.</w:t>
            </w:r>
          </w:p>
        </w:tc>
        <w:tc>
          <w:tcPr>
            <w:tcW w:w="4536" w:type="dxa"/>
            <w:tcBorders>
              <w:top w:val="single" w:sz="4" w:space="0" w:color="auto"/>
              <w:left w:val="single" w:sz="4" w:space="0" w:color="auto"/>
              <w:bottom w:val="single" w:sz="4" w:space="0" w:color="auto"/>
            </w:tcBorders>
          </w:tcPr>
          <w:p w14:paraId="03E2CEAB" w14:textId="569461F1" w:rsidR="005D6DEB" w:rsidRPr="00327CA9" w:rsidRDefault="005D6DEB" w:rsidP="005D6DEB">
            <w:pPr>
              <w:pStyle w:val="naisc"/>
              <w:spacing w:before="0" w:after="0"/>
              <w:jc w:val="both"/>
            </w:pPr>
            <w:r w:rsidRPr="00327CA9">
              <w:t>MK noteikumu projekta pielikuma 2. tabul</w:t>
            </w:r>
            <w:r w:rsidR="00000A60" w:rsidRPr="00327CA9">
              <w:t xml:space="preserve">as 4. kolonna </w:t>
            </w:r>
            <w:r w:rsidR="003719B5" w:rsidRPr="00327CA9">
              <w:t>galīgā</w:t>
            </w:r>
            <w:r w:rsidR="00000A60" w:rsidRPr="00327CA9">
              <w:t xml:space="preserve"> redakcij</w:t>
            </w:r>
            <w:r w:rsidR="00C03F98" w:rsidRPr="00327CA9">
              <w:t>a</w:t>
            </w:r>
          </w:p>
          <w:p w14:paraId="0A7CCF81" w14:textId="364A48C5" w:rsidR="00432ABC" w:rsidRPr="00327CA9" w:rsidRDefault="00432ABC" w:rsidP="00432ABC">
            <w:pPr>
              <w:spacing w:after="0" w:line="240" w:lineRule="auto"/>
              <w:jc w:val="both"/>
              <w:rPr>
                <w:rFonts w:ascii="Times New Roman" w:hAnsi="Times New Roman" w:cs="Times New Roman"/>
                <w:sz w:val="20"/>
                <w:szCs w:val="20"/>
              </w:rPr>
            </w:pPr>
          </w:p>
        </w:tc>
      </w:tr>
      <w:tr w:rsidR="005A29BD" w:rsidRPr="00327CA9" w14:paraId="55E80E24" w14:textId="77777777" w:rsidTr="001D4D82">
        <w:tc>
          <w:tcPr>
            <w:tcW w:w="735" w:type="dxa"/>
            <w:tcBorders>
              <w:top w:val="single" w:sz="6" w:space="0" w:color="000000"/>
              <w:left w:val="single" w:sz="6" w:space="0" w:color="000000"/>
              <w:bottom w:val="single" w:sz="6" w:space="0" w:color="000000"/>
              <w:right w:val="single" w:sz="6" w:space="0" w:color="000000"/>
            </w:tcBorders>
          </w:tcPr>
          <w:p w14:paraId="74B06EAD" w14:textId="65E31408" w:rsidR="005A29BD" w:rsidRPr="000E7DDC" w:rsidRDefault="005A29BD" w:rsidP="00432ABC">
            <w:pPr>
              <w:spacing w:after="0" w:line="240" w:lineRule="auto"/>
              <w:jc w:val="both"/>
              <w:rPr>
                <w:rFonts w:ascii="Times New Roman" w:eastAsia="Times New Roman" w:hAnsi="Times New Roman" w:cs="Times New Roman"/>
                <w:sz w:val="24"/>
                <w:szCs w:val="24"/>
                <w:lang w:eastAsia="lv-LV"/>
              </w:rPr>
            </w:pPr>
            <w:r w:rsidRPr="000E7DDC">
              <w:rPr>
                <w:rFonts w:ascii="Times New Roman" w:eastAsia="Times New Roman" w:hAnsi="Times New Roman" w:cs="Times New Roman"/>
                <w:sz w:val="24"/>
                <w:szCs w:val="24"/>
                <w:lang w:eastAsia="lv-LV"/>
              </w:rPr>
              <w:t>2.</w:t>
            </w:r>
          </w:p>
        </w:tc>
        <w:tc>
          <w:tcPr>
            <w:tcW w:w="2943" w:type="dxa"/>
            <w:tcBorders>
              <w:top w:val="single" w:sz="6" w:space="0" w:color="000000"/>
              <w:left w:val="single" w:sz="6" w:space="0" w:color="000000"/>
              <w:bottom w:val="single" w:sz="6" w:space="0" w:color="000000"/>
              <w:right w:val="single" w:sz="6" w:space="0" w:color="000000"/>
            </w:tcBorders>
          </w:tcPr>
          <w:p w14:paraId="6FA04874" w14:textId="77777777" w:rsidR="0037518D" w:rsidRPr="00327CA9" w:rsidRDefault="0037518D" w:rsidP="0037518D">
            <w:pPr>
              <w:pStyle w:val="naisc"/>
              <w:spacing w:before="0" w:after="0"/>
              <w:jc w:val="both"/>
              <w:rPr>
                <w:b/>
                <w:color w:val="000000" w:themeColor="text1"/>
              </w:rPr>
            </w:pPr>
            <w:r w:rsidRPr="00327CA9">
              <w:rPr>
                <w:color w:val="000000"/>
              </w:rPr>
              <w:t>MK noteikumu projekta pielikuma 2. tabula</w:t>
            </w:r>
          </w:p>
          <w:p w14:paraId="2F92D4F7" w14:textId="16C07048" w:rsidR="005A29BD" w:rsidRPr="00327CA9" w:rsidRDefault="005A29BD" w:rsidP="00432ABC">
            <w:pPr>
              <w:spacing w:after="0" w:line="240" w:lineRule="auto"/>
              <w:jc w:val="both"/>
              <w:rPr>
                <w:rFonts w:ascii="Times New Roman" w:eastAsia="Times New Roman" w:hAnsi="Times New Roman" w:cs="Times New Roman"/>
                <w:sz w:val="20"/>
                <w:szCs w:val="20"/>
                <w:lang w:eastAsia="lv-LV"/>
              </w:rPr>
            </w:pPr>
          </w:p>
        </w:tc>
        <w:tc>
          <w:tcPr>
            <w:tcW w:w="8788" w:type="dxa"/>
            <w:tcBorders>
              <w:top w:val="single" w:sz="6" w:space="0" w:color="000000"/>
              <w:left w:val="single" w:sz="6" w:space="0" w:color="000000"/>
              <w:bottom w:val="single" w:sz="6" w:space="0" w:color="000000"/>
              <w:right w:val="single" w:sz="6" w:space="0" w:color="000000"/>
            </w:tcBorders>
          </w:tcPr>
          <w:p w14:paraId="2F00D3C9" w14:textId="1256EBAD" w:rsidR="005A29BD" w:rsidRPr="00327CA9" w:rsidRDefault="0037518D" w:rsidP="00432ABC">
            <w:pPr>
              <w:widowControl w:val="0"/>
              <w:spacing w:after="0" w:line="240" w:lineRule="auto"/>
              <w:jc w:val="both"/>
              <w:rPr>
                <w:rFonts w:ascii="Times New Roman" w:hAnsi="Times New Roman" w:cs="Times New Roman"/>
                <w:sz w:val="24"/>
                <w:szCs w:val="24"/>
              </w:rPr>
            </w:pPr>
            <w:r w:rsidRPr="00327CA9">
              <w:rPr>
                <w:rFonts w:ascii="Times New Roman" w:hAnsi="Times New Roman" w:cs="Times New Roman"/>
                <w:sz w:val="24"/>
                <w:szCs w:val="24"/>
              </w:rPr>
              <w:t>Lūdzam precizēt vai noteikumu projekta pielikuma 2. tabulā iekļautie studējošie (1.rinda) un izglītojamie augstākās izglītības programmās (4. un 5. rinda) nav ieskaitīti divas reizes vai arī sniegt skaidrojumu par šādas metodikas izmantošanu.</w:t>
            </w:r>
          </w:p>
        </w:tc>
        <w:tc>
          <w:tcPr>
            <w:tcW w:w="3544" w:type="dxa"/>
            <w:tcBorders>
              <w:top w:val="single" w:sz="6" w:space="0" w:color="000000"/>
              <w:left w:val="single" w:sz="6" w:space="0" w:color="000000"/>
              <w:bottom w:val="single" w:sz="6" w:space="0" w:color="000000"/>
              <w:right w:val="single" w:sz="6" w:space="0" w:color="000000"/>
            </w:tcBorders>
          </w:tcPr>
          <w:p w14:paraId="4DC98782" w14:textId="1FD87BF7" w:rsidR="005D6DEB" w:rsidRPr="00327CA9" w:rsidRDefault="0037518D" w:rsidP="005D6DEB">
            <w:pPr>
              <w:spacing w:after="0" w:line="240" w:lineRule="auto"/>
              <w:jc w:val="both"/>
              <w:rPr>
                <w:rFonts w:ascii="Times New Roman" w:eastAsia="Times New Roman" w:hAnsi="Times New Roman" w:cs="Times New Roman"/>
                <w:sz w:val="24"/>
                <w:szCs w:val="24"/>
                <w:lang w:eastAsia="lv-LV"/>
              </w:rPr>
            </w:pPr>
            <w:r w:rsidRPr="00327CA9">
              <w:rPr>
                <w:rFonts w:ascii="Times New Roman" w:hAnsi="Times New Roman" w:cs="Times New Roman"/>
                <w:sz w:val="24"/>
                <w:szCs w:val="24"/>
              </w:rPr>
              <w:t>Iebildums ņemts vērā.</w:t>
            </w:r>
          </w:p>
        </w:tc>
        <w:tc>
          <w:tcPr>
            <w:tcW w:w="4536" w:type="dxa"/>
            <w:tcBorders>
              <w:top w:val="single" w:sz="4" w:space="0" w:color="auto"/>
              <w:left w:val="single" w:sz="4" w:space="0" w:color="auto"/>
              <w:bottom w:val="single" w:sz="4" w:space="0" w:color="auto"/>
            </w:tcBorders>
          </w:tcPr>
          <w:p w14:paraId="298D2687" w14:textId="417B85DB" w:rsidR="0037518D" w:rsidRPr="00327CA9" w:rsidRDefault="0037518D" w:rsidP="0037518D">
            <w:pPr>
              <w:pStyle w:val="naisc"/>
              <w:spacing w:before="0" w:after="0"/>
              <w:jc w:val="both"/>
            </w:pPr>
            <w:r w:rsidRPr="00327CA9">
              <w:t xml:space="preserve">MK noteikumu projekta pielikuma 2. tabulas 4. kolonna </w:t>
            </w:r>
            <w:r w:rsidR="00C03F98" w:rsidRPr="00327CA9">
              <w:t>galīgā</w:t>
            </w:r>
            <w:r w:rsidRPr="00327CA9">
              <w:t xml:space="preserve"> redakcij</w:t>
            </w:r>
            <w:r w:rsidR="00C03F98" w:rsidRPr="00327CA9">
              <w:t>a</w:t>
            </w:r>
          </w:p>
          <w:p w14:paraId="476056A0" w14:textId="77777777" w:rsidR="005A29BD" w:rsidRPr="00327CA9" w:rsidRDefault="005A29BD" w:rsidP="00432ABC">
            <w:pPr>
              <w:spacing w:after="0" w:line="240" w:lineRule="auto"/>
              <w:jc w:val="both"/>
              <w:rPr>
                <w:rFonts w:ascii="Times New Roman" w:hAnsi="Times New Roman" w:cs="Times New Roman"/>
                <w:sz w:val="20"/>
                <w:szCs w:val="20"/>
              </w:rPr>
            </w:pPr>
          </w:p>
        </w:tc>
      </w:tr>
      <w:tr w:rsidR="005A29BD" w:rsidRPr="00327CA9" w14:paraId="7DEAACC9" w14:textId="77777777" w:rsidTr="001D4D82">
        <w:tc>
          <w:tcPr>
            <w:tcW w:w="20546" w:type="dxa"/>
            <w:gridSpan w:val="5"/>
            <w:tcBorders>
              <w:top w:val="single" w:sz="6" w:space="0" w:color="000000"/>
              <w:left w:val="single" w:sz="6" w:space="0" w:color="000000"/>
              <w:bottom w:val="single" w:sz="6" w:space="0" w:color="000000"/>
            </w:tcBorders>
          </w:tcPr>
          <w:p w14:paraId="471B5076" w14:textId="3A73E2D8" w:rsidR="005A29BD" w:rsidRPr="00327CA9" w:rsidRDefault="005A29BD" w:rsidP="005A29BD">
            <w:pPr>
              <w:spacing w:after="0" w:line="240" w:lineRule="auto"/>
              <w:jc w:val="center"/>
              <w:rPr>
                <w:rFonts w:ascii="Times New Roman" w:hAnsi="Times New Roman" w:cs="Times New Roman"/>
                <w:b/>
                <w:bCs/>
                <w:sz w:val="20"/>
                <w:szCs w:val="20"/>
              </w:rPr>
            </w:pPr>
            <w:r w:rsidRPr="00327CA9">
              <w:rPr>
                <w:rFonts w:ascii="Times New Roman" w:hAnsi="Times New Roman" w:cs="Times New Roman"/>
                <w:b/>
                <w:bCs/>
                <w:sz w:val="28"/>
                <w:szCs w:val="28"/>
              </w:rPr>
              <w:t>Tieslietu ministrija</w:t>
            </w:r>
          </w:p>
        </w:tc>
      </w:tr>
      <w:tr w:rsidR="005A29BD" w:rsidRPr="00327CA9" w14:paraId="09CF480C" w14:textId="77777777" w:rsidTr="001D4D82">
        <w:tc>
          <w:tcPr>
            <w:tcW w:w="735" w:type="dxa"/>
            <w:tcBorders>
              <w:top w:val="single" w:sz="6" w:space="0" w:color="000000"/>
              <w:left w:val="single" w:sz="6" w:space="0" w:color="000000"/>
              <w:bottom w:val="single" w:sz="6" w:space="0" w:color="000000"/>
              <w:right w:val="single" w:sz="6" w:space="0" w:color="000000"/>
            </w:tcBorders>
          </w:tcPr>
          <w:p w14:paraId="6E55C4A6" w14:textId="794ECBCE" w:rsidR="005A29BD" w:rsidRPr="000E7DDC" w:rsidRDefault="0037518D" w:rsidP="00432ABC">
            <w:pPr>
              <w:spacing w:after="0" w:line="240" w:lineRule="auto"/>
              <w:jc w:val="both"/>
              <w:rPr>
                <w:rFonts w:ascii="Times New Roman" w:eastAsia="Times New Roman" w:hAnsi="Times New Roman" w:cs="Times New Roman"/>
                <w:sz w:val="24"/>
                <w:szCs w:val="24"/>
                <w:lang w:eastAsia="lv-LV"/>
              </w:rPr>
            </w:pPr>
            <w:r w:rsidRPr="000E7DDC">
              <w:rPr>
                <w:rFonts w:ascii="Times New Roman" w:eastAsia="Times New Roman" w:hAnsi="Times New Roman" w:cs="Times New Roman"/>
                <w:sz w:val="24"/>
                <w:szCs w:val="24"/>
                <w:lang w:eastAsia="lv-LV"/>
              </w:rPr>
              <w:lastRenderedPageBreak/>
              <w:t>3</w:t>
            </w:r>
            <w:r w:rsidR="005A29BD" w:rsidRPr="000E7DDC">
              <w:rPr>
                <w:rFonts w:ascii="Times New Roman" w:eastAsia="Times New Roman" w:hAnsi="Times New Roman" w:cs="Times New Roman"/>
                <w:sz w:val="24"/>
                <w:szCs w:val="24"/>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6E342138" w14:textId="77777777" w:rsidR="005A29BD" w:rsidRPr="00327CA9" w:rsidRDefault="00AF5AB7" w:rsidP="006F7271">
            <w:pPr>
              <w:pStyle w:val="naisc"/>
              <w:spacing w:before="0" w:after="0"/>
              <w:jc w:val="both"/>
              <w:rPr>
                <w:color w:val="000000"/>
              </w:rPr>
            </w:pPr>
            <w:r w:rsidRPr="00327CA9">
              <w:rPr>
                <w:color w:val="000000"/>
              </w:rPr>
              <w:t xml:space="preserve">MK noteikumu projekta </w:t>
            </w:r>
            <w:r w:rsidR="0037518D" w:rsidRPr="00327CA9">
              <w:rPr>
                <w:color w:val="000000"/>
              </w:rPr>
              <w:t>norāde uz projekta izdošanas tiesisko pamatu</w:t>
            </w:r>
            <w:r w:rsidR="00CD0FAA" w:rsidRPr="00327CA9">
              <w:rPr>
                <w:color w:val="000000"/>
              </w:rPr>
              <w:t>.</w:t>
            </w:r>
          </w:p>
          <w:p w14:paraId="4071B089" w14:textId="77777777" w:rsidR="00CD0FAA" w:rsidRPr="00327CA9" w:rsidRDefault="00CD0FAA" w:rsidP="006F7271">
            <w:pPr>
              <w:pStyle w:val="naisc"/>
              <w:spacing w:before="0" w:after="0"/>
              <w:jc w:val="both"/>
              <w:rPr>
                <w:color w:val="000000"/>
              </w:rPr>
            </w:pPr>
          </w:p>
          <w:p w14:paraId="6B65F3D6" w14:textId="1559283A" w:rsidR="00CD0FAA" w:rsidRPr="00327CA9" w:rsidRDefault="00CD0FAA" w:rsidP="006F7271">
            <w:pPr>
              <w:pStyle w:val="naisc"/>
              <w:spacing w:before="0" w:after="0"/>
              <w:jc w:val="both"/>
              <w:rPr>
                <w:color w:val="000000"/>
              </w:rPr>
            </w:pPr>
            <w:r w:rsidRPr="00327CA9">
              <w:rPr>
                <w:color w:val="000000"/>
              </w:rPr>
              <w:t>“23.</w:t>
            </w:r>
            <w:r w:rsidR="00E84C72" w:rsidRPr="00327CA9">
              <w:rPr>
                <w:color w:val="000000"/>
              </w:rPr>
              <w:t xml:space="preserve"> pant</w:t>
            </w:r>
            <w:r w:rsidR="00C03F98" w:rsidRPr="00327CA9">
              <w:rPr>
                <w:color w:val="000000"/>
              </w:rPr>
              <w:t>u</w:t>
            </w:r>
            <w:r w:rsidRPr="00327CA9">
              <w:rPr>
                <w:color w:val="000000"/>
              </w:rPr>
              <w:t>”</w:t>
            </w:r>
          </w:p>
        </w:tc>
        <w:tc>
          <w:tcPr>
            <w:tcW w:w="8788" w:type="dxa"/>
            <w:tcBorders>
              <w:top w:val="single" w:sz="6" w:space="0" w:color="000000"/>
              <w:left w:val="single" w:sz="6" w:space="0" w:color="000000"/>
              <w:bottom w:val="single" w:sz="6" w:space="0" w:color="000000"/>
              <w:right w:val="single" w:sz="6" w:space="0" w:color="000000"/>
            </w:tcBorders>
          </w:tcPr>
          <w:p w14:paraId="4148495C" w14:textId="331EB0D1" w:rsidR="005A29BD" w:rsidRPr="00327CA9" w:rsidRDefault="0037518D" w:rsidP="005A29BD">
            <w:pPr>
              <w:spacing w:after="0" w:line="240" w:lineRule="auto"/>
              <w:jc w:val="both"/>
              <w:rPr>
                <w:rFonts w:ascii="Times New Roman" w:eastAsia="Times New Roman" w:hAnsi="Times New Roman" w:cs="Times New Roman"/>
                <w:sz w:val="24"/>
                <w:szCs w:val="24"/>
                <w:lang w:eastAsia="lv-LV"/>
              </w:rPr>
            </w:pPr>
            <w:r w:rsidRPr="00327CA9">
              <w:rPr>
                <w:rFonts w:ascii="Times New Roman" w:eastAsia="Times New Roman" w:hAnsi="Times New Roman" w:cs="Times New Roman"/>
                <w:sz w:val="24"/>
                <w:szCs w:val="24"/>
                <w:lang w:eastAsia="lv-LV"/>
              </w:rPr>
              <w:t>Lūdzam precizēt norādi uz projekta izdošanas tiesisko pamatu, aizstājot skaitli “23.” ar skaitli un vārdiem “23. panta otro daļu”, ņemot vērā, ka Statistikas likuma 23. panta otrajā daļā ir noteikts Ministru kabineta pilnvarojums izdot attiecīgos noteikumus.</w:t>
            </w:r>
          </w:p>
        </w:tc>
        <w:tc>
          <w:tcPr>
            <w:tcW w:w="3544" w:type="dxa"/>
            <w:tcBorders>
              <w:top w:val="single" w:sz="6" w:space="0" w:color="000000"/>
              <w:left w:val="single" w:sz="6" w:space="0" w:color="000000"/>
              <w:bottom w:val="single" w:sz="6" w:space="0" w:color="000000"/>
              <w:right w:val="single" w:sz="6" w:space="0" w:color="000000"/>
            </w:tcBorders>
          </w:tcPr>
          <w:p w14:paraId="0D332890" w14:textId="56898299" w:rsidR="00AF5AB7" w:rsidRPr="00327CA9" w:rsidRDefault="00CD0FAA" w:rsidP="00AF5AB7">
            <w:pPr>
              <w:spacing w:after="0" w:line="240" w:lineRule="auto"/>
              <w:jc w:val="both"/>
              <w:rPr>
                <w:rFonts w:ascii="Times New Roman" w:eastAsia="Times New Roman" w:hAnsi="Times New Roman" w:cs="Times New Roman"/>
                <w:sz w:val="24"/>
                <w:szCs w:val="24"/>
                <w:lang w:eastAsia="lv-LV"/>
              </w:rPr>
            </w:pPr>
            <w:r w:rsidRPr="00327CA9">
              <w:rPr>
                <w:rFonts w:ascii="Times New Roman" w:eastAsia="Times New Roman" w:hAnsi="Times New Roman" w:cs="Times New Roman"/>
                <w:sz w:val="24"/>
                <w:szCs w:val="24"/>
                <w:lang w:eastAsia="lv-LV"/>
              </w:rPr>
              <w:t>Iebildums ņemts vērā.</w:t>
            </w:r>
          </w:p>
        </w:tc>
        <w:tc>
          <w:tcPr>
            <w:tcW w:w="4536" w:type="dxa"/>
            <w:tcBorders>
              <w:top w:val="single" w:sz="4" w:space="0" w:color="auto"/>
              <w:left w:val="single" w:sz="4" w:space="0" w:color="auto"/>
              <w:bottom w:val="single" w:sz="4" w:space="0" w:color="auto"/>
            </w:tcBorders>
          </w:tcPr>
          <w:p w14:paraId="433BDF37" w14:textId="0797DC99" w:rsidR="005A29BD" w:rsidRPr="00327CA9" w:rsidRDefault="005F31B1" w:rsidP="00432ABC">
            <w:pPr>
              <w:spacing w:after="0" w:line="240" w:lineRule="auto"/>
              <w:jc w:val="both"/>
              <w:rPr>
                <w:rFonts w:ascii="Times New Roman" w:hAnsi="Times New Roman" w:cs="Times New Roman"/>
                <w:sz w:val="24"/>
                <w:szCs w:val="24"/>
              </w:rPr>
            </w:pPr>
            <w:r w:rsidRPr="00327CA9">
              <w:rPr>
                <w:rFonts w:ascii="Times New Roman" w:hAnsi="Times New Roman" w:cs="Times New Roman"/>
                <w:sz w:val="24"/>
                <w:szCs w:val="24"/>
              </w:rPr>
              <w:t xml:space="preserve">Precizēta MK noteikumu projekta </w:t>
            </w:r>
            <w:r w:rsidR="00CD0FAA" w:rsidRPr="00327CA9">
              <w:rPr>
                <w:rFonts w:ascii="Times New Roman" w:hAnsi="Times New Roman" w:cs="Times New Roman"/>
                <w:sz w:val="24"/>
                <w:szCs w:val="24"/>
              </w:rPr>
              <w:t>norāde uz projekta izdošanas tiesisko pamatu.</w:t>
            </w:r>
          </w:p>
          <w:p w14:paraId="6FAB9591" w14:textId="77777777" w:rsidR="005F31B1" w:rsidRPr="00327CA9" w:rsidRDefault="005F31B1" w:rsidP="00432ABC">
            <w:pPr>
              <w:spacing w:after="0" w:line="240" w:lineRule="auto"/>
              <w:jc w:val="both"/>
              <w:rPr>
                <w:rFonts w:ascii="Times New Roman" w:hAnsi="Times New Roman" w:cs="Times New Roman"/>
                <w:sz w:val="24"/>
                <w:szCs w:val="24"/>
              </w:rPr>
            </w:pPr>
          </w:p>
          <w:p w14:paraId="7EA7E37E" w14:textId="2FE225AF" w:rsidR="005F31B1" w:rsidRPr="00327CA9" w:rsidRDefault="00CD0FAA" w:rsidP="00CD0FAA">
            <w:pPr>
              <w:spacing w:after="0" w:line="240" w:lineRule="auto"/>
              <w:jc w:val="both"/>
              <w:rPr>
                <w:rFonts w:ascii="Times New Roman" w:hAnsi="Times New Roman" w:cs="Times New Roman"/>
                <w:sz w:val="24"/>
                <w:szCs w:val="24"/>
              </w:rPr>
            </w:pPr>
            <w:r w:rsidRPr="00327CA9">
              <w:rPr>
                <w:rFonts w:ascii="Times New Roman" w:hAnsi="Times New Roman" w:cs="Times New Roman"/>
                <w:sz w:val="24"/>
                <w:szCs w:val="24"/>
              </w:rPr>
              <w:t>“23. panta otro daļu”</w:t>
            </w:r>
          </w:p>
        </w:tc>
      </w:tr>
      <w:tr w:rsidR="00831E25" w:rsidRPr="00327CA9" w14:paraId="1E54ED1C" w14:textId="77777777" w:rsidTr="001D4D82">
        <w:tc>
          <w:tcPr>
            <w:tcW w:w="735" w:type="dxa"/>
            <w:tcBorders>
              <w:top w:val="single" w:sz="6" w:space="0" w:color="000000"/>
              <w:left w:val="single" w:sz="6" w:space="0" w:color="000000"/>
              <w:bottom w:val="single" w:sz="6" w:space="0" w:color="000000"/>
              <w:right w:val="single" w:sz="6" w:space="0" w:color="000000"/>
            </w:tcBorders>
          </w:tcPr>
          <w:p w14:paraId="522B6D4E" w14:textId="4875EDE2" w:rsidR="00831E25" w:rsidRPr="000E7DDC" w:rsidRDefault="00831E25" w:rsidP="00831E25">
            <w:pPr>
              <w:spacing w:after="0" w:line="240" w:lineRule="auto"/>
              <w:jc w:val="both"/>
              <w:rPr>
                <w:rFonts w:ascii="Times New Roman" w:eastAsia="Times New Roman" w:hAnsi="Times New Roman" w:cs="Times New Roman"/>
                <w:sz w:val="24"/>
                <w:szCs w:val="24"/>
                <w:lang w:eastAsia="lv-LV"/>
              </w:rPr>
            </w:pPr>
            <w:r w:rsidRPr="000E7DDC">
              <w:rPr>
                <w:rFonts w:ascii="Times New Roman" w:eastAsia="Times New Roman" w:hAnsi="Times New Roman" w:cs="Times New Roman"/>
                <w:sz w:val="24"/>
                <w:szCs w:val="24"/>
                <w:lang w:eastAsia="lv-LV"/>
              </w:rPr>
              <w:t>4.</w:t>
            </w:r>
          </w:p>
        </w:tc>
        <w:tc>
          <w:tcPr>
            <w:tcW w:w="2943" w:type="dxa"/>
            <w:tcBorders>
              <w:top w:val="single" w:sz="6" w:space="0" w:color="000000"/>
              <w:left w:val="single" w:sz="6" w:space="0" w:color="000000"/>
              <w:bottom w:val="single" w:sz="6" w:space="0" w:color="000000"/>
              <w:right w:val="single" w:sz="6" w:space="0" w:color="000000"/>
            </w:tcBorders>
          </w:tcPr>
          <w:p w14:paraId="670D39F3" w14:textId="420AF765" w:rsidR="00831E25" w:rsidRPr="00F66330" w:rsidRDefault="00831E25" w:rsidP="00831E25">
            <w:pPr>
              <w:spacing w:after="0" w:line="240" w:lineRule="auto"/>
              <w:jc w:val="both"/>
              <w:rPr>
                <w:rFonts w:ascii="Times New Roman" w:hAnsi="Times New Roman" w:cs="Times New Roman"/>
                <w:sz w:val="24"/>
                <w:szCs w:val="24"/>
              </w:rPr>
            </w:pPr>
            <w:r w:rsidRPr="00A65108">
              <w:rPr>
                <w:rFonts w:ascii="Times New Roman" w:hAnsi="Times New Roman" w:cs="Times New Roman"/>
                <w:sz w:val="24"/>
                <w:szCs w:val="24"/>
              </w:rPr>
              <w:t xml:space="preserve">MK noteikumu projekta anotācija </w:t>
            </w:r>
            <w:r w:rsidRPr="00A65108">
              <w:rPr>
                <w:rFonts w:ascii="Times New Roman" w:hAnsi="Times New Roman" w:cs="Times New Roman"/>
                <w:iCs/>
                <w:sz w:val="24"/>
                <w:szCs w:val="24"/>
              </w:rPr>
              <w:t>I. sadaļas 2. punkts</w:t>
            </w:r>
          </w:p>
        </w:tc>
        <w:tc>
          <w:tcPr>
            <w:tcW w:w="8788" w:type="dxa"/>
            <w:tcBorders>
              <w:top w:val="single" w:sz="6" w:space="0" w:color="000000"/>
              <w:left w:val="single" w:sz="6" w:space="0" w:color="000000"/>
              <w:bottom w:val="single" w:sz="6" w:space="0" w:color="000000"/>
              <w:right w:val="single" w:sz="6" w:space="0" w:color="000000"/>
            </w:tcBorders>
          </w:tcPr>
          <w:p w14:paraId="7D5D8E0F" w14:textId="77777777" w:rsidR="00831E25" w:rsidRPr="00327CA9" w:rsidRDefault="00831E25" w:rsidP="00831E25">
            <w:pPr>
              <w:tabs>
                <w:tab w:val="left" w:pos="709"/>
                <w:tab w:val="left" w:pos="851"/>
                <w:tab w:val="left" w:pos="993"/>
              </w:tabs>
              <w:spacing w:after="0" w:line="240" w:lineRule="auto"/>
              <w:jc w:val="both"/>
              <w:rPr>
                <w:rFonts w:ascii="Times New Roman" w:eastAsia="Times New Roman" w:hAnsi="Times New Roman" w:cs="Times New Roman"/>
                <w:iCs/>
                <w:sz w:val="24"/>
                <w:szCs w:val="24"/>
                <w:lang w:eastAsia="lv-LV"/>
              </w:rPr>
            </w:pPr>
            <w:r w:rsidRPr="00327CA9">
              <w:rPr>
                <w:rFonts w:ascii="Times New Roman" w:eastAsia="Times New Roman" w:hAnsi="Times New Roman" w:cs="Times New Roman"/>
                <w:iCs/>
                <w:sz w:val="24"/>
                <w:szCs w:val="24"/>
                <w:lang w:eastAsia="lv-LV"/>
              </w:rPr>
              <w:t>Statistikas likuma 23. panta otrajā daļā likumdevējs ir devis pilnvarojumu Ministru kabinetam apstiprināt skaitīšanas programmu, izdodot noteikumus, kuros nosaka:</w:t>
            </w:r>
          </w:p>
          <w:p w14:paraId="091FE29E" w14:textId="77777777" w:rsidR="00831E25" w:rsidRPr="00327CA9" w:rsidRDefault="00831E25" w:rsidP="00831E25">
            <w:pPr>
              <w:tabs>
                <w:tab w:val="left" w:pos="709"/>
                <w:tab w:val="left" w:pos="851"/>
                <w:tab w:val="left" w:pos="993"/>
              </w:tabs>
              <w:spacing w:after="0" w:line="240" w:lineRule="auto"/>
              <w:jc w:val="both"/>
              <w:rPr>
                <w:rFonts w:ascii="Times New Roman" w:eastAsia="Times New Roman" w:hAnsi="Times New Roman" w:cs="Times New Roman"/>
                <w:iCs/>
                <w:sz w:val="24"/>
                <w:szCs w:val="24"/>
                <w:lang w:eastAsia="lv-LV"/>
              </w:rPr>
            </w:pPr>
            <w:r w:rsidRPr="00327CA9">
              <w:rPr>
                <w:rFonts w:ascii="Times New Roman" w:eastAsia="Times New Roman" w:hAnsi="Times New Roman" w:cs="Times New Roman"/>
                <w:iCs/>
                <w:sz w:val="24"/>
                <w:szCs w:val="24"/>
                <w:lang w:eastAsia="lv-LV"/>
              </w:rPr>
              <w:t>1) statistisko vienību kopumu, par kuru skaitīšanā ir iegūstami dati;</w:t>
            </w:r>
          </w:p>
          <w:p w14:paraId="274582F8" w14:textId="77777777" w:rsidR="00831E25" w:rsidRPr="00327CA9" w:rsidRDefault="00831E25" w:rsidP="00831E25">
            <w:pPr>
              <w:tabs>
                <w:tab w:val="left" w:pos="709"/>
                <w:tab w:val="left" w:pos="851"/>
                <w:tab w:val="left" w:pos="993"/>
              </w:tabs>
              <w:spacing w:after="0" w:line="240" w:lineRule="auto"/>
              <w:jc w:val="both"/>
              <w:rPr>
                <w:rFonts w:ascii="Times New Roman" w:eastAsia="Times New Roman" w:hAnsi="Times New Roman" w:cs="Times New Roman"/>
                <w:iCs/>
                <w:sz w:val="24"/>
                <w:szCs w:val="24"/>
                <w:lang w:eastAsia="lv-LV"/>
              </w:rPr>
            </w:pPr>
            <w:r w:rsidRPr="00327CA9">
              <w:rPr>
                <w:rFonts w:ascii="Times New Roman" w:eastAsia="Times New Roman" w:hAnsi="Times New Roman" w:cs="Times New Roman"/>
                <w:iCs/>
                <w:sz w:val="24"/>
                <w:szCs w:val="24"/>
                <w:lang w:eastAsia="lv-LV"/>
              </w:rPr>
              <w:t>2) skaitīšanā iegūstamo statistisko vienību raksturojošu rādītāju sarakstu;</w:t>
            </w:r>
          </w:p>
          <w:p w14:paraId="30BE2715" w14:textId="77777777" w:rsidR="00831E25" w:rsidRPr="00327CA9" w:rsidRDefault="00831E25" w:rsidP="00831E25">
            <w:pPr>
              <w:tabs>
                <w:tab w:val="left" w:pos="709"/>
                <w:tab w:val="left" w:pos="851"/>
                <w:tab w:val="left" w:pos="993"/>
              </w:tabs>
              <w:spacing w:after="0" w:line="240" w:lineRule="auto"/>
              <w:jc w:val="both"/>
              <w:rPr>
                <w:rFonts w:ascii="Times New Roman" w:eastAsia="Times New Roman" w:hAnsi="Times New Roman" w:cs="Times New Roman"/>
                <w:iCs/>
                <w:sz w:val="24"/>
                <w:szCs w:val="24"/>
                <w:lang w:eastAsia="lv-LV"/>
              </w:rPr>
            </w:pPr>
            <w:r w:rsidRPr="00327CA9">
              <w:rPr>
                <w:rFonts w:ascii="Times New Roman" w:eastAsia="Times New Roman" w:hAnsi="Times New Roman" w:cs="Times New Roman"/>
                <w:iCs/>
                <w:sz w:val="24"/>
                <w:szCs w:val="24"/>
                <w:lang w:eastAsia="lv-LV"/>
              </w:rPr>
              <w:t>3) skaitīšanas jautājumu sarakstu;</w:t>
            </w:r>
          </w:p>
          <w:p w14:paraId="09EE12F2" w14:textId="77777777" w:rsidR="00831E25" w:rsidRPr="00327CA9" w:rsidRDefault="00831E25" w:rsidP="00831E25">
            <w:pPr>
              <w:tabs>
                <w:tab w:val="left" w:pos="709"/>
                <w:tab w:val="left" w:pos="851"/>
                <w:tab w:val="left" w:pos="993"/>
              </w:tabs>
              <w:spacing w:after="0" w:line="240" w:lineRule="auto"/>
              <w:jc w:val="both"/>
              <w:rPr>
                <w:rFonts w:ascii="Times New Roman" w:eastAsia="Times New Roman" w:hAnsi="Times New Roman" w:cs="Times New Roman"/>
                <w:iCs/>
                <w:sz w:val="24"/>
                <w:szCs w:val="24"/>
                <w:lang w:eastAsia="lv-LV"/>
              </w:rPr>
            </w:pPr>
            <w:r w:rsidRPr="00327CA9">
              <w:rPr>
                <w:rFonts w:ascii="Times New Roman" w:eastAsia="Times New Roman" w:hAnsi="Times New Roman" w:cs="Times New Roman"/>
                <w:iCs/>
                <w:sz w:val="24"/>
                <w:szCs w:val="24"/>
                <w:lang w:eastAsia="lv-LV"/>
              </w:rPr>
              <w:t>4) publicējamās oficiālās statistikas sarakstu un oficiālās statistikas publicēšanas grafiku;</w:t>
            </w:r>
          </w:p>
          <w:p w14:paraId="0D5977E1" w14:textId="77777777" w:rsidR="00831E25" w:rsidRPr="00327CA9" w:rsidRDefault="00831E25" w:rsidP="00831E25">
            <w:pPr>
              <w:tabs>
                <w:tab w:val="left" w:pos="709"/>
                <w:tab w:val="left" w:pos="851"/>
                <w:tab w:val="left" w:pos="993"/>
              </w:tabs>
              <w:spacing w:after="0" w:line="240" w:lineRule="auto"/>
              <w:jc w:val="both"/>
              <w:rPr>
                <w:rFonts w:ascii="Times New Roman" w:eastAsia="Times New Roman" w:hAnsi="Times New Roman" w:cs="Times New Roman"/>
                <w:iCs/>
                <w:sz w:val="24"/>
                <w:szCs w:val="24"/>
                <w:lang w:eastAsia="lv-LV"/>
              </w:rPr>
            </w:pPr>
            <w:r w:rsidRPr="00327CA9">
              <w:rPr>
                <w:rFonts w:ascii="Times New Roman" w:eastAsia="Times New Roman" w:hAnsi="Times New Roman" w:cs="Times New Roman"/>
                <w:iCs/>
                <w:sz w:val="24"/>
                <w:szCs w:val="24"/>
                <w:lang w:eastAsia="lv-LV"/>
              </w:rPr>
              <w:t>5) apstrādājamo datu veidus, apjomu un izmantošanas mērķi.</w:t>
            </w:r>
          </w:p>
          <w:p w14:paraId="3C589B6D" w14:textId="77777777" w:rsidR="00831E25" w:rsidRPr="00327CA9" w:rsidRDefault="00831E25" w:rsidP="00831E25">
            <w:pPr>
              <w:tabs>
                <w:tab w:val="left" w:pos="709"/>
                <w:tab w:val="left" w:pos="851"/>
                <w:tab w:val="left" w:pos="993"/>
              </w:tabs>
              <w:spacing w:after="0" w:line="240" w:lineRule="auto"/>
              <w:jc w:val="both"/>
              <w:rPr>
                <w:rFonts w:ascii="Times New Roman" w:eastAsia="Times New Roman" w:hAnsi="Times New Roman" w:cs="Times New Roman"/>
                <w:iCs/>
                <w:sz w:val="24"/>
                <w:szCs w:val="24"/>
                <w:lang w:eastAsia="lv-LV"/>
              </w:rPr>
            </w:pPr>
            <w:r w:rsidRPr="00327CA9">
              <w:rPr>
                <w:rFonts w:ascii="Times New Roman" w:eastAsia="Times New Roman" w:hAnsi="Times New Roman" w:cs="Times New Roman"/>
                <w:iCs/>
                <w:sz w:val="24"/>
                <w:szCs w:val="24"/>
                <w:lang w:eastAsia="lv-LV"/>
              </w:rPr>
              <w:t xml:space="preserve">Projekta anotācijas I sadaļas 2. punktā ir sniegts skaidrojums, ka projektā nav iekļautas normas atbilstoši Statistikas likuma 23. panta otrās daļas 3. un 5. punktam, kā arī 24. pantam, norādot, ka Centrālās statistikas pārvaldes (turpmāk – Pārvalde) rīcībā jau ir minētie dati, kas tai tiek sniegti uz Statistikas likuma un Oficiālās statistikas programmas pamata. </w:t>
            </w:r>
          </w:p>
          <w:p w14:paraId="2E4F7047" w14:textId="77777777" w:rsidR="00831E25" w:rsidRPr="00327CA9" w:rsidRDefault="00831E25" w:rsidP="00831E25">
            <w:pPr>
              <w:tabs>
                <w:tab w:val="left" w:pos="709"/>
                <w:tab w:val="left" w:pos="851"/>
                <w:tab w:val="left" w:pos="993"/>
              </w:tabs>
              <w:spacing w:after="0" w:line="240" w:lineRule="auto"/>
              <w:jc w:val="both"/>
              <w:rPr>
                <w:rFonts w:ascii="Times New Roman" w:eastAsia="Times New Roman" w:hAnsi="Times New Roman" w:cs="Times New Roman"/>
                <w:iCs/>
                <w:sz w:val="24"/>
                <w:szCs w:val="24"/>
                <w:lang w:eastAsia="lv-LV"/>
              </w:rPr>
            </w:pPr>
            <w:r w:rsidRPr="00327CA9">
              <w:rPr>
                <w:rFonts w:ascii="Times New Roman" w:eastAsia="Times New Roman" w:hAnsi="Times New Roman" w:cs="Times New Roman"/>
                <w:iCs/>
                <w:sz w:val="24"/>
                <w:szCs w:val="24"/>
                <w:lang w:eastAsia="lv-LV"/>
              </w:rPr>
              <w:t xml:space="preserve">Vēršam uzmanību, ka Ministru kabinets nav tiesīgs izdot ārējus normatīvos aktus, kas iztulko vai citādi izskaidro likumdevēja izdotos likumus. </w:t>
            </w:r>
            <w:proofErr w:type="spellStart"/>
            <w:r w:rsidRPr="00327CA9">
              <w:rPr>
                <w:rFonts w:ascii="Times New Roman" w:eastAsia="Times New Roman" w:hAnsi="Times New Roman" w:cs="Times New Roman"/>
                <w:iCs/>
                <w:sz w:val="24"/>
                <w:szCs w:val="24"/>
                <w:lang w:eastAsia="lv-LV"/>
              </w:rPr>
              <w:t>Vispārsaistošus</w:t>
            </w:r>
            <w:proofErr w:type="spellEnd"/>
            <w:r w:rsidRPr="00327CA9">
              <w:rPr>
                <w:rFonts w:ascii="Times New Roman" w:eastAsia="Times New Roman" w:hAnsi="Times New Roman" w:cs="Times New Roman"/>
                <w:iCs/>
                <w:sz w:val="24"/>
                <w:szCs w:val="24"/>
                <w:lang w:eastAsia="lv-LV"/>
              </w:rPr>
              <w:t xml:space="preserve"> likuma iztulkojumus ir tiesīgs sniegt tikai pats likumdevējs, jo šāds iztulkojums pēc savām sekām nav nošķirams no likuma grozīšanas. Normatīvas iztulkošanas ceļā iespējams gan sašaurināt, gan paplašināt likumā ietverto tiesību normu sastāvus un tiesiskās sekas, tādējādi pārgrozot likuma sākotnējo jēgu. Likumā ietverto tiesību normu jēgas noskaidrošana iztulkošanas ceļā ir katra tiesību piemērotāja nepieciešama un patstāvīga rīcība. Savukārt, izceļoties strīdam par tiesību normas pareizu piemērošanu, iztulkojuma pareizības tiesisko vērtējumu sniedz tiesa, un tas ir galīgs. Likuma iztulkojumus ar ārēju normatīvu spēku, kas jau iepriekš saistītu tiesību piemērotāju, Latvijas tiesības nepazīst, atskaitot specifiskus izņēmumus attiecībā uz Satversmes tiesas un kasācijas instances tiesas veiktiem likuma iztulkojumiem.</w:t>
            </w:r>
          </w:p>
          <w:p w14:paraId="389318CD" w14:textId="77777777" w:rsidR="00831E25" w:rsidRPr="00327CA9" w:rsidRDefault="00831E25" w:rsidP="00831E25">
            <w:pPr>
              <w:tabs>
                <w:tab w:val="left" w:pos="709"/>
                <w:tab w:val="left" w:pos="851"/>
                <w:tab w:val="left" w:pos="993"/>
              </w:tabs>
              <w:spacing w:after="0" w:line="240" w:lineRule="auto"/>
              <w:jc w:val="both"/>
              <w:rPr>
                <w:rFonts w:ascii="Times New Roman" w:eastAsia="Times New Roman" w:hAnsi="Times New Roman" w:cs="Times New Roman"/>
                <w:iCs/>
                <w:sz w:val="24"/>
                <w:szCs w:val="24"/>
                <w:lang w:eastAsia="lv-LV"/>
              </w:rPr>
            </w:pPr>
            <w:r w:rsidRPr="00327CA9">
              <w:rPr>
                <w:rFonts w:ascii="Times New Roman" w:eastAsia="Times New Roman" w:hAnsi="Times New Roman" w:cs="Times New Roman"/>
                <w:iCs/>
                <w:sz w:val="24"/>
                <w:szCs w:val="24"/>
                <w:lang w:eastAsia="lv-LV"/>
              </w:rPr>
              <w:t>Ievērojot varas dalīšanas principu, nedz izpildvara, nedz tiesu vara nav tiesīga uzņemties likumdošanas funkciju, kas piekrīt likumdevējam. Tāpat arī likumdevējs nav tiesīgs pilnīgi vai daļēji atteikties no savām funkcijām, nododot tās izpildvarai nekonkrētu vai nesamērīgi plašu deleģējumu ceļā. (Jautājumā par normatīvās iztulkošanas un varas dalīšanas principa savstarpējo mijiedarbību papildus skat. Satversmes tiesas 2003. gada 4. februāra sprieduma lietā Nr. 2002-06-01 “Par likuma “Par tiesu varu” 49. panta otrās daļas atbilstību Satversmes 1. un 83. pantam” secinājumu daļas 2.3. apakšpunktu, kā arī pārējos tiesas secinājumus.) Turklāt saskaņā ar Latvijas Republikas Satversmes tiesas 2005. gada 21. novembra spriedumu lietā Nr. 2005-03-0306 pilnvarojumam Ministru kabinetam izdot noteikumus ir jābūt noteiktam skaidri un nepārprotami.</w:t>
            </w:r>
          </w:p>
          <w:p w14:paraId="7E2B5579" w14:textId="77777777" w:rsidR="00831E25" w:rsidRPr="00327CA9" w:rsidRDefault="00831E25" w:rsidP="00831E25">
            <w:pPr>
              <w:tabs>
                <w:tab w:val="left" w:pos="709"/>
                <w:tab w:val="left" w:pos="851"/>
                <w:tab w:val="left" w:pos="993"/>
              </w:tabs>
              <w:spacing w:after="0" w:line="240" w:lineRule="auto"/>
              <w:jc w:val="both"/>
              <w:rPr>
                <w:rFonts w:ascii="Times New Roman" w:eastAsia="Times New Roman" w:hAnsi="Times New Roman" w:cs="Times New Roman"/>
                <w:iCs/>
                <w:sz w:val="24"/>
                <w:szCs w:val="24"/>
                <w:lang w:eastAsia="lv-LV"/>
              </w:rPr>
            </w:pPr>
            <w:r w:rsidRPr="00327CA9">
              <w:rPr>
                <w:rFonts w:ascii="Times New Roman" w:eastAsia="Times New Roman" w:hAnsi="Times New Roman" w:cs="Times New Roman"/>
                <w:iCs/>
                <w:sz w:val="24"/>
                <w:szCs w:val="24"/>
                <w:lang w:eastAsia="lv-LV"/>
              </w:rPr>
              <w:t xml:space="preserve">Ņemot vērā minēto, lūdzam precizēt projektu atbilstoši Statistikas likuma 23. panta otrajā daļā un 24. pantā noteiktajam Ministru kabinetam dotajam uzdevumam. Tostarp, lūdzam atbilstoši Statistikas likuma 23. panta otrās daļas 5. punktam projektā detalizēti norādīt apstrādājamo datu izmantošanas mērķi, kā arī izdarīt attiecīgos precizējumus anotācijā. Vēršam uzmanību, ka projekta pielikuma otrās tabulas kolonna "datu apstrādes darbības" neparedz skaidrojumu par apstrādājamo datu izmantošanas mērķi (nav sniegts skaidrojums par to, kura projekta pielikuma 1. tabulā norādītā rādītāja aprēķināšanai veicama konkrētā datu apstrāde). Papildus juridiskās skaidrības nodrošināšanai lūdzam </w:t>
            </w:r>
            <w:r w:rsidRPr="00327CA9">
              <w:rPr>
                <w:rFonts w:ascii="Times New Roman" w:eastAsia="Times New Roman" w:hAnsi="Times New Roman" w:cs="Times New Roman"/>
                <w:iCs/>
                <w:sz w:val="24"/>
                <w:szCs w:val="24"/>
                <w:lang w:eastAsia="lv-LV"/>
              </w:rPr>
              <w:lastRenderedPageBreak/>
              <w:t>precīzi norādīt, kādi administratīvo datu avoti tiks izmantoti rādītāju iegūšanai. Norādām, ka, neņemot vērā šo iebildumu, nav iespējams izvērtēt projekta ietekmi uz Valsts zemes dienestu kā šo datu sniedzēju.</w:t>
            </w:r>
          </w:p>
          <w:p w14:paraId="5F7AFD77" w14:textId="77777777" w:rsidR="00831E25" w:rsidRPr="00327CA9" w:rsidRDefault="00831E25" w:rsidP="00831E25">
            <w:pPr>
              <w:tabs>
                <w:tab w:val="left" w:pos="709"/>
                <w:tab w:val="left" w:pos="851"/>
                <w:tab w:val="left" w:pos="993"/>
              </w:tabs>
              <w:spacing w:after="0" w:line="240" w:lineRule="auto"/>
              <w:jc w:val="both"/>
              <w:rPr>
                <w:rFonts w:ascii="Times New Roman" w:eastAsia="Times New Roman" w:hAnsi="Times New Roman" w:cs="Times New Roman"/>
                <w:iCs/>
                <w:sz w:val="24"/>
                <w:szCs w:val="24"/>
                <w:lang w:eastAsia="lv-LV"/>
              </w:rPr>
            </w:pPr>
            <w:r w:rsidRPr="00327CA9">
              <w:rPr>
                <w:rFonts w:ascii="Times New Roman" w:eastAsia="Times New Roman" w:hAnsi="Times New Roman" w:cs="Times New Roman"/>
                <w:iCs/>
                <w:sz w:val="24"/>
                <w:szCs w:val="24"/>
                <w:lang w:eastAsia="lv-LV"/>
              </w:rPr>
              <w:t xml:space="preserve">Papildus vēršam uzmanību, ka no projekta anotācijā sniegtās informācijas, ka Statistikas likuma 23. panta otrās daļas 5. punktā noteiktais apstrādājamo datu apjoms, avoti un izmantošanas mērķis netiek iekļauts projektā, jo visi nepieciešamie dati jau ir Pārvaldes rīcībā, nesniedz priekšstatu personām, kādi dati, no kādām informācijas sistēmām tiek iegūti un apstrādāti un kādiem mērķiem. </w:t>
            </w:r>
          </w:p>
          <w:p w14:paraId="01751FB5" w14:textId="0C5A9779" w:rsidR="00831E25" w:rsidRPr="00327CA9" w:rsidRDefault="00831E25" w:rsidP="000E7DDC">
            <w:pPr>
              <w:tabs>
                <w:tab w:val="left" w:pos="709"/>
                <w:tab w:val="left" w:pos="851"/>
                <w:tab w:val="left" w:pos="993"/>
              </w:tabs>
              <w:spacing w:after="0" w:line="240" w:lineRule="auto"/>
              <w:jc w:val="both"/>
              <w:rPr>
                <w:rFonts w:ascii="Times New Roman" w:hAnsi="Times New Roman" w:cs="Times New Roman"/>
                <w:sz w:val="24"/>
                <w:szCs w:val="24"/>
              </w:rPr>
            </w:pPr>
            <w:r w:rsidRPr="000E7DDC">
              <w:rPr>
                <w:rFonts w:ascii="Times New Roman" w:eastAsia="Times New Roman" w:hAnsi="Times New Roman" w:cs="Times New Roman"/>
                <w:iCs/>
                <w:sz w:val="24"/>
                <w:szCs w:val="24"/>
                <w:lang w:eastAsia="lv-LV"/>
              </w:rPr>
              <w:t>Vienlaikus uzsveram, ka pretēji projekta anotācijā norādītajam Statistikas likuma 23. panta otrās daļas 5. punktā ir dots deleģējums norādīt datu veidus, nevis avotus.  Statistikas likuma 17. pantā ietvertais regulējums attiecībā uz personas datu apstrādes leģitīmo mērķi un samērīgumu ir pietiekams, tomēr datu veidi tajā nav atrunāti.</w:t>
            </w:r>
          </w:p>
        </w:tc>
        <w:tc>
          <w:tcPr>
            <w:tcW w:w="3544" w:type="dxa"/>
            <w:tcBorders>
              <w:top w:val="single" w:sz="6" w:space="0" w:color="000000"/>
              <w:left w:val="single" w:sz="6" w:space="0" w:color="000000"/>
              <w:bottom w:val="single" w:sz="6" w:space="0" w:color="000000"/>
              <w:right w:val="single" w:sz="6" w:space="0" w:color="000000"/>
            </w:tcBorders>
          </w:tcPr>
          <w:p w14:paraId="054E22F9" w14:textId="505CA0A3" w:rsidR="00831E25" w:rsidRPr="00327CA9" w:rsidRDefault="00F66330" w:rsidP="00831E25">
            <w:pPr>
              <w:pStyle w:val="naisc"/>
              <w:spacing w:before="0" w:after="0"/>
              <w:jc w:val="left"/>
              <w:rPr>
                <w:szCs w:val="20"/>
              </w:rPr>
            </w:pPr>
            <w:r>
              <w:rPr>
                <w:szCs w:val="20"/>
              </w:rPr>
              <w:lastRenderedPageBreak/>
              <w:t>Panākta vienošanās elektroniskās saskaņošanas laikā</w:t>
            </w:r>
            <w:r w:rsidR="00394257">
              <w:rPr>
                <w:szCs w:val="20"/>
              </w:rPr>
              <w:t>.</w:t>
            </w:r>
          </w:p>
        </w:tc>
        <w:tc>
          <w:tcPr>
            <w:tcW w:w="4536" w:type="dxa"/>
            <w:tcBorders>
              <w:top w:val="single" w:sz="4" w:space="0" w:color="auto"/>
              <w:left w:val="single" w:sz="4" w:space="0" w:color="auto"/>
              <w:bottom w:val="single" w:sz="4" w:space="0" w:color="auto"/>
            </w:tcBorders>
          </w:tcPr>
          <w:p w14:paraId="21A05120" w14:textId="65241467" w:rsidR="00831E25" w:rsidRPr="00327CA9" w:rsidRDefault="00AC181D" w:rsidP="00AC18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AC181D">
              <w:rPr>
                <w:rFonts w:ascii="Times New Roman" w:hAnsi="Times New Roman" w:cs="Times New Roman"/>
                <w:sz w:val="24"/>
                <w:szCs w:val="24"/>
              </w:rPr>
              <w:t xml:space="preserve">recizēts  </w:t>
            </w:r>
            <w:r>
              <w:rPr>
                <w:rFonts w:ascii="Times New Roman" w:hAnsi="Times New Roman" w:cs="Times New Roman"/>
                <w:sz w:val="24"/>
                <w:szCs w:val="24"/>
              </w:rPr>
              <w:t>MK noteikumu projekta anotācijas</w:t>
            </w:r>
            <w:r w:rsidR="00F66330">
              <w:rPr>
                <w:rFonts w:ascii="Times New Roman" w:hAnsi="Times New Roman" w:cs="Times New Roman"/>
                <w:sz w:val="24"/>
                <w:szCs w:val="24"/>
              </w:rPr>
              <w:t xml:space="preserve"> I sadaļas 2. punkts </w:t>
            </w:r>
            <w:r>
              <w:rPr>
                <w:rFonts w:ascii="Times New Roman" w:hAnsi="Times New Roman" w:cs="Times New Roman"/>
                <w:sz w:val="24"/>
                <w:szCs w:val="24"/>
              </w:rPr>
              <w:t xml:space="preserve"> </w:t>
            </w:r>
            <w:r w:rsidR="00F66330">
              <w:rPr>
                <w:rFonts w:ascii="Times New Roman" w:hAnsi="Times New Roman" w:cs="Times New Roman"/>
                <w:sz w:val="24"/>
                <w:szCs w:val="24"/>
              </w:rPr>
              <w:t>(</w:t>
            </w:r>
            <w:r w:rsidRPr="00AC181D">
              <w:rPr>
                <w:rFonts w:ascii="Times New Roman" w:hAnsi="Times New Roman" w:cs="Times New Roman"/>
                <w:sz w:val="24"/>
                <w:szCs w:val="24"/>
              </w:rPr>
              <w:t>1. punkta e) apakšpunkts un 2. punkts</w:t>
            </w:r>
            <w:r w:rsidR="00F66330">
              <w:rPr>
                <w:rFonts w:ascii="Times New Roman" w:hAnsi="Times New Roman" w:cs="Times New Roman"/>
                <w:sz w:val="24"/>
                <w:szCs w:val="24"/>
              </w:rPr>
              <w:t>)</w:t>
            </w:r>
            <w:r w:rsidRPr="00AC181D">
              <w:rPr>
                <w:rFonts w:ascii="Times New Roman" w:hAnsi="Times New Roman" w:cs="Times New Roman"/>
                <w:sz w:val="24"/>
                <w:szCs w:val="24"/>
              </w:rPr>
              <w:t>.</w:t>
            </w:r>
          </w:p>
        </w:tc>
      </w:tr>
      <w:tr w:rsidR="00831E25" w:rsidRPr="00327CA9" w14:paraId="2170324F" w14:textId="77777777" w:rsidTr="001D4D82">
        <w:tc>
          <w:tcPr>
            <w:tcW w:w="735" w:type="dxa"/>
            <w:tcBorders>
              <w:top w:val="single" w:sz="6" w:space="0" w:color="000000"/>
              <w:left w:val="single" w:sz="6" w:space="0" w:color="000000"/>
              <w:bottom w:val="single" w:sz="6" w:space="0" w:color="000000"/>
              <w:right w:val="single" w:sz="6" w:space="0" w:color="000000"/>
            </w:tcBorders>
          </w:tcPr>
          <w:p w14:paraId="2C21AB61" w14:textId="4BBCAD64" w:rsidR="00831E25" w:rsidRPr="000E7DDC" w:rsidRDefault="00AC181D" w:rsidP="00831E25">
            <w:pPr>
              <w:spacing w:after="0" w:line="240" w:lineRule="auto"/>
              <w:jc w:val="both"/>
              <w:rPr>
                <w:rFonts w:ascii="Times New Roman" w:eastAsia="Times New Roman" w:hAnsi="Times New Roman" w:cs="Times New Roman"/>
                <w:sz w:val="24"/>
                <w:szCs w:val="24"/>
                <w:lang w:eastAsia="lv-LV"/>
              </w:rPr>
            </w:pPr>
            <w:r w:rsidRPr="000E7DDC">
              <w:rPr>
                <w:rFonts w:ascii="Times New Roman" w:eastAsia="Times New Roman" w:hAnsi="Times New Roman" w:cs="Times New Roman"/>
                <w:sz w:val="24"/>
                <w:szCs w:val="24"/>
                <w:lang w:eastAsia="lv-LV"/>
              </w:rPr>
              <w:t>5</w:t>
            </w:r>
            <w:r w:rsidR="00831E25" w:rsidRPr="000E7DDC">
              <w:rPr>
                <w:rFonts w:ascii="Times New Roman" w:eastAsia="Times New Roman" w:hAnsi="Times New Roman" w:cs="Times New Roman"/>
                <w:sz w:val="24"/>
                <w:szCs w:val="24"/>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22B868C1" w14:textId="47586229" w:rsidR="00831E25" w:rsidRPr="00327CA9" w:rsidRDefault="00831E25" w:rsidP="00831E25">
            <w:pPr>
              <w:spacing w:after="0" w:line="240" w:lineRule="auto"/>
              <w:jc w:val="both"/>
              <w:rPr>
                <w:rFonts w:ascii="Times New Roman" w:eastAsia="Times New Roman" w:hAnsi="Times New Roman" w:cs="Times New Roman"/>
                <w:sz w:val="20"/>
                <w:szCs w:val="20"/>
                <w:lang w:eastAsia="lv-LV"/>
              </w:rPr>
            </w:pPr>
            <w:r w:rsidRPr="00327CA9">
              <w:rPr>
                <w:rFonts w:ascii="Times New Roman" w:hAnsi="Times New Roman" w:cs="Times New Roman"/>
                <w:sz w:val="24"/>
                <w:szCs w:val="24"/>
              </w:rPr>
              <w:t xml:space="preserve">MK noteikumu projekta </w:t>
            </w:r>
            <w:r w:rsidRPr="00327CA9">
              <w:rPr>
                <w:rFonts w:ascii="Times New Roman" w:eastAsia="Times New Roman" w:hAnsi="Times New Roman" w:cs="Times New Roman"/>
                <w:iCs/>
                <w:sz w:val="24"/>
                <w:szCs w:val="24"/>
                <w:lang w:eastAsia="lv-LV"/>
              </w:rPr>
              <w:t>3. punkts</w:t>
            </w:r>
          </w:p>
        </w:tc>
        <w:tc>
          <w:tcPr>
            <w:tcW w:w="8788" w:type="dxa"/>
            <w:tcBorders>
              <w:top w:val="single" w:sz="6" w:space="0" w:color="000000"/>
              <w:left w:val="single" w:sz="6" w:space="0" w:color="000000"/>
              <w:bottom w:val="single" w:sz="6" w:space="0" w:color="000000"/>
              <w:right w:val="single" w:sz="6" w:space="0" w:color="000000"/>
            </w:tcBorders>
          </w:tcPr>
          <w:p w14:paraId="179776A7" w14:textId="66E70284" w:rsidR="00831E25" w:rsidRPr="00327CA9" w:rsidRDefault="00831E25" w:rsidP="00831E25">
            <w:pPr>
              <w:spacing w:after="0" w:line="240" w:lineRule="auto"/>
              <w:jc w:val="both"/>
              <w:rPr>
                <w:rFonts w:ascii="Times New Roman" w:eastAsia="Times New Roman" w:hAnsi="Times New Roman" w:cs="Times New Roman"/>
                <w:sz w:val="24"/>
                <w:szCs w:val="24"/>
                <w:lang w:eastAsia="lv-LV"/>
              </w:rPr>
            </w:pPr>
            <w:r w:rsidRPr="00327CA9">
              <w:rPr>
                <w:rFonts w:ascii="Times New Roman" w:hAnsi="Times New Roman" w:cs="Times New Roman"/>
                <w:sz w:val="24"/>
                <w:szCs w:val="24"/>
              </w:rPr>
              <w:t>Lūdzam atkārtoti izvērtēt projekta 3. punkta atbilstību projekta izdošanas tiesiskajā pamatā noteiktajam tvērumam.  Projekta 3. punkts paredz pienākumu Pārvaldei nodrošināt skaitīšanā iegūtās oficiālās statistikas izplatīšanu saskaņā ar programmu. Minētais pienākums šķietami neietilpst Statistikas likuma 23. panta otrajā daļā un 24. pantā noteiktajam Ministru kabinetam dotajam pilnvarojumam un šāds pienākums būtu nosakāms Statistikas likumā (ja vien Statistikas likums jau neparedz šādu pienākumu). Ņemot vērā norādīto, lūdzam nepieciešamības gadījumā svītrot projekta 3. punktu</w:t>
            </w:r>
          </w:p>
        </w:tc>
        <w:tc>
          <w:tcPr>
            <w:tcW w:w="3544" w:type="dxa"/>
            <w:tcBorders>
              <w:top w:val="single" w:sz="6" w:space="0" w:color="000000"/>
              <w:left w:val="single" w:sz="6" w:space="0" w:color="000000"/>
              <w:bottom w:val="single" w:sz="6" w:space="0" w:color="000000"/>
              <w:right w:val="single" w:sz="6" w:space="0" w:color="000000"/>
            </w:tcBorders>
          </w:tcPr>
          <w:p w14:paraId="28AFA389" w14:textId="78F857AC" w:rsidR="00831E25" w:rsidRPr="00327CA9" w:rsidRDefault="00831E25" w:rsidP="00831E25">
            <w:pPr>
              <w:pStyle w:val="naisc"/>
              <w:spacing w:before="0" w:after="0"/>
              <w:jc w:val="left"/>
              <w:rPr>
                <w:szCs w:val="20"/>
              </w:rPr>
            </w:pPr>
            <w:r w:rsidRPr="00327CA9">
              <w:rPr>
                <w:szCs w:val="20"/>
              </w:rPr>
              <w:t>Iebildums ņemts vērā.</w:t>
            </w:r>
          </w:p>
        </w:tc>
        <w:tc>
          <w:tcPr>
            <w:tcW w:w="4536" w:type="dxa"/>
            <w:tcBorders>
              <w:top w:val="single" w:sz="4" w:space="0" w:color="auto"/>
              <w:left w:val="single" w:sz="4" w:space="0" w:color="auto"/>
              <w:bottom w:val="single" w:sz="4" w:space="0" w:color="auto"/>
            </w:tcBorders>
          </w:tcPr>
          <w:p w14:paraId="75218174" w14:textId="630D9887" w:rsidR="00831E25" w:rsidRPr="00327CA9" w:rsidRDefault="00831E25" w:rsidP="00831E25">
            <w:pPr>
              <w:spacing w:after="0" w:line="240" w:lineRule="auto"/>
              <w:jc w:val="both"/>
              <w:rPr>
                <w:rFonts w:ascii="Times New Roman" w:hAnsi="Times New Roman" w:cs="Times New Roman"/>
                <w:sz w:val="20"/>
                <w:szCs w:val="20"/>
              </w:rPr>
            </w:pPr>
            <w:r w:rsidRPr="00327CA9">
              <w:rPr>
                <w:rFonts w:ascii="Times New Roman" w:hAnsi="Times New Roman" w:cs="Times New Roman"/>
                <w:sz w:val="24"/>
                <w:szCs w:val="24"/>
              </w:rPr>
              <w:t xml:space="preserve">MK noteikumu projekta </w:t>
            </w:r>
            <w:r w:rsidRPr="00327CA9">
              <w:rPr>
                <w:rFonts w:ascii="Times New Roman" w:eastAsia="Times New Roman" w:hAnsi="Times New Roman" w:cs="Times New Roman"/>
                <w:iCs/>
                <w:sz w:val="24"/>
                <w:szCs w:val="24"/>
                <w:lang w:eastAsia="lv-LV"/>
              </w:rPr>
              <w:t>3. punkts svītrots</w:t>
            </w:r>
          </w:p>
        </w:tc>
      </w:tr>
      <w:tr w:rsidR="00831E25" w:rsidRPr="00327CA9" w14:paraId="3391DB2A" w14:textId="77777777" w:rsidTr="001D4D82">
        <w:tc>
          <w:tcPr>
            <w:tcW w:w="735" w:type="dxa"/>
            <w:tcBorders>
              <w:top w:val="single" w:sz="6" w:space="0" w:color="000000"/>
              <w:left w:val="single" w:sz="6" w:space="0" w:color="000000"/>
              <w:bottom w:val="single" w:sz="6" w:space="0" w:color="000000"/>
              <w:right w:val="single" w:sz="6" w:space="0" w:color="000000"/>
            </w:tcBorders>
          </w:tcPr>
          <w:p w14:paraId="5E3CC8FE" w14:textId="0CD0E826" w:rsidR="00831E25" w:rsidRPr="000E7DDC" w:rsidRDefault="00AC181D" w:rsidP="00831E25">
            <w:pPr>
              <w:spacing w:after="0" w:line="240" w:lineRule="auto"/>
              <w:jc w:val="both"/>
              <w:rPr>
                <w:rFonts w:ascii="Times New Roman" w:eastAsia="Times New Roman" w:hAnsi="Times New Roman" w:cs="Times New Roman"/>
                <w:sz w:val="24"/>
                <w:szCs w:val="24"/>
                <w:lang w:eastAsia="lv-LV"/>
              </w:rPr>
            </w:pPr>
            <w:r w:rsidRPr="000E7DDC">
              <w:rPr>
                <w:rFonts w:ascii="Times New Roman" w:eastAsia="Times New Roman" w:hAnsi="Times New Roman" w:cs="Times New Roman"/>
                <w:sz w:val="24"/>
                <w:szCs w:val="24"/>
                <w:lang w:eastAsia="lv-LV"/>
              </w:rPr>
              <w:t>6</w:t>
            </w:r>
            <w:r w:rsidR="00831E25" w:rsidRPr="000E7DDC">
              <w:rPr>
                <w:rFonts w:ascii="Times New Roman" w:eastAsia="Times New Roman" w:hAnsi="Times New Roman" w:cs="Times New Roman"/>
                <w:sz w:val="24"/>
                <w:szCs w:val="24"/>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5CF7ADAF" w14:textId="0949241D" w:rsidR="00831E25" w:rsidRPr="00327CA9" w:rsidRDefault="00831E25" w:rsidP="00831E25">
            <w:pPr>
              <w:spacing w:after="0" w:line="240" w:lineRule="auto"/>
              <w:jc w:val="both"/>
              <w:rPr>
                <w:rFonts w:ascii="Times New Roman" w:eastAsia="Times New Roman" w:hAnsi="Times New Roman" w:cs="Times New Roman"/>
                <w:sz w:val="20"/>
                <w:szCs w:val="20"/>
                <w:lang w:eastAsia="lv-LV"/>
              </w:rPr>
            </w:pPr>
            <w:r w:rsidRPr="00327CA9">
              <w:rPr>
                <w:rFonts w:ascii="Times New Roman" w:hAnsi="Times New Roman" w:cs="Times New Roman"/>
                <w:sz w:val="24"/>
                <w:szCs w:val="24"/>
              </w:rPr>
              <w:t xml:space="preserve">MK noteikumu projekta pielikuma </w:t>
            </w:r>
            <w:r w:rsidRPr="00327CA9">
              <w:rPr>
                <w:rFonts w:ascii="Times New Roman" w:eastAsia="Times New Roman" w:hAnsi="Times New Roman" w:cs="Times New Roman"/>
                <w:sz w:val="24"/>
                <w:szCs w:val="24"/>
                <w:lang w:eastAsia="lv-LV"/>
              </w:rPr>
              <w:t>1. tabula</w:t>
            </w:r>
          </w:p>
        </w:tc>
        <w:tc>
          <w:tcPr>
            <w:tcW w:w="8788" w:type="dxa"/>
            <w:tcBorders>
              <w:top w:val="single" w:sz="6" w:space="0" w:color="000000"/>
              <w:left w:val="single" w:sz="6" w:space="0" w:color="000000"/>
              <w:bottom w:val="single" w:sz="6" w:space="0" w:color="000000"/>
              <w:right w:val="single" w:sz="6" w:space="0" w:color="000000"/>
            </w:tcBorders>
          </w:tcPr>
          <w:p w14:paraId="3B4C36A7" w14:textId="7519AA88" w:rsidR="00831E25" w:rsidRPr="00327CA9" w:rsidRDefault="00831E25" w:rsidP="00831E25">
            <w:pPr>
              <w:spacing w:after="0" w:line="240" w:lineRule="auto"/>
              <w:jc w:val="both"/>
              <w:rPr>
                <w:rFonts w:ascii="Times New Roman" w:eastAsia="Times New Roman" w:hAnsi="Times New Roman" w:cs="Times New Roman"/>
                <w:sz w:val="24"/>
                <w:szCs w:val="24"/>
                <w:lang w:eastAsia="lv-LV"/>
              </w:rPr>
            </w:pPr>
            <w:r w:rsidRPr="00327CA9">
              <w:rPr>
                <w:rFonts w:ascii="Times New Roman" w:eastAsia="Times New Roman" w:hAnsi="Times New Roman" w:cs="Times New Roman"/>
                <w:sz w:val="24"/>
                <w:szCs w:val="24"/>
                <w:lang w:eastAsia="lv-LV"/>
              </w:rPr>
              <w:t xml:space="preserve">Lūdzam precizēt projekta pielikuma 1. tabulas kolonnas "publicējamā rādītāja nosaukums" un "publicējamā rādītāja detalizācija", rādītājiem lietojot speciālajos normatīvajos aktos lietoto terminoloģiju vai norādot atsauces uz normatīvo aktu, kuros šāds termins ir lietots. Norādām, ka Valsts zemes dienests var sniegt atbalstu rādītāju nosaukumu precizēšanā, bet no projektam pievienotās informācijas nav pilnībā skaidrs, kādi rādītāji šeit ir paredzēti. </w:t>
            </w:r>
          </w:p>
          <w:p w14:paraId="75D9871F" w14:textId="77777777" w:rsidR="00831E25" w:rsidRPr="00327CA9" w:rsidRDefault="00831E25" w:rsidP="00831E25">
            <w:pPr>
              <w:spacing w:after="0" w:line="240" w:lineRule="auto"/>
              <w:jc w:val="both"/>
              <w:rPr>
                <w:rFonts w:ascii="Times New Roman" w:eastAsia="Times New Roman" w:hAnsi="Times New Roman" w:cs="Times New Roman"/>
                <w:sz w:val="24"/>
                <w:szCs w:val="24"/>
                <w:lang w:eastAsia="lv-LV"/>
              </w:rPr>
            </w:pPr>
            <w:r w:rsidRPr="00327CA9">
              <w:rPr>
                <w:rFonts w:ascii="Times New Roman" w:eastAsia="Times New Roman" w:hAnsi="Times New Roman" w:cs="Times New Roman"/>
                <w:sz w:val="24"/>
                <w:szCs w:val="24"/>
                <w:lang w:eastAsia="lv-LV"/>
              </w:rPr>
              <w:t>Kā piemērus norādām:</w:t>
            </w:r>
          </w:p>
          <w:p w14:paraId="3521A407" w14:textId="77777777" w:rsidR="00831E25" w:rsidRPr="00327CA9" w:rsidRDefault="00831E25" w:rsidP="00831E25">
            <w:pPr>
              <w:spacing w:after="0" w:line="240" w:lineRule="auto"/>
              <w:jc w:val="both"/>
              <w:rPr>
                <w:rFonts w:ascii="Times New Roman" w:eastAsia="Times New Roman" w:hAnsi="Times New Roman" w:cs="Times New Roman"/>
                <w:sz w:val="24"/>
                <w:szCs w:val="24"/>
                <w:lang w:eastAsia="lv-LV"/>
              </w:rPr>
            </w:pPr>
            <w:r w:rsidRPr="00327CA9">
              <w:rPr>
                <w:rFonts w:ascii="Times New Roman" w:eastAsia="Times New Roman" w:hAnsi="Times New Roman" w:cs="Times New Roman"/>
                <w:sz w:val="24"/>
                <w:szCs w:val="24"/>
                <w:lang w:eastAsia="lv-LV"/>
              </w:rPr>
              <w:t>a)</w:t>
            </w:r>
            <w:r w:rsidRPr="00327CA9">
              <w:rPr>
                <w:rFonts w:ascii="Times New Roman" w:eastAsia="Times New Roman" w:hAnsi="Times New Roman" w:cs="Times New Roman"/>
                <w:sz w:val="24"/>
                <w:szCs w:val="24"/>
                <w:lang w:eastAsia="lv-LV"/>
              </w:rPr>
              <w:tab/>
              <w:t>23. punkts – nepieciešams izvērtēt, vai rādītāju "dzīvojamo telpu veids" nevajadzētu aizstāt ar rādītāju "mājokļa veids". No projekta nav skaidrs, vai šis sadalījums notiks, izmantojot Nekustamā īpašuma valsts kadastra informācijas sistēmas datus.</w:t>
            </w:r>
          </w:p>
          <w:p w14:paraId="669E6C71" w14:textId="77777777" w:rsidR="00831E25" w:rsidRPr="00327CA9" w:rsidRDefault="00831E25" w:rsidP="00831E25">
            <w:pPr>
              <w:spacing w:after="0" w:line="240" w:lineRule="auto"/>
              <w:jc w:val="both"/>
              <w:rPr>
                <w:rFonts w:ascii="Times New Roman" w:eastAsia="Times New Roman" w:hAnsi="Times New Roman" w:cs="Times New Roman"/>
                <w:sz w:val="24"/>
                <w:szCs w:val="24"/>
                <w:lang w:eastAsia="lv-LV"/>
              </w:rPr>
            </w:pPr>
            <w:r w:rsidRPr="00327CA9">
              <w:rPr>
                <w:rFonts w:ascii="Times New Roman" w:eastAsia="Times New Roman" w:hAnsi="Times New Roman" w:cs="Times New Roman"/>
                <w:sz w:val="24"/>
                <w:szCs w:val="24"/>
                <w:lang w:eastAsia="lv-LV"/>
              </w:rPr>
              <w:t>b)</w:t>
            </w:r>
            <w:r w:rsidRPr="00327CA9">
              <w:rPr>
                <w:rFonts w:ascii="Times New Roman" w:eastAsia="Times New Roman" w:hAnsi="Times New Roman" w:cs="Times New Roman"/>
                <w:sz w:val="24"/>
                <w:szCs w:val="24"/>
                <w:lang w:eastAsia="lv-LV"/>
              </w:rPr>
              <w:tab/>
              <w:t>27. punkts – nav skaidrs, kas ir saprotams ar rādītāju "izmantojamā grīdas platība". Vai ar to ir paredzēta ēkas kopējā platība vai ēkas lietderīgā platība. Nav skaidrs, kuru no platībām ir paredzēts iegūt no Nekustamā īpašuma valsts kadastra informācijas sistēmas datiem. Iespējams, paredzēta ir ēkas lietderīgā platība.</w:t>
            </w:r>
          </w:p>
          <w:p w14:paraId="66B32B53" w14:textId="77777777" w:rsidR="00831E25" w:rsidRPr="00327CA9" w:rsidRDefault="00831E25" w:rsidP="00831E25">
            <w:pPr>
              <w:spacing w:after="0" w:line="240" w:lineRule="auto"/>
              <w:jc w:val="both"/>
              <w:rPr>
                <w:rFonts w:ascii="Times New Roman" w:eastAsia="Times New Roman" w:hAnsi="Times New Roman" w:cs="Times New Roman"/>
                <w:sz w:val="24"/>
                <w:szCs w:val="24"/>
                <w:lang w:eastAsia="lv-LV"/>
              </w:rPr>
            </w:pPr>
            <w:r w:rsidRPr="00327CA9">
              <w:rPr>
                <w:rFonts w:ascii="Times New Roman" w:eastAsia="Times New Roman" w:hAnsi="Times New Roman" w:cs="Times New Roman"/>
                <w:sz w:val="24"/>
                <w:szCs w:val="24"/>
                <w:lang w:eastAsia="lv-LV"/>
              </w:rPr>
              <w:t>c)</w:t>
            </w:r>
            <w:r w:rsidRPr="00327CA9">
              <w:rPr>
                <w:rFonts w:ascii="Times New Roman" w:eastAsia="Times New Roman" w:hAnsi="Times New Roman" w:cs="Times New Roman"/>
                <w:sz w:val="24"/>
                <w:szCs w:val="24"/>
                <w:lang w:eastAsia="lv-LV"/>
              </w:rPr>
              <w:tab/>
              <w:t>29. punkts – visticamāk rādītāju "ūdens piegādes sistēma" ir nepieciešams aizstāt ar rādītāju "aukstā ūdens apgāde". Ūdens apgādi ne vienmēr nodrošina ūdensvads, ja ar to ir paredzēta centralizēta aukstā ūdens apgāde.</w:t>
            </w:r>
          </w:p>
          <w:p w14:paraId="02920E29" w14:textId="77777777" w:rsidR="00831E25" w:rsidRPr="00327CA9" w:rsidRDefault="00831E25" w:rsidP="00831E25">
            <w:pPr>
              <w:spacing w:after="0" w:line="240" w:lineRule="auto"/>
              <w:jc w:val="both"/>
              <w:rPr>
                <w:rFonts w:ascii="Times New Roman" w:eastAsia="Times New Roman" w:hAnsi="Times New Roman" w:cs="Times New Roman"/>
                <w:sz w:val="24"/>
                <w:szCs w:val="24"/>
                <w:lang w:eastAsia="lv-LV"/>
              </w:rPr>
            </w:pPr>
            <w:r w:rsidRPr="00327CA9">
              <w:rPr>
                <w:rFonts w:ascii="Times New Roman" w:eastAsia="Times New Roman" w:hAnsi="Times New Roman" w:cs="Times New Roman"/>
                <w:sz w:val="24"/>
                <w:szCs w:val="24"/>
                <w:lang w:eastAsia="lv-LV"/>
              </w:rPr>
              <w:t>d)</w:t>
            </w:r>
            <w:r w:rsidRPr="00327CA9">
              <w:rPr>
                <w:rFonts w:ascii="Times New Roman" w:eastAsia="Times New Roman" w:hAnsi="Times New Roman" w:cs="Times New Roman"/>
                <w:sz w:val="24"/>
                <w:szCs w:val="24"/>
                <w:lang w:eastAsia="lv-LV"/>
              </w:rPr>
              <w:tab/>
              <w:t>30. punkts – tualetes tiešā veidā no Nekustamā īpašuma valsts kadastra informācijas sistēmas teksta datiem identificēt nevar. Nav skaidrs, vai tās ir plānots noteikt pēc poda kā labiekārtojuma attiecīgajā telpu grupā vai ēkā vai pēc telpu nosaukumiem. Nekustamā īpašuma valsts kadastra informācijas sistēmas dati tiešā veida nenodrošina iespēju noteikt, vai tualete ir ar ūdens novadu. Nav skaidrs, vai ir plānots analizēt arī datus par kanalizāciju.</w:t>
            </w:r>
          </w:p>
          <w:p w14:paraId="3835E9CD" w14:textId="77777777" w:rsidR="00831E25" w:rsidRPr="00327CA9" w:rsidRDefault="00831E25" w:rsidP="00831E25">
            <w:pPr>
              <w:spacing w:after="0" w:line="240" w:lineRule="auto"/>
              <w:jc w:val="both"/>
              <w:rPr>
                <w:rFonts w:ascii="Times New Roman" w:eastAsia="Times New Roman" w:hAnsi="Times New Roman" w:cs="Times New Roman"/>
                <w:sz w:val="24"/>
                <w:szCs w:val="24"/>
                <w:lang w:eastAsia="lv-LV"/>
              </w:rPr>
            </w:pPr>
            <w:r w:rsidRPr="00327CA9">
              <w:rPr>
                <w:rFonts w:ascii="Times New Roman" w:eastAsia="Times New Roman" w:hAnsi="Times New Roman" w:cs="Times New Roman"/>
                <w:sz w:val="24"/>
                <w:szCs w:val="24"/>
                <w:lang w:eastAsia="lv-LV"/>
              </w:rPr>
              <w:t>e)</w:t>
            </w:r>
            <w:r w:rsidRPr="00327CA9">
              <w:rPr>
                <w:rFonts w:ascii="Times New Roman" w:eastAsia="Times New Roman" w:hAnsi="Times New Roman" w:cs="Times New Roman"/>
                <w:sz w:val="24"/>
                <w:szCs w:val="24"/>
                <w:lang w:eastAsia="lv-LV"/>
              </w:rPr>
              <w:tab/>
              <w:t>32. punkts – no projekta nav saprotams, kas ir paredzēts ar vārdu "centrālapkure" – centralizētā apkure, centrālā apkure vai abas.</w:t>
            </w:r>
          </w:p>
          <w:p w14:paraId="07572C14" w14:textId="77777777" w:rsidR="00831E25" w:rsidRPr="00327CA9" w:rsidRDefault="00831E25" w:rsidP="00831E25">
            <w:pPr>
              <w:spacing w:after="0" w:line="240" w:lineRule="auto"/>
              <w:jc w:val="both"/>
              <w:rPr>
                <w:rFonts w:ascii="Times New Roman" w:eastAsia="Times New Roman" w:hAnsi="Times New Roman" w:cs="Times New Roman"/>
                <w:sz w:val="24"/>
                <w:szCs w:val="24"/>
                <w:lang w:eastAsia="lv-LV"/>
              </w:rPr>
            </w:pPr>
            <w:r w:rsidRPr="00327CA9">
              <w:rPr>
                <w:rFonts w:ascii="Times New Roman" w:eastAsia="Times New Roman" w:hAnsi="Times New Roman" w:cs="Times New Roman"/>
                <w:sz w:val="24"/>
                <w:szCs w:val="24"/>
                <w:lang w:eastAsia="lv-LV"/>
              </w:rPr>
              <w:t>f)</w:t>
            </w:r>
            <w:r w:rsidRPr="00327CA9">
              <w:rPr>
                <w:rFonts w:ascii="Times New Roman" w:eastAsia="Times New Roman" w:hAnsi="Times New Roman" w:cs="Times New Roman"/>
                <w:sz w:val="24"/>
                <w:szCs w:val="24"/>
                <w:lang w:eastAsia="lv-LV"/>
              </w:rPr>
              <w:tab/>
              <w:t xml:space="preserve">33. punkts – "ēkas tips" nav korekts termins un visticamāk būtu aizstājams ar ēkas lietošanas veidu vai ēkas galveno lietošanas veidu. No sadalījuma nav skaidrs, pie kā tiks pieskaitītas dažādu sociālo grupu </w:t>
            </w:r>
            <w:proofErr w:type="spellStart"/>
            <w:r w:rsidRPr="00327CA9">
              <w:rPr>
                <w:rFonts w:ascii="Times New Roman" w:eastAsia="Times New Roman" w:hAnsi="Times New Roman" w:cs="Times New Roman"/>
                <w:sz w:val="24"/>
                <w:szCs w:val="24"/>
                <w:lang w:eastAsia="lv-LV"/>
              </w:rPr>
              <w:t>kopdzīvojamās</w:t>
            </w:r>
            <w:proofErr w:type="spellEnd"/>
            <w:r w:rsidRPr="00327CA9">
              <w:rPr>
                <w:rFonts w:ascii="Times New Roman" w:eastAsia="Times New Roman" w:hAnsi="Times New Roman" w:cs="Times New Roman"/>
                <w:sz w:val="24"/>
                <w:szCs w:val="24"/>
                <w:lang w:eastAsia="lv-LV"/>
              </w:rPr>
              <w:t xml:space="preserve"> mājas, kas Ministru kabineta 2018. gada </w:t>
            </w:r>
            <w:r w:rsidRPr="00327CA9">
              <w:rPr>
                <w:rFonts w:ascii="Times New Roman" w:eastAsia="Times New Roman" w:hAnsi="Times New Roman" w:cs="Times New Roman"/>
                <w:sz w:val="24"/>
                <w:szCs w:val="24"/>
                <w:lang w:eastAsia="lv-LV"/>
              </w:rPr>
              <w:lastRenderedPageBreak/>
              <w:t>12. jūnija noteikumos Nr. 326 "Būvju klasifikācijas noteikumi" ir iekļautas pie dzīvojamām mājām.</w:t>
            </w:r>
          </w:p>
          <w:p w14:paraId="24CF049E" w14:textId="3642B423" w:rsidR="00831E25" w:rsidRPr="00327CA9" w:rsidRDefault="00831E25" w:rsidP="00831E25">
            <w:pPr>
              <w:spacing w:after="0" w:line="240" w:lineRule="auto"/>
              <w:jc w:val="both"/>
              <w:rPr>
                <w:rFonts w:ascii="Times New Roman" w:eastAsia="Times New Roman" w:hAnsi="Times New Roman" w:cs="Times New Roman"/>
                <w:sz w:val="24"/>
                <w:szCs w:val="24"/>
                <w:lang w:eastAsia="lv-LV"/>
              </w:rPr>
            </w:pPr>
            <w:r w:rsidRPr="00327CA9">
              <w:rPr>
                <w:rFonts w:ascii="Times New Roman" w:eastAsia="Times New Roman" w:hAnsi="Times New Roman" w:cs="Times New Roman"/>
                <w:sz w:val="24"/>
                <w:szCs w:val="24"/>
                <w:lang w:eastAsia="lv-LV"/>
              </w:rPr>
              <w:t>g)</w:t>
            </w:r>
            <w:r w:rsidRPr="00327CA9">
              <w:rPr>
                <w:rFonts w:ascii="Times New Roman" w:eastAsia="Times New Roman" w:hAnsi="Times New Roman" w:cs="Times New Roman"/>
                <w:sz w:val="24"/>
                <w:szCs w:val="24"/>
                <w:lang w:eastAsia="lv-LV"/>
              </w:rPr>
              <w:tab/>
              <w:t>34. punkts – nav skaidrs, kas ir saprotams ar terminu "uzcelšanas laiks". Iespējams, ar to ir paredzēts Nekustamā īpašuma valsts kadastra informācijas sistēmā reģistrētais ekspluatācijas uzsākšanas gads vai ekspluatācijā pieņemšanas gads.</w:t>
            </w:r>
          </w:p>
        </w:tc>
        <w:tc>
          <w:tcPr>
            <w:tcW w:w="3544" w:type="dxa"/>
            <w:tcBorders>
              <w:top w:val="single" w:sz="6" w:space="0" w:color="000000"/>
              <w:left w:val="single" w:sz="6" w:space="0" w:color="000000"/>
              <w:bottom w:val="single" w:sz="6" w:space="0" w:color="000000"/>
              <w:right w:val="single" w:sz="6" w:space="0" w:color="000000"/>
            </w:tcBorders>
          </w:tcPr>
          <w:p w14:paraId="34F0E669" w14:textId="66DE7E6C" w:rsidR="00831E25" w:rsidRPr="00327CA9" w:rsidRDefault="00831E25" w:rsidP="00831E25">
            <w:pPr>
              <w:pStyle w:val="naisc"/>
              <w:spacing w:before="0" w:after="0"/>
              <w:jc w:val="left"/>
              <w:rPr>
                <w:szCs w:val="20"/>
              </w:rPr>
            </w:pPr>
            <w:r w:rsidRPr="00327CA9">
              <w:rPr>
                <w:szCs w:val="20"/>
              </w:rPr>
              <w:lastRenderedPageBreak/>
              <w:t xml:space="preserve">Iebildums ņemts vērā. </w:t>
            </w:r>
          </w:p>
        </w:tc>
        <w:tc>
          <w:tcPr>
            <w:tcW w:w="4536" w:type="dxa"/>
            <w:tcBorders>
              <w:top w:val="single" w:sz="4" w:space="0" w:color="auto"/>
              <w:left w:val="single" w:sz="4" w:space="0" w:color="auto"/>
              <w:bottom w:val="single" w:sz="4" w:space="0" w:color="auto"/>
            </w:tcBorders>
          </w:tcPr>
          <w:p w14:paraId="18C408CA" w14:textId="1223A23F" w:rsidR="00831E25" w:rsidRPr="00327CA9" w:rsidRDefault="00831E25" w:rsidP="00831E25">
            <w:pPr>
              <w:spacing w:after="0" w:line="240" w:lineRule="auto"/>
              <w:jc w:val="both"/>
              <w:rPr>
                <w:rFonts w:ascii="Times New Roman" w:hAnsi="Times New Roman" w:cs="Times New Roman"/>
                <w:sz w:val="20"/>
                <w:szCs w:val="20"/>
              </w:rPr>
            </w:pPr>
            <w:r w:rsidRPr="00327CA9">
              <w:rPr>
                <w:rFonts w:ascii="Times New Roman" w:hAnsi="Times New Roman" w:cs="Times New Roman"/>
                <w:sz w:val="24"/>
                <w:szCs w:val="24"/>
              </w:rPr>
              <w:t>MK noteikumu projekta pielikuma 1. tabula galīgā redakcija.</w:t>
            </w:r>
          </w:p>
        </w:tc>
      </w:tr>
      <w:tr w:rsidR="00831E25" w:rsidRPr="00327CA9" w14:paraId="2537EDD8" w14:textId="77777777" w:rsidTr="001D4D82">
        <w:trPr>
          <w:trHeight w:val="1844"/>
        </w:trPr>
        <w:tc>
          <w:tcPr>
            <w:tcW w:w="735" w:type="dxa"/>
            <w:tcBorders>
              <w:top w:val="single" w:sz="6" w:space="0" w:color="000000"/>
              <w:left w:val="single" w:sz="6" w:space="0" w:color="000000"/>
              <w:bottom w:val="single" w:sz="6" w:space="0" w:color="000000"/>
              <w:right w:val="single" w:sz="6" w:space="0" w:color="000000"/>
            </w:tcBorders>
          </w:tcPr>
          <w:p w14:paraId="7A75E3BF" w14:textId="3853C316" w:rsidR="00831E25" w:rsidRPr="000E7DDC" w:rsidRDefault="00AC181D" w:rsidP="00831E25">
            <w:pPr>
              <w:spacing w:after="0" w:line="240" w:lineRule="auto"/>
              <w:jc w:val="both"/>
              <w:rPr>
                <w:rFonts w:ascii="Times New Roman" w:eastAsia="Times New Roman" w:hAnsi="Times New Roman" w:cs="Times New Roman"/>
                <w:sz w:val="24"/>
                <w:szCs w:val="24"/>
                <w:lang w:eastAsia="lv-LV"/>
              </w:rPr>
            </w:pPr>
            <w:r w:rsidRPr="000E7DDC">
              <w:rPr>
                <w:rFonts w:ascii="Times New Roman" w:eastAsia="Times New Roman" w:hAnsi="Times New Roman" w:cs="Times New Roman"/>
                <w:sz w:val="24"/>
                <w:szCs w:val="24"/>
                <w:lang w:eastAsia="lv-LV"/>
              </w:rPr>
              <w:t>7</w:t>
            </w:r>
            <w:r w:rsidR="00831E25" w:rsidRPr="000E7DDC">
              <w:rPr>
                <w:rFonts w:ascii="Times New Roman" w:eastAsia="Times New Roman" w:hAnsi="Times New Roman" w:cs="Times New Roman"/>
                <w:sz w:val="24"/>
                <w:szCs w:val="24"/>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17AF1ACA" w14:textId="3A57DEF5" w:rsidR="00831E25" w:rsidRPr="00327CA9" w:rsidRDefault="00831E25" w:rsidP="00831E25">
            <w:pPr>
              <w:spacing w:after="0" w:line="240" w:lineRule="auto"/>
              <w:jc w:val="both"/>
              <w:rPr>
                <w:rFonts w:ascii="Times New Roman" w:eastAsia="Times New Roman" w:hAnsi="Times New Roman" w:cs="Times New Roman"/>
                <w:sz w:val="20"/>
                <w:szCs w:val="20"/>
                <w:lang w:eastAsia="lv-LV"/>
              </w:rPr>
            </w:pPr>
            <w:r w:rsidRPr="00327CA9">
              <w:rPr>
                <w:rFonts w:ascii="Times New Roman" w:hAnsi="Times New Roman" w:cs="Times New Roman"/>
                <w:sz w:val="24"/>
                <w:szCs w:val="24"/>
              </w:rPr>
              <w:t xml:space="preserve">MK noteikumu projekta anotācija </w:t>
            </w:r>
          </w:p>
        </w:tc>
        <w:tc>
          <w:tcPr>
            <w:tcW w:w="8788" w:type="dxa"/>
            <w:tcBorders>
              <w:top w:val="single" w:sz="6" w:space="0" w:color="000000"/>
              <w:left w:val="single" w:sz="6" w:space="0" w:color="000000"/>
              <w:bottom w:val="single" w:sz="6" w:space="0" w:color="000000"/>
              <w:right w:val="single" w:sz="6" w:space="0" w:color="000000"/>
            </w:tcBorders>
          </w:tcPr>
          <w:p w14:paraId="33A3695C" w14:textId="68B6729D" w:rsidR="00831E25" w:rsidRPr="00327CA9" w:rsidRDefault="00831E25" w:rsidP="00831E25">
            <w:pPr>
              <w:spacing w:line="252" w:lineRule="auto"/>
              <w:jc w:val="both"/>
              <w:rPr>
                <w:rFonts w:ascii="Times New Roman" w:hAnsi="Times New Roman" w:cs="Times New Roman"/>
                <w:sz w:val="24"/>
                <w:szCs w:val="24"/>
              </w:rPr>
            </w:pPr>
            <w:r w:rsidRPr="00327CA9">
              <w:rPr>
                <w:rFonts w:ascii="Times New Roman" w:hAnsi="Times New Roman" w:cs="Times New Roman"/>
                <w:sz w:val="24"/>
                <w:szCs w:val="24"/>
              </w:rPr>
              <w:t>Lūdzam projekta anotācijā skaidrot detalizāciju, kādā tiks publicēti dati. Vēršam uzmanību uz to, ka normatīvie akti neparedz Nekustamā īpašuma valsts kadastra informācijas sistēmas datu publicēšanu atvērto datu veidā. Datu publicēšana ir pieļaujama tikai tad, ja tiks nodrošināts, ka publicēti tiks tikai statistikas dati (kopsavilkums), bez iespējas identificēt konkrētus objektus. Norādām, ka minētais joprojām nav nepārprotami un tieši pateikts.</w:t>
            </w:r>
          </w:p>
        </w:tc>
        <w:tc>
          <w:tcPr>
            <w:tcW w:w="3544" w:type="dxa"/>
            <w:tcBorders>
              <w:top w:val="single" w:sz="6" w:space="0" w:color="000000"/>
              <w:left w:val="single" w:sz="6" w:space="0" w:color="000000"/>
              <w:bottom w:val="single" w:sz="6" w:space="0" w:color="000000"/>
              <w:right w:val="single" w:sz="6" w:space="0" w:color="000000"/>
            </w:tcBorders>
          </w:tcPr>
          <w:p w14:paraId="641B53B7" w14:textId="77777777" w:rsidR="00831E25" w:rsidRPr="00327CA9" w:rsidRDefault="00831E25" w:rsidP="00831E25">
            <w:pPr>
              <w:pStyle w:val="naisc"/>
              <w:spacing w:before="0" w:after="0"/>
              <w:jc w:val="left"/>
              <w:rPr>
                <w:szCs w:val="20"/>
              </w:rPr>
            </w:pPr>
            <w:r w:rsidRPr="00327CA9">
              <w:rPr>
                <w:szCs w:val="20"/>
              </w:rPr>
              <w:t>Iebildums ņemts vērā.</w:t>
            </w:r>
          </w:p>
          <w:p w14:paraId="7A094A5F" w14:textId="77777777" w:rsidR="00831E25" w:rsidRPr="00327CA9" w:rsidRDefault="00831E25" w:rsidP="00831E25">
            <w:pPr>
              <w:pStyle w:val="naisc"/>
              <w:spacing w:before="0" w:after="0"/>
              <w:jc w:val="left"/>
              <w:rPr>
                <w:szCs w:val="20"/>
              </w:rPr>
            </w:pPr>
          </w:p>
          <w:p w14:paraId="1F0DCE2F" w14:textId="76A4B56E" w:rsidR="00831E25" w:rsidRPr="00327CA9" w:rsidRDefault="00831E25" w:rsidP="00831E25">
            <w:pPr>
              <w:pStyle w:val="naisc"/>
              <w:spacing w:before="0" w:after="0"/>
              <w:jc w:val="left"/>
              <w:rPr>
                <w:szCs w:val="20"/>
              </w:rPr>
            </w:pPr>
          </w:p>
        </w:tc>
        <w:tc>
          <w:tcPr>
            <w:tcW w:w="4536" w:type="dxa"/>
            <w:tcBorders>
              <w:top w:val="single" w:sz="4" w:space="0" w:color="auto"/>
              <w:left w:val="single" w:sz="4" w:space="0" w:color="auto"/>
              <w:bottom w:val="single" w:sz="4" w:space="0" w:color="auto"/>
            </w:tcBorders>
          </w:tcPr>
          <w:p w14:paraId="0490D14B" w14:textId="1C71DE77" w:rsidR="00831E25" w:rsidRPr="00327CA9" w:rsidRDefault="00831E25" w:rsidP="00831E25">
            <w:pPr>
              <w:spacing w:after="0" w:line="240" w:lineRule="auto"/>
              <w:jc w:val="both"/>
              <w:rPr>
                <w:rFonts w:ascii="Times New Roman" w:hAnsi="Times New Roman" w:cs="Times New Roman"/>
                <w:sz w:val="24"/>
                <w:szCs w:val="24"/>
              </w:rPr>
            </w:pPr>
            <w:r w:rsidRPr="00327CA9">
              <w:rPr>
                <w:rFonts w:ascii="Times New Roman" w:hAnsi="Times New Roman" w:cs="Times New Roman"/>
                <w:sz w:val="24"/>
                <w:szCs w:val="24"/>
              </w:rPr>
              <w:t>MK noteikumu projekta anotācijas I. sadaļas 2. punkta 4.apakšpunkts.</w:t>
            </w:r>
          </w:p>
          <w:p w14:paraId="6FAB99CB" w14:textId="7542C05F" w:rsidR="00831E25" w:rsidRPr="00327CA9" w:rsidRDefault="00831E25" w:rsidP="00831E25">
            <w:pPr>
              <w:spacing w:after="0" w:line="240" w:lineRule="auto"/>
              <w:jc w:val="both"/>
              <w:rPr>
                <w:rFonts w:ascii="Times New Roman" w:hAnsi="Times New Roman" w:cs="Times New Roman"/>
                <w:sz w:val="24"/>
                <w:szCs w:val="24"/>
              </w:rPr>
            </w:pPr>
          </w:p>
        </w:tc>
      </w:tr>
      <w:tr w:rsidR="00AC181D" w:rsidRPr="00327CA9" w14:paraId="4F6181CF" w14:textId="77777777" w:rsidTr="001D4D82">
        <w:tc>
          <w:tcPr>
            <w:tcW w:w="735" w:type="dxa"/>
            <w:tcBorders>
              <w:top w:val="single" w:sz="6" w:space="0" w:color="000000"/>
              <w:left w:val="single" w:sz="6" w:space="0" w:color="000000"/>
              <w:bottom w:val="single" w:sz="6" w:space="0" w:color="000000"/>
              <w:right w:val="single" w:sz="6" w:space="0" w:color="000000"/>
            </w:tcBorders>
          </w:tcPr>
          <w:p w14:paraId="42C227AE" w14:textId="0C597801" w:rsidR="00AC181D" w:rsidRPr="000E7DDC" w:rsidRDefault="00AC181D" w:rsidP="00831E25">
            <w:pPr>
              <w:spacing w:after="0" w:line="240" w:lineRule="auto"/>
              <w:jc w:val="both"/>
              <w:rPr>
                <w:rFonts w:ascii="Times New Roman" w:eastAsia="Times New Roman" w:hAnsi="Times New Roman" w:cs="Times New Roman"/>
                <w:sz w:val="24"/>
                <w:szCs w:val="24"/>
                <w:lang w:eastAsia="lv-LV"/>
              </w:rPr>
            </w:pPr>
            <w:r w:rsidRPr="000E7DDC">
              <w:rPr>
                <w:rFonts w:ascii="Times New Roman" w:eastAsia="Times New Roman" w:hAnsi="Times New Roman" w:cs="Times New Roman"/>
                <w:sz w:val="24"/>
                <w:szCs w:val="24"/>
                <w:lang w:eastAsia="lv-LV"/>
              </w:rPr>
              <w:t>8.</w:t>
            </w:r>
          </w:p>
        </w:tc>
        <w:tc>
          <w:tcPr>
            <w:tcW w:w="2943" w:type="dxa"/>
            <w:tcBorders>
              <w:top w:val="single" w:sz="6" w:space="0" w:color="000000"/>
              <w:left w:val="single" w:sz="6" w:space="0" w:color="000000"/>
              <w:bottom w:val="single" w:sz="6" w:space="0" w:color="000000"/>
              <w:right w:val="single" w:sz="6" w:space="0" w:color="000000"/>
            </w:tcBorders>
          </w:tcPr>
          <w:p w14:paraId="2D791B33" w14:textId="52654129" w:rsidR="00AC181D" w:rsidRPr="00327CA9" w:rsidRDefault="00AC181D" w:rsidP="00831E25">
            <w:pPr>
              <w:pStyle w:val="naisc"/>
              <w:spacing w:before="0" w:after="0"/>
              <w:jc w:val="both"/>
              <w:rPr>
                <w:color w:val="000000"/>
              </w:rPr>
            </w:pPr>
            <w:r w:rsidRPr="00327CA9">
              <w:t>MK noteikumu projekta 1.tabula</w:t>
            </w:r>
          </w:p>
        </w:tc>
        <w:tc>
          <w:tcPr>
            <w:tcW w:w="8788" w:type="dxa"/>
            <w:tcBorders>
              <w:top w:val="single" w:sz="6" w:space="0" w:color="000000"/>
              <w:left w:val="single" w:sz="6" w:space="0" w:color="000000"/>
              <w:bottom w:val="single" w:sz="6" w:space="0" w:color="000000"/>
              <w:right w:val="single" w:sz="6" w:space="0" w:color="000000"/>
            </w:tcBorders>
          </w:tcPr>
          <w:p w14:paraId="1A1536F7" w14:textId="121FAB6D" w:rsidR="00AC181D" w:rsidRPr="00327CA9" w:rsidRDefault="00AC181D" w:rsidP="00831E25">
            <w:pPr>
              <w:spacing w:after="0" w:line="240" w:lineRule="auto"/>
              <w:jc w:val="both"/>
              <w:rPr>
                <w:rFonts w:ascii="Times New Roman" w:eastAsia="Times New Roman" w:hAnsi="Times New Roman"/>
                <w:sz w:val="24"/>
                <w:szCs w:val="24"/>
                <w:lang w:eastAsia="lv-LV"/>
              </w:rPr>
            </w:pPr>
            <w:r w:rsidRPr="00AC181D">
              <w:rPr>
                <w:rFonts w:ascii="Times New Roman" w:eastAsia="Times New Roman" w:hAnsi="Times New Roman"/>
                <w:sz w:val="24"/>
                <w:szCs w:val="24"/>
                <w:lang w:eastAsia="lv-LV"/>
              </w:rPr>
              <w:t>Projekta pielikuma 1. tabulā ir skaidrots, ka 4. kolonnā minētais termins "statistiskie reģioni" ir Kurzeme, Latgale, Rīga, Pierīga, Vidzeme, Zemgale atbilstoši Eiropas Parlamenta un Padomes 2003. gada 26. maija Regulai Nr. 1059/2003 par kopējas statistiski teritoriālo vienību, bet termins "Rīgas apkaimes" ir lietots atbilstoši Rīgas domes 2005. gada 20. decembra saistošajiem noteikumiem Nr. 34 un Rīgas pašvaldības atvērto datu portālā publicētajām robežām. Lūdzu skaidrot šo teritoriju atbilstību vai atšķirības no Administratīvo teritoriju un apdzīvotu vietu likumā noteiktajām administratīvajām teritorijām un Ministru kabineta 2013. gada 19. marta noteikumiem Nr. 154 "Noteikumi par republikas pilsētu un novadu administratīvo teritoriju robežu aprakstu apstiprināšanu".</w:t>
            </w:r>
          </w:p>
        </w:tc>
        <w:tc>
          <w:tcPr>
            <w:tcW w:w="3544" w:type="dxa"/>
            <w:tcBorders>
              <w:top w:val="single" w:sz="6" w:space="0" w:color="000000"/>
              <w:left w:val="single" w:sz="6" w:space="0" w:color="000000"/>
              <w:bottom w:val="single" w:sz="6" w:space="0" w:color="000000"/>
              <w:right w:val="single" w:sz="6" w:space="0" w:color="000000"/>
            </w:tcBorders>
          </w:tcPr>
          <w:p w14:paraId="3AEA677D" w14:textId="51F8ABEA" w:rsidR="00AC181D" w:rsidRPr="00327CA9" w:rsidRDefault="00AC181D" w:rsidP="00831E25">
            <w:pPr>
              <w:pStyle w:val="naisc"/>
              <w:spacing w:before="0" w:after="0"/>
              <w:jc w:val="left"/>
            </w:pPr>
            <w:r w:rsidRPr="00A65108">
              <w:t>Panākta vienošanās elektronisk</w:t>
            </w:r>
            <w:r w:rsidR="00F66330" w:rsidRPr="00A65108">
              <w:t>ās</w:t>
            </w:r>
            <w:r w:rsidRPr="00A65108">
              <w:t xml:space="preserve"> saskaņošan</w:t>
            </w:r>
            <w:r w:rsidR="00F66330" w:rsidRPr="00A65108">
              <w:t>as laikā</w:t>
            </w:r>
            <w:r w:rsidRPr="00A65108">
              <w:t>.</w:t>
            </w:r>
          </w:p>
        </w:tc>
        <w:tc>
          <w:tcPr>
            <w:tcW w:w="4536" w:type="dxa"/>
            <w:tcBorders>
              <w:top w:val="single" w:sz="4" w:space="0" w:color="auto"/>
              <w:left w:val="single" w:sz="4" w:space="0" w:color="auto"/>
              <w:bottom w:val="single" w:sz="4" w:space="0" w:color="auto"/>
            </w:tcBorders>
          </w:tcPr>
          <w:p w14:paraId="4D91045F" w14:textId="0345FAD4" w:rsidR="00AC181D" w:rsidRPr="00327CA9" w:rsidRDefault="00AC181D" w:rsidP="00831E25">
            <w:pPr>
              <w:pStyle w:val="naisc"/>
              <w:spacing w:before="0" w:after="0"/>
              <w:jc w:val="both"/>
              <w:rPr>
                <w:color w:val="000000"/>
              </w:rPr>
            </w:pPr>
            <w:r w:rsidRPr="00AC181D">
              <w:rPr>
                <w:color w:val="000000"/>
              </w:rPr>
              <w:t>MK noteikumu projekta 1.tabula</w:t>
            </w:r>
          </w:p>
        </w:tc>
      </w:tr>
      <w:tr w:rsidR="00831E25" w:rsidRPr="00327CA9" w14:paraId="0FE561BF" w14:textId="77777777" w:rsidTr="001D4D82">
        <w:tc>
          <w:tcPr>
            <w:tcW w:w="735" w:type="dxa"/>
            <w:tcBorders>
              <w:top w:val="single" w:sz="6" w:space="0" w:color="000000"/>
              <w:left w:val="single" w:sz="6" w:space="0" w:color="000000"/>
              <w:bottom w:val="single" w:sz="6" w:space="0" w:color="000000"/>
              <w:right w:val="single" w:sz="6" w:space="0" w:color="000000"/>
            </w:tcBorders>
          </w:tcPr>
          <w:p w14:paraId="11E1A0F4" w14:textId="4DCD138B" w:rsidR="00831E25" w:rsidRPr="000E7DDC" w:rsidRDefault="00AC181D" w:rsidP="00831E25">
            <w:pPr>
              <w:spacing w:after="0" w:line="240" w:lineRule="auto"/>
              <w:jc w:val="both"/>
              <w:rPr>
                <w:rFonts w:ascii="Times New Roman" w:eastAsia="Times New Roman" w:hAnsi="Times New Roman" w:cs="Times New Roman"/>
                <w:sz w:val="24"/>
                <w:szCs w:val="24"/>
                <w:lang w:eastAsia="lv-LV"/>
              </w:rPr>
            </w:pPr>
            <w:r w:rsidRPr="000E7DDC">
              <w:rPr>
                <w:rFonts w:ascii="Times New Roman" w:eastAsia="Times New Roman" w:hAnsi="Times New Roman" w:cs="Times New Roman"/>
                <w:sz w:val="24"/>
                <w:szCs w:val="24"/>
                <w:lang w:eastAsia="lv-LV"/>
              </w:rPr>
              <w:t>9</w:t>
            </w:r>
            <w:r w:rsidR="00831E25" w:rsidRPr="000E7DDC">
              <w:rPr>
                <w:rFonts w:ascii="Times New Roman" w:eastAsia="Times New Roman" w:hAnsi="Times New Roman" w:cs="Times New Roman"/>
                <w:sz w:val="24"/>
                <w:szCs w:val="24"/>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03C28509" w14:textId="1681C6FB" w:rsidR="00831E25" w:rsidRPr="00327CA9" w:rsidRDefault="00831E25" w:rsidP="00831E25">
            <w:pPr>
              <w:pStyle w:val="naisc"/>
              <w:spacing w:before="0" w:after="0"/>
              <w:jc w:val="both"/>
              <w:rPr>
                <w:b/>
                <w:color w:val="000000" w:themeColor="text1"/>
              </w:rPr>
            </w:pPr>
            <w:r w:rsidRPr="00327CA9">
              <w:rPr>
                <w:color w:val="000000"/>
              </w:rPr>
              <w:t>MK noteikumu projekta pielikuma 2. tabulas 38. ieraksts</w:t>
            </w:r>
          </w:p>
          <w:p w14:paraId="17E85A14" w14:textId="77777777" w:rsidR="00831E25" w:rsidRPr="00327CA9" w:rsidRDefault="00831E25" w:rsidP="00831E25">
            <w:pPr>
              <w:spacing w:after="0" w:line="240" w:lineRule="auto"/>
              <w:jc w:val="both"/>
              <w:rPr>
                <w:rFonts w:ascii="Times New Roman" w:eastAsia="Times New Roman" w:hAnsi="Times New Roman" w:cs="Times New Roman"/>
                <w:sz w:val="20"/>
                <w:szCs w:val="20"/>
                <w:lang w:eastAsia="lv-LV"/>
              </w:rPr>
            </w:pPr>
          </w:p>
        </w:tc>
        <w:tc>
          <w:tcPr>
            <w:tcW w:w="8788" w:type="dxa"/>
            <w:tcBorders>
              <w:top w:val="single" w:sz="6" w:space="0" w:color="000000"/>
              <w:left w:val="single" w:sz="6" w:space="0" w:color="000000"/>
              <w:bottom w:val="single" w:sz="6" w:space="0" w:color="000000"/>
              <w:right w:val="single" w:sz="6" w:space="0" w:color="000000"/>
            </w:tcBorders>
          </w:tcPr>
          <w:p w14:paraId="47D475E6" w14:textId="53159E50" w:rsidR="00831E25" w:rsidRPr="00327CA9" w:rsidRDefault="00831E25" w:rsidP="00831E25">
            <w:pPr>
              <w:spacing w:after="0" w:line="240" w:lineRule="auto"/>
              <w:jc w:val="both"/>
              <w:rPr>
                <w:rFonts w:ascii="Times New Roman" w:eastAsia="Times New Roman" w:hAnsi="Times New Roman"/>
                <w:sz w:val="24"/>
                <w:szCs w:val="24"/>
                <w:lang w:eastAsia="lv-LV"/>
              </w:rPr>
            </w:pPr>
            <w:r w:rsidRPr="00327CA9">
              <w:rPr>
                <w:rFonts w:ascii="Times New Roman" w:eastAsia="Times New Roman" w:hAnsi="Times New Roman"/>
                <w:sz w:val="24"/>
                <w:szCs w:val="24"/>
                <w:lang w:eastAsia="lv-LV"/>
              </w:rPr>
              <w:t>Lūdzam skaidrot, no kādas valsts informācijas sistēmas ir paredzēts iegūt projekta pielikuma 2. tabulas 38. ieraksta datus. Ja tos ir paredzēts iegūt no Nekustamā īpašuma valsts kadastra informācijas sistēmas, tad datu nosaukumi un apstrādājamo datu apjoms precizējami sadarbībā ar Valsts zemes dienestu.</w:t>
            </w:r>
          </w:p>
        </w:tc>
        <w:tc>
          <w:tcPr>
            <w:tcW w:w="3544" w:type="dxa"/>
            <w:tcBorders>
              <w:top w:val="single" w:sz="6" w:space="0" w:color="000000"/>
              <w:left w:val="single" w:sz="6" w:space="0" w:color="000000"/>
              <w:bottom w:val="single" w:sz="6" w:space="0" w:color="000000"/>
              <w:right w:val="single" w:sz="6" w:space="0" w:color="000000"/>
            </w:tcBorders>
          </w:tcPr>
          <w:p w14:paraId="3CBBE115" w14:textId="4BE7FFCF" w:rsidR="00831E25" w:rsidRPr="00327CA9" w:rsidRDefault="00831E25" w:rsidP="00831E25">
            <w:pPr>
              <w:pStyle w:val="naisc"/>
              <w:spacing w:before="0" w:after="0"/>
              <w:jc w:val="left"/>
            </w:pPr>
            <w:r w:rsidRPr="00327CA9">
              <w:t xml:space="preserve">Iebildums ņemts vērā. </w:t>
            </w:r>
          </w:p>
        </w:tc>
        <w:tc>
          <w:tcPr>
            <w:tcW w:w="4536" w:type="dxa"/>
            <w:tcBorders>
              <w:top w:val="single" w:sz="4" w:space="0" w:color="auto"/>
              <w:left w:val="single" w:sz="4" w:space="0" w:color="auto"/>
              <w:bottom w:val="single" w:sz="4" w:space="0" w:color="auto"/>
            </w:tcBorders>
          </w:tcPr>
          <w:p w14:paraId="28777B6A" w14:textId="3B2851C2" w:rsidR="00831E25" w:rsidRPr="00327CA9" w:rsidRDefault="00831E25" w:rsidP="00831E25">
            <w:pPr>
              <w:pStyle w:val="naisc"/>
              <w:spacing w:before="0" w:after="0"/>
              <w:jc w:val="both"/>
              <w:rPr>
                <w:b/>
                <w:color w:val="000000" w:themeColor="text1"/>
              </w:rPr>
            </w:pPr>
            <w:r w:rsidRPr="00327CA9">
              <w:rPr>
                <w:color w:val="000000"/>
              </w:rPr>
              <w:t>MK noteikumu projekta pielikuma 2. tabulas 48. ieraksta galīgā redakcija</w:t>
            </w:r>
            <w:r w:rsidR="00F66330">
              <w:rPr>
                <w:color w:val="000000"/>
              </w:rPr>
              <w:t xml:space="preserve"> (</w:t>
            </w:r>
            <w:r w:rsidR="00F66330" w:rsidRPr="00327CA9">
              <w:t>38.ieraksts pievienots 4</w:t>
            </w:r>
            <w:r w:rsidR="00F66330">
              <w:t>9</w:t>
            </w:r>
            <w:r w:rsidR="00F66330" w:rsidRPr="00327CA9">
              <w:t>.ierakstam</w:t>
            </w:r>
            <w:r w:rsidR="00F66330">
              <w:t>, kas pēc veiktajām izmaiņām pārnumurēts kā 48. ieraksts).</w:t>
            </w:r>
          </w:p>
          <w:p w14:paraId="0EB6A505" w14:textId="77777777" w:rsidR="00831E25" w:rsidRPr="00327CA9" w:rsidRDefault="00831E25" w:rsidP="00831E25">
            <w:pPr>
              <w:spacing w:after="0" w:line="240" w:lineRule="auto"/>
              <w:jc w:val="both"/>
              <w:rPr>
                <w:rFonts w:ascii="Times New Roman" w:hAnsi="Times New Roman" w:cs="Times New Roman"/>
                <w:sz w:val="20"/>
                <w:szCs w:val="20"/>
              </w:rPr>
            </w:pPr>
          </w:p>
        </w:tc>
      </w:tr>
      <w:tr w:rsidR="00831E25" w:rsidRPr="00327CA9" w14:paraId="43C8781F" w14:textId="77777777" w:rsidTr="001D4D82">
        <w:tc>
          <w:tcPr>
            <w:tcW w:w="735" w:type="dxa"/>
            <w:tcBorders>
              <w:top w:val="single" w:sz="6" w:space="0" w:color="000000"/>
              <w:left w:val="single" w:sz="6" w:space="0" w:color="000000"/>
              <w:bottom w:val="single" w:sz="6" w:space="0" w:color="000000"/>
              <w:right w:val="single" w:sz="6" w:space="0" w:color="000000"/>
            </w:tcBorders>
          </w:tcPr>
          <w:p w14:paraId="3CBFADBB" w14:textId="7C42BD5B" w:rsidR="00831E25" w:rsidRPr="000E7DDC" w:rsidRDefault="00AC181D" w:rsidP="00831E25">
            <w:pPr>
              <w:spacing w:after="0" w:line="240" w:lineRule="auto"/>
              <w:jc w:val="both"/>
              <w:rPr>
                <w:rFonts w:ascii="Times New Roman" w:eastAsia="Times New Roman" w:hAnsi="Times New Roman" w:cs="Times New Roman"/>
                <w:sz w:val="24"/>
                <w:szCs w:val="24"/>
                <w:lang w:eastAsia="lv-LV"/>
              </w:rPr>
            </w:pPr>
            <w:r w:rsidRPr="000E7DDC">
              <w:rPr>
                <w:rFonts w:ascii="Times New Roman" w:eastAsia="Times New Roman" w:hAnsi="Times New Roman" w:cs="Times New Roman"/>
                <w:sz w:val="24"/>
                <w:szCs w:val="24"/>
                <w:lang w:eastAsia="lv-LV"/>
              </w:rPr>
              <w:t>10</w:t>
            </w:r>
            <w:r w:rsidR="00831E25" w:rsidRPr="000E7DDC">
              <w:rPr>
                <w:rFonts w:ascii="Times New Roman" w:eastAsia="Times New Roman" w:hAnsi="Times New Roman" w:cs="Times New Roman"/>
                <w:sz w:val="24"/>
                <w:szCs w:val="24"/>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76D9588F" w14:textId="3974B6A9" w:rsidR="00831E25" w:rsidRPr="00327CA9" w:rsidRDefault="00831E25" w:rsidP="00831E25">
            <w:pPr>
              <w:pStyle w:val="naisc"/>
              <w:spacing w:before="0" w:after="0"/>
              <w:jc w:val="both"/>
              <w:rPr>
                <w:color w:val="000000"/>
              </w:rPr>
            </w:pPr>
            <w:r w:rsidRPr="00327CA9">
              <w:rPr>
                <w:color w:val="000000"/>
              </w:rPr>
              <w:t>MK noteikumu projekta pielikuma 2. tabulas 49. ieraksts</w:t>
            </w:r>
          </w:p>
          <w:p w14:paraId="2078A8E4" w14:textId="0E40E46A" w:rsidR="00831E25" w:rsidRPr="00327CA9" w:rsidRDefault="00831E25" w:rsidP="00831E25">
            <w:pPr>
              <w:pStyle w:val="naisc"/>
              <w:spacing w:after="0"/>
              <w:jc w:val="both"/>
              <w:rPr>
                <w:sz w:val="20"/>
                <w:szCs w:val="20"/>
              </w:rPr>
            </w:pPr>
            <w:r w:rsidRPr="00327CA9">
              <w:rPr>
                <w:bCs/>
                <w:color w:val="000000" w:themeColor="text1"/>
              </w:rPr>
              <w:t xml:space="preserve"> </w:t>
            </w:r>
          </w:p>
        </w:tc>
        <w:tc>
          <w:tcPr>
            <w:tcW w:w="8788" w:type="dxa"/>
            <w:tcBorders>
              <w:top w:val="single" w:sz="6" w:space="0" w:color="000000"/>
              <w:left w:val="single" w:sz="6" w:space="0" w:color="000000"/>
              <w:bottom w:val="single" w:sz="6" w:space="0" w:color="000000"/>
              <w:right w:val="single" w:sz="6" w:space="0" w:color="000000"/>
            </w:tcBorders>
          </w:tcPr>
          <w:p w14:paraId="4FF3F105" w14:textId="2EC7A5C4" w:rsidR="00831E25" w:rsidRPr="00327CA9" w:rsidRDefault="00831E25" w:rsidP="00831E25">
            <w:pPr>
              <w:spacing w:after="0" w:line="240" w:lineRule="auto"/>
              <w:jc w:val="both"/>
              <w:rPr>
                <w:rFonts w:ascii="Times New Roman" w:hAnsi="Times New Roman"/>
                <w:iCs/>
                <w:sz w:val="24"/>
                <w:szCs w:val="24"/>
              </w:rPr>
            </w:pPr>
            <w:r w:rsidRPr="00327CA9">
              <w:rPr>
                <w:rFonts w:ascii="Times New Roman" w:hAnsi="Times New Roman"/>
                <w:iCs/>
                <w:sz w:val="24"/>
                <w:szCs w:val="24"/>
              </w:rPr>
              <w:t>Lūdzam precizēt projekta pielikuma 2. tabulas 49. ieraksta apstrādājamo datu veidus , jo dati ar šādiem nosaukumiem netiek uzkrāti Nekustamā īpašuma valsts kadastra informācijas sistēmā. Skatīt arī 3. iebildumu. Datu nosaukumi precizējami sadarbībā ar Valsts zemes dienestu, jo no projektam pievienotās informācijas nav pilnībā skaidrs, kādi dati šeit ir paredzēti.</w:t>
            </w:r>
          </w:p>
        </w:tc>
        <w:tc>
          <w:tcPr>
            <w:tcW w:w="3544" w:type="dxa"/>
            <w:tcBorders>
              <w:top w:val="single" w:sz="6" w:space="0" w:color="000000"/>
              <w:left w:val="single" w:sz="6" w:space="0" w:color="000000"/>
              <w:bottom w:val="single" w:sz="6" w:space="0" w:color="000000"/>
              <w:right w:val="single" w:sz="6" w:space="0" w:color="000000"/>
            </w:tcBorders>
          </w:tcPr>
          <w:p w14:paraId="5C721D83" w14:textId="3B33C669" w:rsidR="00831E25" w:rsidRPr="00327CA9" w:rsidRDefault="00831E25" w:rsidP="00831E25">
            <w:pPr>
              <w:pStyle w:val="naisc"/>
              <w:spacing w:before="0" w:after="0"/>
              <w:jc w:val="left"/>
            </w:pPr>
            <w:r w:rsidRPr="00327CA9">
              <w:t>Iebildums ņemts vērā.</w:t>
            </w:r>
          </w:p>
        </w:tc>
        <w:tc>
          <w:tcPr>
            <w:tcW w:w="4536" w:type="dxa"/>
            <w:tcBorders>
              <w:top w:val="single" w:sz="4" w:space="0" w:color="auto"/>
              <w:left w:val="single" w:sz="4" w:space="0" w:color="auto"/>
              <w:bottom w:val="single" w:sz="4" w:space="0" w:color="auto"/>
            </w:tcBorders>
          </w:tcPr>
          <w:p w14:paraId="292C6C2F" w14:textId="67785424" w:rsidR="00831E25" w:rsidRPr="00327CA9" w:rsidRDefault="00831E25" w:rsidP="00831E25">
            <w:pPr>
              <w:pStyle w:val="naisc"/>
              <w:spacing w:before="0" w:after="0"/>
              <w:jc w:val="both"/>
              <w:rPr>
                <w:color w:val="000000"/>
              </w:rPr>
            </w:pPr>
            <w:r w:rsidRPr="00327CA9">
              <w:rPr>
                <w:color w:val="000000"/>
              </w:rPr>
              <w:t>MK noteikumu projekta pielikuma 2. tabulas 48. ieraksta galīgā redakcija.</w:t>
            </w:r>
          </w:p>
          <w:p w14:paraId="75E94319" w14:textId="10C0050E" w:rsidR="00831E25" w:rsidRPr="00327CA9" w:rsidRDefault="00831E25" w:rsidP="00831E25">
            <w:pPr>
              <w:pStyle w:val="naisc"/>
              <w:spacing w:before="0" w:after="0"/>
              <w:jc w:val="both"/>
              <w:rPr>
                <w:color w:val="000000"/>
              </w:rPr>
            </w:pPr>
          </w:p>
          <w:p w14:paraId="20E31C7C" w14:textId="77777777" w:rsidR="00831E25" w:rsidRPr="00327CA9" w:rsidRDefault="00831E25" w:rsidP="00831E25">
            <w:pPr>
              <w:pStyle w:val="naisc"/>
              <w:spacing w:before="0" w:after="0"/>
              <w:jc w:val="both"/>
              <w:rPr>
                <w:sz w:val="20"/>
                <w:szCs w:val="20"/>
              </w:rPr>
            </w:pPr>
          </w:p>
        </w:tc>
      </w:tr>
      <w:tr w:rsidR="00831E25" w:rsidRPr="00327CA9" w14:paraId="55E16DFC" w14:textId="77777777" w:rsidTr="001D4D82">
        <w:tc>
          <w:tcPr>
            <w:tcW w:w="735" w:type="dxa"/>
            <w:tcBorders>
              <w:top w:val="single" w:sz="6" w:space="0" w:color="000000"/>
              <w:left w:val="single" w:sz="6" w:space="0" w:color="000000"/>
              <w:bottom w:val="single" w:sz="6" w:space="0" w:color="000000"/>
              <w:right w:val="single" w:sz="6" w:space="0" w:color="000000"/>
            </w:tcBorders>
          </w:tcPr>
          <w:p w14:paraId="6F4B87A4" w14:textId="087DDC18" w:rsidR="00831E25" w:rsidRPr="000E7DDC" w:rsidRDefault="00AC181D" w:rsidP="00831E25">
            <w:pPr>
              <w:spacing w:after="0" w:line="240" w:lineRule="auto"/>
              <w:jc w:val="both"/>
              <w:rPr>
                <w:rFonts w:ascii="Times New Roman" w:eastAsia="Times New Roman" w:hAnsi="Times New Roman" w:cs="Times New Roman"/>
                <w:sz w:val="24"/>
                <w:szCs w:val="24"/>
                <w:lang w:eastAsia="lv-LV"/>
              </w:rPr>
            </w:pPr>
            <w:r w:rsidRPr="000E7DDC">
              <w:rPr>
                <w:rFonts w:ascii="Times New Roman" w:eastAsia="Times New Roman" w:hAnsi="Times New Roman" w:cs="Times New Roman"/>
                <w:sz w:val="24"/>
                <w:szCs w:val="24"/>
                <w:lang w:eastAsia="lv-LV"/>
              </w:rPr>
              <w:t>11</w:t>
            </w:r>
            <w:r w:rsidR="00831E25" w:rsidRPr="000E7DDC">
              <w:rPr>
                <w:rFonts w:ascii="Times New Roman" w:eastAsia="Times New Roman" w:hAnsi="Times New Roman" w:cs="Times New Roman"/>
                <w:sz w:val="24"/>
                <w:szCs w:val="24"/>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15BEAE1D" w14:textId="414E6E1A" w:rsidR="00831E25" w:rsidRPr="00327CA9" w:rsidRDefault="00831E25" w:rsidP="00831E25">
            <w:pPr>
              <w:pStyle w:val="naisc"/>
              <w:spacing w:before="0" w:after="0"/>
              <w:jc w:val="both"/>
              <w:rPr>
                <w:b/>
                <w:color w:val="000000" w:themeColor="text1"/>
              </w:rPr>
            </w:pPr>
            <w:r w:rsidRPr="00327CA9">
              <w:rPr>
                <w:color w:val="000000"/>
              </w:rPr>
              <w:t>MK noteikumu projekta pielikuma 2. tabulas 48. un 49. ieraksts</w:t>
            </w:r>
          </w:p>
          <w:p w14:paraId="3F9F8934" w14:textId="06681EA7" w:rsidR="00831E25" w:rsidRPr="00327CA9" w:rsidRDefault="00831E25" w:rsidP="00831E25">
            <w:pPr>
              <w:spacing w:after="0" w:line="240" w:lineRule="auto"/>
              <w:jc w:val="both"/>
              <w:rPr>
                <w:rFonts w:ascii="Times New Roman" w:eastAsia="Times New Roman" w:hAnsi="Times New Roman" w:cs="Times New Roman"/>
                <w:sz w:val="24"/>
                <w:szCs w:val="24"/>
                <w:lang w:eastAsia="lv-LV"/>
              </w:rPr>
            </w:pPr>
          </w:p>
        </w:tc>
        <w:tc>
          <w:tcPr>
            <w:tcW w:w="8788" w:type="dxa"/>
            <w:tcBorders>
              <w:top w:val="single" w:sz="6" w:space="0" w:color="000000"/>
              <w:left w:val="single" w:sz="6" w:space="0" w:color="000000"/>
              <w:bottom w:val="single" w:sz="6" w:space="0" w:color="000000"/>
              <w:right w:val="single" w:sz="6" w:space="0" w:color="000000"/>
            </w:tcBorders>
          </w:tcPr>
          <w:p w14:paraId="603EC461" w14:textId="0E21CBD3" w:rsidR="00831E25" w:rsidRPr="00327CA9" w:rsidRDefault="00831E25" w:rsidP="00831E25">
            <w:pPr>
              <w:spacing w:after="0" w:line="240" w:lineRule="auto"/>
              <w:jc w:val="both"/>
              <w:rPr>
                <w:rFonts w:ascii="Times New Roman" w:eastAsia="Times New Roman" w:hAnsi="Times New Roman"/>
                <w:sz w:val="24"/>
                <w:szCs w:val="24"/>
                <w:lang w:eastAsia="lv-LV"/>
              </w:rPr>
            </w:pPr>
            <w:r w:rsidRPr="00327CA9">
              <w:rPr>
                <w:rFonts w:ascii="Times New Roman" w:eastAsia="Times New Roman" w:hAnsi="Times New Roman"/>
                <w:sz w:val="24"/>
                <w:szCs w:val="24"/>
                <w:lang w:eastAsia="lv-LV"/>
              </w:rPr>
              <w:t xml:space="preserve">Projekta pielikuma 2. tabulā ir minēts, ka pielikuma 1. tabulā norādīto rādītāju aprēķināšanai tiks izmantoti Valsts adrešu reģistra informācijas sistēmas dati (48. ieraksts – adreses kods un adreses pieraksts) un Nekustamā īpašuma valsts kadastra informācijas sistēmas dati (49. ieraksts – dzīvojamo telpu veids, mājokļu īpašumtiesību veids, izmantojamā grīdas platība, ūdens piegādes sistēma, tualete, vanna/duša, apkures veids, ēkas tips, uzcelšanas laiks) pieejamajā apjomā un tiks veiktas šādas datu apstrādes darbības – datu apstrāde, datu analīze. Tabulā skaidrots, ka ar datu apstrādi saprotama fizisko personu datu apstrāde. Valsts adrešu reģistra informācijas sistēmā netiek uzkrāti fizisko personu dati (48. ieraksts) un Nekustamā īpašuma valsts kadastra informācijas sistēmas dati tiks apstrādāti tādā apjomā (49. ieraksts), kas neparedz kadastra subjektu datu apstrādi . </w:t>
            </w:r>
          </w:p>
          <w:p w14:paraId="665F55A6" w14:textId="6300AD8E" w:rsidR="00831E25" w:rsidRPr="00327CA9" w:rsidRDefault="00831E25" w:rsidP="00831E25">
            <w:pPr>
              <w:spacing w:after="0" w:line="240" w:lineRule="auto"/>
              <w:jc w:val="both"/>
              <w:rPr>
                <w:rFonts w:ascii="Times New Roman" w:eastAsia="Times New Roman" w:hAnsi="Times New Roman"/>
                <w:sz w:val="24"/>
                <w:szCs w:val="24"/>
                <w:lang w:eastAsia="lv-LV"/>
              </w:rPr>
            </w:pPr>
            <w:r w:rsidRPr="00327CA9">
              <w:rPr>
                <w:rFonts w:ascii="Times New Roman" w:eastAsia="Times New Roman" w:hAnsi="Times New Roman"/>
                <w:sz w:val="24"/>
                <w:szCs w:val="24"/>
                <w:lang w:eastAsia="lv-LV"/>
              </w:rPr>
              <w:t>Līdz ar to lūdzam precizēt apstrādes darbības attiecībā uz Valsts adrešu reģistra informācijas sistēmas un Nekustamā īpašuma valsts kadastra informācijas sistēmas datiem</w:t>
            </w:r>
          </w:p>
        </w:tc>
        <w:tc>
          <w:tcPr>
            <w:tcW w:w="3544" w:type="dxa"/>
            <w:tcBorders>
              <w:top w:val="single" w:sz="6" w:space="0" w:color="000000"/>
              <w:left w:val="single" w:sz="6" w:space="0" w:color="000000"/>
              <w:bottom w:val="single" w:sz="6" w:space="0" w:color="000000"/>
              <w:right w:val="single" w:sz="6" w:space="0" w:color="000000"/>
            </w:tcBorders>
          </w:tcPr>
          <w:p w14:paraId="72659F43" w14:textId="64C8F962" w:rsidR="00831E25" w:rsidRPr="00327CA9" w:rsidRDefault="00831E25" w:rsidP="00831E25">
            <w:pPr>
              <w:pStyle w:val="naisc"/>
              <w:spacing w:before="0" w:after="0"/>
              <w:jc w:val="left"/>
            </w:pPr>
            <w:r w:rsidRPr="00327CA9">
              <w:t>Iebildums ņemts vērā.</w:t>
            </w:r>
          </w:p>
        </w:tc>
        <w:tc>
          <w:tcPr>
            <w:tcW w:w="4536" w:type="dxa"/>
            <w:tcBorders>
              <w:top w:val="single" w:sz="4" w:space="0" w:color="auto"/>
              <w:left w:val="single" w:sz="4" w:space="0" w:color="auto"/>
              <w:bottom w:val="single" w:sz="4" w:space="0" w:color="auto"/>
            </w:tcBorders>
          </w:tcPr>
          <w:p w14:paraId="4BAB8D39" w14:textId="6019135E" w:rsidR="00831E25" w:rsidRPr="00327CA9" w:rsidRDefault="00831E25" w:rsidP="00831E25">
            <w:pPr>
              <w:pStyle w:val="naisc"/>
              <w:spacing w:before="0" w:after="0"/>
              <w:jc w:val="both"/>
              <w:rPr>
                <w:b/>
                <w:color w:val="000000" w:themeColor="text1"/>
              </w:rPr>
            </w:pPr>
            <w:r w:rsidRPr="00327CA9">
              <w:rPr>
                <w:color w:val="000000"/>
              </w:rPr>
              <w:t>MK noteikumu projekta pielikuma 2. tabulas 1. zemsvītras piezīmes galīgā redakcija.</w:t>
            </w:r>
          </w:p>
          <w:p w14:paraId="3F9BC500" w14:textId="407767BB" w:rsidR="00831E25" w:rsidRPr="00327CA9" w:rsidRDefault="00831E25" w:rsidP="00831E25">
            <w:pPr>
              <w:spacing w:after="0" w:line="240" w:lineRule="auto"/>
              <w:jc w:val="both"/>
              <w:rPr>
                <w:rFonts w:ascii="Times New Roman" w:hAnsi="Times New Roman" w:cs="Times New Roman"/>
                <w:sz w:val="20"/>
                <w:szCs w:val="20"/>
              </w:rPr>
            </w:pPr>
          </w:p>
        </w:tc>
      </w:tr>
      <w:tr w:rsidR="00831E25" w:rsidRPr="00327CA9" w14:paraId="1DA211EF" w14:textId="77777777" w:rsidTr="001D4D82">
        <w:tc>
          <w:tcPr>
            <w:tcW w:w="735" w:type="dxa"/>
            <w:tcBorders>
              <w:top w:val="single" w:sz="6" w:space="0" w:color="000000"/>
              <w:left w:val="single" w:sz="6" w:space="0" w:color="000000"/>
              <w:bottom w:val="single" w:sz="6" w:space="0" w:color="000000"/>
              <w:right w:val="single" w:sz="6" w:space="0" w:color="000000"/>
            </w:tcBorders>
          </w:tcPr>
          <w:p w14:paraId="3C042235" w14:textId="33B954F7" w:rsidR="00831E25" w:rsidRPr="000E7DDC" w:rsidRDefault="00AC181D" w:rsidP="00831E25">
            <w:pPr>
              <w:spacing w:after="0" w:line="240" w:lineRule="auto"/>
              <w:jc w:val="both"/>
              <w:rPr>
                <w:rFonts w:ascii="Times New Roman" w:eastAsia="Times New Roman" w:hAnsi="Times New Roman" w:cs="Times New Roman"/>
                <w:sz w:val="24"/>
                <w:szCs w:val="24"/>
                <w:lang w:eastAsia="lv-LV"/>
              </w:rPr>
            </w:pPr>
            <w:r w:rsidRPr="000E7DDC">
              <w:rPr>
                <w:rFonts w:ascii="Times New Roman" w:eastAsia="Times New Roman" w:hAnsi="Times New Roman" w:cs="Times New Roman"/>
                <w:sz w:val="24"/>
                <w:szCs w:val="24"/>
                <w:lang w:eastAsia="lv-LV"/>
              </w:rPr>
              <w:t>12</w:t>
            </w:r>
            <w:r w:rsidR="00831E25" w:rsidRPr="000E7DDC">
              <w:rPr>
                <w:rFonts w:ascii="Times New Roman" w:eastAsia="Times New Roman" w:hAnsi="Times New Roman" w:cs="Times New Roman"/>
                <w:sz w:val="24"/>
                <w:szCs w:val="24"/>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05A1186F" w14:textId="483933DC" w:rsidR="00831E25" w:rsidRPr="00327CA9" w:rsidRDefault="00831E25" w:rsidP="00831E25">
            <w:pPr>
              <w:pStyle w:val="naisc"/>
              <w:spacing w:before="0" w:after="0"/>
              <w:jc w:val="both"/>
              <w:rPr>
                <w:color w:val="000000"/>
              </w:rPr>
            </w:pPr>
            <w:r w:rsidRPr="00327CA9">
              <w:rPr>
                <w:color w:val="000000"/>
              </w:rPr>
              <w:t>MK noteikumu projekta anotācija</w:t>
            </w:r>
          </w:p>
        </w:tc>
        <w:tc>
          <w:tcPr>
            <w:tcW w:w="8788" w:type="dxa"/>
            <w:tcBorders>
              <w:top w:val="single" w:sz="6" w:space="0" w:color="000000"/>
              <w:left w:val="single" w:sz="6" w:space="0" w:color="000000"/>
              <w:bottom w:val="single" w:sz="6" w:space="0" w:color="000000"/>
              <w:right w:val="single" w:sz="6" w:space="0" w:color="000000"/>
            </w:tcBorders>
          </w:tcPr>
          <w:p w14:paraId="10331140" w14:textId="1AAEB57E" w:rsidR="00831E25" w:rsidRPr="00327CA9" w:rsidRDefault="00831E25" w:rsidP="00831E25">
            <w:pPr>
              <w:spacing w:after="0" w:line="240" w:lineRule="auto"/>
              <w:jc w:val="both"/>
              <w:rPr>
                <w:rFonts w:ascii="Times New Roman" w:hAnsi="Times New Roman"/>
                <w:iCs/>
                <w:sz w:val="24"/>
                <w:szCs w:val="24"/>
              </w:rPr>
            </w:pPr>
            <w:r w:rsidRPr="00327CA9">
              <w:rPr>
                <w:rFonts w:ascii="Times New Roman" w:hAnsi="Times New Roman"/>
                <w:iCs/>
                <w:sz w:val="24"/>
                <w:szCs w:val="24"/>
              </w:rPr>
              <w:t xml:space="preserve">Lūdzam precizēt anotāciju, tajā skaidrojot terminu nozīmi šādiem (pēc būtības) līdzīgiem terminiem – "statistisko vienību raksturojošo rādītāju saraksts", "oficiālās statistikas saraksts", "skaitīšanas rezultāti jeb skaitīšanas oficiālā statistika", "skaitīšanas programmā </w:t>
            </w:r>
            <w:r w:rsidRPr="00327CA9">
              <w:rPr>
                <w:rFonts w:ascii="Times New Roman" w:hAnsi="Times New Roman"/>
                <w:iCs/>
                <w:sz w:val="24"/>
                <w:szCs w:val="24"/>
              </w:rPr>
              <w:lastRenderedPageBreak/>
              <w:t>noteiktie kopsavilkuma dati", "skaitīšanas oficiālā statistika", "skaitīšanā iegūstamo statistikas vienību raksturojošo rādītāju saraksts".</w:t>
            </w:r>
          </w:p>
        </w:tc>
        <w:tc>
          <w:tcPr>
            <w:tcW w:w="3544" w:type="dxa"/>
            <w:tcBorders>
              <w:top w:val="single" w:sz="6" w:space="0" w:color="000000"/>
              <w:left w:val="single" w:sz="6" w:space="0" w:color="000000"/>
              <w:bottom w:val="single" w:sz="6" w:space="0" w:color="000000"/>
              <w:right w:val="single" w:sz="6" w:space="0" w:color="000000"/>
            </w:tcBorders>
          </w:tcPr>
          <w:p w14:paraId="12297D33" w14:textId="79A2E096" w:rsidR="00831E25" w:rsidRPr="00327CA9" w:rsidRDefault="00831E25" w:rsidP="00831E25">
            <w:pPr>
              <w:pStyle w:val="naisc"/>
              <w:spacing w:before="0" w:after="0"/>
              <w:jc w:val="left"/>
            </w:pPr>
            <w:r w:rsidRPr="00327CA9">
              <w:lastRenderedPageBreak/>
              <w:t xml:space="preserve">Iebildums ņemts vērā. Termini precizēti, izņemot MK noteikumu </w:t>
            </w:r>
            <w:r w:rsidRPr="00327CA9">
              <w:lastRenderedPageBreak/>
              <w:t>projekta anotācijas I iedaļu, kurā citēts Statistikas likums.</w:t>
            </w:r>
          </w:p>
        </w:tc>
        <w:tc>
          <w:tcPr>
            <w:tcW w:w="4536" w:type="dxa"/>
            <w:tcBorders>
              <w:top w:val="single" w:sz="4" w:space="0" w:color="auto"/>
              <w:left w:val="single" w:sz="4" w:space="0" w:color="auto"/>
              <w:bottom w:val="single" w:sz="4" w:space="0" w:color="auto"/>
            </w:tcBorders>
          </w:tcPr>
          <w:p w14:paraId="1C75408F" w14:textId="27CB95A9" w:rsidR="00831E25" w:rsidRPr="00327CA9" w:rsidRDefault="00831E25" w:rsidP="00831E25">
            <w:pPr>
              <w:pStyle w:val="naisc"/>
              <w:spacing w:before="0" w:after="0"/>
              <w:jc w:val="both"/>
              <w:rPr>
                <w:b/>
                <w:color w:val="000000" w:themeColor="text1"/>
              </w:rPr>
            </w:pPr>
            <w:r w:rsidRPr="00327CA9">
              <w:rPr>
                <w:color w:val="000000"/>
              </w:rPr>
              <w:lastRenderedPageBreak/>
              <w:t>MK noteikumu projekta anotācijas galīgā redakcija</w:t>
            </w:r>
          </w:p>
          <w:p w14:paraId="5CB4C2CD" w14:textId="2E55D61B" w:rsidR="00831E25" w:rsidRPr="00327CA9" w:rsidRDefault="00831E25" w:rsidP="00831E25">
            <w:pPr>
              <w:spacing w:after="0" w:line="240" w:lineRule="auto"/>
              <w:jc w:val="both"/>
              <w:rPr>
                <w:rFonts w:ascii="Times New Roman" w:hAnsi="Times New Roman" w:cs="Times New Roman"/>
                <w:sz w:val="20"/>
                <w:szCs w:val="20"/>
              </w:rPr>
            </w:pPr>
          </w:p>
        </w:tc>
      </w:tr>
      <w:tr w:rsidR="00831E25" w:rsidRPr="00327CA9" w14:paraId="5177B99B" w14:textId="77777777" w:rsidTr="001D4D82">
        <w:tc>
          <w:tcPr>
            <w:tcW w:w="735" w:type="dxa"/>
            <w:tcBorders>
              <w:top w:val="single" w:sz="6" w:space="0" w:color="000000"/>
              <w:left w:val="single" w:sz="6" w:space="0" w:color="000000"/>
              <w:bottom w:val="single" w:sz="6" w:space="0" w:color="000000"/>
              <w:right w:val="single" w:sz="6" w:space="0" w:color="000000"/>
            </w:tcBorders>
          </w:tcPr>
          <w:p w14:paraId="37F10253" w14:textId="4EF1E5CA" w:rsidR="00831E25" w:rsidRPr="000E7DDC" w:rsidRDefault="00831E25" w:rsidP="00831E25">
            <w:pPr>
              <w:spacing w:after="0" w:line="240" w:lineRule="auto"/>
              <w:jc w:val="both"/>
              <w:rPr>
                <w:rFonts w:ascii="Times New Roman" w:eastAsia="Times New Roman" w:hAnsi="Times New Roman" w:cs="Times New Roman"/>
                <w:sz w:val="24"/>
                <w:szCs w:val="24"/>
                <w:lang w:eastAsia="lv-LV"/>
              </w:rPr>
            </w:pPr>
            <w:r w:rsidRPr="000E7DDC">
              <w:rPr>
                <w:rFonts w:ascii="Times New Roman" w:eastAsia="Times New Roman" w:hAnsi="Times New Roman" w:cs="Times New Roman"/>
                <w:sz w:val="24"/>
                <w:szCs w:val="24"/>
                <w:lang w:eastAsia="lv-LV"/>
              </w:rPr>
              <w:t>1</w:t>
            </w:r>
            <w:r w:rsidR="00AC181D" w:rsidRPr="000E7DDC">
              <w:rPr>
                <w:rFonts w:ascii="Times New Roman" w:eastAsia="Times New Roman" w:hAnsi="Times New Roman" w:cs="Times New Roman"/>
                <w:sz w:val="24"/>
                <w:szCs w:val="24"/>
                <w:lang w:eastAsia="lv-LV"/>
              </w:rPr>
              <w:t>3</w:t>
            </w:r>
            <w:r w:rsidRPr="000E7DDC">
              <w:rPr>
                <w:rFonts w:ascii="Times New Roman" w:eastAsia="Times New Roman" w:hAnsi="Times New Roman" w:cs="Times New Roman"/>
                <w:sz w:val="24"/>
                <w:szCs w:val="24"/>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2727113E" w14:textId="3BC41692" w:rsidR="00831E25" w:rsidRPr="00327CA9" w:rsidRDefault="00831E25" w:rsidP="00831E25">
            <w:pPr>
              <w:pStyle w:val="naisc"/>
              <w:spacing w:before="0" w:after="0"/>
              <w:jc w:val="both"/>
              <w:rPr>
                <w:b/>
                <w:color w:val="000000" w:themeColor="text1"/>
              </w:rPr>
            </w:pPr>
            <w:r w:rsidRPr="00327CA9">
              <w:rPr>
                <w:color w:val="000000"/>
              </w:rPr>
              <w:t>MK noteikumu projekta anotācijas I sadaļas 3. punkts</w:t>
            </w:r>
          </w:p>
          <w:p w14:paraId="267B081E" w14:textId="77777777" w:rsidR="00831E25" w:rsidRPr="00327CA9" w:rsidRDefault="00831E25" w:rsidP="00831E25">
            <w:pPr>
              <w:spacing w:after="0" w:line="240" w:lineRule="auto"/>
              <w:jc w:val="both"/>
              <w:rPr>
                <w:rFonts w:ascii="Times New Roman" w:eastAsia="Times New Roman" w:hAnsi="Times New Roman" w:cs="Times New Roman"/>
                <w:sz w:val="20"/>
                <w:szCs w:val="20"/>
                <w:lang w:eastAsia="lv-LV"/>
              </w:rPr>
            </w:pPr>
          </w:p>
          <w:p w14:paraId="063E2D63" w14:textId="77777777" w:rsidR="00831E25" w:rsidRPr="00327CA9" w:rsidRDefault="00831E25" w:rsidP="00831E25">
            <w:pPr>
              <w:spacing w:after="0" w:line="240" w:lineRule="auto"/>
              <w:jc w:val="both"/>
              <w:rPr>
                <w:rFonts w:ascii="Times New Roman" w:eastAsia="Times New Roman" w:hAnsi="Times New Roman" w:cs="Times New Roman"/>
                <w:sz w:val="20"/>
                <w:szCs w:val="20"/>
                <w:lang w:eastAsia="lv-LV"/>
              </w:rPr>
            </w:pPr>
          </w:p>
          <w:p w14:paraId="33F2EA84" w14:textId="14397C7F" w:rsidR="00831E25" w:rsidRPr="00327CA9" w:rsidRDefault="00831E25" w:rsidP="00831E25">
            <w:pPr>
              <w:pStyle w:val="naisc"/>
              <w:spacing w:before="0" w:after="0"/>
              <w:jc w:val="both"/>
              <w:rPr>
                <w:bCs/>
                <w:color w:val="000000" w:themeColor="text1"/>
              </w:rPr>
            </w:pPr>
          </w:p>
        </w:tc>
        <w:tc>
          <w:tcPr>
            <w:tcW w:w="8788" w:type="dxa"/>
            <w:tcBorders>
              <w:top w:val="single" w:sz="6" w:space="0" w:color="000000"/>
              <w:left w:val="single" w:sz="6" w:space="0" w:color="000000"/>
              <w:bottom w:val="single" w:sz="6" w:space="0" w:color="000000"/>
              <w:right w:val="single" w:sz="6" w:space="0" w:color="000000"/>
            </w:tcBorders>
          </w:tcPr>
          <w:p w14:paraId="091BA4EB" w14:textId="12E499F2" w:rsidR="00831E25" w:rsidRPr="00327CA9" w:rsidRDefault="00831E25" w:rsidP="00831E25">
            <w:pPr>
              <w:spacing w:after="0" w:line="240" w:lineRule="auto"/>
              <w:jc w:val="both"/>
              <w:rPr>
                <w:rFonts w:ascii="Times New Roman" w:eastAsia="Times New Roman" w:hAnsi="Times New Roman"/>
                <w:sz w:val="24"/>
                <w:szCs w:val="24"/>
                <w:lang w:eastAsia="lv-LV"/>
              </w:rPr>
            </w:pPr>
            <w:r w:rsidRPr="00327CA9">
              <w:rPr>
                <w:rFonts w:ascii="Times New Roman" w:eastAsia="Times New Roman" w:hAnsi="Times New Roman"/>
                <w:sz w:val="24"/>
                <w:szCs w:val="24"/>
                <w:lang w:eastAsia="lv-LV"/>
              </w:rPr>
              <w:t>Projekta anotācijas I sadaļas 3. punktā ir norādīts, ka “konsultācijas notikušas ar galvenajiem skaitīšanas datu lietotājiem un administratīvo datu avotu turētājiem – Valsts zemes dienestu (..)". Lūdzam precizēt anotāciju, sniedzot skaidrojumu par to, kādam mērķim Valsts zemes dienestam Pārvaldes ieskatā būtu jāizmanto skaitīšanas dati (kas nav publicējamie rādītāji) un kā Valsts zemes dienests šos skaitīšanas datus varēs saņemt vai arī nodalīt, kuras institūcijas ir datu lietotāji un kuras institūcijas – administratīvo datu avotu turētāji.</w:t>
            </w:r>
          </w:p>
        </w:tc>
        <w:tc>
          <w:tcPr>
            <w:tcW w:w="3544" w:type="dxa"/>
            <w:tcBorders>
              <w:top w:val="single" w:sz="6" w:space="0" w:color="000000"/>
              <w:left w:val="single" w:sz="6" w:space="0" w:color="000000"/>
              <w:bottom w:val="single" w:sz="6" w:space="0" w:color="000000"/>
              <w:right w:val="single" w:sz="6" w:space="0" w:color="000000"/>
            </w:tcBorders>
          </w:tcPr>
          <w:p w14:paraId="0492927B" w14:textId="632EE7EB" w:rsidR="00831E25" w:rsidRPr="00327CA9" w:rsidRDefault="00831E25" w:rsidP="00831E25">
            <w:pPr>
              <w:pStyle w:val="naisc"/>
              <w:spacing w:before="0" w:after="0"/>
              <w:jc w:val="left"/>
            </w:pPr>
            <w:r w:rsidRPr="00327CA9">
              <w:t>Iebildums ņemts vērā.</w:t>
            </w:r>
          </w:p>
        </w:tc>
        <w:tc>
          <w:tcPr>
            <w:tcW w:w="4536" w:type="dxa"/>
            <w:tcBorders>
              <w:top w:val="single" w:sz="4" w:space="0" w:color="auto"/>
              <w:left w:val="single" w:sz="4" w:space="0" w:color="auto"/>
              <w:bottom w:val="single" w:sz="4" w:space="0" w:color="auto"/>
            </w:tcBorders>
          </w:tcPr>
          <w:p w14:paraId="5E749F69" w14:textId="4CBDBA85" w:rsidR="00831E25" w:rsidRPr="00327CA9" w:rsidRDefault="00831E25" w:rsidP="00831E25">
            <w:pPr>
              <w:pStyle w:val="naisc"/>
              <w:spacing w:before="0" w:after="0"/>
              <w:jc w:val="both"/>
              <w:rPr>
                <w:color w:val="000000"/>
              </w:rPr>
            </w:pPr>
            <w:r w:rsidRPr="00327CA9">
              <w:rPr>
                <w:color w:val="000000"/>
              </w:rPr>
              <w:t>MK noteikumu projekta anotācijas I sadaļas 3. punkta galīgā redakcija</w:t>
            </w:r>
          </w:p>
          <w:p w14:paraId="70FFFF18" w14:textId="27EA219F" w:rsidR="00831E25" w:rsidRPr="00327CA9" w:rsidRDefault="00831E25" w:rsidP="00831E25">
            <w:pPr>
              <w:pStyle w:val="naisc"/>
              <w:spacing w:before="0" w:after="0"/>
              <w:jc w:val="both"/>
              <w:rPr>
                <w:color w:val="000000"/>
              </w:rPr>
            </w:pPr>
          </w:p>
          <w:p w14:paraId="060A3AA0" w14:textId="77777777" w:rsidR="00831E25" w:rsidRPr="00327CA9" w:rsidRDefault="00831E25" w:rsidP="00831E25">
            <w:pPr>
              <w:pStyle w:val="naisc"/>
              <w:spacing w:before="0" w:after="0"/>
              <w:jc w:val="both"/>
              <w:rPr>
                <w:sz w:val="20"/>
                <w:szCs w:val="20"/>
              </w:rPr>
            </w:pPr>
          </w:p>
        </w:tc>
      </w:tr>
    </w:tbl>
    <w:p w14:paraId="37453BAD" w14:textId="26728EE8" w:rsidR="0036448E" w:rsidRDefault="0036448E"/>
    <w:p w14:paraId="13E12C7B" w14:textId="77777777" w:rsidR="001D4D82" w:rsidRPr="00327CA9" w:rsidRDefault="001D4D82"/>
    <w:tbl>
      <w:tblPr>
        <w:tblW w:w="14508" w:type="dxa"/>
        <w:tblLayout w:type="fixed"/>
        <w:tblLook w:val="00A0" w:firstRow="1" w:lastRow="0" w:firstColumn="1" w:lastColumn="0" w:noHBand="0" w:noVBand="0"/>
      </w:tblPr>
      <w:tblGrid>
        <w:gridCol w:w="5017"/>
        <w:gridCol w:w="9491"/>
      </w:tblGrid>
      <w:tr w:rsidR="0036448E" w:rsidRPr="00327CA9" w14:paraId="2941D36E" w14:textId="77777777" w:rsidTr="005203E0">
        <w:tc>
          <w:tcPr>
            <w:tcW w:w="5017" w:type="dxa"/>
          </w:tcPr>
          <w:p w14:paraId="48735180" w14:textId="77777777" w:rsidR="0036448E" w:rsidRPr="00327CA9" w:rsidRDefault="0036448E" w:rsidP="005203E0">
            <w:pPr>
              <w:pStyle w:val="naiskr"/>
              <w:spacing w:before="0" w:after="0"/>
              <w:jc w:val="center"/>
            </w:pPr>
            <w:r w:rsidRPr="00327CA9">
              <w:t>Atbildīgā amatpersona</w:t>
            </w:r>
          </w:p>
        </w:tc>
        <w:tc>
          <w:tcPr>
            <w:tcW w:w="9491" w:type="dxa"/>
          </w:tcPr>
          <w:p w14:paraId="0B0A67EE" w14:textId="77777777" w:rsidR="0036448E" w:rsidRPr="00327CA9" w:rsidRDefault="0036448E" w:rsidP="005203E0">
            <w:pPr>
              <w:pStyle w:val="naiskr"/>
              <w:spacing w:before="0" w:after="0"/>
              <w:ind w:firstLine="720"/>
              <w:jc w:val="center"/>
            </w:pPr>
          </w:p>
        </w:tc>
      </w:tr>
      <w:tr w:rsidR="0036448E" w:rsidRPr="00327CA9" w14:paraId="34FD84AD" w14:textId="77777777" w:rsidTr="005203E0">
        <w:tc>
          <w:tcPr>
            <w:tcW w:w="5017" w:type="dxa"/>
          </w:tcPr>
          <w:p w14:paraId="5D58DEC1" w14:textId="77777777" w:rsidR="0036448E" w:rsidRPr="00327CA9" w:rsidRDefault="0036448E" w:rsidP="005203E0">
            <w:pPr>
              <w:pStyle w:val="naiskr"/>
              <w:spacing w:before="0" w:after="0"/>
              <w:ind w:firstLine="720"/>
              <w:jc w:val="center"/>
            </w:pPr>
          </w:p>
        </w:tc>
        <w:tc>
          <w:tcPr>
            <w:tcW w:w="9491" w:type="dxa"/>
            <w:tcBorders>
              <w:top w:val="single" w:sz="6" w:space="0" w:color="000000"/>
            </w:tcBorders>
          </w:tcPr>
          <w:p w14:paraId="35666A01" w14:textId="77777777" w:rsidR="0036448E" w:rsidRPr="00327CA9" w:rsidRDefault="0036448E" w:rsidP="005203E0">
            <w:pPr>
              <w:pStyle w:val="naisc"/>
              <w:spacing w:before="0" w:after="0"/>
              <w:ind w:firstLine="720"/>
            </w:pPr>
            <w:r w:rsidRPr="00327CA9">
              <w:t>(paraksts)*</w:t>
            </w:r>
          </w:p>
        </w:tc>
      </w:tr>
    </w:tbl>
    <w:p w14:paraId="7CD7B24B" w14:textId="77777777" w:rsidR="0036448E" w:rsidRPr="00327CA9" w:rsidRDefault="0036448E" w:rsidP="0036448E">
      <w:pPr>
        <w:pStyle w:val="naisf"/>
        <w:spacing w:before="0" w:after="0"/>
        <w:ind w:firstLine="720"/>
      </w:pPr>
    </w:p>
    <w:p w14:paraId="79DFD217" w14:textId="77777777" w:rsidR="0036448E" w:rsidRPr="00327CA9" w:rsidRDefault="0036448E" w:rsidP="0036448E">
      <w:pPr>
        <w:pStyle w:val="naisf"/>
        <w:spacing w:before="0" w:after="0"/>
        <w:ind w:firstLine="720"/>
      </w:pPr>
      <w:r w:rsidRPr="00327CA9">
        <w:t>Piezīme. * Dokumenta rekvizītu "paraksts" neaizpilda, ja elektroniskais dokuments ir sagatavots atbilstoši normatīvajiem aktiem par elektronisko dokumentu noformēšanu.</w:t>
      </w:r>
    </w:p>
    <w:p w14:paraId="1A8BBD76" w14:textId="77777777" w:rsidR="0036448E" w:rsidRPr="00327CA9" w:rsidRDefault="0036448E" w:rsidP="0036448E">
      <w:pPr>
        <w:pStyle w:val="naisf"/>
        <w:spacing w:before="0" w:after="0"/>
        <w:ind w:firstLine="720"/>
      </w:pPr>
    </w:p>
    <w:p w14:paraId="7DF00A24" w14:textId="77777777" w:rsidR="0036448E" w:rsidRPr="00327CA9" w:rsidRDefault="0036448E" w:rsidP="0036448E">
      <w:pPr>
        <w:pStyle w:val="naisf"/>
        <w:spacing w:before="0" w:after="0"/>
        <w:ind w:firstLine="720"/>
      </w:pPr>
    </w:p>
    <w:p w14:paraId="7CC202B5" w14:textId="77777777" w:rsidR="0036448E" w:rsidRPr="00327CA9" w:rsidRDefault="0036448E" w:rsidP="0036448E">
      <w:pPr>
        <w:pStyle w:val="naisf"/>
        <w:spacing w:before="0" w:after="0"/>
        <w:ind w:firstLine="720"/>
        <w:rPr>
          <w:sz w:val="8"/>
          <w:szCs w:val="8"/>
        </w:rPr>
      </w:pPr>
    </w:p>
    <w:tbl>
      <w:tblPr>
        <w:tblW w:w="0" w:type="auto"/>
        <w:tblLook w:val="00A0" w:firstRow="1" w:lastRow="0" w:firstColumn="1" w:lastColumn="0" w:noHBand="0" w:noVBand="0"/>
      </w:tblPr>
      <w:tblGrid>
        <w:gridCol w:w="8268"/>
      </w:tblGrid>
      <w:tr w:rsidR="0036448E" w:rsidRPr="00327CA9" w14:paraId="1982F0E5" w14:textId="77777777" w:rsidTr="005203E0">
        <w:tc>
          <w:tcPr>
            <w:tcW w:w="8268" w:type="dxa"/>
            <w:vAlign w:val="center"/>
          </w:tcPr>
          <w:p w14:paraId="39EECEDE" w14:textId="77777777" w:rsidR="0036448E" w:rsidRPr="00327CA9" w:rsidRDefault="0036448E" w:rsidP="005203E0">
            <w:pPr>
              <w:spacing w:before="120"/>
              <w:jc w:val="center"/>
              <w:rPr>
                <w:rFonts w:ascii="Times New Roman" w:hAnsi="Times New Roman" w:cs="Times New Roman"/>
                <w:sz w:val="24"/>
                <w:szCs w:val="24"/>
              </w:rPr>
            </w:pPr>
            <w:r w:rsidRPr="00327CA9">
              <w:rPr>
                <w:rFonts w:ascii="Times New Roman" w:hAnsi="Times New Roman" w:cs="Times New Roman"/>
                <w:sz w:val="24"/>
                <w:szCs w:val="24"/>
              </w:rPr>
              <w:t>Aija Žīgure</w:t>
            </w:r>
          </w:p>
        </w:tc>
      </w:tr>
      <w:tr w:rsidR="0036448E" w:rsidRPr="00327CA9" w14:paraId="3935F144" w14:textId="77777777" w:rsidTr="005203E0">
        <w:tc>
          <w:tcPr>
            <w:tcW w:w="8268" w:type="dxa"/>
            <w:tcBorders>
              <w:top w:val="single" w:sz="4" w:space="0" w:color="000000"/>
            </w:tcBorders>
          </w:tcPr>
          <w:p w14:paraId="4F60374A" w14:textId="77777777" w:rsidR="0036448E" w:rsidRPr="00327CA9" w:rsidRDefault="0036448E" w:rsidP="005203E0">
            <w:pPr>
              <w:jc w:val="center"/>
              <w:rPr>
                <w:rFonts w:ascii="Times New Roman" w:hAnsi="Times New Roman" w:cs="Times New Roman"/>
                <w:sz w:val="20"/>
                <w:szCs w:val="20"/>
              </w:rPr>
            </w:pPr>
            <w:r w:rsidRPr="00327CA9">
              <w:rPr>
                <w:rFonts w:ascii="Times New Roman" w:hAnsi="Times New Roman" w:cs="Times New Roman"/>
                <w:sz w:val="20"/>
                <w:szCs w:val="20"/>
              </w:rPr>
              <w:t xml:space="preserve"> (par projektu atbildīgās amatpersonas vārds un uzvārds)</w:t>
            </w:r>
          </w:p>
        </w:tc>
      </w:tr>
      <w:tr w:rsidR="0036448E" w:rsidRPr="00327CA9" w14:paraId="6C93D209" w14:textId="77777777" w:rsidTr="005203E0">
        <w:tc>
          <w:tcPr>
            <w:tcW w:w="8268" w:type="dxa"/>
            <w:tcBorders>
              <w:bottom w:val="single" w:sz="4" w:space="0" w:color="000000"/>
            </w:tcBorders>
          </w:tcPr>
          <w:p w14:paraId="6575A04F" w14:textId="77777777" w:rsidR="0036448E" w:rsidRPr="00327CA9" w:rsidRDefault="0036448E" w:rsidP="005203E0">
            <w:pPr>
              <w:spacing w:before="120"/>
              <w:jc w:val="center"/>
              <w:rPr>
                <w:rFonts w:ascii="Times New Roman" w:hAnsi="Times New Roman" w:cs="Times New Roman"/>
              </w:rPr>
            </w:pPr>
            <w:r w:rsidRPr="00327CA9">
              <w:rPr>
                <w:rFonts w:ascii="Times New Roman" w:hAnsi="Times New Roman" w:cs="Times New Roman"/>
                <w:sz w:val="24"/>
                <w:szCs w:val="24"/>
              </w:rPr>
              <w:t>Centrālās statistikas pārvaldes priekšniece</w:t>
            </w:r>
          </w:p>
        </w:tc>
      </w:tr>
      <w:tr w:rsidR="0036448E" w:rsidRPr="00327CA9" w14:paraId="1D4F7131" w14:textId="77777777" w:rsidTr="005203E0">
        <w:tc>
          <w:tcPr>
            <w:tcW w:w="8268" w:type="dxa"/>
            <w:tcBorders>
              <w:top w:val="single" w:sz="4" w:space="0" w:color="000000"/>
            </w:tcBorders>
          </w:tcPr>
          <w:p w14:paraId="7DED8D37" w14:textId="77777777" w:rsidR="0036448E" w:rsidRPr="00327CA9" w:rsidRDefault="0036448E" w:rsidP="005203E0">
            <w:pPr>
              <w:jc w:val="center"/>
              <w:rPr>
                <w:rFonts w:ascii="Times New Roman" w:hAnsi="Times New Roman" w:cs="Times New Roman"/>
                <w:sz w:val="20"/>
                <w:szCs w:val="20"/>
              </w:rPr>
            </w:pPr>
            <w:r w:rsidRPr="00327CA9">
              <w:rPr>
                <w:rFonts w:ascii="Times New Roman" w:hAnsi="Times New Roman" w:cs="Times New Roman"/>
                <w:sz w:val="20"/>
                <w:szCs w:val="20"/>
              </w:rPr>
              <w:t>(amats)</w:t>
            </w:r>
          </w:p>
        </w:tc>
      </w:tr>
      <w:tr w:rsidR="0036448E" w:rsidRPr="00327CA9" w14:paraId="65499C64" w14:textId="77777777" w:rsidTr="005203E0">
        <w:tc>
          <w:tcPr>
            <w:tcW w:w="8268" w:type="dxa"/>
            <w:tcBorders>
              <w:bottom w:val="single" w:sz="4" w:space="0" w:color="000000"/>
            </w:tcBorders>
          </w:tcPr>
          <w:p w14:paraId="0BB6222C" w14:textId="77777777" w:rsidR="0036448E" w:rsidRPr="00327CA9" w:rsidRDefault="0036448E" w:rsidP="005203E0">
            <w:pPr>
              <w:spacing w:before="120"/>
              <w:rPr>
                <w:rFonts w:ascii="Times New Roman" w:hAnsi="Times New Roman" w:cs="Times New Roman"/>
              </w:rPr>
            </w:pPr>
            <w:r w:rsidRPr="00327CA9">
              <w:rPr>
                <w:rFonts w:ascii="Times New Roman" w:hAnsi="Times New Roman" w:cs="Times New Roman"/>
              </w:rPr>
              <w:t xml:space="preserve">                                       </w:t>
            </w:r>
            <w:r w:rsidRPr="00327CA9">
              <w:rPr>
                <w:rFonts w:ascii="Times New Roman" w:hAnsi="Times New Roman" w:cs="Times New Roman"/>
                <w:sz w:val="24"/>
                <w:szCs w:val="24"/>
              </w:rPr>
              <w:t>Tel.: 67366850; fakss: 67830137</w:t>
            </w:r>
          </w:p>
        </w:tc>
      </w:tr>
      <w:tr w:rsidR="0036448E" w:rsidRPr="00327CA9" w14:paraId="5D9187C0" w14:textId="77777777" w:rsidTr="005203E0">
        <w:tc>
          <w:tcPr>
            <w:tcW w:w="8268" w:type="dxa"/>
            <w:tcBorders>
              <w:top w:val="single" w:sz="4" w:space="0" w:color="000000"/>
            </w:tcBorders>
          </w:tcPr>
          <w:p w14:paraId="5401A130" w14:textId="77777777" w:rsidR="0036448E" w:rsidRPr="00327CA9" w:rsidRDefault="0036448E" w:rsidP="005203E0">
            <w:pPr>
              <w:jc w:val="center"/>
              <w:rPr>
                <w:rFonts w:ascii="Times New Roman" w:hAnsi="Times New Roman" w:cs="Times New Roman"/>
                <w:sz w:val="20"/>
                <w:szCs w:val="20"/>
              </w:rPr>
            </w:pPr>
            <w:r w:rsidRPr="00327CA9">
              <w:rPr>
                <w:rFonts w:ascii="Times New Roman" w:hAnsi="Times New Roman" w:cs="Times New Roman"/>
                <w:sz w:val="20"/>
                <w:szCs w:val="20"/>
              </w:rPr>
              <w:t>(tālruņa un faksa numurs)</w:t>
            </w:r>
          </w:p>
        </w:tc>
      </w:tr>
      <w:tr w:rsidR="0036448E" w:rsidRPr="00327CA9" w14:paraId="4AC11263" w14:textId="77777777" w:rsidTr="005203E0">
        <w:tc>
          <w:tcPr>
            <w:tcW w:w="8268" w:type="dxa"/>
            <w:tcBorders>
              <w:bottom w:val="single" w:sz="4" w:space="0" w:color="000000"/>
            </w:tcBorders>
          </w:tcPr>
          <w:p w14:paraId="3311BE5F" w14:textId="77777777" w:rsidR="0036448E" w:rsidRPr="00327CA9" w:rsidRDefault="0036448E" w:rsidP="005203E0">
            <w:pPr>
              <w:spacing w:before="120"/>
              <w:jc w:val="center"/>
              <w:rPr>
                <w:rFonts w:ascii="Times New Roman" w:hAnsi="Times New Roman" w:cs="Times New Roman"/>
                <w:sz w:val="24"/>
                <w:szCs w:val="24"/>
              </w:rPr>
            </w:pPr>
            <w:r w:rsidRPr="00327CA9">
              <w:rPr>
                <w:rFonts w:ascii="Times New Roman" w:hAnsi="Times New Roman" w:cs="Times New Roman"/>
                <w:sz w:val="24"/>
                <w:szCs w:val="24"/>
              </w:rPr>
              <w:t>Aija.Zigure@csb.gov.lv</w:t>
            </w:r>
          </w:p>
        </w:tc>
      </w:tr>
      <w:tr w:rsidR="0036448E" w:rsidRPr="00327CA9" w14:paraId="37F33E15" w14:textId="77777777" w:rsidTr="004D6F8B">
        <w:trPr>
          <w:trHeight w:val="660"/>
        </w:trPr>
        <w:tc>
          <w:tcPr>
            <w:tcW w:w="8268" w:type="dxa"/>
            <w:tcBorders>
              <w:top w:val="single" w:sz="4" w:space="0" w:color="000000"/>
            </w:tcBorders>
          </w:tcPr>
          <w:p w14:paraId="6BEB2B91" w14:textId="77777777" w:rsidR="0036448E" w:rsidRPr="00327CA9" w:rsidRDefault="0036448E" w:rsidP="005203E0">
            <w:pPr>
              <w:jc w:val="center"/>
              <w:rPr>
                <w:rFonts w:ascii="Times New Roman" w:hAnsi="Times New Roman" w:cs="Times New Roman"/>
                <w:sz w:val="20"/>
                <w:szCs w:val="20"/>
              </w:rPr>
            </w:pPr>
            <w:r w:rsidRPr="00327CA9">
              <w:rPr>
                <w:rFonts w:ascii="Times New Roman" w:hAnsi="Times New Roman" w:cs="Times New Roman"/>
                <w:sz w:val="20"/>
                <w:szCs w:val="20"/>
              </w:rPr>
              <w:t>(e-pasta adrese)</w:t>
            </w:r>
          </w:p>
        </w:tc>
      </w:tr>
    </w:tbl>
    <w:p w14:paraId="650089C4" w14:textId="77777777" w:rsidR="0036448E" w:rsidRPr="00327CA9" w:rsidRDefault="0036448E" w:rsidP="0036448E">
      <w:pPr>
        <w:pStyle w:val="naisf"/>
        <w:spacing w:before="0" w:after="0"/>
        <w:ind w:firstLine="0"/>
        <w:jc w:val="left"/>
        <w:rPr>
          <w:sz w:val="20"/>
          <w:szCs w:val="20"/>
        </w:rPr>
      </w:pPr>
      <w:bookmarkStart w:id="0" w:name="_GoBack"/>
      <w:bookmarkEnd w:id="0"/>
      <w:r w:rsidRPr="00327CA9">
        <w:rPr>
          <w:sz w:val="20"/>
          <w:szCs w:val="20"/>
        </w:rPr>
        <w:t xml:space="preserve">Centrālās statistikas pārvaldes  </w:t>
      </w:r>
    </w:p>
    <w:p w14:paraId="2B627004" w14:textId="12F3F164" w:rsidR="0036448E" w:rsidRPr="00327CA9" w:rsidRDefault="00000A60" w:rsidP="0036448E">
      <w:pPr>
        <w:pStyle w:val="naisf"/>
        <w:spacing w:before="0" w:after="0"/>
        <w:ind w:firstLine="0"/>
        <w:jc w:val="left"/>
        <w:rPr>
          <w:sz w:val="20"/>
          <w:szCs w:val="20"/>
        </w:rPr>
      </w:pPr>
      <w:r w:rsidRPr="00327CA9">
        <w:rPr>
          <w:sz w:val="20"/>
          <w:szCs w:val="20"/>
        </w:rPr>
        <w:t>Sociālās statistikas metodoloģijas daļas</w:t>
      </w:r>
    </w:p>
    <w:p w14:paraId="7A7025E9" w14:textId="69DA33BF" w:rsidR="0036448E" w:rsidRPr="00327CA9" w:rsidRDefault="00000A60" w:rsidP="0036448E">
      <w:pPr>
        <w:pStyle w:val="naisf"/>
        <w:spacing w:before="0" w:after="0"/>
        <w:ind w:firstLine="0"/>
        <w:jc w:val="left"/>
        <w:rPr>
          <w:sz w:val="20"/>
          <w:szCs w:val="20"/>
        </w:rPr>
      </w:pPr>
      <w:r w:rsidRPr="00327CA9">
        <w:rPr>
          <w:sz w:val="20"/>
          <w:szCs w:val="20"/>
        </w:rPr>
        <w:t>Vecākais metodoloģijas eksperts</w:t>
      </w:r>
    </w:p>
    <w:p w14:paraId="3B6B6164" w14:textId="61876F01" w:rsidR="0036448E" w:rsidRPr="00327CA9" w:rsidRDefault="00000A60" w:rsidP="0036448E">
      <w:pPr>
        <w:pStyle w:val="naisf"/>
        <w:spacing w:before="0" w:after="0"/>
        <w:ind w:firstLine="0"/>
        <w:jc w:val="left"/>
        <w:rPr>
          <w:sz w:val="20"/>
          <w:szCs w:val="20"/>
        </w:rPr>
      </w:pPr>
      <w:r w:rsidRPr="00327CA9">
        <w:rPr>
          <w:sz w:val="20"/>
          <w:szCs w:val="20"/>
        </w:rPr>
        <w:t xml:space="preserve">Pēteris </w:t>
      </w:r>
      <w:proofErr w:type="spellStart"/>
      <w:r w:rsidRPr="00327CA9">
        <w:rPr>
          <w:sz w:val="20"/>
          <w:szCs w:val="20"/>
        </w:rPr>
        <w:t>Veģis</w:t>
      </w:r>
      <w:proofErr w:type="spellEnd"/>
    </w:p>
    <w:p w14:paraId="21841C03" w14:textId="56D40637" w:rsidR="0036448E" w:rsidRPr="00327CA9" w:rsidRDefault="0036448E" w:rsidP="0036448E">
      <w:pPr>
        <w:pStyle w:val="naisf"/>
        <w:spacing w:before="0" w:after="0"/>
        <w:ind w:firstLine="0"/>
        <w:jc w:val="left"/>
        <w:rPr>
          <w:sz w:val="20"/>
          <w:szCs w:val="20"/>
        </w:rPr>
      </w:pPr>
      <w:r w:rsidRPr="00327CA9">
        <w:rPr>
          <w:sz w:val="20"/>
          <w:szCs w:val="20"/>
        </w:rPr>
        <w:t>tālr. 67366</w:t>
      </w:r>
      <w:r w:rsidR="00000A60" w:rsidRPr="00327CA9">
        <w:rPr>
          <w:sz w:val="20"/>
          <w:szCs w:val="20"/>
        </w:rPr>
        <w:t>771</w:t>
      </w:r>
    </w:p>
    <w:p w14:paraId="64335B08" w14:textId="1C5BF509" w:rsidR="0036448E" w:rsidRPr="004B0227" w:rsidRDefault="00000A60" w:rsidP="0036448E">
      <w:pPr>
        <w:pStyle w:val="naisf"/>
        <w:spacing w:before="0" w:after="0"/>
        <w:ind w:firstLine="0"/>
        <w:jc w:val="left"/>
        <w:rPr>
          <w:sz w:val="20"/>
          <w:szCs w:val="20"/>
        </w:rPr>
      </w:pPr>
      <w:r w:rsidRPr="00327CA9">
        <w:rPr>
          <w:sz w:val="20"/>
          <w:szCs w:val="20"/>
        </w:rPr>
        <w:t>Peteris.Vegis</w:t>
      </w:r>
      <w:r w:rsidR="0036448E" w:rsidRPr="00327CA9">
        <w:rPr>
          <w:sz w:val="20"/>
          <w:szCs w:val="20"/>
        </w:rPr>
        <w:t>@csb.gov.lv</w:t>
      </w:r>
    </w:p>
    <w:p w14:paraId="416E8865" w14:textId="77777777" w:rsidR="0036448E" w:rsidRDefault="0036448E"/>
    <w:sectPr w:rsidR="0036448E" w:rsidSect="001D4D82">
      <w:headerReference w:type="default" r:id="rId8"/>
      <w:footerReference w:type="default" r:id="rId9"/>
      <w:footerReference w:type="first" r:id="rId10"/>
      <w:pgSz w:w="23811" w:h="16838" w:orient="landscape" w:code="8"/>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4E78C" w14:textId="77777777" w:rsidR="009207D3" w:rsidRDefault="009207D3" w:rsidP="00C023B7">
      <w:pPr>
        <w:spacing w:after="0" w:line="240" w:lineRule="auto"/>
      </w:pPr>
      <w:r>
        <w:separator/>
      </w:r>
    </w:p>
  </w:endnote>
  <w:endnote w:type="continuationSeparator" w:id="0">
    <w:p w14:paraId="567E630B" w14:textId="77777777" w:rsidR="009207D3" w:rsidRDefault="009207D3" w:rsidP="00C0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86808" w14:textId="3D656890" w:rsidR="00C023B7" w:rsidRPr="00420BF4" w:rsidRDefault="00C023B7" w:rsidP="00C023B7">
    <w:pPr>
      <w:rPr>
        <w:rFonts w:ascii="Times New Roman" w:eastAsia="Times New Roman" w:hAnsi="Times New Roman" w:cs="Times New Roman"/>
        <w:bCs/>
        <w:sz w:val="20"/>
        <w:szCs w:val="20"/>
        <w:lang w:eastAsia="lv-LV"/>
      </w:rPr>
    </w:pPr>
    <w:r w:rsidRPr="004B6FC4">
      <w:rPr>
        <w:rFonts w:ascii="Times New Roman" w:hAnsi="Times New Roman"/>
        <w:sz w:val="20"/>
        <w:szCs w:val="20"/>
      </w:rPr>
      <w:fldChar w:fldCharType="begin"/>
    </w:r>
    <w:r w:rsidRPr="004B6FC4">
      <w:rPr>
        <w:rFonts w:ascii="Times New Roman" w:hAnsi="Times New Roman"/>
        <w:sz w:val="20"/>
        <w:szCs w:val="20"/>
      </w:rPr>
      <w:instrText xml:space="preserve"> FILENAME   \* MERGEFORMAT </w:instrText>
    </w:r>
    <w:r w:rsidRPr="004B6FC4">
      <w:rPr>
        <w:rFonts w:ascii="Times New Roman" w:hAnsi="Times New Roman"/>
        <w:sz w:val="20"/>
        <w:szCs w:val="20"/>
      </w:rPr>
      <w:fldChar w:fldCharType="separate"/>
    </w:r>
    <w:r w:rsidR="003F0A0F">
      <w:rPr>
        <w:rFonts w:ascii="Times New Roman" w:hAnsi="Times New Roman"/>
        <w:noProof/>
        <w:sz w:val="20"/>
        <w:szCs w:val="20"/>
      </w:rPr>
      <w:t>EMIzz_</w:t>
    </w:r>
    <w:r w:rsidR="006C3C59">
      <w:rPr>
        <w:rFonts w:ascii="Times New Roman" w:hAnsi="Times New Roman"/>
        <w:noProof/>
        <w:sz w:val="20"/>
        <w:szCs w:val="20"/>
      </w:rPr>
      <w:t>11</w:t>
    </w:r>
    <w:r w:rsidR="001D4D82">
      <w:rPr>
        <w:rFonts w:ascii="Times New Roman" w:hAnsi="Times New Roman"/>
        <w:noProof/>
        <w:sz w:val="20"/>
        <w:szCs w:val="20"/>
      </w:rPr>
      <w:t>1119</w:t>
    </w:r>
    <w:r w:rsidR="003F0A0F">
      <w:rPr>
        <w:rFonts w:ascii="Times New Roman" w:hAnsi="Times New Roman"/>
        <w:noProof/>
        <w:sz w:val="20"/>
        <w:szCs w:val="20"/>
      </w:rPr>
      <w:t>_statistika</w:t>
    </w:r>
    <w:r w:rsidRPr="004B6FC4">
      <w:rPr>
        <w:rFonts w:ascii="Times New Roman" w:hAnsi="Times New Roman"/>
        <w:sz w:val="20"/>
        <w:szCs w:val="20"/>
      </w:rPr>
      <w:fldChar w:fldCharType="end"/>
    </w:r>
  </w:p>
  <w:p w14:paraId="02BAD5AD" w14:textId="77777777" w:rsidR="00C023B7" w:rsidRDefault="00C02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9D51D" w14:textId="5016E6E3" w:rsidR="001D4D82" w:rsidRPr="00420BF4" w:rsidRDefault="001D4D82" w:rsidP="001D4D82">
    <w:pPr>
      <w:rPr>
        <w:rFonts w:ascii="Times New Roman" w:eastAsia="Times New Roman" w:hAnsi="Times New Roman" w:cs="Times New Roman"/>
        <w:bCs/>
        <w:sz w:val="20"/>
        <w:szCs w:val="20"/>
        <w:lang w:eastAsia="lv-LV"/>
      </w:rPr>
    </w:pPr>
    <w:r w:rsidRPr="004B6FC4">
      <w:rPr>
        <w:rFonts w:ascii="Times New Roman" w:hAnsi="Times New Roman"/>
        <w:sz w:val="20"/>
        <w:szCs w:val="20"/>
      </w:rPr>
      <w:fldChar w:fldCharType="begin"/>
    </w:r>
    <w:r w:rsidRPr="004B6FC4">
      <w:rPr>
        <w:rFonts w:ascii="Times New Roman" w:hAnsi="Times New Roman"/>
        <w:sz w:val="20"/>
        <w:szCs w:val="20"/>
      </w:rPr>
      <w:instrText xml:space="preserve"> FILENAME   \* MERGEFORMAT </w:instrText>
    </w:r>
    <w:r w:rsidRPr="004B6FC4">
      <w:rPr>
        <w:rFonts w:ascii="Times New Roman" w:hAnsi="Times New Roman"/>
        <w:sz w:val="20"/>
        <w:szCs w:val="20"/>
      </w:rPr>
      <w:fldChar w:fldCharType="separate"/>
    </w:r>
    <w:r>
      <w:rPr>
        <w:rFonts w:ascii="Times New Roman" w:hAnsi="Times New Roman"/>
        <w:noProof/>
        <w:sz w:val="20"/>
        <w:szCs w:val="20"/>
      </w:rPr>
      <w:t>EMIzz_</w:t>
    </w:r>
    <w:r w:rsidR="006C3C59">
      <w:rPr>
        <w:rFonts w:ascii="Times New Roman" w:hAnsi="Times New Roman"/>
        <w:noProof/>
        <w:sz w:val="20"/>
        <w:szCs w:val="20"/>
      </w:rPr>
      <w:t>11</w:t>
    </w:r>
    <w:r>
      <w:rPr>
        <w:rFonts w:ascii="Times New Roman" w:hAnsi="Times New Roman"/>
        <w:noProof/>
        <w:sz w:val="20"/>
        <w:szCs w:val="20"/>
      </w:rPr>
      <w:t>1119_statistika</w:t>
    </w:r>
    <w:r w:rsidRPr="004B6FC4">
      <w:rPr>
        <w:rFonts w:ascii="Times New Roman" w:hAnsi="Times New Roman"/>
        <w:sz w:val="20"/>
        <w:szCs w:val="20"/>
      </w:rPr>
      <w:fldChar w:fldCharType="end"/>
    </w:r>
  </w:p>
  <w:p w14:paraId="68569A9E" w14:textId="77777777" w:rsidR="00B81378" w:rsidRDefault="00B81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27468" w14:textId="77777777" w:rsidR="009207D3" w:rsidRDefault="009207D3" w:rsidP="00C023B7">
      <w:pPr>
        <w:spacing w:after="0" w:line="240" w:lineRule="auto"/>
      </w:pPr>
      <w:r>
        <w:separator/>
      </w:r>
    </w:p>
  </w:footnote>
  <w:footnote w:type="continuationSeparator" w:id="0">
    <w:p w14:paraId="5CA1010D" w14:textId="77777777" w:rsidR="009207D3" w:rsidRDefault="009207D3" w:rsidP="00C0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906284"/>
      <w:docPartObj>
        <w:docPartGallery w:val="Page Numbers (Top of Page)"/>
        <w:docPartUnique/>
      </w:docPartObj>
    </w:sdtPr>
    <w:sdtEndPr>
      <w:rPr>
        <w:rFonts w:ascii="Times New Roman" w:hAnsi="Times New Roman" w:cs="Times New Roman"/>
        <w:noProof/>
        <w:sz w:val="24"/>
        <w:szCs w:val="24"/>
      </w:rPr>
    </w:sdtEndPr>
    <w:sdtContent>
      <w:p w14:paraId="094C6712" w14:textId="447E52E5" w:rsidR="00B81378" w:rsidRPr="001D4D82" w:rsidRDefault="00B81378">
        <w:pPr>
          <w:pStyle w:val="Header"/>
          <w:jc w:val="center"/>
          <w:rPr>
            <w:rFonts w:ascii="Times New Roman" w:hAnsi="Times New Roman" w:cs="Times New Roman"/>
            <w:sz w:val="24"/>
            <w:szCs w:val="24"/>
          </w:rPr>
        </w:pPr>
        <w:r w:rsidRPr="001D4D82">
          <w:rPr>
            <w:rFonts w:ascii="Times New Roman" w:hAnsi="Times New Roman" w:cs="Times New Roman"/>
            <w:sz w:val="24"/>
            <w:szCs w:val="24"/>
          </w:rPr>
          <w:fldChar w:fldCharType="begin"/>
        </w:r>
        <w:r w:rsidRPr="001D4D82">
          <w:rPr>
            <w:rFonts w:ascii="Times New Roman" w:hAnsi="Times New Roman" w:cs="Times New Roman"/>
            <w:sz w:val="24"/>
            <w:szCs w:val="24"/>
          </w:rPr>
          <w:instrText xml:space="preserve"> PAGE   \* MERGEFORMAT </w:instrText>
        </w:r>
        <w:r w:rsidRPr="001D4D82">
          <w:rPr>
            <w:rFonts w:ascii="Times New Roman" w:hAnsi="Times New Roman" w:cs="Times New Roman"/>
            <w:sz w:val="24"/>
            <w:szCs w:val="24"/>
          </w:rPr>
          <w:fldChar w:fldCharType="separate"/>
        </w:r>
        <w:r w:rsidRPr="001D4D82">
          <w:rPr>
            <w:rFonts w:ascii="Times New Roman" w:hAnsi="Times New Roman" w:cs="Times New Roman"/>
            <w:noProof/>
            <w:sz w:val="24"/>
            <w:szCs w:val="24"/>
          </w:rPr>
          <w:t>2</w:t>
        </w:r>
        <w:r w:rsidRPr="001D4D82">
          <w:rPr>
            <w:rFonts w:ascii="Times New Roman" w:hAnsi="Times New Roman" w:cs="Times New Roman"/>
            <w:noProof/>
            <w:sz w:val="24"/>
            <w:szCs w:val="24"/>
          </w:rPr>
          <w:fldChar w:fldCharType="end"/>
        </w:r>
      </w:p>
    </w:sdtContent>
  </w:sdt>
  <w:p w14:paraId="5BEA8D8C" w14:textId="77777777" w:rsidR="00B81378" w:rsidRDefault="00B81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644AD"/>
    <w:multiLevelType w:val="hybridMultilevel"/>
    <w:tmpl w:val="09CC423C"/>
    <w:lvl w:ilvl="0" w:tplc="072202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9B2384"/>
    <w:multiLevelType w:val="multilevel"/>
    <w:tmpl w:val="0784C3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080" w:hanging="720"/>
      </w:pPr>
      <w:rPr>
        <w:rFonts w:ascii="Calibri" w:hAnsi="Calibri" w:hint="default"/>
        <w:sz w:val="22"/>
      </w:rPr>
    </w:lvl>
    <w:lvl w:ilvl="3">
      <w:start w:val="1"/>
      <w:numFmt w:val="decimal"/>
      <w:isLgl/>
      <w:lvlText w:val="%1.%2.%3.%4."/>
      <w:lvlJc w:val="left"/>
      <w:pPr>
        <w:ind w:left="1440" w:hanging="108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800" w:hanging="1440"/>
      </w:pPr>
      <w:rPr>
        <w:rFonts w:ascii="Calibri" w:hAnsi="Calibri" w:hint="default"/>
        <w:sz w:val="22"/>
      </w:rPr>
    </w:lvl>
    <w:lvl w:ilvl="6">
      <w:start w:val="1"/>
      <w:numFmt w:val="decimal"/>
      <w:isLgl/>
      <w:lvlText w:val="%1.%2.%3.%4.%5.%6.%7."/>
      <w:lvlJc w:val="left"/>
      <w:pPr>
        <w:ind w:left="2160" w:hanging="1800"/>
      </w:pPr>
      <w:rPr>
        <w:rFonts w:ascii="Calibri" w:hAnsi="Calibri" w:hint="default"/>
        <w:sz w:val="22"/>
      </w:rPr>
    </w:lvl>
    <w:lvl w:ilvl="7">
      <w:start w:val="1"/>
      <w:numFmt w:val="decimal"/>
      <w:isLgl/>
      <w:lvlText w:val="%1.%2.%3.%4.%5.%6.%7.%8."/>
      <w:lvlJc w:val="left"/>
      <w:pPr>
        <w:ind w:left="2160" w:hanging="1800"/>
      </w:pPr>
      <w:rPr>
        <w:rFonts w:ascii="Calibri" w:hAnsi="Calibri" w:hint="default"/>
        <w:sz w:val="22"/>
      </w:rPr>
    </w:lvl>
    <w:lvl w:ilvl="8">
      <w:start w:val="1"/>
      <w:numFmt w:val="decimal"/>
      <w:isLgl/>
      <w:lvlText w:val="%1.%2.%3.%4.%5.%6.%7.%8.%9."/>
      <w:lvlJc w:val="left"/>
      <w:pPr>
        <w:ind w:left="2520" w:hanging="2160"/>
      </w:pPr>
      <w:rPr>
        <w:rFonts w:ascii="Calibri" w:hAnsi="Calibri" w:hint="default"/>
        <w:sz w:val="22"/>
      </w:rPr>
    </w:lvl>
  </w:abstractNum>
  <w:abstractNum w:abstractNumId="2" w15:restartNumberingAfterBreak="0">
    <w:nsid w:val="1E6A770F"/>
    <w:multiLevelType w:val="multilevel"/>
    <w:tmpl w:val="AFB43CEE"/>
    <w:lvl w:ilvl="0">
      <w:start w:val="1"/>
      <w:numFmt w:val="decimal"/>
      <w:lvlText w:val="%1."/>
      <w:lvlJc w:val="left"/>
      <w:pPr>
        <w:ind w:left="720" w:hanging="360"/>
      </w:pPr>
    </w:lvl>
    <w:lvl w:ilvl="1">
      <w:start w:val="1"/>
      <w:numFmt w:val="decimal"/>
      <w:isLgl/>
      <w:lvlText w:val="%2."/>
      <w:lvlJc w:val="left"/>
      <w:pPr>
        <w:ind w:left="1440" w:hanging="360"/>
      </w:pPr>
      <w:rPr>
        <w:rFonts w:ascii="Times New Roman" w:eastAsia="Calibri" w:hAnsi="Times New Roman" w:cs="Times New Roman"/>
        <w:color w:val="000000"/>
      </w:rPr>
    </w:lvl>
    <w:lvl w:ilvl="2">
      <w:start w:val="1"/>
      <w:numFmt w:val="decimal"/>
      <w:isLgl/>
      <w:lvlText w:val="%1.%2.%3."/>
      <w:lvlJc w:val="left"/>
      <w:pPr>
        <w:ind w:left="2520" w:hanging="720"/>
      </w:pPr>
      <w:rPr>
        <w:color w:val="000000"/>
      </w:rPr>
    </w:lvl>
    <w:lvl w:ilvl="3">
      <w:start w:val="1"/>
      <w:numFmt w:val="decimal"/>
      <w:isLgl/>
      <w:lvlText w:val="%1.%2.%3.%4."/>
      <w:lvlJc w:val="left"/>
      <w:pPr>
        <w:ind w:left="3240" w:hanging="720"/>
      </w:pPr>
      <w:rPr>
        <w:color w:val="000000"/>
      </w:rPr>
    </w:lvl>
    <w:lvl w:ilvl="4">
      <w:start w:val="1"/>
      <w:numFmt w:val="decimal"/>
      <w:isLgl/>
      <w:lvlText w:val="%1.%2.%3.%4.%5."/>
      <w:lvlJc w:val="left"/>
      <w:pPr>
        <w:ind w:left="4320" w:hanging="1080"/>
      </w:pPr>
      <w:rPr>
        <w:color w:val="000000"/>
      </w:rPr>
    </w:lvl>
    <w:lvl w:ilvl="5">
      <w:start w:val="1"/>
      <w:numFmt w:val="decimal"/>
      <w:isLgl/>
      <w:lvlText w:val="%1.%2.%3.%4.%5.%6."/>
      <w:lvlJc w:val="left"/>
      <w:pPr>
        <w:ind w:left="5040" w:hanging="1080"/>
      </w:pPr>
      <w:rPr>
        <w:color w:val="000000"/>
      </w:rPr>
    </w:lvl>
    <w:lvl w:ilvl="6">
      <w:start w:val="1"/>
      <w:numFmt w:val="decimal"/>
      <w:isLgl/>
      <w:lvlText w:val="%1.%2.%3.%4.%5.%6.%7."/>
      <w:lvlJc w:val="left"/>
      <w:pPr>
        <w:ind w:left="6120" w:hanging="1440"/>
      </w:pPr>
      <w:rPr>
        <w:color w:val="000000"/>
      </w:rPr>
    </w:lvl>
    <w:lvl w:ilvl="7">
      <w:start w:val="1"/>
      <w:numFmt w:val="decimal"/>
      <w:isLgl/>
      <w:lvlText w:val="%1.%2.%3.%4.%5.%6.%7.%8."/>
      <w:lvlJc w:val="left"/>
      <w:pPr>
        <w:ind w:left="6840" w:hanging="1440"/>
      </w:pPr>
      <w:rPr>
        <w:color w:val="000000"/>
      </w:rPr>
    </w:lvl>
    <w:lvl w:ilvl="8">
      <w:start w:val="1"/>
      <w:numFmt w:val="decimal"/>
      <w:isLgl/>
      <w:lvlText w:val="%1.%2.%3.%4.%5.%6.%7.%8.%9."/>
      <w:lvlJc w:val="left"/>
      <w:pPr>
        <w:ind w:left="7920" w:hanging="1800"/>
      </w:pPr>
      <w:rPr>
        <w:color w:val="000000"/>
      </w:rPr>
    </w:lvl>
  </w:abstractNum>
  <w:abstractNum w:abstractNumId="3" w15:restartNumberingAfterBreak="0">
    <w:nsid w:val="3A1C03C7"/>
    <w:multiLevelType w:val="hybridMultilevel"/>
    <w:tmpl w:val="4840217E"/>
    <w:lvl w:ilvl="0" w:tplc="5AA288B6">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E8A174A"/>
    <w:multiLevelType w:val="hybridMultilevel"/>
    <w:tmpl w:val="15ACC744"/>
    <w:lvl w:ilvl="0" w:tplc="9942F8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1">
    <w:nsid w:val="66B615DD"/>
    <w:multiLevelType w:val="hybridMultilevel"/>
    <w:tmpl w:val="C00895EA"/>
    <w:lvl w:ilvl="0" w:tplc="8DFEE870">
      <w:start w:val="1"/>
      <w:numFmt w:val="decimal"/>
      <w:lvlText w:val="%1)"/>
      <w:lvlJc w:val="left"/>
      <w:pPr>
        <w:ind w:left="720" w:hanging="360"/>
      </w:pPr>
      <w:rPr>
        <w:i w:val="0"/>
      </w:rPr>
    </w:lvl>
    <w:lvl w:ilvl="1" w:tplc="B84AA66A" w:tentative="1">
      <w:start w:val="1"/>
      <w:numFmt w:val="lowerLetter"/>
      <w:lvlText w:val="%2."/>
      <w:lvlJc w:val="left"/>
      <w:pPr>
        <w:ind w:left="1440" w:hanging="360"/>
      </w:pPr>
    </w:lvl>
    <w:lvl w:ilvl="2" w:tplc="B872A680" w:tentative="1">
      <w:start w:val="1"/>
      <w:numFmt w:val="lowerRoman"/>
      <w:lvlText w:val="%3."/>
      <w:lvlJc w:val="right"/>
      <w:pPr>
        <w:ind w:left="2160" w:hanging="180"/>
      </w:pPr>
    </w:lvl>
    <w:lvl w:ilvl="3" w:tplc="FE92B2C8" w:tentative="1">
      <w:start w:val="1"/>
      <w:numFmt w:val="decimal"/>
      <w:lvlText w:val="%4."/>
      <w:lvlJc w:val="left"/>
      <w:pPr>
        <w:ind w:left="2880" w:hanging="360"/>
      </w:pPr>
    </w:lvl>
    <w:lvl w:ilvl="4" w:tplc="24287350" w:tentative="1">
      <w:start w:val="1"/>
      <w:numFmt w:val="lowerLetter"/>
      <w:lvlText w:val="%5."/>
      <w:lvlJc w:val="left"/>
      <w:pPr>
        <w:ind w:left="3600" w:hanging="360"/>
      </w:pPr>
    </w:lvl>
    <w:lvl w:ilvl="5" w:tplc="260AB4B4" w:tentative="1">
      <w:start w:val="1"/>
      <w:numFmt w:val="lowerRoman"/>
      <w:lvlText w:val="%6."/>
      <w:lvlJc w:val="right"/>
      <w:pPr>
        <w:ind w:left="4320" w:hanging="180"/>
      </w:pPr>
    </w:lvl>
    <w:lvl w:ilvl="6" w:tplc="0C0EBD5E" w:tentative="1">
      <w:start w:val="1"/>
      <w:numFmt w:val="decimal"/>
      <w:lvlText w:val="%7."/>
      <w:lvlJc w:val="left"/>
      <w:pPr>
        <w:ind w:left="5040" w:hanging="360"/>
      </w:pPr>
    </w:lvl>
    <w:lvl w:ilvl="7" w:tplc="7360AD6A" w:tentative="1">
      <w:start w:val="1"/>
      <w:numFmt w:val="lowerLetter"/>
      <w:lvlText w:val="%8."/>
      <w:lvlJc w:val="left"/>
      <w:pPr>
        <w:ind w:left="5760" w:hanging="360"/>
      </w:pPr>
    </w:lvl>
    <w:lvl w:ilvl="8" w:tplc="4A04F92A"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BC"/>
    <w:rsid w:val="00000A60"/>
    <w:rsid w:val="00060D14"/>
    <w:rsid w:val="0008610F"/>
    <w:rsid w:val="0009706B"/>
    <w:rsid w:val="000A2871"/>
    <w:rsid w:val="000C5F27"/>
    <w:rsid w:val="000E7DDC"/>
    <w:rsid w:val="000F59F8"/>
    <w:rsid w:val="00110E02"/>
    <w:rsid w:val="00155F94"/>
    <w:rsid w:val="00182ECF"/>
    <w:rsid w:val="00185307"/>
    <w:rsid w:val="001918EA"/>
    <w:rsid w:val="001B60DC"/>
    <w:rsid w:val="001D4D82"/>
    <w:rsid w:val="00202BFF"/>
    <w:rsid w:val="002100C4"/>
    <w:rsid w:val="00252C6A"/>
    <w:rsid w:val="00280072"/>
    <w:rsid w:val="00283B40"/>
    <w:rsid w:val="002A7480"/>
    <w:rsid w:val="002E64EF"/>
    <w:rsid w:val="003164CE"/>
    <w:rsid w:val="00327CA9"/>
    <w:rsid w:val="003310EB"/>
    <w:rsid w:val="0036448E"/>
    <w:rsid w:val="003719B5"/>
    <w:rsid w:val="0037518D"/>
    <w:rsid w:val="00392899"/>
    <w:rsid w:val="00394257"/>
    <w:rsid w:val="003B54BD"/>
    <w:rsid w:val="003C330F"/>
    <w:rsid w:val="003C4991"/>
    <w:rsid w:val="003F0A0F"/>
    <w:rsid w:val="00432ABC"/>
    <w:rsid w:val="0044069E"/>
    <w:rsid w:val="00446FBF"/>
    <w:rsid w:val="0045464A"/>
    <w:rsid w:val="00456630"/>
    <w:rsid w:val="004D6F8B"/>
    <w:rsid w:val="00503B17"/>
    <w:rsid w:val="00530AD9"/>
    <w:rsid w:val="005574A4"/>
    <w:rsid w:val="00585C24"/>
    <w:rsid w:val="005A29BD"/>
    <w:rsid w:val="005D2DF9"/>
    <w:rsid w:val="005D6DEB"/>
    <w:rsid w:val="005E7D3E"/>
    <w:rsid w:val="005F31B1"/>
    <w:rsid w:val="00646EC9"/>
    <w:rsid w:val="006808D8"/>
    <w:rsid w:val="006A783E"/>
    <w:rsid w:val="006C3C59"/>
    <w:rsid w:val="006C459B"/>
    <w:rsid w:val="006F2C6D"/>
    <w:rsid w:val="006F5EAB"/>
    <w:rsid w:val="006F7271"/>
    <w:rsid w:val="00733976"/>
    <w:rsid w:val="00736BAE"/>
    <w:rsid w:val="0079164A"/>
    <w:rsid w:val="007E3643"/>
    <w:rsid w:val="00825937"/>
    <w:rsid w:val="008310AD"/>
    <w:rsid w:val="00831E25"/>
    <w:rsid w:val="00903694"/>
    <w:rsid w:val="009207D3"/>
    <w:rsid w:val="00923709"/>
    <w:rsid w:val="00961282"/>
    <w:rsid w:val="009D138D"/>
    <w:rsid w:val="009E709B"/>
    <w:rsid w:val="009F7AFB"/>
    <w:rsid w:val="00A225D1"/>
    <w:rsid w:val="00A46843"/>
    <w:rsid w:val="00A61A64"/>
    <w:rsid w:val="00A65108"/>
    <w:rsid w:val="00A7134E"/>
    <w:rsid w:val="00AB4218"/>
    <w:rsid w:val="00AC181D"/>
    <w:rsid w:val="00AF5AB7"/>
    <w:rsid w:val="00AF5D39"/>
    <w:rsid w:val="00B81378"/>
    <w:rsid w:val="00B9652B"/>
    <w:rsid w:val="00C023B7"/>
    <w:rsid w:val="00C03F98"/>
    <w:rsid w:val="00C80030"/>
    <w:rsid w:val="00C84992"/>
    <w:rsid w:val="00CB1BC7"/>
    <w:rsid w:val="00CB670C"/>
    <w:rsid w:val="00CD0FAA"/>
    <w:rsid w:val="00CF5D41"/>
    <w:rsid w:val="00CF7D33"/>
    <w:rsid w:val="00D16C1C"/>
    <w:rsid w:val="00D72A45"/>
    <w:rsid w:val="00DE67C3"/>
    <w:rsid w:val="00E022A9"/>
    <w:rsid w:val="00E83A1E"/>
    <w:rsid w:val="00E84C72"/>
    <w:rsid w:val="00F66330"/>
    <w:rsid w:val="00FB06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08A6"/>
  <w15:chartTrackingRefBased/>
  <w15:docId w15:val="{D8737F1E-F17F-4FC6-9F32-324CE6D4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AB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9BD"/>
    <w:pPr>
      <w:widowControl w:val="0"/>
      <w:spacing w:after="20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331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0EB"/>
    <w:rPr>
      <w:rFonts w:ascii="Segoe UI" w:hAnsi="Segoe UI" w:cs="Segoe UI"/>
      <w:sz w:val="18"/>
      <w:szCs w:val="18"/>
    </w:rPr>
  </w:style>
  <w:style w:type="paragraph" w:customStyle="1" w:styleId="naisc">
    <w:name w:val="naisc"/>
    <w:basedOn w:val="Normal"/>
    <w:rsid w:val="00AF5AB7"/>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f">
    <w:name w:val="naisf"/>
    <w:basedOn w:val="Normal"/>
    <w:rsid w:val="0036448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36448E"/>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16C1C"/>
    <w:rPr>
      <w:sz w:val="16"/>
      <w:szCs w:val="16"/>
    </w:rPr>
  </w:style>
  <w:style w:type="paragraph" w:styleId="CommentText">
    <w:name w:val="annotation text"/>
    <w:basedOn w:val="Normal"/>
    <w:link w:val="CommentTextChar"/>
    <w:uiPriority w:val="99"/>
    <w:semiHidden/>
    <w:unhideWhenUsed/>
    <w:rsid w:val="00D16C1C"/>
    <w:pPr>
      <w:spacing w:line="240" w:lineRule="auto"/>
    </w:pPr>
    <w:rPr>
      <w:sz w:val="20"/>
      <w:szCs w:val="20"/>
    </w:rPr>
  </w:style>
  <w:style w:type="character" w:customStyle="1" w:styleId="CommentTextChar">
    <w:name w:val="Comment Text Char"/>
    <w:basedOn w:val="DefaultParagraphFont"/>
    <w:link w:val="CommentText"/>
    <w:uiPriority w:val="99"/>
    <w:semiHidden/>
    <w:rsid w:val="00D16C1C"/>
    <w:rPr>
      <w:sz w:val="20"/>
      <w:szCs w:val="20"/>
    </w:rPr>
  </w:style>
  <w:style w:type="paragraph" w:styleId="CommentSubject">
    <w:name w:val="annotation subject"/>
    <w:basedOn w:val="CommentText"/>
    <w:next w:val="CommentText"/>
    <w:link w:val="CommentSubjectChar"/>
    <w:uiPriority w:val="99"/>
    <w:semiHidden/>
    <w:unhideWhenUsed/>
    <w:rsid w:val="00D16C1C"/>
    <w:rPr>
      <w:b/>
      <w:bCs/>
    </w:rPr>
  </w:style>
  <w:style w:type="character" w:customStyle="1" w:styleId="CommentSubjectChar">
    <w:name w:val="Comment Subject Char"/>
    <w:basedOn w:val="CommentTextChar"/>
    <w:link w:val="CommentSubject"/>
    <w:uiPriority w:val="99"/>
    <w:semiHidden/>
    <w:rsid w:val="00D16C1C"/>
    <w:rPr>
      <w:b/>
      <w:bCs/>
      <w:sz w:val="20"/>
      <w:szCs w:val="20"/>
    </w:rPr>
  </w:style>
  <w:style w:type="paragraph" w:styleId="Header">
    <w:name w:val="header"/>
    <w:basedOn w:val="Normal"/>
    <w:link w:val="HeaderChar"/>
    <w:uiPriority w:val="99"/>
    <w:unhideWhenUsed/>
    <w:rsid w:val="00C023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23B7"/>
  </w:style>
  <w:style w:type="paragraph" w:styleId="Footer">
    <w:name w:val="footer"/>
    <w:basedOn w:val="Normal"/>
    <w:link w:val="FooterChar"/>
    <w:uiPriority w:val="99"/>
    <w:unhideWhenUsed/>
    <w:rsid w:val="00C023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2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8DA7B-A592-49F5-AFB4-14C6181A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10497</Words>
  <Characters>5984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Svarupa</dc:creator>
  <cp:keywords/>
  <dc:description/>
  <cp:lastModifiedBy>Jānis Ušpelis</cp:lastModifiedBy>
  <cp:revision>8</cp:revision>
  <cp:lastPrinted>2019-09-25T12:24:00Z</cp:lastPrinted>
  <dcterms:created xsi:type="dcterms:W3CDTF">2019-10-25T12:51:00Z</dcterms:created>
  <dcterms:modified xsi:type="dcterms:W3CDTF">2019-11-12T14:04:00Z</dcterms:modified>
</cp:coreProperties>
</file>